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0623" w14:textId="77777777" w:rsidR="00B64E78" w:rsidRDefault="00B64E78">
      <w:pPr>
        <w:widowControl w:val="0"/>
        <w:tabs>
          <w:tab w:val="clear" w:pos="567"/>
        </w:tabs>
        <w:spacing w:line="240" w:lineRule="auto"/>
        <w:ind w:left="567" w:hanging="567"/>
        <w:rPr>
          <w:snapToGrid/>
          <w:szCs w:val="22"/>
          <w:lang w:val="lt-LT"/>
        </w:rPr>
      </w:pPr>
    </w:p>
    <w:p w14:paraId="58CC5324" w14:textId="77777777" w:rsidR="00B64E78" w:rsidRDefault="00B64E78">
      <w:pPr>
        <w:widowControl w:val="0"/>
        <w:tabs>
          <w:tab w:val="clear" w:pos="567"/>
        </w:tabs>
        <w:spacing w:line="240" w:lineRule="auto"/>
        <w:ind w:left="567" w:hanging="567"/>
        <w:rPr>
          <w:snapToGrid/>
          <w:szCs w:val="22"/>
          <w:lang w:val="lt-LT"/>
        </w:rPr>
      </w:pPr>
    </w:p>
    <w:p w14:paraId="319E7188" w14:textId="77777777" w:rsidR="00B64E78" w:rsidRDefault="00B64E78">
      <w:pPr>
        <w:widowControl w:val="0"/>
        <w:tabs>
          <w:tab w:val="clear" w:pos="567"/>
        </w:tabs>
        <w:spacing w:line="240" w:lineRule="auto"/>
        <w:ind w:left="567" w:hanging="567"/>
        <w:rPr>
          <w:snapToGrid/>
          <w:szCs w:val="22"/>
          <w:lang w:val="lt-LT"/>
        </w:rPr>
      </w:pPr>
    </w:p>
    <w:p w14:paraId="26764600" w14:textId="77777777" w:rsidR="00B64E78" w:rsidRDefault="00B64E78">
      <w:pPr>
        <w:widowControl w:val="0"/>
        <w:tabs>
          <w:tab w:val="clear" w:pos="567"/>
        </w:tabs>
        <w:spacing w:line="240" w:lineRule="auto"/>
        <w:ind w:left="567" w:hanging="567"/>
        <w:rPr>
          <w:snapToGrid/>
          <w:szCs w:val="22"/>
          <w:lang w:val="lt-LT"/>
        </w:rPr>
      </w:pPr>
    </w:p>
    <w:p w14:paraId="22682E71" w14:textId="77777777" w:rsidR="00B64E78" w:rsidRDefault="00B64E78">
      <w:pPr>
        <w:widowControl w:val="0"/>
        <w:tabs>
          <w:tab w:val="clear" w:pos="567"/>
        </w:tabs>
        <w:spacing w:line="240" w:lineRule="auto"/>
        <w:ind w:left="567" w:hanging="567"/>
        <w:rPr>
          <w:snapToGrid/>
          <w:szCs w:val="22"/>
          <w:lang w:val="lt-LT"/>
        </w:rPr>
      </w:pPr>
    </w:p>
    <w:p w14:paraId="11CA609F" w14:textId="77777777" w:rsidR="00B64E78" w:rsidRDefault="00B64E78">
      <w:pPr>
        <w:widowControl w:val="0"/>
        <w:tabs>
          <w:tab w:val="clear" w:pos="567"/>
        </w:tabs>
        <w:spacing w:line="240" w:lineRule="auto"/>
        <w:ind w:left="567" w:hanging="567"/>
        <w:rPr>
          <w:snapToGrid/>
          <w:szCs w:val="22"/>
          <w:lang w:val="lt-LT"/>
        </w:rPr>
      </w:pPr>
    </w:p>
    <w:p w14:paraId="1BE976C0" w14:textId="77777777" w:rsidR="00B64E78" w:rsidRDefault="00B64E78">
      <w:pPr>
        <w:widowControl w:val="0"/>
        <w:tabs>
          <w:tab w:val="clear" w:pos="567"/>
        </w:tabs>
        <w:spacing w:line="240" w:lineRule="auto"/>
        <w:ind w:left="567" w:hanging="567"/>
        <w:rPr>
          <w:snapToGrid/>
          <w:szCs w:val="22"/>
          <w:lang w:val="lt-LT"/>
        </w:rPr>
      </w:pPr>
    </w:p>
    <w:p w14:paraId="667D660F" w14:textId="77777777" w:rsidR="00B64E78" w:rsidRDefault="00B64E78">
      <w:pPr>
        <w:widowControl w:val="0"/>
        <w:tabs>
          <w:tab w:val="clear" w:pos="567"/>
        </w:tabs>
        <w:spacing w:line="240" w:lineRule="auto"/>
        <w:ind w:left="567" w:hanging="567"/>
        <w:rPr>
          <w:snapToGrid/>
          <w:szCs w:val="22"/>
          <w:lang w:val="lt-LT"/>
        </w:rPr>
      </w:pPr>
    </w:p>
    <w:p w14:paraId="73C14422" w14:textId="77777777" w:rsidR="00B64E78" w:rsidRDefault="00B64E78">
      <w:pPr>
        <w:widowControl w:val="0"/>
        <w:tabs>
          <w:tab w:val="clear" w:pos="567"/>
        </w:tabs>
        <w:spacing w:line="240" w:lineRule="auto"/>
        <w:ind w:left="567" w:hanging="567"/>
        <w:rPr>
          <w:snapToGrid/>
          <w:szCs w:val="22"/>
          <w:lang w:val="lt-LT"/>
        </w:rPr>
      </w:pPr>
    </w:p>
    <w:p w14:paraId="585FC1C3" w14:textId="77777777" w:rsidR="00B64E78" w:rsidRDefault="00B64E78">
      <w:pPr>
        <w:widowControl w:val="0"/>
        <w:tabs>
          <w:tab w:val="clear" w:pos="567"/>
        </w:tabs>
        <w:spacing w:line="240" w:lineRule="auto"/>
        <w:ind w:left="567" w:hanging="567"/>
        <w:rPr>
          <w:snapToGrid/>
          <w:szCs w:val="22"/>
          <w:lang w:val="lt-LT"/>
        </w:rPr>
      </w:pPr>
    </w:p>
    <w:p w14:paraId="6C9947F4" w14:textId="77777777" w:rsidR="00B64E78" w:rsidRDefault="00B64E78">
      <w:pPr>
        <w:widowControl w:val="0"/>
        <w:tabs>
          <w:tab w:val="clear" w:pos="567"/>
        </w:tabs>
        <w:spacing w:line="240" w:lineRule="auto"/>
        <w:ind w:left="567" w:hanging="567"/>
        <w:rPr>
          <w:snapToGrid/>
          <w:szCs w:val="22"/>
          <w:lang w:val="lt-LT"/>
        </w:rPr>
      </w:pPr>
    </w:p>
    <w:p w14:paraId="4F6A4DFB" w14:textId="77777777" w:rsidR="00B64E78" w:rsidRDefault="00B64E78">
      <w:pPr>
        <w:widowControl w:val="0"/>
        <w:tabs>
          <w:tab w:val="clear" w:pos="567"/>
        </w:tabs>
        <w:spacing w:line="240" w:lineRule="auto"/>
        <w:ind w:left="567" w:hanging="567"/>
        <w:rPr>
          <w:snapToGrid/>
          <w:szCs w:val="22"/>
          <w:lang w:val="lt-LT"/>
        </w:rPr>
      </w:pPr>
    </w:p>
    <w:p w14:paraId="3C3E7737" w14:textId="77777777" w:rsidR="00B64E78" w:rsidRDefault="00B64E78">
      <w:pPr>
        <w:widowControl w:val="0"/>
        <w:tabs>
          <w:tab w:val="clear" w:pos="567"/>
        </w:tabs>
        <w:spacing w:line="240" w:lineRule="auto"/>
        <w:ind w:left="567" w:hanging="567"/>
        <w:rPr>
          <w:snapToGrid/>
          <w:szCs w:val="22"/>
          <w:lang w:val="lt-LT"/>
        </w:rPr>
      </w:pPr>
    </w:p>
    <w:p w14:paraId="43705B70" w14:textId="77777777" w:rsidR="00B64E78" w:rsidRDefault="00B64E78">
      <w:pPr>
        <w:widowControl w:val="0"/>
        <w:tabs>
          <w:tab w:val="clear" w:pos="567"/>
        </w:tabs>
        <w:spacing w:line="240" w:lineRule="auto"/>
        <w:ind w:left="567" w:hanging="567"/>
        <w:rPr>
          <w:snapToGrid/>
          <w:szCs w:val="22"/>
          <w:lang w:val="lt-LT"/>
        </w:rPr>
      </w:pPr>
    </w:p>
    <w:p w14:paraId="4870A517" w14:textId="77777777" w:rsidR="00B64E78" w:rsidRDefault="00B64E78">
      <w:pPr>
        <w:widowControl w:val="0"/>
        <w:tabs>
          <w:tab w:val="clear" w:pos="567"/>
        </w:tabs>
        <w:spacing w:line="240" w:lineRule="auto"/>
        <w:ind w:left="567" w:hanging="567"/>
        <w:rPr>
          <w:snapToGrid/>
          <w:szCs w:val="22"/>
          <w:lang w:val="lt-LT"/>
        </w:rPr>
      </w:pPr>
    </w:p>
    <w:p w14:paraId="247A2F2F" w14:textId="77777777" w:rsidR="00B64E78" w:rsidRDefault="00B64E78">
      <w:pPr>
        <w:widowControl w:val="0"/>
        <w:tabs>
          <w:tab w:val="clear" w:pos="567"/>
        </w:tabs>
        <w:spacing w:line="240" w:lineRule="auto"/>
        <w:ind w:left="567" w:hanging="567"/>
        <w:rPr>
          <w:snapToGrid/>
          <w:szCs w:val="22"/>
          <w:lang w:val="lt-LT"/>
        </w:rPr>
      </w:pPr>
    </w:p>
    <w:p w14:paraId="7E70F104" w14:textId="77777777" w:rsidR="00B64E78" w:rsidRDefault="00B64E78">
      <w:pPr>
        <w:widowControl w:val="0"/>
        <w:tabs>
          <w:tab w:val="clear" w:pos="567"/>
        </w:tabs>
        <w:spacing w:line="240" w:lineRule="auto"/>
        <w:ind w:left="567" w:hanging="567"/>
        <w:rPr>
          <w:snapToGrid/>
          <w:szCs w:val="22"/>
          <w:lang w:val="lt-LT"/>
        </w:rPr>
      </w:pPr>
    </w:p>
    <w:p w14:paraId="4DDB2994" w14:textId="77777777" w:rsidR="00B64E78" w:rsidRDefault="00B64E78">
      <w:pPr>
        <w:widowControl w:val="0"/>
        <w:tabs>
          <w:tab w:val="clear" w:pos="567"/>
        </w:tabs>
        <w:spacing w:line="240" w:lineRule="auto"/>
        <w:ind w:left="567" w:hanging="567"/>
        <w:rPr>
          <w:snapToGrid/>
          <w:szCs w:val="22"/>
          <w:lang w:val="lt-LT"/>
        </w:rPr>
      </w:pPr>
    </w:p>
    <w:p w14:paraId="6BD6E7CF" w14:textId="77777777" w:rsidR="00B64E78" w:rsidRDefault="00B64E78">
      <w:pPr>
        <w:widowControl w:val="0"/>
        <w:tabs>
          <w:tab w:val="clear" w:pos="567"/>
        </w:tabs>
        <w:spacing w:line="240" w:lineRule="auto"/>
        <w:ind w:left="567" w:hanging="567"/>
        <w:rPr>
          <w:snapToGrid/>
          <w:szCs w:val="22"/>
          <w:lang w:val="lt-LT"/>
        </w:rPr>
      </w:pPr>
    </w:p>
    <w:p w14:paraId="2E87D042" w14:textId="77777777" w:rsidR="00B64E78" w:rsidRDefault="00B64E78">
      <w:pPr>
        <w:widowControl w:val="0"/>
        <w:tabs>
          <w:tab w:val="clear" w:pos="567"/>
        </w:tabs>
        <w:spacing w:line="240" w:lineRule="auto"/>
        <w:ind w:left="567" w:hanging="567"/>
        <w:rPr>
          <w:snapToGrid/>
          <w:szCs w:val="22"/>
          <w:lang w:val="lt-LT"/>
        </w:rPr>
      </w:pPr>
    </w:p>
    <w:p w14:paraId="2B4D48B9" w14:textId="77777777" w:rsidR="00B64E78" w:rsidRDefault="00B64E78">
      <w:pPr>
        <w:widowControl w:val="0"/>
        <w:tabs>
          <w:tab w:val="clear" w:pos="567"/>
        </w:tabs>
        <w:spacing w:line="240" w:lineRule="auto"/>
        <w:ind w:left="567" w:hanging="567"/>
        <w:rPr>
          <w:snapToGrid/>
          <w:szCs w:val="22"/>
          <w:lang w:val="lt-LT"/>
        </w:rPr>
      </w:pPr>
    </w:p>
    <w:p w14:paraId="4EEBA564" w14:textId="77777777" w:rsidR="00B64E78" w:rsidRDefault="00B64E78">
      <w:pPr>
        <w:widowControl w:val="0"/>
        <w:tabs>
          <w:tab w:val="clear" w:pos="567"/>
        </w:tabs>
        <w:spacing w:line="240" w:lineRule="auto"/>
        <w:ind w:left="567" w:hanging="567"/>
        <w:rPr>
          <w:snapToGrid/>
          <w:szCs w:val="22"/>
          <w:lang w:val="lt-LT"/>
        </w:rPr>
      </w:pPr>
    </w:p>
    <w:p w14:paraId="4134D268" w14:textId="77777777" w:rsidR="00B64E78" w:rsidRDefault="00B64E78">
      <w:pPr>
        <w:widowControl w:val="0"/>
        <w:tabs>
          <w:tab w:val="clear" w:pos="567"/>
        </w:tabs>
        <w:spacing w:line="240" w:lineRule="auto"/>
        <w:ind w:left="567" w:hanging="567"/>
        <w:rPr>
          <w:snapToGrid/>
          <w:szCs w:val="22"/>
          <w:lang w:val="lt-LT"/>
        </w:rPr>
      </w:pPr>
    </w:p>
    <w:p w14:paraId="2278BAE5" w14:textId="77777777" w:rsidR="00B64E78" w:rsidRDefault="00DA46A9">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0CA6B83D" w14:textId="77777777" w:rsidR="00B64E78" w:rsidRDefault="00B64E78">
      <w:pPr>
        <w:widowControl w:val="0"/>
        <w:tabs>
          <w:tab w:val="clear" w:pos="567"/>
        </w:tabs>
        <w:spacing w:line="240" w:lineRule="auto"/>
        <w:ind w:left="567" w:hanging="567"/>
        <w:jc w:val="center"/>
        <w:rPr>
          <w:snapToGrid/>
          <w:szCs w:val="22"/>
          <w:lang w:val="lt-LT"/>
        </w:rPr>
      </w:pPr>
    </w:p>
    <w:p w14:paraId="72F6B5DA" w14:textId="77777777" w:rsidR="00B64E78" w:rsidRDefault="00DA46A9">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7DAB6726" w14:textId="77777777" w:rsidR="00B64E78" w:rsidRDefault="00DA46A9">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33A11FDB" w14:textId="77777777" w:rsidR="00B64E78" w:rsidRDefault="00B64E78">
      <w:pPr>
        <w:widowControl w:val="0"/>
        <w:tabs>
          <w:tab w:val="clear" w:pos="567"/>
        </w:tabs>
        <w:spacing w:line="240" w:lineRule="auto"/>
        <w:rPr>
          <w:snapToGrid/>
          <w:szCs w:val="22"/>
          <w:lang w:val="lt-LT"/>
        </w:rPr>
      </w:pPr>
    </w:p>
    <w:p w14:paraId="474FE28F" w14:textId="77777777" w:rsidR="00B64E78" w:rsidRDefault="00DA46A9">
      <w:pPr>
        <w:widowControl w:val="0"/>
        <w:tabs>
          <w:tab w:val="clear" w:pos="567"/>
        </w:tabs>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50 mg/850 mg plėvele dengtos tabletės</w:t>
      </w:r>
    </w:p>
    <w:p w14:paraId="5EB36529" w14:textId="77777777" w:rsidR="00B64E78" w:rsidRDefault="00DA46A9">
      <w:pPr>
        <w:widowControl w:val="0"/>
        <w:tabs>
          <w:tab w:val="clear" w:pos="567"/>
        </w:tabs>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50 mg/1000 mg plėvele dengtos tabletės</w:t>
      </w:r>
    </w:p>
    <w:p w14:paraId="233CAE3D" w14:textId="77777777" w:rsidR="00B64E78" w:rsidRDefault="00B64E78">
      <w:pPr>
        <w:widowControl w:val="0"/>
        <w:tabs>
          <w:tab w:val="clear" w:pos="567"/>
        </w:tabs>
        <w:spacing w:line="240" w:lineRule="auto"/>
        <w:rPr>
          <w:snapToGrid/>
          <w:szCs w:val="22"/>
          <w:lang w:val="lt-LT"/>
        </w:rPr>
      </w:pPr>
    </w:p>
    <w:p w14:paraId="69F5138E" w14:textId="77777777" w:rsidR="00B64E78" w:rsidRDefault="00B64E78">
      <w:pPr>
        <w:widowControl w:val="0"/>
        <w:tabs>
          <w:tab w:val="clear" w:pos="567"/>
        </w:tabs>
        <w:spacing w:line="240" w:lineRule="auto"/>
        <w:rPr>
          <w:snapToGrid/>
          <w:szCs w:val="22"/>
          <w:lang w:val="lt-LT"/>
        </w:rPr>
      </w:pPr>
    </w:p>
    <w:p w14:paraId="79FC0DAB" w14:textId="77777777" w:rsidR="00B64E78" w:rsidRDefault="00DA46A9">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55A54637" w14:textId="77777777" w:rsidR="00B64E78" w:rsidRDefault="00B64E78">
      <w:pPr>
        <w:widowControl w:val="0"/>
        <w:tabs>
          <w:tab w:val="clear" w:pos="567"/>
        </w:tabs>
        <w:spacing w:line="240" w:lineRule="auto"/>
        <w:rPr>
          <w:snapToGrid/>
          <w:szCs w:val="22"/>
          <w:lang w:val="lt-LT"/>
        </w:rPr>
      </w:pPr>
    </w:p>
    <w:p w14:paraId="408397CD" w14:textId="77777777" w:rsidR="00B64E78" w:rsidRDefault="00DA46A9">
      <w:pPr>
        <w:widowControl w:val="0"/>
        <w:tabs>
          <w:tab w:val="clear" w:pos="567"/>
        </w:tabs>
        <w:autoSpaceDE w:val="0"/>
        <w:autoSpaceDN w:val="0"/>
        <w:adjustRightInd w:val="0"/>
        <w:spacing w:line="240" w:lineRule="auto"/>
        <w:rPr>
          <w:snapToGrid/>
          <w:color w:val="000000"/>
          <w:szCs w:val="22"/>
          <w:u w:val="single"/>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mg/850 mg plėvele dengtos tabletės</w:t>
      </w:r>
    </w:p>
    <w:p w14:paraId="13637BE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850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7E100155" w14:textId="77777777" w:rsidR="00C81F45" w:rsidRDefault="00C81F45">
      <w:pPr>
        <w:widowControl w:val="0"/>
        <w:tabs>
          <w:tab w:val="clear" w:pos="567"/>
        </w:tabs>
        <w:autoSpaceDE w:val="0"/>
        <w:autoSpaceDN w:val="0"/>
        <w:adjustRightInd w:val="0"/>
        <w:spacing w:line="240" w:lineRule="auto"/>
        <w:rPr>
          <w:rFonts w:eastAsia="TimesNewRoman"/>
          <w:snapToGrid/>
          <w:szCs w:val="22"/>
          <w:lang w:val="lt-LT"/>
        </w:rPr>
      </w:pPr>
    </w:p>
    <w:p w14:paraId="6A95EE83" w14:textId="77777777" w:rsidR="00B64E78" w:rsidRDefault="00DA46A9">
      <w:pPr>
        <w:widowControl w:val="0"/>
        <w:tabs>
          <w:tab w:val="clear" w:pos="567"/>
        </w:tabs>
        <w:autoSpaceDE w:val="0"/>
        <w:autoSpaceDN w:val="0"/>
        <w:adjustRightInd w:val="0"/>
        <w:spacing w:line="240" w:lineRule="auto"/>
        <w:rPr>
          <w:snapToGrid/>
          <w:color w:val="000000"/>
          <w:szCs w:val="22"/>
          <w:u w:val="single"/>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mg/1000 mg plėvele dengtos tabletės</w:t>
      </w:r>
    </w:p>
    <w:p w14:paraId="14EC195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1000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4095F5B4"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3FFC9F7" w14:textId="77777777" w:rsidR="00B64E78" w:rsidRDefault="00DA46A9">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16F3DED3" w14:textId="77777777" w:rsidR="00B64E78" w:rsidRDefault="00B64E78">
      <w:pPr>
        <w:widowControl w:val="0"/>
        <w:tabs>
          <w:tab w:val="clear" w:pos="567"/>
        </w:tabs>
        <w:spacing w:line="240" w:lineRule="auto"/>
        <w:ind w:left="567" w:hanging="567"/>
        <w:rPr>
          <w:snapToGrid/>
          <w:szCs w:val="22"/>
          <w:lang w:val="lt-LT"/>
        </w:rPr>
      </w:pPr>
    </w:p>
    <w:p w14:paraId="24B8132E" w14:textId="77777777" w:rsidR="00B64E78" w:rsidRDefault="00B64E78">
      <w:pPr>
        <w:widowControl w:val="0"/>
        <w:tabs>
          <w:tab w:val="clear" w:pos="567"/>
        </w:tabs>
        <w:spacing w:line="240" w:lineRule="auto"/>
        <w:ind w:left="567" w:hanging="567"/>
        <w:rPr>
          <w:snapToGrid/>
          <w:szCs w:val="22"/>
          <w:lang w:val="lt-LT"/>
        </w:rPr>
      </w:pPr>
    </w:p>
    <w:p w14:paraId="44C48CF9" w14:textId="77777777" w:rsidR="00B64E78" w:rsidRDefault="00DA46A9">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43610E50" w14:textId="77777777" w:rsidR="00B64E78" w:rsidRDefault="00B64E78">
      <w:pPr>
        <w:widowControl w:val="0"/>
        <w:tabs>
          <w:tab w:val="clear" w:pos="567"/>
        </w:tabs>
        <w:spacing w:line="240" w:lineRule="auto"/>
        <w:rPr>
          <w:snapToGrid/>
          <w:szCs w:val="22"/>
          <w:highlight w:val="yellow"/>
          <w:lang w:val="lt-LT"/>
        </w:rPr>
      </w:pPr>
    </w:p>
    <w:p w14:paraId="7D6EF571" w14:textId="77777777" w:rsidR="00B64E78" w:rsidRDefault="00DA46A9">
      <w:pPr>
        <w:widowControl w:val="0"/>
        <w:tabs>
          <w:tab w:val="clear" w:pos="567"/>
        </w:tabs>
        <w:spacing w:line="240" w:lineRule="auto"/>
        <w:rPr>
          <w:snapToGrid/>
          <w:szCs w:val="22"/>
          <w:lang w:val="lt-LT"/>
        </w:rPr>
      </w:pPr>
      <w:r>
        <w:rPr>
          <w:snapToGrid/>
          <w:szCs w:val="22"/>
          <w:lang w:val="lt-LT"/>
        </w:rPr>
        <w:t>Plėvele dengta tabletė (tabletė)</w:t>
      </w:r>
    </w:p>
    <w:p w14:paraId="24CADCD9" w14:textId="77777777" w:rsidR="00B64E78" w:rsidRDefault="00B64E78">
      <w:pPr>
        <w:widowControl w:val="0"/>
        <w:tabs>
          <w:tab w:val="clear" w:pos="567"/>
        </w:tabs>
        <w:spacing w:line="240" w:lineRule="auto"/>
        <w:rPr>
          <w:snapToGrid/>
          <w:szCs w:val="22"/>
          <w:lang w:val="lt-LT"/>
        </w:rPr>
      </w:pPr>
    </w:p>
    <w:p w14:paraId="158740C9" w14:textId="77777777" w:rsidR="00B64E78" w:rsidRDefault="00DA46A9">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mg/850 mg plėvele dengtos tabletės</w:t>
      </w:r>
      <w:r>
        <w:rPr>
          <w:snapToGrid/>
          <w:color w:val="000000"/>
          <w:szCs w:val="22"/>
          <w:lang w:val="lt-LT"/>
        </w:rPr>
        <w:t>: rausvos, ovalios, abipus išgaubtos, plėvele dengtos tabletės, vienoje tabletės pusėje yra žyma „C4“ (matmenys − maždaug 20 x 11 mm).</w:t>
      </w:r>
    </w:p>
    <w:p w14:paraId="230063CC" w14:textId="77777777" w:rsidR="00C81F45" w:rsidRDefault="00C81F45">
      <w:pPr>
        <w:widowControl w:val="0"/>
        <w:tabs>
          <w:tab w:val="clear" w:pos="567"/>
        </w:tabs>
        <w:autoSpaceDE w:val="0"/>
        <w:autoSpaceDN w:val="0"/>
        <w:adjustRightInd w:val="0"/>
        <w:spacing w:line="240" w:lineRule="auto"/>
        <w:rPr>
          <w:snapToGrid/>
          <w:szCs w:val="22"/>
          <w:lang w:val="lt-LT"/>
        </w:rPr>
      </w:pPr>
    </w:p>
    <w:p w14:paraId="00CD0B3B"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mg/1000 mg plėvele dengtos tabletės</w:t>
      </w:r>
      <w:r>
        <w:rPr>
          <w:snapToGrid/>
          <w:color w:val="000000"/>
          <w:szCs w:val="22"/>
          <w:lang w:val="lt-LT"/>
        </w:rPr>
        <w:t>: tamsiai rausvos, ovalios, abipus išgaubtos, plėvele dengtos tabletės, vienoje tabletės pusėje yra žyma „C3“ (matmenys − maždaug 21 x 11 mm).</w:t>
      </w:r>
    </w:p>
    <w:p w14:paraId="5534905A" w14:textId="77777777" w:rsidR="00B64E78" w:rsidRDefault="00B64E78">
      <w:pPr>
        <w:widowControl w:val="0"/>
        <w:tabs>
          <w:tab w:val="clear" w:pos="567"/>
        </w:tabs>
        <w:spacing w:line="240" w:lineRule="auto"/>
        <w:ind w:left="567" w:hanging="567"/>
        <w:rPr>
          <w:snapToGrid/>
          <w:szCs w:val="22"/>
          <w:lang w:val="lt-LT"/>
        </w:rPr>
      </w:pPr>
    </w:p>
    <w:p w14:paraId="5C92B632" w14:textId="77777777" w:rsidR="00B64E78" w:rsidRDefault="00B64E78">
      <w:pPr>
        <w:widowControl w:val="0"/>
        <w:tabs>
          <w:tab w:val="clear" w:pos="567"/>
        </w:tabs>
        <w:spacing w:line="240" w:lineRule="auto"/>
        <w:ind w:left="567" w:hanging="567"/>
        <w:rPr>
          <w:snapToGrid/>
          <w:szCs w:val="22"/>
          <w:lang w:val="lt-LT"/>
        </w:rPr>
      </w:pPr>
    </w:p>
    <w:p w14:paraId="036477E1" w14:textId="77777777" w:rsidR="00B64E78" w:rsidRDefault="00DA46A9">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4057B2CD" w14:textId="77777777" w:rsidR="00B64E78" w:rsidRDefault="00B64E78">
      <w:pPr>
        <w:widowControl w:val="0"/>
        <w:tabs>
          <w:tab w:val="clear" w:pos="567"/>
        </w:tabs>
        <w:spacing w:line="240" w:lineRule="auto"/>
        <w:ind w:left="567" w:hanging="567"/>
        <w:rPr>
          <w:snapToGrid/>
          <w:szCs w:val="22"/>
          <w:lang w:val="lt-LT"/>
        </w:rPr>
      </w:pPr>
    </w:p>
    <w:p w14:paraId="7F7347EC"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049B26B1" w14:textId="77777777" w:rsidR="00B64E78" w:rsidRDefault="00B64E78">
      <w:pPr>
        <w:widowControl w:val="0"/>
        <w:tabs>
          <w:tab w:val="clear" w:pos="567"/>
        </w:tabs>
        <w:spacing w:line="240" w:lineRule="auto"/>
        <w:ind w:left="567" w:hanging="567"/>
        <w:rPr>
          <w:snapToGrid/>
          <w:szCs w:val="22"/>
          <w:lang w:val="lt-LT"/>
        </w:rPr>
      </w:pPr>
    </w:p>
    <w:p w14:paraId="4F2814D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skirtas vartoti 2 tipo cukriniu diabetu sergantiems suaugusiems pacientams.</w:t>
      </w:r>
    </w:p>
    <w:p w14:paraId="4FB35876"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E558C1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skirtas papildomam gydymui, taikant dietą ir fizinį krūvį, siekiant pagerinti </w:t>
      </w:r>
      <w:proofErr w:type="spellStart"/>
      <w:r>
        <w:rPr>
          <w:rFonts w:eastAsia="TimesNewRoman"/>
          <w:snapToGrid/>
          <w:szCs w:val="22"/>
          <w:lang w:val="lt-LT"/>
        </w:rPr>
        <w:t>glikemijos</w:t>
      </w:r>
      <w:proofErr w:type="spellEnd"/>
      <w:r>
        <w:rPr>
          <w:rFonts w:eastAsia="TimesNewRoman"/>
          <w:snapToGrid/>
          <w:szCs w:val="22"/>
          <w:lang w:val="lt-LT"/>
        </w:rPr>
        <w:t xml:space="preserve"> sureguliavimą pacientams, kurių </w:t>
      </w:r>
      <w:proofErr w:type="spellStart"/>
      <w:r>
        <w:rPr>
          <w:rFonts w:eastAsia="TimesNewRoman"/>
          <w:snapToGrid/>
          <w:szCs w:val="22"/>
          <w:lang w:val="lt-LT"/>
        </w:rPr>
        <w:t>glikemija</w:t>
      </w:r>
      <w:proofErr w:type="spellEnd"/>
      <w:r>
        <w:rPr>
          <w:rFonts w:eastAsia="TimesNewRoman"/>
          <w:snapToGrid/>
          <w:szCs w:val="22"/>
          <w:lang w:val="lt-LT"/>
        </w:rPr>
        <w:t xml:space="preserve"> nėra pakankamai sureguliuota vien didžiausia toleruojama </w:t>
      </w:r>
      <w:proofErr w:type="spellStart"/>
      <w:r>
        <w:rPr>
          <w:rFonts w:eastAsia="TimesNewRoman"/>
          <w:snapToGrid/>
          <w:szCs w:val="22"/>
          <w:lang w:val="lt-LT"/>
        </w:rPr>
        <w:t>metformino</w:t>
      </w:r>
      <w:proofErr w:type="spellEnd"/>
      <w:r>
        <w:rPr>
          <w:rFonts w:eastAsia="TimesNewRoman"/>
          <w:snapToGrid/>
          <w:szCs w:val="22"/>
          <w:lang w:val="lt-LT"/>
        </w:rPr>
        <w:t xml:space="preserve"> doze arba kurie jau vartoja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derinį.</w:t>
      </w:r>
    </w:p>
    <w:p w14:paraId="22EC5DC5"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60D61B5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derinys su </w:t>
      </w:r>
      <w:proofErr w:type="spellStart"/>
      <w:r>
        <w:rPr>
          <w:rFonts w:eastAsia="TimesNewRoman"/>
          <w:snapToGrid/>
          <w:szCs w:val="22"/>
          <w:lang w:val="lt-LT"/>
        </w:rPr>
        <w:t>sulfonilurėjos</w:t>
      </w:r>
      <w:proofErr w:type="spellEnd"/>
      <w:r>
        <w:rPr>
          <w:rFonts w:eastAsia="TimesNewRoman"/>
          <w:snapToGrid/>
          <w:szCs w:val="22"/>
          <w:lang w:val="lt-LT"/>
        </w:rPr>
        <w:t xml:space="preserve"> dariniu (t. y. trijų vaistinių preparatų derinys) skirtas papildomam gydymui, taikant dietą ir fizinį krūvį pacientams, kurių </w:t>
      </w:r>
      <w:proofErr w:type="spellStart"/>
      <w:r>
        <w:rPr>
          <w:rFonts w:eastAsia="TimesNewRoman"/>
          <w:snapToGrid/>
          <w:szCs w:val="22"/>
          <w:lang w:val="lt-LT"/>
        </w:rPr>
        <w:t>glikemija</w:t>
      </w:r>
      <w:proofErr w:type="spellEnd"/>
      <w:r>
        <w:rPr>
          <w:rFonts w:eastAsia="TimesNewRoman"/>
          <w:snapToGrid/>
          <w:szCs w:val="22"/>
          <w:lang w:val="lt-LT"/>
        </w:rPr>
        <w:t xml:space="preserve"> nėra pakankamai kontroliuojama didžiausiomis toleruojamomis </w:t>
      </w:r>
      <w:proofErr w:type="spellStart"/>
      <w:r>
        <w:rPr>
          <w:rFonts w:eastAsia="TimesNewRoman"/>
          <w:snapToGrid/>
          <w:szCs w:val="22"/>
          <w:lang w:val="lt-LT"/>
        </w:rPr>
        <w:t>metformino</w:t>
      </w:r>
      <w:proofErr w:type="spellEnd"/>
      <w:r>
        <w:rPr>
          <w:rFonts w:eastAsia="TimesNewRoman"/>
          <w:snapToGrid/>
          <w:szCs w:val="22"/>
          <w:lang w:val="lt-LT"/>
        </w:rPr>
        <w:t xml:space="preserve"> ir </w:t>
      </w:r>
      <w:proofErr w:type="spellStart"/>
      <w:r>
        <w:rPr>
          <w:rFonts w:eastAsia="TimesNewRoman"/>
          <w:snapToGrid/>
          <w:szCs w:val="22"/>
          <w:lang w:val="lt-LT"/>
        </w:rPr>
        <w:t>sulfonilurėjos</w:t>
      </w:r>
      <w:proofErr w:type="spellEnd"/>
      <w:r>
        <w:rPr>
          <w:rFonts w:eastAsia="TimesNewRoman"/>
          <w:snapToGrid/>
          <w:szCs w:val="22"/>
          <w:lang w:val="lt-LT"/>
        </w:rPr>
        <w:t xml:space="preserve"> darinio dozėmis.</w:t>
      </w:r>
    </w:p>
    <w:p w14:paraId="10E4C5F6"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338B158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skiriamas gydant trijų vaistinių preparatų deriniu, kai vartojama </w:t>
      </w:r>
      <w:proofErr w:type="spellStart"/>
      <w:r>
        <w:rPr>
          <w:rFonts w:eastAsia="TimesNewRoman"/>
          <w:snapToGrid/>
          <w:szCs w:val="22"/>
          <w:lang w:val="lt-LT"/>
        </w:rPr>
        <w:t>peroksisomos</w:t>
      </w:r>
      <w:proofErr w:type="spellEnd"/>
      <w:r>
        <w:rPr>
          <w:rFonts w:eastAsia="TimesNewRoman"/>
          <w:snapToGrid/>
          <w:szCs w:val="22"/>
          <w:lang w:val="lt-LT"/>
        </w:rPr>
        <w:t xml:space="preserve"> </w:t>
      </w:r>
      <w:proofErr w:type="spellStart"/>
      <w:r>
        <w:rPr>
          <w:rFonts w:eastAsia="TimesNewRoman"/>
          <w:snapToGrid/>
          <w:szCs w:val="22"/>
          <w:lang w:val="lt-LT"/>
        </w:rPr>
        <w:t>proliferatoriaus</w:t>
      </w:r>
      <w:proofErr w:type="spellEnd"/>
      <w:r>
        <w:rPr>
          <w:rFonts w:eastAsia="TimesNewRoman"/>
          <w:snapToGrid/>
          <w:szCs w:val="22"/>
          <w:lang w:val="lt-LT"/>
        </w:rPr>
        <w:t xml:space="preserve"> aktyvuojamų gama receptorių (</w:t>
      </w:r>
      <w:proofErr w:type="spellStart"/>
      <w:r>
        <w:rPr>
          <w:rFonts w:eastAsia="TimesNewRoman"/>
          <w:snapToGrid/>
          <w:szCs w:val="22"/>
          <w:lang w:val="lt-LT"/>
        </w:rPr>
        <w:t>PPARγ</w:t>
      </w:r>
      <w:proofErr w:type="spellEnd"/>
      <w:r>
        <w:rPr>
          <w:rFonts w:eastAsia="TimesNewRoman"/>
          <w:snapToGrid/>
          <w:szCs w:val="22"/>
          <w:lang w:val="lt-LT"/>
        </w:rPr>
        <w:t xml:space="preserve">) </w:t>
      </w:r>
      <w:proofErr w:type="spellStart"/>
      <w:r>
        <w:rPr>
          <w:rFonts w:eastAsia="TimesNewRoman"/>
          <w:snapToGrid/>
          <w:szCs w:val="22"/>
          <w:lang w:val="lt-LT"/>
        </w:rPr>
        <w:t>agonisto</w:t>
      </w:r>
      <w:proofErr w:type="spellEnd"/>
      <w:r>
        <w:rPr>
          <w:rFonts w:eastAsia="TimesNewRoman"/>
          <w:snapToGrid/>
          <w:szCs w:val="22"/>
          <w:lang w:val="lt-LT"/>
        </w:rPr>
        <w:t xml:space="preserve"> (t. y. </w:t>
      </w:r>
      <w:proofErr w:type="spellStart"/>
      <w:r>
        <w:rPr>
          <w:rFonts w:eastAsia="TimesNewRoman"/>
          <w:snapToGrid/>
          <w:szCs w:val="22"/>
          <w:lang w:val="lt-LT"/>
        </w:rPr>
        <w:t>tiazolidinediono</w:t>
      </w:r>
      <w:proofErr w:type="spellEnd"/>
      <w:r>
        <w:rPr>
          <w:rFonts w:eastAsia="TimesNewRoman"/>
          <w:snapToGrid/>
          <w:szCs w:val="22"/>
          <w:lang w:val="lt-LT"/>
        </w:rPr>
        <w:t xml:space="preserve">), gydymui dieta ir fiziniu krūviu papildyti pacientams, kurių </w:t>
      </w:r>
      <w:proofErr w:type="spellStart"/>
      <w:r>
        <w:rPr>
          <w:rFonts w:eastAsia="TimesNewRoman"/>
          <w:snapToGrid/>
          <w:szCs w:val="22"/>
          <w:lang w:val="lt-LT"/>
        </w:rPr>
        <w:t>glikemija</w:t>
      </w:r>
      <w:proofErr w:type="spellEnd"/>
      <w:r>
        <w:rPr>
          <w:rFonts w:eastAsia="TimesNewRoman"/>
          <w:snapToGrid/>
          <w:szCs w:val="22"/>
          <w:lang w:val="lt-LT"/>
        </w:rPr>
        <w:t xml:space="preserve"> nėra pakankamai sureguliuojama didžiausiomis toleruojamomis </w:t>
      </w:r>
      <w:proofErr w:type="spellStart"/>
      <w:r>
        <w:rPr>
          <w:rFonts w:eastAsia="TimesNewRoman"/>
          <w:snapToGrid/>
          <w:szCs w:val="22"/>
          <w:lang w:val="lt-LT"/>
        </w:rPr>
        <w:t>metformino</w:t>
      </w:r>
      <w:proofErr w:type="spellEnd"/>
      <w:r>
        <w:rPr>
          <w:rFonts w:eastAsia="TimesNewRoman"/>
          <w:snapToGrid/>
          <w:szCs w:val="22"/>
          <w:lang w:val="lt-LT"/>
        </w:rPr>
        <w:t xml:space="preserve"> ir </w:t>
      </w:r>
      <w:proofErr w:type="spellStart"/>
      <w:r>
        <w:rPr>
          <w:rFonts w:eastAsia="TimesNewRoman"/>
          <w:snapToGrid/>
          <w:szCs w:val="22"/>
          <w:lang w:val="lt-LT"/>
        </w:rPr>
        <w:t>PPARγ</w:t>
      </w:r>
      <w:proofErr w:type="spellEnd"/>
      <w:r>
        <w:rPr>
          <w:rFonts w:eastAsia="TimesNewRoman"/>
          <w:snapToGrid/>
          <w:szCs w:val="22"/>
          <w:lang w:val="lt-LT"/>
        </w:rPr>
        <w:t xml:space="preserve"> </w:t>
      </w:r>
      <w:proofErr w:type="spellStart"/>
      <w:r>
        <w:rPr>
          <w:rFonts w:eastAsia="TimesNewRoman"/>
          <w:snapToGrid/>
          <w:szCs w:val="22"/>
          <w:lang w:val="lt-LT"/>
        </w:rPr>
        <w:t>agonisto</w:t>
      </w:r>
      <w:proofErr w:type="spellEnd"/>
      <w:r>
        <w:rPr>
          <w:rFonts w:eastAsia="TimesNewRoman"/>
          <w:snapToGrid/>
          <w:szCs w:val="22"/>
          <w:lang w:val="lt-LT"/>
        </w:rPr>
        <w:t xml:space="preserve"> dozėmis.</w:t>
      </w:r>
    </w:p>
    <w:p w14:paraId="79C6C259"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91AC166" w14:textId="77777777" w:rsidR="00B64E78" w:rsidRDefault="00DA46A9">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 xml:space="preserve">Be to, </w:t>
      </w:r>
      <w:proofErr w:type="spellStart"/>
      <w:r>
        <w:rPr>
          <w:rFonts w:eastAsia="TimesNewRoman"/>
          <w:snapToGrid/>
          <w:szCs w:val="22"/>
          <w:lang w:val="lt-LT"/>
        </w:rPr>
        <w:t>Maymetsi</w:t>
      </w:r>
      <w:proofErr w:type="spellEnd"/>
      <w:r>
        <w:rPr>
          <w:rFonts w:eastAsia="TimesNewRoman"/>
          <w:snapToGrid/>
          <w:szCs w:val="22"/>
          <w:lang w:val="lt-LT"/>
        </w:rPr>
        <w:t xml:space="preserve"> pridėtiniam gydymui kartu su insulinu (t. y. gydant trijų vaistinių preparatų deriniu) gydymui dieta ir fiziniu krūviu papildyti, siekiant pagerinti </w:t>
      </w:r>
      <w:proofErr w:type="spellStart"/>
      <w:r>
        <w:rPr>
          <w:rFonts w:eastAsia="TimesNewRoman"/>
          <w:snapToGrid/>
          <w:szCs w:val="22"/>
          <w:lang w:val="lt-LT"/>
        </w:rPr>
        <w:t>glikemijos</w:t>
      </w:r>
      <w:proofErr w:type="spellEnd"/>
      <w:r>
        <w:rPr>
          <w:rFonts w:eastAsia="TimesNewRoman"/>
          <w:snapToGrid/>
          <w:szCs w:val="22"/>
          <w:lang w:val="lt-LT"/>
        </w:rPr>
        <w:t xml:space="preserve"> sureguliavimą pacientams, kuriems vien pastovios insulino ir </w:t>
      </w:r>
      <w:proofErr w:type="spellStart"/>
      <w:r>
        <w:rPr>
          <w:rFonts w:eastAsia="TimesNewRoman"/>
          <w:snapToGrid/>
          <w:szCs w:val="22"/>
          <w:lang w:val="lt-LT"/>
        </w:rPr>
        <w:t>metformino</w:t>
      </w:r>
      <w:proofErr w:type="spellEnd"/>
      <w:r>
        <w:rPr>
          <w:rFonts w:eastAsia="TimesNewRoman"/>
          <w:snapToGrid/>
          <w:szCs w:val="22"/>
          <w:lang w:val="lt-LT"/>
        </w:rPr>
        <w:t xml:space="preserve"> dozės neužtikrina reikiamo </w:t>
      </w:r>
      <w:proofErr w:type="spellStart"/>
      <w:r>
        <w:rPr>
          <w:rFonts w:eastAsia="TimesNewRoman"/>
          <w:snapToGrid/>
          <w:szCs w:val="22"/>
          <w:lang w:val="lt-LT"/>
        </w:rPr>
        <w:t>glikemijos</w:t>
      </w:r>
      <w:proofErr w:type="spellEnd"/>
      <w:r>
        <w:rPr>
          <w:rFonts w:eastAsia="TimesNewRoman"/>
          <w:snapToGrid/>
          <w:szCs w:val="22"/>
          <w:lang w:val="lt-LT"/>
        </w:rPr>
        <w:t xml:space="preserve"> sureguliavimo.</w:t>
      </w:r>
    </w:p>
    <w:p w14:paraId="727A43A3" w14:textId="77777777" w:rsidR="00B64E78" w:rsidRDefault="00B64E78">
      <w:pPr>
        <w:widowControl w:val="0"/>
        <w:tabs>
          <w:tab w:val="clear" w:pos="567"/>
        </w:tabs>
        <w:autoSpaceDE w:val="0"/>
        <w:autoSpaceDN w:val="0"/>
        <w:adjustRightInd w:val="0"/>
        <w:spacing w:line="240" w:lineRule="auto"/>
        <w:rPr>
          <w:snapToGrid/>
          <w:szCs w:val="22"/>
          <w:lang w:val="lt-LT"/>
        </w:rPr>
      </w:pPr>
    </w:p>
    <w:p w14:paraId="5781BF65" w14:textId="77777777" w:rsidR="00B64E78" w:rsidRDefault="00DA46A9">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27987736" w14:textId="77777777" w:rsidR="00B64E78" w:rsidRDefault="00B64E78">
      <w:pPr>
        <w:widowControl w:val="0"/>
        <w:tabs>
          <w:tab w:val="clear" w:pos="567"/>
        </w:tabs>
        <w:spacing w:line="240" w:lineRule="auto"/>
        <w:ind w:left="567" w:hanging="567"/>
        <w:rPr>
          <w:bCs/>
          <w:snapToGrid/>
          <w:szCs w:val="22"/>
          <w:lang w:val="lt-LT"/>
        </w:rPr>
      </w:pPr>
    </w:p>
    <w:p w14:paraId="1F220D37" w14:textId="77777777" w:rsidR="00B64E78" w:rsidRDefault="00DA46A9">
      <w:pPr>
        <w:widowControl w:val="0"/>
        <w:tabs>
          <w:tab w:val="clear" w:pos="567"/>
        </w:tabs>
        <w:spacing w:line="240" w:lineRule="auto"/>
        <w:rPr>
          <w:u w:val="single"/>
          <w:lang w:val="lt-LT"/>
        </w:rPr>
      </w:pPr>
      <w:r>
        <w:rPr>
          <w:u w:val="single"/>
          <w:lang w:val="lt-LT"/>
        </w:rPr>
        <w:t>Dozavimas</w:t>
      </w:r>
    </w:p>
    <w:p w14:paraId="7861AC1A" w14:textId="77777777" w:rsidR="00B64E78" w:rsidRDefault="00DA46A9">
      <w:pPr>
        <w:widowControl w:val="0"/>
        <w:tabs>
          <w:tab w:val="clear" w:pos="567"/>
        </w:tabs>
        <w:spacing w:line="240" w:lineRule="auto"/>
        <w:rPr>
          <w:lang w:val="lt-LT"/>
        </w:rPr>
      </w:pPr>
      <w:proofErr w:type="spellStart"/>
      <w:r>
        <w:rPr>
          <w:lang w:val="lt-LT"/>
        </w:rPr>
        <w:t>Glikemiją</w:t>
      </w:r>
      <w:proofErr w:type="spellEnd"/>
      <w:r>
        <w:rPr>
          <w:lang w:val="lt-LT"/>
        </w:rPr>
        <w:t xml:space="preserve"> mažinančiam gydymui skiriama </w:t>
      </w:r>
      <w:proofErr w:type="spellStart"/>
      <w:r>
        <w:rPr>
          <w:lang w:val="lt-LT"/>
        </w:rPr>
        <w:t>Maymetsi</w:t>
      </w:r>
      <w:proofErr w:type="spellEnd"/>
      <w:r>
        <w:rPr>
          <w:lang w:val="lt-LT"/>
        </w:rPr>
        <w:t xml:space="preserve"> dozė pacientui turi būti parinkta individualiai atsižvelgiant į taikomo gydymo schemą, veiksmingumą ir toleravimą bei neviršijant didžiausios rekomenduojamos 100 mg </w:t>
      </w:r>
      <w:proofErr w:type="spellStart"/>
      <w:r>
        <w:rPr>
          <w:lang w:val="lt-LT"/>
        </w:rPr>
        <w:t>sitagliptino</w:t>
      </w:r>
      <w:proofErr w:type="spellEnd"/>
      <w:r>
        <w:rPr>
          <w:lang w:val="lt-LT"/>
        </w:rPr>
        <w:t xml:space="preserve"> paros dozės.</w:t>
      </w:r>
    </w:p>
    <w:p w14:paraId="56145954" w14:textId="77777777" w:rsidR="00B64E78" w:rsidRDefault="00B64E78">
      <w:pPr>
        <w:widowControl w:val="0"/>
        <w:tabs>
          <w:tab w:val="clear" w:pos="567"/>
        </w:tabs>
        <w:spacing w:line="240" w:lineRule="auto"/>
        <w:rPr>
          <w:lang w:val="lt-LT"/>
        </w:rPr>
      </w:pPr>
    </w:p>
    <w:p w14:paraId="65B3DD54" w14:textId="77777777" w:rsidR="00B64E78" w:rsidRDefault="00B64E78">
      <w:pPr>
        <w:widowControl w:val="0"/>
        <w:tabs>
          <w:tab w:val="clear" w:pos="567"/>
        </w:tabs>
        <w:spacing w:line="240" w:lineRule="auto"/>
        <w:rPr>
          <w:lang w:val="lt-LT"/>
        </w:rPr>
      </w:pPr>
    </w:p>
    <w:p w14:paraId="403EDC59" w14:textId="77777777" w:rsidR="00B64E78" w:rsidRDefault="00DA46A9">
      <w:pPr>
        <w:widowControl w:val="0"/>
        <w:tabs>
          <w:tab w:val="clear" w:pos="567"/>
        </w:tabs>
        <w:spacing w:line="240" w:lineRule="auto"/>
        <w:rPr>
          <w:b/>
          <w:i/>
          <w:iCs/>
          <w:lang w:val="lt-LT"/>
        </w:rPr>
      </w:pPr>
      <w:r>
        <w:rPr>
          <w:b/>
          <w:i/>
          <w:iCs/>
          <w:lang w:val="lt-LT"/>
        </w:rPr>
        <w:t>Suaugusieji, kurių inkstų funkcija normali (GFG ≥ 90 ml/min.)</w:t>
      </w:r>
    </w:p>
    <w:p w14:paraId="46980D56" w14:textId="77777777" w:rsidR="00B64E78" w:rsidRDefault="00B64E78">
      <w:pPr>
        <w:widowControl w:val="0"/>
        <w:tabs>
          <w:tab w:val="clear" w:pos="567"/>
        </w:tabs>
        <w:spacing w:line="240" w:lineRule="auto"/>
        <w:rPr>
          <w:lang w:val="lt-LT"/>
        </w:rPr>
      </w:pPr>
    </w:p>
    <w:p w14:paraId="52446F43" w14:textId="77777777" w:rsidR="00B64E78" w:rsidRDefault="00DA46A9">
      <w:pPr>
        <w:widowControl w:val="0"/>
        <w:tabs>
          <w:tab w:val="clear" w:pos="567"/>
        </w:tabs>
        <w:spacing w:line="240" w:lineRule="auto"/>
        <w:rPr>
          <w:u w:val="single"/>
          <w:lang w:val="lt-LT"/>
        </w:rPr>
      </w:pPr>
      <w:r>
        <w:rPr>
          <w:u w:val="single"/>
          <w:lang w:val="lt-LT"/>
        </w:rPr>
        <w:t xml:space="preserve">Pacientai, kurių liga vartojant vien didžiausią toleruojamą </w:t>
      </w:r>
      <w:proofErr w:type="spellStart"/>
      <w:r>
        <w:rPr>
          <w:u w:val="single"/>
          <w:lang w:val="lt-LT"/>
        </w:rPr>
        <w:t>metformino</w:t>
      </w:r>
      <w:proofErr w:type="spellEnd"/>
      <w:r>
        <w:rPr>
          <w:u w:val="single"/>
          <w:lang w:val="lt-LT"/>
        </w:rPr>
        <w:t xml:space="preserve"> dozę kontroliuojama nepakankamai</w:t>
      </w:r>
    </w:p>
    <w:p w14:paraId="266D4112" w14:textId="77777777" w:rsidR="00B64E78" w:rsidRDefault="00DA46A9">
      <w:pPr>
        <w:widowControl w:val="0"/>
        <w:tabs>
          <w:tab w:val="clear" w:pos="567"/>
        </w:tabs>
        <w:spacing w:line="240" w:lineRule="auto"/>
        <w:rPr>
          <w:lang w:val="lt-LT"/>
        </w:rPr>
      </w:pPr>
      <w:r>
        <w:rPr>
          <w:lang w:val="lt-LT"/>
        </w:rPr>
        <w:t xml:space="preserve">Pacientams, kurių liga vartojant vien </w:t>
      </w:r>
      <w:proofErr w:type="spellStart"/>
      <w:r>
        <w:rPr>
          <w:lang w:val="lt-LT"/>
        </w:rPr>
        <w:t>metformino</w:t>
      </w:r>
      <w:proofErr w:type="spellEnd"/>
      <w:r>
        <w:rPr>
          <w:lang w:val="lt-LT"/>
        </w:rPr>
        <w:t xml:space="preserve"> kontroliuojama nepakankamai, įprastinė pradinė dozė turi būti po 50 mg </w:t>
      </w:r>
      <w:proofErr w:type="spellStart"/>
      <w:r>
        <w:rPr>
          <w:lang w:val="lt-LT"/>
        </w:rPr>
        <w:t>sitagliptino</w:t>
      </w:r>
      <w:proofErr w:type="spellEnd"/>
      <w:r>
        <w:rPr>
          <w:lang w:val="lt-LT"/>
        </w:rPr>
        <w:t xml:space="preserve"> du kartus per parą (paros dozė 100 mg) kartu su jau vartojama </w:t>
      </w:r>
      <w:proofErr w:type="spellStart"/>
      <w:r>
        <w:rPr>
          <w:lang w:val="lt-LT"/>
        </w:rPr>
        <w:t>metformino</w:t>
      </w:r>
      <w:proofErr w:type="spellEnd"/>
      <w:r>
        <w:rPr>
          <w:lang w:val="lt-LT"/>
        </w:rPr>
        <w:t xml:space="preserve"> doze.</w:t>
      </w:r>
    </w:p>
    <w:p w14:paraId="48662050" w14:textId="77777777" w:rsidR="00B64E78" w:rsidRDefault="00B64E78">
      <w:pPr>
        <w:widowControl w:val="0"/>
        <w:tabs>
          <w:tab w:val="clear" w:pos="567"/>
        </w:tabs>
        <w:spacing w:line="240" w:lineRule="auto"/>
        <w:rPr>
          <w:lang w:val="lt-LT"/>
        </w:rPr>
      </w:pPr>
    </w:p>
    <w:p w14:paraId="10F26F90" w14:textId="77777777" w:rsidR="00B64E78" w:rsidRDefault="00DA46A9">
      <w:pPr>
        <w:widowControl w:val="0"/>
        <w:tabs>
          <w:tab w:val="clear" w:pos="567"/>
        </w:tabs>
        <w:spacing w:line="240" w:lineRule="auto"/>
        <w:rPr>
          <w:u w:val="single"/>
          <w:lang w:val="lt-LT"/>
        </w:rPr>
      </w:pPr>
      <w:r>
        <w:rPr>
          <w:u w:val="single"/>
          <w:lang w:val="lt-LT"/>
        </w:rPr>
        <w:t xml:space="preserve">Pacientai, kuriems gydymas atskirais kartu vartojamais </w:t>
      </w:r>
      <w:proofErr w:type="spellStart"/>
      <w:r>
        <w:rPr>
          <w:u w:val="single"/>
          <w:lang w:val="lt-LT"/>
        </w:rPr>
        <w:t>sitagliptino</w:t>
      </w:r>
      <w:proofErr w:type="spellEnd"/>
      <w:r>
        <w:rPr>
          <w:u w:val="single"/>
          <w:lang w:val="lt-LT"/>
        </w:rPr>
        <w:t xml:space="preserve"> ir </w:t>
      </w:r>
      <w:proofErr w:type="spellStart"/>
      <w:r>
        <w:rPr>
          <w:u w:val="single"/>
          <w:lang w:val="lt-LT"/>
        </w:rPr>
        <w:t>metformino</w:t>
      </w:r>
      <w:proofErr w:type="spellEnd"/>
      <w:r>
        <w:rPr>
          <w:u w:val="single"/>
          <w:lang w:val="lt-LT"/>
        </w:rPr>
        <w:t xml:space="preserve"> vaistiniais preparatais keičiamas į gydymą </w:t>
      </w:r>
      <w:proofErr w:type="spellStart"/>
      <w:r>
        <w:rPr>
          <w:u w:val="single"/>
          <w:lang w:val="lt-LT"/>
        </w:rPr>
        <w:t>Maymetsi</w:t>
      </w:r>
      <w:proofErr w:type="spellEnd"/>
      <w:r>
        <w:rPr>
          <w:u w:val="single"/>
          <w:lang w:val="lt-LT"/>
        </w:rPr>
        <w:t>.</w:t>
      </w:r>
    </w:p>
    <w:p w14:paraId="3FAE9A44" w14:textId="77777777" w:rsidR="00B64E78" w:rsidRDefault="00DA46A9">
      <w:pPr>
        <w:widowControl w:val="0"/>
        <w:tabs>
          <w:tab w:val="clear" w:pos="567"/>
        </w:tabs>
        <w:spacing w:line="240" w:lineRule="auto"/>
        <w:rPr>
          <w:lang w:val="lt-LT"/>
        </w:rPr>
      </w:pPr>
      <w:r>
        <w:rPr>
          <w:lang w:val="lt-LT"/>
        </w:rPr>
        <w:t xml:space="preserve">Pacientai, kuriems gydymas atskirais </w:t>
      </w:r>
      <w:r>
        <w:rPr>
          <w:u w:val="single"/>
          <w:lang w:val="lt-LT"/>
        </w:rPr>
        <w:t xml:space="preserve">kartu vartojamais </w:t>
      </w:r>
      <w:proofErr w:type="spellStart"/>
      <w:r>
        <w:rPr>
          <w:lang w:val="lt-LT"/>
        </w:rPr>
        <w:t>sitagliptino</w:t>
      </w:r>
      <w:proofErr w:type="spellEnd"/>
      <w:r>
        <w:rPr>
          <w:lang w:val="lt-LT"/>
        </w:rPr>
        <w:t xml:space="preserve"> ir </w:t>
      </w:r>
      <w:proofErr w:type="spellStart"/>
      <w:r>
        <w:rPr>
          <w:lang w:val="lt-LT"/>
        </w:rPr>
        <w:t>metformino</w:t>
      </w:r>
      <w:proofErr w:type="spellEnd"/>
      <w:r>
        <w:rPr>
          <w:lang w:val="lt-LT"/>
        </w:rPr>
        <w:t xml:space="preserve"> vaistiniais preparatais keičiamas, </w:t>
      </w:r>
      <w:proofErr w:type="spellStart"/>
      <w:r>
        <w:rPr>
          <w:lang w:val="lt-LT"/>
        </w:rPr>
        <w:t>Maymetsi</w:t>
      </w:r>
      <w:proofErr w:type="spellEnd"/>
      <w:r>
        <w:rPr>
          <w:lang w:val="lt-LT"/>
        </w:rPr>
        <w:t xml:space="preserve"> reikia pradėti vartoti doze, atitinkančia vartojamas </w:t>
      </w:r>
      <w:proofErr w:type="spellStart"/>
      <w:r>
        <w:rPr>
          <w:lang w:val="lt-LT"/>
        </w:rPr>
        <w:t>sitagliptino</w:t>
      </w:r>
      <w:proofErr w:type="spellEnd"/>
      <w:r>
        <w:rPr>
          <w:lang w:val="lt-LT"/>
        </w:rPr>
        <w:t xml:space="preserve"> ir </w:t>
      </w:r>
      <w:proofErr w:type="spellStart"/>
      <w:r>
        <w:rPr>
          <w:lang w:val="lt-LT"/>
        </w:rPr>
        <w:t>metformino</w:t>
      </w:r>
      <w:proofErr w:type="spellEnd"/>
      <w:r>
        <w:rPr>
          <w:lang w:val="lt-LT"/>
        </w:rPr>
        <w:t xml:space="preserve"> dozes.</w:t>
      </w:r>
    </w:p>
    <w:p w14:paraId="2860E9F6" w14:textId="77777777" w:rsidR="00B64E78" w:rsidRDefault="00B64E78">
      <w:pPr>
        <w:widowControl w:val="0"/>
        <w:tabs>
          <w:tab w:val="clear" w:pos="567"/>
        </w:tabs>
        <w:spacing w:line="240" w:lineRule="auto"/>
        <w:rPr>
          <w:lang w:val="lt-LT"/>
        </w:rPr>
      </w:pPr>
    </w:p>
    <w:p w14:paraId="28FC523E" w14:textId="77777777" w:rsidR="00B64E78" w:rsidRDefault="00DA46A9">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 xml:space="preserve">liga nepakankamai kontroliuojama didžiausiomis toleruojamomis </w:t>
      </w:r>
      <w:proofErr w:type="spellStart"/>
      <w:r>
        <w:rPr>
          <w:rFonts w:eastAsia="TimesNewRoman"/>
          <w:snapToGrid/>
          <w:szCs w:val="22"/>
          <w:u w:val="single"/>
          <w:lang w:val="lt-LT"/>
        </w:rPr>
        <w:t>metformino</w:t>
      </w:r>
      <w:proofErr w:type="spellEnd"/>
      <w:r>
        <w:rPr>
          <w:rFonts w:eastAsia="TimesNewRoman"/>
          <w:snapToGrid/>
          <w:szCs w:val="22"/>
          <w:u w:val="single"/>
          <w:lang w:val="lt-LT"/>
        </w:rPr>
        <w:t xml:space="preserve"> ir </w:t>
      </w:r>
      <w:proofErr w:type="spellStart"/>
      <w:r>
        <w:rPr>
          <w:rFonts w:eastAsia="TimesNewRoman"/>
          <w:snapToGrid/>
          <w:szCs w:val="22"/>
          <w:u w:val="single"/>
          <w:lang w:val="lt-LT"/>
        </w:rPr>
        <w:t>sulfonilkarbamido</w:t>
      </w:r>
      <w:proofErr w:type="spellEnd"/>
      <w:r>
        <w:rPr>
          <w:rFonts w:eastAsia="TimesNewRoman"/>
          <w:snapToGrid/>
          <w:szCs w:val="22"/>
          <w:u w:val="single"/>
          <w:lang w:val="lt-LT"/>
        </w:rPr>
        <w:t xml:space="preserve"> dozėmis</w:t>
      </w:r>
    </w:p>
    <w:p w14:paraId="72EBE020" w14:textId="77777777" w:rsidR="00B64E78" w:rsidRDefault="00DA46A9">
      <w:pPr>
        <w:widowControl w:val="0"/>
        <w:tabs>
          <w:tab w:val="clear" w:pos="567"/>
        </w:tabs>
        <w:spacing w:line="240" w:lineRule="auto"/>
        <w:rPr>
          <w:lang w:val="lt-LT"/>
        </w:rPr>
      </w:pPr>
      <w:proofErr w:type="spellStart"/>
      <w:r>
        <w:rPr>
          <w:lang w:val="lt-LT"/>
        </w:rPr>
        <w:t>Sitagliptino</w:t>
      </w:r>
      <w:proofErr w:type="spellEnd"/>
      <w:r>
        <w:rPr>
          <w:lang w:val="lt-LT"/>
        </w:rPr>
        <w:t xml:space="preserve"> dozė turi būti po 50 mg du kartus per parą (paros dozė 100 mg), o </w:t>
      </w:r>
      <w:proofErr w:type="spellStart"/>
      <w:r>
        <w:rPr>
          <w:lang w:val="lt-LT"/>
        </w:rPr>
        <w:t>metformino</w:t>
      </w:r>
      <w:proofErr w:type="spellEnd"/>
      <w:r>
        <w:rPr>
          <w:lang w:val="lt-LT"/>
        </w:rPr>
        <w:t xml:space="preserve"> dozė turi būti panaši į jau vartojamą dozę. </w:t>
      </w:r>
      <w:proofErr w:type="spellStart"/>
      <w:r>
        <w:rPr>
          <w:lang w:val="lt-LT"/>
        </w:rPr>
        <w:t>Maymetsi</w:t>
      </w:r>
      <w:proofErr w:type="spellEnd"/>
      <w:r>
        <w:rPr>
          <w:lang w:val="lt-LT"/>
        </w:rPr>
        <w:t xml:space="preserve"> vartojant kartu su </w:t>
      </w:r>
      <w:proofErr w:type="spellStart"/>
      <w:r>
        <w:rPr>
          <w:lang w:val="lt-LT"/>
        </w:rPr>
        <w:t>sulfonilkarbamidu</w:t>
      </w:r>
      <w:proofErr w:type="spellEnd"/>
      <w:r>
        <w:rPr>
          <w:lang w:val="lt-LT"/>
        </w:rPr>
        <w:t xml:space="preserve">, gali reikėti sumažinti </w:t>
      </w:r>
      <w:proofErr w:type="spellStart"/>
      <w:r>
        <w:rPr>
          <w:rFonts w:eastAsia="TimesNewRoman"/>
          <w:snapToGrid/>
          <w:szCs w:val="22"/>
          <w:lang w:val="lt-LT"/>
        </w:rPr>
        <w:t>sulfonilkarbamido</w:t>
      </w:r>
      <w:proofErr w:type="spellEnd"/>
      <w:r>
        <w:rPr>
          <w:rFonts w:eastAsia="TimesNewRoman"/>
          <w:snapToGrid/>
          <w:szCs w:val="22"/>
          <w:u w:val="single"/>
          <w:lang w:val="lt-LT"/>
        </w:rPr>
        <w:t xml:space="preserve"> </w:t>
      </w:r>
      <w:r>
        <w:rPr>
          <w:lang w:val="lt-LT"/>
        </w:rPr>
        <w:t>dozę, kad sumažėtų hipoglikemijos pasireiškimo rizika (žr. 4.4 skyrių).</w:t>
      </w:r>
    </w:p>
    <w:p w14:paraId="5E021007" w14:textId="77777777" w:rsidR="00B64E78" w:rsidRDefault="00B64E78">
      <w:pPr>
        <w:widowControl w:val="0"/>
        <w:tabs>
          <w:tab w:val="clear" w:pos="567"/>
        </w:tabs>
        <w:spacing w:line="240" w:lineRule="auto"/>
        <w:rPr>
          <w:lang w:val="lt-LT"/>
        </w:rPr>
      </w:pPr>
    </w:p>
    <w:p w14:paraId="102DC5AC" w14:textId="77777777" w:rsidR="00B64E78" w:rsidRDefault="00DA46A9">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 xml:space="preserve">liga nepakankamai kontroliuojama didžiausiomis toleruojamomis </w:t>
      </w:r>
      <w:proofErr w:type="spellStart"/>
      <w:r>
        <w:rPr>
          <w:rFonts w:eastAsia="TimesNewRoman"/>
          <w:snapToGrid/>
          <w:szCs w:val="22"/>
          <w:u w:val="single"/>
          <w:lang w:val="lt-LT"/>
        </w:rPr>
        <w:t>metformino</w:t>
      </w:r>
      <w:proofErr w:type="spellEnd"/>
      <w:r>
        <w:rPr>
          <w:rFonts w:eastAsia="TimesNewRoman"/>
          <w:snapToGrid/>
          <w:szCs w:val="22"/>
          <w:u w:val="single"/>
          <w:lang w:val="lt-LT"/>
        </w:rPr>
        <w:t xml:space="preserve"> ir </w:t>
      </w:r>
      <w:proofErr w:type="spellStart"/>
      <w:r>
        <w:rPr>
          <w:rFonts w:eastAsia="TimesNewRoman"/>
          <w:snapToGrid/>
          <w:szCs w:val="22"/>
          <w:u w:val="single"/>
          <w:lang w:val="lt-LT"/>
        </w:rPr>
        <w:t>PPARγ</w:t>
      </w:r>
      <w:proofErr w:type="spellEnd"/>
      <w:r>
        <w:rPr>
          <w:rFonts w:eastAsia="TimesNewRoman"/>
          <w:snapToGrid/>
          <w:szCs w:val="22"/>
          <w:u w:val="single"/>
          <w:lang w:val="lt-LT"/>
        </w:rPr>
        <w:t xml:space="preserve"> </w:t>
      </w:r>
      <w:proofErr w:type="spellStart"/>
      <w:r>
        <w:rPr>
          <w:rFonts w:eastAsia="TimesNewRoman"/>
          <w:snapToGrid/>
          <w:szCs w:val="22"/>
          <w:u w:val="single"/>
          <w:lang w:val="lt-LT"/>
        </w:rPr>
        <w:t>agonisto</w:t>
      </w:r>
      <w:proofErr w:type="spellEnd"/>
      <w:r>
        <w:rPr>
          <w:rFonts w:eastAsia="TimesNewRoman"/>
          <w:snapToGrid/>
          <w:szCs w:val="22"/>
          <w:u w:val="single"/>
          <w:lang w:val="lt-LT"/>
        </w:rPr>
        <w:t xml:space="preserve"> dozėmis</w:t>
      </w:r>
    </w:p>
    <w:p w14:paraId="470504E4" w14:textId="77777777" w:rsidR="00B64E78" w:rsidRDefault="00DA46A9">
      <w:pPr>
        <w:widowControl w:val="0"/>
        <w:tabs>
          <w:tab w:val="clear" w:pos="567"/>
        </w:tabs>
        <w:spacing w:line="240" w:lineRule="auto"/>
        <w:rPr>
          <w:lang w:val="lt-LT"/>
        </w:rPr>
      </w:pPr>
      <w:proofErr w:type="spellStart"/>
      <w:r>
        <w:rPr>
          <w:lang w:val="lt-LT"/>
        </w:rPr>
        <w:t>Sitagliptino</w:t>
      </w:r>
      <w:proofErr w:type="spellEnd"/>
      <w:r>
        <w:rPr>
          <w:lang w:val="lt-LT"/>
        </w:rPr>
        <w:t xml:space="preserve"> dozė turi būti po 50 mg du kartus per parą (paros dozė 100 mg), o </w:t>
      </w:r>
      <w:proofErr w:type="spellStart"/>
      <w:r>
        <w:rPr>
          <w:lang w:val="lt-LT"/>
        </w:rPr>
        <w:t>metformino</w:t>
      </w:r>
      <w:proofErr w:type="spellEnd"/>
      <w:r>
        <w:rPr>
          <w:lang w:val="lt-LT"/>
        </w:rPr>
        <w:t xml:space="preserve"> dozė turi būti panaši į jau vartojamą dozę.</w:t>
      </w:r>
    </w:p>
    <w:p w14:paraId="26997B84" w14:textId="77777777" w:rsidR="00B64E78" w:rsidRDefault="00B64E78">
      <w:pPr>
        <w:widowControl w:val="0"/>
        <w:tabs>
          <w:tab w:val="clear" w:pos="567"/>
        </w:tabs>
        <w:spacing w:line="240" w:lineRule="auto"/>
        <w:rPr>
          <w:lang w:val="lt-LT"/>
        </w:rPr>
      </w:pPr>
    </w:p>
    <w:p w14:paraId="692444E0" w14:textId="77777777" w:rsidR="00B64E78" w:rsidRDefault="00DA46A9">
      <w:pPr>
        <w:widowControl w:val="0"/>
        <w:tabs>
          <w:tab w:val="clear" w:pos="567"/>
        </w:tabs>
        <w:spacing w:line="240" w:lineRule="auto"/>
        <w:rPr>
          <w:u w:val="single"/>
          <w:lang w:val="lt-LT"/>
        </w:rPr>
      </w:pPr>
      <w:r>
        <w:rPr>
          <w:u w:val="single"/>
          <w:lang w:val="lt-LT"/>
        </w:rPr>
        <w:t xml:space="preserve">Pacientai, kurių </w:t>
      </w:r>
      <w:r>
        <w:rPr>
          <w:rFonts w:eastAsia="TimesNewRoman"/>
          <w:snapToGrid/>
          <w:szCs w:val="22"/>
          <w:u w:val="single"/>
          <w:lang w:val="lt-LT"/>
        </w:rPr>
        <w:t>liga nepakankamai kontroliuojama vartojant du vaistinius preparatus (</w:t>
      </w:r>
      <w:r>
        <w:rPr>
          <w:u w:val="single"/>
          <w:lang w:val="lt-LT"/>
        </w:rPr>
        <w:t xml:space="preserve">insulinu ir didžiausia toleruojama </w:t>
      </w:r>
      <w:proofErr w:type="spellStart"/>
      <w:r>
        <w:rPr>
          <w:u w:val="single"/>
          <w:lang w:val="lt-LT"/>
        </w:rPr>
        <w:t>metformino</w:t>
      </w:r>
      <w:proofErr w:type="spellEnd"/>
      <w:r>
        <w:rPr>
          <w:u w:val="single"/>
          <w:lang w:val="lt-LT"/>
        </w:rPr>
        <w:t xml:space="preserve"> doze)</w:t>
      </w:r>
    </w:p>
    <w:p w14:paraId="2F7341FB" w14:textId="77777777" w:rsidR="00B64E78" w:rsidRDefault="00DA46A9">
      <w:pPr>
        <w:widowControl w:val="0"/>
        <w:tabs>
          <w:tab w:val="clear" w:pos="567"/>
        </w:tabs>
        <w:spacing w:line="240" w:lineRule="auto"/>
        <w:rPr>
          <w:lang w:val="lt-LT"/>
        </w:rPr>
      </w:pPr>
      <w:proofErr w:type="spellStart"/>
      <w:r>
        <w:rPr>
          <w:lang w:val="lt-LT"/>
        </w:rPr>
        <w:t>Sitagliptino</w:t>
      </w:r>
      <w:proofErr w:type="spellEnd"/>
      <w:r>
        <w:rPr>
          <w:lang w:val="lt-LT"/>
        </w:rPr>
        <w:t xml:space="preserve"> dozė turi būti po 50 mg du kartus per parą (paros dozė 100 mg), o </w:t>
      </w:r>
      <w:proofErr w:type="spellStart"/>
      <w:r>
        <w:rPr>
          <w:lang w:val="lt-LT"/>
        </w:rPr>
        <w:t>metformino</w:t>
      </w:r>
      <w:proofErr w:type="spellEnd"/>
      <w:r>
        <w:rPr>
          <w:lang w:val="lt-LT"/>
        </w:rPr>
        <w:t xml:space="preserve"> dozė turi būti panaši į jau vartojamą dozę. Jei </w:t>
      </w:r>
      <w:proofErr w:type="spellStart"/>
      <w:r>
        <w:rPr>
          <w:lang w:val="lt-LT"/>
        </w:rPr>
        <w:t>Maymetsi</w:t>
      </w:r>
      <w:proofErr w:type="spellEnd"/>
      <w:r>
        <w:rPr>
          <w:lang w:val="lt-LT"/>
        </w:rPr>
        <w:t xml:space="preserve"> vartojamas kartu su insulinu, siekiant sumažinti hipoglikemijos pasireiškimo riziką, gali reikėti skirti mažesnę insulino dozę (žr. 4.4 skyrių).</w:t>
      </w:r>
    </w:p>
    <w:p w14:paraId="73B716A4" w14:textId="77777777" w:rsidR="00B64E78" w:rsidRDefault="00B64E78">
      <w:pPr>
        <w:widowControl w:val="0"/>
        <w:tabs>
          <w:tab w:val="clear" w:pos="567"/>
        </w:tabs>
        <w:spacing w:line="240" w:lineRule="auto"/>
        <w:rPr>
          <w:lang w:val="lt-LT"/>
        </w:rPr>
      </w:pPr>
    </w:p>
    <w:p w14:paraId="51EC9753" w14:textId="77777777" w:rsidR="00B64E78" w:rsidRDefault="00DA46A9">
      <w:pPr>
        <w:widowControl w:val="0"/>
        <w:tabs>
          <w:tab w:val="clear" w:pos="567"/>
        </w:tabs>
        <w:spacing w:line="240" w:lineRule="auto"/>
        <w:rPr>
          <w:lang w:val="lt-LT"/>
        </w:rPr>
      </w:pPr>
      <w:r>
        <w:rPr>
          <w:lang w:val="lt-LT"/>
        </w:rPr>
        <w:t xml:space="preserve">Kad būtų galima vartoti skirtingas </w:t>
      </w:r>
      <w:proofErr w:type="spellStart"/>
      <w:r>
        <w:rPr>
          <w:lang w:val="lt-LT"/>
        </w:rPr>
        <w:t>metformino</w:t>
      </w:r>
      <w:proofErr w:type="spellEnd"/>
      <w:r>
        <w:rPr>
          <w:lang w:val="lt-LT"/>
        </w:rPr>
        <w:t xml:space="preserve"> dozes, tiekiamose </w:t>
      </w:r>
      <w:proofErr w:type="spellStart"/>
      <w:r>
        <w:rPr>
          <w:lang w:val="lt-LT"/>
        </w:rPr>
        <w:t>Maymetsi</w:t>
      </w:r>
      <w:proofErr w:type="spellEnd"/>
      <w:r>
        <w:rPr>
          <w:lang w:val="lt-LT"/>
        </w:rPr>
        <w:t xml:space="preserve"> tabletėse yra 50 mg </w:t>
      </w:r>
      <w:proofErr w:type="spellStart"/>
      <w:r>
        <w:rPr>
          <w:lang w:val="lt-LT"/>
        </w:rPr>
        <w:t>sitagliptino</w:t>
      </w:r>
      <w:proofErr w:type="spellEnd"/>
      <w:r>
        <w:rPr>
          <w:lang w:val="lt-LT"/>
        </w:rPr>
        <w:t xml:space="preserve"> ir 850 mg </w:t>
      </w:r>
      <w:proofErr w:type="spellStart"/>
      <w:r>
        <w:rPr>
          <w:lang w:val="lt-LT"/>
        </w:rPr>
        <w:t>metformino</w:t>
      </w:r>
      <w:proofErr w:type="spellEnd"/>
      <w:r>
        <w:rPr>
          <w:lang w:val="lt-LT"/>
        </w:rPr>
        <w:t xml:space="preserve"> hidrochlorido, arba 1000 mg </w:t>
      </w:r>
      <w:proofErr w:type="spellStart"/>
      <w:r>
        <w:rPr>
          <w:lang w:val="lt-LT"/>
        </w:rPr>
        <w:t>metformino</w:t>
      </w:r>
      <w:proofErr w:type="spellEnd"/>
      <w:r>
        <w:rPr>
          <w:lang w:val="lt-LT"/>
        </w:rPr>
        <w:t xml:space="preserve"> hidrochlorido.</w:t>
      </w:r>
    </w:p>
    <w:p w14:paraId="7C762DD4" w14:textId="77777777" w:rsidR="00B64E78" w:rsidRDefault="00B64E78">
      <w:pPr>
        <w:widowControl w:val="0"/>
        <w:tabs>
          <w:tab w:val="clear" w:pos="567"/>
        </w:tabs>
        <w:spacing w:line="240" w:lineRule="auto"/>
        <w:rPr>
          <w:lang w:val="lt-LT"/>
        </w:rPr>
      </w:pPr>
    </w:p>
    <w:p w14:paraId="5CC926AF" w14:textId="77777777" w:rsidR="00B64E78" w:rsidRDefault="00DA46A9">
      <w:pPr>
        <w:widowControl w:val="0"/>
        <w:tabs>
          <w:tab w:val="clear" w:pos="567"/>
        </w:tabs>
        <w:spacing w:line="240" w:lineRule="auto"/>
        <w:rPr>
          <w:lang w:val="lt-LT"/>
        </w:rPr>
      </w:pPr>
      <w:r>
        <w:rPr>
          <w:lang w:val="lt-LT"/>
        </w:rPr>
        <w:t>Visi pacientai turi toliau laikytis jiems rekomenduotos dietos ir tinkamai paskirstyti per parą suvartojamų angliavandenių kiekį.</w:t>
      </w:r>
    </w:p>
    <w:p w14:paraId="2BDDED67" w14:textId="77777777" w:rsidR="00B64E78" w:rsidRDefault="00B64E78">
      <w:pPr>
        <w:widowControl w:val="0"/>
        <w:tabs>
          <w:tab w:val="clear" w:pos="567"/>
        </w:tabs>
        <w:spacing w:line="240" w:lineRule="auto"/>
        <w:rPr>
          <w:lang w:val="lt-LT"/>
        </w:rPr>
      </w:pPr>
    </w:p>
    <w:p w14:paraId="7BE95C7C" w14:textId="77777777" w:rsidR="00B64E78" w:rsidRDefault="00DA46A9">
      <w:pPr>
        <w:widowControl w:val="0"/>
        <w:tabs>
          <w:tab w:val="clear" w:pos="567"/>
        </w:tabs>
        <w:spacing w:line="240" w:lineRule="auto"/>
        <w:rPr>
          <w:rFonts w:eastAsia="Calibri"/>
          <w:i/>
          <w:iCs/>
          <w:snapToGrid/>
          <w:szCs w:val="22"/>
          <w:lang w:val="lt-LT" w:eastAsia="lt-LT"/>
        </w:rPr>
      </w:pPr>
      <w:r>
        <w:rPr>
          <w:rFonts w:eastAsia="Calibri"/>
          <w:i/>
          <w:iCs/>
          <w:snapToGrid/>
          <w:szCs w:val="22"/>
          <w:lang w:val="lt-LT" w:eastAsia="lt-LT"/>
        </w:rPr>
        <w:t>Ypatingos populiacijos</w:t>
      </w:r>
    </w:p>
    <w:p w14:paraId="428DF99B" w14:textId="77777777" w:rsidR="00B64E78" w:rsidRDefault="00DA46A9">
      <w:pPr>
        <w:widowControl w:val="0"/>
        <w:tabs>
          <w:tab w:val="clear" w:pos="567"/>
        </w:tabs>
        <w:spacing w:line="240" w:lineRule="auto"/>
        <w:rPr>
          <w:i/>
          <w:iCs/>
          <w:color w:val="000000"/>
          <w:szCs w:val="22"/>
          <w:lang w:val="lt-LT"/>
        </w:rPr>
      </w:pPr>
      <w:r>
        <w:rPr>
          <w:i/>
          <w:iCs/>
          <w:color w:val="000000"/>
          <w:szCs w:val="22"/>
          <w:lang w:val="lt-LT"/>
        </w:rPr>
        <w:t>Pacientams, kurių inkstų funkcija sutrikusi</w:t>
      </w:r>
    </w:p>
    <w:p w14:paraId="5BAD9330" w14:textId="77777777" w:rsidR="00B64E78" w:rsidRDefault="00DA46A9">
      <w:pPr>
        <w:widowControl w:val="0"/>
        <w:tabs>
          <w:tab w:val="clear" w:pos="567"/>
        </w:tabs>
        <w:spacing w:line="240" w:lineRule="auto"/>
        <w:rPr>
          <w:lang w:val="lt-LT"/>
        </w:rPr>
      </w:pPr>
      <w:r>
        <w:rPr>
          <w:lang w:val="lt-LT"/>
        </w:rPr>
        <w:t>Pacientams, kuriems yra lengvas inkstų funkcijos sutrikimas (</w:t>
      </w:r>
      <w:proofErr w:type="spellStart"/>
      <w:r>
        <w:rPr>
          <w:lang w:val="lt-LT"/>
        </w:rPr>
        <w:t>glomerulų</w:t>
      </w:r>
      <w:proofErr w:type="spellEnd"/>
      <w:r>
        <w:rPr>
          <w:lang w:val="lt-LT"/>
        </w:rPr>
        <w:t xml:space="preserve"> filtracijos greitis [GFG] </w:t>
      </w:r>
      <w:r>
        <w:rPr>
          <w:lang w:val="lt-LT"/>
        </w:rPr>
        <w:sym w:font="Symbol" w:char="F0B3"/>
      </w:r>
      <w:r>
        <w:rPr>
          <w:lang w:val="lt-LT"/>
        </w:rPr>
        <w:t xml:space="preserve"> 60 ml/min.), dozės koreguoti nereikia. Prieš pradedant gydymą vaistiniais preparatais, kurių sudėtyje yra </w:t>
      </w:r>
      <w:proofErr w:type="spellStart"/>
      <w:r>
        <w:rPr>
          <w:lang w:val="lt-LT"/>
        </w:rPr>
        <w:t>metformino</w:t>
      </w:r>
      <w:proofErr w:type="spellEnd"/>
      <w:r>
        <w:rPr>
          <w:lang w:val="lt-LT"/>
        </w:rPr>
        <w:t>, ir po to ne rečiau kaip kasmet reikia vertinti GFG. Pacientams, kuriems yra padidėjusi inkstų funkcijos sutrikimo progresavimo rizika, ir senyviems žmonėms inkstų funkciją reikia vertinti dažniau, pvz., kas 3</w:t>
      </w:r>
      <w:r>
        <w:rPr>
          <w:lang w:val="lt-LT"/>
        </w:rPr>
        <w:noBreakHyphen/>
        <w:t>6 mėnesius.</w:t>
      </w:r>
    </w:p>
    <w:p w14:paraId="2CF47726" w14:textId="77777777" w:rsidR="00B64E78" w:rsidRDefault="00B64E78">
      <w:pPr>
        <w:widowControl w:val="0"/>
        <w:tabs>
          <w:tab w:val="clear" w:pos="567"/>
        </w:tabs>
        <w:spacing w:line="240" w:lineRule="auto"/>
        <w:rPr>
          <w:lang w:val="lt-LT"/>
        </w:rPr>
      </w:pPr>
    </w:p>
    <w:p w14:paraId="398BB70F" w14:textId="77777777" w:rsidR="00B64E78" w:rsidRDefault="00DA46A9">
      <w:pPr>
        <w:widowControl w:val="0"/>
        <w:tabs>
          <w:tab w:val="clear" w:pos="567"/>
        </w:tabs>
        <w:spacing w:line="240" w:lineRule="auto"/>
        <w:rPr>
          <w:lang w:val="lt-LT"/>
        </w:rPr>
      </w:pPr>
      <w:r>
        <w:rPr>
          <w:lang w:val="lt-LT"/>
        </w:rPr>
        <w:t xml:space="preserve">Rekomenduojama didžiausią </w:t>
      </w:r>
      <w:proofErr w:type="spellStart"/>
      <w:r>
        <w:rPr>
          <w:lang w:val="lt-LT"/>
        </w:rPr>
        <w:t>metformino</w:t>
      </w:r>
      <w:proofErr w:type="spellEnd"/>
      <w:r>
        <w:rPr>
          <w:lang w:val="lt-LT"/>
        </w:rPr>
        <w:t xml:space="preserve"> paros dozę dalyti į 2</w:t>
      </w:r>
      <w:r>
        <w:rPr>
          <w:lang w:val="lt-LT"/>
        </w:rPr>
        <w:noBreakHyphen/>
        <w:t xml:space="preserve">3 per parą suvartojamas dozes. Prieš svarstant galimybę pradėti gydymą </w:t>
      </w:r>
      <w:proofErr w:type="spellStart"/>
      <w:r>
        <w:rPr>
          <w:lang w:val="lt-LT"/>
        </w:rPr>
        <w:t>metforminu</w:t>
      </w:r>
      <w:proofErr w:type="spellEnd"/>
      <w:r>
        <w:rPr>
          <w:lang w:val="lt-LT"/>
        </w:rPr>
        <w:t xml:space="preserve"> pacientams, kurių GFG yra &lt; 60 ml/min., reikia įvertinti veiksnius, kurie gali didinti pieno rūgšties </w:t>
      </w:r>
      <w:proofErr w:type="spellStart"/>
      <w:r>
        <w:rPr>
          <w:lang w:val="lt-LT"/>
        </w:rPr>
        <w:t>acidozės</w:t>
      </w:r>
      <w:proofErr w:type="spellEnd"/>
      <w:r>
        <w:rPr>
          <w:lang w:val="lt-LT"/>
        </w:rPr>
        <w:t xml:space="preserve"> pasireiškimo riziką (žr. 4.4 skyrių).</w:t>
      </w:r>
    </w:p>
    <w:p w14:paraId="3FFA9483" w14:textId="77777777" w:rsidR="00B64E78" w:rsidRDefault="00B64E78">
      <w:pPr>
        <w:widowControl w:val="0"/>
        <w:tabs>
          <w:tab w:val="clear" w:pos="567"/>
        </w:tabs>
        <w:spacing w:line="240" w:lineRule="auto"/>
        <w:rPr>
          <w:lang w:val="lt-LT"/>
        </w:rPr>
      </w:pPr>
    </w:p>
    <w:p w14:paraId="0B204C2C" w14:textId="77777777" w:rsidR="00B64E78" w:rsidRDefault="00DA46A9">
      <w:pPr>
        <w:widowControl w:val="0"/>
        <w:tabs>
          <w:tab w:val="clear" w:pos="567"/>
        </w:tabs>
        <w:spacing w:line="240" w:lineRule="auto"/>
        <w:rPr>
          <w:lang w:val="lt-LT"/>
        </w:rPr>
      </w:pPr>
      <w:r>
        <w:rPr>
          <w:lang w:val="lt-LT"/>
        </w:rPr>
        <w:t xml:space="preserve">Jei nėra tinkamo </w:t>
      </w:r>
      <w:proofErr w:type="spellStart"/>
      <w:r>
        <w:rPr>
          <w:lang w:val="lt-LT"/>
        </w:rPr>
        <w:t>Maymetsi</w:t>
      </w:r>
      <w:proofErr w:type="spellEnd"/>
      <w:r>
        <w:rPr>
          <w:lang w:val="lt-LT"/>
        </w:rPr>
        <w:t xml:space="preserve"> stiprumo, vietoj fiksuotų dozių derinio reikia vartoti atskirus vienos veikliosios medžiagos vaistinius preparatus.</w:t>
      </w:r>
    </w:p>
    <w:p w14:paraId="7116DAA5" w14:textId="77777777" w:rsidR="00B64E78" w:rsidRDefault="00B64E78">
      <w:pPr>
        <w:widowControl w:val="0"/>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3899"/>
        <w:gridCol w:w="3376"/>
      </w:tblGrid>
      <w:tr w:rsidR="00B64E78" w14:paraId="50BC8473" w14:textId="77777777">
        <w:tc>
          <w:tcPr>
            <w:tcW w:w="1809" w:type="dxa"/>
          </w:tcPr>
          <w:p w14:paraId="14CEE1A8" w14:textId="77777777" w:rsidR="00B64E78" w:rsidRDefault="00DA46A9">
            <w:pPr>
              <w:rPr>
                <w:b/>
                <w:bCs/>
                <w:szCs w:val="22"/>
                <w:u w:val="single"/>
                <w:lang w:val="lt-LT"/>
              </w:rPr>
            </w:pPr>
            <w:r>
              <w:rPr>
                <w:b/>
                <w:bCs/>
                <w:szCs w:val="22"/>
                <w:u w:val="single"/>
                <w:lang w:val="lt-LT"/>
              </w:rPr>
              <w:t>GFG ml/min.</w:t>
            </w:r>
          </w:p>
        </w:tc>
        <w:tc>
          <w:tcPr>
            <w:tcW w:w="3969" w:type="dxa"/>
          </w:tcPr>
          <w:p w14:paraId="5FB3AB4B" w14:textId="77777777" w:rsidR="00B64E78" w:rsidRDefault="00DA46A9">
            <w:pPr>
              <w:autoSpaceDE w:val="0"/>
              <w:autoSpaceDN w:val="0"/>
              <w:adjustRightInd w:val="0"/>
              <w:rPr>
                <w:b/>
                <w:bCs/>
                <w:szCs w:val="22"/>
                <w:u w:val="single"/>
                <w:lang w:val="lt-LT"/>
              </w:rPr>
            </w:pPr>
            <w:r>
              <w:rPr>
                <w:b/>
                <w:bCs/>
                <w:szCs w:val="22"/>
                <w:u w:val="single"/>
                <w:lang w:val="lt-LT"/>
              </w:rPr>
              <w:t>Metforminas</w:t>
            </w:r>
          </w:p>
          <w:p w14:paraId="0ABF3E1B" w14:textId="77777777" w:rsidR="00B64E78" w:rsidRDefault="00B64E78">
            <w:pPr>
              <w:rPr>
                <w:b/>
                <w:bCs/>
                <w:szCs w:val="22"/>
                <w:u w:val="single"/>
                <w:lang w:val="lt-LT"/>
              </w:rPr>
            </w:pPr>
          </w:p>
        </w:tc>
        <w:tc>
          <w:tcPr>
            <w:tcW w:w="3433" w:type="dxa"/>
          </w:tcPr>
          <w:p w14:paraId="65BE4DD3" w14:textId="77777777" w:rsidR="00B64E78" w:rsidRDefault="00DA46A9">
            <w:pPr>
              <w:rPr>
                <w:b/>
                <w:bCs/>
                <w:szCs w:val="22"/>
                <w:u w:val="single"/>
                <w:lang w:val="lt-LT"/>
              </w:rPr>
            </w:pPr>
            <w:r>
              <w:rPr>
                <w:b/>
                <w:bCs/>
                <w:szCs w:val="22"/>
                <w:u w:val="single"/>
                <w:lang w:val="lt-LT"/>
              </w:rPr>
              <w:t>Sitagliptinas</w:t>
            </w:r>
          </w:p>
        </w:tc>
      </w:tr>
      <w:tr w:rsidR="00B64E78" w:rsidRPr="00317643" w14:paraId="0A6D61A3" w14:textId="77777777">
        <w:tc>
          <w:tcPr>
            <w:tcW w:w="1809" w:type="dxa"/>
          </w:tcPr>
          <w:p w14:paraId="6B31FFB9" w14:textId="77777777" w:rsidR="00B64E78" w:rsidRDefault="00DA46A9">
            <w:pPr>
              <w:widowControl w:val="0"/>
              <w:rPr>
                <w:szCs w:val="22"/>
                <w:lang w:val="lt-LT"/>
              </w:rPr>
            </w:pPr>
            <w:r>
              <w:rPr>
                <w:szCs w:val="22"/>
                <w:lang w:val="lt-LT"/>
              </w:rPr>
              <w:t>60-89</w:t>
            </w:r>
          </w:p>
        </w:tc>
        <w:tc>
          <w:tcPr>
            <w:tcW w:w="3969" w:type="dxa"/>
          </w:tcPr>
          <w:p w14:paraId="782C5523" w14:textId="77777777" w:rsidR="00B64E78" w:rsidRDefault="00DA46A9">
            <w:pPr>
              <w:widowControl w:val="0"/>
              <w:rPr>
                <w:i/>
                <w:iCs/>
                <w:szCs w:val="22"/>
                <w:lang w:val="lt-LT"/>
              </w:rPr>
            </w:pPr>
            <w:r>
              <w:rPr>
                <w:i/>
                <w:iCs/>
                <w:lang w:val="lt-LT"/>
              </w:rPr>
              <w:t xml:space="preserve">Didžiausia paros dozė yra </w:t>
            </w:r>
            <w:r>
              <w:rPr>
                <w:i/>
                <w:iCs/>
                <w:szCs w:val="22"/>
                <w:lang w:val="lt-LT"/>
              </w:rPr>
              <w:t>3000 mg.</w:t>
            </w:r>
          </w:p>
          <w:p w14:paraId="57CB2682" w14:textId="77777777" w:rsidR="00B64E78" w:rsidRDefault="00DA46A9">
            <w:pPr>
              <w:widowControl w:val="0"/>
              <w:rPr>
                <w:i/>
                <w:iCs/>
                <w:szCs w:val="22"/>
                <w:lang w:val="lt-LT"/>
              </w:rPr>
            </w:pPr>
            <w:r>
              <w:rPr>
                <w:i/>
                <w:iCs/>
                <w:lang w:val="lt-LT"/>
              </w:rPr>
              <w:lastRenderedPageBreak/>
              <w:t>Dėl silpnėjančios inkstų funkcijos galima apsvarstyti galimybę mažinti dozę</w:t>
            </w:r>
            <w:r>
              <w:rPr>
                <w:i/>
                <w:iCs/>
                <w:szCs w:val="22"/>
                <w:lang w:val="lt-LT"/>
              </w:rPr>
              <w:t>.</w:t>
            </w:r>
          </w:p>
        </w:tc>
        <w:tc>
          <w:tcPr>
            <w:tcW w:w="3433" w:type="dxa"/>
          </w:tcPr>
          <w:p w14:paraId="279140BD" w14:textId="77777777" w:rsidR="00B64E78" w:rsidRDefault="00DA46A9">
            <w:pPr>
              <w:widowControl w:val="0"/>
              <w:rPr>
                <w:i/>
                <w:iCs/>
                <w:szCs w:val="22"/>
                <w:lang w:val="lt-LT"/>
              </w:rPr>
            </w:pPr>
            <w:r>
              <w:rPr>
                <w:i/>
                <w:iCs/>
                <w:lang w:val="lt-LT"/>
              </w:rPr>
              <w:lastRenderedPageBreak/>
              <w:t xml:space="preserve">Didžiausia paros dozė yra </w:t>
            </w:r>
            <w:r>
              <w:rPr>
                <w:i/>
                <w:iCs/>
                <w:szCs w:val="22"/>
                <w:lang w:val="lt-LT"/>
              </w:rPr>
              <w:t>100 mg.</w:t>
            </w:r>
          </w:p>
        </w:tc>
      </w:tr>
      <w:tr w:rsidR="00B64E78" w:rsidRPr="00317643" w14:paraId="1D6B8213" w14:textId="77777777">
        <w:tc>
          <w:tcPr>
            <w:tcW w:w="1809" w:type="dxa"/>
          </w:tcPr>
          <w:p w14:paraId="21476EED" w14:textId="77777777" w:rsidR="00B64E78" w:rsidRDefault="00DA46A9">
            <w:pPr>
              <w:widowControl w:val="0"/>
              <w:rPr>
                <w:szCs w:val="22"/>
                <w:lang w:val="lt-LT"/>
              </w:rPr>
            </w:pPr>
            <w:r>
              <w:rPr>
                <w:szCs w:val="22"/>
                <w:lang w:val="lt-LT"/>
              </w:rPr>
              <w:t>45-59</w:t>
            </w:r>
          </w:p>
        </w:tc>
        <w:tc>
          <w:tcPr>
            <w:tcW w:w="3969" w:type="dxa"/>
          </w:tcPr>
          <w:p w14:paraId="4C77433A" w14:textId="77777777" w:rsidR="00B64E78" w:rsidRDefault="00DA46A9">
            <w:pPr>
              <w:widowControl w:val="0"/>
              <w:rPr>
                <w:i/>
                <w:iCs/>
                <w:szCs w:val="22"/>
                <w:lang w:val="lt-LT"/>
              </w:rPr>
            </w:pPr>
            <w:r>
              <w:rPr>
                <w:i/>
                <w:iCs/>
                <w:lang w:val="lt-LT"/>
              </w:rPr>
              <w:t xml:space="preserve">Didžiausia paros dozė yra </w:t>
            </w:r>
            <w:r>
              <w:rPr>
                <w:i/>
                <w:iCs/>
                <w:szCs w:val="22"/>
                <w:lang w:val="lt-LT"/>
              </w:rPr>
              <w:t>2000 mg.</w:t>
            </w:r>
          </w:p>
          <w:p w14:paraId="165AECB4" w14:textId="77777777" w:rsidR="00B64E78" w:rsidRDefault="00DA46A9">
            <w:pPr>
              <w:widowControl w:val="0"/>
              <w:rPr>
                <w:i/>
                <w:iCs/>
                <w:szCs w:val="22"/>
                <w:lang w:val="lt-LT"/>
              </w:rPr>
            </w:pPr>
            <w:r>
              <w:rPr>
                <w:i/>
                <w:iCs/>
                <w:lang w:val="lt-LT"/>
              </w:rPr>
              <w:t>Pradinė dozė yra ne daugiau kaip pusė didžiausios dozės</w:t>
            </w:r>
            <w:r>
              <w:rPr>
                <w:i/>
                <w:iCs/>
                <w:szCs w:val="22"/>
                <w:lang w:val="lt-LT"/>
              </w:rPr>
              <w:t>.</w:t>
            </w:r>
          </w:p>
        </w:tc>
        <w:tc>
          <w:tcPr>
            <w:tcW w:w="3433" w:type="dxa"/>
          </w:tcPr>
          <w:p w14:paraId="393766B2" w14:textId="77777777" w:rsidR="00B64E78" w:rsidRDefault="00DA46A9">
            <w:pPr>
              <w:widowControl w:val="0"/>
              <w:rPr>
                <w:i/>
                <w:iCs/>
                <w:szCs w:val="22"/>
                <w:lang w:val="lt-LT"/>
              </w:rPr>
            </w:pPr>
            <w:r>
              <w:rPr>
                <w:i/>
                <w:iCs/>
                <w:lang w:val="lt-LT"/>
              </w:rPr>
              <w:t xml:space="preserve">Didžiausia paros dozė yra </w:t>
            </w:r>
            <w:r>
              <w:rPr>
                <w:i/>
                <w:iCs/>
                <w:szCs w:val="22"/>
                <w:lang w:val="lt-LT"/>
              </w:rPr>
              <w:t>100 mg.</w:t>
            </w:r>
          </w:p>
        </w:tc>
      </w:tr>
      <w:tr w:rsidR="00B64E78" w:rsidRPr="00317643" w14:paraId="396CE172" w14:textId="77777777">
        <w:tc>
          <w:tcPr>
            <w:tcW w:w="1809" w:type="dxa"/>
          </w:tcPr>
          <w:p w14:paraId="4069CA59" w14:textId="77777777" w:rsidR="00B64E78" w:rsidRDefault="00DA46A9">
            <w:pPr>
              <w:widowControl w:val="0"/>
              <w:rPr>
                <w:iCs/>
                <w:szCs w:val="22"/>
                <w:lang w:val="lt-LT"/>
              </w:rPr>
            </w:pPr>
            <w:r>
              <w:rPr>
                <w:iCs/>
                <w:szCs w:val="22"/>
                <w:lang w:val="lt-LT"/>
              </w:rPr>
              <w:t>30-44</w:t>
            </w:r>
          </w:p>
        </w:tc>
        <w:tc>
          <w:tcPr>
            <w:tcW w:w="3969" w:type="dxa"/>
          </w:tcPr>
          <w:p w14:paraId="3584A20F" w14:textId="77777777" w:rsidR="00B64E78" w:rsidRDefault="00DA46A9">
            <w:pPr>
              <w:widowControl w:val="0"/>
              <w:rPr>
                <w:i/>
                <w:iCs/>
                <w:szCs w:val="22"/>
                <w:lang w:val="lt-LT"/>
              </w:rPr>
            </w:pPr>
            <w:r>
              <w:rPr>
                <w:i/>
                <w:iCs/>
                <w:lang w:val="lt-LT"/>
              </w:rPr>
              <w:t xml:space="preserve">Didžiausia paros dozė yra </w:t>
            </w:r>
            <w:r>
              <w:rPr>
                <w:i/>
                <w:iCs/>
                <w:szCs w:val="22"/>
                <w:lang w:val="lt-LT"/>
              </w:rPr>
              <w:t>1000 mg.</w:t>
            </w:r>
          </w:p>
          <w:p w14:paraId="3C49D83D" w14:textId="77777777" w:rsidR="00B64E78" w:rsidRDefault="00DA46A9">
            <w:pPr>
              <w:widowControl w:val="0"/>
              <w:rPr>
                <w:i/>
                <w:iCs/>
                <w:szCs w:val="22"/>
                <w:lang w:val="lt-LT"/>
              </w:rPr>
            </w:pPr>
            <w:r>
              <w:rPr>
                <w:i/>
                <w:iCs/>
                <w:lang w:val="lt-LT"/>
              </w:rPr>
              <w:t>Pradinė dozė yra ne daugiau kaip pusė didžiausios dozės</w:t>
            </w:r>
            <w:r>
              <w:rPr>
                <w:i/>
                <w:iCs/>
                <w:szCs w:val="22"/>
                <w:lang w:val="lt-LT"/>
              </w:rPr>
              <w:t>.</w:t>
            </w:r>
          </w:p>
        </w:tc>
        <w:tc>
          <w:tcPr>
            <w:tcW w:w="3433" w:type="dxa"/>
          </w:tcPr>
          <w:p w14:paraId="77F97E3D" w14:textId="77777777" w:rsidR="00B64E78" w:rsidRDefault="00DA46A9">
            <w:pPr>
              <w:widowControl w:val="0"/>
              <w:rPr>
                <w:i/>
                <w:iCs/>
                <w:szCs w:val="22"/>
                <w:lang w:val="lt-LT"/>
              </w:rPr>
            </w:pPr>
            <w:r>
              <w:rPr>
                <w:i/>
                <w:iCs/>
                <w:lang w:val="lt-LT"/>
              </w:rPr>
              <w:t xml:space="preserve">Didžiausia paros dozė yra </w:t>
            </w:r>
            <w:r>
              <w:rPr>
                <w:i/>
                <w:iCs/>
                <w:szCs w:val="22"/>
                <w:lang w:val="lt-LT"/>
              </w:rPr>
              <w:t>50 mg.</w:t>
            </w:r>
          </w:p>
        </w:tc>
      </w:tr>
      <w:tr w:rsidR="00B64E78" w:rsidRPr="00317643" w14:paraId="71E6F2B6" w14:textId="77777777">
        <w:tc>
          <w:tcPr>
            <w:tcW w:w="1809" w:type="dxa"/>
          </w:tcPr>
          <w:p w14:paraId="2111B2D9" w14:textId="77777777" w:rsidR="00B64E78" w:rsidRDefault="00DA46A9">
            <w:pPr>
              <w:widowControl w:val="0"/>
              <w:rPr>
                <w:iCs/>
                <w:szCs w:val="22"/>
                <w:lang w:val="lt-LT"/>
              </w:rPr>
            </w:pPr>
            <w:r>
              <w:rPr>
                <w:iCs/>
                <w:szCs w:val="22"/>
                <w:lang w:val="lt-LT"/>
              </w:rPr>
              <w:t>&lt; 30</w:t>
            </w:r>
          </w:p>
        </w:tc>
        <w:tc>
          <w:tcPr>
            <w:tcW w:w="3969" w:type="dxa"/>
          </w:tcPr>
          <w:p w14:paraId="3F06FFE8" w14:textId="77777777" w:rsidR="00B64E78" w:rsidRDefault="00DA46A9">
            <w:pPr>
              <w:widowControl w:val="0"/>
              <w:rPr>
                <w:i/>
                <w:iCs/>
                <w:szCs w:val="22"/>
                <w:lang w:val="lt-LT"/>
              </w:rPr>
            </w:pPr>
            <w:proofErr w:type="spellStart"/>
            <w:r>
              <w:rPr>
                <w:i/>
                <w:iCs/>
                <w:lang w:val="lt-LT"/>
              </w:rPr>
              <w:t>Metformino</w:t>
            </w:r>
            <w:proofErr w:type="spellEnd"/>
            <w:r>
              <w:rPr>
                <w:i/>
                <w:iCs/>
                <w:lang w:val="lt-LT"/>
              </w:rPr>
              <w:t xml:space="preserve"> vartoti draudžiama</w:t>
            </w:r>
            <w:r>
              <w:rPr>
                <w:i/>
                <w:iCs/>
                <w:szCs w:val="22"/>
                <w:lang w:val="lt-LT"/>
              </w:rPr>
              <w:t>.</w:t>
            </w:r>
          </w:p>
        </w:tc>
        <w:tc>
          <w:tcPr>
            <w:tcW w:w="3433" w:type="dxa"/>
          </w:tcPr>
          <w:p w14:paraId="0A942F4A" w14:textId="77777777" w:rsidR="00B64E78" w:rsidRDefault="00DA46A9">
            <w:pPr>
              <w:widowControl w:val="0"/>
              <w:rPr>
                <w:i/>
                <w:iCs/>
                <w:szCs w:val="22"/>
                <w:lang w:val="lt-LT"/>
              </w:rPr>
            </w:pPr>
            <w:r>
              <w:rPr>
                <w:i/>
                <w:iCs/>
                <w:lang w:val="lt-LT"/>
              </w:rPr>
              <w:t xml:space="preserve">Didžiausia paros dozė yra </w:t>
            </w:r>
            <w:r>
              <w:rPr>
                <w:i/>
                <w:iCs/>
                <w:szCs w:val="22"/>
                <w:lang w:val="lt-LT"/>
              </w:rPr>
              <w:t>25 mg.</w:t>
            </w:r>
          </w:p>
        </w:tc>
      </w:tr>
    </w:tbl>
    <w:p w14:paraId="43FA1F3C" w14:textId="77777777" w:rsidR="00B64E78" w:rsidRDefault="00B64E78">
      <w:pPr>
        <w:widowControl w:val="0"/>
        <w:tabs>
          <w:tab w:val="clear" w:pos="567"/>
        </w:tabs>
        <w:spacing w:line="240" w:lineRule="auto"/>
        <w:rPr>
          <w:snapToGrid/>
          <w:szCs w:val="22"/>
          <w:u w:val="single"/>
          <w:lang w:val="lt-LT"/>
        </w:rPr>
      </w:pPr>
    </w:p>
    <w:p w14:paraId="6D8D2905" w14:textId="77777777" w:rsidR="00B64E78" w:rsidRDefault="00DA46A9">
      <w:pPr>
        <w:widowControl w:val="0"/>
        <w:tabs>
          <w:tab w:val="clear" w:pos="567"/>
        </w:tabs>
        <w:spacing w:line="240" w:lineRule="auto"/>
        <w:rPr>
          <w:lang w:val="lt-LT"/>
        </w:rPr>
      </w:pPr>
      <w:r>
        <w:rPr>
          <w:lang w:val="lt-LT"/>
        </w:rPr>
        <w:t xml:space="preserve"> </w:t>
      </w:r>
      <w:r>
        <w:rPr>
          <w:i/>
          <w:lang w:val="lt-LT"/>
        </w:rPr>
        <w:t xml:space="preserve">Pacientams, kurių kepenų funkcija </w:t>
      </w:r>
      <w:proofErr w:type="spellStart"/>
      <w:r>
        <w:rPr>
          <w:i/>
          <w:lang w:val="lt-LT"/>
        </w:rPr>
        <w:t>sutrikusi</w:t>
      </w:r>
      <w:r>
        <w:rPr>
          <w:lang w:val="lt-LT"/>
        </w:rPr>
        <w:t>Maymetsi</w:t>
      </w:r>
      <w:proofErr w:type="spellEnd"/>
      <w:r>
        <w:rPr>
          <w:lang w:val="lt-LT"/>
        </w:rPr>
        <w:t xml:space="preserve"> negalima vartoti pacientams, kurių kepenų funkcija yra sutrikusi (žr. 5.2 skyrių).</w:t>
      </w:r>
    </w:p>
    <w:p w14:paraId="5B6B980E" w14:textId="77777777" w:rsidR="00B64E78" w:rsidRDefault="00B64E78">
      <w:pPr>
        <w:widowControl w:val="0"/>
        <w:tabs>
          <w:tab w:val="clear" w:pos="567"/>
        </w:tabs>
        <w:spacing w:line="240" w:lineRule="auto"/>
        <w:rPr>
          <w:lang w:val="lt-LT"/>
        </w:rPr>
      </w:pPr>
    </w:p>
    <w:p w14:paraId="49B53903" w14:textId="77777777" w:rsidR="00B64E78" w:rsidRDefault="00DA46A9">
      <w:pPr>
        <w:widowControl w:val="0"/>
        <w:tabs>
          <w:tab w:val="clear" w:pos="567"/>
        </w:tabs>
        <w:spacing w:line="240" w:lineRule="auto"/>
        <w:rPr>
          <w:i/>
          <w:lang w:val="lt-LT"/>
        </w:rPr>
      </w:pPr>
      <w:r>
        <w:rPr>
          <w:i/>
          <w:lang w:val="lt-LT"/>
        </w:rPr>
        <w:t>Senyviems pacientams</w:t>
      </w:r>
    </w:p>
    <w:p w14:paraId="4858FF75" w14:textId="77777777" w:rsidR="00B64E78" w:rsidRDefault="00DA46A9">
      <w:pPr>
        <w:widowControl w:val="0"/>
        <w:tabs>
          <w:tab w:val="clear" w:pos="567"/>
        </w:tabs>
        <w:spacing w:line="240" w:lineRule="auto"/>
        <w:rPr>
          <w:lang w:val="lt-LT"/>
        </w:rPr>
      </w:pPr>
      <w:r>
        <w:rPr>
          <w:lang w:val="lt-LT"/>
        </w:rPr>
        <w:t xml:space="preserve">Metforminas ir </w:t>
      </w:r>
      <w:proofErr w:type="spellStart"/>
      <w:r>
        <w:rPr>
          <w:lang w:val="lt-LT"/>
        </w:rPr>
        <w:t>sitagliptinas</w:t>
      </w:r>
      <w:proofErr w:type="spellEnd"/>
      <w:r>
        <w:rPr>
          <w:lang w:val="lt-LT"/>
        </w:rPr>
        <w:t xml:space="preserve"> išskiriami pro inkstus, todėl senstant </w:t>
      </w:r>
      <w:proofErr w:type="spellStart"/>
      <w:r>
        <w:rPr>
          <w:lang w:val="lt-LT"/>
        </w:rPr>
        <w:t>Maymetsi</w:t>
      </w:r>
      <w:proofErr w:type="spellEnd"/>
      <w:r>
        <w:rPr>
          <w:lang w:val="lt-LT"/>
        </w:rPr>
        <w:t xml:space="preserve"> reikia vartoti atsargiai. Būtina inkstų funkcijos stebėsena, kuri padėtų užkirsti kelią su </w:t>
      </w:r>
      <w:proofErr w:type="spellStart"/>
      <w:r>
        <w:rPr>
          <w:lang w:val="lt-LT"/>
        </w:rPr>
        <w:t>metformino</w:t>
      </w:r>
      <w:proofErr w:type="spellEnd"/>
      <w:r>
        <w:rPr>
          <w:lang w:val="lt-LT"/>
        </w:rPr>
        <w:t xml:space="preserve"> vartojimu susijusiai pieno rūgšties </w:t>
      </w:r>
      <w:proofErr w:type="spellStart"/>
      <w:r>
        <w:rPr>
          <w:lang w:val="lt-LT"/>
        </w:rPr>
        <w:t>acidozei</w:t>
      </w:r>
      <w:proofErr w:type="spellEnd"/>
      <w:r>
        <w:rPr>
          <w:lang w:val="lt-LT"/>
        </w:rPr>
        <w:t>, ypač senyviems žmonėms (žr. 4.3 ir 4.4 skyrius).</w:t>
      </w:r>
    </w:p>
    <w:p w14:paraId="194CFD67" w14:textId="77777777" w:rsidR="00B64E78" w:rsidRDefault="00B64E78">
      <w:pPr>
        <w:widowControl w:val="0"/>
        <w:tabs>
          <w:tab w:val="clear" w:pos="567"/>
        </w:tabs>
        <w:spacing w:line="240" w:lineRule="auto"/>
        <w:rPr>
          <w:lang w:val="lt-LT"/>
        </w:rPr>
      </w:pPr>
    </w:p>
    <w:p w14:paraId="39A2205A" w14:textId="77777777" w:rsidR="00B64E78" w:rsidRDefault="00DA46A9">
      <w:pPr>
        <w:widowControl w:val="0"/>
        <w:tabs>
          <w:tab w:val="clear" w:pos="567"/>
        </w:tabs>
        <w:spacing w:line="240" w:lineRule="auto"/>
        <w:rPr>
          <w:i/>
          <w:lang w:val="lt-LT"/>
        </w:rPr>
      </w:pPr>
      <w:r>
        <w:rPr>
          <w:i/>
          <w:lang w:val="lt-LT"/>
        </w:rPr>
        <w:t>Vaikų populiacija</w:t>
      </w:r>
    </w:p>
    <w:p w14:paraId="1BBFDE8F" w14:textId="77777777" w:rsidR="00B64E78" w:rsidRDefault="00DA46A9">
      <w:pPr>
        <w:widowControl w:val="0"/>
        <w:tabs>
          <w:tab w:val="clear" w:pos="567"/>
        </w:tabs>
        <w:spacing w:line="240" w:lineRule="auto"/>
        <w:rPr>
          <w:lang w:val="lt-LT"/>
        </w:rPr>
      </w:pPr>
      <w:proofErr w:type="spellStart"/>
      <w:r>
        <w:rPr>
          <w:lang w:val="lt-LT"/>
        </w:rPr>
        <w:t>Maymetsi</w:t>
      </w:r>
      <w:proofErr w:type="spellEnd"/>
      <w:r>
        <w:rPr>
          <w:lang w:val="lt-LT"/>
        </w:rPr>
        <w:t xml:space="preserve"> negalima vartoti vaikams ir paaugliams nuo 10 iki 17 metų, kadangi jiems veiksmingumas nepakankamas. Turimi duomenys pateikiami 4.8, 5.1 ir 5.2 skyriuose. </w:t>
      </w:r>
      <w:proofErr w:type="spellStart"/>
      <w:r>
        <w:rPr>
          <w:lang w:val="lt-LT"/>
        </w:rPr>
        <w:t>Maymetsi</w:t>
      </w:r>
      <w:proofErr w:type="spellEnd"/>
      <w:r>
        <w:rPr>
          <w:lang w:val="lt-LT"/>
        </w:rPr>
        <w:t xml:space="preserve"> poveikis jaunesniems kaip 10 metų vaikams neištirtas.</w:t>
      </w:r>
    </w:p>
    <w:p w14:paraId="2AC9E0D4" w14:textId="77777777" w:rsidR="00B64E78" w:rsidRDefault="00DA46A9">
      <w:pPr>
        <w:widowControl w:val="0"/>
        <w:tabs>
          <w:tab w:val="clear" w:pos="567"/>
        </w:tabs>
        <w:spacing w:line="240" w:lineRule="auto"/>
        <w:rPr>
          <w:u w:val="single"/>
          <w:lang w:val="lt-LT"/>
        </w:rPr>
      </w:pPr>
      <w:r>
        <w:rPr>
          <w:u w:val="single"/>
          <w:lang w:val="lt-LT"/>
        </w:rPr>
        <w:t>Vartojimo metodas</w:t>
      </w:r>
    </w:p>
    <w:p w14:paraId="1DC2E66E" w14:textId="77777777" w:rsidR="00B64E78" w:rsidRDefault="00DA46A9">
      <w:pPr>
        <w:widowControl w:val="0"/>
        <w:tabs>
          <w:tab w:val="clear" w:pos="567"/>
        </w:tabs>
        <w:spacing w:line="240" w:lineRule="auto"/>
        <w:rPr>
          <w:lang w:val="lt-LT"/>
        </w:rPr>
      </w:pPr>
      <w:proofErr w:type="spellStart"/>
      <w:r>
        <w:rPr>
          <w:lang w:val="lt-LT"/>
        </w:rPr>
        <w:t>Maymetsi</w:t>
      </w:r>
      <w:proofErr w:type="spellEnd"/>
      <w:r>
        <w:rPr>
          <w:lang w:val="lt-LT"/>
        </w:rPr>
        <w:t xml:space="preserve"> reikia vartoti du kartus per parą valgio metu, kad sumažėtų su </w:t>
      </w:r>
      <w:proofErr w:type="spellStart"/>
      <w:r>
        <w:rPr>
          <w:lang w:val="lt-LT"/>
        </w:rPr>
        <w:t>metformino</w:t>
      </w:r>
      <w:proofErr w:type="spellEnd"/>
      <w:r>
        <w:rPr>
          <w:lang w:val="lt-LT"/>
        </w:rPr>
        <w:t xml:space="preserve"> vartojimu susijusių nepageidaujamų virškinimo trakto reakcijų rizika.</w:t>
      </w:r>
    </w:p>
    <w:p w14:paraId="590ED364" w14:textId="77777777" w:rsidR="00B64E78" w:rsidRDefault="00B64E78">
      <w:pPr>
        <w:widowControl w:val="0"/>
        <w:tabs>
          <w:tab w:val="clear" w:pos="567"/>
        </w:tabs>
        <w:spacing w:line="240" w:lineRule="auto"/>
        <w:ind w:left="567" w:hanging="567"/>
        <w:rPr>
          <w:snapToGrid/>
          <w:szCs w:val="22"/>
          <w:lang w:val="lt-LT"/>
        </w:rPr>
      </w:pPr>
    </w:p>
    <w:p w14:paraId="28D07D78"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616A2BC6" w14:textId="77777777" w:rsidR="00B64E78" w:rsidRDefault="00B64E78">
      <w:pPr>
        <w:widowControl w:val="0"/>
        <w:tabs>
          <w:tab w:val="clear" w:pos="567"/>
        </w:tabs>
        <w:spacing w:line="240" w:lineRule="auto"/>
        <w:ind w:left="567" w:hanging="567"/>
        <w:rPr>
          <w:snapToGrid/>
          <w:szCs w:val="22"/>
          <w:lang w:val="lt-LT"/>
        </w:rPr>
      </w:pPr>
    </w:p>
    <w:p w14:paraId="411E3A33" w14:textId="77777777" w:rsidR="00B64E78" w:rsidRDefault="00DA46A9">
      <w:pPr>
        <w:widowControl w:val="0"/>
        <w:tabs>
          <w:tab w:val="clear" w:pos="567"/>
        </w:tabs>
        <w:autoSpaceDE w:val="0"/>
        <w:autoSpaceDN w:val="0"/>
        <w:adjustRightInd w:val="0"/>
        <w:spacing w:line="240" w:lineRule="auto"/>
        <w:rPr>
          <w:rFonts w:eastAsia="TimesNewRomanPSMT"/>
          <w:snapToGrid/>
          <w:szCs w:val="22"/>
          <w:lang w:val="lt-LT" w:eastAsia="lt-LT"/>
        </w:rPr>
      </w:pPr>
      <w:proofErr w:type="spellStart"/>
      <w:r>
        <w:rPr>
          <w:lang w:val="lt-LT"/>
        </w:rPr>
        <w:t>Maymetsi</w:t>
      </w:r>
      <w:proofErr w:type="spellEnd"/>
      <w:r>
        <w:rPr>
          <w:rFonts w:eastAsia="TimesNewRomanPSMT"/>
          <w:snapToGrid/>
          <w:szCs w:val="22"/>
          <w:lang w:val="lt-LT" w:eastAsia="lt-LT"/>
        </w:rPr>
        <w:t xml:space="preserve"> draudžiama skirti pacientams, kuriems yra:</w:t>
      </w:r>
    </w:p>
    <w:p w14:paraId="3FAB8640" w14:textId="77777777" w:rsidR="00B64E78" w:rsidRDefault="00DA46A9">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padidėjęs jautrumas veikliajai arba bet kuriai 6.1 skyriuje nurodytai pagalbinei medžiagai (žr. 4.4 ir 4.8 skyrius);</w:t>
      </w:r>
    </w:p>
    <w:p w14:paraId="324A2948" w14:textId="77777777" w:rsidR="00B64E78" w:rsidRDefault="00DA46A9">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bet kokio tipo ūminė </w:t>
      </w:r>
      <w:proofErr w:type="spellStart"/>
      <w:r>
        <w:rPr>
          <w:rFonts w:eastAsia="TimesNewRoman"/>
          <w:snapToGrid/>
          <w:szCs w:val="22"/>
          <w:lang w:val="lt-LT"/>
        </w:rPr>
        <w:t>metabolinė</w:t>
      </w:r>
      <w:proofErr w:type="spellEnd"/>
      <w:r>
        <w:rPr>
          <w:rFonts w:eastAsia="TimesNewRoman"/>
          <w:snapToGrid/>
          <w:szCs w:val="22"/>
          <w:lang w:val="lt-LT"/>
        </w:rPr>
        <w:t xml:space="preserve"> </w:t>
      </w:r>
      <w:proofErr w:type="spellStart"/>
      <w:r>
        <w:rPr>
          <w:rFonts w:eastAsia="TimesNewRoman"/>
          <w:snapToGrid/>
          <w:szCs w:val="22"/>
          <w:lang w:val="lt-LT"/>
        </w:rPr>
        <w:t>acidozė</w:t>
      </w:r>
      <w:proofErr w:type="spellEnd"/>
      <w:r>
        <w:rPr>
          <w:rFonts w:eastAsia="TimesNewRoman"/>
          <w:snapToGrid/>
          <w:szCs w:val="22"/>
          <w:lang w:val="lt-LT"/>
        </w:rPr>
        <w:t xml:space="preserve"> (pvz., pieno rūgšties </w:t>
      </w:r>
      <w:proofErr w:type="spellStart"/>
      <w:r>
        <w:rPr>
          <w:rFonts w:eastAsia="TimesNewRoman"/>
          <w:snapToGrid/>
          <w:szCs w:val="22"/>
          <w:lang w:val="lt-LT"/>
        </w:rPr>
        <w:t>acidozė</w:t>
      </w:r>
      <w:proofErr w:type="spellEnd"/>
      <w:r>
        <w:rPr>
          <w:rFonts w:eastAsia="TimesNewRoman"/>
          <w:snapToGrid/>
          <w:szCs w:val="22"/>
          <w:lang w:val="lt-LT"/>
        </w:rPr>
        <w:t xml:space="preserve">, diabetinė </w:t>
      </w:r>
      <w:proofErr w:type="spellStart"/>
      <w:r>
        <w:rPr>
          <w:rFonts w:eastAsia="TimesNewRoman"/>
          <w:snapToGrid/>
          <w:szCs w:val="22"/>
          <w:lang w:val="lt-LT"/>
        </w:rPr>
        <w:t>ketoacidozė</w:t>
      </w:r>
      <w:proofErr w:type="spellEnd"/>
      <w:r>
        <w:rPr>
          <w:rFonts w:eastAsia="TimesNewRoman"/>
          <w:snapToGrid/>
          <w:szCs w:val="22"/>
          <w:lang w:val="lt-LT"/>
        </w:rPr>
        <w:t>);</w:t>
      </w:r>
    </w:p>
    <w:p w14:paraId="621E7570" w14:textId="77777777" w:rsidR="00B64E78" w:rsidRDefault="00DA46A9">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diabetinė </w:t>
      </w:r>
      <w:proofErr w:type="spellStart"/>
      <w:r>
        <w:rPr>
          <w:rFonts w:eastAsia="TimesNewRoman"/>
          <w:snapToGrid/>
          <w:szCs w:val="22"/>
          <w:lang w:val="lt-LT"/>
        </w:rPr>
        <w:t>prekominė</w:t>
      </w:r>
      <w:proofErr w:type="spellEnd"/>
      <w:r>
        <w:rPr>
          <w:rFonts w:eastAsia="TimesNewRoman"/>
          <w:snapToGrid/>
          <w:szCs w:val="22"/>
          <w:lang w:val="lt-LT"/>
        </w:rPr>
        <w:t xml:space="preserve"> </w:t>
      </w:r>
      <w:proofErr w:type="spellStart"/>
      <w:r>
        <w:rPr>
          <w:rFonts w:eastAsia="TimesNewRoman"/>
          <w:snapToGrid/>
          <w:szCs w:val="22"/>
          <w:lang w:val="lt-LT"/>
        </w:rPr>
        <w:t>būklė;s</w:t>
      </w:r>
      <w:proofErr w:type="spellEnd"/>
    </w:p>
    <w:p w14:paraId="458C3210" w14:textId="77777777" w:rsidR="00B64E78" w:rsidRDefault="00DA46A9">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unkus</w:t>
      </w:r>
      <w:proofErr w:type="spellEnd"/>
      <w:r>
        <w:rPr>
          <w:rFonts w:eastAsia="TimesNewRoman"/>
          <w:snapToGrid/>
          <w:szCs w:val="22"/>
          <w:lang w:val="lt-LT"/>
        </w:rPr>
        <w:t xml:space="preserve"> inkstų nepakankamumas (GFG &lt; 30 ml/min.) (žr. 4.4 skyrių);</w:t>
      </w:r>
    </w:p>
    <w:p w14:paraId="2E696AA1" w14:textId="77777777" w:rsidR="00B64E78" w:rsidRDefault="00DA46A9">
      <w:pPr>
        <w:pStyle w:val="Sraopastraipa"/>
        <w:widowControl w:val="0"/>
        <w:numPr>
          <w:ilvl w:val="0"/>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ūminės būklės, dėl kurių gali sutrikti inkstų funkcija, pavyzdžiui:</w:t>
      </w:r>
    </w:p>
    <w:p w14:paraId="1D2C5BA9" w14:textId="77777777" w:rsidR="00B64E78" w:rsidRDefault="00DA46A9">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dehidratacija;</w:t>
      </w:r>
    </w:p>
    <w:p w14:paraId="49C52C93" w14:textId="77777777" w:rsidR="00B64E78" w:rsidRDefault="00DA46A9">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sunki infekcinė liga;</w:t>
      </w:r>
    </w:p>
    <w:p w14:paraId="2C4BD680" w14:textId="77777777" w:rsidR="00B64E78" w:rsidRDefault="00DA46A9">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šokas;</w:t>
      </w:r>
    </w:p>
    <w:p w14:paraId="7470B0D5" w14:textId="77777777" w:rsidR="00B64E78" w:rsidRDefault="00DA46A9">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kontrastinių preparatų, kurių sudėtyje yra jodo, sušvirkštimas į kraujagyslę (žr. 4.4 skyrių);</w:t>
      </w:r>
    </w:p>
    <w:p w14:paraId="223CCE65" w14:textId="77777777" w:rsidR="00B64E78" w:rsidRDefault="00DA46A9">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ūminė arba lėtinė liga, kuri gali sukelti audinių hipoksiją, pavyzdžiui:</w:t>
      </w:r>
    </w:p>
    <w:p w14:paraId="11C6CBA4" w14:textId="77777777" w:rsidR="00B64E78" w:rsidRDefault="00DA46A9">
      <w:pPr>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širdies arba kvėpavimo nepakankamumas;</w:t>
      </w:r>
    </w:p>
    <w:p w14:paraId="127F08FB" w14:textId="77777777" w:rsidR="00B64E78" w:rsidRDefault="00DA46A9">
      <w:pPr>
        <w:pStyle w:val="Sraopastraipa"/>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ištikęs miokardo infarktas</w:t>
      </w:r>
    </w:p>
    <w:p w14:paraId="2E8833B7" w14:textId="77777777" w:rsidR="00B64E78" w:rsidRDefault="00DA46A9">
      <w:pPr>
        <w:widowControl w:val="0"/>
        <w:numPr>
          <w:ilvl w:val="1"/>
          <w:numId w:val="24"/>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šokas;</w:t>
      </w:r>
    </w:p>
    <w:p w14:paraId="3A34C59A" w14:textId="77777777" w:rsidR="00B64E78" w:rsidRDefault="00DA46A9">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kepenų funkcijos sutrikimas;</w:t>
      </w:r>
    </w:p>
    <w:p w14:paraId="158D81C9" w14:textId="77777777" w:rsidR="00B64E78" w:rsidRDefault="00DA46A9">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ūminis apsinuodijimas alkoholiu, alkoholizmas;</w:t>
      </w:r>
    </w:p>
    <w:p w14:paraId="70B8B184" w14:textId="77777777" w:rsidR="00B64E78" w:rsidRDefault="00DA46A9">
      <w:pPr>
        <w:widowControl w:val="0"/>
        <w:numPr>
          <w:ilvl w:val="0"/>
          <w:numId w:val="1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žindymo laikotarpis.</w:t>
      </w:r>
    </w:p>
    <w:p w14:paraId="787F0950"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3C9545B6" w14:textId="77777777" w:rsidR="00B64E78" w:rsidRDefault="00DA46A9">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45A03680" w14:textId="77777777" w:rsidR="00B64E78" w:rsidRDefault="00B64E78">
      <w:pPr>
        <w:widowControl w:val="0"/>
        <w:tabs>
          <w:tab w:val="clear" w:pos="567"/>
        </w:tabs>
        <w:spacing w:line="240" w:lineRule="auto"/>
        <w:ind w:left="567" w:hanging="567"/>
        <w:rPr>
          <w:bCs/>
          <w:snapToGrid/>
          <w:szCs w:val="22"/>
          <w:lang w:val="lt-LT"/>
        </w:rPr>
      </w:pPr>
    </w:p>
    <w:p w14:paraId="2E57AF1B"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Bendroji informacija</w:t>
      </w:r>
    </w:p>
    <w:p w14:paraId="74E57A25" w14:textId="77777777" w:rsidR="00B64E78" w:rsidRDefault="00DA46A9">
      <w:pPr>
        <w:widowControl w:val="0"/>
        <w:tabs>
          <w:tab w:val="clear" w:pos="567"/>
        </w:tabs>
        <w:spacing w:line="240" w:lineRule="auto"/>
        <w:rPr>
          <w:bCs/>
          <w:snapToGrid/>
          <w:szCs w:val="22"/>
          <w:lang w:val="lt-LT"/>
        </w:rPr>
      </w:pPr>
      <w:proofErr w:type="spellStart"/>
      <w:r>
        <w:rPr>
          <w:snapToGrid/>
          <w:szCs w:val="22"/>
          <w:lang w:val="lt-LT"/>
        </w:rPr>
        <w:t>Maymetsi</w:t>
      </w:r>
      <w:proofErr w:type="spellEnd"/>
      <w:r>
        <w:rPr>
          <w:rFonts w:eastAsia="TimesNewRoman"/>
          <w:snapToGrid/>
          <w:szCs w:val="22"/>
          <w:lang w:val="lt-LT"/>
        </w:rPr>
        <w:t xml:space="preserve"> negalima vartoti 1 tipo cukriniu diabetu sergantiems pacientams ar diabetinei </w:t>
      </w:r>
      <w:proofErr w:type="spellStart"/>
      <w:r>
        <w:rPr>
          <w:rFonts w:eastAsia="TimesNewRoman"/>
          <w:snapToGrid/>
          <w:szCs w:val="22"/>
          <w:lang w:val="lt-LT"/>
        </w:rPr>
        <w:t>ketoacidozei</w:t>
      </w:r>
      <w:proofErr w:type="spellEnd"/>
      <w:r>
        <w:rPr>
          <w:rFonts w:eastAsia="TimesNewRoman"/>
          <w:snapToGrid/>
          <w:szCs w:val="22"/>
          <w:lang w:val="lt-LT"/>
        </w:rPr>
        <w:t xml:space="preserve"> gydyti.</w:t>
      </w:r>
    </w:p>
    <w:p w14:paraId="228BC764" w14:textId="77777777" w:rsidR="00B64E78" w:rsidRDefault="00B64E78">
      <w:pPr>
        <w:widowControl w:val="0"/>
        <w:tabs>
          <w:tab w:val="clear" w:pos="567"/>
        </w:tabs>
        <w:spacing w:line="240" w:lineRule="auto"/>
        <w:ind w:left="567" w:hanging="567"/>
        <w:rPr>
          <w:bCs/>
          <w:snapToGrid/>
          <w:szCs w:val="22"/>
          <w:lang w:val="lt-LT"/>
        </w:rPr>
      </w:pPr>
    </w:p>
    <w:p w14:paraId="676D1B2C"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Ūminis pankreatitas</w:t>
      </w:r>
    </w:p>
    <w:p w14:paraId="5FB84AA3"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DPP</w:t>
      </w:r>
      <w:r>
        <w:rPr>
          <w:rFonts w:eastAsia="TimesNewRoman"/>
          <w:snapToGrid/>
          <w:szCs w:val="22"/>
          <w:lang w:val="lt-LT"/>
        </w:rPr>
        <w:noBreakHyphen/>
        <w:t xml:space="preserve">4 inhibitorių vartojimas yra susijęs su ūminio pankreatito išsivystymo rizika. Pacientams reikia pasakyti, kad nuolatinis ir stiprus pilvo skausmas yra būdingas ūminio pankreatito simptomas. </w:t>
      </w:r>
      <w:r>
        <w:rPr>
          <w:rFonts w:eastAsia="TimesNewRoman"/>
          <w:snapToGrid/>
          <w:szCs w:val="22"/>
          <w:lang w:val="lt-LT"/>
        </w:rPr>
        <w:lastRenderedPageBreak/>
        <w:t xml:space="preserve">Nutraukus </w:t>
      </w:r>
      <w:proofErr w:type="spellStart"/>
      <w:r>
        <w:rPr>
          <w:rFonts w:eastAsia="TimesNewRoman"/>
          <w:snapToGrid/>
          <w:szCs w:val="22"/>
          <w:lang w:val="lt-LT"/>
        </w:rPr>
        <w:t>sitagliptino</w:t>
      </w:r>
      <w:proofErr w:type="spellEnd"/>
      <w:r>
        <w:rPr>
          <w:rFonts w:eastAsia="TimesNewRoman"/>
          <w:snapToGrid/>
          <w:szCs w:val="22"/>
          <w:lang w:val="lt-LT"/>
        </w:rPr>
        <w:t xml:space="preserve"> vartojimą buvo stebimas pasveikimas nuo pankreatito (taikant palaikomąjį gydymą arba jo netaikant), tačiau gauta pranešimų ir apie labai retus </w:t>
      </w:r>
      <w:proofErr w:type="spellStart"/>
      <w:r>
        <w:rPr>
          <w:rFonts w:eastAsia="TimesNewRoman"/>
          <w:snapToGrid/>
          <w:szCs w:val="22"/>
          <w:lang w:val="lt-LT"/>
        </w:rPr>
        <w:t>nekrozinio</w:t>
      </w:r>
      <w:proofErr w:type="spellEnd"/>
      <w:r>
        <w:rPr>
          <w:rFonts w:eastAsia="TimesNewRoman"/>
          <w:snapToGrid/>
          <w:szCs w:val="22"/>
          <w:lang w:val="lt-LT"/>
        </w:rPr>
        <w:t xml:space="preserve"> ar hemoraginio pankreatito ir (arba) mirties atvejus. Jeigu yra įtariamas pankreatitas, </w:t>
      </w:r>
      <w:proofErr w:type="spellStart"/>
      <w:r>
        <w:rPr>
          <w:snapToGrid/>
          <w:szCs w:val="22"/>
          <w:lang w:val="lt-LT"/>
        </w:rPr>
        <w:t>Maymetsi</w:t>
      </w:r>
      <w:proofErr w:type="spellEnd"/>
      <w:r>
        <w:rPr>
          <w:rFonts w:eastAsia="TimesNewRoman"/>
          <w:snapToGrid/>
          <w:szCs w:val="22"/>
          <w:lang w:val="lt-LT"/>
        </w:rPr>
        <w:t xml:space="preserve"> ir kitų galimai pankreatitą sukėlusių vaistinių preparatų vartojimą reikia nutraukti. Jeigu ūminis pankreatitas yra patvirtinamas, gydymo </w:t>
      </w:r>
      <w:proofErr w:type="spellStart"/>
      <w:r>
        <w:rPr>
          <w:snapToGrid/>
          <w:szCs w:val="22"/>
          <w:lang w:val="lt-LT"/>
        </w:rPr>
        <w:t>Maymetsi</w:t>
      </w:r>
      <w:proofErr w:type="spellEnd"/>
      <w:r>
        <w:rPr>
          <w:rFonts w:eastAsia="TimesNewRoman"/>
          <w:snapToGrid/>
          <w:szCs w:val="22"/>
          <w:lang w:val="lt-LT"/>
        </w:rPr>
        <w:t xml:space="preserve"> atnaujinti negalima.</w:t>
      </w:r>
    </w:p>
    <w:p w14:paraId="3C143F62" w14:textId="77777777" w:rsidR="00B64E78" w:rsidRDefault="00DA46A9">
      <w:pPr>
        <w:widowControl w:val="0"/>
        <w:tabs>
          <w:tab w:val="clear" w:pos="567"/>
        </w:tabs>
        <w:autoSpaceDE w:val="0"/>
        <w:autoSpaceDN w:val="0"/>
        <w:adjustRightInd w:val="0"/>
        <w:spacing w:line="240" w:lineRule="auto"/>
        <w:rPr>
          <w:bCs/>
          <w:snapToGrid/>
          <w:szCs w:val="22"/>
          <w:lang w:val="lt-LT"/>
        </w:rPr>
      </w:pPr>
      <w:r>
        <w:rPr>
          <w:rFonts w:eastAsia="TimesNewRoman"/>
          <w:snapToGrid/>
          <w:szCs w:val="22"/>
          <w:lang w:val="lt-LT"/>
        </w:rPr>
        <w:t>Pankreatitu anksčiau sirgusius pacientus gydyti reikia atsargiai.</w:t>
      </w:r>
    </w:p>
    <w:p w14:paraId="6FD06937" w14:textId="77777777" w:rsidR="00B64E78" w:rsidRDefault="00B64E78">
      <w:pPr>
        <w:widowControl w:val="0"/>
        <w:tabs>
          <w:tab w:val="clear" w:pos="567"/>
        </w:tabs>
        <w:spacing w:line="240" w:lineRule="auto"/>
        <w:ind w:left="567" w:hanging="567"/>
        <w:rPr>
          <w:bCs/>
          <w:snapToGrid/>
          <w:szCs w:val="22"/>
          <w:lang w:val="lt-LT"/>
        </w:rPr>
      </w:pPr>
    </w:p>
    <w:p w14:paraId="29616249"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Pieno rūgšties </w:t>
      </w:r>
      <w:proofErr w:type="spellStart"/>
      <w:r>
        <w:rPr>
          <w:rFonts w:eastAsia="TimesNewRoman"/>
          <w:snapToGrid/>
          <w:szCs w:val="22"/>
          <w:u w:val="single"/>
          <w:lang w:val="lt-LT"/>
        </w:rPr>
        <w:t>acidozė</w:t>
      </w:r>
      <w:proofErr w:type="spellEnd"/>
    </w:p>
    <w:p w14:paraId="1804556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Pieno rūgšties </w:t>
      </w:r>
      <w:proofErr w:type="spellStart"/>
      <w:r>
        <w:rPr>
          <w:rFonts w:eastAsia="TimesNewRoman"/>
          <w:snapToGrid/>
          <w:szCs w:val="22"/>
          <w:lang w:val="lt-LT"/>
        </w:rPr>
        <w:t>acidozė</w:t>
      </w:r>
      <w:proofErr w:type="spellEnd"/>
      <w:r>
        <w:rPr>
          <w:rFonts w:eastAsia="TimesNewRoman"/>
          <w:snapToGrid/>
          <w:szCs w:val="22"/>
          <w:lang w:val="lt-LT"/>
        </w:rPr>
        <w:t xml:space="preserve"> (reta, bet sunki </w:t>
      </w:r>
      <w:proofErr w:type="spellStart"/>
      <w:r>
        <w:rPr>
          <w:rFonts w:eastAsia="TimesNewRoman"/>
          <w:snapToGrid/>
          <w:szCs w:val="22"/>
          <w:lang w:val="lt-LT"/>
        </w:rPr>
        <w:t>metabolinė</w:t>
      </w:r>
      <w:proofErr w:type="spellEnd"/>
      <w:r>
        <w:rPr>
          <w:rFonts w:eastAsia="TimesNewRoman"/>
          <w:snapToGrid/>
          <w:szCs w:val="22"/>
          <w:lang w:val="lt-LT"/>
        </w:rPr>
        <w:t xml:space="preserve"> komplikacija) dažniausiai pasireiškia esant ūminiam inkstų funkcijos pablogėjimui, širdies ir plaučių ligai arba sepsiui. Esant ūminiam inkstų funkcijos pablogėjimui, </w:t>
      </w:r>
      <w:proofErr w:type="spellStart"/>
      <w:r>
        <w:rPr>
          <w:rFonts w:eastAsia="TimesNewRoman"/>
          <w:snapToGrid/>
          <w:szCs w:val="22"/>
          <w:lang w:val="lt-LT"/>
        </w:rPr>
        <w:t>metforminas</w:t>
      </w:r>
      <w:proofErr w:type="spellEnd"/>
      <w:r>
        <w:rPr>
          <w:rFonts w:eastAsia="TimesNewRoman"/>
          <w:snapToGrid/>
          <w:szCs w:val="22"/>
          <w:lang w:val="lt-LT"/>
        </w:rPr>
        <w:t xml:space="preserve"> kaupiasi ir didėja pieno rūgšties </w:t>
      </w:r>
      <w:proofErr w:type="spellStart"/>
      <w:r>
        <w:rPr>
          <w:rFonts w:eastAsia="TimesNewRoman"/>
          <w:snapToGrid/>
          <w:szCs w:val="22"/>
          <w:lang w:val="lt-LT"/>
        </w:rPr>
        <w:t>acidozės</w:t>
      </w:r>
      <w:proofErr w:type="spellEnd"/>
      <w:r>
        <w:rPr>
          <w:rFonts w:eastAsia="TimesNewRoman"/>
          <w:snapToGrid/>
          <w:szCs w:val="22"/>
          <w:lang w:val="lt-LT"/>
        </w:rPr>
        <w:t xml:space="preserve"> rizika.</w:t>
      </w:r>
    </w:p>
    <w:p w14:paraId="794C08F5"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5008AF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Esant dehidratacijai (sunkiam vėmimui, viduriavimui, karščiavimui ar sumažėjus skysčių suvartojimui), pacientui reikia laikinai nutraukti </w:t>
      </w:r>
      <w:proofErr w:type="spellStart"/>
      <w:r>
        <w:rPr>
          <w:rFonts w:eastAsia="TimesNewRoman"/>
          <w:snapToGrid/>
          <w:szCs w:val="22"/>
          <w:lang w:val="lt-LT"/>
        </w:rPr>
        <w:t>metformino</w:t>
      </w:r>
      <w:proofErr w:type="spellEnd"/>
      <w:r>
        <w:rPr>
          <w:rFonts w:eastAsia="TimesNewRoman"/>
          <w:snapToGrid/>
          <w:szCs w:val="22"/>
          <w:lang w:val="lt-LT"/>
        </w:rPr>
        <w:t xml:space="preserve"> vartojimą ir rekomenduojama kreiptis į sveikatos priežiūros specialistą.</w:t>
      </w:r>
    </w:p>
    <w:p w14:paraId="30E068EB"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C25DFF5"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Vaistinių preparatų, kurie gali sukelti ūminį inkstų funkcijos sutrikimą (pvz., </w:t>
      </w:r>
      <w:proofErr w:type="spellStart"/>
      <w:r>
        <w:rPr>
          <w:rFonts w:eastAsia="TimesNewRoman"/>
          <w:snapToGrid/>
          <w:szCs w:val="22"/>
          <w:lang w:val="lt-LT"/>
        </w:rPr>
        <w:t>antihipertenzinių</w:t>
      </w:r>
      <w:proofErr w:type="spellEnd"/>
      <w:r>
        <w:rPr>
          <w:rFonts w:eastAsia="TimesNewRoman"/>
          <w:snapToGrid/>
          <w:szCs w:val="22"/>
          <w:lang w:val="lt-LT"/>
        </w:rPr>
        <w:t xml:space="preserve"> vaistinių preparatų, diuretikų ir nesteroidinių vaistų nuo uždegimo [NVNU]), </w:t>
      </w:r>
      <w:proofErr w:type="spellStart"/>
      <w:r>
        <w:rPr>
          <w:rFonts w:eastAsia="TimesNewRoman"/>
          <w:snapToGrid/>
          <w:szCs w:val="22"/>
          <w:lang w:val="lt-LT"/>
        </w:rPr>
        <w:t>metforminu</w:t>
      </w:r>
      <w:proofErr w:type="spellEnd"/>
      <w:r>
        <w:rPr>
          <w:rFonts w:eastAsia="TimesNewRoman"/>
          <w:snapToGrid/>
          <w:szCs w:val="22"/>
          <w:lang w:val="lt-LT"/>
        </w:rPr>
        <w:t xml:space="preserve"> gydomiems pacientams reikia skirti atsargiai. Kiti pieno rūgšties </w:t>
      </w:r>
      <w:proofErr w:type="spellStart"/>
      <w:r>
        <w:rPr>
          <w:rFonts w:eastAsia="TimesNewRoman"/>
          <w:snapToGrid/>
          <w:szCs w:val="22"/>
          <w:lang w:val="lt-LT"/>
        </w:rPr>
        <w:t>acidozės</w:t>
      </w:r>
      <w:proofErr w:type="spellEnd"/>
      <w:r>
        <w:rPr>
          <w:rFonts w:eastAsia="TimesNewRoman"/>
          <w:snapToGrid/>
          <w:szCs w:val="22"/>
          <w:lang w:val="lt-LT"/>
        </w:rPr>
        <w:t xml:space="preserve"> pasireiškimo rizikos veiksniai yra piktnaudžiavimas alkoholiu, kepenų nepakankamumas, nepakankamai kontroliuojamas cukrinis diabetas, ketozė, ilgalaikis badavimas, bet kokia su hipoksija susijusi būklė bei vaistinių preparatų, kurie gali sukelti pieno rūgšties </w:t>
      </w:r>
      <w:proofErr w:type="spellStart"/>
      <w:r>
        <w:rPr>
          <w:rFonts w:eastAsia="TimesNewRoman"/>
          <w:snapToGrid/>
          <w:szCs w:val="22"/>
          <w:lang w:val="lt-LT"/>
        </w:rPr>
        <w:t>acidozę</w:t>
      </w:r>
      <w:proofErr w:type="spellEnd"/>
      <w:r>
        <w:rPr>
          <w:rFonts w:eastAsia="TimesNewRoman"/>
          <w:snapToGrid/>
          <w:szCs w:val="22"/>
          <w:lang w:val="lt-LT"/>
        </w:rPr>
        <w:t>, vartojimas tuo pat metu (žr. 4.3 ir 4.5 skyrius).</w:t>
      </w:r>
    </w:p>
    <w:p w14:paraId="440D72A6"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2F4306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Pacientus ir (arba) globėjus reikia informuoti apie pieno rūgšties </w:t>
      </w:r>
      <w:proofErr w:type="spellStart"/>
      <w:r>
        <w:rPr>
          <w:rFonts w:eastAsia="TimesNewRoman"/>
          <w:snapToGrid/>
          <w:szCs w:val="22"/>
          <w:lang w:val="lt-LT"/>
        </w:rPr>
        <w:t>acidozės</w:t>
      </w:r>
      <w:proofErr w:type="spellEnd"/>
      <w:r>
        <w:rPr>
          <w:rFonts w:eastAsia="TimesNewRoman"/>
          <w:snapToGrid/>
          <w:szCs w:val="22"/>
          <w:lang w:val="lt-LT"/>
        </w:rPr>
        <w:t xml:space="preserve"> pasireiškimo riziką. Pieno rūgšties </w:t>
      </w:r>
      <w:proofErr w:type="spellStart"/>
      <w:r>
        <w:rPr>
          <w:rFonts w:eastAsia="TimesNewRoman"/>
          <w:snapToGrid/>
          <w:szCs w:val="22"/>
          <w:lang w:val="lt-LT"/>
        </w:rPr>
        <w:t>acidozei</w:t>
      </w:r>
      <w:proofErr w:type="spellEnd"/>
      <w:r>
        <w:rPr>
          <w:rFonts w:eastAsia="TimesNewRoman"/>
          <w:snapToGrid/>
          <w:szCs w:val="22"/>
          <w:lang w:val="lt-LT"/>
        </w:rPr>
        <w:t xml:space="preserve"> būdingas </w:t>
      </w:r>
      <w:proofErr w:type="spellStart"/>
      <w:r>
        <w:rPr>
          <w:rFonts w:eastAsia="TimesNewRoman"/>
          <w:snapToGrid/>
          <w:szCs w:val="22"/>
          <w:lang w:val="lt-LT"/>
        </w:rPr>
        <w:t>acidozinis</w:t>
      </w:r>
      <w:proofErr w:type="spellEnd"/>
      <w:r>
        <w:rPr>
          <w:rFonts w:eastAsia="TimesNewRoman"/>
          <w:snapToGrid/>
          <w:szCs w:val="22"/>
          <w:lang w:val="lt-LT"/>
        </w:rPr>
        <w:t xml:space="preserve"> dusulys, pilvo skausmas, raumenų mėšlungis, </w:t>
      </w:r>
      <w:proofErr w:type="spellStart"/>
      <w:r>
        <w:rPr>
          <w:rFonts w:eastAsia="TimesNewRoman"/>
          <w:snapToGrid/>
          <w:szCs w:val="22"/>
          <w:lang w:val="lt-LT"/>
        </w:rPr>
        <w:t>astenija</w:t>
      </w:r>
      <w:proofErr w:type="spellEnd"/>
      <w:r>
        <w:rPr>
          <w:rFonts w:eastAsia="TimesNewRoman"/>
          <w:snapToGrid/>
          <w:szCs w:val="22"/>
          <w:lang w:val="lt-LT"/>
        </w:rPr>
        <w:t xml:space="preserve"> ir hipotermija, vėliau ištinka koma. Pasireiškus įtarimą keliantiems simptomams, pacientas turi nutraukti </w:t>
      </w:r>
      <w:proofErr w:type="spellStart"/>
      <w:r>
        <w:rPr>
          <w:rFonts w:eastAsia="TimesNewRoman"/>
          <w:snapToGrid/>
          <w:szCs w:val="22"/>
          <w:lang w:val="lt-LT"/>
        </w:rPr>
        <w:t>metformino</w:t>
      </w:r>
      <w:proofErr w:type="spellEnd"/>
      <w:r>
        <w:rPr>
          <w:rFonts w:eastAsia="TimesNewRoman"/>
          <w:snapToGrid/>
          <w:szCs w:val="22"/>
          <w:lang w:val="lt-LT"/>
        </w:rPr>
        <w:t xml:space="preserve"> vartojimą ir nedelsdamas kreiptis į medikus. Diagnostiniai laboratorinių tyrimų duomenys yra sumažėjęs kraujo pH (&lt; 7,35), padidėjusi laktatų koncentracija kraujo plazmoje (&gt; 5 </w:t>
      </w:r>
      <w:proofErr w:type="spellStart"/>
      <w:r>
        <w:rPr>
          <w:rFonts w:eastAsia="TimesNewRoman"/>
          <w:snapToGrid/>
          <w:szCs w:val="22"/>
          <w:lang w:val="lt-LT"/>
        </w:rPr>
        <w:t>mmol</w:t>
      </w:r>
      <w:proofErr w:type="spellEnd"/>
      <w:r>
        <w:rPr>
          <w:rFonts w:eastAsia="TimesNewRoman"/>
          <w:snapToGrid/>
          <w:szCs w:val="22"/>
          <w:lang w:val="lt-LT"/>
        </w:rPr>
        <w:t>/l) ir padidėjęs anijoninis tarpas bei laktatų/</w:t>
      </w:r>
      <w:proofErr w:type="spellStart"/>
      <w:r>
        <w:rPr>
          <w:rFonts w:eastAsia="TimesNewRoman"/>
          <w:snapToGrid/>
          <w:szCs w:val="22"/>
          <w:lang w:val="lt-LT"/>
        </w:rPr>
        <w:t>piruvatų</w:t>
      </w:r>
      <w:proofErr w:type="spellEnd"/>
      <w:r>
        <w:rPr>
          <w:rFonts w:eastAsia="TimesNewRoman"/>
          <w:snapToGrid/>
          <w:szCs w:val="22"/>
          <w:lang w:val="lt-LT"/>
        </w:rPr>
        <w:t xml:space="preserve"> santykis.</w:t>
      </w:r>
    </w:p>
    <w:p w14:paraId="7CF2DBE7" w14:textId="77777777" w:rsidR="00B64E78" w:rsidRPr="00F701F0" w:rsidRDefault="00B64E78">
      <w:pPr>
        <w:widowControl w:val="0"/>
        <w:tabs>
          <w:tab w:val="clear" w:pos="567"/>
        </w:tabs>
        <w:autoSpaceDE w:val="0"/>
        <w:autoSpaceDN w:val="0"/>
        <w:adjustRightInd w:val="0"/>
        <w:spacing w:line="240" w:lineRule="auto"/>
        <w:rPr>
          <w:u w:val="single"/>
          <w:lang w:val="lt-LT"/>
        </w:rPr>
      </w:pPr>
    </w:p>
    <w:p w14:paraId="0BEB14FF" w14:textId="77777777" w:rsidR="00B64E78" w:rsidRPr="00F701F0" w:rsidRDefault="00DA46A9">
      <w:pPr>
        <w:widowControl w:val="0"/>
        <w:tabs>
          <w:tab w:val="clear" w:pos="567"/>
        </w:tabs>
        <w:autoSpaceDE w:val="0"/>
        <w:autoSpaceDN w:val="0"/>
        <w:adjustRightInd w:val="0"/>
        <w:spacing w:line="240" w:lineRule="auto"/>
        <w:rPr>
          <w:u w:val="single"/>
          <w:lang w:val="lt-LT"/>
        </w:rPr>
      </w:pPr>
      <w:r w:rsidRPr="00F701F0">
        <w:rPr>
          <w:u w:val="single"/>
          <w:lang w:val="lt-LT"/>
        </w:rPr>
        <w:t xml:space="preserve">Pacientai, kuriems diagnozuotos arba įtariamos </w:t>
      </w:r>
      <w:proofErr w:type="spellStart"/>
      <w:r w:rsidRPr="00F701F0">
        <w:rPr>
          <w:u w:val="single"/>
          <w:lang w:val="lt-LT"/>
        </w:rPr>
        <w:t>mitochondrinės</w:t>
      </w:r>
      <w:proofErr w:type="spellEnd"/>
      <w:r w:rsidRPr="00F701F0">
        <w:rPr>
          <w:u w:val="single"/>
          <w:lang w:val="lt-LT"/>
        </w:rPr>
        <w:t xml:space="preserve"> ligos</w:t>
      </w:r>
    </w:p>
    <w:p w14:paraId="549139A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sidRPr="00053370">
        <w:rPr>
          <w:lang w:val="lt-LT"/>
        </w:rPr>
        <w:t xml:space="preserve">Pacientams, kuriems diagnozuotos </w:t>
      </w:r>
      <w:proofErr w:type="spellStart"/>
      <w:r w:rsidRPr="00053370">
        <w:rPr>
          <w:lang w:val="lt-LT"/>
        </w:rPr>
        <w:t>mitochondrinės</w:t>
      </w:r>
      <w:proofErr w:type="spellEnd"/>
      <w:r w:rsidRPr="00053370">
        <w:rPr>
          <w:lang w:val="lt-LT"/>
        </w:rPr>
        <w:t xml:space="preserve"> ligos, pvz., </w:t>
      </w:r>
      <w:proofErr w:type="spellStart"/>
      <w:r w:rsidRPr="00053370">
        <w:rPr>
          <w:lang w:val="lt-LT"/>
        </w:rPr>
        <w:t>mitochondrinės</w:t>
      </w:r>
      <w:proofErr w:type="spellEnd"/>
      <w:r w:rsidRPr="00053370">
        <w:rPr>
          <w:lang w:val="lt-LT"/>
        </w:rPr>
        <w:t xml:space="preserve"> </w:t>
      </w:r>
      <w:proofErr w:type="spellStart"/>
      <w:r w:rsidRPr="00053370">
        <w:rPr>
          <w:lang w:val="lt-LT"/>
        </w:rPr>
        <w:t>encefalopatijos</w:t>
      </w:r>
      <w:proofErr w:type="spellEnd"/>
      <w:r w:rsidRPr="00053370">
        <w:rPr>
          <w:lang w:val="lt-LT"/>
        </w:rPr>
        <w:t xml:space="preserve"> su pieno rūgšties </w:t>
      </w:r>
      <w:proofErr w:type="spellStart"/>
      <w:r w:rsidRPr="00053370">
        <w:rPr>
          <w:lang w:val="lt-LT"/>
        </w:rPr>
        <w:t>acidoze</w:t>
      </w:r>
      <w:proofErr w:type="spellEnd"/>
      <w:r w:rsidRPr="00053370">
        <w:rPr>
          <w:lang w:val="lt-LT"/>
        </w:rPr>
        <w:t xml:space="preserve"> ir į insultą panašiais epizodais (angl. </w:t>
      </w:r>
      <w:proofErr w:type="spellStart"/>
      <w:r w:rsidRPr="00053370">
        <w:rPr>
          <w:i/>
          <w:iCs/>
          <w:lang w:val="lt-LT"/>
        </w:rPr>
        <w:t>Mitochondrial</w:t>
      </w:r>
      <w:proofErr w:type="spellEnd"/>
      <w:r w:rsidRPr="00053370">
        <w:rPr>
          <w:i/>
          <w:iCs/>
          <w:lang w:val="lt-LT"/>
        </w:rPr>
        <w:t xml:space="preserve"> </w:t>
      </w:r>
      <w:proofErr w:type="spellStart"/>
      <w:r w:rsidRPr="00053370">
        <w:rPr>
          <w:i/>
          <w:iCs/>
          <w:lang w:val="lt-LT"/>
        </w:rPr>
        <w:t>encephalomyopathy</w:t>
      </w:r>
      <w:proofErr w:type="spellEnd"/>
      <w:r w:rsidRPr="00053370">
        <w:rPr>
          <w:i/>
          <w:iCs/>
          <w:lang w:val="lt-LT"/>
        </w:rPr>
        <w:t xml:space="preserve"> </w:t>
      </w:r>
      <w:proofErr w:type="spellStart"/>
      <w:r w:rsidRPr="00053370">
        <w:rPr>
          <w:i/>
          <w:iCs/>
          <w:lang w:val="lt-LT"/>
        </w:rPr>
        <w:t>with</w:t>
      </w:r>
      <w:proofErr w:type="spellEnd"/>
      <w:r w:rsidRPr="00053370">
        <w:rPr>
          <w:i/>
          <w:iCs/>
          <w:lang w:val="lt-LT"/>
        </w:rPr>
        <w:t xml:space="preserve"> </w:t>
      </w:r>
      <w:proofErr w:type="spellStart"/>
      <w:r w:rsidRPr="00053370">
        <w:rPr>
          <w:i/>
          <w:iCs/>
          <w:lang w:val="lt-LT"/>
        </w:rPr>
        <w:t>lactic</w:t>
      </w:r>
      <w:proofErr w:type="spellEnd"/>
      <w:r w:rsidRPr="00053370">
        <w:rPr>
          <w:i/>
          <w:iCs/>
          <w:lang w:val="lt-LT"/>
        </w:rPr>
        <w:t xml:space="preserve"> </w:t>
      </w:r>
      <w:proofErr w:type="spellStart"/>
      <w:r w:rsidRPr="00053370">
        <w:rPr>
          <w:i/>
          <w:iCs/>
          <w:lang w:val="lt-LT"/>
        </w:rPr>
        <w:t>acidosis</w:t>
      </w:r>
      <w:proofErr w:type="spellEnd"/>
      <w:r w:rsidRPr="00053370">
        <w:rPr>
          <w:i/>
          <w:iCs/>
          <w:lang w:val="lt-LT"/>
        </w:rPr>
        <w:t xml:space="preserve"> </w:t>
      </w:r>
      <w:proofErr w:type="spellStart"/>
      <w:r w:rsidRPr="00053370">
        <w:rPr>
          <w:i/>
          <w:iCs/>
          <w:lang w:val="lt-LT"/>
        </w:rPr>
        <w:t>and</w:t>
      </w:r>
      <w:proofErr w:type="spellEnd"/>
      <w:r w:rsidRPr="00053370">
        <w:rPr>
          <w:i/>
          <w:iCs/>
          <w:lang w:val="lt-LT"/>
        </w:rPr>
        <w:t xml:space="preserve"> </w:t>
      </w:r>
      <w:proofErr w:type="spellStart"/>
      <w:r w:rsidRPr="00053370">
        <w:rPr>
          <w:i/>
          <w:iCs/>
          <w:lang w:val="lt-LT"/>
        </w:rPr>
        <w:t>stroke-like</w:t>
      </w:r>
      <w:proofErr w:type="spellEnd"/>
      <w:r w:rsidRPr="00053370">
        <w:rPr>
          <w:i/>
          <w:iCs/>
          <w:lang w:val="lt-LT"/>
        </w:rPr>
        <w:t xml:space="preserve"> </w:t>
      </w:r>
      <w:proofErr w:type="spellStart"/>
      <w:r w:rsidRPr="00053370">
        <w:rPr>
          <w:i/>
          <w:iCs/>
          <w:lang w:val="lt-LT"/>
        </w:rPr>
        <w:t>episodes</w:t>
      </w:r>
      <w:proofErr w:type="spellEnd"/>
      <w:r w:rsidRPr="00053370">
        <w:rPr>
          <w:i/>
          <w:iCs/>
          <w:lang w:val="lt-LT"/>
        </w:rPr>
        <w:t>,</w:t>
      </w:r>
      <w:r w:rsidRPr="00053370">
        <w:rPr>
          <w:lang w:val="lt-LT"/>
        </w:rPr>
        <w:t xml:space="preserve"> MELAS) sindromas ir iš motinos paveldėtas diabetas bei kurtumas (angl. </w:t>
      </w:r>
      <w:proofErr w:type="spellStart"/>
      <w:r w:rsidRPr="00053370">
        <w:rPr>
          <w:i/>
          <w:iCs/>
          <w:lang w:val="lt-LT"/>
        </w:rPr>
        <w:t>Maternal</w:t>
      </w:r>
      <w:proofErr w:type="spellEnd"/>
      <w:r w:rsidRPr="00053370">
        <w:rPr>
          <w:i/>
          <w:iCs/>
          <w:lang w:val="lt-LT"/>
        </w:rPr>
        <w:t xml:space="preserve"> </w:t>
      </w:r>
      <w:proofErr w:type="spellStart"/>
      <w:r w:rsidRPr="00053370">
        <w:rPr>
          <w:i/>
          <w:iCs/>
          <w:lang w:val="lt-LT"/>
        </w:rPr>
        <w:t>inherited</w:t>
      </w:r>
      <w:proofErr w:type="spellEnd"/>
      <w:r w:rsidRPr="00053370">
        <w:rPr>
          <w:i/>
          <w:iCs/>
          <w:lang w:val="lt-LT"/>
        </w:rPr>
        <w:t xml:space="preserve"> </w:t>
      </w:r>
      <w:proofErr w:type="spellStart"/>
      <w:r w:rsidRPr="00053370">
        <w:rPr>
          <w:i/>
          <w:iCs/>
          <w:lang w:val="lt-LT"/>
        </w:rPr>
        <w:t>diabetes</w:t>
      </w:r>
      <w:proofErr w:type="spellEnd"/>
      <w:r w:rsidRPr="00053370">
        <w:rPr>
          <w:i/>
          <w:iCs/>
          <w:lang w:val="lt-LT"/>
        </w:rPr>
        <w:t xml:space="preserve"> </w:t>
      </w:r>
      <w:proofErr w:type="spellStart"/>
      <w:r w:rsidRPr="00053370">
        <w:rPr>
          <w:i/>
          <w:iCs/>
          <w:lang w:val="lt-LT"/>
        </w:rPr>
        <w:t>and</w:t>
      </w:r>
      <w:proofErr w:type="spellEnd"/>
      <w:r w:rsidRPr="00053370">
        <w:rPr>
          <w:i/>
          <w:iCs/>
          <w:lang w:val="lt-LT"/>
        </w:rPr>
        <w:t xml:space="preserve"> </w:t>
      </w:r>
      <w:proofErr w:type="spellStart"/>
      <w:r w:rsidRPr="00053370">
        <w:rPr>
          <w:i/>
          <w:iCs/>
          <w:lang w:val="lt-LT"/>
        </w:rPr>
        <w:t>deafness</w:t>
      </w:r>
      <w:proofErr w:type="spellEnd"/>
      <w:r w:rsidRPr="00053370">
        <w:rPr>
          <w:lang w:val="lt-LT"/>
        </w:rPr>
        <w:t xml:space="preserve">, MIDD), </w:t>
      </w:r>
      <w:proofErr w:type="spellStart"/>
      <w:r w:rsidRPr="00053370">
        <w:rPr>
          <w:lang w:val="lt-LT"/>
        </w:rPr>
        <w:t>metformino</w:t>
      </w:r>
      <w:proofErr w:type="spellEnd"/>
      <w:r w:rsidRPr="00053370">
        <w:rPr>
          <w:lang w:val="lt-LT"/>
        </w:rPr>
        <w:t xml:space="preserve"> vartoti nerekomenduojama dėl pieno rūgšties </w:t>
      </w:r>
      <w:proofErr w:type="spellStart"/>
      <w:r w:rsidRPr="00053370">
        <w:rPr>
          <w:lang w:val="lt-LT"/>
        </w:rPr>
        <w:t>acidozės</w:t>
      </w:r>
      <w:proofErr w:type="spellEnd"/>
      <w:r w:rsidRPr="00053370">
        <w:rPr>
          <w:lang w:val="lt-LT"/>
        </w:rPr>
        <w:t xml:space="preserve"> paūmėjimo ir neurologinių komplikacijų, dėl kurių gali pasunkėti liga, rizikos. Jei pavartojus </w:t>
      </w:r>
      <w:proofErr w:type="spellStart"/>
      <w:r w:rsidRPr="00053370">
        <w:rPr>
          <w:lang w:val="lt-LT"/>
        </w:rPr>
        <w:t>metformino</w:t>
      </w:r>
      <w:proofErr w:type="spellEnd"/>
      <w:r w:rsidRPr="00053370">
        <w:rPr>
          <w:lang w:val="lt-LT"/>
        </w:rPr>
        <w:t xml:space="preserve"> atsiranda požymių ir simptomų, būdingų MELAS sindromui arba MIDD, reikia nedelsiant nutraukti gydymą </w:t>
      </w:r>
      <w:proofErr w:type="spellStart"/>
      <w:r w:rsidRPr="00053370">
        <w:rPr>
          <w:lang w:val="lt-LT"/>
        </w:rPr>
        <w:t>metforminu</w:t>
      </w:r>
      <w:proofErr w:type="spellEnd"/>
      <w:r w:rsidRPr="00053370">
        <w:rPr>
          <w:lang w:val="lt-LT"/>
        </w:rPr>
        <w:t xml:space="preserve"> ir greitai atlikti diagnostinį įvertinimą.</w:t>
      </w:r>
    </w:p>
    <w:p w14:paraId="625D8C4A"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39DBDDCE"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Inkstų funkcija</w:t>
      </w:r>
    </w:p>
    <w:p w14:paraId="42D90965"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Prieš pradedant gydymą ir reguliariai po to reikia vertinti GFG (žr. 4.2 skyrių). </w:t>
      </w:r>
      <w:proofErr w:type="spellStart"/>
      <w:r>
        <w:rPr>
          <w:rFonts w:eastAsia="TimesNewRoman"/>
          <w:snapToGrid/>
          <w:szCs w:val="22"/>
          <w:lang w:val="lt-LT"/>
        </w:rPr>
        <w:t>Maymetsi</w:t>
      </w:r>
      <w:proofErr w:type="spellEnd"/>
      <w:r>
        <w:rPr>
          <w:rFonts w:eastAsia="TimesNewRoman"/>
          <w:snapToGrid/>
          <w:szCs w:val="22"/>
          <w:lang w:val="lt-LT"/>
        </w:rPr>
        <w:t xml:space="preserve"> negalima vartoti pacientams, kurių GFG &lt; 30 ml/min., ir jo vartojimą reikia laikinai nutraukti, jei yra būklių galinčių sutrikdyti inkstų funkciją (žr. 4.3 skyrių).</w:t>
      </w:r>
    </w:p>
    <w:p w14:paraId="1B4A2E34"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07DB3173"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Hipoglikemija</w:t>
      </w:r>
    </w:p>
    <w:p w14:paraId="7F04B0DC" w14:textId="77777777" w:rsidR="00B64E78" w:rsidRDefault="00DA46A9">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Pacientams, kurie vartoja </w:t>
      </w:r>
      <w:proofErr w:type="spellStart"/>
      <w:r>
        <w:rPr>
          <w:rFonts w:eastAsia="TimesNewRoman"/>
          <w:snapToGrid/>
          <w:szCs w:val="22"/>
          <w:lang w:val="lt-LT"/>
        </w:rPr>
        <w:t>Maymetsi</w:t>
      </w:r>
      <w:proofErr w:type="spellEnd"/>
      <w:r>
        <w:rPr>
          <w:rFonts w:eastAsia="TimesNewRoman"/>
          <w:snapToGrid/>
          <w:szCs w:val="22"/>
          <w:lang w:val="lt-LT"/>
        </w:rPr>
        <w:t xml:space="preserve"> kartu su </w:t>
      </w:r>
      <w:proofErr w:type="spellStart"/>
      <w:r>
        <w:rPr>
          <w:rFonts w:eastAsia="TimesNewRoman"/>
          <w:snapToGrid/>
          <w:szCs w:val="22"/>
          <w:lang w:val="lt-LT"/>
        </w:rPr>
        <w:t>sulfonilkarbamidu</w:t>
      </w:r>
      <w:proofErr w:type="spellEnd"/>
      <w:r>
        <w:rPr>
          <w:rFonts w:eastAsia="TimesNewRoman"/>
          <w:snapToGrid/>
          <w:szCs w:val="22"/>
          <w:lang w:val="lt-LT"/>
        </w:rPr>
        <w:t xml:space="preserve"> arba kartu su insulinu, gali būti hipoglikemijos pasireiškimo rizika. Todėl gali reikėti sumažinti </w:t>
      </w:r>
      <w:proofErr w:type="spellStart"/>
      <w:r>
        <w:rPr>
          <w:rFonts w:eastAsia="TimesNewRoman"/>
          <w:snapToGrid/>
          <w:szCs w:val="22"/>
          <w:lang w:val="lt-LT"/>
        </w:rPr>
        <w:t>sulfonilkarbamido</w:t>
      </w:r>
      <w:proofErr w:type="spellEnd"/>
      <w:r>
        <w:rPr>
          <w:rFonts w:eastAsia="TimesNewRoman"/>
          <w:snapToGrid/>
          <w:szCs w:val="22"/>
          <w:lang w:val="lt-LT"/>
        </w:rPr>
        <w:t xml:space="preserve"> arba insulino dozę.</w:t>
      </w:r>
    </w:p>
    <w:p w14:paraId="7201EEF1" w14:textId="77777777" w:rsidR="00B64E78" w:rsidRDefault="00B64E78">
      <w:pPr>
        <w:widowControl w:val="0"/>
        <w:tabs>
          <w:tab w:val="clear" w:pos="567"/>
        </w:tabs>
        <w:spacing w:line="240" w:lineRule="auto"/>
        <w:rPr>
          <w:snapToGrid/>
          <w:szCs w:val="22"/>
          <w:u w:val="single"/>
          <w:lang w:val="lt-LT"/>
        </w:rPr>
      </w:pPr>
    </w:p>
    <w:p w14:paraId="4F3879AD"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Padidėjusio jautrumo reakcijos</w:t>
      </w:r>
    </w:p>
    <w:p w14:paraId="44A0D1DE" w14:textId="77777777" w:rsidR="00B64E78" w:rsidRDefault="00DA46A9">
      <w:pPr>
        <w:widowControl w:val="0"/>
        <w:tabs>
          <w:tab w:val="clear" w:pos="567"/>
        </w:tabs>
        <w:autoSpaceDE w:val="0"/>
        <w:autoSpaceDN w:val="0"/>
        <w:adjustRightInd w:val="0"/>
        <w:spacing w:line="240" w:lineRule="auto"/>
        <w:rPr>
          <w:snapToGrid/>
          <w:szCs w:val="22"/>
          <w:u w:val="single"/>
          <w:lang w:val="lt-LT"/>
        </w:rPr>
      </w:pPr>
      <w:r>
        <w:rPr>
          <w:rFonts w:eastAsia="TimesNewRoman"/>
          <w:snapToGrid/>
          <w:szCs w:val="22"/>
          <w:lang w:val="lt-LT"/>
        </w:rPr>
        <w:t xml:space="preserve">Po vaistinio preparato pateikimo į rinką buvo pranešimų apie sunkių padidėjusio jautrumo reakcijų atvejus </w:t>
      </w:r>
      <w:proofErr w:type="spellStart"/>
      <w:r>
        <w:rPr>
          <w:rFonts w:eastAsia="TimesNewRoman"/>
          <w:snapToGrid/>
          <w:szCs w:val="22"/>
          <w:lang w:val="lt-LT"/>
        </w:rPr>
        <w:t>sitagliptino</w:t>
      </w:r>
      <w:proofErr w:type="spellEnd"/>
      <w:r>
        <w:rPr>
          <w:rFonts w:eastAsia="TimesNewRoman"/>
          <w:snapToGrid/>
          <w:szCs w:val="22"/>
          <w:lang w:val="lt-LT"/>
        </w:rPr>
        <w:t xml:space="preserve"> vartojusiems pacientams. Šios reakcijos pasireiškė </w:t>
      </w:r>
      <w:proofErr w:type="spellStart"/>
      <w:r>
        <w:rPr>
          <w:rFonts w:eastAsia="TimesNewRoman"/>
          <w:snapToGrid/>
          <w:szCs w:val="22"/>
          <w:lang w:val="lt-LT"/>
        </w:rPr>
        <w:t>anafilaksija</w:t>
      </w:r>
      <w:proofErr w:type="spellEnd"/>
      <w:r>
        <w:rPr>
          <w:rFonts w:eastAsia="TimesNewRoman"/>
          <w:snapToGrid/>
          <w:szCs w:val="22"/>
          <w:lang w:val="lt-LT"/>
        </w:rPr>
        <w:t xml:space="preserve">, </w:t>
      </w:r>
      <w:proofErr w:type="spellStart"/>
      <w:r>
        <w:rPr>
          <w:rFonts w:eastAsia="TimesNewRoman"/>
          <w:snapToGrid/>
          <w:szCs w:val="22"/>
          <w:lang w:val="lt-LT"/>
        </w:rPr>
        <w:t>angioneurozine</w:t>
      </w:r>
      <w:proofErr w:type="spellEnd"/>
      <w:r>
        <w:rPr>
          <w:rFonts w:eastAsia="TimesNewRoman"/>
          <w:snapToGrid/>
          <w:szCs w:val="22"/>
          <w:lang w:val="lt-LT"/>
        </w:rPr>
        <w:t xml:space="preserve"> edema ir </w:t>
      </w:r>
      <w:proofErr w:type="spellStart"/>
      <w:r>
        <w:rPr>
          <w:rFonts w:eastAsia="TimesNewRoman"/>
          <w:snapToGrid/>
          <w:szCs w:val="22"/>
          <w:lang w:val="lt-LT"/>
        </w:rPr>
        <w:t>eksfoliaciniais</w:t>
      </w:r>
      <w:proofErr w:type="spellEnd"/>
      <w:r>
        <w:rPr>
          <w:rFonts w:eastAsia="TimesNewRoman"/>
          <w:snapToGrid/>
          <w:szCs w:val="22"/>
          <w:lang w:val="lt-LT"/>
        </w:rPr>
        <w:t xml:space="preserve"> odos sutrikimais, įskaitant </w:t>
      </w:r>
      <w:proofErr w:type="spellStart"/>
      <w:r>
        <w:rPr>
          <w:rFonts w:eastAsia="TimesNewRoman"/>
          <w:snapToGrid/>
          <w:szCs w:val="22"/>
          <w:lang w:val="lt-LT"/>
        </w:rPr>
        <w:t>Stivenso</w:t>
      </w:r>
      <w:proofErr w:type="spellEnd"/>
      <w:r>
        <w:rPr>
          <w:rFonts w:eastAsia="TimesNewRoman"/>
          <w:snapToGrid/>
          <w:szCs w:val="22"/>
          <w:lang w:val="lt-LT"/>
        </w:rPr>
        <w:noBreakHyphen/>
        <w:t>Džonsono (</w:t>
      </w:r>
      <w:proofErr w:type="spellStart"/>
      <w:r>
        <w:rPr>
          <w:rFonts w:eastAsia="TimesNewRoman,Italic"/>
          <w:i/>
          <w:iCs/>
          <w:snapToGrid/>
          <w:szCs w:val="22"/>
          <w:lang w:val="lt-LT"/>
        </w:rPr>
        <w:t>Stevens</w:t>
      </w:r>
      <w:r>
        <w:rPr>
          <w:rFonts w:eastAsia="TimesNewRoman,Italic"/>
          <w:i/>
          <w:iCs/>
          <w:snapToGrid/>
          <w:szCs w:val="22"/>
          <w:lang w:val="lt-LT"/>
        </w:rPr>
        <w:noBreakHyphen/>
        <w:t>Johnson</w:t>
      </w:r>
      <w:proofErr w:type="spellEnd"/>
      <w:r>
        <w:rPr>
          <w:rFonts w:eastAsia="TimesNewRoman,Italic"/>
          <w:iCs/>
          <w:snapToGrid/>
          <w:szCs w:val="22"/>
          <w:lang w:val="lt-LT"/>
        </w:rPr>
        <w:t>)</w:t>
      </w:r>
      <w:r>
        <w:rPr>
          <w:rFonts w:eastAsia="TimesNewRoman,Italic"/>
          <w:i/>
          <w:iCs/>
          <w:snapToGrid/>
          <w:szCs w:val="22"/>
          <w:lang w:val="lt-LT"/>
        </w:rPr>
        <w:t xml:space="preserve"> </w:t>
      </w:r>
      <w:r>
        <w:rPr>
          <w:rFonts w:eastAsia="TimesNewRoman"/>
          <w:snapToGrid/>
          <w:szCs w:val="22"/>
          <w:lang w:val="lt-LT"/>
        </w:rPr>
        <w:t xml:space="preserve">sindromą. Šios reakcijos pasireiškė per pirmuosius 3 mėnesius nuo </w:t>
      </w:r>
      <w:proofErr w:type="spellStart"/>
      <w:r>
        <w:rPr>
          <w:rFonts w:eastAsia="TimesNewRoman"/>
          <w:snapToGrid/>
          <w:szCs w:val="22"/>
          <w:lang w:val="lt-LT"/>
        </w:rPr>
        <w:t>sitagliptino</w:t>
      </w:r>
      <w:proofErr w:type="spellEnd"/>
      <w:r>
        <w:rPr>
          <w:rFonts w:eastAsia="TimesNewRoman"/>
          <w:snapToGrid/>
          <w:szCs w:val="22"/>
          <w:lang w:val="lt-LT"/>
        </w:rPr>
        <w:t xml:space="preserve"> vartojimo pradžios, o keletu atvejų – po pirmosios dozės pavartojimo. Įtarus padidėjusio jautrumo reakciją, </w:t>
      </w:r>
      <w:proofErr w:type="spellStart"/>
      <w:r>
        <w:rPr>
          <w:snapToGrid/>
          <w:szCs w:val="22"/>
          <w:lang w:val="lt-LT"/>
        </w:rPr>
        <w:t>Maymetsi</w:t>
      </w:r>
      <w:proofErr w:type="spellEnd"/>
      <w:r>
        <w:rPr>
          <w:rFonts w:eastAsia="TimesNewRoman"/>
          <w:snapToGrid/>
          <w:szCs w:val="22"/>
          <w:lang w:val="lt-LT"/>
        </w:rPr>
        <w:t xml:space="preserve"> vartojimą reikia nutraukti bei būtina įvertinti kitas galimas reiškinio priežastis ir pradėti alternatyvų cukrinio diabeto gydymą (žr. 4.8 skyrių).</w:t>
      </w:r>
    </w:p>
    <w:p w14:paraId="689FFA54" w14:textId="77777777" w:rsidR="00B64E78" w:rsidRDefault="00B64E78">
      <w:pPr>
        <w:widowControl w:val="0"/>
        <w:tabs>
          <w:tab w:val="clear" w:pos="567"/>
        </w:tabs>
        <w:spacing w:line="240" w:lineRule="auto"/>
        <w:rPr>
          <w:snapToGrid/>
          <w:szCs w:val="22"/>
          <w:u w:val="single"/>
          <w:lang w:val="lt-LT"/>
        </w:rPr>
      </w:pPr>
    </w:p>
    <w:p w14:paraId="5C5349B2"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Buliozinis</w:t>
      </w:r>
      <w:proofErr w:type="spellEnd"/>
      <w:r>
        <w:rPr>
          <w:rFonts w:eastAsia="TimesNewRoman"/>
          <w:snapToGrid/>
          <w:szCs w:val="22"/>
          <w:u w:val="single"/>
          <w:lang w:val="lt-LT"/>
        </w:rPr>
        <w:t xml:space="preserve"> (</w:t>
      </w:r>
      <w:proofErr w:type="spellStart"/>
      <w:r>
        <w:rPr>
          <w:rFonts w:eastAsia="TimesNewRoman"/>
          <w:snapToGrid/>
          <w:szCs w:val="22"/>
          <w:u w:val="single"/>
          <w:lang w:val="lt-LT"/>
        </w:rPr>
        <w:t>pūslinis</w:t>
      </w:r>
      <w:proofErr w:type="spellEnd"/>
      <w:r>
        <w:rPr>
          <w:rFonts w:eastAsia="TimesNewRoman"/>
          <w:snapToGrid/>
          <w:szCs w:val="22"/>
          <w:u w:val="single"/>
          <w:lang w:val="lt-LT"/>
        </w:rPr>
        <w:t xml:space="preserve">) </w:t>
      </w:r>
      <w:proofErr w:type="spellStart"/>
      <w:r>
        <w:rPr>
          <w:rFonts w:eastAsia="TimesNewRoman"/>
          <w:snapToGrid/>
          <w:szCs w:val="22"/>
          <w:u w:val="single"/>
          <w:lang w:val="lt-LT"/>
        </w:rPr>
        <w:t>pemfigoidas</w:t>
      </w:r>
      <w:proofErr w:type="spellEnd"/>
    </w:p>
    <w:p w14:paraId="023F221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Po vaistinio preparato pateikimo į rinką buvo gauta pranešimų apie </w:t>
      </w:r>
      <w:proofErr w:type="spellStart"/>
      <w:r>
        <w:rPr>
          <w:rFonts w:eastAsia="TimesNewRoman"/>
          <w:snapToGrid/>
          <w:szCs w:val="22"/>
          <w:lang w:val="lt-LT"/>
        </w:rPr>
        <w:t>pūslinio</w:t>
      </w:r>
      <w:proofErr w:type="spellEnd"/>
      <w:r>
        <w:rPr>
          <w:rFonts w:eastAsia="TimesNewRoman"/>
          <w:snapToGrid/>
          <w:szCs w:val="22"/>
          <w:lang w:val="lt-LT"/>
        </w:rPr>
        <w:t xml:space="preserve"> </w:t>
      </w:r>
      <w:proofErr w:type="spellStart"/>
      <w:r>
        <w:rPr>
          <w:rFonts w:eastAsia="TimesNewRoman"/>
          <w:snapToGrid/>
          <w:szCs w:val="22"/>
          <w:lang w:val="lt-LT"/>
        </w:rPr>
        <w:t>pemfigoido</w:t>
      </w:r>
      <w:proofErr w:type="spellEnd"/>
      <w:r>
        <w:rPr>
          <w:rFonts w:eastAsia="TimesNewRoman"/>
          <w:snapToGrid/>
          <w:szCs w:val="22"/>
          <w:lang w:val="lt-LT"/>
        </w:rPr>
        <w:t xml:space="preserve"> pasireiškimo atvejus pacientams, kurie vartojo DPP</w:t>
      </w:r>
      <w:r>
        <w:rPr>
          <w:rFonts w:eastAsia="TimesNewRoman"/>
          <w:snapToGrid/>
          <w:szCs w:val="22"/>
          <w:lang w:val="lt-LT"/>
        </w:rPr>
        <w:noBreakHyphen/>
        <w:t xml:space="preserve">4 inhibitorių, įskaitant </w:t>
      </w:r>
      <w:proofErr w:type="spellStart"/>
      <w:r>
        <w:rPr>
          <w:rFonts w:eastAsia="TimesNewRoman"/>
          <w:snapToGrid/>
          <w:szCs w:val="22"/>
          <w:lang w:val="lt-LT"/>
        </w:rPr>
        <w:t>sitagliptiną</w:t>
      </w:r>
      <w:proofErr w:type="spellEnd"/>
      <w:r>
        <w:rPr>
          <w:rFonts w:eastAsia="TimesNewRoman"/>
          <w:snapToGrid/>
          <w:szCs w:val="22"/>
          <w:lang w:val="lt-LT"/>
        </w:rPr>
        <w:t xml:space="preserve">. Jeigu įtariama, kad pasireiškė </w:t>
      </w:r>
      <w:proofErr w:type="spellStart"/>
      <w:r>
        <w:rPr>
          <w:rFonts w:eastAsia="TimesNewRoman"/>
          <w:snapToGrid/>
          <w:szCs w:val="22"/>
          <w:lang w:val="lt-LT"/>
        </w:rPr>
        <w:t>pūslinis</w:t>
      </w:r>
      <w:proofErr w:type="spellEnd"/>
      <w:r>
        <w:rPr>
          <w:rFonts w:eastAsia="TimesNewRoman"/>
          <w:snapToGrid/>
          <w:szCs w:val="22"/>
          <w:lang w:val="lt-LT"/>
        </w:rPr>
        <w:t xml:space="preserve"> </w:t>
      </w:r>
      <w:proofErr w:type="spellStart"/>
      <w:r>
        <w:rPr>
          <w:rFonts w:eastAsia="TimesNewRoman"/>
          <w:snapToGrid/>
          <w:szCs w:val="22"/>
          <w:lang w:val="lt-LT"/>
        </w:rPr>
        <w:t>pemfigoidas</w:t>
      </w:r>
      <w:proofErr w:type="spellEnd"/>
      <w:r>
        <w:rPr>
          <w:rFonts w:eastAsia="TimesNewRoman"/>
          <w:snapToGrid/>
          <w:szCs w:val="22"/>
          <w:lang w:val="lt-LT"/>
        </w:rPr>
        <w:t xml:space="preserve">, </w:t>
      </w:r>
      <w:proofErr w:type="spellStart"/>
      <w:r>
        <w:rPr>
          <w:snapToGrid/>
          <w:szCs w:val="22"/>
          <w:lang w:val="lt-LT"/>
        </w:rPr>
        <w:t>Maymetsi</w:t>
      </w:r>
      <w:proofErr w:type="spellEnd"/>
      <w:r>
        <w:rPr>
          <w:rFonts w:eastAsia="TimesNewRoman"/>
          <w:snapToGrid/>
          <w:szCs w:val="22"/>
          <w:lang w:val="lt-LT"/>
        </w:rPr>
        <w:t xml:space="preserve"> vartojimą reikia nutraukti.</w:t>
      </w:r>
    </w:p>
    <w:p w14:paraId="4B0A5E9C" w14:textId="77777777" w:rsidR="00B64E78" w:rsidRDefault="00B64E78">
      <w:pPr>
        <w:widowControl w:val="0"/>
        <w:tabs>
          <w:tab w:val="clear" w:pos="567"/>
        </w:tabs>
        <w:autoSpaceDE w:val="0"/>
        <w:autoSpaceDN w:val="0"/>
        <w:adjustRightInd w:val="0"/>
        <w:spacing w:line="240" w:lineRule="auto"/>
        <w:rPr>
          <w:snapToGrid/>
          <w:szCs w:val="22"/>
          <w:u w:val="single"/>
          <w:lang w:val="lt-LT"/>
        </w:rPr>
      </w:pPr>
    </w:p>
    <w:p w14:paraId="67DC5340" w14:textId="77777777" w:rsidR="00B64E78" w:rsidRDefault="00DA46A9">
      <w:pPr>
        <w:widowControl w:val="0"/>
        <w:tabs>
          <w:tab w:val="clear" w:pos="567"/>
        </w:tabs>
        <w:spacing w:line="240" w:lineRule="auto"/>
        <w:rPr>
          <w:snapToGrid/>
          <w:szCs w:val="22"/>
          <w:u w:val="single"/>
          <w:lang w:val="lt-LT"/>
        </w:rPr>
      </w:pPr>
      <w:r>
        <w:rPr>
          <w:snapToGrid/>
          <w:szCs w:val="22"/>
          <w:u w:val="single"/>
          <w:lang w:val="lt-LT"/>
        </w:rPr>
        <w:t>Operacija</w:t>
      </w:r>
    </w:p>
    <w:p w14:paraId="0A72A129" w14:textId="77777777" w:rsidR="00B64E78" w:rsidRDefault="00DA46A9">
      <w:pPr>
        <w:widowControl w:val="0"/>
        <w:tabs>
          <w:tab w:val="clear" w:pos="567"/>
        </w:tabs>
        <w:spacing w:line="240" w:lineRule="auto"/>
        <w:rPr>
          <w:snapToGrid/>
          <w:szCs w:val="22"/>
          <w:lang w:val="lt-LT"/>
        </w:rPr>
      </w:pPr>
      <w:r>
        <w:rPr>
          <w:snapToGrid/>
          <w:szCs w:val="22"/>
          <w:lang w:val="lt-LT"/>
        </w:rPr>
        <w:t xml:space="preserve">Operacijos metu taikant bendrąją, </w:t>
      </w:r>
      <w:proofErr w:type="spellStart"/>
      <w:r>
        <w:rPr>
          <w:snapToGrid/>
          <w:szCs w:val="22"/>
          <w:lang w:val="lt-LT"/>
        </w:rPr>
        <w:t>spinalinę</w:t>
      </w:r>
      <w:proofErr w:type="spellEnd"/>
      <w:r>
        <w:rPr>
          <w:snapToGrid/>
          <w:szCs w:val="22"/>
          <w:lang w:val="lt-LT"/>
        </w:rPr>
        <w:t xml:space="preserve"> arba </w:t>
      </w:r>
      <w:proofErr w:type="spellStart"/>
      <w:r>
        <w:rPr>
          <w:snapToGrid/>
          <w:szCs w:val="22"/>
          <w:lang w:val="lt-LT"/>
        </w:rPr>
        <w:t>epidurinę</w:t>
      </w:r>
      <w:proofErr w:type="spellEnd"/>
      <w:r>
        <w:rPr>
          <w:snapToGrid/>
          <w:szCs w:val="22"/>
          <w:lang w:val="lt-LT"/>
        </w:rPr>
        <w:t xml:space="preserve"> nejautrą, </w:t>
      </w:r>
      <w:proofErr w:type="spellStart"/>
      <w:r>
        <w:rPr>
          <w:snapToGrid/>
          <w:szCs w:val="22"/>
          <w:lang w:val="lt-LT"/>
        </w:rPr>
        <w:t>Maymetsi</w:t>
      </w:r>
      <w:proofErr w:type="spellEnd"/>
      <w:r>
        <w:rPr>
          <w:snapToGrid/>
          <w:szCs w:val="22"/>
          <w:lang w:val="lt-LT"/>
        </w:rPr>
        <w:t xml:space="preserve"> vartojimą reikia nutraukti. Gydymą galima atnaujinti praėjus ne mažiau kaip 48 valandoms po operacijos arba po mitybos per burną atnaujinimo ir tik jei buvo kartotinai atlikti tyrimai, kurie patvirtino stabilią inkstų funkciją.</w:t>
      </w:r>
    </w:p>
    <w:p w14:paraId="6A9D4C60" w14:textId="77777777" w:rsidR="00B64E78" w:rsidRDefault="00B64E78">
      <w:pPr>
        <w:widowControl w:val="0"/>
        <w:tabs>
          <w:tab w:val="clear" w:pos="567"/>
        </w:tabs>
        <w:spacing w:line="240" w:lineRule="auto"/>
        <w:rPr>
          <w:snapToGrid/>
          <w:szCs w:val="22"/>
          <w:lang w:val="lt-LT"/>
        </w:rPr>
      </w:pPr>
    </w:p>
    <w:p w14:paraId="2F87FEB4" w14:textId="77777777" w:rsidR="00B64E78" w:rsidRDefault="00DA46A9">
      <w:pPr>
        <w:widowControl w:val="0"/>
        <w:tabs>
          <w:tab w:val="clear" w:pos="567"/>
        </w:tabs>
        <w:spacing w:line="240" w:lineRule="auto"/>
        <w:rPr>
          <w:snapToGrid/>
          <w:szCs w:val="22"/>
          <w:u w:val="single"/>
          <w:lang w:val="lt-LT"/>
        </w:rPr>
      </w:pPr>
      <w:r>
        <w:rPr>
          <w:snapToGrid/>
          <w:szCs w:val="22"/>
          <w:u w:val="single"/>
          <w:lang w:val="lt-LT"/>
        </w:rPr>
        <w:t>Kontrastinių medžiagų, kurių sudėtyje yra jodo, skyrimas</w:t>
      </w:r>
    </w:p>
    <w:p w14:paraId="0F431496" w14:textId="77777777" w:rsidR="00B64E78" w:rsidRDefault="00DA46A9">
      <w:pPr>
        <w:widowControl w:val="0"/>
        <w:tabs>
          <w:tab w:val="clear" w:pos="567"/>
        </w:tabs>
        <w:spacing w:line="240" w:lineRule="auto"/>
        <w:rPr>
          <w:snapToGrid/>
          <w:szCs w:val="22"/>
          <w:lang w:val="lt-LT"/>
        </w:rPr>
      </w:pPr>
      <w:r>
        <w:rPr>
          <w:snapToGrid/>
          <w:szCs w:val="22"/>
          <w:lang w:val="lt-LT"/>
        </w:rPr>
        <w:t xml:space="preserve">Kontrastinių medžiagų, kurių sudėtyje yra jodo, suleidus į kraujagyslę, gali pasireikšti kontrastinių medžiagų sukeliama </w:t>
      </w:r>
      <w:proofErr w:type="spellStart"/>
      <w:r>
        <w:rPr>
          <w:snapToGrid/>
          <w:szCs w:val="22"/>
          <w:lang w:val="lt-LT"/>
        </w:rPr>
        <w:t>nefropatija</w:t>
      </w:r>
      <w:proofErr w:type="spellEnd"/>
      <w:r>
        <w:rPr>
          <w:snapToGrid/>
          <w:szCs w:val="22"/>
          <w:lang w:val="lt-LT"/>
        </w:rPr>
        <w:t xml:space="preserve">, dėl to gali kauptis </w:t>
      </w:r>
      <w:proofErr w:type="spellStart"/>
      <w:r>
        <w:rPr>
          <w:snapToGrid/>
          <w:szCs w:val="22"/>
          <w:lang w:val="lt-LT"/>
        </w:rPr>
        <w:t>metforminas</w:t>
      </w:r>
      <w:proofErr w:type="spellEnd"/>
      <w:r>
        <w:rPr>
          <w:snapToGrid/>
          <w:szCs w:val="22"/>
          <w:lang w:val="lt-LT"/>
        </w:rPr>
        <w:t xml:space="preserve"> ir padidėti pieno rūgšties </w:t>
      </w:r>
      <w:proofErr w:type="spellStart"/>
      <w:r>
        <w:rPr>
          <w:snapToGrid/>
          <w:szCs w:val="22"/>
          <w:lang w:val="lt-LT"/>
        </w:rPr>
        <w:t>acidozės</w:t>
      </w:r>
      <w:proofErr w:type="spellEnd"/>
      <w:r>
        <w:rPr>
          <w:snapToGrid/>
          <w:szCs w:val="22"/>
          <w:lang w:val="lt-LT"/>
        </w:rPr>
        <w:t xml:space="preserve"> pasireiškimo rizika. Prieš vaizdinio tyrimo procedūrą arba jos metu </w:t>
      </w:r>
      <w:proofErr w:type="spellStart"/>
      <w:r>
        <w:rPr>
          <w:snapToGrid/>
          <w:szCs w:val="22"/>
          <w:lang w:val="lt-LT"/>
        </w:rPr>
        <w:t>Maymetsi</w:t>
      </w:r>
      <w:proofErr w:type="spellEnd"/>
      <w:r>
        <w:rPr>
          <w:snapToGrid/>
          <w:szCs w:val="22"/>
          <w:lang w:val="lt-LT"/>
        </w:rPr>
        <w:t xml:space="preserve"> vartojimą reikia nutraukti. Gydymą galima atnaujinti praėjus ne mažiau kaip 48 valandoms ir tik jei buvo kartotinai atlikti tyrimai, kurie patvirtino stabilią inkstų funkciją (žr. 4.3 ir 4.5 skyrius).</w:t>
      </w:r>
    </w:p>
    <w:p w14:paraId="1B798620" w14:textId="77777777" w:rsidR="00B64E78" w:rsidRDefault="00B64E78">
      <w:pPr>
        <w:widowControl w:val="0"/>
        <w:tabs>
          <w:tab w:val="clear" w:pos="567"/>
        </w:tabs>
        <w:spacing w:line="240" w:lineRule="auto"/>
        <w:rPr>
          <w:snapToGrid/>
          <w:szCs w:val="22"/>
          <w:lang w:val="lt-LT"/>
        </w:rPr>
      </w:pPr>
    </w:p>
    <w:p w14:paraId="201B45FB" w14:textId="77777777" w:rsidR="00B64E78" w:rsidRDefault="00DA46A9">
      <w:pPr>
        <w:widowControl w:val="0"/>
        <w:tabs>
          <w:tab w:val="clear" w:pos="567"/>
        </w:tabs>
        <w:spacing w:line="240" w:lineRule="auto"/>
        <w:rPr>
          <w:snapToGrid/>
          <w:szCs w:val="22"/>
          <w:u w:val="single"/>
          <w:lang w:val="lt-LT"/>
        </w:rPr>
      </w:pPr>
      <w:r>
        <w:rPr>
          <w:snapToGrid/>
          <w:szCs w:val="22"/>
          <w:u w:val="single"/>
          <w:lang w:val="lt-LT"/>
        </w:rPr>
        <w:t>Klinikinės būklės pasikeitimas pacientams, kurių 2 tipo cukrinis diabetas buvo kontroliuojamas</w:t>
      </w:r>
    </w:p>
    <w:p w14:paraId="5158652E"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 xml:space="preserve">Jeigu pacientui, kurio 2 tipo cukrinis diabetas vartojant </w:t>
      </w:r>
      <w:proofErr w:type="spellStart"/>
      <w:r>
        <w:rPr>
          <w:snapToGrid/>
          <w:szCs w:val="22"/>
          <w:lang w:val="lt-LT"/>
        </w:rPr>
        <w:t>Maymetsi</w:t>
      </w:r>
      <w:proofErr w:type="spellEnd"/>
      <w:r>
        <w:rPr>
          <w:snapToGrid/>
          <w:szCs w:val="22"/>
          <w:lang w:val="lt-LT"/>
        </w:rPr>
        <w:t xml:space="preserve"> anksčiau buvo kontroliuojamas gerai, atsirado nenormalių laboratorinių tyrimų pokyčių ar klinikinių simptomų (ypač, kai liga neaiški ir blogai apibūdinta), jį reikia skubiai ištirti, ar nėra </w:t>
      </w:r>
      <w:proofErr w:type="spellStart"/>
      <w:r>
        <w:rPr>
          <w:snapToGrid/>
          <w:szCs w:val="22"/>
          <w:lang w:val="lt-LT"/>
        </w:rPr>
        <w:t>ketoacidozės</w:t>
      </w:r>
      <w:proofErr w:type="spellEnd"/>
      <w:r>
        <w:rPr>
          <w:snapToGrid/>
          <w:szCs w:val="22"/>
          <w:lang w:val="lt-LT"/>
        </w:rPr>
        <w:t xml:space="preserve"> arba pieno rūgšties </w:t>
      </w:r>
      <w:proofErr w:type="spellStart"/>
      <w:r>
        <w:rPr>
          <w:snapToGrid/>
          <w:szCs w:val="22"/>
          <w:lang w:val="lt-LT"/>
        </w:rPr>
        <w:t>acidozės</w:t>
      </w:r>
      <w:proofErr w:type="spellEnd"/>
      <w:r>
        <w:rPr>
          <w:snapToGrid/>
          <w:szCs w:val="22"/>
          <w:lang w:val="lt-LT"/>
        </w:rPr>
        <w:t xml:space="preserve">. Ištyrimo metu būtina nustatyti elektrolitų ir ketonų kiekį kraujo serume, gliukozės kiekį kraujyje ir, jei reikia, kraujo pH bei pieno rūgšties, </w:t>
      </w:r>
      <w:proofErr w:type="spellStart"/>
      <w:r>
        <w:rPr>
          <w:snapToGrid/>
          <w:szCs w:val="22"/>
          <w:lang w:val="lt-LT"/>
        </w:rPr>
        <w:t>piruvato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kiekį kraujyje. Jei pasireiškia bet kurios formos </w:t>
      </w:r>
      <w:proofErr w:type="spellStart"/>
      <w:r>
        <w:rPr>
          <w:snapToGrid/>
          <w:szCs w:val="22"/>
          <w:lang w:val="lt-LT"/>
        </w:rPr>
        <w:t>acidozė</w:t>
      </w:r>
      <w:proofErr w:type="spellEnd"/>
      <w:r>
        <w:rPr>
          <w:snapToGrid/>
          <w:szCs w:val="22"/>
          <w:lang w:val="lt-LT"/>
        </w:rPr>
        <w:t>, būtina nedelsiant nutraukti gydymą ir imtis kitų atitinkamų koreguojamųjų priemonių.</w:t>
      </w:r>
      <w:r>
        <w:rPr>
          <w:snapToGrid/>
          <w:szCs w:val="22"/>
          <w:lang w:val="lt-LT"/>
        </w:rPr>
        <w:cr/>
      </w:r>
    </w:p>
    <w:p w14:paraId="472E7BFD" w14:textId="77777777" w:rsidR="00B64E78" w:rsidRDefault="00DA46A9">
      <w:pPr>
        <w:tabs>
          <w:tab w:val="clear" w:pos="567"/>
        </w:tabs>
        <w:autoSpaceDE w:val="0"/>
        <w:autoSpaceDN w:val="0"/>
        <w:adjustRightInd w:val="0"/>
        <w:spacing w:line="240" w:lineRule="auto"/>
        <w:rPr>
          <w:rFonts w:eastAsia="Calibri"/>
          <w:snapToGrid/>
          <w:szCs w:val="22"/>
          <w:u w:val="single"/>
          <w:lang w:val="lt-LT" w:eastAsia="lt-LT"/>
        </w:rPr>
      </w:pPr>
      <w:r>
        <w:rPr>
          <w:rFonts w:eastAsia="Calibri"/>
          <w:snapToGrid/>
          <w:szCs w:val="22"/>
          <w:u w:val="single"/>
          <w:lang w:val="lt-LT" w:eastAsia="lt-LT"/>
        </w:rPr>
        <w:t>Vitamino B12 stoka</w:t>
      </w:r>
    </w:p>
    <w:p w14:paraId="5D57706D" w14:textId="77777777" w:rsidR="00B64E78" w:rsidRDefault="00DA46A9">
      <w:pPr>
        <w:tabs>
          <w:tab w:val="clear" w:pos="567"/>
        </w:tabs>
        <w:autoSpaceDE w:val="0"/>
        <w:autoSpaceDN w:val="0"/>
        <w:adjustRightInd w:val="0"/>
        <w:spacing w:line="240" w:lineRule="auto"/>
        <w:rPr>
          <w:rFonts w:eastAsia="Calibri"/>
          <w:snapToGrid/>
          <w:szCs w:val="22"/>
          <w:lang w:val="lt-LT" w:eastAsia="lt-LT"/>
        </w:rPr>
      </w:pPr>
      <w:r>
        <w:rPr>
          <w:rFonts w:eastAsia="Calibri"/>
          <w:snapToGrid/>
          <w:szCs w:val="22"/>
          <w:lang w:val="lt-LT" w:eastAsia="lt-LT"/>
        </w:rPr>
        <w:t xml:space="preserve">Vartojant </w:t>
      </w:r>
      <w:proofErr w:type="spellStart"/>
      <w:r>
        <w:rPr>
          <w:rFonts w:eastAsia="Calibri"/>
          <w:snapToGrid/>
          <w:szCs w:val="22"/>
          <w:lang w:val="lt-LT" w:eastAsia="lt-LT"/>
        </w:rPr>
        <w:t>metformin</w:t>
      </w:r>
      <w:r>
        <w:rPr>
          <w:rFonts w:eastAsia="TimesNewRomanPSMT"/>
          <w:snapToGrid/>
          <w:szCs w:val="22"/>
          <w:lang w:val="lt-LT" w:eastAsia="lt-LT"/>
        </w:rPr>
        <w:t>o</w:t>
      </w:r>
      <w:proofErr w:type="spellEnd"/>
      <w:r>
        <w:rPr>
          <w:rFonts w:eastAsia="TimesNewRomanPSMT"/>
          <w:snapToGrid/>
          <w:szCs w:val="22"/>
          <w:lang w:val="lt-LT" w:eastAsia="lt-LT"/>
        </w:rPr>
        <w:t xml:space="preserve"> gali sumažėti </w:t>
      </w:r>
      <w:r>
        <w:rPr>
          <w:rFonts w:eastAsia="Calibri"/>
          <w:snapToGrid/>
          <w:szCs w:val="22"/>
          <w:lang w:val="lt-LT" w:eastAsia="lt-LT"/>
        </w:rPr>
        <w:t xml:space="preserve">vitamino B12 koncentracija serume. </w:t>
      </w:r>
      <w:r>
        <w:rPr>
          <w:rFonts w:eastAsia="TimesNewRomanPSMT"/>
          <w:snapToGrid/>
          <w:szCs w:val="22"/>
          <w:lang w:val="lt-LT" w:eastAsia="lt-LT"/>
        </w:rPr>
        <w:t xml:space="preserve">Sumažėjusios </w:t>
      </w:r>
      <w:r>
        <w:rPr>
          <w:rFonts w:eastAsia="Calibri"/>
          <w:snapToGrid/>
          <w:szCs w:val="22"/>
          <w:lang w:val="lt-LT" w:eastAsia="lt-LT"/>
        </w:rPr>
        <w:t>vitamino B12</w:t>
      </w:r>
    </w:p>
    <w:p w14:paraId="7E80E56D" w14:textId="77777777" w:rsidR="00B64E78" w:rsidRDefault="00DA46A9">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koncentracijos serume pasi</w:t>
      </w:r>
      <w:r>
        <w:rPr>
          <w:rFonts w:eastAsia="TimesNewRomanPSMT"/>
          <w:snapToGrid/>
          <w:szCs w:val="22"/>
          <w:lang w:val="lt-LT" w:eastAsia="lt-LT"/>
        </w:rPr>
        <w:t xml:space="preserve">reiškimo rizika didėja vartojant didesnes </w:t>
      </w:r>
      <w:proofErr w:type="spellStart"/>
      <w:r>
        <w:rPr>
          <w:rFonts w:eastAsia="Calibri"/>
          <w:snapToGrid/>
          <w:szCs w:val="22"/>
          <w:lang w:val="lt-LT" w:eastAsia="lt-LT"/>
        </w:rPr>
        <w:t>metformino</w:t>
      </w:r>
      <w:proofErr w:type="spellEnd"/>
      <w:r>
        <w:rPr>
          <w:rFonts w:eastAsia="Calibri"/>
          <w:snapToGrid/>
          <w:szCs w:val="22"/>
          <w:lang w:val="lt-LT" w:eastAsia="lt-LT"/>
        </w:rPr>
        <w:t xml:space="preserve"> dozes, </w:t>
      </w:r>
      <w:r>
        <w:rPr>
          <w:rFonts w:eastAsia="TimesNewRomanPSMT"/>
          <w:snapToGrid/>
          <w:szCs w:val="22"/>
          <w:lang w:val="lt-LT" w:eastAsia="lt-LT"/>
        </w:rPr>
        <w:t>ilgėjant</w:t>
      </w:r>
    </w:p>
    <w:p w14:paraId="31EE9304" w14:textId="77777777" w:rsidR="00B64E78" w:rsidRDefault="00DA46A9">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gydymo trukmei ir (arba) tiems pacientams, kuriems jau yra vitamino B12 </w:t>
      </w:r>
      <w:r>
        <w:rPr>
          <w:rFonts w:eastAsia="TimesNewRomanPSMT"/>
          <w:snapToGrid/>
          <w:szCs w:val="22"/>
          <w:lang w:val="lt-LT" w:eastAsia="lt-LT"/>
        </w:rPr>
        <w:t>stoką galinčių lemti rizikos</w:t>
      </w:r>
    </w:p>
    <w:p w14:paraId="288AC337" w14:textId="77777777" w:rsidR="00B64E78" w:rsidRDefault="00DA46A9">
      <w:pPr>
        <w:tabs>
          <w:tab w:val="clear" w:pos="567"/>
        </w:tabs>
        <w:autoSpaceDE w:val="0"/>
        <w:autoSpaceDN w:val="0"/>
        <w:adjustRightInd w:val="0"/>
        <w:spacing w:line="240" w:lineRule="auto"/>
        <w:rPr>
          <w:rFonts w:eastAsia="TimesNewRomanPSMT"/>
          <w:snapToGrid/>
          <w:szCs w:val="22"/>
          <w:lang w:val="lt-LT" w:eastAsia="lt-LT"/>
        </w:rPr>
      </w:pPr>
      <w:r>
        <w:rPr>
          <w:rFonts w:eastAsia="TimesNewRomanPSMT"/>
          <w:snapToGrid/>
          <w:szCs w:val="22"/>
          <w:lang w:val="lt-LT" w:eastAsia="lt-LT"/>
        </w:rPr>
        <w:t>veiksnių</w:t>
      </w:r>
      <w:r>
        <w:rPr>
          <w:rFonts w:eastAsia="Calibri"/>
          <w:snapToGrid/>
          <w:szCs w:val="22"/>
          <w:lang w:val="lt-LT" w:eastAsia="lt-LT"/>
        </w:rPr>
        <w:t xml:space="preserve">. </w:t>
      </w:r>
      <w:r>
        <w:rPr>
          <w:rFonts w:eastAsia="TimesNewRomanPSMT"/>
          <w:snapToGrid/>
          <w:szCs w:val="22"/>
          <w:lang w:val="lt-LT" w:eastAsia="lt-LT"/>
        </w:rPr>
        <w:t xml:space="preserve">Įtarus </w:t>
      </w:r>
      <w:r>
        <w:rPr>
          <w:rFonts w:eastAsia="Calibri"/>
          <w:snapToGrid/>
          <w:szCs w:val="22"/>
          <w:lang w:val="lt-LT" w:eastAsia="lt-LT"/>
        </w:rPr>
        <w:t xml:space="preserve">vitamino B12 </w:t>
      </w:r>
      <w:r>
        <w:rPr>
          <w:rFonts w:eastAsia="TimesNewRomanPSMT"/>
          <w:snapToGrid/>
          <w:szCs w:val="22"/>
          <w:lang w:val="lt-LT" w:eastAsia="lt-LT"/>
        </w:rPr>
        <w:t xml:space="preserve">stoką </w:t>
      </w:r>
      <w:r>
        <w:rPr>
          <w:rFonts w:eastAsia="Calibri"/>
          <w:snapToGrid/>
          <w:szCs w:val="22"/>
          <w:lang w:val="lt-LT" w:eastAsia="lt-LT"/>
        </w:rPr>
        <w:t>(</w:t>
      </w:r>
      <w:r>
        <w:rPr>
          <w:rFonts w:eastAsia="TimesNewRomanPSMT"/>
          <w:snapToGrid/>
          <w:szCs w:val="22"/>
          <w:lang w:val="lt-LT" w:eastAsia="lt-LT"/>
        </w:rPr>
        <w:t>pavyzdžiui, pasireiš</w:t>
      </w:r>
      <w:r>
        <w:rPr>
          <w:rFonts w:eastAsia="Calibri"/>
          <w:snapToGrid/>
          <w:szCs w:val="22"/>
          <w:lang w:val="lt-LT" w:eastAsia="lt-LT"/>
        </w:rPr>
        <w:t xml:space="preserve">kus anemijai ar neuropatijai), </w:t>
      </w:r>
      <w:r>
        <w:rPr>
          <w:rFonts w:eastAsia="TimesNewRomanPSMT"/>
          <w:snapToGrid/>
          <w:szCs w:val="22"/>
          <w:lang w:val="lt-LT" w:eastAsia="lt-LT"/>
        </w:rPr>
        <w:t>reikia ištirti</w:t>
      </w:r>
    </w:p>
    <w:p w14:paraId="6E6FE8BF" w14:textId="77777777" w:rsidR="00B64E78" w:rsidRDefault="00DA46A9">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vitamino B12 </w:t>
      </w:r>
      <w:r>
        <w:rPr>
          <w:rFonts w:eastAsia="TimesNewRomanPSMT"/>
          <w:snapToGrid/>
          <w:szCs w:val="22"/>
          <w:lang w:val="lt-LT" w:eastAsia="lt-LT"/>
        </w:rPr>
        <w:t xml:space="preserve">koncentraciją </w:t>
      </w:r>
      <w:r>
        <w:rPr>
          <w:rFonts w:eastAsia="Calibri"/>
          <w:snapToGrid/>
          <w:szCs w:val="22"/>
          <w:lang w:val="lt-LT" w:eastAsia="lt-LT"/>
        </w:rPr>
        <w:t xml:space="preserve">serume. Pacientams, kuriems yra vitamino B12 </w:t>
      </w:r>
      <w:r>
        <w:rPr>
          <w:rFonts w:eastAsia="TimesNewRomanPSMT"/>
          <w:snapToGrid/>
          <w:szCs w:val="22"/>
          <w:lang w:val="lt-LT" w:eastAsia="lt-LT"/>
        </w:rPr>
        <w:t>stoką galinčių lemti</w:t>
      </w:r>
    </w:p>
    <w:p w14:paraId="5640EA6F" w14:textId="77777777" w:rsidR="00B64E78" w:rsidRDefault="00DA46A9">
      <w:pPr>
        <w:tabs>
          <w:tab w:val="clear" w:pos="567"/>
        </w:tabs>
        <w:autoSpaceDE w:val="0"/>
        <w:autoSpaceDN w:val="0"/>
        <w:adjustRightInd w:val="0"/>
        <w:spacing w:line="240" w:lineRule="auto"/>
        <w:rPr>
          <w:rFonts w:eastAsia="Calibri"/>
          <w:snapToGrid/>
          <w:szCs w:val="22"/>
          <w:lang w:val="lt-LT" w:eastAsia="lt-LT"/>
        </w:rPr>
      </w:pPr>
      <w:r>
        <w:rPr>
          <w:rFonts w:eastAsia="TimesNewRomanPSMT"/>
          <w:snapToGrid/>
          <w:szCs w:val="22"/>
          <w:lang w:val="lt-LT" w:eastAsia="lt-LT"/>
        </w:rPr>
        <w:t xml:space="preserve">rizikos veiksnių, </w:t>
      </w:r>
      <w:r>
        <w:rPr>
          <w:rFonts w:eastAsia="Calibri"/>
          <w:snapToGrid/>
          <w:szCs w:val="22"/>
          <w:lang w:val="lt-LT" w:eastAsia="lt-LT"/>
        </w:rPr>
        <w:t xml:space="preserve">vitamino B12 </w:t>
      </w:r>
      <w:r>
        <w:rPr>
          <w:rFonts w:eastAsia="TimesNewRomanPSMT"/>
          <w:snapToGrid/>
          <w:szCs w:val="22"/>
          <w:lang w:val="lt-LT" w:eastAsia="lt-LT"/>
        </w:rPr>
        <w:t xml:space="preserve">koncentraciją </w:t>
      </w:r>
      <w:r>
        <w:rPr>
          <w:rFonts w:eastAsia="Calibri"/>
          <w:snapToGrid/>
          <w:szCs w:val="22"/>
          <w:lang w:val="lt-LT" w:eastAsia="lt-LT"/>
        </w:rPr>
        <w:t xml:space="preserve">serume </w:t>
      </w:r>
      <w:r>
        <w:rPr>
          <w:rFonts w:eastAsia="TimesNewRomanPSMT"/>
          <w:snapToGrid/>
          <w:szCs w:val="22"/>
          <w:lang w:val="lt-LT" w:eastAsia="lt-LT"/>
        </w:rPr>
        <w:t xml:space="preserve">gali reikėti </w:t>
      </w:r>
      <w:r>
        <w:rPr>
          <w:rFonts w:eastAsia="Calibri"/>
          <w:snapToGrid/>
          <w:szCs w:val="22"/>
          <w:lang w:val="lt-LT" w:eastAsia="lt-LT"/>
        </w:rPr>
        <w:t xml:space="preserve">tirti </w:t>
      </w:r>
      <w:r>
        <w:rPr>
          <w:rFonts w:eastAsia="TimesNewRomanPSMT"/>
          <w:snapToGrid/>
          <w:szCs w:val="22"/>
          <w:lang w:val="lt-LT" w:eastAsia="lt-LT"/>
        </w:rPr>
        <w:t xml:space="preserve">periodiškai. Gydymą </w:t>
      </w:r>
      <w:proofErr w:type="spellStart"/>
      <w:r>
        <w:rPr>
          <w:rFonts w:eastAsia="TimesNewRomanPSMT"/>
          <w:snapToGrid/>
          <w:szCs w:val="22"/>
          <w:lang w:val="lt-LT" w:eastAsia="lt-LT"/>
        </w:rPr>
        <w:t>m</w:t>
      </w:r>
      <w:r>
        <w:rPr>
          <w:rFonts w:eastAsia="Calibri"/>
          <w:snapToGrid/>
          <w:szCs w:val="22"/>
          <w:lang w:val="lt-LT" w:eastAsia="lt-LT"/>
        </w:rPr>
        <w:t>etforminu</w:t>
      </w:r>
      <w:proofErr w:type="spellEnd"/>
    </w:p>
    <w:p w14:paraId="136E98B1" w14:textId="77777777" w:rsidR="00B64E78" w:rsidRDefault="00DA46A9">
      <w:pPr>
        <w:tabs>
          <w:tab w:val="clear" w:pos="567"/>
        </w:tabs>
        <w:autoSpaceDE w:val="0"/>
        <w:autoSpaceDN w:val="0"/>
        <w:adjustRightInd w:val="0"/>
        <w:spacing w:line="240" w:lineRule="auto"/>
        <w:rPr>
          <w:rFonts w:eastAsia="Calibri"/>
          <w:snapToGrid/>
          <w:szCs w:val="22"/>
          <w:lang w:val="lt-LT" w:eastAsia="lt-LT"/>
        </w:rPr>
      </w:pPr>
      <w:r>
        <w:rPr>
          <w:rFonts w:eastAsia="TimesNewRomanPSMT"/>
          <w:snapToGrid/>
          <w:szCs w:val="22"/>
          <w:lang w:val="lt-LT" w:eastAsia="lt-LT"/>
        </w:rPr>
        <w:t>reikia tęsti to</w:t>
      </w:r>
      <w:r>
        <w:rPr>
          <w:rFonts w:eastAsia="Calibri"/>
          <w:snapToGrid/>
          <w:szCs w:val="22"/>
          <w:lang w:val="lt-LT" w:eastAsia="lt-LT"/>
        </w:rPr>
        <w:t>l, kol jis toleruojamas ir ne</w:t>
      </w:r>
      <w:r>
        <w:rPr>
          <w:rFonts w:eastAsia="TimesNewRomanPSMT"/>
          <w:snapToGrid/>
          <w:szCs w:val="22"/>
          <w:lang w:val="lt-LT" w:eastAsia="lt-LT"/>
        </w:rPr>
        <w:t xml:space="preserve">atsiranda kontraindikacijų, o pasireiškus </w:t>
      </w:r>
      <w:r>
        <w:rPr>
          <w:rFonts w:eastAsia="Calibri"/>
          <w:snapToGrid/>
          <w:szCs w:val="22"/>
          <w:lang w:val="lt-LT" w:eastAsia="lt-LT"/>
        </w:rPr>
        <w:t>vitamino B12 stokai</w:t>
      </w:r>
    </w:p>
    <w:p w14:paraId="14E47527" w14:textId="77777777" w:rsidR="00B64E78" w:rsidRDefault="00DA46A9">
      <w:pPr>
        <w:tabs>
          <w:tab w:val="clear" w:pos="567"/>
        </w:tabs>
        <w:autoSpaceDE w:val="0"/>
        <w:autoSpaceDN w:val="0"/>
        <w:adjustRightInd w:val="0"/>
        <w:spacing w:line="240" w:lineRule="auto"/>
        <w:rPr>
          <w:rFonts w:eastAsia="TimesNewRomanPSMT"/>
          <w:snapToGrid/>
          <w:szCs w:val="22"/>
          <w:lang w:val="lt-LT" w:eastAsia="lt-LT"/>
        </w:rPr>
      </w:pPr>
      <w:r>
        <w:rPr>
          <w:rFonts w:eastAsia="Calibri"/>
          <w:snapToGrid/>
          <w:szCs w:val="22"/>
          <w:lang w:val="lt-LT" w:eastAsia="lt-LT"/>
        </w:rPr>
        <w:t xml:space="preserve">reikia skirti atitinkamas </w:t>
      </w:r>
      <w:r>
        <w:rPr>
          <w:rFonts w:eastAsia="TimesNewRomanPSMT"/>
          <w:snapToGrid/>
          <w:szCs w:val="22"/>
          <w:lang w:val="lt-LT" w:eastAsia="lt-LT"/>
        </w:rPr>
        <w:t xml:space="preserve">jo kiekį koreguojančias </w:t>
      </w:r>
      <w:r>
        <w:rPr>
          <w:rFonts w:eastAsia="Calibri"/>
          <w:snapToGrid/>
          <w:szCs w:val="22"/>
          <w:lang w:val="lt-LT" w:eastAsia="lt-LT"/>
        </w:rPr>
        <w:t>gydymo priemones</w:t>
      </w:r>
      <w:r>
        <w:rPr>
          <w:rFonts w:eastAsia="TimesNewRomanPSMT"/>
          <w:snapToGrid/>
          <w:szCs w:val="22"/>
          <w:lang w:val="lt-LT" w:eastAsia="lt-LT"/>
        </w:rPr>
        <w:t>, laikantis šiuolaikinių klinikinės</w:t>
      </w:r>
    </w:p>
    <w:p w14:paraId="1B6F0B26" w14:textId="77777777" w:rsidR="00B64E78" w:rsidRDefault="00DA46A9">
      <w:pPr>
        <w:widowControl w:val="0"/>
        <w:tabs>
          <w:tab w:val="clear" w:pos="567"/>
        </w:tabs>
        <w:spacing w:line="240" w:lineRule="auto"/>
        <w:rPr>
          <w:rFonts w:eastAsia="Calibri"/>
          <w:snapToGrid/>
          <w:szCs w:val="22"/>
          <w:lang w:val="lt-LT" w:eastAsia="lt-LT"/>
        </w:rPr>
      </w:pPr>
      <w:r>
        <w:rPr>
          <w:rFonts w:eastAsia="TimesNewRomanPSMT"/>
          <w:snapToGrid/>
          <w:szCs w:val="22"/>
          <w:lang w:val="lt-LT" w:eastAsia="lt-LT"/>
        </w:rPr>
        <w:t>praktikos rekomendacijų</w:t>
      </w:r>
      <w:r>
        <w:rPr>
          <w:rFonts w:eastAsia="Calibri"/>
          <w:snapToGrid/>
          <w:szCs w:val="22"/>
          <w:lang w:val="lt-LT" w:eastAsia="lt-LT"/>
        </w:rPr>
        <w:t>.</w:t>
      </w:r>
    </w:p>
    <w:p w14:paraId="0E0B6A34" w14:textId="77777777" w:rsidR="00B64E78" w:rsidRDefault="00B64E78">
      <w:pPr>
        <w:widowControl w:val="0"/>
        <w:tabs>
          <w:tab w:val="clear" w:pos="567"/>
        </w:tabs>
        <w:spacing w:line="240" w:lineRule="auto"/>
        <w:rPr>
          <w:snapToGrid/>
          <w:szCs w:val="22"/>
          <w:lang w:val="lt-LT"/>
        </w:rPr>
      </w:pPr>
    </w:p>
    <w:p w14:paraId="66F6059C" w14:textId="77777777" w:rsidR="00B64E78" w:rsidRDefault="00DA46A9">
      <w:pPr>
        <w:widowControl w:val="0"/>
        <w:tabs>
          <w:tab w:val="clear" w:pos="567"/>
        </w:tabs>
        <w:spacing w:line="240" w:lineRule="auto"/>
        <w:ind w:left="567" w:hanging="567"/>
        <w:rPr>
          <w:snapToGrid/>
          <w:szCs w:val="22"/>
          <w:lang w:val="lt-LT"/>
        </w:rPr>
      </w:pPr>
      <w:bookmarkStart w:id="0" w:name="_Hlk55160484"/>
      <w:proofErr w:type="spellStart"/>
      <w:r>
        <w:rPr>
          <w:snapToGrid/>
          <w:szCs w:val="22"/>
          <w:lang w:val="lt-LT"/>
        </w:rPr>
        <w:t>Maymetsi</w:t>
      </w:r>
      <w:proofErr w:type="spellEnd"/>
      <w:r>
        <w:rPr>
          <w:snapToGrid/>
          <w:szCs w:val="22"/>
          <w:lang w:val="lt-LT"/>
        </w:rPr>
        <w:t xml:space="preserve"> </w:t>
      </w:r>
      <w:bookmarkEnd w:id="0"/>
      <w:r>
        <w:rPr>
          <w:snapToGrid/>
          <w:szCs w:val="22"/>
          <w:lang w:val="lt-LT"/>
        </w:rPr>
        <w:t>sudėtyje yra natrio.</w:t>
      </w:r>
    </w:p>
    <w:p w14:paraId="07421EC5" w14:textId="77777777" w:rsidR="00B64E78" w:rsidRDefault="00DA46A9">
      <w:pPr>
        <w:widowControl w:val="0"/>
        <w:tabs>
          <w:tab w:val="clear" w:pos="567"/>
        </w:tabs>
        <w:spacing w:line="240" w:lineRule="auto"/>
        <w:rPr>
          <w:snapToGrid/>
          <w:szCs w:val="22"/>
          <w:lang w:val="lt-LT"/>
        </w:rPr>
      </w:pPr>
      <w:r>
        <w:rPr>
          <w:snapToGrid/>
          <w:szCs w:val="22"/>
          <w:lang w:val="lt-LT"/>
        </w:rPr>
        <w:t>Šio vaistinio preparato tabletėje yra mažiau kaip 1</w:t>
      </w:r>
      <w:r>
        <w:rPr>
          <w:rFonts w:eastAsia="TimesNewRoman"/>
          <w:snapToGrid/>
          <w:szCs w:val="22"/>
          <w:lang w:val="lt-LT"/>
        </w:rPr>
        <w:t> </w:t>
      </w:r>
      <w:proofErr w:type="spellStart"/>
      <w:r>
        <w:rPr>
          <w:snapToGrid/>
          <w:szCs w:val="22"/>
          <w:lang w:val="lt-LT"/>
        </w:rPr>
        <w:t>mmol</w:t>
      </w:r>
      <w:proofErr w:type="spellEnd"/>
      <w:r>
        <w:rPr>
          <w:snapToGrid/>
          <w:szCs w:val="22"/>
          <w:lang w:val="lt-LT"/>
        </w:rPr>
        <w:t xml:space="preserve"> (23</w:t>
      </w:r>
      <w:r>
        <w:rPr>
          <w:rFonts w:eastAsia="TimesNewRoman"/>
          <w:snapToGrid/>
          <w:szCs w:val="22"/>
          <w:lang w:val="lt-LT"/>
        </w:rPr>
        <w:t> mg</w:t>
      </w:r>
      <w:r>
        <w:rPr>
          <w:snapToGrid/>
          <w:szCs w:val="22"/>
          <w:lang w:val="lt-LT"/>
        </w:rPr>
        <w:t>) natrio, t. y. jis beveik neturi reikšmės.</w:t>
      </w:r>
    </w:p>
    <w:p w14:paraId="0EA33107" w14:textId="77777777" w:rsidR="00B64E78" w:rsidRDefault="00B64E78">
      <w:pPr>
        <w:widowControl w:val="0"/>
        <w:tabs>
          <w:tab w:val="clear" w:pos="567"/>
        </w:tabs>
        <w:spacing w:line="240" w:lineRule="auto"/>
        <w:ind w:left="567" w:hanging="567"/>
        <w:rPr>
          <w:snapToGrid/>
          <w:szCs w:val="22"/>
          <w:lang w:val="lt-LT"/>
        </w:rPr>
      </w:pPr>
    </w:p>
    <w:p w14:paraId="259C9BA2"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040B5146" w14:textId="77777777" w:rsidR="00B64E78" w:rsidRDefault="00B64E78">
      <w:pPr>
        <w:widowControl w:val="0"/>
        <w:tabs>
          <w:tab w:val="clear" w:pos="567"/>
        </w:tabs>
        <w:spacing w:line="240" w:lineRule="auto"/>
        <w:ind w:left="567" w:hanging="567"/>
        <w:rPr>
          <w:bCs/>
          <w:snapToGrid/>
          <w:szCs w:val="22"/>
          <w:lang w:val="lt-LT"/>
        </w:rPr>
      </w:pPr>
    </w:p>
    <w:p w14:paraId="41399F7B"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2 tipo cukriniu diabetu sergančių pacientų, kartu vartojančių kelias dozes </w:t>
      </w:r>
      <w:proofErr w:type="spellStart"/>
      <w:r>
        <w:rPr>
          <w:bCs/>
          <w:snapToGrid/>
          <w:szCs w:val="22"/>
          <w:lang w:val="lt-LT"/>
        </w:rPr>
        <w:t>sitagliptino</w:t>
      </w:r>
      <w:proofErr w:type="spellEnd"/>
      <w:r>
        <w:rPr>
          <w:bCs/>
          <w:snapToGrid/>
          <w:szCs w:val="22"/>
          <w:lang w:val="lt-LT"/>
        </w:rPr>
        <w:t xml:space="preserve"> (po 50 mg du kartus per parą) ir </w:t>
      </w:r>
      <w:proofErr w:type="spellStart"/>
      <w:r>
        <w:rPr>
          <w:bCs/>
          <w:snapToGrid/>
          <w:szCs w:val="22"/>
          <w:lang w:val="lt-LT"/>
        </w:rPr>
        <w:t>metformino</w:t>
      </w:r>
      <w:proofErr w:type="spellEnd"/>
      <w:r>
        <w:rPr>
          <w:bCs/>
          <w:snapToGrid/>
          <w:szCs w:val="22"/>
          <w:lang w:val="lt-LT"/>
        </w:rPr>
        <w:t xml:space="preserve"> (1000 mg du kartus per parą), organizme nei </w:t>
      </w:r>
      <w:proofErr w:type="spellStart"/>
      <w:r>
        <w:rPr>
          <w:bCs/>
          <w:snapToGrid/>
          <w:szCs w:val="22"/>
          <w:lang w:val="lt-LT"/>
        </w:rPr>
        <w:t>sitagliptino</w:t>
      </w:r>
      <w:proofErr w:type="spellEnd"/>
      <w:r>
        <w:rPr>
          <w:bCs/>
          <w:snapToGrid/>
          <w:szCs w:val="22"/>
          <w:lang w:val="lt-LT"/>
        </w:rPr>
        <w:t xml:space="preserve">, nei </w:t>
      </w:r>
      <w:proofErr w:type="spellStart"/>
      <w:r>
        <w:rPr>
          <w:bCs/>
          <w:snapToGrid/>
          <w:szCs w:val="22"/>
          <w:lang w:val="lt-LT"/>
        </w:rPr>
        <w:t>metformino</w:t>
      </w:r>
      <w:proofErr w:type="spellEnd"/>
      <w:r>
        <w:rPr>
          <w:bCs/>
          <w:snapToGrid/>
          <w:szCs w:val="22"/>
          <w:lang w:val="lt-LT"/>
        </w:rPr>
        <w:t xml:space="preserve"> farmakokinetika reikšmingai nekito.</w:t>
      </w:r>
    </w:p>
    <w:p w14:paraId="5AA7FC3C" w14:textId="77777777" w:rsidR="00B64E78" w:rsidRDefault="00B64E78">
      <w:pPr>
        <w:widowControl w:val="0"/>
        <w:tabs>
          <w:tab w:val="clear" w:pos="567"/>
        </w:tabs>
        <w:spacing w:line="240" w:lineRule="auto"/>
        <w:rPr>
          <w:bCs/>
          <w:snapToGrid/>
          <w:szCs w:val="22"/>
          <w:lang w:val="lt-LT"/>
        </w:rPr>
      </w:pPr>
    </w:p>
    <w:p w14:paraId="79847FBB" w14:textId="77777777" w:rsidR="00B64E78" w:rsidRDefault="00DA46A9">
      <w:pPr>
        <w:widowControl w:val="0"/>
        <w:tabs>
          <w:tab w:val="clear" w:pos="567"/>
        </w:tabs>
        <w:spacing w:line="240" w:lineRule="auto"/>
        <w:rPr>
          <w:bCs/>
          <w:snapToGrid/>
          <w:szCs w:val="22"/>
          <w:lang w:val="lt-LT"/>
        </w:rPr>
      </w:pPr>
      <w:proofErr w:type="spellStart"/>
      <w:r>
        <w:rPr>
          <w:bCs/>
          <w:snapToGrid/>
          <w:szCs w:val="22"/>
          <w:lang w:val="lt-LT"/>
        </w:rPr>
        <w:t>Farmakokinetinės</w:t>
      </w:r>
      <w:proofErr w:type="spellEnd"/>
      <w:r>
        <w:rPr>
          <w:bCs/>
          <w:snapToGrid/>
          <w:szCs w:val="22"/>
          <w:lang w:val="lt-LT"/>
        </w:rPr>
        <w:t xml:space="preserve"> vaistinių preparatų sąveikos tyrimų su </w:t>
      </w:r>
      <w:proofErr w:type="spellStart"/>
      <w:r>
        <w:rPr>
          <w:bCs/>
          <w:snapToGrid/>
          <w:szCs w:val="22"/>
          <w:lang w:val="lt-LT"/>
        </w:rPr>
        <w:t>Maymetsi</w:t>
      </w:r>
      <w:proofErr w:type="spellEnd"/>
      <w:r>
        <w:rPr>
          <w:bCs/>
          <w:snapToGrid/>
          <w:szCs w:val="22"/>
          <w:lang w:val="lt-LT"/>
        </w:rPr>
        <w:t xml:space="preserve"> neatlikta, tačiau tokie tyrimai atlikti su atskiromis veikliosiomis medžiagomis </w:t>
      </w:r>
      <w:proofErr w:type="spellStart"/>
      <w:r>
        <w:rPr>
          <w:bCs/>
          <w:snapToGrid/>
          <w:szCs w:val="22"/>
          <w:lang w:val="lt-LT"/>
        </w:rPr>
        <w:t>sitagliptinu</w:t>
      </w:r>
      <w:proofErr w:type="spellEnd"/>
      <w:r>
        <w:rPr>
          <w:bCs/>
          <w:snapToGrid/>
          <w:szCs w:val="22"/>
          <w:lang w:val="lt-LT"/>
        </w:rPr>
        <w:t xml:space="preserve"> ir </w:t>
      </w:r>
      <w:proofErr w:type="spellStart"/>
      <w:r>
        <w:rPr>
          <w:bCs/>
          <w:snapToGrid/>
          <w:szCs w:val="22"/>
          <w:lang w:val="lt-LT"/>
        </w:rPr>
        <w:t>metforminu</w:t>
      </w:r>
      <w:proofErr w:type="spellEnd"/>
      <w:r>
        <w:rPr>
          <w:bCs/>
          <w:snapToGrid/>
          <w:szCs w:val="22"/>
          <w:lang w:val="lt-LT"/>
        </w:rPr>
        <w:t>.</w:t>
      </w:r>
    </w:p>
    <w:p w14:paraId="6B252563" w14:textId="77777777" w:rsidR="00B64E78" w:rsidRDefault="00B64E78">
      <w:pPr>
        <w:widowControl w:val="0"/>
        <w:tabs>
          <w:tab w:val="clear" w:pos="567"/>
        </w:tabs>
        <w:spacing w:line="240" w:lineRule="auto"/>
        <w:rPr>
          <w:bCs/>
          <w:snapToGrid/>
          <w:szCs w:val="22"/>
          <w:lang w:val="lt-LT"/>
        </w:rPr>
      </w:pPr>
    </w:p>
    <w:p w14:paraId="0B183BEE" w14:textId="77777777" w:rsidR="00B64E78" w:rsidRDefault="00DA46A9">
      <w:pPr>
        <w:widowControl w:val="0"/>
        <w:tabs>
          <w:tab w:val="clear" w:pos="567"/>
        </w:tabs>
        <w:spacing w:line="240" w:lineRule="auto"/>
        <w:rPr>
          <w:bCs/>
          <w:snapToGrid/>
          <w:szCs w:val="22"/>
          <w:u w:val="single"/>
          <w:lang w:val="lt-LT"/>
        </w:rPr>
      </w:pPr>
      <w:r>
        <w:rPr>
          <w:bCs/>
          <w:snapToGrid/>
          <w:szCs w:val="22"/>
          <w:u w:val="single"/>
          <w:lang w:val="lt-LT"/>
        </w:rPr>
        <w:t>Kartu vartoti nerekomenduojama</w:t>
      </w:r>
    </w:p>
    <w:p w14:paraId="3BBFE1C4" w14:textId="77777777" w:rsidR="00B64E78" w:rsidRDefault="00B64E78">
      <w:pPr>
        <w:widowControl w:val="0"/>
        <w:tabs>
          <w:tab w:val="clear" w:pos="567"/>
        </w:tabs>
        <w:spacing w:line="240" w:lineRule="auto"/>
        <w:rPr>
          <w:bCs/>
          <w:snapToGrid/>
          <w:szCs w:val="22"/>
          <w:lang w:val="lt-LT"/>
        </w:rPr>
      </w:pPr>
    </w:p>
    <w:p w14:paraId="4B4500E8" w14:textId="77777777" w:rsidR="00B64E78" w:rsidRDefault="00DA46A9">
      <w:pPr>
        <w:widowControl w:val="0"/>
        <w:tabs>
          <w:tab w:val="clear" w:pos="567"/>
        </w:tabs>
        <w:spacing w:line="240" w:lineRule="auto"/>
        <w:rPr>
          <w:bCs/>
          <w:snapToGrid/>
          <w:szCs w:val="22"/>
          <w:lang w:val="lt-LT"/>
        </w:rPr>
      </w:pPr>
      <w:r>
        <w:rPr>
          <w:bCs/>
          <w:snapToGrid/>
          <w:szCs w:val="22"/>
          <w:lang w:val="lt-LT"/>
        </w:rPr>
        <w:t>Alkoholis</w:t>
      </w:r>
    </w:p>
    <w:p w14:paraId="3140A2EB"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Intoksikacija alkoholiu yra susijusi su padidėjusia pieno rūgšties </w:t>
      </w:r>
      <w:proofErr w:type="spellStart"/>
      <w:r>
        <w:rPr>
          <w:bCs/>
          <w:snapToGrid/>
          <w:szCs w:val="22"/>
          <w:lang w:val="lt-LT"/>
        </w:rPr>
        <w:t>acidozės</w:t>
      </w:r>
      <w:proofErr w:type="spellEnd"/>
      <w:r>
        <w:rPr>
          <w:bCs/>
          <w:snapToGrid/>
          <w:szCs w:val="22"/>
          <w:lang w:val="lt-LT"/>
        </w:rPr>
        <w:t xml:space="preserve"> pasireiškimo rizika, ypač badavimo, prastos mitybos ar kepenų funkcijos sutrikimo atvejais.</w:t>
      </w:r>
    </w:p>
    <w:p w14:paraId="17B6D4A9" w14:textId="77777777" w:rsidR="00B64E78" w:rsidRDefault="00B64E78">
      <w:pPr>
        <w:widowControl w:val="0"/>
        <w:tabs>
          <w:tab w:val="clear" w:pos="567"/>
        </w:tabs>
        <w:spacing w:line="240" w:lineRule="auto"/>
        <w:rPr>
          <w:bCs/>
          <w:snapToGrid/>
          <w:szCs w:val="22"/>
          <w:lang w:val="lt-LT"/>
        </w:rPr>
      </w:pPr>
    </w:p>
    <w:p w14:paraId="5C090F37" w14:textId="77777777" w:rsidR="00B64E78" w:rsidRDefault="00DA46A9">
      <w:pPr>
        <w:widowControl w:val="0"/>
        <w:tabs>
          <w:tab w:val="clear" w:pos="567"/>
        </w:tabs>
        <w:spacing w:line="240" w:lineRule="auto"/>
        <w:rPr>
          <w:bCs/>
          <w:snapToGrid/>
          <w:szCs w:val="22"/>
          <w:lang w:val="lt-LT"/>
        </w:rPr>
      </w:pPr>
      <w:r>
        <w:rPr>
          <w:bCs/>
          <w:snapToGrid/>
          <w:szCs w:val="22"/>
          <w:lang w:val="lt-LT"/>
        </w:rPr>
        <w:lastRenderedPageBreak/>
        <w:t>Kontrastinės medžiagos, kurių sudėtyje yra jodo</w:t>
      </w:r>
    </w:p>
    <w:p w14:paraId="6299972E"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Prieš vaizdinio tyrimo procedūrą arba jos metu </w:t>
      </w:r>
      <w:proofErr w:type="spellStart"/>
      <w:r>
        <w:rPr>
          <w:bCs/>
          <w:snapToGrid/>
          <w:szCs w:val="22"/>
          <w:lang w:val="lt-LT"/>
        </w:rPr>
        <w:t>Maymetsi</w:t>
      </w:r>
      <w:proofErr w:type="spellEnd"/>
      <w:r>
        <w:rPr>
          <w:bCs/>
          <w:snapToGrid/>
          <w:szCs w:val="22"/>
          <w:lang w:val="lt-LT"/>
        </w:rPr>
        <w:t xml:space="preserve"> vartojimą reikia nutraukti. </w:t>
      </w:r>
      <w:r>
        <w:rPr>
          <w:snapToGrid/>
          <w:szCs w:val="22"/>
          <w:lang w:val="lt-LT"/>
        </w:rPr>
        <w:t>Gydymą galima atnaujinti praėjus ne mažiau kaip 48 valandoms ir tik jei buvo kartotinai atlikti tyrimai, kurie patvirtino stabilią inkstų funkciją</w:t>
      </w:r>
      <w:r>
        <w:rPr>
          <w:bCs/>
          <w:snapToGrid/>
          <w:szCs w:val="22"/>
          <w:lang w:val="lt-LT"/>
        </w:rPr>
        <w:t xml:space="preserve"> (žr. 4.3 ir 4.4 skyrius).</w:t>
      </w:r>
    </w:p>
    <w:p w14:paraId="3949B69F" w14:textId="77777777" w:rsidR="00B64E78" w:rsidRDefault="00B64E78">
      <w:pPr>
        <w:widowControl w:val="0"/>
        <w:tabs>
          <w:tab w:val="clear" w:pos="567"/>
        </w:tabs>
        <w:spacing w:line="240" w:lineRule="auto"/>
        <w:rPr>
          <w:bCs/>
          <w:snapToGrid/>
          <w:szCs w:val="22"/>
          <w:lang w:val="lt-LT"/>
        </w:rPr>
      </w:pPr>
    </w:p>
    <w:p w14:paraId="5BEFD5B7" w14:textId="77777777" w:rsidR="00B64E78" w:rsidRDefault="00DA46A9">
      <w:pPr>
        <w:widowControl w:val="0"/>
        <w:tabs>
          <w:tab w:val="clear" w:pos="567"/>
        </w:tabs>
        <w:spacing w:line="240" w:lineRule="auto"/>
        <w:rPr>
          <w:bCs/>
          <w:snapToGrid/>
          <w:szCs w:val="22"/>
          <w:u w:val="single"/>
          <w:lang w:val="lt-LT"/>
        </w:rPr>
      </w:pPr>
      <w:r>
        <w:rPr>
          <w:bCs/>
          <w:snapToGrid/>
          <w:szCs w:val="22"/>
          <w:u w:val="single"/>
          <w:lang w:val="lt-LT"/>
        </w:rPr>
        <w:t>Deriniai, kurių vartojant reikia imtis atsargumo priemonių</w:t>
      </w:r>
    </w:p>
    <w:p w14:paraId="1AE6B329"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Kai kurie vaistiniai preparatai, pvz., NVNU, įskaitant selektyviuosius </w:t>
      </w:r>
      <w:proofErr w:type="spellStart"/>
      <w:r>
        <w:rPr>
          <w:bCs/>
          <w:snapToGrid/>
          <w:szCs w:val="22"/>
          <w:lang w:val="lt-LT"/>
        </w:rPr>
        <w:t>ciklooksigenazės</w:t>
      </w:r>
      <w:proofErr w:type="spellEnd"/>
      <w:r>
        <w:rPr>
          <w:bCs/>
          <w:snapToGrid/>
          <w:szCs w:val="22"/>
          <w:lang w:val="lt-LT"/>
        </w:rPr>
        <w:t xml:space="preserve"> (COX) II inhibitorius, </w:t>
      </w:r>
      <w:proofErr w:type="spellStart"/>
      <w:r>
        <w:rPr>
          <w:bCs/>
          <w:snapToGrid/>
          <w:szCs w:val="22"/>
          <w:lang w:val="lt-LT"/>
        </w:rPr>
        <w:t>angiotenziną</w:t>
      </w:r>
      <w:proofErr w:type="spellEnd"/>
      <w:r>
        <w:rPr>
          <w:bCs/>
          <w:snapToGrid/>
          <w:szCs w:val="22"/>
          <w:lang w:val="lt-LT"/>
        </w:rPr>
        <w:t xml:space="preserve"> konvertuojančio fermento (AKF) inhibitorius, </w:t>
      </w:r>
      <w:proofErr w:type="spellStart"/>
      <w:r>
        <w:rPr>
          <w:bCs/>
          <w:snapToGrid/>
          <w:szCs w:val="22"/>
          <w:lang w:val="lt-LT"/>
        </w:rPr>
        <w:t>angiotenzino</w:t>
      </w:r>
      <w:proofErr w:type="spellEnd"/>
      <w:r>
        <w:rPr>
          <w:bCs/>
          <w:snapToGrid/>
          <w:szCs w:val="22"/>
          <w:lang w:val="lt-LT"/>
        </w:rPr>
        <w:t xml:space="preserve"> II receptorių antagonistus ir diuretikus, ypač kilpinius diuretikus, gali neigiamai veikti inkstų funkciją ir didinti pieno rūgšties </w:t>
      </w:r>
      <w:proofErr w:type="spellStart"/>
      <w:r>
        <w:rPr>
          <w:bCs/>
          <w:snapToGrid/>
          <w:szCs w:val="22"/>
          <w:lang w:val="lt-LT"/>
        </w:rPr>
        <w:t>acidozės</w:t>
      </w:r>
      <w:proofErr w:type="spellEnd"/>
      <w:r>
        <w:rPr>
          <w:bCs/>
          <w:snapToGrid/>
          <w:szCs w:val="22"/>
          <w:lang w:val="lt-LT"/>
        </w:rPr>
        <w:t xml:space="preserve"> pasireiškimo riziką. Pradedant vartoti arba vartojant tokių vaistinių preparatų kartu su </w:t>
      </w:r>
      <w:proofErr w:type="spellStart"/>
      <w:r>
        <w:rPr>
          <w:bCs/>
          <w:snapToGrid/>
          <w:szCs w:val="22"/>
          <w:lang w:val="lt-LT"/>
        </w:rPr>
        <w:t>metforminu</w:t>
      </w:r>
      <w:proofErr w:type="spellEnd"/>
      <w:r>
        <w:rPr>
          <w:bCs/>
          <w:snapToGrid/>
          <w:szCs w:val="22"/>
          <w:lang w:val="lt-LT"/>
        </w:rPr>
        <w:t>, būtina atidžiai stebėti inkstų funkciją.</w:t>
      </w:r>
    </w:p>
    <w:p w14:paraId="1F73F208" w14:textId="77777777" w:rsidR="00B64E78" w:rsidRDefault="00B64E78">
      <w:pPr>
        <w:widowControl w:val="0"/>
        <w:tabs>
          <w:tab w:val="clear" w:pos="567"/>
        </w:tabs>
        <w:spacing w:line="240" w:lineRule="auto"/>
        <w:rPr>
          <w:bCs/>
          <w:snapToGrid/>
          <w:szCs w:val="22"/>
          <w:lang w:val="lt-LT"/>
        </w:rPr>
      </w:pPr>
    </w:p>
    <w:p w14:paraId="3E18D0FB"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Kartu vartojami vaistiniai preparatai, kurie konkuruoja dėl tų pačių pernašos sistemų inkstų kanalėliuose, dalyvaujančių </w:t>
      </w:r>
      <w:proofErr w:type="spellStart"/>
      <w:r>
        <w:rPr>
          <w:bCs/>
          <w:snapToGrid/>
          <w:szCs w:val="22"/>
          <w:lang w:val="lt-LT"/>
        </w:rPr>
        <w:t>metformino</w:t>
      </w:r>
      <w:proofErr w:type="spellEnd"/>
      <w:r>
        <w:rPr>
          <w:bCs/>
          <w:snapToGrid/>
          <w:szCs w:val="22"/>
          <w:lang w:val="lt-LT"/>
        </w:rPr>
        <w:t xml:space="preserve"> šalinimo per inkstus procesuose (pvz., organinių katijonų nešiklio-2 [angl. </w:t>
      </w:r>
      <w:proofErr w:type="spellStart"/>
      <w:r>
        <w:rPr>
          <w:bCs/>
          <w:i/>
          <w:iCs/>
          <w:snapToGrid/>
          <w:szCs w:val="22"/>
          <w:lang w:val="lt-LT"/>
        </w:rPr>
        <w:t>organic</w:t>
      </w:r>
      <w:proofErr w:type="spellEnd"/>
      <w:r>
        <w:rPr>
          <w:bCs/>
          <w:i/>
          <w:iCs/>
          <w:snapToGrid/>
          <w:szCs w:val="22"/>
          <w:lang w:val="lt-LT"/>
        </w:rPr>
        <w:t xml:space="preserve"> </w:t>
      </w:r>
      <w:proofErr w:type="spellStart"/>
      <w:r>
        <w:rPr>
          <w:bCs/>
          <w:i/>
          <w:iCs/>
          <w:snapToGrid/>
          <w:szCs w:val="22"/>
          <w:lang w:val="lt-LT"/>
        </w:rPr>
        <w:t>cationic</w:t>
      </w:r>
      <w:proofErr w:type="spellEnd"/>
      <w:r>
        <w:rPr>
          <w:bCs/>
          <w:i/>
          <w:iCs/>
          <w:snapToGrid/>
          <w:szCs w:val="22"/>
          <w:lang w:val="lt-LT"/>
        </w:rPr>
        <w:t xml:space="preserve"> transporter-2</w:t>
      </w:r>
      <w:r>
        <w:rPr>
          <w:bCs/>
          <w:snapToGrid/>
          <w:szCs w:val="22"/>
          <w:lang w:val="lt-LT"/>
        </w:rPr>
        <w:t xml:space="preserve">, OCT2] ar daugelio vaistinių preparatų ir toksinų išstūmimo [angl. </w:t>
      </w:r>
      <w:proofErr w:type="spellStart"/>
      <w:r>
        <w:rPr>
          <w:bCs/>
          <w:i/>
          <w:iCs/>
          <w:snapToGrid/>
          <w:szCs w:val="22"/>
          <w:lang w:val="lt-LT"/>
        </w:rPr>
        <w:t>multidrug</w:t>
      </w:r>
      <w:proofErr w:type="spellEnd"/>
      <w:r>
        <w:rPr>
          <w:bCs/>
          <w:i/>
          <w:iCs/>
          <w:snapToGrid/>
          <w:szCs w:val="22"/>
          <w:lang w:val="lt-LT"/>
        </w:rPr>
        <w:t xml:space="preserve"> </w:t>
      </w:r>
      <w:proofErr w:type="spellStart"/>
      <w:r>
        <w:rPr>
          <w:bCs/>
          <w:i/>
          <w:iCs/>
          <w:snapToGrid/>
          <w:szCs w:val="22"/>
          <w:lang w:val="lt-LT"/>
        </w:rPr>
        <w:t>and</w:t>
      </w:r>
      <w:proofErr w:type="spellEnd"/>
      <w:r>
        <w:rPr>
          <w:bCs/>
          <w:i/>
          <w:iCs/>
          <w:snapToGrid/>
          <w:szCs w:val="22"/>
          <w:lang w:val="lt-LT"/>
        </w:rPr>
        <w:t xml:space="preserve"> </w:t>
      </w:r>
      <w:proofErr w:type="spellStart"/>
      <w:r>
        <w:rPr>
          <w:bCs/>
          <w:i/>
          <w:iCs/>
          <w:snapToGrid/>
          <w:szCs w:val="22"/>
          <w:lang w:val="lt-LT"/>
        </w:rPr>
        <w:t>toxin</w:t>
      </w:r>
      <w:proofErr w:type="spellEnd"/>
      <w:r>
        <w:rPr>
          <w:bCs/>
          <w:i/>
          <w:iCs/>
          <w:snapToGrid/>
          <w:szCs w:val="22"/>
          <w:lang w:val="lt-LT"/>
        </w:rPr>
        <w:t xml:space="preserve"> </w:t>
      </w:r>
      <w:proofErr w:type="spellStart"/>
      <w:r>
        <w:rPr>
          <w:bCs/>
          <w:i/>
          <w:iCs/>
          <w:snapToGrid/>
          <w:szCs w:val="22"/>
          <w:lang w:val="lt-LT"/>
        </w:rPr>
        <w:t>extrusion</w:t>
      </w:r>
      <w:proofErr w:type="spellEnd"/>
      <w:r>
        <w:rPr>
          <w:bCs/>
          <w:snapToGrid/>
          <w:szCs w:val="22"/>
          <w:lang w:val="lt-LT"/>
        </w:rPr>
        <w:t xml:space="preserve">, MATE] inhibitoriai, tokie kaip </w:t>
      </w:r>
      <w:proofErr w:type="spellStart"/>
      <w:r>
        <w:rPr>
          <w:bCs/>
          <w:snapToGrid/>
          <w:szCs w:val="22"/>
          <w:lang w:val="lt-LT"/>
        </w:rPr>
        <w:t>ranolazinas</w:t>
      </w:r>
      <w:proofErr w:type="spellEnd"/>
      <w:r>
        <w:rPr>
          <w:bCs/>
          <w:snapToGrid/>
          <w:szCs w:val="22"/>
          <w:lang w:val="lt-LT"/>
        </w:rPr>
        <w:t xml:space="preserve">, </w:t>
      </w:r>
      <w:proofErr w:type="spellStart"/>
      <w:r>
        <w:rPr>
          <w:bCs/>
          <w:snapToGrid/>
          <w:szCs w:val="22"/>
          <w:lang w:val="lt-LT"/>
        </w:rPr>
        <w:t>vandetanibas</w:t>
      </w:r>
      <w:proofErr w:type="spellEnd"/>
      <w:r>
        <w:rPr>
          <w:bCs/>
          <w:snapToGrid/>
          <w:szCs w:val="22"/>
          <w:lang w:val="lt-LT"/>
        </w:rPr>
        <w:t xml:space="preserve">, </w:t>
      </w:r>
      <w:proofErr w:type="spellStart"/>
      <w:r>
        <w:rPr>
          <w:bCs/>
          <w:snapToGrid/>
          <w:szCs w:val="22"/>
          <w:lang w:val="lt-LT"/>
        </w:rPr>
        <w:t>dolutegraviras</w:t>
      </w:r>
      <w:proofErr w:type="spellEnd"/>
      <w:r>
        <w:rPr>
          <w:bCs/>
          <w:snapToGrid/>
          <w:szCs w:val="22"/>
          <w:lang w:val="lt-LT"/>
        </w:rPr>
        <w:t xml:space="preserve"> ir </w:t>
      </w:r>
      <w:proofErr w:type="spellStart"/>
      <w:r>
        <w:rPr>
          <w:bCs/>
          <w:snapToGrid/>
          <w:szCs w:val="22"/>
          <w:lang w:val="lt-LT"/>
        </w:rPr>
        <w:t>cimetidinas</w:t>
      </w:r>
      <w:proofErr w:type="spellEnd"/>
      <w:r>
        <w:rPr>
          <w:bCs/>
          <w:snapToGrid/>
          <w:szCs w:val="22"/>
          <w:lang w:val="lt-LT"/>
        </w:rPr>
        <w:t xml:space="preserve">), gali didinti sisteminę </w:t>
      </w:r>
      <w:proofErr w:type="spellStart"/>
      <w:r>
        <w:rPr>
          <w:bCs/>
          <w:snapToGrid/>
          <w:szCs w:val="22"/>
          <w:lang w:val="lt-LT"/>
        </w:rPr>
        <w:t>metformino</w:t>
      </w:r>
      <w:proofErr w:type="spellEnd"/>
      <w:r>
        <w:rPr>
          <w:bCs/>
          <w:snapToGrid/>
          <w:szCs w:val="22"/>
          <w:lang w:val="lt-LT"/>
        </w:rPr>
        <w:t xml:space="preserve"> ekspoziciją bei pieno rūgšties </w:t>
      </w:r>
      <w:proofErr w:type="spellStart"/>
      <w:r>
        <w:rPr>
          <w:bCs/>
          <w:snapToGrid/>
          <w:szCs w:val="22"/>
          <w:lang w:val="lt-LT"/>
        </w:rPr>
        <w:t>acidozės</w:t>
      </w:r>
      <w:proofErr w:type="spellEnd"/>
      <w:r>
        <w:rPr>
          <w:bCs/>
          <w:snapToGrid/>
          <w:szCs w:val="22"/>
          <w:lang w:val="lt-LT"/>
        </w:rPr>
        <w:t xml:space="preserve"> pasireiškimo riziką. Reikia apsvarstyti šių vaistinių preparatų vartojimo kartu naudą ir riziką. Šių vaistinių preparatų vartojant kartu reikia apsvarstyti atidžios </w:t>
      </w:r>
      <w:proofErr w:type="spellStart"/>
      <w:r>
        <w:rPr>
          <w:bCs/>
          <w:snapToGrid/>
          <w:szCs w:val="22"/>
          <w:lang w:val="lt-LT"/>
        </w:rPr>
        <w:t>glikemijos</w:t>
      </w:r>
      <w:proofErr w:type="spellEnd"/>
      <w:r>
        <w:rPr>
          <w:bCs/>
          <w:snapToGrid/>
          <w:szCs w:val="22"/>
          <w:lang w:val="lt-LT"/>
        </w:rPr>
        <w:t xml:space="preserve"> kontrolės stebėjimo, dozės koregavimo remiantis rekomenduojamu dozavimu ir cukrinio diabeto gydymo pokyčių poreikį.</w:t>
      </w:r>
    </w:p>
    <w:p w14:paraId="5916103D" w14:textId="77777777" w:rsidR="00B64E78" w:rsidRDefault="00B64E78">
      <w:pPr>
        <w:widowControl w:val="0"/>
        <w:tabs>
          <w:tab w:val="clear" w:pos="567"/>
        </w:tabs>
        <w:spacing w:line="240" w:lineRule="auto"/>
        <w:rPr>
          <w:bCs/>
          <w:snapToGrid/>
          <w:szCs w:val="22"/>
          <w:lang w:val="lt-LT"/>
        </w:rPr>
      </w:pPr>
    </w:p>
    <w:p w14:paraId="3E79D2F2" w14:textId="77777777" w:rsidR="00B64E78" w:rsidRDefault="00DA46A9">
      <w:pPr>
        <w:widowControl w:val="0"/>
        <w:tabs>
          <w:tab w:val="clear" w:pos="567"/>
        </w:tabs>
        <w:spacing w:line="240" w:lineRule="auto"/>
        <w:rPr>
          <w:bCs/>
          <w:snapToGrid/>
          <w:szCs w:val="22"/>
          <w:lang w:val="lt-LT"/>
        </w:rPr>
      </w:pPr>
      <w:proofErr w:type="spellStart"/>
      <w:r>
        <w:rPr>
          <w:bCs/>
          <w:snapToGrid/>
          <w:szCs w:val="22"/>
          <w:lang w:val="lt-LT"/>
        </w:rPr>
        <w:t>Gliukortikoidai</w:t>
      </w:r>
      <w:proofErr w:type="spellEnd"/>
      <w:r>
        <w:rPr>
          <w:bCs/>
          <w:snapToGrid/>
          <w:szCs w:val="22"/>
          <w:lang w:val="lt-LT"/>
        </w:rPr>
        <w:t xml:space="preserve"> (sisteminio ir lokalaus poveikio), beta</w:t>
      </w:r>
      <w:r>
        <w:rPr>
          <w:bCs/>
          <w:snapToGrid/>
          <w:szCs w:val="22"/>
          <w:lang w:val="lt-LT"/>
        </w:rPr>
        <w:noBreakHyphen/>
        <w:t xml:space="preserve">2 </w:t>
      </w:r>
      <w:proofErr w:type="spellStart"/>
      <w:r>
        <w:rPr>
          <w:bCs/>
          <w:snapToGrid/>
          <w:szCs w:val="22"/>
          <w:lang w:val="lt-LT"/>
        </w:rPr>
        <w:t>adrenoreceptorių</w:t>
      </w:r>
      <w:proofErr w:type="spellEnd"/>
      <w:r>
        <w:rPr>
          <w:bCs/>
          <w:snapToGrid/>
          <w:szCs w:val="22"/>
          <w:lang w:val="lt-LT"/>
        </w:rPr>
        <w:t xml:space="preserve"> </w:t>
      </w:r>
      <w:proofErr w:type="spellStart"/>
      <w:r>
        <w:rPr>
          <w:bCs/>
          <w:snapToGrid/>
          <w:szCs w:val="22"/>
          <w:lang w:val="lt-LT"/>
        </w:rPr>
        <w:t>agonistai</w:t>
      </w:r>
      <w:proofErr w:type="spellEnd"/>
      <w:r>
        <w:rPr>
          <w:bCs/>
          <w:snapToGrid/>
          <w:szCs w:val="22"/>
          <w:lang w:val="lt-LT"/>
        </w:rPr>
        <w:t xml:space="preserve"> ir diuretikai didina gliukozės kiekį kraujyje. Apie tai reikia informuoti pacientą bei būtina dažniau tikrinti gliukozės kiekį kraujyje, ypač pradedant gydymą tokiais vaistiniais preparatais. Jei būtina, gydymo kartu su kitu vaistiniu preparatu metu bei jį nutraukus reikia koreguoti </w:t>
      </w:r>
      <w:proofErr w:type="spellStart"/>
      <w:r>
        <w:rPr>
          <w:bCs/>
          <w:snapToGrid/>
          <w:szCs w:val="22"/>
          <w:lang w:val="lt-LT"/>
        </w:rPr>
        <w:t>glikemiją</w:t>
      </w:r>
      <w:proofErr w:type="spellEnd"/>
      <w:r>
        <w:rPr>
          <w:bCs/>
          <w:snapToGrid/>
          <w:szCs w:val="22"/>
          <w:lang w:val="lt-LT"/>
        </w:rPr>
        <w:t xml:space="preserve"> mažinančio vaistinio preparato dozę.</w:t>
      </w:r>
    </w:p>
    <w:p w14:paraId="629E5F22" w14:textId="77777777" w:rsidR="00B64E78" w:rsidRDefault="00B64E78">
      <w:pPr>
        <w:widowControl w:val="0"/>
        <w:tabs>
          <w:tab w:val="clear" w:pos="567"/>
        </w:tabs>
        <w:spacing w:line="240" w:lineRule="auto"/>
        <w:rPr>
          <w:bCs/>
          <w:snapToGrid/>
          <w:szCs w:val="22"/>
          <w:lang w:val="lt-LT"/>
        </w:rPr>
      </w:pPr>
    </w:p>
    <w:p w14:paraId="70B497A8" w14:textId="77777777" w:rsidR="00B64E78" w:rsidRDefault="00DA46A9">
      <w:pPr>
        <w:widowControl w:val="0"/>
        <w:tabs>
          <w:tab w:val="clear" w:pos="567"/>
        </w:tabs>
        <w:spacing w:line="240" w:lineRule="auto"/>
        <w:rPr>
          <w:bCs/>
          <w:snapToGrid/>
          <w:szCs w:val="22"/>
          <w:lang w:val="lt-LT"/>
        </w:rPr>
      </w:pPr>
      <w:r>
        <w:rPr>
          <w:bCs/>
          <w:snapToGrid/>
          <w:szCs w:val="22"/>
          <w:lang w:val="lt-LT"/>
        </w:rPr>
        <w:t xml:space="preserve">AKF inhibitoriai gali sumažinti gliukozės kiekį kraujyje. Jei būtina, gydymo kartu su kitu vaistiniu preparatu metu bei jį nutraukus reikia koreguoti </w:t>
      </w:r>
      <w:proofErr w:type="spellStart"/>
      <w:r>
        <w:rPr>
          <w:bCs/>
          <w:snapToGrid/>
          <w:szCs w:val="22"/>
          <w:lang w:val="lt-LT"/>
        </w:rPr>
        <w:t>glikemiją</w:t>
      </w:r>
      <w:proofErr w:type="spellEnd"/>
      <w:r>
        <w:rPr>
          <w:bCs/>
          <w:snapToGrid/>
          <w:szCs w:val="22"/>
          <w:lang w:val="lt-LT"/>
        </w:rPr>
        <w:t xml:space="preserve"> mažinančio vaistinio preparato dozę.</w:t>
      </w:r>
    </w:p>
    <w:p w14:paraId="5B2AEEFB" w14:textId="77777777" w:rsidR="00B64E78" w:rsidRDefault="00B64E78">
      <w:pPr>
        <w:widowControl w:val="0"/>
        <w:tabs>
          <w:tab w:val="clear" w:pos="567"/>
        </w:tabs>
        <w:spacing w:line="240" w:lineRule="auto"/>
        <w:rPr>
          <w:bCs/>
          <w:snapToGrid/>
          <w:szCs w:val="22"/>
          <w:lang w:val="lt-LT"/>
        </w:rPr>
      </w:pPr>
    </w:p>
    <w:p w14:paraId="191F0334"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Kitų vaistinių preparatų poveikis </w:t>
      </w:r>
      <w:proofErr w:type="spellStart"/>
      <w:r>
        <w:rPr>
          <w:rFonts w:eastAsia="TimesNewRoman"/>
          <w:snapToGrid/>
          <w:szCs w:val="22"/>
          <w:u w:val="single"/>
          <w:lang w:val="lt-LT"/>
        </w:rPr>
        <w:t>sitagliptinui</w:t>
      </w:r>
      <w:proofErr w:type="spellEnd"/>
    </w:p>
    <w:p w14:paraId="55CAAA92"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pateikti </w:t>
      </w:r>
      <w:proofErr w:type="spellStart"/>
      <w:r>
        <w:rPr>
          <w:rFonts w:eastAsia="TimesNewRoman"/>
          <w:i/>
          <w:iCs/>
          <w:snapToGrid/>
          <w:szCs w:val="22"/>
          <w:lang w:val="lt-LT"/>
        </w:rPr>
        <w:t>in</w:t>
      </w:r>
      <w:proofErr w:type="spellEnd"/>
      <w:r>
        <w:rPr>
          <w:rFonts w:eastAsia="TimesNewRoman"/>
          <w:i/>
          <w:iCs/>
          <w:snapToGrid/>
          <w:szCs w:val="22"/>
          <w:lang w:val="lt-LT"/>
        </w:rPr>
        <w:t xml:space="preserve"> </w:t>
      </w:r>
      <w:proofErr w:type="spellStart"/>
      <w:r>
        <w:rPr>
          <w:rFonts w:eastAsia="TimesNewRoman"/>
          <w:i/>
          <w:iCs/>
          <w:snapToGrid/>
          <w:szCs w:val="22"/>
          <w:lang w:val="lt-LT"/>
        </w:rPr>
        <w:t>vitro</w:t>
      </w:r>
      <w:proofErr w:type="spellEnd"/>
      <w:r>
        <w:rPr>
          <w:rFonts w:eastAsia="TimesNewRoman"/>
          <w:snapToGrid/>
          <w:szCs w:val="22"/>
          <w:lang w:val="lt-LT"/>
        </w:rPr>
        <w:t xml:space="preserve"> ir klinikiniai duomenys rodo, kad kliniškai reikšmingos </w:t>
      </w:r>
      <w:proofErr w:type="spellStart"/>
      <w:r>
        <w:rPr>
          <w:rFonts w:eastAsia="TimesNewRoman"/>
          <w:snapToGrid/>
          <w:szCs w:val="22"/>
          <w:lang w:val="lt-LT"/>
        </w:rPr>
        <w:t>sitagliptino</w:t>
      </w:r>
      <w:proofErr w:type="spellEnd"/>
      <w:r>
        <w:rPr>
          <w:rFonts w:eastAsia="TimesNewRoman"/>
          <w:snapToGrid/>
          <w:szCs w:val="22"/>
          <w:lang w:val="lt-LT"/>
        </w:rPr>
        <w:t xml:space="preserve"> sąveikos su kartu vartojamais vaistiniais preparatais rizika yra maža.</w:t>
      </w:r>
    </w:p>
    <w:p w14:paraId="5AFE8438"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12348BC"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svarbiausias fermentas, vykdantis ribotą </w:t>
      </w:r>
      <w:proofErr w:type="spellStart"/>
      <w:r>
        <w:rPr>
          <w:rFonts w:eastAsia="TimesNewRoman"/>
          <w:snapToGrid/>
          <w:szCs w:val="22"/>
          <w:lang w:val="lt-LT"/>
        </w:rPr>
        <w:t>sitagliptino</w:t>
      </w:r>
      <w:proofErr w:type="spellEnd"/>
      <w:r>
        <w:rPr>
          <w:rFonts w:eastAsia="TimesNewRoman"/>
          <w:snapToGrid/>
          <w:szCs w:val="22"/>
          <w:lang w:val="lt-LT"/>
        </w:rPr>
        <w:t xml:space="preserve"> metabolizmą, yra CYP3A4, bet dalyvauja ir CYP2C8. Pacientų, kurių inkstų funkcija normali, organizme metabolizmas, įskaitant vykdomą CYP3A4, </w:t>
      </w:r>
      <w:proofErr w:type="spellStart"/>
      <w:r>
        <w:rPr>
          <w:rFonts w:eastAsia="TimesNewRoman"/>
          <w:snapToGrid/>
          <w:szCs w:val="22"/>
          <w:lang w:val="lt-LT"/>
        </w:rPr>
        <w:t>sitagliptino</w:t>
      </w:r>
      <w:proofErr w:type="spellEnd"/>
      <w:r>
        <w:rPr>
          <w:rFonts w:eastAsia="TimesNewRoman"/>
          <w:snapToGrid/>
          <w:szCs w:val="22"/>
          <w:lang w:val="lt-LT"/>
        </w:rPr>
        <w:t xml:space="preserve"> klirensui turi mažą įtaką. Metabolizmas </w:t>
      </w:r>
      <w:proofErr w:type="spellStart"/>
      <w:r>
        <w:rPr>
          <w:rFonts w:eastAsia="TimesNewRoman"/>
          <w:snapToGrid/>
          <w:szCs w:val="22"/>
          <w:lang w:val="lt-LT"/>
        </w:rPr>
        <w:t>sitagliptino</w:t>
      </w:r>
      <w:proofErr w:type="spellEnd"/>
      <w:r>
        <w:rPr>
          <w:rFonts w:eastAsia="TimesNewRoman"/>
          <w:snapToGrid/>
          <w:szCs w:val="22"/>
          <w:lang w:val="lt-LT"/>
        </w:rPr>
        <w:t xml:space="preserve"> eliminacijai gali būti reikšmingesnis esant sunkiam inkstų funkcijos sutrikimui arba galutinės stadijos inkstų ligai (GSIL). Dėl to įmanoma, kad stiprūs CYP3A4 inhibitoriai (t. y. </w:t>
      </w:r>
      <w:proofErr w:type="spellStart"/>
      <w:r>
        <w:rPr>
          <w:rFonts w:eastAsia="TimesNewRoman"/>
          <w:snapToGrid/>
          <w:szCs w:val="22"/>
          <w:lang w:val="lt-LT"/>
        </w:rPr>
        <w:t>ketokonazolas</w:t>
      </w:r>
      <w:proofErr w:type="spellEnd"/>
      <w:r>
        <w:rPr>
          <w:rFonts w:eastAsia="TimesNewRoman"/>
          <w:snapToGrid/>
          <w:szCs w:val="22"/>
          <w:lang w:val="lt-LT"/>
        </w:rPr>
        <w:t xml:space="preserve">, </w:t>
      </w:r>
      <w:proofErr w:type="spellStart"/>
      <w:r>
        <w:rPr>
          <w:rFonts w:eastAsia="TimesNewRoman"/>
          <w:snapToGrid/>
          <w:szCs w:val="22"/>
          <w:lang w:val="lt-LT"/>
        </w:rPr>
        <w:t>itrakonazolas</w:t>
      </w:r>
      <w:proofErr w:type="spellEnd"/>
      <w:r>
        <w:rPr>
          <w:rFonts w:eastAsia="TimesNewRoman"/>
          <w:snapToGrid/>
          <w:szCs w:val="22"/>
          <w:lang w:val="lt-LT"/>
        </w:rPr>
        <w:t xml:space="preserve">, ritonaviras, </w:t>
      </w:r>
      <w:proofErr w:type="spellStart"/>
      <w:r>
        <w:rPr>
          <w:rFonts w:eastAsia="TimesNewRoman"/>
          <w:snapToGrid/>
          <w:szCs w:val="22"/>
          <w:lang w:val="lt-LT"/>
        </w:rPr>
        <w:t>klaritromicinas</w:t>
      </w:r>
      <w:proofErr w:type="spellEnd"/>
      <w:r>
        <w:rPr>
          <w:rFonts w:eastAsia="TimesNewRoman"/>
          <w:snapToGrid/>
          <w:szCs w:val="22"/>
          <w:lang w:val="lt-LT"/>
        </w:rPr>
        <w:t xml:space="preserve">) gali keisti </w:t>
      </w:r>
      <w:proofErr w:type="spellStart"/>
      <w:r>
        <w:rPr>
          <w:rFonts w:eastAsia="TimesNewRoman"/>
          <w:snapToGrid/>
          <w:szCs w:val="22"/>
          <w:lang w:val="lt-LT"/>
        </w:rPr>
        <w:t>sitagliptino</w:t>
      </w:r>
      <w:proofErr w:type="spellEnd"/>
      <w:r>
        <w:rPr>
          <w:rFonts w:eastAsia="TimesNewRoman"/>
          <w:snapToGrid/>
          <w:szCs w:val="22"/>
          <w:lang w:val="lt-LT"/>
        </w:rPr>
        <w:t xml:space="preserve"> farmakokinetiką pacientų, kuriems yra sunkus inkstų funkcijos sutrikimas ar kurie serga GSIL, organizme. Stiprių CYP3A4 inhibitorių poveikis esant inkstų funkcijos sutrikimui klinikinio tyrimo metu vertintas nebuvo.</w:t>
      </w:r>
    </w:p>
    <w:p w14:paraId="71AA3FD1" w14:textId="77777777" w:rsidR="00B64E78" w:rsidRDefault="00B64E78">
      <w:pPr>
        <w:widowControl w:val="0"/>
        <w:tabs>
          <w:tab w:val="clear" w:pos="567"/>
        </w:tabs>
        <w:spacing w:line="240" w:lineRule="auto"/>
        <w:ind w:left="567" w:hanging="567"/>
        <w:rPr>
          <w:bCs/>
          <w:snapToGrid/>
          <w:szCs w:val="22"/>
          <w:lang w:val="lt-LT"/>
        </w:rPr>
      </w:pPr>
    </w:p>
    <w:p w14:paraId="2B5F27F1"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Pernašos 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w:t>
      </w:r>
      <w:proofErr w:type="spellStart"/>
      <w:r>
        <w:rPr>
          <w:rFonts w:eastAsia="TimesNewRoman"/>
          <w:snapToGrid/>
          <w:szCs w:val="22"/>
          <w:lang w:val="lt-LT"/>
        </w:rPr>
        <w:t>sitagliptinas</w:t>
      </w:r>
      <w:proofErr w:type="spellEnd"/>
      <w:r>
        <w:rPr>
          <w:rFonts w:eastAsia="TimesNewRoman"/>
          <w:snapToGrid/>
          <w:szCs w:val="22"/>
          <w:lang w:val="lt-LT"/>
        </w:rPr>
        <w:t xml:space="preserve"> yra p</w:t>
      </w:r>
      <w:r>
        <w:rPr>
          <w:rFonts w:eastAsia="TimesNewRoman"/>
          <w:snapToGrid/>
          <w:szCs w:val="22"/>
          <w:lang w:val="lt-LT"/>
        </w:rPr>
        <w:noBreakHyphen/>
      </w:r>
      <w:proofErr w:type="spellStart"/>
      <w:r>
        <w:rPr>
          <w:rFonts w:eastAsia="TimesNewRoman"/>
          <w:snapToGrid/>
          <w:szCs w:val="22"/>
          <w:lang w:val="lt-LT"/>
        </w:rPr>
        <w:t>glikoproteino</w:t>
      </w:r>
      <w:proofErr w:type="spellEnd"/>
      <w:r>
        <w:rPr>
          <w:rFonts w:eastAsia="TimesNewRoman"/>
          <w:snapToGrid/>
          <w:szCs w:val="22"/>
          <w:lang w:val="lt-LT"/>
        </w:rPr>
        <w:t xml:space="preserve"> ir </w:t>
      </w:r>
      <w:r>
        <w:rPr>
          <w:bCs/>
          <w:snapToGrid/>
          <w:szCs w:val="22"/>
          <w:lang w:val="lt-LT"/>
        </w:rPr>
        <w:t xml:space="preserve">organinių anijonų nešiklio-3 [angl. </w:t>
      </w:r>
      <w:proofErr w:type="spellStart"/>
      <w:r>
        <w:rPr>
          <w:bCs/>
          <w:i/>
          <w:iCs/>
          <w:snapToGrid/>
          <w:szCs w:val="22"/>
          <w:lang w:val="lt-LT"/>
        </w:rPr>
        <w:t>organic</w:t>
      </w:r>
      <w:proofErr w:type="spellEnd"/>
      <w:r>
        <w:rPr>
          <w:bCs/>
          <w:i/>
          <w:iCs/>
          <w:snapToGrid/>
          <w:szCs w:val="22"/>
          <w:lang w:val="lt-LT"/>
        </w:rPr>
        <w:t xml:space="preserve"> </w:t>
      </w:r>
      <w:proofErr w:type="spellStart"/>
      <w:r>
        <w:rPr>
          <w:bCs/>
          <w:i/>
          <w:iCs/>
          <w:snapToGrid/>
          <w:szCs w:val="22"/>
          <w:lang w:val="lt-LT"/>
        </w:rPr>
        <w:t>anion</w:t>
      </w:r>
      <w:proofErr w:type="spellEnd"/>
      <w:r>
        <w:rPr>
          <w:bCs/>
          <w:i/>
          <w:iCs/>
          <w:snapToGrid/>
          <w:szCs w:val="22"/>
          <w:lang w:val="lt-LT"/>
        </w:rPr>
        <w:t xml:space="preserve"> transporter-2</w:t>
      </w:r>
      <w:r>
        <w:rPr>
          <w:bCs/>
          <w:snapToGrid/>
          <w:szCs w:val="22"/>
          <w:lang w:val="lt-LT"/>
        </w:rPr>
        <w:t xml:space="preserve">, OAT3] </w:t>
      </w:r>
      <w:r>
        <w:rPr>
          <w:rFonts w:eastAsia="TimesNewRoman"/>
          <w:snapToGrid/>
          <w:szCs w:val="22"/>
          <w:lang w:val="lt-LT"/>
        </w:rPr>
        <w:t xml:space="preserve">substratas.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proofErr w:type="spellStart"/>
      <w:r>
        <w:rPr>
          <w:rFonts w:eastAsia="TimesNewRoman"/>
          <w:snapToGrid/>
          <w:szCs w:val="22"/>
          <w:lang w:val="lt-LT"/>
        </w:rPr>
        <w:t>sitagliptino</w:t>
      </w:r>
      <w:proofErr w:type="spellEnd"/>
      <w:r>
        <w:rPr>
          <w:rFonts w:eastAsia="TimesNewRoman"/>
          <w:snapToGrid/>
          <w:szCs w:val="22"/>
          <w:lang w:val="lt-LT"/>
        </w:rPr>
        <w:t xml:space="preserve"> pernašą, dalyvaujant OAT3, slopino </w:t>
      </w:r>
      <w:proofErr w:type="spellStart"/>
      <w:r>
        <w:rPr>
          <w:rFonts w:eastAsia="TimesNewRoman"/>
          <w:snapToGrid/>
          <w:szCs w:val="22"/>
          <w:lang w:val="lt-LT"/>
        </w:rPr>
        <w:t>probenecidas</w:t>
      </w:r>
      <w:proofErr w:type="spellEnd"/>
      <w:r>
        <w:rPr>
          <w:rFonts w:eastAsia="TimesNewRoman"/>
          <w:snapToGrid/>
          <w:szCs w:val="22"/>
          <w:lang w:val="lt-LT"/>
        </w:rPr>
        <w:t xml:space="preserve">, tačiau manoma, kad kliniškai reikšmingos sąveikos rizika yra maža. Vartojimas kartu su OAT3 inhibitoriais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netirtas.</w:t>
      </w:r>
    </w:p>
    <w:p w14:paraId="7C8C1B7E" w14:textId="77777777" w:rsidR="00B64E78" w:rsidRDefault="00B64E78">
      <w:pPr>
        <w:widowControl w:val="0"/>
        <w:tabs>
          <w:tab w:val="clear" w:pos="567"/>
        </w:tabs>
        <w:spacing w:line="240" w:lineRule="auto"/>
        <w:ind w:left="567" w:hanging="567"/>
        <w:rPr>
          <w:bCs/>
          <w:snapToGrid/>
          <w:szCs w:val="22"/>
          <w:lang w:val="lt-LT"/>
        </w:rPr>
      </w:pPr>
    </w:p>
    <w:p w14:paraId="2607B3E6"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proofErr w:type="spellStart"/>
      <w:r>
        <w:rPr>
          <w:rFonts w:eastAsia="TimesNewRoman,Italic"/>
          <w:i/>
          <w:iCs/>
          <w:snapToGrid/>
          <w:szCs w:val="22"/>
          <w:lang w:val="lt-LT"/>
        </w:rPr>
        <w:t>Ciklosporinas</w:t>
      </w:r>
      <w:proofErr w:type="spellEnd"/>
      <w:r>
        <w:rPr>
          <w:rFonts w:eastAsia="TimesNewRoman,Italic"/>
          <w:i/>
          <w:iCs/>
          <w:snapToGrid/>
          <w:szCs w:val="22"/>
          <w:lang w:val="lt-LT"/>
        </w:rPr>
        <w:t xml:space="preserve">. </w:t>
      </w:r>
      <w:r>
        <w:rPr>
          <w:rFonts w:eastAsia="TimesNewRoman"/>
          <w:snapToGrid/>
          <w:szCs w:val="22"/>
          <w:lang w:val="lt-LT"/>
        </w:rPr>
        <w:t>Buvo atliktas tyrimas, kurio metu vertintas stipraus p</w:t>
      </w:r>
      <w:r>
        <w:rPr>
          <w:rFonts w:eastAsia="TimesNewRoman"/>
          <w:snapToGrid/>
          <w:szCs w:val="22"/>
          <w:lang w:val="lt-LT"/>
        </w:rPr>
        <w:noBreakHyphen/>
      </w:r>
      <w:proofErr w:type="spellStart"/>
      <w:r>
        <w:rPr>
          <w:rFonts w:eastAsia="TimesNewRoman"/>
          <w:snapToGrid/>
          <w:szCs w:val="22"/>
          <w:lang w:val="lt-LT"/>
        </w:rPr>
        <w:t>glikoproteino</w:t>
      </w:r>
      <w:proofErr w:type="spellEnd"/>
      <w:r>
        <w:rPr>
          <w:rFonts w:eastAsia="TimesNewRoman"/>
          <w:snapToGrid/>
          <w:szCs w:val="22"/>
          <w:lang w:val="lt-LT"/>
        </w:rPr>
        <w:t xml:space="preserve"> inhibitoriaus </w:t>
      </w:r>
      <w:proofErr w:type="spellStart"/>
      <w:r>
        <w:rPr>
          <w:rFonts w:eastAsia="TimesNewRoman"/>
          <w:snapToGrid/>
          <w:szCs w:val="22"/>
          <w:lang w:val="lt-LT"/>
        </w:rPr>
        <w:t>ciklosporino</w:t>
      </w:r>
      <w:proofErr w:type="spellEnd"/>
      <w:r>
        <w:rPr>
          <w:rFonts w:eastAsia="TimesNewRoman"/>
          <w:snapToGrid/>
          <w:szCs w:val="22"/>
          <w:lang w:val="lt-LT"/>
        </w:rPr>
        <w:t xml:space="preserve"> poveikis </w:t>
      </w:r>
      <w:proofErr w:type="spellStart"/>
      <w:r>
        <w:rPr>
          <w:rFonts w:eastAsia="TimesNewRoman"/>
          <w:snapToGrid/>
          <w:szCs w:val="22"/>
          <w:lang w:val="lt-LT"/>
        </w:rPr>
        <w:t>sitagliptino</w:t>
      </w:r>
      <w:proofErr w:type="spellEnd"/>
      <w:r>
        <w:rPr>
          <w:rFonts w:eastAsia="TimesNewRoman"/>
          <w:snapToGrid/>
          <w:szCs w:val="22"/>
          <w:lang w:val="lt-LT"/>
        </w:rPr>
        <w:t xml:space="preserve"> farmakokinetikai. Per burną kartu pavartojus vieną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ir vieną 600 mg </w:t>
      </w:r>
      <w:proofErr w:type="spellStart"/>
      <w:r>
        <w:rPr>
          <w:rFonts w:eastAsia="TimesNewRoman"/>
          <w:snapToGrid/>
          <w:szCs w:val="22"/>
          <w:lang w:val="lt-LT"/>
        </w:rPr>
        <w:t>ciklosporino</w:t>
      </w:r>
      <w:proofErr w:type="spellEnd"/>
      <w:r>
        <w:rPr>
          <w:rFonts w:eastAsia="TimesNewRoman"/>
          <w:snapToGrid/>
          <w:szCs w:val="22"/>
          <w:lang w:val="lt-LT"/>
        </w:rPr>
        <w:t xml:space="preserve"> dozę, </w:t>
      </w:r>
      <w:proofErr w:type="spellStart"/>
      <w:r>
        <w:rPr>
          <w:rFonts w:eastAsia="TimesNewRoman"/>
          <w:snapToGrid/>
          <w:szCs w:val="22"/>
          <w:lang w:val="lt-LT"/>
        </w:rPr>
        <w:t>sitagliptino</w:t>
      </w:r>
      <w:proofErr w:type="spellEnd"/>
      <w:r>
        <w:rPr>
          <w:rFonts w:eastAsia="TimesNewRoman"/>
          <w:snapToGrid/>
          <w:szCs w:val="22"/>
          <w:lang w:val="lt-LT"/>
        </w:rPr>
        <w:t xml:space="preserve"> </w:t>
      </w:r>
      <w:r>
        <w:rPr>
          <w:rFonts w:eastAsia="TimesNewRoman"/>
          <w:snapToGrid/>
          <w:szCs w:val="24"/>
          <w:lang w:val="lt-LT"/>
        </w:rPr>
        <w:t xml:space="preserve">AUC ir </w:t>
      </w:r>
      <w:proofErr w:type="spellStart"/>
      <w:r>
        <w:rPr>
          <w:rFonts w:eastAsia="TimesNewRoman"/>
          <w:snapToGrid/>
          <w:szCs w:val="24"/>
          <w:lang w:val="lt-LT"/>
        </w:rPr>
        <w:t>C</w:t>
      </w:r>
      <w:r>
        <w:rPr>
          <w:rFonts w:eastAsia="TimesNewRoman"/>
          <w:snapToGrid/>
          <w:szCs w:val="24"/>
          <w:vertAlign w:val="subscript"/>
          <w:lang w:val="lt-LT"/>
        </w:rPr>
        <w:t>max</w:t>
      </w:r>
      <w:proofErr w:type="spellEnd"/>
      <w:r>
        <w:rPr>
          <w:rFonts w:eastAsia="TimesNewRoman"/>
          <w:snapToGrid/>
          <w:szCs w:val="24"/>
          <w:lang w:val="lt-LT"/>
        </w:rPr>
        <w:t xml:space="preserve"> padidėjo atitinkamai maždaug 29 % ir 68 %. Tokie </w:t>
      </w:r>
      <w:proofErr w:type="spellStart"/>
      <w:r>
        <w:rPr>
          <w:rFonts w:eastAsia="TimesNewRoman"/>
          <w:snapToGrid/>
          <w:szCs w:val="24"/>
          <w:lang w:val="lt-LT"/>
        </w:rPr>
        <w:t>sitagliptino</w:t>
      </w:r>
      <w:proofErr w:type="spellEnd"/>
      <w:r>
        <w:rPr>
          <w:rFonts w:eastAsia="TimesNewRoman"/>
          <w:snapToGrid/>
          <w:szCs w:val="24"/>
          <w:lang w:val="lt-LT"/>
        </w:rPr>
        <w:t xml:space="preserve"> farmakokinetikos pokyčiai nebuvo laikomi kliniškai reikšmingais. </w:t>
      </w:r>
      <w:proofErr w:type="spellStart"/>
      <w:r>
        <w:rPr>
          <w:rFonts w:eastAsia="TimesNewRoman"/>
          <w:snapToGrid/>
          <w:szCs w:val="24"/>
          <w:lang w:val="lt-LT"/>
        </w:rPr>
        <w:t>Sitagliptino</w:t>
      </w:r>
      <w:proofErr w:type="spellEnd"/>
      <w:r>
        <w:rPr>
          <w:rFonts w:eastAsia="TimesNewRoman"/>
          <w:snapToGrid/>
          <w:szCs w:val="24"/>
          <w:lang w:val="lt-LT"/>
        </w:rPr>
        <w:t xml:space="preserve"> klirensas inkstuose reikšmingai nekito. Todėl reikšminga sąveika su kitais p</w:t>
      </w:r>
      <w:r>
        <w:rPr>
          <w:rFonts w:eastAsia="TimesNewRoman"/>
          <w:snapToGrid/>
          <w:szCs w:val="24"/>
          <w:lang w:val="lt-LT"/>
        </w:rPr>
        <w:noBreakHyphen/>
      </w:r>
      <w:proofErr w:type="spellStart"/>
      <w:r>
        <w:rPr>
          <w:rFonts w:eastAsia="TimesNewRoman"/>
          <w:snapToGrid/>
          <w:szCs w:val="24"/>
          <w:lang w:val="lt-LT"/>
        </w:rPr>
        <w:t>glikoproteino</w:t>
      </w:r>
      <w:proofErr w:type="spellEnd"/>
      <w:r>
        <w:rPr>
          <w:rFonts w:eastAsia="TimesNewRoman"/>
          <w:snapToGrid/>
          <w:szCs w:val="24"/>
          <w:lang w:val="lt-LT"/>
        </w:rPr>
        <w:t xml:space="preserve"> inhibitoriais nėra tikėtina.</w:t>
      </w:r>
    </w:p>
    <w:p w14:paraId="108D539A"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18CCF4A5"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proofErr w:type="spellStart"/>
      <w:r>
        <w:rPr>
          <w:rFonts w:eastAsia="TimesNewRoman"/>
          <w:snapToGrid/>
          <w:szCs w:val="24"/>
          <w:u w:val="single"/>
          <w:lang w:val="lt-LT"/>
        </w:rPr>
        <w:t>Sitagliptino</w:t>
      </w:r>
      <w:proofErr w:type="spellEnd"/>
      <w:r>
        <w:rPr>
          <w:rFonts w:eastAsia="TimesNewRoman"/>
          <w:snapToGrid/>
          <w:szCs w:val="24"/>
          <w:u w:val="single"/>
          <w:lang w:val="lt-LT"/>
        </w:rPr>
        <w:t xml:space="preserve"> poveikis kitiems vaistiniams preparatams</w:t>
      </w:r>
    </w:p>
    <w:p w14:paraId="09D20C2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Italic"/>
          <w:i/>
          <w:snapToGrid/>
          <w:szCs w:val="24"/>
          <w:lang w:val="lt-LT"/>
        </w:rPr>
        <w:lastRenderedPageBreak/>
        <w:t>Digoksinas</w:t>
      </w:r>
      <w:proofErr w:type="spellEnd"/>
      <w:r>
        <w:rPr>
          <w:rFonts w:eastAsia="TimesNewRoman,Italic"/>
          <w:i/>
          <w:snapToGrid/>
          <w:szCs w:val="24"/>
          <w:lang w:val="lt-LT"/>
        </w:rPr>
        <w:t xml:space="preserve">. </w:t>
      </w:r>
      <w:r>
        <w:rPr>
          <w:rFonts w:eastAsia="TimesNewRoman"/>
          <w:snapToGrid/>
          <w:szCs w:val="22"/>
          <w:lang w:val="lt-LT"/>
        </w:rPr>
        <w:t xml:space="preserve">Sitagliptinas šiek tiek paveikė </w:t>
      </w:r>
      <w:proofErr w:type="spellStart"/>
      <w:r>
        <w:rPr>
          <w:rFonts w:eastAsia="TimesNewRoman"/>
          <w:snapToGrid/>
          <w:szCs w:val="22"/>
          <w:lang w:val="lt-LT"/>
        </w:rPr>
        <w:t>digoksino</w:t>
      </w:r>
      <w:proofErr w:type="spellEnd"/>
      <w:r>
        <w:rPr>
          <w:rFonts w:eastAsia="TimesNewRoman"/>
          <w:snapToGrid/>
          <w:szCs w:val="22"/>
          <w:lang w:val="lt-LT"/>
        </w:rPr>
        <w:t xml:space="preserve"> koncentraciją kraujo plazmoje. 10 dienų kasdien vartojus po 0,25 mg </w:t>
      </w:r>
      <w:proofErr w:type="spellStart"/>
      <w:r>
        <w:rPr>
          <w:rFonts w:eastAsia="TimesNewRoman"/>
          <w:snapToGrid/>
          <w:szCs w:val="22"/>
          <w:lang w:val="lt-LT"/>
        </w:rPr>
        <w:t>digoksino</w:t>
      </w:r>
      <w:proofErr w:type="spellEnd"/>
      <w:r>
        <w:rPr>
          <w:rFonts w:eastAsia="TimesNewRoman"/>
          <w:snapToGrid/>
          <w:szCs w:val="22"/>
          <w:lang w:val="lt-LT"/>
        </w:rPr>
        <w:t xml:space="preserve"> kartu su 100 mg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digoksino</w:t>
      </w:r>
      <w:proofErr w:type="spellEnd"/>
      <w:r>
        <w:rPr>
          <w:rFonts w:eastAsia="TimesNewRoman"/>
          <w:snapToGrid/>
          <w:szCs w:val="22"/>
          <w:lang w:val="lt-LT"/>
        </w:rPr>
        <w:t xml:space="preserve"> AUC kraujo plazmoje padidėjo vidutiniškai 11 %,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kraujo plazmoje – vidutiniškai 18 %. </w:t>
      </w:r>
      <w:proofErr w:type="spellStart"/>
      <w:r>
        <w:rPr>
          <w:rFonts w:eastAsia="TimesNewRoman"/>
          <w:snapToGrid/>
          <w:szCs w:val="22"/>
          <w:lang w:val="lt-LT"/>
        </w:rPr>
        <w:t>Digoksino</w:t>
      </w:r>
      <w:proofErr w:type="spellEnd"/>
      <w:r>
        <w:rPr>
          <w:rFonts w:eastAsia="TimesNewRoman"/>
          <w:snapToGrid/>
          <w:szCs w:val="22"/>
          <w:lang w:val="lt-LT"/>
        </w:rPr>
        <w:t xml:space="preserve"> dozės koreguoti nerekomenduojama. Vis dėlto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digoksino</w:t>
      </w:r>
      <w:proofErr w:type="spellEnd"/>
      <w:r>
        <w:rPr>
          <w:rFonts w:eastAsia="TimesNewRoman"/>
          <w:snapToGrid/>
          <w:szCs w:val="22"/>
          <w:lang w:val="lt-LT"/>
        </w:rPr>
        <w:t xml:space="preserve"> deriniu gydomus pacientus, kuriems yra </w:t>
      </w:r>
      <w:proofErr w:type="spellStart"/>
      <w:r>
        <w:rPr>
          <w:rFonts w:eastAsia="TimesNewRoman"/>
          <w:snapToGrid/>
          <w:szCs w:val="22"/>
          <w:lang w:val="lt-LT"/>
        </w:rPr>
        <w:t>digoksino</w:t>
      </w:r>
      <w:proofErr w:type="spellEnd"/>
      <w:r>
        <w:rPr>
          <w:rFonts w:eastAsia="TimesNewRoman"/>
          <w:snapToGrid/>
          <w:szCs w:val="22"/>
          <w:lang w:val="lt-LT"/>
        </w:rPr>
        <w:t xml:space="preserve"> toksinio poveikio rizika, dėl šios sąveikos reikia stebėti.</w:t>
      </w:r>
    </w:p>
    <w:p w14:paraId="5A29D098"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134448B"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proofErr w:type="spellStart"/>
      <w:r>
        <w:rPr>
          <w:rFonts w:eastAsia="TimesNewRoman"/>
          <w:snapToGrid/>
          <w:szCs w:val="22"/>
          <w:lang w:val="lt-LT"/>
        </w:rPr>
        <w:t>domenys</w:t>
      </w:r>
      <w:proofErr w:type="spellEnd"/>
      <w:r>
        <w:rPr>
          <w:rFonts w:eastAsia="TimesNewRoman"/>
          <w:snapToGrid/>
          <w:szCs w:val="22"/>
          <w:lang w:val="lt-LT"/>
        </w:rPr>
        <w:t xml:space="preserve"> rodo, kad </w:t>
      </w:r>
      <w:proofErr w:type="spellStart"/>
      <w:r>
        <w:rPr>
          <w:rFonts w:eastAsia="TimesNewRoman"/>
          <w:snapToGrid/>
          <w:szCs w:val="22"/>
          <w:lang w:val="lt-LT"/>
        </w:rPr>
        <w:t>sitagliptinas</w:t>
      </w:r>
      <w:proofErr w:type="spellEnd"/>
      <w:r>
        <w:rPr>
          <w:rFonts w:eastAsia="TimesNewRoman"/>
          <w:snapToGrid/>
          <w:szCs w:val="22"/>
          <w:lang w:val="lt-LT"/>
        </w:rPr>
        <w:t xml:space="preserve"> CYP450 </w:t>
      </w:r>
      <w:proofErr w:type="spellStart"/>
      <w:r>
        <w:rPr>
          <w:rFonts w:eastAsia="TimesNewRoman"/>
          <w:snapToGrid/>
          <w:szCs w:val="22"/>
          <w:lang w:val="lt-LT"/>
        </w:rPr>
        <w:t>izofermentų</w:t>
      </w:r>
      <w:proofErr w:type="spellEnd"/>
      <w:r>
        <w:rPr>
          <w:rFonts w:eastAsia="TimesNewRoman"/>
          <w:snapToGrid/>
          <w:szCs w:val="22"/>
          <w:lang w:val="lt-LT"/>
        </w:rPr>
        <w:t xml:space="preserve"> neslopina ir neindukuoja. Klinikinių tyrimų metu </w:t>
      </w:r>
      <w:proofErr w:type="spellStart"/>
      <w:r>
        <w:rPr>
          <w:rFonts w:eastAsia="TimesNewRoman"/>
          <w:snapToGrid/>
          <w:szCs w:val="22"/>
          <w:lang w:val="lt-LT"/>
        </w:rPr>
        <w:t>sitagliptinas</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w:t>
      </w:r>
      <w:proofErr w:type="spellStart"/>
      <w:r>
        <w:rPr>
          <w:rFonts w:eastAsia="TimesNewRoman"/>
          <w:snapToGrid/>
          <w:szCs w:val="22"/>
          <w:lang w:val="lt-LT"/>
        </w:rPr>
        <w:t>gliburido</w:t>
      </w:r>
      <w:proofErr w:type="spellEnd"/>
      <w:r>
        <w:rPr>
          <w:rFonts w:eastAsia="TimesNewRoman"/>
          <w:snapToGrid/>
          <w:szCs w:val="22"/>
          <w:lang w:val="lt-LT"/>
        </w:rPr>
        <w:t xml:space="preserve">, </w:t>
      </w:r>
      <w:proofErr w:type="spellStart"/>
      <w:r>
        <w:rPr>
          <w:rFonts w:eastAsia="TimesNewRoman"/>
          <w:snapToGrid/>
          <w:szCs w:val="22"/>
          <w:lang w:val="lt-LT"/>
        </w:rPr>
        <w:t>simvastatino</w:t>
      </w:r>
      <w:proofErr w:type="spellEnd"/>
      <w:r>
        <w:rPr>
          <w:rFonts w:eastAsia="TimesNewRoman"/>
          <w:snapToGrid/>
          <w:szCs w:val="22"/>
          <w:lang w:val="lt-LT"/>
        </w:rPr>
        <w:t xml:space="preserve">, </w:t>
      </w:r>
      <w:proofErr w:type="spellStart"/>
      <w:r>
        <w:rPr>
          <w:rFonts w:eastAsia="TimesNewRoman"/>
          <w:snapToGrid/>
          <w:szCs w:val="22"/>
          <w:lang w:val="lt-LT"/>
        </w:rPr>
        <w:t>roziglitazono</w:t>
      </w:r>
      <w:proofErr w:type="spellEnd"/>
      <w:r>
        <w:rPr>
          <w:rFonts w:eastAsia="TimesNewRoman"/>
          <w:snapToGrid/>
          <w:szCs w:val="22"/>
          <w:lang w:val="lt-LT"/>
        </w:rPr>
        <w:t xml:space="preserve">, varfarino ar geriamųjų kontraceptikų farmakokinetikos reikšmingai neveikė ir tai rodo, kad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 xml:space="preserve">jo polinkis sąveikai su CYP3A4, CYP2C8 ar CYP2C9 substratais bei organinių katijonų nešikliu (OCT) yra mažas. Sitagliptinas gali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vivo</w:t>
      </w:r>
      <w:proofErr w:type="spellEnd"/>
      <w:r>
        <w:rPr>
          <w:rFonts w:eastAsia="TimesNewRoman,Italic"/>
          <w:i/>
          <w:iCs/>
          <w:snapToGrid/>
          <w:szCs w:val="22"/>
          <w:lang w:val="lt-LT"/>
        </w:rPr>
        <w:t xml:space="preserve"> </w:t>
      </w:r>
      <w:r>
        <w:rPr>
          <w:rFonts w:eastAsia="TimesNewRoman"/>
          <w:snapToGrid/>
          <w:szCs w:val="22"/>
          <w:lang w:val="lt-LT"/>
        </w:rPr>
        <w:t>silpnai slopinti p</w:t>
      </w:r>
      <w:r>
        <w:rPr>
          <w:rFonts w:eastAsia="TimesNewRoman"/>
          <w:snapToGrid/>
          <w:szCs w:val="22"/>
          <w:lang w:val="lt-LT"/>
        </w:rPr>
        <w:noBreakHyphen/>
      </w:r>
      <w:proofErr w:type="spellStart"/>
      <w:r>
        <w:rPr>
          <w:rFonts w:eastAsia="TimesNewRoman"/>
          <w:snapToGrid/>
          <w:szCs w:val="22"/>
          <w:lang w:val="lt-LT"/>
        </w:rPr>
        <w:t>glikoproteiną</w:t>
      </w:r>
      <w:proofErr w:type="spellEnd"/>
      <w:r>
        <w:rPr>
          <w:rFonts w:eastAsia="TimesNewRoman"/>
          <w:snapToGrid/>
          <w:szCs w:val="22"/>
          <w:lang w:val="lt-LT"/>
        </w:rPr>
        <w:t>.</w:t>
      </w:r>
    </w:p>
    <w:p w14:paraId="1D363C80"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4BBB039" w14:textId="77777777" w:rsidR="00B64E78" w:rsidRDefault="00DA46A9">
      <w:pPr>
        <w:widowControl w:val="0"/>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6F645D9C" w14:textId="77777777" w:rsidR="00B64E78" w:rsidRDefault="00B64E78">
      <w:pPr>
        <w:widowControl w:val="0"/>
        <w:tabs>
          <w:tab w:val="clear" w:pos="567"/>
        </w:tabs>
        <w:spacing w:line="240" w:lineRule="auto"/>
        <w:rPr>
          <w:i/>
          <w:snapToGrid/>
          <w:szCs w:val="22"/>
          <w:lang w:val="lt-LT"/>
        </w:rPr>
      </w:pPr>
    </w:p>
    <w:p w14:paraId="786820E1"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4DC257A4"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Reikiamų duomenų apie </w:t>
      </w:r>
      <w:proofErr w:type="spellStart"/>
      <w:r>
        <w:rPr>
          <w:rFonts w:eastAsia="TimesNewRoman"/>
          <w:snapToGrid/>
          <w:szCs w:val="22"/>
          <w:lang w:val="lt-LT"/>
        </w:rPr>
        <w:t>sitagliptino</w:t>
      </w:r>
      <w:proofErr w:type="spellEnd"/>
      <w:r>
        <w:rPr>
          <w:rFonts w:eastAsia="TimesNewRoman"/>
          <w:snapToGrid/>
          <w:szCs w:val="22"/>
          <w:lang w:val="lt-LT"/>
        </w:rPr>
        <w:t xml:space="preserve"> vartojimą nėštumo metu nėra. Su gyvūnais atlikti tyrimai parodė toksinį didelių </w:t>
      </w:r>
      <w:proofErr w:type="spellStart"/>
      <w:r>
        <w:rPr>
          <w:rFonts w:eastAsia="TimesNewRoman"/>
          <w:snapToGrid/>
          <w:szCs w:val="22"/>
          <w:lang w:val="lt-LT"/>
        </w:rPr>
        <w:t>sitagliptino</w:t>
      </w:r>
      <w:proofErr w:type="spellEnd"/>
      <w:r>
        <w:rPr>
          <w:rFonts w:eastAsia="TimesNewRoman"/>
          <w:snapToGrid/>
          <w:szCs w:val="22"/>
          <w:lang w:val="lt-LT"/>
        </w:rPr>
        <w:t xml:space="preserve"> dozių poveikį reprodukcijai (žr. 5.3 skyrių).</w:t>
      </w:r>
    </w:p>
    <w:p w14:paraId="33A90AD1"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710BE6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Ribotas turimų duomenų kiekis rodo, kad </w:t>
      </w:r>
      <w:proofErr w:type="spellStart"/>
      <w:r>
        <w:rPr>
          <w:rFonts w:eastAsia="TimesNewRoman"/>
          <w:snapToGrid/>
          <w:szCs w:val="22"/>
          <w:lang w:val="lt-LT"/>
        </w:rPr>
        <w:t>metformino</w:t>
      </w:r>
      <w:proofErr w:type="spellEnd"/>
      <w:r>
        <w:rPr>
          <w:rFonts w:eastAsia="TimesNewRoman"/>
          <w:snapToGrid/>
          <w:szCs w:val="22"/>
          <w:lang w:val="lt-LT"/>
        </w:rPr>
        <w:t xml:space="preserve"> vartojimas nėščioms moterims nėra susijęs su padidėjusia įgimtų apsigimimų rizika. </w:t>
      </w:r>
      <w:proofErr w:type="spellStart"/>
      <w:r>
        <w:rPr>
          <w:rFonts w:eastAsia="TimesNewRoman"/>
          <w:snapToGrid/>
          <w:szCs w:val="22"/>
          <w:lang w:val="lt-LT"/>
        </w:rPr>
        <w:t>Metformino</w:t>
      </w:r>
      <w:proofErr w:type="spellEnd"/>
      <w:r>
        <w:rPr>
          <w:rFonts w:eastAsia="TimesNewRoman"/>
          <w:snapToGrid/>
          <w:szCs w:val="22"/>
          <w:lang w:val="lt-LT"/>
        </w:rPr>
        <w:t xml:space="preserve"> tyrimai su gyvūnais kenksmingo poveikio vaikingumo eigai, embriono ar vaisiaus vystymuisi, atsivedimui ar </w:t>
      </w:r>
      <w:proofErr w:type="spellStart"/>
      <w:r>
        <w:rPr>
          <w:rFonts w:eastAsia="TimesNewRoman"/>
          <w:snapToGrid/>
          <w:szCs w:val="22"/>
          <w:lang w:val="lt-LT"/>
        </w:rPr>
        <w:t>postnataliniam</w:t>
      </w:r>
      <w:proofErr w:type="spellEnd"/>
      <w:r>
        <w:rPr>
          <w:rFonts w:eastAsia="TimesNewRoman"/>
          <w:snapToGrid/>
          <w:szCs w:val="22"/>
          <w:lang w:val="lt-LT"/>
        </w:rPr>
        <w:t xml:space="preserve"> vystymuisi neparodė (taip pat žr. 5.3 skyrių).</w:t>
      </w:r>
    </w:p>
    <w:p w14:paraId="58656463"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4C90441"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nėštumo metu vartoti negalima. Jei pacientė nori pastoti arba tampa nėščia, reikia kiek įmanoma anksčiau nutraukti gydymą ir skirti insuliną.</w:t>
      </w:r>
    </w:p>
    <w:p w14:paraId="6EB506BB"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31D01AF6"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17A71FEB"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Šio kombinuotojo vaistinio preparato veikliųjų medžiagų vartojimo tyrimų su gyvūnais laktacijos laikotarpiu neatlikta. Atskirų veikliųjų medžiagų tyrimų metu tiek </w:t>
      </w:r>
      <w:proofErr w:type="spellStart"/>
      <w:r>
        <w:rPr>
          <w:rFonts w:eastAsia="TimesNewRoman"/>
          <w:snapToGrid/>
          <w:szCs w:val="22"/>
          <w:lang w:val="lt-LT"/>
        </w:rPr>
        <w:t>sitagliptinas</w:t>
      </w:r>
      <w:proofErr w:type="spellEnd"/>
      <w:r>
        <w:rPr>
          <w:rFonts w:eastAsia="TimesNewRoman"/>
          <w:snapToGrid/>
          <w:szCs w:val="22"/>
          <w:lang w:val="lt-LT"/>
        </w:rPr>
        <w:t xml:space="preserve">, tiek </w:t>
      </w:r>
      <w:proofErr w:type="spellStart"/>
      <w:r>
        <w:rPr>
          <w:rFonts w:eastAsia="TimesNewRoman"/>
          <w:snapToGrid/>
          <w:szCs w:val="22"/>
          <w:lang w:val="lt-LT"/>
        </w:rPr>
        <w:t>metforminas</w:t>
      </w:r>
      <w:proofErr w:type="spellEnd"/>
      <w:r>
        <w:rPr>
          <w:rFonts w:eastAsia="TimesNewRoman"/>
          <w:snapToGrid/>
          <w:szCs w:val="22"/>
          <w:lang w:val="lt-LT"/>
        </w:rPr>
        <w:t xml:space="preserve"> išsiskyrė su žiurkių pienu. Nedidelis kiekis </w:t>
      </w:r>
      <w:proofErr w:type="spellStart"/>
      <w:r>
        <w:rPr>
          <w:rFonts w:eastAsia="TimesNewRoman"/>
          <w:snapToGrid/>
          <w:szCs w:val="22"/>
          <w:lang w:val="lt-LT"/>
        </w:rPr>
        <w:t>metformino</w:t>
      </w:r>
      <w:proofErr w:type="spellEnd"/>
      <w:r>
        <w:rPr>
          <w:rFonts w:eastAsia="TimesNewRoman"/>
          <w:snapToGrid/>
          <w:szCs w:val="22"/>
          <w:lang w:val="lt-LT"/>
        </w:rPr>
        <w:t xml:space="preserve"> išsiskiria su motinos pienu. Nežinoma, ar </w:t>
      </w:r>
      <w:proofErr w:type="spellStart"/>
      <w:r>
        <w:rPr>
          <w:rFonts w:eastAsia="TimesNewRoman"/>
          <w:snapToGrid/>
          <w:szCs w:val="22"/>
          <w:lang w:val="lt-LT"/>
        </w:rPr>
        <w:t>sitagliptino</w:t>
      </w:r>
      <w:proofErr w:type="spellEnd"/>
      <w:r>
        <w:rPr>
          <w:rFonts w:eastAsia="TimesNewRoman"/>
          <w:snapToGrid/>
          <w:szCs w:val="22"/>
          <w:lang w:val="lt-LT"/>
        </w:rPr>
        <w:t xml:space="preserve"> išsiskiria su motinos pienu. Dėl to žindančioms moterims </w:t>
      </w:r>
      <w:proofErr w:type="spellStart"/>
      <w:r>
        <w:rPr>
          <w:rFonts w:eastAsia="TimesNewRoman"/>
          <w:snapToGrid/>
          <w:szCs w:val="22"/>
          <w:lang w:val="lt-LT"/>
        </w:rPr>
        <w:t>Maymetsi</w:t>
      </w:r>
      <w:proofErr w:type="spellEnd"/>
      <w:r>
        <w:rPr>
          <w:rFonts w:eastAsia="TimesNewRoman"/>
          <w:snapToGrid/>
          <w:szCs w:val="22"/>
          <w:lang w:val="lt-LT"/>
        </w:rPr>
        <w:t xml:space="preserve"> vartoti draudžiama (žr. 4.3 skyrių).</w:t>
      </w:r>
    </w:p>
    <w:p w14:paraId="018037F7"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EEFBE0C"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3E5A987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su gyvūnais duomenys jokio </w:t>
      </w:r>
      <w:proofErr w:type="spellStart"/>
      <w:r>
        <w:rPr>
          <w:rFonts w:eastAsia="TimesNewRoman"/>
          <w:snapToGrid/>
          <w:szCs w:val="22"/>
          <w:lang w:val="lt-LT"/>
        </w:rPr>
        <w:t>sitagliptino</w:t>
      </w:r>
      <w:proofErr w:type="spellEnd"/>
      <w:r>
        <w:rPr>
          <w:rFonts w:eastAsia="TimesNewRoman"/>
          <w:snapToGrid/>
          <w:szCs w:val="22"/>
          <w:lang w:val="lt-LT"/>
        </w:rPr>
        <w:t xml:space="preserve"> poveikio patinų ir patelių vaisingumui neparodė. Duomenų apie žmones nėra.</w:t>
      </w:r>
    </w:p>
    <w:p w14:paraId="3498FFB7" w14:textId="77777777" w:rsidR="00B64E78" w:rsidRDefault="00B64E78">
      <w:pPr>
        <w:widowControl w:val="0"/>
        <w:tabs>
          <w:tab w:val="clear" w:pos="567"/>
        </w:tabs>
        <w:spacing w:line="240" w:lineRule="auto"/>
        <w:ind w:left="567" w:hanging="567"/>
        <w:rPr>
          <w:snapToGrid/>
          <w:szCs w:val="22"/>
          <w:lang w:val="lt-LT"/>
        </w:rPr>
      </w:pPr>
    </w:p>
    <w:p w14:paraId="6C96DADB"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7256F96B" w14:textId="77777777" w:rsidR="00B64E78" w:rsidRDefault="00B64E78">
      <w:pPr>
        <w:widowControl w:val="0"/>
        <w:tabs>
          <w:tab w:val="clear" w:pos="567"/>
        </w:tabs>
        <w:spacing w:line="240" w:lineRule="auto"/>
        <w:ind w:left="567" w:hanging="567"/>
        <w:rPr>
          <w:snapToGrid/>
          <w:szCs w:val="22"/>
          <w:lang w:val="lt-LT"/>
        </w:rPr>
      </w:pPr>
    </w:p>
    <w:p w14:paraId="0DAB737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Maymetsi</w:t>
      </w:r>
      <w:proofErr w:type="spellEnd"/>
      <w:r>
        <w:rPr>
          <w:rFonts w:eastAsia="TimesNewRoman"/>
          <w:snapToGrid/>
          <w:szCs w:val="22"/>
          <w:lang w:val="lt-LT"/>
        </w:rPr>
        <w:t xml:space="preserve"> gebėjimo vairuoti ir valdyti mechanizmus neveikia arba veikia nereikšmingai. Vis dėlto vairuojant ar valdant mechanizmus reikia atsižvelgti į tai, kad vartojant </w:t>
      </w:r>
      <w:proofErr w:type="spellStart"/>
      <w:r>
        <w:rPr>
          <w:rFonts w:eastAsia="TimesNewRoman"/>
          <w:snapToGrid/>
          <w:szCs w:val="22"/>
          <w:lang w:val="lt-LT"/>
        </w:rPr>
        <w:t>sitagliptino</w:t>
      </w:r>
      <w:proofErr w:type="spellEnd"/>
      <w:r>
        <w:rPr>
          <w:rFonts w:eastAsia="TimesNewRoman"/>
          <w:snapToGrid/>
          <w:szCs w:val="22"/>
          <w:lang w:val="lt-LT"/>
        </w:rPr>
        <w:t xml:space="preserve"> buvo svaigulio ir </w:t>
      </w:r>
      <w:proofErr w:type="spellStart"/>
      <w:r>
        <w:rPr>
          <w:rFonts w:eastAsia="TimesNewRoman"/>
          <w:snapToGrid/>
          <w:szCs w:val="22"/>
          <w:lang w:val="lt-LT"/>
        </w:rPr>
        <w:t>somnolencijos</w:t>
      </w:r>
      <w:proofErr w:type="spellEnd"/>
      <w:r>
        <w:rPr>
          <w:rFonts w:eastAsia="TimesNewRoman"/>
          <w:snapToGrid/>
          <w:szCs w:val="22"/>
          <w:lang w:val="lt-LT"/>
        </w:rPr>
        <w:t xml:space="preserve"> atvejų.</w:t>
      </w:r>
    </w:p>
    <w:p w14:paraId="05784304"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1AFB43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pacientus reikia įspėti apie galimą hipoglikemijos riziką, kai </w:t>
      </w:r>
      <w:proofErr w:type="spellStart"/>
      <w:r>
        <w:rPr>
          <w:rFonts w:eastAsia="TimesNewRoman"/>
          <w:snapToGrid/>
          <w:szCs w:val="22"/>
          <w:lang w:val="lt-LT"/>
        </w:rPr>
        <w:t>Maymetsi</w:t>
      </w:r>
      <w:proofErr w:type="spellEnd"/>
      <w:r>
        <w:rPr>
          <w:rFonts w:eastAsia="TimesNewRoman"/>
          <w:snapToGrid/>
          <w:szCs w:val="22"/>
          <w:lang w:val="lt-LT"/>
        </w:rPr>
        <w:t xml:space="preserve"> vartojama kartu su </w:t>
      </w:r>
      <w:proofErr w:type="spellStart"/>
      <w:r>
        <w:rPr>
          <w:rFonts w:eastAsia="TimesNewRoman"/>
          <w:snapToGrid/>
          <w:szCs w:val="22"/>
          <w:lang w:val="lt-LT"/>
        </w:rPr>
        <w:t>sulfonilkarbamidu</w:t>
      </w:r>
      <w:proofErr w:type="spellEnd"/>
      <w:r>
        <w:rPr>
          <w:rFonts w:eastAsia="TimesNewRoman"/>
          <w:snapToGrid/>
          <w:szCs w:val="22"/>
          <w:lang w:val="lt-LT"/>
        </w:rPr>
        <w:t xml:space="preserve"> arba insulinu.</w:t>
      </w:r>
    </w:p>
    <w:p w14:paraId="7CA07711"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3304BB17"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578A3B32" w14:textId="77777777" w:rsidR="00B64E78" w:rsidRDefault="00B64E78">
      <w:pPr>
        <w:widowControl w:val="0"/>
        <w:tabs>
          <w:tab w:val="clear" w:pos="567"/>
        </w:tabs>
        <w:spacing w:line="240" w:lineRule="auto"/>
        <w:rPr>
          <w:i/>
          <w:snapToGrid/>
          <w:szCs w:val="22"/>
          <w:lang w:val="lt-LT"/>
        </w:rPr>
      </w:pPr>
    </w:p>
    <w:p w14:paraId="6D0DBED5"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u w:val="single"/>
          <w:lang w:val="lt-LT"/>
        </w:rPr>
        <w:t>Saugumo duomenų santrauka</w:t>
      </w:r>
    </w:p>
    <w:p w14:paraId="435EF122"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Terapinių klinikinių </w:t>
      </w:r>
      <w:proofErr w:type="spellStart"/>
      <w:r>
        <w:rPr>
          <w:rFonts w:eastAsia="TimesNewRoman"/>
          <w:snapToGrid/>
          <w:szCs w:val="22"/>
          <w:lang w:val="lt-LT"/>
        </w:rPr>
        <w:t>sitagliptino</w:t>
      </w:r>
      <w:proofErr w:type="spellEnd"/>
      <w:r>
        <w:rPr>
          <w:rFonts w:eastAsia="TimesNewRoman"/>
          <w:snapToGrid/>
          <w:szCs w:val="22"/>
          <w:lang w:val="lt-LT"/>
        </w:rPr>
        <w:t>/</w:t>
      </w:r>
      <w:proofErr w:type="spellStart"/>
      <w:r>
        <w:rPr>
          <w:rFonts w:eastAsia="TimesNewRoman"/>
          <w:snapToGrid/>
          <w:szCs w:val="22"/>
          <w:lang w:val="lt-LT"/>
        </w:rPr>
        <w:t>metformino</w:t>
      </w:r>
      <w:proofErr w:type="spellEnd"/>
      <w:r>
        <w:rPr>
          <w:rFonts w:eastAsia="TimesNewRoman"/>
          <w:snapToGrid/>
          <w:szCs w:val="22"/>
          <w:lang w:val="lt-LT"/>
        </w:rPr>
        <w:t xml:space="preserve"> derinio tyrimų neatlikta, tačiau </w:t>
      </w:r>
      <w:proofErr w:type="spellStart"/>
      <w:r>
        <w:rPr>
          <w:rFonts w:eastAsia="TimesNewRoman"/>
          <w:snapToGrid/>
          <w:szCs w:val="22"/>
          <w:lang w:val="lt-LT"/>
        </w:rPr>
        <w:t>sitagliptino</w:t>
      </w:r>
      <w:proofErr w:type="spellEnd"/>
      <w:r>
        <w:rPr>
          <w:rFonts w:eastAsia="TimesNewRoman"/>
          <w:snapToGrid/>
          <w:szCs w:val="22"/>
          <w:lang w:val="lt-LT"/>
        </w:rPr>
        <w:t>/</w:t>
      </w:r>
      <w:proofErr w:type="spellStart"/>
      <w:r>
        <w:rPr>
          <w:rFonts w:eastAsia="TimesNewRoman"/>
          <w:snapToGrid/>
          <w:szCs w:val="22"/>
          <w:lang w:val="lt-LT"/>
        </w:rPr>
        <w:t>metformino</w:t>
      </w:r>
      <w:proofErr w:type="spellEnd"/>
      <w:r>
        <w:rPr>
          <w:rFonts w:eastAsia="TimesNewRoman"/>
          <w:snapToGrid/>
          <w:szCs w:val="22"/>
          <w:lang w:val="lt-LT"/>
        </w:rPr>
        <w:t xml:space="preserve"> derinio biologinis ekvivalentiškumas buvo įrodytas kartu vartojant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(žr. 5.2 skyrių).</w:t>
      </w:r>
    </w:p>
    <w:p w14:paraId="2C5573A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Pranešta apie sunkias nepageidaujamas reakcijas, įskaitant pankreatitą ir padidėjusio jautrumo reakcijas.</w:t>
      </w:r>
    </w:p>
    <w:p w14:paraId="6542A063"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Pranešta apie hipoglikemiją kartu vartojant </w:t>
      </w:r>
      <w:proofErr w:type="spellStart"/>
      <w:r>
        <w:rPr>
          <w:rFonts w:eastAsia="TimesNewRoman"/>
          <w:snapToGrid/>
          <w:szCs w:val="22"/>
          <w:lang w:val="lt-LT"/>
        </w:rPr>
        <w:t>sulfanilkarbamido</w:t>
      </w:r>
      <w:proofErr w:type="spellEnd"/>
      <w:r>
        <w:rPr>
          <w:rFonts w:eastAsia="TimesNewRoman"/>
          <w:snapToGrid/>
          <w:szCs w:val="22"/>
          <w:lang w:val="lt-LT"/>
        </w:rPr>
        <w:t xml:space="preserve"> (13,8 %) ir insulino (10,9 %).</w:t>
      </w:r>
    </w:p>
    <w:p w14:paraId="480FE42F"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4B1C055" w14:textId="77777777" w:rsidR="00B64E78" w:rsidRDefault="00DA46A9">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 xml:space="preserve">Sitagliptinas ir </w:t>
      </w:r>
      <w:proofErr w:type="spellStart"/>
      <w:r>
        <w:rPr>
          <w:rFonts w:eastAsia="TimesNewRoman"/>
          <w:i/>
          <w:iCs/>
          <w:snapToGrid/>
          <w:szCs w:val="22"/>
          <w:lang w:val="lt-LT"/>
        </w:rPr>
        <w:t>metforminas</w:t>
      </w:r>
      <w:proofErr w:type="spellEnd"/>
    </w:p>
    <w:p w14:paraId="522C4DE0"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lastRenderedPageBreak/>
        <w:t>Nepageidaujamų reakcijų santrauka lentelėje</w:t>
      </w:r>
    </w:p>
    <w:p w14:paraId="08B471C8"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Nepageidaujamos reakcijos yra išvardytos naudojant </w:t>
      </w:r>
      <w:proofErr w:type="spellStart"/>
      <w:r>
        <w:rPr>
          <w:rFonts w:eastAsia="TimesNewRoman"/>
          <w:snapToGrid/>
          <w:szCs w:val="24"/>
          <w:lang w:val="lt-LT"/>
        </w:rPr>
        <w:t>MedDRA</w:t>
      </w:r>
      <w:proofErr w:type="spellEnd"/>
      <w:r>
        <w:rPr>
          <w:rFonts w:eastAsia="TimesNewRoman"/>
          <w:snapToGrid/>
          <w:szCs w:val="24"/>
          <w:lang w:val="lt-LT"/>
        </w:rPr>
        <w:t xml:space="preserve"> rekomenduojamą terminą pagal organų sistemų klases ir absoliutų dažnį (1 lentelė). Dažnis apibūdinamas taip: labai dažnas (≥ 1/10), dažnas (nuo ≥ 1/100 iki &lt; 1/10), nedažnas (nuo ≥ 1/1 000 iki &lt; 1/100), retas (nuo ≥ 1/10 000 iki &lt; 1/1 000), labai retas (&lt; 1/10 000) ir nežinomas (negali būti apskaičiuotas pagal turimus duomenis).</w:t>
      </w:r>
    </w:p>
    <w:p w14:paraId="0D7DAC3F" w14:textId="77777777" w:rsidR="00B64E78" w:rsidRDefault="00B64E78">
      <w:pPr>
        <w:widowControl w:val="0"/>
        <w:tabs>
          <w:tab w:val="clear" w:pos="567"/>
        </w:tabs>
        <w:autoSpaceDE w:val="0"/>
        <w:autoSpaceDN w:val="0"/>
        <w:adjustRightInd w:val="0"/>
        <w:spacing w:line="240" w:lineRule="auto"/>
        <w:rPr>
          <w:rFonts w:eastAsia="TimesNewRoman,Bold"/>
          <w:snapToGrid/>
          <w:szCs w:val="24"/>
          <w:lang w:val="lt-LT"/>
        </w:rPr>
      </w:pPr>
    </w:p>
    <w:p w14:paraId="2945B545" w14:textId="77777777" w:rsidR="00B64E78" w:rsidRDefault="00DA46A9">
      <w:pPr>
        <w:widowControl w:val="0"/>
        <w:tabs>
          <w:tab w:val="clear" w:pos="567"/>
        </w:tabs>
        <w:autoSpaceDE w:val="0"/>
        <w:autoSpaceDN w:val="0"/>
        <w:adjustRightInd w:val="0"/>
        <w:spacing w:line="240" w:lineRule="auto"/>
        <w:rPr>
          <w:b/>
          <w:snapToGrid/>
          <w:szCs w:val="22"/>
          <w:lang w:val="lt-LT"/>
        </w:rPr>
      </w:pPr>
      <w:r>
        <w:rPr>
          <w:rFonts w:eastAsia="TimesNewRoman,Bold"/>
          <w:b/>
          <w:snapToGrid/>
          <w:szCs w:val="24"/>
          <w:lang w:val="lt-LT"/>
        </w:rPr>
        <w:t xml:space="preserve">1 lentelė. Nepageidaujamų reakcijų, nustatytų placebu kontroliuotų </w:t>
      </w:r>
      <w:proofErr w:type="spellStart"/>
      <w:r>
        <w:rPr>
          <w:rFonts w:eastAsia="TimesNewRoman,Bold"/>
          <w:b/>
          <w:snapToGrid/>
          <w:szCs w:val="24"/>
          <w:lang w:val="lt-LT"/>
        </w:rPr>
        <w:t>sitagliptino</w:t>
      </w:r>
      <w:proofErr w:type="spellEnd"/>
      <w:r>
        <w:rPr>
          <w:rFonts w:eastAsia="TimesNewRoman,Bold"/>
          <w:b/>
          <w:snapToGrid/>
          <w:szCs w:val="24"/>
          <w:lang w:val="lt-LT"/>
        </w:rPr>
        <w:t xml:space="preserve"> ir </w:t>
      </w:r>
      <w:proofErr w:type="spellStart"/>
      <w:r>
        <w:rPr>
          <w:rFonts w:eastAsia="TimesNewRoman,Bold"/>
          <w:b/>
          <w:snapToGrid/>
          <w:szCs w:val="24"/>
          <w:lang w:val="lt-LT"/>
        </w:rPr>
        <w:t>metformino</w:t>
      </w:r>
      <w:proofErr w:type="spellEnd"/>
      <w:r>
        <w:rPr>
          <w:rFonts w:eastAsia="TimesNewRoman,Bold"/>
          <w:b/>
          <w:snapToGrid/>
          <w:szCs w:val="24"/>
          <w:lang w:val="lt-LT"/>
        </w:rPr>
        <w:t xml:space="preserve"> </w:t>
      </w:r>
      <w:proofErr w:type="spellStart"/>
      <w:r>
        <w:rPr>
          <w:rFonts w:eastAsia="TimesNewRoman,Bold"/>
          <w:b/>
          <w:snapToGrid/>
          <w:szCs w:val="24"/>
          <w:lang w:val="lt-LT"/>
        </w:rPr>
        <w:t>monoterapijos</w:t>
      </w:r>
      <w:proofErr w:type="spellEnd"/>
      <w:r>
        <w:rPr>
          <w:rFonts w:eastAsia="TimesNewRoman,Bold"/>
          <w:b/>
          <w:snapToGrid/>
          <w:szCs w:val="24"/>
          <w:lang w:val="lt-LT"/>
        </w:rPr>
        <w:t xml:space="preserve"> klinikinių tyrimų metu bei po vaistinio preparato pateikimo į rinką, dažnis</w:t>
      </w:r>
    </w:p>
    <w:p w14:paraId="7247DD5F" w14:textId="77777777" w:rsidR="00B64E78" w:rsidRDefault="00B64E78">
      <w:pPr>
        <w:widowControl w:val="0"/>
        <w:tabs>
          <w:tab w:val="clear" w:pos="567"/>
        </w:tabs>
        <w:autoSpaceDE w:val="0"/>
        <w:autoSpaceDN w:val="0"/>
        <w:adjustRightInd w:val="0"/>
        <w:spacing w:line="240" w:lineRule="auto"/>
        <w:rPr>
          <w:snapToGrid/>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115"/>
      </w:tblGrid>
      <w:tr w:rsidR="00B64E78" w14:paraId="011C5D94" w14:textId="77777777">
        <w:trPr>
          <w:jc w:val="center"/>
        </w:trPr>
        <w:tc>
          <w:tcPr>
            <w:tcW w:w="5032" w:type="dxa"/>
          </w:tcPr>
          <w:p w14:paraId="4A048663"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Nepageidaujama reakcija</w:t>
            </w:r>
          </w:p>
        </w:tc>
        <w:tc>
          <w:tcPr>
            <w:tcW w:w="4179" w:type="dxa"/>
          </w:tcPr>
          <w:p w14:paraId="2AA46DFD" w14:textId="77777777" w:rsidR="00B64E78" w:rsidRDefault="00DA46A9">
            <w:pPr>
              <w:tabs>
                <w:tab w:val="clear" w:pos="567"/>
              </w:tabs>
              <w:autoSpaceDE w:val="0"/>
              <w:autoSpaceDN w:val="0"/>
              <w:adjustRightInd w:val="0"/>
              <w:spacing w:line="240" w:lineRule="auto"/>
              <w:jc w:val="center"/>
              <w:rPr>
                <w:b/>
                <w:snapToGrid/>
                <w:szCs w:val="22"/>
                <w:lang w:val="lt-LT"/>
              </w:rPr>
            </w:pPr>
            <w:r>
              <w:rPr>
                <w:rFonts w:eastAsia="TimesNewRoman,Bold"/>
                <w:b/>
                <w:snapToGrid/>
                <w:szCs w:val="22"/>
                <w:lang w:val="lt-LT"/>
              </w:rPr>
              <w:t>Nepageidaujamos reakcijos dažnis</w:t>
            </w:r>
          </w:p>
        </w:tc>
      </w:tr>
      <w:tr w:rsidR="00B64E78" w14:paraId="1AB8890C" w14:textId="77777777">
        <w:trPr>
          <w:jc w:val="center"/>
        </w:trPr>
        <w:tc>
          <w:tcPr>
            <w:tcW w:w="5032" w:type="dxa"/>
          </w:tcPr>
          <w:p w14:paraId="383EA200"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55D9AC6C"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rsidRPr="00053370" w14:paraId="453447B8" w14:textId="77777777">
        <w:trPr>
          <w:jc w:val="center"/>
        </w:trPr>
        <w:tc>
          <w:tcPr>
            <w:tcW w:w="5032" w:type="dxa"/>
          </w:tcPr>
          <w:p w14:paraId="346E54B9"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Kraujo ir limfinės sistemos sutrikimai</w:t>
            </w:r>
          </w:p>
        </w:tc>
        <w:tc>
          <w:tcPr>
            <w:tcW w:w="4179" w:type="dxa"/>
          </w:tcPr>
          <w:p w14:paraId="07B4FC00"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76223F49" w14:textId="77777777">
        <w:trPr>
          <w:jc w:val="center"/>
        </w:trPr>
        <w:tc>
          <w:tcPr>
            <w:tcW w:w="5032" w:type="dxa"/>
          </w:tcPr>
          <w:p w14:paraId="01B02EC5" w14:textId="77777777" w:rsidR="00B64E78" w:rsidRDefault="00DA46A9">
            <w:pPr>
              <w:tabs>
                <w:tab w:val="clear" w:pos="567"/>
              </w:tabs>
              <w:autoSpaceDE w:val="0"/>
              <w:autoSpaceDN w:val="0"/>
              <w:adjustRightInd w:val="0"/>
              <w:spacing w:line="240" w:lineRule="auto"/>
              <w:rPr>
                <w:snapToGrid/>
                <w:szCs w:val="22"/>
                <w:lang w:val="lt-LT"/>
              </w:rPr>
            </w:pPr>
            <w:proofErr w:type="spellStart"/>
            <w:r>
              <w:rPr>
                <w:snapToGrid/>
                <w:szCs w:val="22"/>
                <w:lang w:val="lt-LT"/>
              </w:rPr>
              <w:t>Trombocitopenija</w:t>
            </w:r>
            <w:proofErr w:type="spellEnd"/>
          </w:p>
        </w:tc>
        <w:tc>
          <w:tcPr>
            <w:tcW w:w="4179" w:type="dxa"/>
          </w:tcPr>
          <w:p w14:paraId="5EFEF5A2"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Retas</w:t>
            </w:r>
          </w:p>
        </w:tc>
      </w:tr>
      <w:tr w:rsidR="00B64E78" w14:paraId="353DE896" w14:textId="77777777">
        <w:trPr>
          <w:jc w:val="center"/>
        </w:trPr>
        <w:tc>
          <w:tcPr>
            <w:tcW w:w="5032" w:type="dxa"/>
          </w:tcPr>
          <w:p w14:paraId="1AE2D8E5"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0BA788F5"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3923DBD2" w14:textId="77777777">
        <w:trPr>
          <w:jc w:val="center"/>
        </w:trPr>
        <w:tc>
          <w:tcPr>
            <w:tcW w:w="5032" w:type="dxa"/>
          </w:tcPr>
          <w:p w14:paraId="23108435"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Imuninės sistemos sutrikimai</w:t>
            </w:r>
          </w:p>
        </w:tc>
        <w:tc>
          <w:tcPr>
            <w:tcW w:w="4179" w:type="dxa"/>
          </w:tcPr>
          <w:p w14:paraId="4BACA431"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4CB0F3D2" w14:textId="77777777">
        <w:trPr>
          <w:jc w:val="center"/>
        </w:trPr>
        <w:tc>
          <w:tcPr>
            <w:tcW w:w="5032" w:type="dxa"/>
          </w:tcPr>
          <w:p w14:paraId="2FB4CFF9"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 xml:space="preserve">Padidėjusio jautrumo reakcijos, įskaitant </w:t>
            </w:r>
            <w:proofErr w:type="spellStart"/>
            <w:r>
              <w:rPr>
                <w:snapToGrid/>
                <w:szCs w:val="22"/>
                <w:lang w:val="lt-LT"/>
              </w:rPr>
              <w:t>anafilaksiją</w:t>
            </w:r>
            <w:proofErr w:type="spellEnd"/>
            <w:r>
              <w:rPr>
                <w:snapToGrid/>
                <w:szCs w:val="22"/>
                <w:vertAlign w:val="superscript"/>
                <w:lang w:val="lt-LT"/>
              </w:rPr>
              <w:t>*,†</w:t>
            </w:r>
          </w:p>
        </w:tc>
        <w:tc>
          <w:tcPr>
            <w:tcW w:w="4179" w:type="dxa"/>
          </w:tcPr>
          <w:p w14:paraId="469B3E47"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7F18C2FA" w14:textId="77777777">
        <w:trPr>
          <w:jc w:val="center"/>
        </w:trPr>
        <w:tc>
          <w:tcPr>
            <w:tcW w:w="5032" w:type="dxa"/>
          </w:tcPr>
          <w:p w14:paraId="3B86AAD0"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3853BA24"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051FA28E" w14:textId="77777777">
        <w:trPr>
          <w:jc w:val="center"/>
        </w:trPr>
        <w:tc>
          <w:tcPr>
            <w:tcW w:w="5032" w:type="dxa"/>
          </w:tcPr>
          <w:p w14:paraId="73FCF118"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Metabolizmo ir mitybos sutrikimai</w:t>
            </w:r>
          </w:p>
        </w:tc>
        <w:tc>
          <w:tcPr>
            <w:tcW w:w="4179" w:type="dxa"/>
          </w:tcPr>
          <w:p w14:paraId="49BA24B9"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234E12AC" w14:textId="77777777">
        <w:trPr>
          <w:jc w:val="center"/>
        </w:trPr>
        <w:tc>
          <w:tcPr>
            <w:tcW w:w="5032" w:type="dxa"/>
          </w:tcPr>
          <w:p w14:paraId="29ABD0CB" w14:textId="77777777" w:rsidR="00B64E78" w:rsidRDefault="00DA46A9">
            <w:pPr>
              <w:tabs>
                <w:tab w:val="clear" w:pos="567"/>
              </w:tabs>
              <w:autoSpaceDE w:val="0"/>
              <w:autoSpaceDN w:val="0"/>
              <w:adjustRightInd w:val="0"/>
              <w:spacing w:line="240" w:lineRule="auto"/>
              <w:rPr>
                <w:snapToGrid/>
                <w:szCs w:val="22"/>
                <w:lang w:val="lt-LT"/>
              </w:rPr>
            </w:pPr>
            <w:r>
              <w:rPr>
                <w:snapToGrid/>
                <w:color w:val="000000"/>
                <w:szCs w:val="22"/>
                <w:lang w:val="lt-LT" w:eastAsia="pl-PL"/>
              </w:rPr>
              <w:t>Hipoglikemija</w:t>
            </w:r>
            <w:r>
              <w:rPr>
                <w:snapToGrid/>
                <w:szCs w:val="22"/>
                <w:vertAlign w:val="superscript"/>
                <w:lang w:val="lt-LT"/>
              </w:rPr>
              <w:t xml:space="preserve">† </w:t>
            </w:r>
          </w:p>
        </w:tc>
        <w:tc>
          <w:tcPr>
            <w:tcW w:w="4179" w:type="dxa"/>
          </w:tcPr>
          <w:p w14:paraId="3F75BFDB"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B64E78" w14:paraId="64030F26" w14:textId="77777777">
        <w:trPr>
          <w:jc w:val="center"/>
        </w:trPr>
        <w:tc>
          <w:tcPr>
            <w:tcW w:w="5032" w:type="dxa"/>
          </w:tcPr>
          <w:p w14:paraId="052F095C" w14:textId="77777777" w:rsidR="00B64E78" w:rsidRDefault="00DA46A9">
            <w:pPr>
              <w:tabs>
                <w:tab w:val="clear" w:pos="567"/>
              </w:tabs>
              <w:autoSpaceDE w:val="0"/>
              <w:autoSpaceDN w:val="0"/>
              <w:adjustRightInd w:val="0"/>
              <w:spacing w:line="240" w:lineRule="auto"/>
              <w:rPr>
                <w:snapToGrid/>
                <w:color w:val="000000"/>
                <w:szCs w:val="22"/>
                <w:lang w:val="lt-LT" w:eastAsia="pl-PL"/>
              </w:rPr>
            </w:pPr>
            <w:r>
              <w:rPr>
                <w:rFonts w:eastAsia="Calibri"/>
                <w:snapToGrid/>
                <w:szCs w:val="22"/>
                <w:lang w:val="lt-LT" w:eastAsia="lt-LT"/>
              </w:rPr>
              <w:t>Vitamino B12 koncentrac</w:t>
            </w:r>
            <w:r>
              <w:rPr>
                <w:rFonts w:eastAsia="TimesNewRomanPSMT"/>
                <w:snapToGrid/>
                <w:szCs w:val="22"/>
                <w:lang w:val="lt-LT" w:eastAsia="lt-LT"/>
              </w:rPr>
              <w:t>ijos sumažėjimas ar stoka</w:t>
            </w:r>
            <w:r>
              <w:rPr>
                <w:snapToGrid/>
                <w:szCs w:val="22"/>
                <w:vertAlign w:val="superscript"/>
                <w:lang w:val="lt-LT"/>
              </w:rPr>
              <w:t>†</w:t>
            </w:r>
          </w:p>
        </w:tc>
        <w:tc>
          <w:tcPr>
            <w:tcW w:w="4179" w:type="dxa"/>
          </w:tcPr>
          <w:p w14:paraId="7886BCB9"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B64E78" w14:paraId="230882E7" w14:textId="77777777">
        <w:trPr>
          <w:jc w:val="center"/>
        </w:trPr>
        <w:tc>
          <w:tcPr>
            <w:tcW w:w="5032" w:type="dxa"/>
          </w:tcPr>
          <w:p w14:paraId="64690E14"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2D4DF6F9"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2900B67D" w14:textId="77777777">
        <w:trPr>
          <w:jc w:val="center"/>
        </w:trPr>
        <w:tc>
          <w:tcPr>
            <w:tcW w:w="5032" w:type="dxa"/>
          </w:tcPr>
          <w:p w14:paraId="1892A698"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Nervų sistemos sutrikimai</w:t>
            </w:r>
          </w:p>
        </w:tc>
        <w:tc>
          <w:tcPr>
            <w:tcW w:w="4179" w:type="dxa"/>
          </w:tcPr>
          <w:p w14:paraId="4D0DE46B"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480C0C8C" w14:textId="77777777">
        <w:trPr>
          <w:jc w:val="center"/>
        </w:trPr>
        <w:tc>
          <w:tcPr>
            <w:tcW w:w="5032" w:type="dxa"/>
          </w:tcPr>
          <w:p w14:paraId="1B65962E" w14:textId="77777777" w:rsidR="00B64E78" w:rsidRDefault="00DA46A9">
            <w:pPr>
              <w:tabs>
                <w:tab w:val="clear" w:pos="567"/>
              </w:tabs>
              <w:autoSpaceDE w:val="0"/>
              <w:autoSpaceDN w:val="0"/>
              <w:adjustRightInd w:val="0"/>
              <w:spacing w:line="240" w:lineRule="auto"/>
              <w:rPr>
                <w:snapToGrid/>
                <w:szCs w:val="22"/>
                <w:lang w:val="lt-LT"/>
              </w:rPr>
            </w:pPr>
            <w:proofErr w:type="spellStart"/>
            <w:r>
              <w:rPr>
                <w:snapToGrid/>
                <w:szCs w:val="22"/>
                <w:lang w:val="lt-LT"/>
              </w:rPr>
              <w:t>Somnolencija</w:t>
            </w:r>
            <w:proofErr w:type="spellEnd"/>
          </w:p>
        </w:tc>
        <w:tc>
          <w:tcPr>
            <w:tcW w:w="4179" w:type="dxa"/>
          </w:tcPr>
          <w:p w14:paraId="233F221A"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B64E78" w14:paraId="44A87F8E" w14:textId="77777777">
        <w:trPr>
          <w:jc w:val="center"/>
        </w:trPr>
        <w:tc>
          <w:tcPr>
            <w:tcW w:w="5032" w:type="dxa"/>
          </w:tcPr>
          <w:p w14:paraId="114A2D2E"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65B3FAC7"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rsidRPr="00053370" w14:paraId="1CB2361F" w14:textId="77777777">
        <w:trPr>
          <w:jc w:val="center"/>
        </w:trPr>
        <w:tc>
          <w:tcPr>
            <w:tcW w:w="5032" w:type="dxa"/>
          </w:tcPr>
          <w:p w14:paraId="0F324D92"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Kvėpavimo sistemos, krūtinės ląstos ir tarpuplaučio sutrikimai</w:t>
            </w:r>
          </w:p>
        </w:tc>
        <w:tc>
          <w:tcPr>
            <w:tcW w:w="4179" w:type="dxa"/>
          </w:tcPr>
          <w:p w14:paraId="17D68B7F"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08F73C94" w14:textId="77777777">
        <w:trPr>
          <w:jc w:val="center"/>
        </w:trPr>
        <w:tc>
          <w:tcPr>
            <w:tcW w:w="5032" w:type="dxa"/>
          </w:tcPr>
          <w:p w14:paraId="7BD2F277"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Intersticinė</w:t>
            </w:r>
            <w:proofErr w:type="spellEnd"/>
            <w:r>
              <w:rPr>
                <w:rFonts w:eastAsia="TimesNewRoman"/>
                <w:snapToGrid/>
                <w:szCs w:val="22"/>
                <w:lang w:val="lt-LT"/>
              </w:rPr>
              <w:t xml:space="preserve"> plaučių liga</w:t>
            </w:r>
            <w:r>
              <w:rPr>
                <w:snapToGrid/>
                <w:szCs w:val="22"/>
                <w:vertAlign w:val="superscript"/>
                <w:lang w:val="lt-LT"/>
              </w:rPr>
              <w:t>*</w:t>
            </w:r>
          </w:p>
        </w:tc>
        <w:tc>
          <w:tcPr>
            <w:tcW w:w="4179" w:type="dxa"/>
          </w:tcPr>
          <w:p w14:paraId="66ACA9B4"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02DA9884" w14:textId="77777777">
        <w:trPr>
          <w:jc w:val="center"/>
        </w:trPr>
        <w:tc>
          <w:tcPr>
            <w:tcW w:w="5032" w:type="dxa"/>
          </w:tcPr>
          <w:p w14:paraId="0FDBB99C"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7B6C3FDA"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638EE9C0" w14:textId="77777777">
        <w:trPr>
          <w:jc w:val="center"/>
        </w:trPr>
        <w:tc>
          <w:tcPr>
            <w:tcW w:w="5032" w:type="dxa"/>
          </w:tcPr>
          <w:p w14:paraId="1719BF6C"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Virškinimo trakto sutrikimai</w:t>
            </w:r>
          </w:p>
        </w:tc>
        <w:tc>
          <w:tcPr>
            <w:tcW w:w="4179" w:type="dxa"/>
          </w:tcPr>
          <w:p w14:paraId="51D13FF1"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371DD945" w14:textId="77777777">
        <w:trPr>
          <w:jc w:val="center"/>
        </w:trPr>
        <w:tc>
          <w:tcPr>
            <w:tcW w:w="5032" w:type="dxa"/>
          </w:tcPr>
          <w:p w14:paraId="7CAA457C"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Viduriavimas</w:t>
            </w:r>
          </w:p>
        </w:tc>
        <w:tc>
          <w:tcPr>
            <w:tcW w:w="4179" w:type="dxa"/>
          </w:tcPr>
          <w:p w14:paraId="2B38A4FA"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B64E78" w14:paraId="32621C15" w14:textId="77777777">
        <w:trPr>
          <w:jc w:val="center"/>
        </w:trPr>
        <w:tc>
          <w:tcPr>
            <w:tcW w:w="5032" w:type="dxa"/>
          </w:tcPr>
          <w:p w14:paraId="0F250CBA"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Pykinimas</w:t>
            </w:r>
          </w:p>
        </w:tc>
        <w:tc>
          <w:tcPr>
            <w:tcW w:w="4179" w:type="dxa"/>
          </w:tcPr>
          <w:p w14:paraId="1B65FB3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B64E78" w14:paraId="3B02956C" w14:textId="77777777">
        <w:trPr>
          <w:jc w:val="center"/>
        </w:trPr>
        <w:tc>
          <w:tcPr>
            <w:tcW w:w="5032" w:type="dxa"/>
          </w:tcPr>
          <w:p w14:paraId="78DC1B94"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Dujų kaupimasis žarnyne</w:t>
            </w:r>
          </w:p>
        </w:tc>
        <w:tc>
          <w:tcPr>
            <w:tcW w:w="4179" w:type="dxa"/>
          </w:tcPr>
          <w:p w14:paraId="2F1B07AF"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B64E78" w14:paraId="06958B6B" w14:textId="77777777">
        <w:trPr>
          <w:jc w:val="center"/>
        </w:trPr>
        <w:tc>
          <w:tcPr>
            <w:tcW w:w="5032" w:type="dxa"/>
          </w:tcPr>
          <w:p w14:paraId="6D2B29B2"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Vidurių užkietėjimas</w:t>
            </w:r>
          </w:p>
        </w:tc>
        <w:tc>
          <w:tcPr>
            <w:tcW w:w="4179" w:type="dxa"/>
          </w:tcPr>
          <w:p w14:paraId="2BEB8D39"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B64E78" w14:paraId="266EDE44" w14:textId="77777777">
        <w:trPr>
          <w:jc w:val="center"/>
        </w:trPr>
        <w:tc>
          <w:tcPr>
            <w:tcW w:w="5032" w:type="dxa"/>
          </w:tcPr>
          <w:p w14:paraId="321234D4" w14:textId="77777777" w:rsidR="00B64E78" w:rsidRDefault="00DA46A9">
            <w:pPr>
              <w:tabs>
                <w:tab w:val="clear" w:pos="567"/>
              </w:tabs>
              <w:autoSpaceDE w:val="0"/>
              <w:autoSpaceDN w:val="0"/>
              <w:adjustRightInd w:val="0"/>
              <w:spacing w:line="240" w:lineRule="auto"/>
              <w:rPr>
                <w:snapToGrid/>
                <w:szCs w:val="22"/>
                <w:lang w:val="lt-LT"/>
              </w:rPr>
            </w:pPr>
            <w:r>
              <w:rPr>
                <w:lang w:val="lt-LT"/>
              </w:rPr>
              <w:t>Viršutinės pilvo dalies skausmas</w:t>
            </w:r>
          </w:p>
        </w:tc>
        <w:tc>
          <w:tcPr>
            <w:tcW w:w="4179" w:type="dxa"/>
          </w:tcPr>
          <w:p w14:paraId="7F81824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Nedažnas</w:t>
            </w:r>
          </w:p>
        </w:tc>
      </w:tr>
      <w:tr w:rsidR="00B64E78" w14:paraId="4D1C5952" w14:textId="77777777">
        <w:trPr>
          <w:jc w:val="center"/>
        </w:trPr>
        <w:tc>
          <w:tcPr>
            <w:tcW w:w="5032" w:type="dxa"/>
          </w:tcPr>
          <w:p w14:paraId="0651AADA"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Vėmimas</w:t>
            </w:r>
          </w:p>
        </w:tc>
        <w:tc>
          <w:tcPr>
            <w:tcW w:w="4179" w:type="dxa"/>
          </w:tcPr>
          <w:p w14:paraId="0614200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Dažnas</w:t>
            </w:r>
          </w:p>
        </w:tc>
      </w:tr>
      <w:tr w:rsidR="00B64E78" w14:paraId="7FC09CCC" w14:textId="77777777">
        <w:trPr>
          <w:jc w:val="center"/>
        </w:trPr>
        <w:tc>
          <w:tcPr>
            <w:tcW w:w="5032" w:type="dxa"/>
          </w:tcPr>
          <w:p w14:paraId="539B76E7" w14:textId="77777777" w:rsidR="00B64E78" w:rsidRDefault="00DA46A9">
            <w:pPr>
              <w:tabs>
                <w:tab w:val="clear" w:pos="567"/>
              </w:tabs>
              <w:autoSpaceDE w:val="0"/>
              <w:autoSpaceDN w:val="0"/>
              <w:adjustRightInd w:val="0"/>
              <w:spacing w:line="240" w:lineRule="auto"/>
              <w:rPr>
                <w:snapToGrid/>
                <w:szCs w:val="22"/>
                <w:vertAlign w:val="superscript"/>
                <w:lang w:val="lt-LT"/>
              </w:rPr>
            </w:pPr>
            <w:r>
              <w:rPr>
                <w:rFonts w:eastAsia="TimesNewRoman"/>
                <w:snapToGrid/>
                <w:szCs w:val="22"/>
                <w:lang w:val="lt-LT"/>
              </w:rPr>
              <w:t>Ūminis pankreatitas</w:t>
            </w:r>
            <w:r>
              <w:rPr>
                <w:snapToGrid/>
                <w:szCs w:val="22"/>
                <w:vertAlign w:val="superscript"/>
                <w:lang w:val="lt-LT"/>
              </w:rPr>
              <w:t>*,†,‡</w:t>
            </w:r>
          </w:p>
        </w:tc>
        <w:tc>
          <w:tcPr>
            <w:tcW w:w="4179" w:type="dxa"/>
          </w:tcPr>
          <w:p w14:paraId="0E2D6D23"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4E21BB14" w14:textId="77777777">
        <w:trPr>
          <w:jc w:val="center"/>
        </w:trPr>
        <w:tc>
          <w:tcPr>
            <w:tcW w:w="5032" w:type="dxa"/>
          </w:tcPr>
          <w:p w14:paraId="1B4C2A15"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 xml:space="preserve">Mirtinas ar nemirtinas hemoraginis ar </w:t>
            </w:r>
            <w:proofErr w:type="spellStart"/>
            <w:r>
              <w:rPr>
                <w:rFonts w:eastAsia="TimesNewRoman"/>
                <w:snapToGrid/>
                <w:szCs w:val="22"/>
                <w:lang w:val="lt-LT"/>
              </w:rPr>
              <w:t>nekrozinis</w:t>
            </w:r>
            <w:proofErr w:type="spellEnd"/>
            <w:r>
              <w:rPr>
                <w:rFonts w:eastAsia="TimesNewRoman"/>
                <w:snapToGrid/>
                <w:szCs w:val="22"/>
                <w:lang w:val="lt-LT"/>
              </w:rPr>
              <w:t xml:space="preserve"> pankreatitas</w:t>
            </w:r>
            <w:r>
              <w:rPr>
                <w:snapToGrid/>
                <w:szCs w:val="22"/>
                <w:vertAlign w:val="superscript"/>
                <w:lang w:val="lt-LT"/>
              </w:rPr>
              <w:t>*,†</w:t>
            </w:r>
          </w:p>
        </w:tc>
        <w:tc>
          <w:tcPr>
            <w:tcW w:w="4179" w:type="dxa"/>
          </w:tcPr>
          <w:p w14:paraId="53F737BA"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75DAABD8" w14:textId="77777777">
        <w:trPr>
          <w:jc w:val="center"/>
        </w:trPr>
        <w:tc>
          <w:tcPr>
            <w:tcW w:w="5032" w:type="dxa"/>
          </w:tcPr>
          <w:p w14:paraId="7F12C64E"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0E4E8896"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rsidRPr="00317643" w14:paraId="67152464" w14:textId="77777777">
        <w:trPr>
          <w:jc w:val="center"/>
        </w:trPr>
        <w:tc>
          <w:tcPr>
            <w:tcW w:w="5032" w:type="dxa"/>
          </w:tcPr>
          <w:p w14:paraId="60FF7700"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Odos ir poodinio audinio sutrikimai</w:t>
            </w:r>
          </w:p>
        </w:tc>
        <w:tc>
          <w:tcPr>
            <w:tcW w:w="4179" w:type="dxa"/>
          </w:tcPr>
          <w:p w14:paraId="43852CD1"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42CA094E" w14:textId="77777777">
        <w:trPr>
          <w:jc w:val="center"/>
        </w:trPr>
        <w:tc>
          <w:tcPr>
            <w:tcW w:w="5032" w:type="dxa"/>
          </w:tcPr>
          <w:p w14:paraId="312201B2"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Niežėjimas</w:t>
            </w:r>
            <w:r>
              <w:rPr>
                <w:snapToGrid/>
                <w:szCs w:val="22"/>
                <w:vertAlign w:val="superscript"/>
                <w:lang w:val="lt-LT"/>
              </w:rPr>
              <w:t xml:space="preserve">* </w:t>
            </w:r>
          </w:p>
        </w:tc>
        <w:tc>
          <w:tcPr>
            <w:tcW w:w="4179" w:type="dxa"/>
          </w:tcPr>
          <w:p w14:paraId="00A7DCB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Nedažni</w:t>
            </w:r>
          </w:p>
        </w:tc>
      </w:tr>
      <w:tr w:rsidR="00B64E78" w14:paraId="25192FA7" w14:textId="77777777">
        <w:trPr>
          <w:jc w:val="center"/>
        </w:trPr>
        <w:tc>
          <w:tcPr>
            <w:tcW w:w="5032" w:type="dxa"/>
          </w:tcPr>
          <w:p w14:paraId="5BD3C61C"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Angioneurozinė</w:t>
            </w:r>
            <w:proofErr w:type="spellEnd"/>
            <w:r>
              <w:rPr>
                <w:rFonts w:eastAsia="TimesNewRoman"/>
                <w:snapToGrid/>
                <w:szCs w:val="22"/>
                <w:lang w:val="lt-LT"/>
              </w:rPr>
              <w:t xml:space="preserve"> edema</w:t>
            </w:r>
            <w:r>
              <w:rPr>
                <w:snapToGrid/>
                <w:szCs w:val="22"/>
                <w:vertAlign w:val="superscript"/>
                <w:lang w:val="lt-LT"/>
              </w:rPr>
              <w:t>*,†</w:t>
            </w:r>
          </w:p>
        </w:tc>
        <w:tc>
          <w:tcPr>
            <w:tcW w:w="4179" w:type="dxa"/>
          </w:tcPr>
          <w:p w14:paraId="6663FE21"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67F8E571" w14:textId="77777777">
        <w:trPr>
          <w:jc w:val="center"/>
        </w:trPr>
        <w:tc>
          <w:tcPr>
            <w:tcW w:w="5032" w:type="dxa"/>
          </w:tcPr>
          <w:p w14:paraId="5245D037"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Išbėrimas</w:t>
            </w:r>
            <w:r>
              <w:rPr>
                <w:snapToGrid/>
                <w:szCs w:val="22"/>
                <w:vertAlign w:val="superscript"/>
                <w:lang w:val="lt-LT"/>
              </w:rPr>
              <w:t>*,†</w:t>
            </w:r>
          </w:p>
        </w:tc>
        <w:tc>
          <w:tcPr>
            <w:tcW w:w="4179" w:type="dxa"/>
          </w:tcPr>
          <w:p w14:paraId="5B51B0CF"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3728C36C" w14:textId="77777777">
        <w:trPr>
          <w:jc w:val="center"/>
        </w:trPr>
        <w:tc>
          <w:tcPr>
            <w:tcW w:w="5032" w:type="dxa"/>
          </w:tcPr>
          <w:p w14:paraId="5286FDA3"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Dilgėlinė</w:t>
            </w:r>
            <w:r>
              <w:rPr>
                <w:snapToGrid/>
                <w:szCs w:val="22"/>
                <w:vertAlign w:val="superscript"/>
                <w:lang w:val="lt-LT"/>
              </w:rPr>
              <w:t>*,†</w:t>
            </w:r>
          </w:p>
        </w:tc>
        <w:tc>
          <w:tcPr>
            <w:tcW w:w="4179" w:type="dxa"/>
          </w:tcPr>
          <w:p w14:paraId="1FBD2B09"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44C5CE68" w14:textId="77777777">
        <w:trPr>
          <w:jc w:val="center"/>
        </w:trPr>
        <w:tc>
          <w:tcPr>
            <w:tcW w:w="5032" w:type="dxa"/>
          </w:tcPr>
          <w:p w14:paraId="31DDE731"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 xml:space="preserve">Odos </w:t>
            </w:r>
            <w:proofErr w:type="spellStart"/>
            <w:r>
              <w:rPr>
                <w:rFonts w:eastAsia="TimesNewRoman"/>
                <w:snapToGrid/>
                <w:szCs w:val="22"/>
                <w:lang w:val="lt-LT"/>
              </w:rPr>
              <w:t>vaskulitas</w:t>
            </w:r>
            <w:proofErr w:type="spellEnd"/>
            <w:r>
              <w:rPr>
                <w:snapToGrid/>
                <w:szCs w:val="22"/>
                <w:vertAlign w:val="superscript"/>
                <w:lang w:val="lt-LT"/>
              </w:rPr>
              <w:t>*,†</w:t>
            </w:r>
          </w:p>
        </w:tc>
        <w:tc>
          <w:tcPr>
            <w:tcW w:w="4179" w:type="dxa"/>
          </w:tcPr>
          <w:p w14:paraId="28FB1E4A"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762F2EDA" w14:textId="77777777">
        <w:trPr>
          <w:jc w:val="center"/>
        </w:trPr>
        <w:tc>
          <w:tcPr>
            <w:tcW w:w="5032" w:type="dxa"/>
          </w:tcPr>
          <w:p w14:paraId="738C373B"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Eksfoliacinės</w:t>
            </w:r>
            <w:proofErr w:type="spellEnd"/>
            <w:r>
              <w:rPr>
                <w:rFonts w:eastAsia="TimesNewRoman"/>
                <w:snapToGrid/>
                <w:szCs w:val="22"/>
                <w:lang w:val="lt-LT"/>
              </w:rPr>
              <w:t xml:space="preserve"> odos būklės, įskaitant </w:t>
            </w:r>
            <w:proofErr w:type="spellStart"/>
            <w:r>
              <w:rPr>
                <w:rFonts w:eastAsia="TimesNewRoman"/>
                <w:snapToGrid/>
                <w:szCs w:val="22"/>
                <w:lang w:val="lt-LT"/>
              </w:rPr>
              <w:t>Stivenso</w:t>
            </w:r>
            <w:proofErr w:type="spellEnd"/>
            <w:r>
              <w:rPr>
                <w:rFonts w:eastAsia="TimesNewRoman"/>
                <w:snapToGrid/>
                <w:szCs w:val="22"/>
                <w:lang w:val="lt-LT"/>
              </w:rPr>
              <w:noBreakHyphen/>
              <w:t>Džonsono (</w:t>
            </w:r>
            <w:proofErr w:type="spellStart"/>
            <w:r>
              <w:rPr>
                <w:rFonts w:eastAsia="TimesNewRoman,Italic"/>
                <w:i/>
                <w:iCs/>
                <w:snapToGrid/>
                <w:szCs w:val="22"/>
                <w:lang w:val="lt-LT"/>
              </w:rPr>
              <w:t>Stevens</w:t>
            </w:r>
            <w:r>
              <w:rPr>
                <w:rFonts w:eastAsia="TimesNewRoman,Italic"/>
                <w:i/>
                <w:iCs/>
                <w:snapToGrid/>
                <w:szCs w:val="22"/>
                <w:lang w:val="lt-LT"/>
              </w:rPr>
              <w:noBreakHyphen/>
              <w:t>Johnson</w:t>
            </w:r>
            <w:proofErr w:type="spellEnd"/>
            <w:r>
              <w:rPr>
                <w:rFonts w:eastAsia="TimesNewRoman,Italic"/>
                <w:iCs/>
                <w:snapToGrid/>
                <w:szCs w:val="22"/>
                <w:lang w:val="lt-LT"/>
              </w:rPr>
              <w:t>)</w:t>
            </w:r>
            <w:r>
              <w:rPr>
                <w:rFonts w:eastAsia="TimesNewRoman"/>
                <w:snapToGrid/>
                <w:szCs w:val="22"/>
                <w:lang w:val="lt-LT"/>
              </w:rPr>
              <w:t xml:space="preserve"> sindromą</w:t>
            </w:r>
            <w:r>
              <w:rPr>
                <w:snapToGrid/>
                <w:szCs w:val="22"/>
                <w:vertAlign w:val="superscript"/>
                <w:lang w:val="lt-LT"/>
              </w:rPr>
              <w:t>*,†</w:t>
            </w:r>
          </w:p>
        </w:tc>
        <w:tc>
          <w:tcPr>
            <w:tcW w:w="4179" w:type="dxa"/>
          </w:tcPr>
          <w:p w14:paraId="652FCF43"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44575F50" w14:textId="77777777">
        <w:trPr>
          <w:jc w:val="center"/>
        </w:trPr>
        <w:tc>
          <w:tcPr>
            <w:tcW w:w="5032" w:type="dxa"/>
          </w:tcPr>
          <w:p w14:paraId="0B256885"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Pūslinis</w:t>
            </w:r>
            <w:proofErr w:type="spellEnd"/>
            <w:r>
              <w:rPr>
                <w:rFonts w:eastAsia="TimesNewRoman"/>
                <w:snapToGrid/>
                <w:szCs w:val="22"/>
                <w:lang w:val="lt-LT"/>
              </w:rPr>
              <w:t xml:space="preserve"> </w:t>
            </w:r>
            <w:proofErr w:type="spellStart"/>
            <w:r>
              <w:rPr>
                <w:rFonts w:eastAsia="TimesNewRoman"/>
                <w:snapToGrid/>
                <w:szCs w:val="22"/>
                <w:lang w:val="lt-LT"/>
              </w:rPr>
              <w:t>pemfigoidas</w:t>
            </w:r>
            <w:proofErr w:type="spellEnd"/>
            <w:r>
              <w:rPr>
                <w:rFonts w:eastAsia="TimesNewRoman"/>
                <w:snapToGrid/>
                <w:szCs w:val="22"/>
                <w:vertAlign w:val="superscript"/>
                <w:lang w:val="lt-LT" w:eastAsia="sl-SI"/>
              </w:rPr>
              <w:t>*</w:t>
            </w:r>
          </w:p>
        </w:tc>
        <w:tc>
          <w:tcPr>
            <w:tcW w:w="4179" w:type="dxa"/>
          </w:tcPr>
          <w:p w14:paraId="35276B97"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27068B49" w14:textId="77777777">
        <w:trPr>
          <w:jc w:val="center"/>
        </w:trPr>
        <w:tc>
          <w:tcPr>
            <w:tcW w:w="5032" w:type="dxa"/>
          </w:tcPr>
          <w:p w14:paraId="66F069A2"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3011696F"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rsidRPr="00317643" w14:paraId="51C9B636" w14:textId="77777777">
        <w:trPr>
          <w:jc w:val="center"/>
        </w:trPr>
        <w:tc>
          <w:tcPr>
            <w:tcW w:w="5032" w:type="dxa"/>
          </w:tcPr>
          <w:p w14:paraId="411A3FB1"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Skeleto, raumenų ir jungiamojo audinio sutrikimai</w:t>
            </w:r>
          </w:p>
        </w:tc>
        <w:tc>
          <w:tcPr>
            <w:tcW w:w="4179" w:type="dxa"/>
          </w:tcPr>
          <w:p w14:paraId="270A50C7"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2D91B83F" w14:textId="77777777">
        <w:trPr>
          <w:jc w:val="center"/>
        </w:trPr>
        <w:tc>
          <w:tcPr>
            <w:tcW w:w="5032" w:type="dxa"/>
          </w:tcPr>
          <w:p w14:paraId="4260203E"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Artralgija</w:t>
            </w:r>
            <w:proofErr w:type="spellEnd"/>
            <w:r>
              <w:rPr>
                <w:snapToGrid/>
                <w:szCs w:val="22"/>
                <w:vertAlign w:val="superscript"/>
                <w:lang w:val="lt-LT"/>
              </w:rPr>
              <w:t>*</w:t>
            </w:r>
          </w:p>
        </w:tc>
        <w:tc>
          <w:tcPr>
            <w:tcW w:w="4179" w:type="dxa"/>
          </w:tcPr>
          <w:p w14:paraId="7CC1B034"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59EB2541" w14:textId="77777777">
        <w:trPr>
          <w:jc w:val="center"/>
        </w:trPr>
        <w:tc>
          <w:tcPr>
            <w:tcW w:w="5032" w:type="dxa"/>
          </w:tcPr>
          <w:p w14:paraId="4A561E61" w14:textId="77777777" w:rsidR="00B64E78" w:rsidRDefault="00DA46A9">
            <w:pPr>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Mialgija</w:t>
            </w:r>
            <w:proofErr w:type="spellEnd"/>
            <w:r>
              <w:rPr>
                <w:snapToGrid/>
                <w:szCs w:val="22"/>
                <w:vertAlign w:val="superscript"/>
                <w:lang w:val="lt-LT"/>
              </w:rPr>
              <w:t>*</w:t>
            </w:r>
          </w:p>
        </w:tc>
        <w:tc>
          <w:tcPr>
            <w:tcW w:w="4179" w:type="dxa"/>
          </w:tcPr>
          <w:p w14:paraId="64D852BE"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5DDB8AA0" w14:textId="77777777">
        <w:trPr>
          <w:jc w:val="center"/>
        </w:trPr>
        <w:tc>
          <w:tcPr>
            <w:tcW w:w="5032" w:type="dxa"/>
          </w:tcPr>
          <w:p w14:paraId="2D010D79"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t>Galūnių skausmas</w:t>
            </w:r>
            <w:r>
              <w:rPr>
                <w:snapToGrid/>
                <w:szCs w:val="22"/>
                <w:vertAlign w:val="superscript"/>
                <w:lang w:val="lt-LT"/>
              </w:rPr>
              <w:t>*</w:t>
            </w:r>
          </w:p>
        </w:tc>
        <w:tc>
          <w:tcPr>
            <w:tcW w:w="4179" w:type="dxa"/>
          </w:tcPr>
          <w:p w14:paraId="1C6EB326"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6F217B20" w14:textId="77777777">
        <w:trPr>
          <w:jc w:val="center"/>
        </w:trPr>
        <w:tc>
          <w:tcPr>
            <w:tcW w:w="5032" w:type="dxa"/>
          </w:tcPr>
          <w:p w14:paraId="4A620373" w14:textId="77777777" w:rsidR="00B64E78" w:rsidRDefault="00DA46A9">
            <w:pPr>
              <w:tabs>
                <w:tab w:val="clear" w:pos="567"/>
              </w:tabs>
              <w:autoSpaceDE w:val="0"/>
              <w:autoSpaceDN w:val="0"/>
              <w:adjustRightInd w:val="0"/>
              <w:spacing w:line="240" w:lineRule="auto"/>
              <w:rPr>
                <w:snapToGrid/>
                <w:szCs w:val="22"/>
                <w:lang w:val="lt-LT"/>
              </w:rPr>
            </w:pPr>
            <w:r>
              <w:rPr>
                <w:snapToGrid/>
                <w:szCs w:val="22"/>
                <w:lang w:val="lt-LT"/>
              </w:rPr>
              <w:lastRenderedPageBreak/>
              <w:t>Nugaros skausmas</w:t>
            </w:r>
            <w:r>
              <w:rPr>
                <w:snapToGrid/>
                <w:szCs w:val="22"/>
                <w:vertAlign w:val="superscript"/>
                <w:lang w:val="lt-LT"/>
              </w:rPr>
              <w:t>*</w:t>
            </w:r>
          </w:p>
        </w:tc>
        <w:tc>
          <w:tcPr>
            <w:tcW w:w="4179" w:type="dxa"/>
          </w:tcPr>
          <w:p w14:paraId="2D2B3F2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777719E7" w14:textId="77777777">
        <w:trPr>
          <w:jc w:val="center"/>
        </w:trPr>
        <w:tc>
          <w:tcPr>
            <w:tcW w:w="5032" w:type="dxa"/>
          </w:tcPr>
          <w:p w14:paraId="727D65EB" w14:textId="77777777" w:rsidR="00B64E78" w:rsidRDefault="00DA46A9">
            <w:pPr>
              <w:tabs>
                <w:tab w:val="clear" w:pos="567"/>
              </w:tabs>
              <w:autoSpaceDE w:val="0"/>
              <w:autoSpaceDN w:val="0"/>
              <w:adjustRightInd w:val="0"/>
              <w:spacing w:line="240" w:lineRule="auto"/>
              <w:rPr>
                <w:snapToGrid/>
                <w:szCs w:val="22"/>
                <w:lang w:val="lt-LT"/>
              </w:rPr>
            </w:pPr>
            <w:proofErr w:type="spellStart"/>
            <w:r>
              <w:rPr>
                <w:snapToGrid/>
                <w:szCs w:val="22"/>
                <w:lang w:val="lt-LT"/>
              </w:rPr>
              <w:t>Artropatija</w:t>
            </w:r>
            <w:proofErr w:type="spellEnd"/>
            <w:r>
              <w:rPr>
                <w:snapToGrid/>
                <w:szCs w:val="22"/>
                <w:vertAlign w:val="superscript"/>
                <w:lang w:val="lt-LT"/>
              </w:rPr>
              <w:t>*</w:t>
            </w:r>
          </w:p>
        </w:tc>
        <w:tc>
          <w:tcPr>
            <w:tcW w:w="4179" w:type="dxa"/>
          </w:tcPr>
          <w:p w14:paraId="4FBBECC5"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6DB18051" w14:textId="77777777">
        <w:trPr>
          <w:jc w:val="center"/>
        </w:trPr>
        <w:tc>
          <w:tcPr>
            <w:tcW w:w="5032" w:type="dxa"/>
          </w:tcPr>
          <w:p w14:paraId="2F29B90A" w14:textId="77777777" w:rsidR="00B64E78" w:rsidRDefault="00B64E78">
            <w:pPr>
              <w:tabs>
                <w:tab w:val="clear" w:pos="567"/>
              </w:tabs>
              <w:autoSpaceDE w:val="0"/>
              <w:autoSpaceDN w:val="0"/>
              <w:adjustRightInd w:val="0"/>
              <w:spacing w:line="240" w:lineRule="auto"/>
              <w:rPr>
                <w:snapToGrid/>
                <w:szCs w:val="22"/>
                <w:lang w:val="lt-LT"/>
              </w:rPr>
            </w:pPr>
          </w:p>
        </w:tc>
        <w:tc>
          <w:tcPr>
            <w:tcW w:w="4179" w:type="dxa"/>
          </w:tcPr>
          <w:p w14:paraId="6EAC93DD"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rsidRPr="00053370" w14:paraId="05F394B5" w14:textId="77777777">
        <w:trPr>
          <w:jc w:val="center"/>
        </w:trPr>
        <w:tc>
          <w:tcPr>
            <w:tcW w:w="5032" w:type="dxa"/>
          </w:tcPr>
          <w:p w14:paraId="4D948728" w14:textId="77777777" w:rsidR="00B64E78" w:rsidRDefault="00DA46A9">
            <w:pPr>
              <w:tabs>
                <w:tab w:val="clear" w:pos="567"/>
              </w:tabs>
              <w:autoSpaceDE w:val="0"/>
              <w:autoSpaceDN w:val="0"/>
              <w:adjustRightInd w:val="0"/>
              <w:spacing w:line="240" w:lineRule="auto"/>
              <w:rPr>
                <w:b/>
                <w:snapToGrid/>
                <w:szCs w:val="22"/>
                <w:lang w:val="lt-LT"/>
              </w:rPr>
            </w:pPr>
            <w:r>
              <w:rPr>
                <w:rFonts w:eastAsia="TimesNewRoman,Bold"/>
                <w:b/>
                <w:snapToGrid/>
                <w:szCs w:val="22"/>
                <w:lang w:val="lt-LT"/>
              </w:rPr>
              <w:t>Inkstų ir šlapimo takų sutrikimai</w:t>
            </w:r>
          </w:p>
        </w:tc>
        <w:tc>
          <w:tcPr>
            <w:tcW w:w="4179" w:type="dxa"/>
          </w:tcPr>
          <w:p w14:paraId="5611DA61" w14:textId="77777777" w:rsidR="00B64E78" w:rsidRDefault="00B64E78">
            <w:pPr>
              <w:tabs>
                <w:tab w:val="clear" w:pos="567"/>
              </w:tabs>
              <w:autoSpaceDE w:val="0"/>
              <w:autoSpaceDN w:val="0"/>
              <w:adjustRightInd w:val="0"/>
              <w:spacing w:line="240" w:lineRule="auto"/>
              <w:jc w:val="center"/>
              <w:rPr>
                <w:snapToGrid/>
                <w:szCs w:val="22"/>
                <w:lang w:val="lt-LT"/>
              </w:rPr>
            </w:pPr>
          </w:p>
        </w:tc>
      </w:tr>
      <w:tr w:rsidR="00B64E78" w14:paraId="7F6533F9" w14:textId="77777777">
        <w:trPr>
          <w:jc w:val="center"/>
        </w:trPr>
        <w:tc>
          <w:tcPr>
            <w:tcW w:w="5032" w:type="dxa"/>
          </w:tcPr>
          <w:p w14:paraId="6C9C9295"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Sutrikusi inkstų funkcija</w:t>
            </w:r>
            <w:r>
              <w:rPr>
                <w:snapToGrid/>
                <w:szCs w:val="22"/>
                <w:vertAlign w:val="superscript"/>
                <w:lang w:val="lt-LT"/>
              </w:rPr>
              <w:t>*</w:t>
            </w:r>
          </w:p>
        </w:tc>
        <w:tc>
          <w:tcPr>
            <w:tcW w:w="4179" w:type="dxa"/>
          </w:tcPr>
          <w:p w14:paraId="4DB04C20"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r w:rsidR="00B64E78" w14:paraId="25BED62B" w14:textId="77777777">
        <w:trPr>
          <w:jc w:val="center"/>
        </w:trPr>
        <w:tc>
          <w:tcPr>
            <w:tcW w:w="5032" w:type="dxa"/>
          </w:tcPr>
          <w:p w14:paraId="6887DB2E" w14:textId="77777777" w:rsidR="00B64E78" w:rsidRDefault="00DA46A9">
            <w:pPr>
              <w:tabs>
                <w:tab w:val="clear" w:pos="567"/>
              </w:tabs>
              <w:autoSpaceDE w:val="0"/>
              <w:autoSpaceDN w:val="0"/>
              <w:adjustRightInd w:val="0"/>
              <w:spacing w:line="240" w:lineRule="auto"/>
              <w:rPr>
                <w:snapToGrid/>
                <w:szCs w:val="22"/>
                <w:lang w:val="lt-LT"/>
              </w:rPr>
            </w:pPr>
            <w:r>
              <w:rPr>
                <w:rFonts w:eastAsia="TimesNewRoman"/>
                <w:snapToGrid/>
                <w:szCs w:val="22"/>
                <w:lang w:val="lt-LT"/>
              </w:rPr>
              <w:t>Ūminis inkstų nepakankamumas</w:t>
            </w:r>
            <w:r>
              <w:rPr>
                <w:snapToGrid/>
                <w:szCs w:val="22"/>
                <w:lang w:val="lt-LT"/>
              </w:rPr>
              <w:t>*</w:t>
            </w:r>
          </w:p>
        </w:tc>
        <w:tc>
          <w:tcPr>
            <w:tcW w:w="4179" w:type="dxa"/>
          </w:tcPr>
          <w:p w14:paraId="3EF05A23" w14:textId="77777777" w:rsidR="00B64E78" w:rsidRDefault="00DA46A9">
            <w:pPr>
              <w:tabs>
                <w:tab w:val="clear" w:pos="567"/>
              </w:tabs>
              <w:autoSpaceDE w:val="0"/>
              <w:autoSpaceDN w:val="0"/>
              <w:adjustRightInd w:val="0"/>
              <w:spacing w:line="240" w:lineRule="auto"/>
              <w:jc w:val="center"/>
              <w:rPr>
                <w:snapToGrid/>
                <w:szCs w:val="22"/>
                <w:lang w:val="lt-LT"/>
              </w:rPr>
            </w:pPr>
            <w:r>
              <w:rPr>
                <w:snapToGrid/>
                <w:szCs w:val="22"/>
                <w:lang w:val="lt-LT"/>
              </w:rPr>
              <w:t>Dažnis nežinomas</w:t>
            </w:r>
          </w:p>
        </w:tc>
      </w:tr>
    </w:tbl>
    <w:p w14:paraId="252B0737" w14:textId="77777777" w:rsidR="00B64E78" w:rsidRDefault="00DA46A9">
      <w:pPr>
        <w:widowControl w:val="0"/>
        <w:tabs>
          <w:tab w:val="clear" w:pos="567"/>
          <w:tab w:val="left" w:pos="170"/>
        </w:tabs>
        <w:autoSpaceDE w:val="0"/>
        <w:autoSpaceDN w:val="0"/>
        <w:adjustRightInd w:val="0"/>
        <w:spacing w:line="240" w:lineRule="auto"/>
        <w:rPr>
          <w:snapToGrid/>
          <w:sz w:val="18"/>
          <w:szCs w:val="18"/>
          <w:lang w:val="lt-LT"/>
        </w:rPr>
      </w:pPr>
      <w:r>
        <w:rPr>
          <w:snapToGrid/>
          <w:sz w:val="18"/>
          <w:szCs w:val="18"/>
          <w:lang w:val="lt-LT"/>
        </w:rPr>
        <w:t>*</w:t>
      </w:r>
      <w:r>
        <w:rPr>
          <w:snapToGrid/>
          <w:sz w:val="18"/>
          <w:szCs w:val="18"/>
          <w:lang w:val="lt-LT"/>
        </w:rPr>
        <w:tab/>
        <w:t>Nepageidaujamos reakcijos buvo nustatytos po vaistinio preparato pateikimo į rinką.</w:t>
      </w:r>
    </w:p>
    <w:p w14:paraId="7EC0896A" w14:textId="77777777" w:rsidR="00B64E78" w:rsidRDefault="00DA46A9">
      <w:pPr>
        <w:widowControl w:val="0"/>
        <w:tabs>
          <w:tab w:val="clear" w:pos="567"/>
          <w:tab w:val="left" w:pos="170"/>
        </w:tabs>
        <w:autoSpaceDE w:val="0"/>
        <w:autoSpaceDN w:val="0"/>
        <w:adjustRightInd w:val="0"/>
        <w:spacing w:line="240" w:lineRule="auto"/>
        <w:rPr>
          <w:rFonts w:eastAsia="TimesNewRoman,Bold"/>
          <w:snapToGrid/>
          <w:sz w:val="18"/>
          <w:szCs w:val="18"/>
          <w:lang w:val="lt-LT"/>
        </w:rPr>
      </w:pPr>
      <w:r>
        <w:rPr>
          <w:snapToGrid/>
          <w:sz w:val="18"/>
          <w:szCs w:val="18"/>
          <w:vertAlign w:val="superscript"/>
          <w:lang w:val="lt-LT"/>
        </w:rPr>
        <w:t>†</w:t>
      </w:r>
      <w:r>
        <w:rPr>
          <w:snapToGrid/>
          <w:sz w:val="18"/>
          <w:szCs w:val="18"/>
          <w:lang w:val="lt-LT"/>
        </w:rPr>
        <w:tab/>
      </w:r>
      <w:r>
        <w:rPr>
          <w:rFonts w:eastAsia="TimesNewRoman,Bold"/>
          <w:snapToGrid/>
          <w:sz w:val="18"/>
          <w:szCs w:val="18"/>
          <w:lang w:val="lt-LT"/>
        </w:rPr>
        <w:t>Žr. 4.4 skyrių.</w:t>
      </w:r>
    </w:p>
    <w:p w14:paraId="3B64AFCE" w14:textId="77777777" w:rsidR="00B64E78" w:rsidRDefault="00DA46A9">
      <w:pPr>
        <w:widowControl w:val="0"/>
        <w:tabs>
          <w:tab w:val="clear" w:pos="567"/>
          <w:tab w:val="left" w:pos="170"/>
        </w:tabs>
        <w:autoSpaceDE w:val="0"/>
        <w:autoSpaceDN w:val="0"/>
        <w:adjustRightInd w:val="0"/>
        <w:spacing w:line="240" w:lineRule="auto"/>
        <w:rPr>
          <w:snapToGrid/>
          <w:sz w:val="18"/>
          <w:szCs w:val="18"/>
          <w:lang w:val="lt-LT"/>
        </w:rPr>
      </w:pPr>
      <w:r>
        <w:rPr>
          <w:snapToGrid/>
          <w:sz w:val="18"/>
          <w:szCs w:val="18"/>
          <w:vertAlign w:val="superscript"/>
          <w:lang w:val="lt-LT"/>
        </w:rPr>
        <w:t>‡</w:t>
      </w:r>
      <w:r>
        <w:rPr>
          <w:snapToGrid/>
          <w:sz w:val="18"/>
          <w:szCs w:val="18"/>
          <w:lang w:val="lt-LT"/>
        </w:rPr>
        <w:tab/>
        <w:t xml:space="preserve">Žr. toliau </w:t>
      </w:r>
      <w:r>
        <w:rPr>
          <w:rFonts w:eastAsia="TimesNewRoman,Italic"/>
          <w:i/>
          <w:iCs/>
          <w:snapToGrid/>
          <w:sz w:val="18"/>
          <w:szCs w:val="18"/>
          <w:lang w:val="lt-LT"/>
        </w:rPr>
        <w:t>TECOS kardiovaskulinio saugumo tyrimas.</w:t>
      </w:r>
    </w:p>
    <w:p w14:paraId="20B934E6" w14:textId="77777777" w:rsidR="00B64E78" w:rsidRDefault="00B64E78">
      <w:pPr>
        <w:widowControl w:val="0"/>
        <w:tabs>
          <w:tab w:val="clear" w:pos="567"/>
        </w:tabs>
        <w:autoSpaceDE w:val="0"/>
        <w:autoSpaceDN w:val="0"/>
        <w:adjustRightInd w:val="0"/>
        <w:spacing w:line="240" w:lineRule="auto"/>
        <w:rPr>
          <w:snapToGrid/>
          <w:szCs w:val="22"/>
          <w:lang w:val="lt-LT"/>
        </w:rPr>
      </w:pPr>
    </w:p>
    <w:p w14:paraId="7C2F24D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u w:val="single"/>
          <w:lang w:val="lt-LT"/>
        </w:rPr>
        <w:t>Atrinktų nepageidaujamų reakcijų apibūdinimas</w:t>
      </w:r>
    </w:p>
    <w:p w14:paraId="37A4F1F2"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kurios nepageidaujamos reakcijos dažniau buvo stebėtos kombinuoto gydymo </w:t>
      </w:r>
      <w:proofErr w:type="spellStart"/>
      <w:r>
        <w:rPr>
          <w:snapToGrid/>
          <w:szCs w:val="22"/>
          <w:lang w:val="lt-LT"/>
        </w:rPr>
        <w:t>sitagliptinu</w:t>
      </w:r>
      <w:proofErr w:type="spellEnd"/>
      <w:r>
        <w:rPr>
          <w:snapToGrid/>
          <w:szCs w:val="22"/>
          <w:lang w:val="lt-LT"/>
        </w:rPr>
        <w:t xml:space="preserve"> bei </w:t>
      </w:r>
      <w:proofErr w:type="spellStart"/>
      <w:r>
        <w:rPr>
          <w:snapToGrid/>
          <w:szCs w:val="22"/>
          <w:lang w:val="lt-LT"/>
        </w:rPr>
        <w:t>metforminu</w:t>
      </w:r>
      <w:proofErr w:type="spellEnd"/>
      <w:r>
        <w:rPr>
          <w:snapToGrid/>
          <w:szCs w:val="22"/>
          <w:lang w:val="lt-LT"/>
        </w:rPr>
        <w:t xml:space="preserve"> ir kitais antidiabetiniais vaistiniais preparatais tyrimų metu nei vien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tyrimų metu. Tokios reakcijos buvo hipoglikemija (labai dažna vartojant kartu su </w:t>
      </w:r>
      <w:proofErr w:type="spellStart"/>
      <w:r>
        <w:rPr>
          <w:snapToGrid/>
          <w:szCs w:val="22"/>
          <w:lang w:val="lt-LT"/>
        </w:rPr>
        <w:t>sulfonilkarbamidu</w:t>
      </w:r>
      <w:proofErr w:type="spellEnd"/>
      <w:r>
        <w:rPr>
          <w:snapToGrid/>
          <w:szCs w:val="22"/>
          <w:lang w:val="lt-LT"/>
        </w:rPr>
        <w:t xml:space="preserve"> ar insulinu), vidurių užkietėjimas (dažnas vartojant kartu su </w:t>
      </w:r>
      <w:proofErr w:type="spellStart"/>
      <w:r>
        <w:rPr>
          <w:snapToGrid/>
          <w:szCs w:val="22"/>
          <w:lang w:val="lt-LT"/>
        </w:rPr>
        <w:t>sulfonilkarbamidu</w:t>
      </w:r>
      <w:proofErr w:type="spellEnd"/>
      <w:r>
        <w:rPr>
          <w:snapToGrid/>
          <w:szCs w:val="22"/>
          <w:lang w:val="lt-LT"/>
        </w:rPr>
        <w:t xml:space="preserve">), periferinė edema (dažna vartojant kartu su </w:t>
      </w:r>
      <w:proofErr w:type="spellStart"/>
      <w:r>
        <w:rPr>
          <w:snapToGrid/>
          <w:szCs w:val="22"/>
          <w:lang w:val="lt-LT"/>
        </w:rPr>
        <w:t>pioglitazonu</w:t>
      </w:r>
      <w:proofErr w:type="spellEnd"/>
      <w:r>
        <w:rPr>
          <w:snapToGrid/>
          <w:szCs w:val="22"/>
          <w:lang w:val="lt-LT"/>
        </w:rPr>
        <w:t>), galvos skausmas bei burnos džiūvimas (nedažni vartojant kartu su insulinu).</w:t>
      </w:r>
    </w:p>
    <w:p w14:paraId="4DE2A06A" w14:textId="77777777" w:rsidR="00B64E78" w:rsidRDefault="00B64E78">
      <w:pPr>
        <w:widowControl w:val="0"/>
        <w:tabs>
          <w:tab w:val="clear" w:pos="567"/>
        </w:tabs>
        <w:autoSpaceDE w:val="0"/>
        <w:autoSpaceDN w:val="0"/>
        <w:adjustRightInd w:val="0"/>
        <w:spacing w:line="240" w:lineRule="auto"/>
        <w:rPr>
          <w:bCs/>
          <w:snapToGrid/>
          <w:szCs w:val="22"/>
          <w:lang w:val="lt-LT"/>
        </w:rPr>
      </w:pPr>
    </w:p>
    <w:p w14:paraId="0A30D1A3" w14:textId="77777777" w:rsidR="00B64E78" w:rsidRDefault="00DA46A9">
      <w:pPr>
        <w:widowControl w:val="0"/>
        <w:tabs>
          <w:tab w:val="clear" w:pos="567"/>
        </w:tabs>
        <w:autoSpaceDE w:val="0"/>
        <w:autoSpaceDN w:val="0"/>
        <w:adjustRightInd w:val="0"/>
        <w:spacing w:line="240" w:lineRule="auto"/>
        <w:rPr>
          <w:bCs/>
          <w:i/>
          <w:iCs/>
          <w:snapToGrid/>
          <w:szCs w:val="22"/>
          <w:lang w:val="lt-LT"/>
        </w:rPr>
      </w:pPr>
      <w:r>
        <w:rPr>
          <w:bCs/>
          <w:i/>
          <w:iCs/>
          <w:snapToGrid/>
          <w:szCs w:val="22"/>
          <w:lang w:val="lt-LT"/>
        </w:rPr>
        <w:t>Sitagliptinas</w:t>
      </w:r>
    </w:p>
    <w:p w14:paraId="0DE70680" w14:textId="77777777" w:rsidR="00B64E78" w:rsidRDefault="00DA46A9">
      <w:pPr>
        <w:widowControl w:val="0"/>
        <w:tabs>
          <w:tab w:val="clear" w:pos="567"/>
        </w:tabs>
        <w:autoSpaceDE w:val="0"/>
        <w:autoSpaceDN w:val="0"/>
        <w:adjustRightInd w:val="0"/>
        <w:spacing w:line="240" w:lineRule="auto"/>
        <w:rPr>
          <w:bCs/>
          <w:snapToGrid/>
          <w:szCs w:val="22"/>
          <w:lang w:val="lt-LT"/>
        </w:rPr>
      </w:pPr>
      <w:proofErr w:type="spellStart"/>
      <w:r>
        <w:rPr>
          <w:bCs/>
          <w:snapToGrid/>
          <w:szCs w:val="22"/>
          <w:lang w:val="lt-LT"/>
        </w:rPr>
        <w:t>Monoterapijos</w:t>
      </w:r>
      <w:proofErr w:type="spellEnd"/>
      <w:r>
        <w:rPr>
          <w:bCs/>
          <w:snapToGrid/>
          <w:szCs w:val="22"/>
          <w:lang w:val="lt-LT"/>
        </w:rPr>
        <w:t xml:space="preserve"> tyrimų metu lyginant 100 mg </w:t>
      </w:r>
      <w:proofErr w:type="spellStart"/>
      <w:r>
        <w:rPr>
          <w:bCs/>
          <w:snapToGrid/>
          <w:szCs w:val="22"/>
          <w:lang w:val="lt-LT"/>
        </w:rPr>
        <w:t>sitagliptino</w:t>
      </w:r>
      <w:proofErr w:type="spellEnd"/>
      <w:r>
        <w:rPr>
          <w:bCs/>
          <w:snapToGrid/>
          <w:szCs w:val="22"/>
          <w:lang w:val="lt-LT"/>
        </w:rPr>
        <w:t xml:space="preserve"> dozės (vartojamos kartą per parą) ir placebo vartojimą, praneštos nepageidaujamos reakcijos buvo galvos skausmas, hipoglikemija, vidurių užkietėjimas ir svaigulys.</w:t>
      </w:r>
    </w:p>
    <w:p w14:paraId="72F11D6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Tokiems pacientams nepageidaujami reiškiniai (nepaisant priežastinio ryšio su vaistinio preparato vartojimu), kurių dažnis buvo ne mažesnis nei 5 %, buvo viršutinių kvėpavimo takų infekcija ir </w:t>
      </w:r>
      <w:proofErr w:type="spellStart"/>
      <w:r>
        <w:rPr>
          <w:snapToGrid/>
          <w:szCs w:val="22"/>
          <w:lang w:val="lt-LT"/>
        </w:rPr>
        <w:t>nazofaringitas</w:t>
      </w:r>
      <w:proofErr w:type="spellEnd"/>
      <w:r>
        <w:rPr>
          <w:snapToGrid/>
          <w:szCs w:val="22"/>
          <w:lang w:val="lt-LT"/>
        </w:rPr>
        <w:t xml:space="preserve">. Be to, nepageidaujami reiškiniai, kurių pasireiškė daugiau kaip 0,5 % didesniu dažniu </w:t>
      </w:r>
      <w:proofErr w:type="spellStart"/>
      <w:r>
        <w:rPr>
          <w:snapToGrid/>
          <w:szCs w:val="22"/>
          <w:lang w:val="lt-LT"/>
        </w:rPr>
        <w:t>sitagliptino</w:t>
      </w:r>
      <w:proofErr w:type="spellEnd"/>
      <w:r>
        <w:rPr>
          <w:snapToGrid/>
          <w:szCs w:val="22"/>
          <w:lang w:val="lt-LT"/>
        </w:rPr>
        <w:t xml:space="preserve"> grupėje nei kontrolinėje grupėje, buvo </w:t>
      </w:r>
      <w:proofErr w:type="spellStart"/>
      <w:r>
        <w:rPr>
          <w:snapToGrid/>
          <w:szCs w:val="22"/>
          <w:lang w:val="lt-LT"/>
        </w:rPr>
        <w:t>osteoartritas</w:t>
      </w:r>
      <w:proofErr w:type="spellEnd"/>
      <w:r>
        <w:rPr>
          <w:snapToGrid/>
          <w:szCs w:val="22"/>
          <w:lang w:val="lt-LT"/>
        </w:rPr>
        <w:t xml:space="preserve"> ir galūnių skausmas (dažnis – nedažni).</w:t>
      </w:r>
    </w:p>
    <w:p w14:paraId="27014458" w14:textId="77777777" w:rsidR="00B64E78" w:rsidRDefault="00B64E78">
      <w:pPr>
        <w:widowControl w:val="0"/>
        <w:tabs>
          <w:tab w:val="clear" w:pos="567"/>
        </w:tabs>
        <w:autoSpaceDE w:val="0"/>
        <w:autoSpaceDN w:val="0"/>
        <w:adjustRightInd w:val="0"/>
        <w:spacing w:line="240" w:lineRule="auto"/>
        <w:rPr>
          <w:bCs/>
          <w:snapToGrid/>
          <w:szCs w:val="22"/>
          <w:lang w:val="lt-LT"/>
        </w:rPr>
      </w:pPr>
    </w:p>
    <w:p w14:paraId="76A7B4AA" w14:textId="77777777" w:rsidR="00B64E78" w:rsidRDefault="00DA46A9">
      <w:pPr>
        <w:widowControl w:val="0"/>
        <w:tabs>
          <w:tab w:val="clear" w:pos="567"/>
        </w:tabs>
        <w:autoSpaceDE w:val="0"/>
        <w:autoSpaceDN w:val="0"/>
        <w:adjustRightInd w:val="0"/>
        <w:spacing w:line="240" w:lineRule="auto"/>
        <w:rPr>
          <w:bCs/>
          <w:i/>
          <w:iCs/>
          <w:snapToGrid/>
          <w:szCs w:val="22"/>
          <w:lang w:val="lt-LT"/>
        </w:rPr>
      </w:pPr>
      <w:r>
        <w:rPr>
          <w:bCs/>
          <w:i/>
          <w:iCs/>
          <w:snapToGrid/>
          <w:szCs w:val="22"/>
          <w:lang w:val="lt-LT"/>
        </w:rPr>
        <w:t>Metforminas</w:t>
      </w:r>
    </w:p>
    <w:p w14:paraId="1ACACFA7" w14:textId="77777777" w:rsidR="00B64E78" w:rsidRDefault="00DA46A9">
      <w:pPr>
        <w:widowControl w:val="0"/>
        <w:tabs>
          <w:tab w:val="clear" w:pos="567"/>
        </w:tabs>
        <w:autoSpaceDE w:val="0"/>
        <w:autoSpaceDN w:val="0"/>
        <w:adjustRightInd w:val="0"/>
        <w:spacing w:line="240" w:lineRule="auto"/>
        <w:rPr>
          <w:bCs/>
          <w:snapToGrid/>
          <w:szCs w:val="22"/>
          <w:lang w:val="lt-LT"/>
        </w:rPr>
      </w:pPr>
      <w:proofErr w:type="spellStart"/>
      <w:r>
        <w:rPr>
          <w:bCs/>
          <w:snapToGrid/>
          <w:szCs w:val="22"/>
          <w:lang w:val="lt-LT"/>
        </w:rPr>
        <w:t>Metformino</w:t>
      </w:r>
      <w:proofErr w:type="spellEnd"/>
      <w:r>
        <w:rPr>
          <w:bCs/>
          <w:snapToGrid/>
          <w:szCs w:val="22"/>
          <w:lang w:val="lt-LT"/>
        </w:rPr>
        <w:t xml:space="preserve"> klinikinių tyrimų metu ir po vaistinio preparato pateikimo į rinką apie virškinimo trakto simptomus buvo pranešta labai dažnai. Virškinimo trakto simptomai, tokie kaip pykinimas, vėmimas, viduriavimas, pilvo skausmas ir apetito praradimas, dažniausiai pasireiškia gydymo pradžioje ir dažniausiai išnyksta savaime. Su </w:t>
      </w:r>
      <w:proofErr w:type="spellStart"/>
      <w:r>
        <w:rPr>
          <w:bCs/>
          <w:snapToGrid/>
          <w:szCs w:val="22"/>
          <w:lang w:val="lt-LT"/>
        </w:rPr>
        <w:t>metforminu</w:t>
      </w:r>
      <w:proofErr w:type="spellEnd"/>
      <w:r>
        <w:rPr>
          <w:bCs/>
          <w:snapToGrid/>
          <w:szCs w:val="22"/>
          <w:lang w:val="lt-LT"/>
        </w:rPr>
        <w:t xml:space="preserve"> susijusios papildomos nepageidaujamos reakcijos yra metalo skonis (dažnas), pieno rūgšties </w:t>
      </w:r>
      <w:proofErr w:type="spellStart"/>
      <w:r>
        <w:rPr>
          <w:bCs/>
          <w:snapToGrid/>
          <w:szCs w:val="22"/>
          <w:lang w:val="lt-LT"/>
        </w:rPr>
        <w:t>acidozė</w:t>
      </w:r>
      <w:proofErr w:type="spellEnd"/>
      <w:r>
        <w:rPr>
          <w:bCs/>
          <w:snapToGrid/>
          <w:szCs w:val="22"/>
          <w:lang w:val="lt-LT"/>
        </w:rPr>
        <w:t xml:space="preserve">, kepenų funkcijos sutrikimai, hepatitas, dilgėlinė, </w:t>
      </w:r>
      <w:proofErr w:type="spellStart"/>
      <w:r>
        <w:rPr>
          <w:bCs/>
          <w:snapToGrid/>
          <w:szCs w:val="22"/>
          <w:lang w:val="lt-LT"/>
        </w:rPr>
        <w:t>eritema</w:t>
      </w:r>
      <w:proofErr w:type="spellEnd"/>
      <w:r>
        <w:rPr>
          <w:bCs/>
          <w:snapToGrid/>
          <w:szCs w:val="22"/>
          <w:lang w:val="lt-LT"/>
        </w:rPr>
        <w:t xml:space="preserve"> ir niežėjimas (labai reti). Dažnio kategorijos pagrįstos informacija, pateikiama </w:t>
      </w:r>
      <w:proofErr w:type="spellStart"/>
      <w:r>
        <w:rPr>
          <w:bCs/>
          <w:snapToGrid/>
          <w:szCs w:val="22"/>
          <w:lang w:val="lt-LT"/>
        </w:rPr>
        <w:t>metformino</w:t>
      </w:r>
      <w:proofErr w:type="spellEnd"/>
      <w:r>
        <w:rPr>
          <w:bCs/>
          <w:snapToGrid/>
          <w:szCs w:val="22"/>
          <w:lang w:val="lt-LT"/>
        </w:rPr>
        <w:t xml:space="preserve"> preparato charakteristikų santraukoje, skelbiamoje ES.</w:t>
      </w:r>
    </w:p>
    <w:p w14:paraId="718CF0BD" w14:textId="77777777" w:rsidR="00B64E78" w:rsidRDefault="00B64E78">
      <w:pPr>
        <w:widowControl w:val="0"/>
        <w:tabs>
          <w:tab w:val="clear" w:pos="567"/>
        </w:tabs>
        <w:autoSpaceDE w:val="0"/>
        <w:autoSpaceDN w:val="0"/>
        <w:adjustRightInd w:val="0"/>
        <w:spacing w:line="240" w:lineRule="auto"/>
        <w:rPr>
          <w:bCs/>
          <w:snapToGrid/>
          <w:szCs w:val="22"/>
          <w:lang w:val="lt-LT"/>
        </w:rPr>
      </w:pPr>
    </w:p>
    <w:p w14:paraId="46FC6FE8" w14:textId="77777777" w:rsidR="00B64E78" w:rsidRDefault="00DA46A9">
      <w:pPr>
        <w:widowControl w:val="0"/>
        <w:tabs>
          <w:tab w:val="clear" w:pos="567"/>
        </w:tabs>
        <w:autoSpaceDE w:val="0"/>
        <w:autoSpaceDN w:val="0"/>
        <w:adjustRightInd w:val="0"/>
        <w:spacing w:line="240" w:lineRule="auto"/>
        <w:rPr>
          <w:bCs/>
          <w:i/>
          <w:snapToGrid/>
          <w:szCs w:val="22"/>
          <w:lang w:val="lt-LT"/>
        </w:rPr>
      </w:pPr>
      <w:r>
        <w:rPr>
          <w:bCs/>
          <w:i/>
          <w:snapToGrid/>
          <w:szCs w:val="22"/>
          <w:lang w:val="lt-LT"/>
        </w:rPr>
        <w:t>Vaikų populiacija</w:t>
      </w:r>
    </w:p>
    <w:p w14:paraId="5D5DEAD3" w14:textId="77777777" w:rsidR="00B64E78" w:rsidRDefault="00DA46A9">
      <w:pPr>
        <w:widowControl w:val="0"/>
        <w:tabs>
          <w:tab w:val="clear" w:pos="567"/>
        </w:tabs>
        <w:autoSpaceDE w:val="0"/>
        <w:autoSpaceDN w:val="0"/>
        <w:adjustRightInd w:val="0"/>
        <w:spacing w:line="240" w:lineRule="auto"/>
        <w:rPr>
          <w:bCs/>
          <w:snapToGrid/>
          <w:szCs w:val="22"/>
          <w:lang w:val="lt-LT"/>
        </w:rPr>
      </w:pPr>
      <w:proofErr w:type="spellStart"/>
      <w:r>
        <w:rPr>
          <w:snapToGrid/>
          <w:szCs w:val="22"/>
          <w:lang w:val="lt-LT"/>
        </w:rPr>
        <w:t>Sitagliptino</w:t>
      </w:r>
      <w:proofErr w:type="spellEnd"/>
      <w:r>
        <w:rPr>
          <w:snapToGrid/>
          <w:szCs w:val="22"/>
          <w:lang w:val="lt-LT"/>
        </w:rPr>
        <w:t xml:space="preserve"> bei </w:t>
      </w:r>
      <w:proofErr w:type="spellStart"/>
      <w:r>
        <w:rPr>
          <w:snapToGrid/>
          <w:szCs w:val="22"/>
          <w:lang w:val="lt-LT"/>
        </w:rPr>
        <w:t>metformino</w:t>
      </w:r>
      <w:proofErr w:type="spellEnd"/>
      <w:r>
        <w:rPr>
          <w:bCs/>
          <w:snapToGrid/>
          <w:szCs w:val="22"/>
          <w:lang w:val="lt-LT"/>
        </w:rPr>
        <w:t xml:space="preserve"> klinikinių tyrimų, kuriuose dalyvavo 2 tipo cukriniu diabetu sirgę 10-17 metų vaikų populiacijos pacientai, duomenimis, nepageidaujamų reakcijų pobūdis iš esmės buvo panašus į nustatytą suaugusiesiems. Vaikų populiacijos pacientams, kuriems buvo skiriamas bazinis gydymas insulinu arba šis gydymas nebuvo skiriamas, </w:t>
      </w:r>
      <w:proofErr w:type="spellStart"/>
      <w:r>
        <w:rPr>
          <w:bCs/>
          <w:snapToGrid/>
          <w:szCs w:val="22"/>
          <w:lang w:val="lt-LT"/>
        </w:rPr>
        <w:t>sitagliptinas</w:t>
      </w:r>
      <w:proofErr w:type="spellEnd"/>
      <w:r>
        <w:rPr>
          <w:bCs/>
          <w:snapToGrid/>
          <w:szCs w:val="22"/>
          <w:lang w:val="lt-LT"/>
        </w:rPr>
        <w:t xml:space="preserve"> buvo susijęs su padidėjusia hipoglikemijos rizika.</w:t>
      </w:r>
    </w:p>
    <w:p w14:paraId="77068ECB" w14:textId="77777777" w:rsidR="00B64E78" w:rsidRDefault="00B64E78">
      <w:pPr>
        <w:widowControl w:val="0"/>
        <w:tabs>
          <w:tab w:val="clear" w:pos="567"/>
        </w:tabs>
        <w:autoSpaceDE w:val="0"/>
        <w:autoSpaceDN w:val="0"/>
        <w:adjustRightInd w:val="0"/>
        <w:spacing w:line="240" w:lineRule="auto"/>
        <w:rPr>
          <w:bCs/>
          <w:snapToGrid/>
          <w:szCs w:val="22"/>
          <w:lang w:val="lt-LT"/>
        </w:rPr>
      </w:pPr>
    </w:p>
    <w:p w14:paraId="51A10266" w14:textId="77777777" w:rsidR="00B64E78" w:rsidRDefault="00DA46A9">
      <w:pPr>
        <w:widowControl w:val="0"/>
        <w:tabs>
          <w:tab w:val="clear" w:pos="567"/>
        </w:tabs>
        <w:autoSpaceDE w:val="0"/>
        <w:autoSpaceDN w:val="0"/>
        <w:adjustRightInd w:val="0"/>
        <w:spacing w:line="240" w:lineRule="auto"/>
        <w:rPr>
          <w:rFonts w:eastAsia="TimesNewRoman,Italic"/>
          <w:i/>
          <w:iCs/>
          <w:snapToGrid/>
          <w:szCs w:val="22"/>
          <w:lang w:val="lt-LT"/>
        </w:rPr>
      </w:pPr>
      <w:r>
        <w:rPr>
          <w:rFonts w:eastAsia="TimesNewRoman,Italic"/>
          <w:i/>
          <w:iCs/>
          <w:snapToGrid/>
          <w:szCs w:val="22"/>
          <w:lang w:val="lt-LT"/>
        </w:rPr>
        <w:t>TECOS kardiovaskulinio saugumo tyrimas</w:t>
      </w:r>
    </w:p>
    <w:p w14:paraId="28E5D840" w14:textId="77777777" w:rsidR="00B64E78" w:rsidRDefault="00DA46A9">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Į kardiovaskulinių baigčių vartojant </w:t>
      </w:r>
      <w:proofErr w:type="spellStart"/>
      <w:r>
        <w:rPr>
          <w:rFonts w:eastAsia="TimesNewRoman,Italic"/>
          <w:snapToGrid/>
          <w:szCs w:val="22"/>
          <w:lang w:val="lt-LT"/>
        </w:rPr>
        <w:t>sitagliptino</w:t>
      </w:r>
      <w:proofErr w:type="spellEnd"/>
      <w:r>
        <w:rPr>
          <w:rFonts w:eastAsia="TimesNewRoman,Italic"/>
          <w:snapToGrid/>
          <w:szCs w:val="22"/>
          <w:lang w:val="lt-LT"/>
        </w:rPr>
        <w:t xml:space="preserve"> vertinimo tyrimą (angl. </w:t>
      </w:r>
      <w:proofErr w:type="spellStart"/>
      <w:r>
        <w:rPr>
          <w:rFonts w:eastAsia="TimesNewRoman,Italic"/>
          <w:i/>
          <w:iCs/>
          <w:snapToGrid/>
          <w:szCs w:val="22"/>
          <w:lang w:val="lt-LT"/>
        </w:rPr>
        <w:t>Trial</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Evaluating</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Cardiovascular</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Outcomes</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with</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Sitagliptin</w:t>
      </w:r>
      <w:proofErr w:type="spellEnd"/>
      <w:r>
        <w:rPr>
          <w:rFonts w:eastAsia="TimesNewRoman,Italic"/>
          <w:i/>
          <w:iCs/>
          <w:snapToGrid/>
          <w:szCs w:val="22"/>
          <w:lang w:val="lt-LT"/>
        </w:rPr>
        <w:t xml:space="preserve">, </w:t>
      </w:r>
      <w:r>
        <w:rPr>
          <w:rFonts w:eastAsia="TimesNewRoman,Italic"/>
          <w:snapToGrid/>
          <w:szCs w:val="22"/>
          <w:lang w:val="lt-LT"/>
        </w:rPr>
        <w:t xml:space="preserve">TECOS) įtraukti 7 332 pacientai buvo gydyti </w:t>
      </w:r>
      <w:proofErr w:type="spellStart"/>
      <w:r>
        <w:rPr>
          <w:rFonts w:eastAsia="TimesNewRoman,Italic"/>
          <w:snapToGrid/>
          <w:szCs w:val="22"/>
          <w:lang w:val="lt-LT"/>
        </w:rPr>
        <w:t>sitagliptino</w:t>
      </w:r>
      <w:proofErr w:type="spellEnd"/>
      <w:r>
        <w:rPr>
          <w:rFonts w:eastAsia="TimesNewRoman,Italic"/>
          <w:snapToGrid/>
          <w:szCs w:val="22"/>
          <w:lang w:val="lt-LT"/>
        </w:rPr>
        <w:t xml:space="preserve"> 100 mg paros doze (arba 50 mg paros doze, jeigu pradinis </w:t>
      </w:r>
      <w:proofErr w:type="spellStart"/>
      <w:r>
        <w:rPr>
          <w:rFonts w:eastAsia="TimesNewRoman,Italic"/>
          <w:snapToGrid/>
          <w:szCs w:val="22"/>
          <w:lang w:val="lt-LT"/>
        </w:rPr>
        <w:t>aGFG</w:t>
      </w:r>
      <w:proofErr w:type="spellEnd"/>
      <w:r>
        <w:rPr>
          <w:rFonts w:eastAsia="TimesNewRoman,Italic"/>
          <w:snapToGrid/>
          <w:szCs w:val="22"/>
          <w:lang w:val="lt-LT"/>
        </w:rPr>
        <w:t xml:space="preserve"> buvo ≥ 30 ir &lt; 50 ml/min./1,73 m</w:t>
      </w:r>
      <w:r>
        <w:rPr>
          <w:rFonts w:eastAsia="TimesNewRoman,Italic"/>
          <w:snapToGrid/>
          <w:szCs w:val="22"/>
          <w:vertAlign w:val="superscript"/>
          <w:lang w:val="lt-LT"/>
        </w:rPr>
        <w:t>2</w:t>
      </w:r>
      <w:r>
        <w:rPr>
          <w:rFonts w:eastAsia="TimesNewRoman,Italic"/>
          <w:snapToGrid/>
          <w:szCs w:val="22"/>
          <w:lang w:val="lt-LT"/>
        </w:rPr>
        <w:t xml:space="preserve">), o 7 339 pacientai, ketinimo gydyti (angl. </w:t>
      </w:r>
      <w:proofErr w:type="spellStart"/>
      <w:r>
        <w:rPr>
          <w:rFonts w:eastAsia="TimesNewRoman,Italic"/>
          <w:i/>
          <w:iCs/>
          <w:snapToGrid/>
          <w:szCs w:val="22"/>
          <w:lang w:val="lt-LT"/>
        </w:rPr>
        <w:t>intent</w:t>
      </w:r>
      <w:proofErr w:type="spellEnd"/>
      <w:r>
        <w:rPr>
          <w:rFonts w:eastAsia="TimesNewRoman,Italic"/>
          <w:i/>
          <w:iCs/>
          <w:snapToGrid/>
          <w:szCs w:val="22"/>
          <w:lang w:val="lt-LT"/>
        </w:rPr>
        <w:t xml:space="preserve"> to </w:t>
      </w:r>
      <w:proofErr w:type="spellStart"/>
      <w:r>
        <w:rPr>
          <w:rFonts w:eastAsia="TimesNewRoman,Italic"/>
          <w:i/>
          <w:iCs/>
          <w:snapToGrid/>
          <w:szCs w:val="22"/>
          <w:lang w:val="lt-LT"/>
        </w:rPr>
        <w:t>treat</w:t>
      </w:r>
      <w:proofErr w:type="spellEnd"/>
      <w:r>
        <w:rPr>
          <w:rFonts w:eastAsia="TimesNewRoman,Italic"/>
          <w:snapToGrid/>
          <w:szCs w:val="22"/>
          <w:lang w:val="lt-LT"/>
        </w:rPr>
        <w:t xml:space="preserve">) populiacijoje, vartojo placebo. Ir </w:t>
      </w:r>
      <w:proofErr w:type="spellStart"/>
      <w:r>
        <w:rPr>
          <w:rFonts w:eastAsia="TimesNewRoman,Italic"/>
          <w:snapToGrid/>
          <w:szCs w:val="22"/>
          <w:lang w:val="lt-LT"/>
        </w:rPr>
        <w:t>sitagliptinas</w:t>
      </w:r>
      <w:proofErr w:type="spellEnd"/>
      <w:r>
        <w:rPr>
          <w:rFonts w:eastAsia="TimesNewRoman,Italic"/>
          <w:snapToGrid/>
          <w:szCs w:val="22"/>
          <w:lang w:val="lt-LT"/>
        </w:rPr>
        <w:t>,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(KV) ligų rizikos veiksnių kontrolės standartus. Bendrasis sunkių nepageidaujamų reiškinių dažnis </w:t>
      </w:r>
      <w:proofErr w:type="spellStart"/>
      <w:r>
        <w:rPr>
          <w:rFonts w:eastAsia="TimesNewRoman,Italic"/>
          <w:snapToGrid/>
          <w:szCs w:val="22"/>
          <w:lang w:val="lt-LT"/>
        </w:rPr>
        <w:t>sitagliptino</w:t>
      </w:r>
      <w:proofErr w:type="spellEnd"/>
      <w:r>
        <w:rPr>
          <w:rFonts w:eastAsia="TimesNewRoman,Italic"/>
          <w:snapToGrid/>
          <w:szCs w:val="22"/>
          <w:lang w:val="lt-LT"/>
        </w:rPr>
        <w:t xml:space="preserve"> ir placebo vartojusiems pacientams buvo panašus.</w:t>
      </w:r>
    </w:p>
    <w:p w14:paraId="14A5D6E2" w14:textId="77777777" w:rsidR="00B64E78" w:rsidRDefault="00B64E78">
      <w:pPr>
        <w:widowControl w:val="0"/>
        <w:tabs>
          <w:tab w:val="clear" w:pos="567"/>
        </w:tabs>
        <w:autoSpaceDE w:val="0"/>
        <w:autoSpaceDN w:val="0"/>
        <w:adjustRightInd w:val="0"/>
        <w:spacing w:line="240" w:lineRule="auto"/>
        <w:rPr>
          <w:rFonts w:eastAsia="TimesNewRoman,Italic"/>
          <w:snapToGrid/>
          <w:szCs w:val="22"/>
          <w:lang w:val="lt-LT"/>
        </w:rPr>
      </w:pPr>
    </w:p>
    <w:p w14:paraId="39316874" w14:textId="77777777" w:rsidR="00B64E78" w:rsidRDefault="00DA46A9">
      <w:pPr>
        <w:widowControl w:val="0"/>
        <w:tabs>
          <w:tab w:val="clear" w:pos="567"/>
        </w:tabs>
        <w:autoSpaceDE w:val="0"/>
        <w:autoSpaceDN w:val="0"/>
        <w:adjustRightInd w:val="0"/>
        <w:spacing w:line="240" w:lineRule="auto"/>
        <w:rPr>
          <w:rFonts w:eastAsia="TimesNewRoman,Italic"/>
          <w:snapToGrid/>
          <w:szCs w:val="22"/>
          <w:lang w:val="lt-LT"/>
        </w:rPr>
      </w:pPr>
      <w:r>
        <w:rPr>
          <w:rFonts w:eastAsia="TimesNewRoman,Italic"/>
          <w:snapToGrid/>
          <w:szCs w:val="22"/>
          <w:lang w:val="lt-LT"/>
        </w:rPr>
        <w:t xml:space="preserve">Ketinimo gydyti populiacijoje tarp pacientų, kurie prieš pradedant tyrimą jau vartojo insuliną ir (arba) </w:t>
      </w:r>
      <w:proofErr w:type="spellStart"/>
      <w:r>
        <w:rPr>
          <w:rFonts w:eastAsia="TimesNewRoman,Italic"/>
          <w:snapToGrid/>
          <w:szCs w:val="22"/>
          <w:lang w:val="lt-LT"/>
        </w:rPr>
        <w:t>sulfonilkarbamidą</w:t>
      </w:r>
      <w:proofErr w:type="spellEnd"/>
      <w:r>
        <w:rPr>
          <w:rFonts w:eastAsia="TimesNewRoman,Italic"/>
          <w:snapToGrid/>
          <w:szCs w:val="22"/>
          <w:lang w:val="lt-LT"/>
        </w:rPr>
        <w:t xml:space="preserve">, sunkios hipoglikemijos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gydytų pacientų grupėje buvo 2,7 %, o placebo vartojusiųjų grupėje – 2,5 %. Tarp pacientų, kurie prieš pradedant tyrimą nevartojo insulino ir (arba) </w:t>
      </w:r>
      <w:proofErr w:type="spellStart"/>
      <w:r>
        <w:rPr>
          <w:rFonts w:eastAsia="TimesNewRoman,Italic"/>
          <w:snapToGrid/>
          <w:szCs w:val="22"/>
          <w:lang w:val="lt-LT"/>
        </w:rPr>
        <w:t>sulfonilkarbamido</w:t>
      </w:r>
      <w:proofErr w:type="spellEnd"/>
      <w:r>
        <w:rPr>
          <w:rFonts w:eastAsia="TimesNewRoman,Italic"/>
          <w:snapToGrid/>
          <w:szCs w:val="22"/>
          <w:lang w:val="lt-LT"/>
        </w:rPr>
        <w:t xml:space="preserve">, sunkios hipoglikemijos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gydytų pacientų grupėje buvo 1,0 %, o placebo vartojusiųjų grupėje – 0,7 %. Patvirtinto pankreatito reiškinių dažnis </w:t>
      </w:r>
      <w:proofErr w:type="spellStart"/>
      <w:r>
        <w:rPr>
          <w:rFonts w:eastAsia="TimesNewRoman,Italic"/>
          <w:snapToGrid/>
          <w:szCs w:val="22"/>
          <w:lang w:val="lt-LT"/>
        </w:rPr>
        <w:t>sitagliptinu</w:t>
      </w:r>
      <w:proofErr w:type="spellEnd"/>
      <w:r>
        <w:rPr>
          <w:rFonts w:eastAsia="TimesNewRoman,Italic"/>
          <w:snapToGrid/>
          <w:szCs w:val="22"/>
          <w:lang w:val="lt-LT"/>
        </w:rPr>
        <w:t xml:space="preserve"> </w:t>
      </w:r>
      <w:r>
        <w:rPr>
          <w:rFonts w:eastAsia="TimesNewRoman,Italic"/>
          <w:snapToGrid/>
          <w:szCs w:val="22"/>
          <w:lang w:val="lt-LT"/>
        </w:rPr>
        <w:lastRenderedPageBreak/>
        <w:t>gydytų pacientų grupėje buvo 0,3 %, o placebo vartojusiųjų grupėje – 0,2 %.</w:t>
      </w:r>
    </w:p>
    <w:p w14:paraId="37810781" w14:textId="77777777" w:rsidR="00B64E78" w:rsidRDefault="00B64E78">
      <w:pPr>
        <w:widowControl w:val="0"/>
        <w:tabs>
          <w:tab w:val="clear" w:pos="567"/>
        </w:tabs>
        <w:autoSpaceDE w:val="0"/>
        <w:autoSpaceDN w:val="0"/>
        <w:adjustRightInd w:val="0"/>
        <w:spacing w:line="240" w:lineRule="auto"/>
        <w:rPr>
          <w:bCs/>
          <w:snapToGrid/>
          <w:szCs w:val="22"/>
          <w:lang w:val="lt-LT"/>
        </w:rPr>
      </w:pPr>
    </w:p>
    <w:p w14:paraId="6C099FC6" w14:textId="77777777" w:rsidR="00B64E78" w:rsidRDefault="00DA46A9">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48436CCF"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rStyle w:val="Hipersaitas"/>
            <w:rFonts w:eastAsia="Calibri"/>
            <w:snapToGrid/>
            <w:szCs w:val="22"/>
            <w:lang w:val="lt-LT"/>
          </w:rPr>
          <w:t>https://vapris.vvkt.lt/vvkt-web/public/nrvSpecialist</w:t>
        </w:r>
      </w:hyperlink>
      <w:r>
        <w:rPr>
          <w:rFonts w:eastAsia="Calibri"/>
          <w:snapToGrid/>
          <w:szCs w:val="22"/>
          <w:lang w:val="lt-LT"/>
        </w:rPr>
        <w:t xml:space="preserve"> arba užpildę Sveikatos priežiūros ar farmacijos specialisto pranešimo apie įtariamą nepageidaujamą reakciją formą, kuri skelbiama </w:t>
      </w:r>
      <w:hyperlink r:id="rId9" w:history="1">
        <w:r>
          <w:rPr>
            <w:rStyle w:val="Hipersaitas"/>
            <w:rFonts w:eastAsia="Calibri"/>
            <w:snapToGrid/>
            <w:szCs w:val="22"/>
            <w:lang w:val="lt-LT"/>
          </w:rPr>
          <w:t>https://www.vvkt.lt/index.php?1399030386</w:t>
        </w:r>
      </w:hyperlink>
      <w:r>
        <w:rPr>
          <w:rFonts w:eastAsia="Calibri"/>
          <w:snapToGrid/>
          <w:szCs w:val="22"/>
          <w:lang w:val="lt-LT"/>
        </w:rPr>
        <w:t xml:space="preserve">, ir atsiųsti elektroniniu paštu (adresu </w:t>
      </w:r>
      <w:proofErr w:type="spellStart"/>
      <w:r>
        <w:rPr>
          <w:rFonts w:eastAsia="Calibri"/>
          <w:snapToGrid/>
          <w:szCs w:val="22"/>
          <w:lang w:val="lt-LT"/>
        </w:rPr>
        <w:t>NepageidaujamaR@vvkt.lt</w:t>
      </w:r>
      <w:proofErr w:type="spellEnd"/>
      <w:r>
        <w:rPr>
          <w:rFonts w:eastAsia="Calibri"/>
          <w:snapToGrid/>
          <w:szCs w:val="22"/>
          <w:lang w:val="lt-LT"/>
        </w:rPr>
        <w:t>).</w:t>
      </w:r>
    </w:p>
    <w:p w14:paraId="5DB22108" w14:textId="77777777" w:rsidR="00B64E78" w:rsidRDefault="00B64E78">
      <w:pPr>
        <w:widowControl w:val="0"/>
        <w:tabs>
          <w:tab w:val="clear" w:pos="567"/>
        </w:tabs>
        <w:autoSpaceDE w:val="0"/>
        <w:autoSpaceDN w:val="0"/>
        <w:adjustRightInd w:val="0"/>
        <w:spacing w:line="240" w:lineRule="auto"/>
        <w:rPr>
          <w:bCs/>
          <w:snapToGrid/>
          <w:szCs w:val="22"/>
          <w:u w:val="single"/>
          <w:lang w:val="lt-LT"/>
        </w:rPr>
      </w:pPr>
    </w:p>
    <w:p w14:paraId="15AA15F6"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391940FB" w14:textId="77777777" w:rsidR="00B64E78" w:rsidRDefault="00B64E78">
      <w:pPr>
        <w:widowControl w:val="0"/>
        <w:tabs>
          <w:tab w:val="clear" w:pos="567"/>
        </w:tabs>
        <w:autoSpaceDE w:val="0"/>
        <w:autoSpaceDN w:val="0"/>
        <w:adjustRightInd w:val="0"/>
        <w:spacing w:line="240" w:lineRule="auto"/>
        <w:rPr>
          <w:bCs/>
          <w:snapToGrid/>
          <w:szCs w:val="22"/>
          <w:u w:val="single"/>
          <w:lang w:val="lt-LT"/>
        </w:rPr>
      </w:pPr>
    </w:p>
    <w:p w14:paraId="18DEA30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Kontroliuojamųjų klinikinių tyrimų su sveikais asmenimis metu buvo skiriamos ne didesnės kaip 800 mg vienkartinės </w:t>
      </w:r>
      <w:proofErr w:type="spellStart"/>
      <w:r>
        <w:rPr>
          <w:snapToGrid/>
          <w:szCs w:val="22"/>
          <w:lang w:val="lt-LT"/>
        </w:rPr>
        <w:t>sitagliptino</w:t>
      </w:r>
      <w:proofErr w:type="spellEnd"/>
      <w:r>
        <w:rPr>
          <w:snapToGrid/>
          <w:szCs w:val="22"/>
          <w:lang w:val="lt-LT"/>
        </w:rPr>
        <w:t xml:space="preserve"> dozės. Vieno tyrimo metu 800 mg </w:t>
      </w:r>
      <w:proofErr w:type="spellStart"/>
      <w:r>
        <w:rPr>
          <w:snapToGrid/>
          <w:szCs w:val="22"/>
          <w:lang w:val="lt-LT"/>
        </w:rPr>
        <w:t>sitagliptino</w:t>
      </w:r>
      <w:proofErr w:type="spellEnd"/>
      <w:r>
        <w:rPr>
          <w:snapToGrid/>
          <w:szCs w:val="22"/>
          <w:lang w:val="lt-LT"/>
        </w:rPr>
        <w:t xml:space="preserve"> dozė minimaliai pailgino </w:t>
      </w:r>
      <w:proofErr w:type="spellStart"/>
      <w:r>
        <w:rPr>
          <w:snapToGrid/>
          <w:szCs w:val="22"/>
          <w:lang w:val="lt-LT"/>
        </w:rPr>
        <w:t>QTc</w:t>
      </w:r>
      <w:proofErr w:type="spellEnd"/>
      <w:r>
        <w:rPr>
          <w:snapToGrid/>
          <w:szCs w:val="22"/>
          <w:lang w:val="lt-LT"/>
        </w:rPr>
        <w:t xml:space="preserve"> intervalą, tačiau pailgėjimas nelaikytas kliniškai reikšmingu. Didesnės kaip 800 mg dozės vartojimo patirties klinikinių tyrimų metu nėra. I fazės kartotinių dozių tyrimų metu vartojant ne didesnes kaip 600 mg </w:t>
      </w:r>
      <w:proofErr w:type="spellStart"/>
      <w:r>
        <w:rPr>
          <w:snapToGrid/>
          <w:szCs w:val="22"/>
          <w:lang w:val="lt-LT"/>
        </w:rPr>
        <w:t>sitagliptino</w:t>
      </w:r>
      <w:proofErr w:type="spellEnd"/>
      <w:r>
        <w:rPr>
          <w:snapToGrid/>
          <w:szCs w:val="22"/>
          <w:lang w:val="lt-LT"/>
        </w:rPr>
        <w:t xml:space="preserve"> paros dozes iki 10 dienų ir 400 mg paros dozes iki 28 dienų, su doze susijusių klinikinių nepageidaujamų reakcijų nenustatyta.</w:t>
      </w:r>
    </w:p>
    <w:p w14:paraId="3020B562" w14:textId="77777777" w:rsidR="00B64E78" w:rsidRDefault="00B64E78">
      <w:pPr>
        <w:widowControl w:val="0"/>
        <w:tabs>
          <w:tab w:val="clear" w:pos="567"/>
        </w:tabs>
        <w:autoSpaceDE w:val="0"/>
        <w:autoSpaceDN w:val="0"/>
        <w:adjustRightInd w:val="0"/>
        <w:spacing w:line="240" w:lineRule="auto"/>
        <w:rPr>
          <w:snapToGrid/>
          <w:szCs w:val="22"/>
          <w:lang w:val="lt-LT"/>
        </w:rPr>
      </w:pPr>
    </w:p>
    <w:p w14:paraId="71DB3DC6"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Gausus </w:t>
      </w:r>
      <w:proofErr w:type="spellStart"/>
      <w:r>
        <w:rPr>
          <w:snapToGrid/>
          <w:szCs w:val="22"/>
          <w:lang w:val="lt-LT"/>
        </w:rPr>
        <w:t>metformino</w:t>
      </w:r>
      <w:proofErr w:type="spellEnd"/>
      <w:r>
        <w:rPr>
          <w:snapToGrid/>
          <w:szCs w:val="22"/>
          <w:lang w:val="lt-LT"/>
        </w:rPr>
        <w:t xml:space="preserve"> perdozavimas (ar kai yra pieno rūgšties </w:t>
      </w:r>
      <w:proofErr w:type="spellStart"/>
      <w:r>
        <w:rPr>
          <w:snapToGrid/>
          <w:szCs w:val="22"/>
          <w:lang w:val="lt-LT"/>
        </w:rPr>
        <w:t>acidozės</w:t>
      </w:r>
      <w:proofErr w:type="spellEnd"/>
      <w:r>
        <w:rPr>
          <w:snapToGrid/>
          <w:szCs w:val="22"/>
          <w:lang w:val="lt-LT"/>
        </w:rPr>
        <w:t xml:space="preserve"> pasireiškimo rizikos veiksnių) gali sukelti pieno rūgšties </w:t>
      </w:r>
      <w:proofErr w:type="spellStart"/>
      <w:r>
        <w:rPr>
          <w:snapToGrid/>
          <w:szCs w:val="22"/>
          <w:lang w:val="lt-LT"/>
        </w:rPr>
        <w:t>acidozę</w:t>
      </w:r>
      <w:proofErr w:type="spellEnd"/>
      <w:r>
        <w:rPr>
          <w:snapToGrid/>
          <w:szCs w:val="22"/>
          <w:lang w:val="lt-LT"/>
        </w:rPr>
        <w:t xml:space="preserve">, kuriai pasireiškus būtina skubi medicininė pagalba ir gydymas ligoninėje. Pieno rūgštis ir </w:t>
      </w:r>
      <w:proofErr w:type="spellStart"/>
      <w:r>
        <w:rPr>
          <w:snapToGrid/>
          <w:szCs w:val="22"/>
          <w:lang w:val="lt-LT"/>
        </w:rPr>
        <w:t>metforminas</w:t>
      </w:r>
      <w:proofErr w:type="spellEnd"/>
      <w:r>
        <w:rPr>
          <w:snapToGrid/>
          <w:szCs w:val="22"/>
          <w:lang w:val="lt-LT"/>
        </w:rPr>
        <w:t xml:space="preserve"> veiksmingiausiai pašalinami hemodialize.</w:t>
      </w:r>
    </w:p>
    <w:p w14:paraId="02DDD895" w14:textId="77777777" w:rsidR="00B64E78" w:rsidRDefault="00B64E78">
      <w:pPr>
        <w:widowControl w:val="0"/>
        <w:tabs>
          <w:tab w:val="clear" w:pos="567"/>
        </w:tabs>
        <w:autoSpaceDE w:val="0"/>
        <w:autoSpaceDN w:val="0"/>
        <w:adjustRightInd w:val="0"/>
        <w:spacing w:line="240" w:lineRule="auto"/>
        <w:rPr>
          <w:snapToGrid/>
          <w:szCs w:val="22"/>
          <w:lang w:val="lt-LT"/>
        </w:rPr>
      </w:pPr>
    </w:p>
    <w:p w14:paraId="13CA8527"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Klinikinių tyrimų metu vienos 3</w:t>
      </w:r>
      <w:r>
        <w:rPr>
          <w:snapToGrid/>
          <w:szCs w:val="22"/>
          <w:lang w:val="lt-LT"/>
        </w:rPr>
        <w:noBreakHyphen/>
        <w:t xml:space="preserve">4 valandų trukmės hemodializės metu buvo pašalinta maždaug 13,5 % dozės. Jei kliniškai tinka, galima svarstyti ilgesnės trukmės hemodializės taikymą. Ar </w:t>
      </w:r>
      <w:proofErr w:type="spellStart"/>
      <w:r>
        <w:rPr>
          <w:snapToGrid/>
          <w:szCs w:val="22"/>
          <w:lang w:val="lt-LT"/>
        </w:rPr>
        <w:t>sitagliptino</w:t>
      </w:r>
      <w:proofErr w:type="spellEnd"/>
      <w:r>
        <w:rPr>
          <w:snapToGrid/>
          <w:szCs w:val="22"/>
          <w:lang w:val="lt-LT"/>
        </w:rPr>
        <w:t xml:space="preserve"> galima pašalinti iš organizmo </w:t>
      </w:r>
      <w:proofErr w:type="spellStart"/>
      <w:r>
        <w:rPr>
          <w:snapToGrid/>
          <w:szCs w:val="22"/>
          <w:lang w:val="lt-LT"/>
        </w:rPr>
        <w:t>pertonine</w:t>
      </w:r>
      <w:proofErr w:type="spellEnd"/>
      <w:r>
        <w:rPr>
          <w:snapToGrid/>
          <w:szCs w:val="22"/>
          <w:lang w:val="lt-LT"/>
        </w:rPr>
        <w:t xml:space="preserve"> dialize, nežinoma.</w:t>
      </w:r>
    </w:p>
    <w:p w14:paraId="5B62E569" w14:textId="77777777" w:rsidR="00B64E78" w:rsidRDefault="00B64E78">
      <w:pPr>
        <w:widowControl w:val="0"/>
        <w:tabs>
          <w:tab w:val="clear" w:pos="567"/>
        </w:tabs>
        <w:spacing w:line="240" w:lineRule="auto"/>
        <w:ind w:left="567" w:hanging="567"/>
        <w:rPr>
          <w:snapToGrid/>
          <w:szCs w:val="22"/>
          <w:lang w:val="lt-LT"/>
        </w:rPr>
      </w:pPr>
    </w:p>
    <w:p w14:paraId="7C07DF7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Perdozavimo atveju reikia taikyti įprastas palaikomąsias priemones, pvz., šalinti neabsorbuotą vaistinį preparatą iš virškinimo trakto, stebėti klinikinę būklę (įskaitant elektrokardiogramos užrašymą) ir, jei reikia, skirti palaikomąjį gydymą.</w:t>
      </w:r>
    </w:p>
    <w:p w14:paraId="551578EE" w14:textId="77777777" w:rsidR="00B64E78" w:rsidRDefault="00B64E78">
      <w:pPr>
        <w:widowControl w:val="0"/>
        <w:tabs>
          <w:tab w:val="clear" w:pos="567"/>
        </w:tabs>
        <w:autoSpaceDE w:val="0"/>
        <w:autoSpaceDN w:val="0"/>
        <w:adjustRightInd w:val="0"/>
        <w:spacing w:line="240" w:lineRule="auto"/>
        <w:rPr>
          <w:snapToGrid/>
          <w:szCs w:val="24"/>
          <w:lang w:val="lt-LT"/>
        </w:rPr>
      </w:pPr>
    </w:p>
    <w:p w14:paraId="33CD170E" w14:textId="77777777" w:rsidR="00B64E78" w:rsidRDefault="00B64E78">
      <w:pPr>
        <w:widowControl w:val="0"/>
        <w:tabs>
          <w:tab w:val="clear" w:pos="567"/>
        </w:tabs>
        <w:spacing w:line="240" w:lineRule="auto"/>
        <w:ind w:left="567" w:hanging="567"/>
        <w:rPr>
          <w:snapToGrid/>
          <w:szCs w:val="22"/>
          <w:lang w:val="lt-LT"/>
        </w:rPr>
      </w:pPr>
    </w:p>
    <w:p w14:paraId="5DFA50B2" w14:textId="77777777" w:rsidR="00B64E78" w:rsidRDefault="00DA46A9">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66F6A9FB" w14:textId="77777777" w:rsidR="00B64E78" w:rsidRDefault="00B64E78">
      <w:pPr>
        <w:widowControl w:val="0"/>
        <w:tabs>
          <w:tab w:val="clear" w:pos="567"/>
        </w:tabs>
        <w:spacing w:line="240" w:lineRule="auto"/>
        <w:ind w:left="567" w:hanging="567"/>
        <w:rPr>
          <w:snapToGrid/>
          <w:szCs w:val="22"/>
          <w:lang w:val="lt-LT"/>
        </w:rPr>
      </w:pPr>
    </w:p>
    <w:p w14:paraId="1FE402EA"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p>
    <w:p w14:paraId="095080BC" w14:textId="77777777" w:rsidR="00B64E78" w:rsidRDefault="00B64E78">
      <w:pPr>
        <w:widowControl w:val="0"/>
        <w:tabs>
          <w:tab w:val="clear" w:pos="567"/>
        </w:tabs>
        <w:spacing w:line="240" w:lineRule="auto"/>
        <w:ind w:left="567" w:hanging="567"/>
        <w:rPr>
          <w:snapToGrid/>
          <w:szCs w:val="22"/>
          <w:lang w:val="lt-LT"/>
        </w:rPr>
      </w:pPr>
    </w:p>
    <w:p w14:paraId="706768D6"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 vaistiniai preparatai cukriniam diabetui gydyti, geriamųjų gliukozės kiekį kraujyje mažinančių vaistinių preparatų deriniai, ATC kodas – A10BD07.</w:t>
      </w:r>
    </w:p>
    <w:p w14:paraId="4A2DD0F4" w14:textId="77777777" w:rsidR="00B64E78" w:rsidRDefault="00B64E78">
      <w:pPr>
        <w:widowControl w:val="0"/>
        <w:tabs>
          <w:tab w:val="clear" w:pos="567"/>
        </w:tabs>
        <w:spacing w:line="240" w:lineRule="auto"/>
        <w:rPr>
          <w:snapToGrid/>
          <w:szCs w:val="22"/>
          <w:lang w:val="lt-LT"/>
        </w:rPr>
      </w:pPr>
    </w:p>
    <w:p w14:paraId="5AB5FA2E"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yra dviejų gliukozės kiekį kraujyje mažinančių vaistinių preparatų, papildančių vienas kito veikimo mechanizmą gerinant 2 tipo cukriniu diabetu sergančių pacientų </w:t>
      </w:r>
      <w:proofErr w:type="spellStart"/>
      <w:r>
        <w:rPr>
          <w:snapToGrid/>
          <w:szCs w:val="22"/>
          <w:lang w:val="lt-LT"/>
        </w:rPr>
        <w:t>glikemijos</w:t>
      </w:r>
      <w:proofErr w:type="spellEnd"/>
      <w:r>
        <w:rPr>
          <w:snapToGrid/>
          <w:szCs w:val="22"/>
          <w:lang w:val="lt-LT"/>
        </w:rPr>
        <w:t xml:space="preserve"> kontrolę, derinys: </w:t>
      </w:r>
      <w:proofErr w:type="spellStart"/>
      <w:r>
        <w:rPr>
          <w:snapToGrid/>
          <w:szCs w:val="22"/>
          <w:lang w:val="lt-LT"/>
        </w:rPr>
        <w:t>sitagliptinas</w:t>
      </w:r>
      <w:proofErr w:type="spellEnd"/>
      <w:r>
        <w:rPr>
          <w:snapToGrid/>
          <w:szCs w:val="22"/>
          <w:lang w:val="lt-LT"/>
        </w:rPr>
        <w:t xml:space="preserve"> (dipeptidilpeptidazės-4 [DPP-4] inhibitorius) ir </w:t>
      </w:r>
      <w:proofErr w:type="spellStart"/>
      <w:r>
        <w:rPr>
          <w:snapToGrid/>
          <w:szCs w:val="22"/>
          <w:lang w:val="lt-LT"/>
        </w:rPr>
        <w:t>metformino</w:t>
      </w:r>
      <w:proofErr w:type="spellEnd"/>
      <w:r>
        <w:rPr>
          <w:snapToGrid/>
          <w:szCs w:val="22"/>
          <w:lang w:val="lt-LT"/>
        </w:rPr>
        <w:t xml:space="preserve"> hidrochloridas (</w:t>
      </w:r>
      <w:proofErr w:type="spellStart"/>
      <w:r>
        <w:rPr>
          <w:snapToGrid/>
          <w:szCs w:val="22"/>
          <w:lang w:val="lt-LT"/>
        </w:rPr>
        <w:t>biguanidų</w:t>
      </w:r>
      <w:proofErr w:type="spellEnd"/>
      <w:r>
        <w:rPr>
          <w:snapToGrid/>
          <w:szCs w:val="22"/>
          <w:lang w:val="lt-LT"/>
        </w:rPr>
        <w:t xml:space="preserve"> klasės atstovas).</w:t>
      </w:r>
    </w:p>
    <w:p w14:paraId="124B92E0" w14:textId="77777777" w:rsidR="00B64E78" w:rsidRDefault="00B64E78">
      <w:pPr>
        <w:widowControl w:val="0"/>
        <w:tabs>
          <w:tab w:val="clear" w:pos="567"/>
        </w:tabs>
        <w:autoSpaceDE w:val="0"/>
        <w:autoSpaceDN w:val="0"/>
        <w:adjustRightInd w:val="0"/>
        <w:spacing w:line="240" w:lineRule="auto"/>
        <w:rPr>
          <w:snapToGrid/>
          <w:szCs w:val="22"/>
          <w:lang w:val="lt-LT"/>
        </w:rPr>
      </w:pPr>
    </w:p>
    <w:p w14:paraId="784E5EE2" w14:textId="77777777" w:rsidR="00B64E78" w:rsidRDefault="00DA46A9">
      <w:pPr>
        <w:widowControl w:val="0"/>
        <w:tabs>
          <w:tab w:val="clear" w:pos="567"/>
        </w:tabs>
        <w:autoSpaceDE w:val="0"/>
        <w:autoSpaceDN w:val="0"/>
        <w:adjustRightInd w:val="0"/>
        <w:spacing w:line="240" w:lineRule="auto"/>
        <w:rPr>
          <w:i/>
          <w:iCs/>
          <w:snapToGrid/>
          <w:szCs w:val="22"/>
          <w:lang w:val="lt-LT"/>
        </w:rPr>
      </w:pPr>
      <w:r>
        <w:rPr>
          <w:i/>
          <w:iCs/>
          <w:snapToGrid/>
          <w:szCs w:val="22"/>
          <w:lang w:val="lt-LT"/>
        </w:rPr>
        <w:t>Sitagliptinas</w:t>
      </w:r>
    </w:p>
    <w:p w14:paraId="719AF730" w14:textId="77777777" w:rsidR="00B64E78" w:rsidRDefault="00DA46A9">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Veikimo mechanizmas</w:t>
      </w:r>
    </w:p>
    <w:p w14:paraId="6109ECA3"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Sitagliptino</w:t>
      </w:r>
      <w:proofErr w:type="spellEnd"/>
      <w:r>
        <w:rPr>
          <w:snapToGrid/>
          <w:szCs w:val="22"/>
          <w:lang w:val="lt-LT"/>
        </w:rPr>
        <w:t xml:space="preserve"> fosfatas yra per burną vartojamas aktyvus, stiprus ir labai selektyvus fermento dipeptidilpeptidazės-4 (DPP</w:t>
      </w:r>
      <w:r>
        <w:rPr>
          <w:snapToGrid/>
          <w:szCs w:val="22"/>
          <w:lang w:val="lt-LT"/>
        </w:rPr>
        <w:noBreakHyphen/>
        <w:t xml:space="preserve">4) inhibitorius, vartojamas 2 tipo cukriniam diabetui gydyti. DPP-4 inhibitoriai yra klasė vaistinių preparatų, pasižyminčių </w:t>
      </w:r>
      <w:proofErr w:type="spellStart"/>
      <w:r>
        <w:rPr>
          <w:snapToGrid/>
          <w:szCs w:val="22"/>
          <w:lang w:val="lt-LT"/>
        </w:rPr>
        <w:t>inkretino</w:t>
      </w:r>
      <w:proofErr w:type="spellEnd"/>
      <w:r>
        <w:rPr>
          <w:snapToGrid/>
          <w:szCs w:val="22"/>
          <w:lang w:val="lt-LT"/>
        </w:rPr>
        <w:t xml:space="preserve"> kiekį didinančiu poveikiu. Sitagliptinas, slopindamas fermentą DPP</w:t>
      </w:r>
      <w:r>
        <w:rPr>
          <w:snapToGrid/>
          <w:szCs w:val="22"/>
          <w:lang w:val="lt-LT"/>
        </w:rPr>
        <w:noBreakHyphen/>
        <w:t xml:space="preserve">4, didina dviejų žinomų aktyvių </w:t>
      </w:r>
      <w:proofErr w:type="spellStart"/>
      <w:r>
        <w:rPr>
          <w:snapToGrid/>
          <w:szCs w:val="22"/>
          <w:lang w:val="lt-LT"/>
        </w:rPr>
        <w:t>inkretino</w:t>
      </w:r>
      <w:proofErr w:type="spellEnd"/>
      <w:r>
        <w:rPr>
          <w:snapToGrid/>
          <w:szCs w:val="22"/>
          <w:lang w:val="lt-LT"/>
        </w:rPr>
        <w:t xml:space="preserve"> hormonų, t. y. į </w:t>
      </w:r>
      <w:proofErr w:type="spellStart"/>
      <w:r>
        <w:rPr>
          <w:snapToGrid/>
          <w:szCs w:val="22"/>
          <w:lang w:val="lt-LT"/>
        </w:rPr>
        <w:t>gliukagoną</w:t>
      </w:r>
      <w:proofErr w:type="spellEnd"/>
      <w:r>
        <w:rPr>
          <w:snapToGrid/>
          <w:szCs w:val="22"/>
          <w:lang w:val="lt-LT"/>
        </w:rPr>
        <w:t xml:space="preserve"> panašaus peptido-1 (angl. </w:t>
      </w:r>
      <w:proofErr w:type="spellStart"/>
      <w:r>
        <w:rPr>
          <w:i/>
          <w:iCs/>
          <w:snapToGrid/>
          <w:szCs w:val="22"/>
          <w:lang w:val="lt-LT"/>
        </w:rPr>
        <w:t>glucagon-like</w:t>
      </w:r>
      <w:proofErr w:type="spellEnd"/>
      <w:r>
        <w:rPr>
          <w:i/>
          <w:iCs/>
          <w:snapToGrid/>
          <w:szCs w:val="22"/>
          <w:lang w:val="lt-LT"/>
        </w:rPr>
        <w:t xml:space="preserve"> peptide-1</w:t>
      </w:r>
      <w:r>
        <w:rPr>
          <w:snapToGrid/>
          <w:szCs w:val="22"/>
          <w:lang w:val="lt-LT"/>
        </w:rPr>
        <w:t xml:space="preserve">, GLP-1) ir nuo gliukozės priklausomo </w:t>
      </w:r>
      <w:proofErr w:type="spellStart"/>
      <w:r>
        <w:rPr>
          <w:snapToGrid/>
          <w:szCs w:val="22"/>
          <w:lang w:val="lt-LT"/>
        </w:rPr>
        <w:t>insulinotropinio</w:t>
      </w:r>
      <w:proofErr w:type="spellEnd"/>
      <w:r>
        <w:rPr>
          <w:snapToGrid/>
          <w:szCs w:val="22"/>
          <w:lang w:val="lt-LT"/>
        </w:rPr>
        <w:t xml:space="preserve"> </w:t>
      </w:r>
      <w:proofErr w:type="spellStart"/>
      <w:r>
        <w:rPr>
          <w:snapToGrid/>
          <w:szCs w:val="22"/>
          <w:lang w:val="lt-LT"/>
        </w:rPr>
        <w:t>polipeptido</w:t>
      </w:r>
      <w:proofErr w:type="spellEnd"/>
      <w:r>
        <w:rPr>
          <w:snapToGrid/>
          <w:szCs w:val="22"/>
          <w:lang w:val="lt-LT"/>
        </w:rPr>
        <w:t xml:space="preserve"> (GIP), kiekį. </w:t>
      </w:r>
      <w:proofErr w:type="spellStart"/>
      <w:r>
        <w:rPr>
          <w:snapToGrid/>
          <w:szCs w:val="22"/>
          <w:lang w:val="lt-LT"/>
        </w:rPr>
        <w:t>Inkretinai</w:t>
      </w:r>
      <w:proofErr w:type="spellEnd"/>
      <w:r>
        <w:rPr>
          <w:snapToGrid/>
          <w:szCs w:val="22"/>
          <w:lang w:val="lt-LT"/>
        </w:rPr>
        <w:t xml:space="preserve"> yra endogeninės sistemos, kuri dalyvauja fiziologiniame gliukozės homeostazės reguliavime, dalis. Kai gliukozės koncentracija kraujyje yra normali arba padidėjusi, GLP-1 ir GIP didina insulino sintezę ir išskyrimą iš kasos beta ląstelių. Be to, GLP-1 sumažina </w:t>
      </w:r>
      <w:proofErr w:type="spellStart"/>
      <w:r>
        <w:rPr>
          <w:snapToGrid/>
          <w:szCs w:val="22"/>
          <w:lang w:val="lt-LT"/>
        </w:rPr>
        <w:t>gliukagono</w:t>
      </w:r>
      <w:proofErr w:type="spellEnd"/>
      <w:r>
        <w:rPr>
          <w:snapToGrid/>
          <w:szCs w:val="22"/>
          <w:lang w:val="lt-LT"/>
        </w:rPr>
        <w:t xml:space="preserve"> išsiskyrimą iš kasos alfa ląstelių, dėl to sumažėja gliukozės gamyba </w:t>
      </w:r>
      <w:r>
        <w:rPr>
          <w:snapToGrid/>
          <w:szCs w:val="22"/>
          <w:lang w:val="lt-LT"/>
        </w:rPr>
        <w:lastRenderedPageBreak/>
        <w:t>kepenyse.</w:t>
      </w:r>
    </w:p>
    <w:p w14:paraId="54C8215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gliukozės koncentracija kraujyje yra maža, insulino išsiskyrimas nestimuliuojamas ir neslopinama </w:t>
      </w:r>
      <w:proofErr w:type="spellStart"/>
      <w:r>
        <w:rPr>
          <w:snapToGrid/>
          <w:szCs w:val="22"/>
          <w:lang w:val="lt-LT"/>
        </w:rPr>
        <w:t>gliukagono</w:t>
      </w:r>
      <w:proofErr w:type="spellEnd"/>
      <w:r>
        <w:rPr>
          <w:snapToGrid/>
          <w:szCs w:val="22"/>
          <w:lang w:val="lt-LT"/>
        </w:rPr>
        <w:t xml:space="preserve"> sekrecija. Sitagliptinas yra stiprus ir labai selektyvus fermento DPP-4 inhibitorius, kuris esant terapinei koncentracijai labai susijusių DPP-8 bei DPP-9 fermentų neslopina. Sitagliptinas chemine sandara ir farmakologiniu poveikiu skiriasi nuo GLP-1 analogų, insulino, </w:t>
      </w:r>
      <w:proofErr w:type="spellStart"/>
      <w:r>
        <w:rPr>
          <w:snapToGrid/>
          <w:szCs w:val="22"/>
          <w:lang w:val="lt-LT"/>
        </w:rPr>
        <w:t>sulfonilkarbamidų</w:t>
      </w:r>
      <w:proofErr w:type="spellEnd"/>
      <w:r>
        <w:rPr>
          <w:snapToGrid/>
          <w:szCs w:val="22"/>
          <w:lang w:val="lt-LT"/>
        </w:rPr>
        <w:t xml:space="preserve">, </w:t>
      </w:r>
      <w:proofErr w:type="spellStart"/>
      <w:r>
        <w:rPr>
          <w:snapToGrid/>
          <w:szCs w:val="22"/>
          <w:lang w:val="lt-LT"/>
        </w:rPr>
        <w:t>meglitinidų</w:t>
      </w:r>
      <w:proofErr w:type="spellEnd"/>
      <w:r>
        <w:rPr>
          <w:snapToGrid/>
          <w:szCs w:val="22"/>
          <w:lang w:val="lt-LT"/>
        </w:rPr>
        <w:t xml:space="preserve">, </w:t>
      </w:r>
      <w:proofErr w:type="spellStart"/>
      <w:r>
        <w:rPr>
          <w:snapToGrid/>
          <w:szCs w:val="22"/>
          <w:lang w:val="lt-LT"/>
        </w:rPr>
        <w:t>biguanidų</w:t>
      </w:r>
      <w:proofErr w:type="spellEnd"/>
      <w:r>
        <w:rPr>
          <w:snapToGrid/>
          <w:szCs w:val="22"/>
          <w:lang w:val="lt-LT"/>
        </w:rPr>
        <w:t xml:space="preserve">, </w:t>
      </w:r>
      <w:proofErr w:type="spellStart"/>
      <w:r>
        <w:rPr>
          <w:snapToGrid/>
          <w:szCs w:val="22"/>
          <w:lang w:val="lt-LT"/>
        </w:rPr>
        <w:t>peroksisomos</w:t>
      </w:r>
      <w:proofErr w:type="spellEnd"/>
      <w:r>
        <w:rPr>
          <w:snapToGrid/>
          <w:szCs w:val="22"/>
          <w:lang w:val="lt-LT"/>
        </w:rPr>
        <w:t xml:space="preserve"> </w:t>
      </w:r>
      <w:proofErr w:type="spellStart"/>
      <w:r>
        <w:rPr>
          <w:snapToGrid/>
          <w:szCs w:val="22"/>
          <w:lang w:val="lt-LT"/>
        </w:rPr>
        <w:t>proliferatoriaus</w:t>
      </w:r>
      <w:proofErr w:type="spellEnd"/>
      <w:r>
        <w:rPr>
          <w:snapToGrid/>
          <w:szCs w:val="22"/>
          <w:lang w:val="lt-LT"/>
        </w:rPr>
        <w:t xml:space="preserve"> aktyvuojamų gama receptorių (</w:t>
      </w:r>
      <w:proofErr w:type="spellStart"/>
      <w:r>
        <w:rPr>
          <w:snapToGrid/>
          <w:szCs w:val="22"/>
          <w:lang w:val="lt-LT"/>
        </w:rPr>
        <w:t>PPARγ</w:t>
      </w:r>
      <w:proofErr w:type="spellEnd"/>
      <w:r>
        <w:rPr>
          <w:snapToGrid/>
          <w:szCs w:val="22"/>
          <w:lang w:val="lt-LT"/>
        </w:rPr>
        <w:t xml:space="preserve">) </w:t>
      </w:r>
      <w:proofErr w:type="spellStart"/>
      <w:r>
        <w:rPr>
          <w:snapToGrid/>
          <w:szCs w:val="22"/>
          <w:lang w:val="lt-LT"/>
        </w:rPr>
        <w:t>agonistų</w:t>
      </w:r>
      <w:proofErr w:type="spellEnd"/>
      <w:r>
        <w:rPr>
          <w:snapToGrid/>
          <w:szCs w:val="22"/>
          <w:lang w:val="lt-LT"/>
        </w:rPr>
        <w:t xml:space="preserve">, </w:t>
      </w:r>
      <w:proofErr w:type="spellStart"/>
      <w:r>
        <w:rPr>
          <w:snapToGrid/>
          <w:szCs w:val="22"/>
          <w:lang w:val="lt-LT"/>
        </w:rPr>
        <w:t>gliukozidazės</w:t>
      </w:r>
      <w:proofErr w:type="spellEnd"/>
      <w:r>
        <w:rPr>
          <w:snapToGrid/>
          <w:szCs w:val="22"/>
          <w:lang w:val="lt-LT"/>
        </w:rPr>
        <w:t xml:space="preserve">-alfa inhibitorių ir </w:t>
      </w:r>
      <w:proofErr w:type="spellStart"/>
      <w:r>
        <w:rPr>
          <w:snapToGrid/>
          <w:szCs w:val="22"/>
          <w:lang w:val="lt-LT"/>
        </w:rPr>
        <w:t>amilino</w:t>
      </w:r>
      <w:proofErr w:type="spellEnd"/>
      <w:r>
        <w:rPr>
          <w:snapToGrid/>
          <w:szCs w:val="22"/>
          <w:lang w:val="lt-LT"/>
        </w:rPr>
        <w:t xml:space="preserve"> analogų.</w:t>
      </w:r>
    </w:p>
    <w:p w14:paraId="1CB34D83" w14:textId="77777777" w:rsidR="00B64E78" w:rsidRDefault="00B64E78">
      <w:pPr>
        <w:widowControl w:val="0"/>
        <w:tabs>
          <w:tab w:val="clear" w:pos="567"/>
        </w:tabs>
        <w:spacing w:line="240" w:lineRule="auto"/>
        <w:rPr>
          <w:snapToGrid/>
          <w:szCs w:val="22"/>
          <w:lang w:val="lt-LT"/>
        </w:rPr>
      </w:pPr>
    </w:p>
    <w:p w14:paraId="25B164B2"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Dviejų dienų trukmės tyrimo, kuriame dalyvavo sveiki tiriamieji, metu vartojant vien </w:t>
      </w:r>
      <w:proofErr w:type="spellStart"/>
      <w:r>
        <w:rPr>
          <w:snapToGrid/>
          <w:szCs w:val="22"/>
          <w:lang w:val="lt-LT"/>
        </w:rPr>
        <w:t>sitagliptino</w:t>
      </w:r>
      <w:proofErr w:type="spellEnd"/>
      <w:r>
        <w:rPr>
          <w:snapToGrid/>
          <w:szCs w:val="22"/>
          <w:lang w:val="lt-LT"/>
        </w:rPr>
        <w:t xml:space="preserve"> padidėjo aktyvaus GLP</w:t>
      </w:r>
      <w:r>
        <w:rPr>
          <w:snapToGrid/>
          <w:szCs w:val="22"/>
          <w:lang w:val="lt-LT"/>
        </w:rPr>
        <w:noBreakHyphen/>
        <w:t xml:space="preserve">1 koncentracija, o vartojant vien </w:t>
      </w:r>
      <w:proofErr w:type="spellStart"/>
      <w:r>
        <w:rPr>
          <w:snapToGrid/>
          <w:szCs w:val="22"/>
          <w:lang w:val="lt-LT"/>
        </w:rPr>
        <w:t>metformino</w:t>
      </w:r>
      <w:proofErr w:type="spellEnd"/>
      <w:r>
        <w:rPr>
          <w:snapToGrid/>
          <w:szCs w:val="22"/>
          <w:lang w:val="lt-LT"/>
        </w:rPr>
        <w:t xml:space="preserve"> panašiai padidėjo ir aktyvaus, ir bendroji GLP</w:t>
      </w:r>
      <w:r>
        <w:rPr>
          <w:snapToGrid/>
          <w:szCs w:val="22"/>
          <w:lang w:val="lt-LT"/>
        </w:rPr>
        <w:noBreakHyphen/>
        <w:t>1 koncentracija.</w:t>
      </w:r>
    </w:p>
    <w:p w14:paraId="2170CCCB"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Sitagliptino</w:t>
      </w:r>
      <w:proofErr w:type="spellEnd"/>
      <w:r>
        <w:rPr>
          <w:snapToGrid/>
          <w:szCs w:val="22"/>
          <w:lang w:val="lt-LT"/>
        </w:rPr>
        <w:t xml:space="preserve"> vartojant kartu su </w:t>
      </w:r>
      <w:proofErr w:type="spellStart"/>
      <w:r>
        <w:rPr>
          <w:snapToGrid/>
          <w:szCs w:val="22"/>
          <w:lang w:val="lt-LT"/>
        </w:rPr>
        <w:t>metforminu</w:t>
      </w:r>
      <w:proofErr w:type="spellEnd"/>
      <w:r>
        <w:rPr>
          <w:snapToGrid/>
          <w:szCs w:val="22"/>
          <w:lang w:val="lt-LT"/>
        </w:rPr>
        <w:t>, nustatytas suminis poveikis aktyvaus GLP</w:t>
      </w:r>
      <w:r>
        <w:rPr>
          <w:snapToGrid/>
          <w:szCs w:val="22"/>
          <w:lang w:val="lt-LT"/>
        </w:rPr>
        <w:noBreakHyphen/>
        <w:t xml:space="preserve">1 koncentracijai. Sitagliptinas, bet ne </w:t>
      </w:r>
      <w:proofErr w:type="spellStart"/>
      <w:r>
        <w:rPr>
          <w:snapToGrid/>
          <w:szCs w:val="22"/>
          <w:lang w:val="lt-LT"/>
        </w:rPr>
        <w:t>metforminas</w:t>
      </w:r>
      <w:proofErr w:type="spellEnd"/>
      <w:r>
        <w:rPr>
          <w:snapToGrid/>
          <w:szCs w:val="22"/>
          <w:lang w:val="lt-LT"/>
        </w:rPr>
        <w:t>, padidino aktyvaus GIP koncentraciją.</w:t>
      </w:r>
    </w:p>
    <w:p w14:paraId="7F6D5033" w14:textId="77777777" w:rsidR="00B64E78" w:rsidRDefault="00B64E78">
      <w:pPr>
        <w:widowControl w:val="0"/>
        <w:tabs>
          <w:tab w:val="clear" w:pos="567"/>
        </w:tabs>
        <w:spacing w:line="240" w:lineRule="auto"/>
        <w:rPr>
          <w:snapToGrid/>
          <w:szCs w:val="22"/>
          <w:lang w:val="lt-LT"/>
        </w:rPr>
      </w:pPr>
    </w:p>
    <w:p w14:paraId="1FAAA72C" w14:textId="77777777" w:rsidR="00B64E78" w:rsidRDefault="00DA46A9">
      <w:pPr>
        <w:widowControl w:val="0"/>
        <w:tabs>
          <w:tab w:val="clear" w:pos="567"/>
        </w:tabs>
        <w:autoSpaceDE w:val="0"/>
        <w:autoSpaceDN w:val="0"/>
        <w:adjustRightInd w:val="0"/>
        <w:spacing w:line="240" w:lineRule="auto"/>
        <w:rPr>
          <w:snapToGrid/>
          <w:szCs w:val="22"/>
          <w:u w:val="single"/>
          <w:lang w:val="lt-LT"/>
        </w:rPr>
      </w:pPr>
      <w:r>
        <w:rPr>
          <w:snapToGrid/>
          <w:szCs w:val="22"/>
          <w:u w:val="single"/>
          <w:lang w:val="lt-LT"/>
        </w:rPr>
        <w:t>Klinikinis veiksmingumas ir saugumas</w:t>
      </w:r>
    </w:p>
    <w:p w14:paraId="70DBF329"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Apskritai </w:t>
      </w:r>
      <w:proofErr w:type="spellStart"/>
      <w:r>
        <w:rPr>
          <w:snapToGrid/>
          <w:szCs w:val="22"/>
          <w:lang w:val="lt-LT"/>
        </w:rPr>
        <w:t>sitagliptinas</w:t>
      </w:r>
      <w:proofErr w:type="spellEnd"/>
      <w:r>
        <w:rPr>
          <w:snapToGrid/>
          <w:szCs w:val="22"/>
          <w:lang w:val="lt-LT"/>
        </w:rPr>
        <w:t xml:space="preserve"> pagerino </w:t>
      </w:r>
      <w:proofErr w:type="spellStart"/>
      <w:r>
        <w:rPr>
          <w:snapToGrid/>
          <w:szCs w:val="22"/>
          <w:lang w:val="lt-LT"/>
        </w:rPr>
        <w:t>glikemijos</w:t>
      </w:r>
      <w:proofErr w:type="spellEnd"/>
      <w:r>
        <w:rPr>
          <w:snapToGrid/>
          <w:szCs w:val="22"/>
          <w:lang w:val="lt-LT"/>
        </w:rPr>
        <w:t xml:space="preserve"> kontrolę ir taikant </w:t>
      </w:r>
      <w:proofErr w:type="spellStart"/>
      <w:r>
        <w:rPr>
          <w:snapToGrid/>
          <w:szCs w:val="22"/>
          <w:lang w:val="lt-LT"/>
        </w:rPr>
        <w:t>monoterapiją</w:t>
      </w:r>
      <w:proofErr w:type="spellEnd"/>
      <w:r>
        <w:rPr>
          <w:snapToGrid/>
          <w:szCs w:val="22"/>
          <w:lang w:val="lt-LT"/>
        </w:rPr>
        <w:t>, ir kombinuotąjį gydymą.</w:t>
      </w:r>
    </w:p>
    <w:p w14:paraId="410C643B" w14:textId="77777777" w:rsidR="00B64E78" w:rsidRDefault="00B64E78">
      <w:pPr>
        <w:widowControl w:val="0"/>
        <w:tabs>
          <w:tab w:val="clear" w:pos="567"/>
        </w:tabs>
        <w:autoSpaceDE w:val="0"/>
        <w:autoSpaceDN w:val="0"/>
        <w:adjustRightInd w:val="0"/>
        <w:spacing w:line="240" w:lineRule="auto"/>
        <w:rPr>
          <w:snapToGrid/>
          <w:szCs w:val="22"/>
          <w:lang w:val="lt-LT"/>
        </w:rPr>
      </w:pPr>
    </w:p>
    <w:p w14:paraId="136DFA7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Klinikinių tyrimų metu skiriant </w:t>
      </w:r>
      <w:proofErr w:type="spellStart"/>
      <w:r>
        <w:rPr>
          <w:snapToGrid/>
          <w:szCs w:val="22"/>
          <w:lang w:val="lt-LT"/>
        </w:rPr>
        <w:t>sitagliptino</w:t>
      </w:r>
      <w:proofErr w:type="spellEnd"/>
      <w:r>
        <w:rPr>
          <w:snapToGrid/>
          <w:szCs w:val="22"/>
          <w:lang w:val="lt-LT"/>
        </w:rPr>
        <w:t xml:space="preserve"> </w:t>
      </w:r>
      <w:proofErr w:type="spellStart"/>
      <w:r>
        <w:rPr>
          <w:snapToGrid/>
          <w:szCs w:val="22"/>
          <w:lang w:val="lt-LT"/>
        </w:rPr>
        <w:t>monoterapiją</w:t>
      </w:r>
      <w:proofErr w:type="spellEnd"/>
      <w:r>
        <w:rPr>
          <w:snapToGrid/>
          <w:szCs w:val="22"/>
          <w:lang w:val="lt-LT"/>
        </w:rPr>
        <w:t xml:space="preserve">, pagerėjo </w:t>
      </w:r>
      <w:proofErr w:type="spellStart"/>
      <w:r>
        <w:rPr>
          <w:snapToGrid/>
          <w:szCs w:val="22"/>
          <w:lang w:val="lt-LT"/>
        </w:rPr>
        <w:t>glikemijos</w:t>
      </w:r>
      <w:proofErr w:type="spellEnd"/>
      <w:r>
        <w:rPr>
          <w:snapToGrid/>
          <w:szCs w:val="22"/>
          <w:lang w:val="lt-LT"/>
        </w:rPr>
        <w:t xml:space="preserve"> kontrolė: reikšmingai sumažėjo hemoglobino A</w:t>
      </w:r>
      <w:r>
        <w:rPr>
          <w:snapToGrid/>
          <w:szCs w:val="22"/>
          <w:vertAlign w:val="subscript"/>
          <w:lang w:val="lt-LT"/>
        </w:rPr>
        <w:t>1c</w:t>
      </w:r>
      <w:r>
        <w:rPr>
          <w:snapToGrid/>
          <w:szCs w:val="22"/>
          <w:lang w:val="lt-LT"/>
        </w:rPr>
        <w:t xml:space="preserve"> (HbA</w:t>
      </w:r>
      <w:r>
        <w:rPr>
          <w:snapToGrid/>
          <w:szCs w:val="22"/>
          <w:vertAlign w:val="subscript"/>
          <w:lang w:val="lt-LT"/>
        </w:rPr>
        <w:t>1c</w:t>
      </w:r>
      <w:r>
        <w:rPr>
          <w:snapToGrid/>
          <w:szCs w:val="22"/>
          <w:lang w:val="lt-LT"/>
        </w:rPr>
        <w:t xml:space="preserve">) kiekis, gliukozės kiekis kraujyje nevalgius ir po valgio. Gliukozės kiekio kraujo plazmoje nevalgius (angl. </w:t>
      </w:r>
      <w:proofErr w:type="spellStart"/>
      <w:r>
        <w:rPr>
          <w:i/>
          <w:iCs/>
          <w:snapToGrid/>
          <w:szCs w:val="22"/>
          <w:lang w:val="lt-LT"/>
        </w:rPr>
        <w:t>fasting</w:t>
      </w:r>
      <w:proofErr w:type="spellEnd"/>
      <w:r>
        <w:rPr>
          <w:i/>
          <w:iCs/>
          <w:snapToGrid/>
          <w:szCs w:val="22"/>
          <w:lang w:val="lt-LT"/>
        </w:rPr>
        <w:t xml:space="preserve"> </w:t>
      </w:r>
      <w:proofErr w:type="spellStart"/>
      <w:r>
        <w:rPr>
          <w:i/>
          <w:iCs/>
          <w:snapToGrid/>
          <w:szCs w:val="22"/>
          <w:lang w:val="lt-LT"/>
        </w:rPr>
        <w:t>plasma</w:t>
      </w:r>
      <w:proofErr w:type="spellEnd"/>
      <w:r>
        <w:rPr>
          <w:i/>
          <w:iCs/>
          <w:snapToGrid/>
          <w:szCs w:val="22"/>
          <w:lang w:val="lt-LT"/>
        </w:rPr>
        <w:t xml:space="preserve"> </w:t>
      </w:r>
      <w:proofErr w:type="spellStart"/>
      <w:r>
        <w:rPr>
          <w:i/>
          <w:iCs/>
          <w:snapToGrid/>
          <w:szCs w:val="22"/>
          <w:lang w:val="lt-LT"/>
        </w:rPr>
        <w:t>glucose</w:t>
      </w:r>
      <w:proofErr w:type="spellEnd"/>
      <w:r>
        <w:rPr>
          <w:snapToGrid/>
          <w:szCs w:val="22"/>
          <w:lang w:val="lt-LT"/>
        </w:rPr>
        <w:t xml:space="preserve">, FPG) sumažėjimas nustatytas 3-iąją savaitę (pirmasis laiko taškas, kai tirta FPG). </w:t>
      </w:r>
      <w:proofErr w:type="spellStart"/>
      <w:r>
        <w:rPr>
          <w:snapToGrid/>
          <w:szCs w:val="22"/>
          <w:lang w:val="lt-LT"/>
        </w:rPr>
        <w:t>Sitagliptinu</w:t>
      </w:r>
      <w:proofErr w:type="spellEnd"/>
      <w:r>
        <w:rPr>
          <w:snapToGrid/>
          <w:szCs w:val="22"/>
          <w:lang w:val="lt-LT"/>
        </w:rPr>
        <w:t xml:space="preserve"> gydytiems pacientams hipoglikemijos dažnis buvo panašus į nustatytą vartojant placebo. </w:t>
      </w:r>
      <w:proofErr w:type="spellStart"/>
      <w:r>
        <w:rPr>
          <w:snapToGrid/>
          <w:szCs w:val="22"/>
          <w:lang w:val="lt-LT"/>
        </w:rPr>
        <w:t>Sitagliptino</w:t>
      </w:r>
      <w:proofErr w:type="spellEnd"/>
      <w:r>
        <w:rPr>
          <w:snapToGrid/>
          <w:szCs w:val="22"/>
          <w:lang w:val="lt-LT"/>
        </w:rPr>
        <w:t xml:space="preserve"> vartojusių pacientų kūno svoris nuo pradinio rodmens nepadidėjo. Buvo stebėtas reikšmingas pakaitinių beta</w:t>
      </w:r>
      <w:r>
        <w:rPr>
          <w:snapToGrid/>
          <w:szCs w:val="22"/>
          <w:lang w:val="lt-LT"/>
        </w:rPr>
        <w:noBreakHyphen/>
        <w:t>ląstelių funkcijos žymenų, įskaitant HOMA</w:t>
      </w:r>
      <w:r>
        <w:rPr>
          <w:snapToGrid/>
          <w:szCs w:val="22"/>
          <w:lang w:val="lt-LT"/>
        </w:rPr>
        <w:noBreakHyphen/>
        <w:t>β</w:t>
      </w:r>
      <w:r>
        <w:rPr>
          <w:rFonts w:eastAsia="TimesNewRoman,Italic"/>
          <w:i/>
          <w:iCs/>
          <w:snapToGrid/>
          <w:szCs w:val="22"/>
          <w:lang w:val="lt-LT"/>
        </w:rPr>
        <w:t xml:space="preserve"> </w:t>
      </w:r>
      <w:r>
        <w:rPr>
          <w:rFonts w:eastAsia="TimesNewRoman,Italic"/>
          <w:iCs/>
          <w:snapToGrid/>
          <w:szCs w:val="22"/>
          <w:lang w:val="lt-LT"/>
        </w:rPr>
        <w:t xml:space="preserve">(angl. </w:t>
      </w:r>
      <w:proofErr w:type="spellStart"/>
      <w:r>
        <w:rPr>
          <w:rFonts w:eastAsia="TimesNewRoman,Italic"/>
          <w:i/>
          <w:iCs/>
          <w:snapToGrid/>
          <w:szCs w:val="22"/>
          <w:lang w:val="lt-LT"/>
        </w:rPr>
        <w:t>Homeostasis</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Model</w:t>
      </w:r>
      <w:proofErr w:type="spellEnd"/>
      <w:r>
        <w:rPr>
          <w:rFonts w:eastAsia="TimesNewRoman,Italic"/>
          <w:i/>
          <w:iCs/>
          <w:snapToGrid/>
          <w:szCs w:val="22"/>
          <w:lang w:val="lt-LT"/>
        </w:rPr>
        <w:t xml:space="preserve"> </w:t>
      </w:r>
      <w:proofErr w:type="spellStart"/>
      <w:r>
        <w:rPr>
          <w:rFonts w:eastAsia="TimesNewRoman,Italic"/>
          <w:i/>
          <w:iCs/>
          <w:snapToGrid/>
          <w:szCs w:val="22"/>
          <w:lang w:val="lt-LT"/>
        </w:rPr>
        <w:t>Assessment</w:t>
      </w:r>
      <w:proofErr w:type="spellEnd"/>
      <w:r>
        <w:rPr>
          <w:rFonts w:eastAsia="TimesNewRoman,Italic"/>
          <w:i/>
          <w:iCs/>
          <w:snapToGrid/>
          <w:szCs w:val="22"/>
          <w:lang w:val="lt-LT"/>
        </w:rPr>
        <w:noBreakHyphen/>
        <w:t>β</w:t>
      </w:r>
      <w:r>
        <w:rPr>
          <w:rFonts w:eastAsia="TimesNewRoman,Italic"/>
          <w:iCs/>
          <w:snapToGrid/>
          <w:szCs w:val="22"/>
          <w:lang w:val="lt-LT"/>
        </w:rPr>
        <w:t>)</w:t>
      </w:r>
      <w:r>
        <w:rPr>
          <w:snapToGrid/>
          <w:szCs w:val="22"/>
          <w:lang w:val="lt-LT"/>
        </w:rPr>
        <w:t xml:space="preserve">, </w:t>
      </w:r>
      <w:proofErr w:type="spellStart"/>
      <w:r>
        <w:rPr>
          <w:snapToGrid/>
          <w:szCs w:val="22"/>
          <w:lang w:val="lt-LT"/>
        </w:rPr>
        <w:t>proinsulino</w:t>
      </w:r>
      <w:proofErr w:type="spellEnd"/>
      <w:r>
        <w:rPr>
          <w:snapToGrid/>
          <w:szCs w:val="22"/>
          <w:lang w:val="lt-LT"/>
        </w:rPr>
        <w:t xml:space="preserve"> ir insulino santykio bei beta</w:t>
      </w:r>
      <w:r>
        <w:rPr>
          <w:snapToGrid/>
          <w:szCs w:val="22"/>
          <w:lang w:val="lt-LT"/>
        </w:rPr>
        <w:noBreakHyphen/>
        <w:t>ląstelių reaktyvumo, nustatyto pagal maisto toleravimo testus su dažnu ėminių ėmimu, rodmenų pagerėjimas.</w:t>
      </w:r>
      <w:r>
        <w:rPr>
          <w:snapToGrid/>
          <w:szCs w:val="22"/>
          <w:lang w:val="lt-LT"/>
        </w:rPr>
        <w:cr/>
      </w:r>
    </w:p>
    <w:p w14:paraId="7D2F32B9" w14:textId="77777777" w:rsidR="00B64E78" w:rsidRDefault="00DA46A9">
      <w:pPr>
        <w:widowControl w:val="0"/>
        <w:tabs>
          <w:tab w:val="clear" w:pos="567"/>
        </w:tabs>
        <w:autoSpaceDE w:val="0"/>
        <w:autoSpaceDN w:val="0"/>
        <w:adjustRightInd w:val="0"/>
        <w:spacing w:line="240" w:lineRule="auto"/>
        <w:rPr>
          <w:snapToGrid/>
          <w:szCs w:val="22"/>
          <w:u w:val="single"/>
          <w:lang w:val="lt-LT"/>
        </w:rPr>
      </w:pPr>
      <w:proofErr w:type="spellStart"/>
      <w:r>
        <w:rPr>
          <w:snapToGrid/>
          <w:szCs w:val="22"/>
          <w:u w:val="single"/>
          <w:lang w:val="lt-LT"/>
        </w:rPr>
        <w:t>Sitagliptino</w:t>
      </w:r>
      <w:proofErr w:type="spellEnd"/>
      <w:r>
        <w:rPr>
          <w:snapToGrid/>
          <w:szCs w:val="22"/>
          <w:u w:val="single"/>
          <w:lang w:val="lt-LT"/>
        </w:rPr>
        <w:t xml:space="preserve"> ir </w:t>
      </w:r>
      <w:proofErr w:type="spellStart"/>
      <w:r>
        <w:rPr>
          <w:snapToGrid/>
          <w:szCs w:val="22"/>
          <w:u w:val="single"/>
          <w:lang w:val="lt-LT"/>
        </w:rPr>
        <w:t>metformino</w:t>
      </w:r>
      <w:proofErr w:type="spellEnd"/>
      <w:r>
        <w:rPr>
          <w:snapToGrid/>
          <w:szCs w:val="22"/>
          <w:u w:val="single"/>
          <w:lang w:val="lt-LT"/>
        </w:rPr>
        <w:t xml:space="preserve"> derinio tyrimai</w:t>
      </w:r>
    </w:p>
    <w:p w14:paraId="16B9CE9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24 savaičių trukmės placebu kontroliuojamo klinikinio tyrimo metu buvo vertintas </w:t>
      </w:r>
      <w:proofErr w:type="spellStart"/>
      <w:r>
        <w:rPr>
          <w:snapToGrid/>
          <w:szCs w:val="22"/>
          <w:lang w:val="lt-LT"/>
        </w:rPr>
        <w:t>sitagliptino</w:t>
      </w:r>
      <w:proofErr w:type="spellEnd"/>
      <w:r>
        <w:rPr>
          <w:snapToGrid/>
          <w:szCs w:val="22"/>
          <w:lang w:val="lt-LT"/>
        </w:rPr>
        <w:t xml:space="preserve"> (100 mg kartą per parą) veiksmingumas ir saugumas juo papildant gydymą </w:t>
      </w:r>
      <w:proofErr w:type="spellStart"/>
      <w:r>
        <w:rPr>
          <w:snapToGrid/>
          <w:szCs w:val="22"/>
          <w:lang w:val="lt-LT"/>
        </w:rPr>
        <w:t>metforminu</w:t>
      </w:r>
      <w:proofErr w:type="spellEnd"/>
      <w:r>
        <w:rPr>
          <w:snapToGrid/>
          <w:szCs w:val="22"/>
          <w:lang w:val="lt-LT"/>
        </w:rPr>
        <w:t xml:space="preserve">. Sitagliptinas, palyginti su placebu, reikšmingai pagerino </w:t>
      </w:r>
      <w:proofErr w:type="spellStart"/>
      <w:r>
        <w:rPr>
          <w:snapToGrid/>
          <w:szCs w:val="22"/>
          <w:lang w:val="lt-LT"/>
        </w:rPr>
        <w:t>glikemijos</w:t>
      </w:r>
      <w:proofErr w:type="spellEnd"/>
      <w:r>
        <w:rPr>
          <w:snapToGrid/>
          <w:szCs w:val="22"/>
          <w:lang w:val="lt-LT"/>
        </w:rPr>
        <w:t xml:space="preserve"> rodmenis. </w:t>
      </w:r>
      <w:proofErr w:type="spellStart"/>
      <w:r>
        <w:rPr>
          <w:snapToGrid/>
          <w:szCs w:val="22"/>
          <w:lang w:val="lt-LT"/>
        </w:rPr>
        <w:t>Sitagliptino</w:t>
      </w:r>
      <w:proofErr w:type="spellEnd"/>
      <w:r>
        <w:rPr>
          <w:snapToGrid/>
          <w:szCs w:val="22"/>
          <w:lang w:val="lt-LT"/>
        </w:rPr>
        <w:t xml:space="preserve"> ir placebo vartojusių pacientų kūno svorio sumažėjimas, palyginti su pradiniu rodmeniu, buvo panašus. Šio tyrimo metu </w:t>
      </w:r>
      <w:proofErr w:type="spellStart"/>
      <w:r>
        <w:rPr>
          <w:snapToGrid/>
          <w:szCs w:val="22"/>
          <w:lang w:val="lt-LT"/>
        </w:rPr>
        <w:t>sitagliptino</w:t>
      </w:r>
      <w:proofErr w:type="spellEnd"/>
      <w:r>
        <w:rPr>
          <w:snapToGrid/>
          <w:szCs w:val="22"/>
          <w:lang w:val="lt-LT"/>
        </w:rPr>
        <w:t xml:space="preserve"> ar placebo vartojusiems pacientams praneštas hipoglikemijos dažnis buvo panašus.</w:t>
      </w:r>
    </w:p>
    <w:p w14:paraId="7136E8D7" w14:textId="77777777" w:rsidR="00B64E78" w:rsidRDefault="00B64E78">
      <w:pPr>
        <w:widowControl w:val="0"/>
        <w:tabs>
          <w:tab w:val="clear" w:pos="567"/>
        </w:tabs>
        <w:autoSpaceDE w:val="0"/>
        <w:autoSpaceDN w:val="0"/>
        <w:adjustRightInd w:val="0"/>
        <w:spacing w:line="240" w:lineRule="auto"/>
        <w:rPr>
          <w:snapToGrid/>
          <w:szCs w:val="22"/>
          <w:lang w:val="lt-LT"/>
        </w:rPr>
      </w:pPr>
    </w:p>
    <w:p w14:paraId="628F819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24 savaičių trukmės placebu kontroliuoto </w:t>
      </w:r>
      <w:proofErr w:type="spellStart"/>
      <w:r>
        <w:rPr>
          <w:snapToGrid/>
          <w:szCs w:val="22"/>
          <w:lang w:val="lt-LT"/>
        </w:rPr>
        <w:t>faktorinio</w:t>
      </w:r>
      <w:proofErr w:type="spellEnd"/>
      <w:r>
        <w:rPr>
          <w:snapToGrid/>
          <w:szCs w:val="22"/>
          <w:lang w:val="lt-LT"/>
        </w:rPr>
        <w:t xml:space="preserve"> pradinio gydymo tyrimo metu pacientams, du kartus per parą vartojusiems 50 mg </w:t>
      </w:r>
      <w:proofErr w:type="spellStart"/>
      <w:r>
        <w:rPr>
          <w:snapToGrid/>
          <w:szCs w:val="22"/>
          <w:lang w:val="lt-LT"/>
        </w:rPr>
        <w:t>sitagliptino</w:t>
      </w:r>
      <w:proofErr w:type="spellEnd"/>
      <w:r>
        <w:rPr>
          <w:snapToGrid/>
          <w:szCs w:val="22"/>
          <w:lang w:val="lt-LT"/>
        </w:rPr>
        <w:t xml:space="preserve"> dozę kartu su </w:t>
      </w:r>
      <w:proofErr w:type="spellStart"/>
      <w:r>
        <w:rPr>
          <w:snapToGrid/>
          <w:szCs w:val="22"/>
          <w:lang w:val="lt-LT"/>
        </w:rPr>
        <w:t>metforminu</w:t>
      </w:r>
      <w:proofErr w:type="spellEnd"/>
      <w:r>
        <w:rPr>
          <w:snapToGrid/>
          <w:szCs w:val="22"/>
          <w:lang w:val="lt-LT"/>
        </w:rPr>
        <w:t xml:space="preserve"> (500 mg arba 1 000 mg du kartus per parą), palyginti su tiriamaisiais, kuriems buvo taikyta </w:t>
      </w:r>
      <w:proofErr w:type="spellStart"/>
      <w:r>
        <w:rPr>
          <w:snapToGrid/>
          <w:szCs w:val="22"/>
          <w:lang w:val="lt-LT"/>
        </w:rPr>
        <w:t>monoterapija</w:t>
      </w:r>
      <w:proofErr w:type="spellEnd"/>
      <w:r>
        <w:rPr>
          <w:snapToGrid/>
          <w:szCs w:val="22"/>
          <w:lang w:val="lt-LT"/>
        </w:rPr>
        <w:t xml:space="preserve"> bet kuriuo iš minėtų vaistinių preparatų, reikšmingai pagerėjo </w:t>
      </w:r>
      <w:proofErr w:type="spellStart"/>
      <w:r>
        <w:rPr>
          <w:snapToGrid/>
          <w:szCs w:val="22"/>
          <w:lang w:val="lt-LT"/>
        </w:rPr>
        <w:t>glikemijos</w:t>
      </w:r>
      <w:proofErr w:type="spellEnd"/>
      <w:r>
        <w:rPr>
          <w:snapToGrid/>
          <w:szCs w:val="22"/>
          <w:lang w:val="lt-LT"/>
        </w:rPr>
        <w:t xml:space="preserve"> rodmenys.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gydytų pacientų kūno svorio sumažėjimas buvo panašus į nustatytą vartojant vien </w:t>
      </w:r>
      <w:proofErr w:type="spellStart"/>
      <w:r>
        <w:rPr>
          <w:snapToGrid/>
          <w:szCs w:val="22"/>
          <w:lang w:val="lt-LT"/>
        </w:rPr>
        <w:t>metformino</w:t>
      </w:r>
      <w:proofErr w:type="spellEnd"/>
      <w:r>
        <w:rPr>
          <w:snapToGrid/>
          <w:szCs w:val="22"/>
          <w:lang w:val="lt-LT"/>
        </w:rPr>
        <w:t xml:space="preserve"> arba placebo; tiriamųjų, vartojusių tik </w:t>
      </w:r>
      <w:proofErr w:type="spellStart"/>
      <w:r>
        <w:rPr>
          <w:snapToGrid/>
          <w:szCs w:val="22"/>
          <w:lang w:val="lt-LT"/>
        </w:rPr>
        <w:t>sitagliptino</w:t>
      </w:r>
      <w:proofErr w:type="spellEnd"/>
      <w:r>
        <w:rPr>
          <w:snapToGrid/>
          <w:szCs w:val="22"/>
          <w:lang w:val="lt-LT"/>
        </w:rPr>
        <w:t>, kūno svoris nuo pradinio rodmens nepakito. Visų gydymo grupių tiriamiesiems hipoglikemijos dažnis buvo panašus.</w:t>
      </w:r>
    </w:p>
    <w:p w14:paraId="366B062C" w14:textId="77777777" w:rsidR="00B64E78" w:rsidRDefault="00B64E78">
      <w:pPr>
        <w:widowControl w:val="0"/>
        <w:tabs>
          <w:tab w:val="clear" w:pos="567"/>
        </w:tabs>
        <w:autoSpaceDE w:val="0"/>
        <w:autoSpaceDN w:val="0"/>
        <w:adjustRightInd w:val="0"/>
        <w:spacing w:line="240" w:lineRule="auto"/>
        <w:rPr>
          <w:snapToGrid/>
          <w:szCs w:val="22"/>
          <w:lang w:val="lt-LT"/>
        </w:rPr>
      </w:pPr>
    </w:p>
    <w:p w14:paraId="42D8A60B" w14:textId="77777777" w:rsidR="00B64E78" w:rsidRDefault="00DA46A9">
      <w:pPr>
        <w:widowControl w:val="0"/>
        <w:tabs>
          <w:tab w:val="clear" w:pos="567"/>
        </w:tabs>
        <w:autoSpaceDE w:val="0"/>
        <w:autoSpaceDN w:val="0"/>
        <w:adjustRightInd w:val="0"/>
        <w:spacing w:line="240" w:lineRule="auto"/>
        <w:rPr>
          <w:snapToGrid/>
          <w:szCs w:val="22"/>
          <w:u w:val="single"/>
          <w:lang w:val="lt-LT"/>
        </w:rPr>
      </w:pPr>
      <w:proofErr w:type="spellStart"/>
      <w:r>
        <w:rPr>
          <w:snapToGrid/>
          <w:szCs w:val="22"/>
          <w:u w:val="single"/>
          <w:lang w:val="lt-LT"/>
        </w:rPr>
        <w:t>Sitagliptino</w:t>
      </w:r>
      <w:proofErr w:type="spellEnd"/>
      <w:r>
        <w:rPr>
          <w:snapToGrid/>
          <w:szCs w:val="22"/>
          <w:u w:val="single"/>
          <w:lang w:val="lt-LT"/>
        </w:rPr>
        <w:t xml:space="preserve">, </w:t>
      </w:r>
      <w:proofErr w:type="spellStart"/>
      <w:r>
        <w:rPr>
          <w:snapToGrid/>
          <w:szCs w:val="22"/>
          <w:u w:val="single"/>
          <w:lang w:val="lt-LT"/>
        </w:rPr>
        <w:t>metformino</w:t>
      </w:r>
      <w:proofErr w:type="spellEnd"/>
      <w:r>
        <w:rPr>
          <w:snapToGrid/>
          <w:szCs w:val="22"/>
          <w:u w:val="single"/>
          <w:lang w:val="lt-LT"/>
        </w:rPr>
        <w:t xml:space="preserve"> ir </w:t>
      </w:r>
      <w:proofErr w:type="spellStart"/>
      <w:r>
        <w:rPr>
          <w:snapToGrid/>
          <w:szCs w:val="22"/>
          <w:u w:val="single"/>
          <w:lang w:val="lt-LT"/>
        </w:rPr>
        <w:t>sulfonilkarbamido</w:t>
      </w:r>
      <w:proofErr w:type="spellEnd"/>
      <w:r>
        <w:rPr>
          <w:snapToGrid/>
          <w:szCs w:val="22"/>
          <w:u w:val="single"/>
          <w:lang w:val="lt-LT"/>
        </w:rPr>
        <w:t xml:space="preserve"> derinio tyrimas</w:t>
      </w:r>
      <w:r>
        <w:rPr>
          <w:snapToGrid/>
          <w:szCs w:val="22"/>
          <w:u w:val="single"/>
          <w:lang w:val="lt-LT"/>
        </w:rPr>
        <w:cr/>
      </w:r>
      <w:r>
        <w:rPr>
          <w:snapToGrid/>
          <w:szCs w:val="22"/>
          <w:lang w:val="lt-LT"/>
        </w:rPr>
        <w:t xml:space="preserve">24 savaičių trukmės placebu kontroliuoto tyrimo metu buvo vertintas </w:t>
      </w:r>
      <w:proofErr w:type="spellStart"/>
      <w:r>
        <w:rPr>
          <w:snapToGrid/>
          <w:szCs w:val="22"/>
          <w:lang w:val="lt-LT"/>
        </w:rPr>
        <w:t>sitagliptino</w:t>
      </w:r>
      <w:proofErr w:type="spellEnd"/>
      <w:r>
        <w:rPr>
          <w:snapToGrid/>
          <w:szCs w:val="22"/>
          <w:lang w:val="lt-LT"/>
        </w:rPr>
        <w:t xml:space="preserve"> (100 mg kartą per parą) veiksmingumas ir saugumas juo papildant gydymą vien </w:t>
      </w:r>
      <w:proofErr w:type="spellStart"/>
      <w:r>
        <w:rPr>
          <w:snapToGrid/>
          <w:szCs w:val="22"/>
          <w:lang w:val="lt-LT"/>
        </w:rPr>
        <w:t>glimepiridu</w:t>
      </w:r>
      <w:proofErr w:type="spellEnd"/>
      <w:r>
        <w:rPr>
          <w:snapToGrid/>
          <w:szCs w:val="22"/>
          <w:lang w:val="lt-LT"/>
        </w:rPr>
        <w:t xml:space="preserve"> arba </w:t>
      </w:r>
      <w:proofErr w:type="spellStart"/>
      <w:r>
        <w:rPr>
          <w:snapToGrid/>
          <w:szCs w:val="22"/>
          <w:lang w:val="lt-LT"/>
        </w:rPr>
        <w:t>glimepirido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Gydymą </w:t>
      </w:r>
      <w:proofErr w:type="spellStart"/>
      <w:r>
        <w:rPr>
          <w:snapToGrid/>
          <w:szCs w:val="22"/>
          <w:lang w:val="lt-LT"/>
        </w:rPr>
        <w:t>glimepirido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papildžius </w:t>
      </w:r>
      <w:proofErr w:type="spellStart"/>
      <w:r>
        <w:rPr>
          <w:snapToGrid/>
          <w:szCs w:val="22"/>
          <w:lang w:val="lt-LT"/>
        </w:rPr>
        <w:t>sitagliptinu</w:t>
      </w:r>
      <w:proofErr w:type="spellEnd"/>
      <w:r>
        <w:rPr>
          <w:snapToGrid/>
          <w:szCs w:val="22"/>
          <w:lang w:val="lt-LT"/>
        </w:rPr>
        <w:t xml:space="preserve">, reikšmingai pagerėjo </w:t>
      </w:r>
      <w:proofErr w:type="spellStart"/>
      <w:r>
        <w:rPr>
          <w:snapToGrid/>
          <w:szCs w:val="22"/>
          <w:lang w:val="lt-LT"/>
        </w:rPr>
        <w:t>glikemijos</w:t>
      </w:r>
      <w:proofErr w:type="spellEnd"/>
      <w:r>
        <w:rPr>
          <w:snapToGrid/>
          <w:szCs w:val="22"/>
          <w:lang w:val="lt-LT"/>
        </w:rPr>
        <w:t xml:space="preserve"> rodmenys. </w:t>
      </w:r>
      <w:proofErr w:type="spellStart"/>
      <w:r>
        <w:rPr>
          <w:snapToGrid/>
          <w:szCs w:val="22"/>
          <w:lang w:val="lt-LT"/>
        </w:rPr>
        <w:t>Sitagliptino</w:t>
      </w:r>
      <w:proofErr w:type="spellEnd"/>
      <w:r>
        <w:rPr>
          <w:snapToGrid/>
          <w:szCs w:val="22"/>
          <w:lang w:val="lt-LT"/>
        </w:rPr>
        <w:t xml:space="preserve"> vartojusiems pacientams, palyginti su vartojusiais placebą, šiek tiek (+1,1 kg) padidėjo kūno svoris.</w:t>
      </w:r>
    </w:p>
    <w:p w14:paraId="0C66C898" w14:textId="77777777" w:rsidR="00B64E78" w:rsidRDefault="00B64E78">
      <w:pPr>
        <w:widowControl w:val="0"/>
        <w:tabs>
          <w:tab w:val="clear" w:pos="567"/>
        </w:tabs>
        <w:autoSpaceDE w:val="0"/>
        <w:autoSpaceDN w:val="0"/>
        <w:adjustRightInd w:val="0"/>
        <w:spacing w:line="240" w:lineRule="auto"/>
        <w:rPr>
          <w:snapToGrid/>
          <w:szCs w:val="22"/>
          <w:lang w:val="lt-LT"/>
        </w:rPr>
      </w:pPr>
    </w:p>
    <w:p w14:paraId="5E2A2577" w14:textId="77777777" w:rsidR="00B64E78" w:rsidRDefault="00DA46A9">
      <w:pPr>
        <w:widowControl w:val="0"/>
        <w:tabs>
          <w:tab w:val="clear" w:pos="567"/>
        </w:tabs>
        <w:autoSpaceDE w:val="0"/>
        <w:autoSpaceDN w:val="0"/>
        <w:adjustRightInd w:val="0"/>
        <w:spacing w:line="240" w:lineRule="auto"/>
        <w:rPr>
          <w:snapToGrid/>
          <w:szCs w:val="22"/>
          <w:u w:val="single"/>
          <w:lang w:val="lt-LT"/>
        </w:rPr>
      </w:pPr>
      <w:proofErr w:type="spellStart"/>
      <w:r>
        <w:rPr>
          <w:snapToGrid/>
          <w:szCs w:val="22"/>
          <w:u w:val="single"/>
          <w:lang w:val="lt-LT"/>
        </w:rPr>
        <w:t>Sitagliptino</w:t>
      </w:r>
      <w:proofErr w:type="spellEnd"/>
      <w:r>
        <w:rPr>
          <w:snapToGrid/>
          <w:szCs w:val="22"/>
          <w:u w:val="single"/>
          <w:lang w:val="lt-LT"/>
        </w:rPr>
        <w:t xml:space="preserve">, </w:t>
      </w:r>
      <w:proofErr w:type="spellStart"/>
      <w:r>
        <w:rPr>
          <w:snapToGrid/>
          <w:szCs w:val="22"/>
          <w:u w:val="single"/>
          <w:lang w:val="lt-LT"/>
        </w:rPr>
        <w:t>metformino</w:t>
      </w:r>
      <w:proofErr w:type="spellEnd"/>
      <w:r>
        <w:rPr>
          <w:snapToGrid/>
          <w:szCs w:val="22"/>
          <w:u w:val="single"/>
          <w:lang w:val="lt-LT"/>
        </w:rPr>
        <w:t xml:space="preserve"> ir PPAR</w:t>
      </w:r>
      <w:r>
        <w:rPr>
          <w:snapToGrid/>
          <w:szCs w:val="22"/>
          <w:u w:val="single"/>
          <w:lang w:val="lt-LT"/>
        </w:rPr>
        <w:sym w:font="Symbol" w:char="F067"/>
      </w:r>
      <w:r>
        <w:rPr>
          <w:snapToGrid/>
          <w:szCs w:val="22"/>
          <w:u w:val="single"/>
          <w:lang w:val="lt-LT"/>
        </w:rPr>
        <w:t xml:space="preserve"> </w:t>
      </w:r>
      <w:proofErr w:type="spellStart"/>
      <w:r>
        <w:rPr>
          <w:snapToGrid/>
          <w:szCs w:val="22"/>
          <w:u w:val="single"/>
          <w:lang w:val="lt-LT"/>
        </w:rPr>
        <w:t>agonisto</w:t>
      </w:r>
      <w:proofErr w:type="spellEnd"/>
      <w:r>
        <w:rPr>
          <w:snapToGrid/>
          <w:szCs w:val="22"/>
          <w:u w:val="single"/>
          <w:lang w:val="lt-LT"/>
        </w:rPr>
        <w:t xml:space="preserve"> derinio tyrimas</w:t>
      </w:r>
    </w:p>
    <w:p w14:paraId="11EC338E"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26 savaičių trukmės placebu kontroliuotas klinikinis tyrimas buvo skirtas įvertinti kartą per parą vartotos 100 mg </w:t>
      </w:r>
      <w:proofErr w:type="spellStart"/>
      <w:r>
        <w:rPr>
          <w:snapToGrid/>
          <w:szCs w:val="22"/>
          <w:lang w:val="lt-LT"/>
        </w:rPr>
        <w:t>sitagliptino</w:t>
      </w:r>
      <w:proofErr w:type="spellEnd"/>
      <w:r>
        <w:rPr>
          <w:snapToGrid/>
          <w:szCs w:val="22"/>
          <w:lang w:val="lt-LT"/>
        </w:rPr>
        <w:t xml:space="preserve"> dozės saugumą ir veiksmingumą, juo papildant gydymą </w:t>
      </w:r>
      <w:proofErr w:type="spellStart"/>
      <w:r>
        <w:rPr>
          <w:snapToGrid/>
          <w:szCs w:val="22"/>
          <w:lang w:val="lt-LT"/>
        </w:rPr>
        <w:t>pioglitazono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Gydymo </w:t>
      </w:r>
      <w:proofErr w:type="spellStart"/>
      <w:r>
        <w:rPr>
          <w:snapToGrid/>
          <w:szCs w:val="22"/>
          <w:lang w:val="lt-LT"/>
        </w:rPr>
        <w:t>pioglitazono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deriniu papildymas </w:t>
      </w:r>
      <w:proofErr w:type="spellStart"/>
      <w:r>
        <w:rPr>
          <w:snapToGrid/>
          <w:szCs w:val="22"/>
          <w:lang w:val="lt-LT"/>
        </w:rPr>
        <w:t>sitagliptinu</w:t>
      </w:r>
      <w:proofErr w:type="spellEnd"/>
      <w:r>
        <w:rPr>
          <w:snapToGrid/>
          <w:szCs w:val="22"/>
          <w:lang w:val="lt-LT"/>
        </w:rPr>
        <w:t xml:space="preserve"> reikšmingai pagerino </w:t>
      </w:r>
      <w:proofErr w:type="spellStart"/>
      <w:r>
        <w:rPr>
          <w:snapToGrid/>
          <w:szCs w:val="22"/>
          <w:lang w:val="lt-LT"/>
        </w:rPr>
        <w:t>glikemijos</w:t>
      </w:r>
      <w:proofErr w:type="spellEnd"/>
      <w:r>
        <w:rPr>
          <w:snapToGrid/>
          <w:szCs w:val="22"/>
          <w:lang w:val="lt-LT"/>
        </w:rPr>
        <w:t xml:space="preserve"> rodmenis. </w:t>
      </w:r>
      <w:proofErr w:type="spellStart"/>
      <w:r>
        <w:rPr>
          <w:snapToGrid/>
          <w:szCs w:val="22"/>
          <w:lang w:val="lt-LT"/>
        </w:rPr>
        <w:t>Sitagliptino</w:t>
      </w:r>
      <w:proofErr w:type="spellEnd"/>
      <w:r>
        <w:rPr>
          <w:snapToGrid/>
          <w:szCs w:val="22"/>
          <w:lang w:val="lt-LT"/>
        </w:rPr>
        <w:t xml:space="preserve"> ar placebo vartojusių pacientų kūno svorio pokyčiai nuo pradinio rodmens buvo panašūs. Hipoglikemijos dažnis </w:t>
      </w:r>
      <w:proofErr w:type="spellStart"/>
      <w:r>
        <w:rPr>
          <w:snapToGrid/>
          <w:szCs w:val="22"/>
          <w:lang w:val="lt-LT"/>
        </w:rPr>
        <w:t>sitagliptino</w:t>
      </w:r>
      <w:proofErr w:type="spellEnd"/>
      <w:r>
        <w:rPr>
          <w:snapToGrid/>
          <w:szCs w:val="22"/>
          <w:lang w:val="lt-LT"/>
        </w:rPr>
        <w:t xml:space="preserve"> ir placebo vartojusiems pacientams taip pat buvo panašus.</w:t>
      </w:r>
    </w:p>
    <w:p w14:paraId="2D828296" w14:textId="77777777" w:rsidR="00B64E78" w:rsidRDefault="00B64E78">
      <w:pPr>
        <w:widowControl w:val="0"/>
        <w:tabs>
          <w:tab w:val="clear" w:pos="567"/>
        </w:tabs>
        <w:spacing w:line="240" w:lineRule="auto"/>
        <w:rPr>
          <w:snapToGrid/>
          <w:szCs w:val="22"/>
          <w:lang w:val="lt-LT"/>
        </w:rPr>
      </w:pPr>
    </w:p>
    <w:p w14:paraId="02D89095"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u w:val="single"/>
          <w:lang w:val="lt-LT"/>
        </w:rPr>
        <w:t>Sitagliptino</w:t>
      </w:r>
      <w:proofErr w:type="spellEnd"/>
      <w:r>
        <w:rPr>
          <w:snapToGrid/>
          <w:szCs w:val="22"/>
          <w:u w:val="single"/>
          <w:lang w:val="lt-LT"/>
        </w:rPr>
        <w:t xml:space="preserve">, </w:t>
      </w:r>
      <w:proofErr w:type="spellStart"/>
      <w:r>
        <w:rPr>
          <w:snapToGrid/>
          <w:szCs w:val="22"/>
          <w:u w:val="single"/>
          <w:lang w:val="lt-LT"/>
        </w:rPr>
        <w:t>metformino</w:t>
      </w:r>
      <w:proofErr w:type="spellEnd"/>
      <w:r>
        <w:rPr>
          <w:snapToGrid/>
          <w:szCs w:val="22"/>
          <w:u w:val="single"/>
          <w:lang w:val="lt-LT"/>
        </w:rPr>
        <w:t xml:space="preserve"> ir insulino derinio tyrimas</w:t>
      </w:r>
      <w:r>
        <w:rPr>
          <w:snapToGrid/>
          <w:szCs w:val="22"/>
          <w:lang w:val="lt-LT"/>
        </w:rPr>
        <w:cr/>
      </w:r>
      <w:r>
        <w:rPr>
          <w:snapToGrid/>
          <w:szCs w:val="22"/>
          <w:lang w:val="lt-LT"/>
        </w:rPr>
        <w:lastRenderedPageBreak/>
        <w:t xml:space="preserve">24 savaičių trukmės placebu kontroliuotas klinikinis tyrimas buvo skirtas įvertinti kartą per parą vartotos 100 mg </w:t>
      </w:r>
      <w:proofErr w:type="spellStart"/>
      <w:r>
        <w:rPr>
          <w:snapToGrid/>
          <w:szCs w:val="22"/>
          <w:lang w:val="lt-LT"/>
        </w:rPr>
        <w:t>sitagliptino</w:t>
      </w:r>
      <w:proofErr w:type="spellEnd"/>
      <w:r>
        <w:rPr>
          <w:snapToGrid/>
          <w:szCs w:val="22"/>
          <w:lang w:val="lt-LT"/>
        </w:rPr>
        <w:t xml:space="preserve"> dozės saugumą ir veiksmingumą, juo papildant gydymą insulinu (kai ne mažiau kaip 10 savaičių vartojama stabili insulino dozė) kartu su </w:t>
      </w:r>
      <w:proofErr w:type="spellStart"/>
      <w:r>
        <w:rPr>
          <w:snapToGrid/>
          <w:szCs w:val="22"/>
          <w:lang w:val="lt-LT"/>
        </w:rPr>
        <w:t>metforminu</w:t>
      </w:r>
      <w:proofErr w:type="spellEnd"/>
      <w:r>
        <w:rPr>
          <w:snapToGrid/>
          <w:szCs w:val="22"/>
          <w:lang w:val="lt-LT"/>
        </w:rPr>
        <w:t xml:space="preserve"> arba be jo (dozė ne mažesnė kaip 1500 mg). Pacientams, vartojusiems mišraus insulino, vidutinė paros dozė buvo 70,9 vieneto. Pacientams, vartojusiems ne mišraus insulino (vidutinės veikimo trukmės arba ilgo veikimo), vidutinė paros dozė buvo 44,3 vieneto. Duomenys apie 73 % pacientų, kurie vartojo ir </w:t>
      </w:r>
      <w:proofErr w:type="spellStart"/>
      <w:r>
        <w:rPr>
          <w:snapToGrid/>
          <w:szCs w:val="22"/>
          <w:lang w:val="lt-LT"/>
        </w:rPr>
        <w:t>metforminą</w:t>
      </w:r>
      <w:proofErr w:type="spellEnd"/>
      <w:r>
        <w:rPr>
          <w:snapToGrid/>
          <w:szCs w:val="22"/>
          <w:lang w:val="lt-LT"/>
        </w:rPr>
        <w:t xml:space="preserve">, pateikti 2 lentelėje. Gydymo insulinu papildymas </w:t>
      </w:r>
      <w:proofErr w:type="spellStart"/>
      <w:r>
        <w:rPr>
          <w:snapToGrid/>
          <w:szCs w:val="22"/>
          <w:lang w:val="lt-LT"/>
        </w:rPr>
        <w:t>sitagliptinu</w:t>
      </w:r>
      <w:proofErr w:type="spellEnd"/>
      <w:r>
        <w:rPr>
          <w:snapToGrid/>
          <w:szCs w:val="22"/>
          <w:lang w:val="lt-LT"/>
        </w:rPr>
        <w:t xml:space="preserve"> lėmė reikšmingą </w:t>
      </w:r>
      <w:proofErr w:type="spellStart"/>
      <w:r>
        <w:rPr>
          <w:snapToGrid/>
          <w:szCs w:val="22"/>
          <w:lang w:val="lt-LT"/>
        </w:rPr>
        <w:t>glikemijos</w:t>
      </w:r>
      <w:proofErr w:type="spellEnd"/>
      <w:r>
        <w:rPr>
          <w:snapToGrid/>
          <w:szCs w:val="22"/>
          <w:lang w:val="lt-LT"/>
        </w:rPr>
        <w:t xml:space="preserve"> rodmenų pagerėjimą. Nė vienoje grupėje reikšmingų kūno svorio pokyčių, palyginti su pradiniu rodmeniu, nebuvo.</w:t>
      </w:r>
    </w:p>
    <w:p w14:paraId="492F60AC" w14:textId="77777777" w:rsidR="00B64E78" w:rsidRDefault="00B64E78">
      <w:pPr>
        <w:widowControl w:val="0"/>
        <w:tabs>
          <w:tab w:val="clear" w:pos="567"/>
        </w:tabs>
        <w:spacing w:line="240" w:lineRule="auto"/>
        <w:rPr>
          <w:snapToGrid/>
          <w:szCs w:val="22"/>
          <w:lang w:val="lt-LT"/>
        </w:rPr>
      </w:pPr>
    </w:p>
    <w:p w14:paraId="399C7756" w14:textId="77777777" w:rsidR="00B64E78" w:rsidRDefault="00DA46A9">
      <w:pPr>
        <w:widowControl w:val="0"/>
        <w:tabs>
          <w:tab w:val="clear" w:pos="567"/>
        </w:tabs>
        <w:autoSpaceDE w:val="0"/>
        <w:autoSpaceDN w:val="0"/>
        <w:adjustRightInd w:val="0"/>
        <w:spacing w:line="240" w:lineRule="auto"/>
        <w:rPr>
          <w:rFonts w:eastAsia="TimesNewRoman,Bold"/>
          <w:b/>
          <w:snapToGrid/>
          <w:szCs w:val="22"/>
          <w:lang w:val="lt-LT"/>
        </w:rPr>
      </w:pPr>
      <w:r>
        <w:rPr>
          <w:rFonts w:eastAsia="TimesNewRoman,Bold"/>
          <w:b/>
          <w:snapToGrid/>
          <w:szCs w:val="22"/>
          <w:lang w:val="lt-LT"/>
        </w:rPr>
        <w:t>2 lentelė. HbA</w:t>
      </w:r>
      <w:r>
        <w:rPr>
          <w:rFonts w:eastAsia="TimesNewRoman,Bold"/>
          <w:b/>
          <w:snapToGrid/>
          <w:szCs w:val="22"/>
          <w:vertAlign w:val="subscript"/>
          <w:lang w:val="lt-LT"/>
        </w:rPr>
        <w:t>1c</w:t>
      </w:r>
      <w:r>
        <w:rPr>
          <w:rFonts w:eastAsia="TimesNewRoman,Bold"/>
          <w:b/>
          <w:snapToGrid/>
          <w:szCs w:val="22"/>
          <w:lang w:val="lt-LT"/>
        </w:rPr>
        <w:t xml:space="preserve"> pokyčiai placebu kontroliuotų kombinuoto gydymo </w:t>
      </w:r>
      <w:proofErr w:type="spellStart"/>
      <w:r>
        <w:rPr>
          <w:rFonts w:eastAsia="TimesNewRoman,Bold"/>
          <w:b/>
          <w:snapToGrid/>
          <w:szCs w:val="22"/>
          <w:lang w:val="lt-LT"/>
        </w:rPr>
        <w:t>sitagliptinu</w:t>
      </w:r>
      <w:proofErr w:type="spellEnd"/>
      <w:r>
        <w:rPr>
          <w:rFonts w:eastAsia="TimesNewRoman,Bold"/>
          <w:b/>
          <w:snapToGrid/>
          <w:szCs w:val="22"/>
          <w:lang w:val="lt-LT"/>
        </w:rPr>
        <w:t xml:space="preserve"> ir </w:t>
      </w:r>
      <w:proofErr w:type="spellStart"/>
      <w:r>
        <w:rPr>
          <w:rFonts w:eastAsia="TimesNewRoman,Bold"/>
          <w:b/>
          <w:snapToGrid/>
          <w:szCs w:val="22"/>
          <w:lang w:val="lt-LT"/>
        </w:rPr>
        <w:t>metforminu</w:t>
      </w:r>
      <w:proofErr w:type="spellEnd"/>
      <w:r>
        <w:rPr>
          <w:rFonts w:eastAsia="TimesNewRoman,Bold"/>
          <w:b/>
          <w:snapToGrid/>
          <w:szCs w:val="22"/>
          <w:lang w:val="lt-LT"/>
        </w:rPr>
        <w:t xml:space="preserve"> tyrimų metu</w:t>
      </w:r>
      <w:r>
        <w:rPr>
          <w:rFonts w:eastAsia="TimesNewRoman"/>
          <w:b/>
          <w:snapToGrid/>
          <w:szCs w:val="22"/>
          <w:lang w:val="lt-LT"/>
        </w:rPr>
        <w:t>*</w:t>
      </w:r>
    </w:p>
    <w:p w14:paraId="429AE859" w14:textId="77777777" w:rsidR="00B64E78" w:rsidRDefault="00B64E78">
      <w:pPr>
        <w:widowControl w:val="0"/>
        <w:tabs>
          <w:tab w:val="clear" w:pos="567"/>
        </w:tabs>
        <w:spacing w:line="240" w:lineRule="auto"/>
        <w:rPr>
          <w:snapToGrid/>
          <w:szCs w:val="22"/>
          <w:lang w:val="lt-LT"/>
        </w:rPr>
      </w:pPr>
    </w:p>
    <w:tbl>
      <w:tblPr>
        <w:tblW w:w="929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133"/>
        <w:gridCol w:w="1996"/>
        <w:gridCol w:w="2082"/>
        <w:gridCol w:w="2082"/>
      </w:tblGrid>
      <w:tr w:rsidR="00B64E78" w14:paraId="3E6C91CE" w14:textId="77777777">
        <w:trPr>
          <w:tblHeader/>
        </w:trPr>
        <w:tc>
          <w:tcPr>
            <w:tcW w:w="1686" w:type="pct"/>
            <w:tcBorders>
              <w:top w:val="outset" w:sz="6" w:space="0" w:color="auto"/>
              <w:left w:val="outset" w:sz="6" w:space="0" w:color="auto"/>
              <w:bottom w:val="outset" w:sz="6" w:space="0" w:color="auto"/>
              <w:right w:val="outset" w:sz="6" w:space="0" w:color="auto"/>
            </w:tcBorders>
            <w:vAlign w:val="center"/>
          </w:tcPr>
          <w:p w14:paraId="4BD06A75" w14:textId="77777777" w:rsidR="00B64E78" w:rsidRDefault="00DA46A9">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Tyrimas</w:t>
            </w:r>
          </w:p>
        </w:tc>
        <w:tc>
          <w:tcPr>
            <w:tcW w:w="1074" w:type="pct"/>
            <w:tcBorders>
              <w:top w:val="outset" w:sz="6" w:space="0" w:color="auto"/>
              <w:left w:val="outset" w:sz="6" w:space="0" w:color="auto"/>
              <w:bottom w:val="outset" w:sz="6" w:space="0" w:color="auto"/>
              <w:right w:val="outset" w:sz="6" w:space="0" w:color="auto"/>
            </w:tcBorders>
            <w:vAlign w:val="center"/>
          </w:tcPr>
          <w:p w14:paraId="1590F953" w14:textId="77777777" w:rsidR="00B64E78" w:rsidRDefault="00DA46A9">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pradinis HbA</w:t>
            </w:r>
            <w:r>
              <w:rPr>
                <w:rFonts w:eastAsia="TimesNewRoman,Bold"/>
                <w:b/>
                <w:snapToGrid/>
                <w:szCs w:val="22"/>
                <w:vertAlign w:val="subscript"/>
                <w:lang w:val="lt-LT"/>
              </w:rPr>
              <w:t>1c</w:t>
            </w:r>
            <w:r>
              <w:rPr>
                <w:rFonts w:eastAsia="TimesNewRoman,Bold"/>
                <w:b/>
                <w:snapToGrid/>
                <w:szCs w:val="22"/>
                <w:lang w:val="lt-LT"/>
              </w:rPr>
              <w:t> rodmuo</w:t>
            </w:r>
            <w:r>
              <w:rPr>
                <w:b/>
                <w:snapToGrid/>
                <w:color w:val="000000"/>
                <w:szCs w:val="22"/>
                <w:lang w:val="lt-LT" w:eastAsia="pl-PL"/>
              </w:rPr>
              <w:t xml:space="preserve"> (%)</w:t>
            </w:r>
          </w:p>
        </w:tc>
        <w:tc>
          <w:tcPr>
            <w:tcW w:w="1120" w:type="pct"/>
            <w:tcBorders>
              <w:top w:val="outset" w:sz="6" w:space="0" w:color="auto"/>
              <w:left w:val="outset" w:sz="6" w:space="0" w:color="auto"/>
              <w:bottom w:val="outset" w:sz="6" w:space="0" w:color="auto"/>
              <w:right w:val="outset" w:sz="6" w:space="0" w:color="auto"/>
            </w:tcBorders>
            <w:vAlign w:val="center"/>
          </w:tcPr>
          <w:p w14:paraId="75B9B16D" w14:textId="77777777" w:rsidR="00B64E78" w:rsidRDefault="00DA46A9">
            <w:pPr>
              <w:widowControl w:val="0"/>
              <w:tabs>
                <w:tab w:val="clear" w:pos="567"/>
              </w:tabs>
              <w:autoSpaceDE w:val="0"/>
              <w:autoSpaceDN w:val="0"/>
              <w:adjustRightInd w:val="0"/>
              <w:spacing w:line="240" w:lineRule="auto"/>
              <w:jc w:val="center"/>
              <w:rPr>
                <w:b/>
                <w:snapToGrid/>
                <w:color w:val="000000"/>
                <w:szCs w:val="22"/>
                <w:lang w:val="lt-LT" w:eastAsia="pl-PL"/>
              </w:rPr>
            </w:pPr>
            <w:r>
              <w:rPr>
                <w:rFonts w:eastAsia="TimesNewRoman,Bold"/>
                <w:b/>
                <w:snapToGrid/>
                <w:szCs w:val="22"/>
                <w:lang w:val="lt-LT"/>
              </w:rPr>
              <w:t>Vidutinis HbA</w:t>
            </w:r>
            <w:r>
              <w:rPr>
                <w:rFonts w:eastAsia="TimesNewRoman,Bold"/>
                <w:b/>
                <w:snapToGrid/>
                <w:szCs w:val="22"/>
                <w:vertAlign w:val="subscript"/>
                <w:lang w:val="lt-LT"/>
              </w:rPr>
              <w:t xml:space="preserve">1c </w:t>
            </w:r>
            <w:r>
              <w:rPr>
                <w:rFonts w:eastAsia="TimesNewRoman,Bold"/>
                <w:b/>
                <w:snapToGrid/>
                <w:szCs w:val="22"/>
                <w:lang w:val="lt-LT"/>
              </w:rPr>
              <w:t>pokytis nuo pradinio rodmens (%)</w:t>
            </w:r>
          </w:p>
        </w:tc>
        <w:tc>
          <w:tcPr>
            <w:tcW w:w="1120" w:type="pct"/>
            <w:tcBorders>
              <w:top w:val="outset" w:sz="6" w:space="0" w:color="auto"/>
              <w:left w:val="outset" w:sz="6" w:space="0" w:color="auto"/>
              <w:bottom w:val="outset" w:sz="6" w:space="0" w:color="auto"/>
              <w:right w:val="outset" w:sz="6" w:space="0" w:color="auto"/>
            </w:tcBorders>
            <w:vAlign w:val="center"/>
          </w:tcPr>
          <w:p w14:paraId="6FD89F5A" w14:textId="77777777" w:rsidR="00B64E78" w:rsidRDefault="00DA46A9">
            <w:pPr>
              <w:widowControl w:val="0"/>
              <w:tabs>
                <w:tab w:val="clear" w:pos="567"/>
              </w:tabs>
              <w:autoSpaceDE w:val="0"/>
              <w:autoSpaceDN w:val="0"/>
              <w:adjustRightInd w:val="0"/>
              <w:spacing w:line="240" w:lineRule="auto"/>
              <w:jc w:val="center"/>
              <w:rPr>
                <w:rFonts w:eastAsia="TimesNewRoman"/>
                <w:b/>
                <w:snapToGrid/>
                <w:szCs w:val="22"/>
                <w:lang w:val="lt-LT"/>
              </w:rPr>
            </w:pPr>
            <w:r>
              <w:rPr>
                <w:rFonts w:eastAsia="TimesNewRoman,Bold"/>
                <w:b/>
                <w:snapToGrid/>
                <w:szCs w:val="22"/>
                <w:lang w:val="lt-LT"/>
              </w:rPr>
              <w:t>Pagal placebą koreguotas vidutinis HbA</w:t>
            </w:r>
            <w:r>
              <w:rPr>
                <w:rFonts w:eastAsia="TimesNewRoman,Bold"/>
                <w:b/>
                <w:snapToGrid/>
                <w:szCs w:val="22"/>
                <w:vertAlign w:val="subscript"/>
                <w:lang w:val="lt-LT"/>
              </w:rPr>
              <w:t>1c</w:t>
            </w:r>
            <w:r>
              <w:rPr>
                <w:rFonts w:eastAsia="TimesNewRoman,Bold"/>
                <w:b/>
                <w:snapToGrid/>
                <w:szCs w:val="22"/>
                <w:lang w:val="lt-LT"/>
              </w:rPr>
              <w:t xml:space="preserve"> rodmens pokytis</w:t>
            </w:r>
            <w:r>
              <w:rPr>
                <w:rFonts w:eastAsia="TimesNewRoman"/>
                <w:b/>
                <w:snapToGrid/>
                <w:szCs w:val="22"/>
                <w:lang w:val="lt-LT"/>
              </w:rPr>
              <w:t xml:space="preserve"> (%)</w:t>
            </w:r>
            <w:r>
              <w:rPr>
                <w:rFonts w:eastAsia="TimesNewRoman"/>
                <w:b/>
                <w:snapToGrid/>
                <w:szCs w:val="22"/>
                <w:vertAlign w:val="superscript"/>
                <w:lang w:val="lt-LT"/>
              </w:rPr>
              <w:t>†</w:t>
            </w:r>
          </w:p>
          <w:p w14:paraId="64662A2B" w14:textId="77777777" w:rsidR="00B64E78" w:rsidRDefault="00DA46A9">
            <w:pPr>
              <w:widowControl w:val="0"/>
              <w:tabs>
                <w:tab w:val="clear" w:pos="567"/>
              </w:tabs>
              <w:spacing w:line="240" w:lineRule="auto"/>
              <w:jc w:val="center"/>
              <w:rPr>
                <w:b/>
                <w:snapToGrid/>
                <w:color w:val="000000"/>
                <w:szCs w:val="22"/>
                <w:lang w:val="lt-LT" w:eastAsia="pl-PL"/>
              </w:rPr>
            </w:pPr>
            <w:r>
              <w:rPr>
                <w:rFonts w:eastAsia="TimesNewRoman,Bold"/>
                <w:b/>
                <w:snapToGrid/>
                <w:szCs w:val="22"/>
                <w:lang w:val="lt-LT"/>
              </w:rPr>
              <w:t>(95% PI)</w:t>
            </w:r>
          </w:p>
        </w:tc>
      </w:tr>
      <w:tr w:rsidR="00B64E78" w14:paraId="1B0C5FA1" w14:textId="77777777">
        <w:tc>
          <w:tcPr>
            <w:tcW w:w="1686" w:type="pct"/>
            <w:tcBorders>
              <w:top w:val="outset" w:sz="6" w:space="0" w:color="auto"/>
              <w:left w:val="outset" w:sz="6" w:space="0" w:color="auto"/>
              <w:bottom w:val="outset" w:sz="6" w:space="0" w:color="auto"/>
              <w:right w:val="outset" w:sz="6" w:space="0" w:color="auto"/>
            </w:tcBorders>
          </w:tcPr>
          <w:p w14:paraId="66227209"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Sitagliptinas 100 mg kartą per parą, juo papildant gydymą </w:t>
            </w:r>
            <w:proofErr w:type="spellStart"/>
            <w:r>
              <w:rPr>
                <w:rFonts w:eastAsia="TimesNewRoman"/>
                <w:snapToGrid/>
                <w:szCs w:val="22"/>
                <w:lang w:val="lt-LT"/>
              </w:rPr>
              <w:t>metforminu</w:t>
            </w:r>
            <w:proofErr w:type="spellEnd"/>
            <w:r>
              <w:rPr>
                <w:snapToGrid/>
                <w:color w:val="000000"/>
                <w:szCs w:val="22"/>
                <w:vertAlign w:val="superscript"/>
                <w:lang w:val="lt-LT" w:eastAsia="pl-PL"/>
              </w:rPr>
              <w:t>||</w:t>
            </w:r>
          </w:p>
          <w:p w14:paraId="527DBA2E"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(n=453)</w:t>
            </w:r>
          </w:p>
        </w:tc>
        <w:tc>
          <w:tcPr>
            <w:tcW w:w="1074" w:type="pct"/>
            <w:tcBorders>
              <w:top w:val="outset" w:sz="6" w:space="0" w:color="auto"/>
              <w:left w:val="outset" w:sz="6" w:space="0" w:color="auto"/>
              <w:bottom w:val="outset" w:sz="6" w:space="0" w:color="auto"/>
              <w:right w:val="outset" w:sz="6" w:space="0" w:color="auto"/>
            </w:tcBorders>
            <w:vAlign w:val="center"/>
          </w:tcPr>
          <w:p w14:paraId="3C5C5AAA"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8,0</w:t>
            </w:r>
          </w:p>
        </w:tc>
        <w:tc>
          <w:tcPr>
            <w:tcW w:w="1120" w:type="pct"/>
            <w:tcBorders>
              <w:top w:val="outset" w:sz="6" w:space="0" w:color="auto"/>
              <w:left w:val="outset" w:sz="6" w:space="0" w:color="auto"/>
              <w:bottom w:val="outset" w:sz="6" w:space="0" w:color="auto"/>
              <w:right w:val="outset" w:sz="6" w:space="0" w:color="auto"/>
            </w:tcBorders>
            <w:vAlign w:val="center"/>
          </w:tcPr>
          <w:p w14:paraId="3E0F1170"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631CBBD2"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605E41BA"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0,8; </w:t>
            </w:r>
            <w:r>
              <w:rPr>
                <w:snapToGrid/>
                <w:color w:val="000000"/>
                <w:szCs w:val="22"/>
                <w:lang w:val="lt-LT" w:eastAsia="pl-PL"/>
              </w:rPr>
              <w:noBreakHyphen/>
              <w:t>0,5)</w:t>
            </w:r>
          </w:p>
        </w:tc>
      </w:tr>
      <w:tr w:rsidR="00B64E78" w14:paraId="76A5C08F" w14:textId="77777777">
        <w:tc>
          <w:tcPr>
            <w:tcW w:w="1686" w:type="pct"/>
            <w:tcBorders>
              <w:top w:val="outset" w:sz="6" w:space="0" w:color="auto"/>
              <w:left w:val="outset" w:sz="6" w:space="0" w:color="auto"/>
              <w:bottom w:val="outset" w:sz="6" w:space="0" w:color="auto"/>
              <w:right w:val="outset" w:sz="6" w:space="0" w:color="auto"/>
            </w:tcBorders>
          </w:tcPr>
          <w:p w14:paraId="44BD5BE9"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Sitagliptinas 100 mg kartą per parą, juo papildant gydymą </w:t>
            </w:r>
            <w:proofErr w:type="spellStart"/>
            <w:r>
              <w:rPr>
                <w:rFonts w:eastAsia="TimesNewRoman"/>
                <w:snapToGrid/>
                <w:szCs w:val="22"/>
                <w:lang w:val="lt-LT"/>
              </w:rPr>
              <w:t>glimepirido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derinį</w:t>
            </w:r>
            <w:r>
              <w:rPr>
                <w:snapToGrid/>
                <w:color w:val="000000"/>
                <w:szCs w:val="22"/>
                <w:vertAlign w:val="superscript"/>
                <w:lang w:val="lt-LT" w:eastAsia="pl-PL"/>
              </w:rPr>
              <w:t>||</w:t>
            </w:r>
          </w:p>
          <w:p w14:paraId="2F7BCADE"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(n=115)</w:t>
            </w:r>
          </w:p>
        </w:tc>
        <w:tc>
          <w:tcPr>
            <w:tcW w:w="1074" w:type="pct"/>
            <w:tcBorders>
              <w:top w:val="outset" w:sz="6" w:space="0" w:color="auto"/>
              <w:left w:val="outset" w:sz="6" w:space="0" w:color="auto"/>
              <w:bottom w:val="outset" w:sz="6" w:space="0" w:color="auto"/>
              <w:right w:val="outset" w:sz="6" w:space="0" w:color="auto"/>
            </w:tcBorders>
            <w:vAlign w:val="center"/>
          </w:tcPr>
          <w:p w14:paraId="3B227C98"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8,3</w:t>
            </w:r>
          </w:p>
        </w:tc>
        <w:tc>
          <w:tcPr>
            <w:tcW w:w="1120" w:type="pct"/>
            <w:tcBorders>
              <w:top w:val="outset" w:sz="6" w:space="0" w:color="auto"/>
              <w:left w:val="outset" w:sz="6" w:space="0" w:color="auto"/>
              <w:bottom w:val="outset" w:sz="6" w:space="0" w:color="auto"/>
              <w:right w:val="outset" w:sz="6" w:space="0" w:color="auto"/>
            </w:tcBorders>
            <w:vAlign w:val="center"/>
          </w:tcPr>
          <w:p w14:paraId="351293CF"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0,6</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24BD35B5"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0,9</w:t>
            </w:r>
            <w:r>
              <w:rPr>
                <w:snapToGrid/>
                <w:color w:val="000000"/>
                <w:szCs w:val="22"/>
                <w:vertAlign w:val="superscript"/>
                <w:lang w:val="lt-LT" w:eastAsia="pl-PL"/>
              </w:rPr>
              <w:t>†,‡</w:t>
            </w:r>
          </w:p>
          <w:p w14:paraId="09C21B80"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1,1; </w:t>
            </w:r>
            <w:r>
              <w:rPr>
                <w:snapToGrid/>
                <w:color w:val="000000"/>
                <w:szCs w:val="22"/>
                <w:lang w:val="lt-LT" w:eastAsia="pl-PL"/>
              </w:rPr>
              <w:noBreakHyphen/>
              <w:t>0,7)</w:t>
            </w:r>
          </w:p>
        </w:tc>
      </w:tr>
      <w:tr w:rsidR="00B64E78" w14:paraId="4BADDDBC" w14:textId="77777777">
        <w:tc>
          <w:tcPr>
            <w:tcW w:w="1686" w:type="pct"/>
            <w:tcBorders>
              <w:top w:val="outset" w:sz="6" w:space="0" w:color="auto"/>
              <w:left w:val="outset" w:sz="6" w:space="0" w:color="auto"/>
              <w:bottom w:val="outset" w:sz="6" w:space="0" w:color="auto"/>
              <w:right w:val="outset" w:sz="6" w:space="0" w:color="auto"/>
            </w:tcBorders>
          </w:tcPr>
          <w:p w14:paraId="4FD91D97"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Sitagliptinas 100 mg kartą per parą, juo papildant gydymą </w:t>
            </w:r>
            <w:proofErr w:type="spellStart"/>
            <w:r>
              <w:rPr>
                <w:rFonts w:eastAsia="TimesNewRoman"/>
                <w:snapToGrid/>
                <w:szCs w:val="22"/>
                <w:lang w:val="lt-LT"/>
              </w:rPr>
              <w:t>pioglitazono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derinį</w:t>
            </w:r>
            <w:r>
              <w:rPr>
                <w:rFonts w:eastAsia="TimesNewRoman"/>
                <w:snapToGrid/>
                <w:szCs w:val="22"/>
                <w:vertAlign w:val="superscript"/>
                <w:lang w:val="lt-LT"/>
              </w:rPr>
              <w:t>¶</w:t>
            </w:r>
          </w:p>
          <w:p w14:paraId="57511C92" w14:textId="77777777" w:rsidR="00B64E78" w:rsidRDefault="00DA46A9">
            <w:pPr>
              <w:widowControl w:val="0"/>
              <w:tabs>
                <w:tab w:val="clear" w:pos="567"/>
              </w:tabs>
              <w:spacing w:line="240" w:lineRule="auto"/>
              <w:rPr>
                <w:snapToGrid/>
                <w:color w:val="000000"/>
                <w:szCs w:val="22"/>
                <w:lang w:val="lt-LT" w:eastAsia="pl-PL"/>
              </w:rPr>
            </w:pPr>
            <w:r>
              <w:rPr>
                <w:snapToGrid/>
                <w:color w:val="000000"/>
                <w:szCs w:val="22"/>
                <w:lang w:val="lt-LT" w:eastAsia="pl-PL"/>
              </w:rPr>
              <w:t>(n=152)</w:t>
            </w:r>
          </w:p>
        </w:tc>
        <w:tc>
          <w:tcPr>
            <w:tcW w:w="1074" w:type="pct"/>
            <w:tcBorders>
              <w:top w:val="outset" w:sz="6" w:space="0" w:color="auto"/>
              <w:left w:val="outset" w:sz="6" w:space="0" w:color="auto"/>
              <w:bottom w:val="outset" w:sz="6" w:space="0" w:color="auto"/>
              <w:right w:val="outset" w:sz="6" w:space="0" w:color="auto"/>
            </w:tcBorders>
            <w:vAlign w:val="center"/>
          </w:tcPr>
          <w:p w14:paraId="5DC1EA66"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734A3154"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1,2</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00536166"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p w14:paraId="19CC3F87"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1,0; </w:t>
            </w:r>
            <w:r>
              <w:rPr>
                <w:snapToGrid/>
                <w:color w:val="000000"/>
                <w:szCs w:val="22"/>
                <w:lang w:val="lt-LT" w:eastAsia="pl-PL"/>
              </w:rPr>
              <w:noBreakHyphen/>
              <w:t>0,5)</w:t>
            </w:r>
          </w:p>
        </w:tc>
      </w:tr>
      <w:tr w:rsidR="00B64E78" w14:paraId="103FC0DF" w14:textId="77777777">
        <w:tc>
          <w:tcPr>
            <w:tcW w:w="1686" w:type="pct"/>
            <w:tcBorders>
              <w:top w:val="outset" w:sz="6" w:space="0" w:color="auto"/>
              <w:left w:val="outset" w:sz="6" w:space="0" w:color="auto"/>
              <w:bottom w:val="outset" w:sz="6" w:space="0" w:color="auto"/>
              <w:right w:val="outset" w:sz="6" w:space="0" w:color="auto"/>
            </w:tcBorders>
          </w:tcPr>
          <w:p w14:paraId="68204646"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rFonts w:eastAsia="TimesNewRoman"/>
                <w:snapToGrid/>
                <w:szCs w:val="22"/>
                <w:lang w:val="lt-LT"/>
              </w:rPr>
              <w:t xml:space="preserve">Sitagliptinas 100 mg kartą per parą, juo papildant gydymą insulino ir </w:t>
            </w:r>
            <w:proofErr w:type="spellStart"/>
            <w:r>
              <w:rPr>
                <w:rFonts w:eastAsia="TimesNewRoman"/>
                <w:snapToGrid/>
                <w:szCs w:val="22"/>
                <w:lang w:val="lt-LT"/>
              </w:rPr>
              <w:t>metformino</w:t>
            </w:r>
            <w:proofErr w:type="spellEnd"/>
            <w:r>
              <w:rPr>
                <w:rFonts w:eastAsia="TimesNewRoman"/>
                <w:snapToGrid/>
                <w:szCs w:val="22"/>
                <w:lang w:val="lt-LT"/>
              </w:rPr>
              <w:t xml:space="preserve"> derinį</w:t>
            </w:r>
            <w:r>
              <w:rPr>
                <w:snapToGrid/>
                <w:color w:val="000000"/>
                <w:szCs w:val="22"/>
                <w:vertAlign w:val="superscript"/>
                <w:lang w:val="lt-LT" w:eastAsia="pl-PL"/>
              </w:rPr>
              <w:t>||</w:t>
            </w:r>
          </w:p>
          <w:p w14:paraId="3934DAB3" w14:textId="77777777" w:rsidR="00B64E78" w:rsidRDefault="00DA46A9">
            <w:pPr>
              <w:widowControl w:val="0"/>
              <w:tabs>
                <w:tab w:val="clear" w:pos="567"/>
              </w:tabs>
              <w:spacing w:line="240" w:lineRule="auto"/>
              <w:rPr>
                <w:snapToGrid/>
                <w:color w:val="000000"/>
                <w:szCs w:val="22"/>
                <w:lang w:val="lt-LT" w:eastAsia="pl-PL"/>
              </w:rPr>
            </w:pPr>
            <w:r>
              <w:rPr>
                <w:snapToGrid/>
                <w:color w:val="000000"/>
                <w:szCs w:val="22"/>
                <w:lang w:val="lt-LT" w:eastAsia="pl-PL"/>
              </w:rPr>
              <w:t>(n=223)</w:t>
            </w:r>
          </w:p>
        </w:tc>
        <w:tc>
          <w:tcPr>
            <w:tcW w:w="1074" w:type="pct"/>
            <w:tcBorders>
              <w:top w:val="outset" w:sz="6" w:space="0" w:color="auto"/>
              <w:left w:val="outset" w:sz="6" w:space="0" w:color="auto"/>
              <w:bottom w:val="outset" w:sz="6" w:space="0" w:color="auto"/>
              <w:right w:val="outset" w:sz="6" w:space="0" w:color="auto"/>
            </w:tcBorders>
            <w:vAlign w:val="center"/>
          </w:tcPr>
          <w:p w14:paraId="3BB6D4C0"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8,7</w:t>
            </w:r>
          </w:p>
        </w:tc>
        <w:tc>
          <w:tcPr>
            <w:tcW w:w="1120" w:type="pct"/>
            <w:tcBorders>
              <w:top w:val="outset" w:sz="6" w:space="0" w:color="auto"/>
              <w:left w:val="outset" w:sz="6" w:space="0" w:color="auto"/>
              <w:bottom w:val="outset" w:sz="6" w:space="0" w:color="auto"/>
              <w:right w:val="outset" w:sz="6" w:space="0" w:color="auto"/>
            </w:tcBorders>
            <w:vAlign w:val="center"/>
          </w:tcPr>
          <w:p w14:paraId="700CADC7"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0,7</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317397F1"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0,5</w:t>
            </w:r>
            <w:r>
              <w:rPr>
                <w:snapToGrid/>
                <w:color w:val="000000"/>
                <w:szCs w:val="22"/>
                <w:vertAlign w:val="superscript"/>
                <w:lang w:val="lt-LT" w:eastAsia="pl-PL"/>
              </w:rPr>
              <w:t>§,‡</w:t>
            </w:r>
          </w:p>
          <w:p w14:paraId="3A98BAB7"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0,7; </w:t>
            </w:r>
            <w:r>
              <w:rPr>
                <w:snapToGrid/>
                <w:color w:val="000000"/>
                <w:szCs w:val="22"/>
                <w:lang w:val="lt-LT" w:eastAsia="pl-PL"/>
              </w:rPr>
              <w:noBreakHyphen/>
              <w:t>0,4)</w:t>
            </w:r>
          </w:p>
        </w:tc>
      </w:tr>
      <w:tr w:rsidR="00B64E78" w14:paraId="5DA40946" w14:textId="77777777">
        <w:tc>
          <w:tcPr>
            <w:tcW w:w="1686" w:type="pct"/>
            <w:tcBorders>
              <w:top w:val="outset" w:sz="6" w:space="0" w:color="auto"/>
              <w:left w:val="outset" w:sz="6" w:space="0" w:color="auto"/>
              <w:bottom w:val="outset" w:sz="6" w:space="0" w:color="auto"/>
              <w:right w:val="outset" w:sz="6" w:space="0" w:color="auto"/>
            </w:tcBorders>
          </w:tcPr>
          <w:p w14:paraId="78D6DBF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65C0777A"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proofErr w:type="spellStart"/>
            <w:r>
              <w:rPr>
                <w:rFonts w:eastAsia="TimesNewRoman"/>
                <w:snapToGrid/>
                <w:szCs w:val="22"/>
                <w:lang w:val="lt-LT"/>
              </w:rPr>
              <w:t>sitagliptinas</w:t>
            </w:r>
            <w:proofErr w:type="spellEnd"/>
            <w:r>
              <w:rPr>
                <w:rFonts w:eastAsia="TimesNewRoman"/>
                <w:snapToGrid/>
                <w:szCs w:val="22"/>
                <w:lang w:val="lt-LT"/>
              </w:rPr>
              <w:t xml:space="preserve"> 50 mg ir </w:t>
            </w:r>
            <w:proofErr w:type="spellStart"/>
            <w:r>
              <w:rPr>
                <w:rFonts w:eastAsia="TimesNewRoman"/>
                <w:snapToGrid/>
                <w:szCs w:val="22"/>
                <w:lang w:val="lt-LT"/>
              </w:rPr>
              <w:t>metforminas</w:t>
            </w:r>
            <w:proofErr w:type="spellEnd"/>
            <w:r>
              <w:rPr>
                <w:rFonts w:eastAsia="TimesNewRoman"/>
                <w:snapToGrid/>
                <w:szCs w:val="22"/>
                <w:lang w:val="lt-LT"/>
              </w:rPr>
              <w:t xml:space="preserve"> 500 mg</w:t>
            </w:r>
          </w:p>
          <w:p w14:paraId="23B475BD" w14:textId="77777777" w:rsidR="00B64E78" w:rsidRDefault="00DA46A9">
            <w:pPr>
              <w:widowControl w:val="0"/>
              <w:tabs>
                <w:tab w:val="clear" w:pos="567"/>
              </w:tabs>
              <w:autoSpaceDE w:val="0"/>
              <w:autoSpaceDN w:val="0"/>
              <w:adjustRightInd w:val="0"/>
              <w:spacing w:line="240" w:lineRule="auto"/>
              <w:rPr>
                <w:snapToGrid/>
                <w:color w:val="000000"/>
                <w:szCs w:val="22"/>
                <w:lang w:val="lt-LT" w:eastAsia="pl-PL"/>
              </w:rPr>
            </w:pPr>
            <w:r>
              <w:rPr>
                <w:snapToGrid/>
                <w:color w:val="000000"/>
                <w:szCs w:val="22"/>
                <w:lang w:val="lt-LT" w:eastAsia="pl-PL"/>
              </w:rPr>
              <w:t>(n=183)</w:t>
            </w:r>
          </w:p>
        </w:tc>
        <w:tc>
          <w:tcPr>
            <w:tcW w:w="1074" w:type="pct"/>
            <w:tcBorders>
              <w:top w:val="outset" w:sz="6" w:space="0" w:color="auto"/>
              <w:left w:val="outset" w:sz="6" w:space="0" w:color="auto"/>
              <w:bottom w:val="outset" w:sz="6" w:space="0" w:color="auto"/>
              <w:right w:val="outset" w:sz="6" w:space="0" w:color="auto"/>
            </w:tcBorders>
            <w:vAlign w:val="center"/>
          </w:tcPr>
          <w:p w14:paraId="5D159525"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2007A334"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1,4</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600CD7E8"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1,6</w:t>
            </w:r>
            <w:r>
              <w:rPr>
                <w:snapToGrid/>
                <w:color w:val="000000"/>
                <w:szCs w:val="22"/>
                <w:vertAlign w:val="superscript"/>
                <w:lang w:val="lt-LT" w:eastAsia="pl-PL"/>
              </w:rPr>
              <w:t>†,‡</w:t>
            </w:r>
          </w:p>
          <w:p w14:paraId="67C3CD33"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1,8; </w:t>
            </w:r>
            <w:r>
              <w:rPr>
                <w:snapToGrid/>
                <w:color w:val="000000"/>
                <w:szCs w:val="22"/>
                <w:lang w:val="lt-LT" w:eastAsia="pl-PL"/>
              </w:rPr>
              <w:noBreakHyphen/>
              <w:t>1,3)</w:t>
            </w:r>
          </w:p>
        </w:tc>
      </w:tr>
      <w:tr w:rsidR="00B64E78" w14:paraId="4B493039" w14:textId="77777777">
        <w:trPr>
          <w:cantSplit/>
        </w:trPr>
        <w:tc>
          <w:tcPr>
            <w:tcW w:w="1686" w:type="pct"/>
            <w:tcBorders>
              <w:top w:val="outset" w:sz="6" w:space="0" w:color="auto"/>
              <w:left w:val="outset" w:sz="6" w:space="0" w:color="auto"/>
              <w:bottom w:val="outset" w:sz="6" w:space="0" w:color="auto"/>
              <w:right w:val="outset" w:sz="6" w:space="0" w:color="auto"/>
            </w:tcBorders>
          </w:tcPr>
          <w:p w14:paraId="7904A3E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Pradinis gydymas (du kartus per parą)</w:t>
            </w:r>
            <w:r>
              <w:rPr>
                <w:snapToGrid/>
                <w:color w:val="000000"/>
                <w:szCs w:val="22"/>
                <w:vertAlign w:val="superscript"/>
                <w:lang w:val="lt-LT" w:eastAsia="pl-PL"/>
              </w:rPr>
              <w:t>||</w:t>
            </w:r>
            <w:r>
              <w:rPr>
                <w:rFonts w:eastAsia="TimesNewRoman"/>
                <w:snapToGrid/>
                <w:szCs w:val="22"/>
                <w:lang w:val="lt-LT"/>
              </w:rPr>
              <w:t>:</w:t>
            </w:r>
          </w:p>
          <w:p w14:paraId="4211078C"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sitagliptinas</w:t>
            </w:r>
            <w:proofErr w:type="spellEnd"/>
            <w:r>
              <w:rPr>
                <w:rFonts w:eastAsia="TimesNewRoman"/>
                <w:snapToGrid/>
                <w:szCs w:val="22"/>
                <w:lang w:val="lt-LT"/>
              </w:rPr>
              <w:t xml:space="preserve"> 50 mg ir </w:t>
            </w:r>
            <w:proofErr w:type="spellStart"/>
            <w:r>
              <w:rPr>
                <w:rFonts w:eastAsia="TimesNewRoman"/>
                <w:snapToGrid/>
                <w:szCs w:val="22"/>
                <w:lang w:val="lt-LT"/>
              </w:rPr>
              <w:t>metforminas</w:t>
            </w:r>
            <w:proofErr w:type="spellEnd"/>
            <w:r>
              <w:rPr>
                <w:rFonts w:eastAsia="TimesNewRoman"/>
                <w:snapToGrid/>
                <w:szCs w:val="22"/>
                <w:lang w:val="lt-LT"/>
              </w:rPr>
              <w:t xml:space="preserve"> 1 000 mg</w:t>
            </w:r>
          </w:p>
          <w:p w14:paraId="225B60E6" w14:textId="77777777" w:rsidR="00B64E78" w:rsidRDefault="00DA46A9">
            <w:pPr>
              <w:widowControl w:val="0"/>
              <w:tabs>
                <w:tab w:val="clear" w:pos="567"/>
              </w:tabs>
              <w:spacing w:line="240" w:lineRule="auto"/>
              <w:rPr>
                <w:snapToGrid/>
                <w:color w:val="000000"/>
                <w:szCs w:val="22"/>
                <w:lang w:val="lt-LT" w:eastAsia="pl-PL"/>
              </w:rPr>
            </w:pPr>
            <w:r>
              <w:rPr>
                <w:snapToGrid/>
                <w:color w:val="000000"/>
                <w:szCs w:val="22"/>
                <w:lang w:val="lt-LT" w:eastAsia="pl-PL"/>
              </w:rPr>
              <w:t>(n=178)</w:t>
            </w:r>
          </w:p>
        </w:tc>
        <w:tc>
          <w:tcPr>
            <w:tcW w:w="1074" w:type="pct"/>
            <w:tcBorders>
              <w:top w:val="outset" w:sz="6" w:space="0" w:color="auto"/>
              <w:left w:val="outset" w:sz="6" w:space="0" w:color="auto"/>
              <w:bottom w:val="outset" w:sz="6" w:space="0" w:color="auto"/>
              <w:right w:val="outset" w:sz="6" w:space="0" w:color="auto"/>
            </w:tcBorders>
            <w:vAlign w:val="center"/>
          </w:tcPr>
          <w:p w14:paraId="26A125A2"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8,8</w:t>
            </w:r>
          </w:p>
        </w:tc>
        <w:tc>
          <w:tcPr>
            <w:tcW w:w="1120" w:type="pct"/>
            <w:tcBorders>
              <w:top w:val="outset" w:sz="6" w:space="0" w:color="auto"/>
              <w:left w:val="outset" w:sz="6" w:space="0" w:color="auto"/>
              <w:bottom w:val="outset" w:sz="6" w:space="0" w:color="auto"/>
              <w:right w:val="outset" w:sz="6" w:space="0" w:color="auto"/>
            </w:tcBorders>
            <w:vAlign w:val="center"/>
          </w:tcPr>
          <w:p w14:paraId="0F2D75AC"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1,9</w:t>
            </w:r>
            <w:r>
              <w:rPr>
                <w:snapToGrid/>
                <w:color w:val="000000"/>
                <w:szCs w:val="22"/>
                <w:vertAlign w:val="superscript"/>
                <w:lang w:val="lt-LT" w:eastAsia="pl-PL"/>
              </w:rPr>
              <w:t>†</w:t>
            </w:r>
          </w:p>
        </w:tc>
        <w:tc>
          <w:tcPr>
            <w:tcW w:w="1120" w:type="pct"/>
            <w:tcBorders>
              <w:top w:val="outset" w:sz="6" w:space="0" w:color="auto"/>
              <w:left w:val="outset" w:sz="6" w:space="0" w:color="auto"/>
              <w:bottom w:val="outset" w:sz="6" w:space="0" w:color="auto"/>
              <w:right w:val="outset" w:sz="6" w:space="0" w:color="auto"/>
            </w:tcBorders>
            <w:vAlign w:val="center"/>
          </w:tcPr>
          <w:p w14:paraId="5E07F557"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noBreakHyphen/>
              <w:t>2,1</w:t>
            </w:r>
            <w:r>
              <w:rPr>
                <w:snapToGrid/>
                <w:color w:val="000000"/>
                <w:szCs w:val="22"/>
                <w:vertAlign w:val="superscript"/>
                <w:lang w:val="lt-LT" w:eastAsia="pl-PL"/>
              </w:rPr>
              <w:t>†,‡</w:t>
            </w:r>
          </w:p>
          <w:p w14:paraId="725BEABC" w14:textId="77777777" w:rsidR="00B64E78" w:rsidRDefault="00DA46A9">
            <w:pPr>
              <w:widowControl w:val="0"/>
              <w:tabs>
                <w:tab w:val="clear" w:pos="567"/>
              </w:tabs>
              <w:spacing w:line="240" w:lineRule="auto"/>
              <w:jc w:val="center"/>
              <w:rPr>
                <w:snapToGrid/>
                <w:color w:val="000000"/>
                <w:szCs w:val="22"/>
                <w:lang w:val="lt-LT" w:eastAsia="pl-PL"/>
              </w:rPr>
            </w:pPr>
            <w:r>
              <w:rPr>
                <w:snapToGrid/>
                <w:color w:val="000000"/>
                <w:szCs w:val="22"/>
                <w:lang w:val="lt-LT" w:eastAsia="pl-PL"/>
              </w:rPr>
              <w:t>(</w:t>
            </w:r>
            <w:r>
              <w:rPr>
                <w:snapToGrid/>
                <w:color w:val="000000"/>
                <w:szCs w:val="22"/>
                <w:lang w:val="lt-LT" w:eastAsia="pl-PL"/>
              </w:rPr>
              <w:noBreakHyphen/>
              <w:t xml:space="preserve">2,3; </w:t>
            </w:r>
            <w:r>
              <w:rPr>
                <w:snapToGrid/>
                <w:color w:val="000000"/>
                <w:szCs w:val="22"/>
                <w:lang w:val="lt-LT" w:eastAsia="pl-PL"/>
              </w:rPr>
              <w:noBreakHyphen/>
              <w:t>1,8)</w:t>
            </w:r>
          </w:p>
        </w:tc>
      </w:tr>
    </w:tbl>
    <w:p w14:paraId="51CBD359" w14:textId="77777777" w:rsidR="00B64E78" w:rsidRDefault="00DA46A9">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lang w:val="lt-LT"/>
        </w:rPr>
        <w:t>*</w:t>
      </w:r>
      <w:r>
        <w:rPr>
          <w:rFonts w:eastAsia="TimesNewRoman"/>
          <w:snapToGrid/>
          <w:sz w:val="18"/>
          <w:szCs w:val="18"/>
          <w:lang w:val="lt-LT"/>
        </w:rPr>
        <w:tab/>
        <w:t xml:space="preserve">Visi gydyti pacientai (ketinimo gydyti (angl. </w:t>
      </w:r>
      <w:proofErr w:type="spellStart"/>
      <w:r>
        <w:rPr>
          <w:rFonts w:eastAsia="TimesNewRoman,Italic"/>
          <w:i/>
          <w:iCs/>
          <w:snapToGrid/>
          <w:sz w:val="18"/>
          <w:szCs w:val="18"/>
          <w:lang w:val="lt-LT"/>
        </w:rPr>
        <w:t>intention</w:t>
      </w:r>
      <w:proofErr w:type="spellEnd"/>
      <w:r>
        <w:rPr>
          <w:rFonts w:eastAsia="TimesNewRoman,Italic"/>
          <w:i/>
          <w:iCs/>
          <w:snapToGrid/>
          <w:sz w:val="18"/>
          <w:szCs w:val="18"/>
          <w:lang w:val="lt-LT"/>
        </w:rPr>
        <w:noBreakHyphen/>
        <w:t>to</w:t>
      </w:r>
      <w:r>
        <w:rPr>
          <w:rFonts w:eastAsia="TimesNewRoman,Italic"/>
          <w:i/>
          <w:iCs/>
          <w:snapToGrid/>
          <w:sz w:val="18"/>
          <w:szCs w:val="18"/>
          <w:lang w:val="lt-LT"/>
        </w:rPr>
        <w:noBreakHyphen/>
      </w:r>
      <w:proofErr w:type="spellStart"/>
      <w:r>
        <w:rPr>
          <w:rFonts w:eastAsia="TimesNewRoman,Italic"/>
          <w:i/>
          <w:iCs/>
          <w:snapToGrid/>
          <w:sz w:val="18"/>
          <w:szCs w:val="18"/>
          <w:lang w:val="lt-LT"/>
        </w:rPr>
        <w:t>treat</w:t>
      </w:r>
      <w:proofErr w:type="spellEnd"/>
      <w:r>
        <w:rPr>
          <w:rFonts w:eastAsia="TimesNewRoman,Italic"/>
          <w:iCs/>
          <w:snapToGrid/>
          <w:sz w:val="18"/>
          <w:szCs w:val="18"/>
          <w:lang w:val="lt-LT"/>
        </w:rPr>
        <w:t>)</w:t>
      </w:r>
      <w:r>
        <w:rPr>
          <w:rFonts w:eastAsia="TimesNewRoman,Italic"/>
          <w:i/>
          <w:iCs/>
          <w:snapToGrid/>
          <w:sz w:val="18"/>
          <w:szCs w:val="18"/>
          <w:lang w:val="lt-LT"/>
        </w:rPr>
        <w:t xml:space="preserve"> </w:t>
      </w:r>
      <w:r>
        <w:rPr>
          <w:rFonts w:eastAsia="TimesNewRoman"/>
          <w:snapToGrid/>
          <w:sz w:val="18"/>
          <w:szCs w:val="18"/>
          <w:lang w:val="lt-LT"/>
        </w:rPr>
        <w:t>analizė).</w:t>
      </w:r>
    </w:p>
    <w:p w14:paraId="1377D29A" w14:textId="77777777" w:rsidR="00B64E78" w:rsidRDefault="00DA46A9">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 xml:space="preserve">Mažiausiųjų kvadratų vidurkiai, koreguoti pagal ankstesnį </w:t>
      </w:r>
      <w:proofErr w:type="spellStart"/>
      <w:r>
        <w:rPr>
          <w:rFonts w:eastAsia="TimesNewRoman"/>
          <w:snapToGrid/>
          <w:sz w:val="18"/>
          <w:szCs w:val="18"/>
          <w:lang w:val="lt-LT"/>
        </w:rPr>
        <w:t>glikemiją</w:t>
      </w:r>
      <w:proofErr w:type="spellEnd"/>
      <w:r>
        <w:rPr>
          <w:rFonts w:eastAsia="TimesNewRoman"/>
          <w:snapToGrid/>
          <w:sz w:val="18"/>
          <w:szCs w:val="18"/>
          <w:lang w:val="lt-LT"/>
        </w:rPr>
        <w:t xml:space="preserve"> mažinantį gydymą ir pradinį rodmenį.</w:t>
      </w:r>
    </w:p>
    <w:p w14:paraId="76D72C8B" w14:textId="77777777" w:rsidR="00B64E78" w:rsidRDefault="00DA46A9">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p &lt; 0,001 palyginti su placebu arba placebu ir kombinuotu gydymu.</w:t>
      </w:r>
    </w:p>
    <w:p w14:paraId="37D4BF17" w14:textId="77777777" w:rsidR="00B64E78" w:rsidRDefault="00DA46A9">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snapToGrid/>
          <w:color w:val="000000"/>
          <w:sz w:val="18"/>
          <w:szCs w:val="18"/>
          <w:vertAlign w:val="superscript"/>
          <w:lang w:val="lt-LT" w:eastAsia="pl-PL"/>
        </w:rPr>
        <w:t>||</w:t>
      </w:r>
      <w:r>
        <w:rPr>
          <w:rFonts w:eastAsia="TimesNewRoman"/>
          <w:snapToGrid/>
          <w:sz w:val="18"/>
          <w:szCs w:val="18"/>
          <w:lang w:val="lt-LT"/>
        </w:rPr>
        <w:tab/>
        <w:t>HbA</w:t>
      </w:r>
      <w:r>
        <w:rPr>
          <w:rFonts w:eastAsia="TimesNewRoman"/>
          <w:snapToGrid/>
          <w:sz w:val="18"/>
          <w:szCs w:val="18"/>
          <w:vertAlign w:val="subscript"/>
          <w:lang w:val="lt-LT"/>
        </w:rPr>
        <w:t>1c</w:t>
      </w:r>
      <w:r>
        <w:rPr>
          <w:rFonts w:eastAsia="TimesNewRoman"/>
          <w:snapToGrid/>
          <w:sz w:val="18"/>
          <w:szCs w:val="18"/>
          <w:lang w:val="lt-LT"/>
        </w:rPr>
        <w:t> (%) 24</w:t>
      </w:r>
      <w:r>
        <w:rPr>
          <w:rFonts w:eastAsia="TimesNewRoman"/>
          <w:snapToGrid/>
          <w:sz w:val="18"/>
          <w:szCs w:val="18"/>
          <w:lang w:val="lt-LT"/>
        </w:rPr>
        <w:noBreakHyphen/>
        <w:t>ąją savaitę.</w:t>
      </w:r>
    </w:p>
    <w:p w14:paraId="77B3B316" w14:textId="77777777" w:rsidR="00B64E78" w:rsidRDefault="00DA46A9">
      <w:pPr>
        <w:widowControl w:val="0"/>
        <w:tabs>
          <w:tab w:val="clear" w:pos="567"/>
          <w:tab w:val="left" w:pos="170"/>
        </w:tabs>
        <w:autoSpaceDE w:val="0"/>
        <w:autoSpaceDN w:val="0"/>
        <w:adjustRightInd w:val="0"/>
        <w:spacing w:line="240" w:lineRule="auto"/>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HbA</w:t>
      </w:r>
      <w:r>
        <w:rPr>
          <w:rFonts w:eastAsia="TimesNewRoman"/>
          <w:snapToGrid/>
          <w:sz w:val="18"/>
          <w:szCs w:val="18"/>
          <w:vertAlign w:val="subscript"/>
          <w:lang w:val="lt-LT"/>
        </w:rPr>
        <w:t>1c</w:t>
      </w:r>
      <w:r>
        <w:rPr>
          <w:rFonts w:eastAsia="TimesNewRoman"/>
          <w:snapToGrid/>
          <w:sz w:val="18"/>
          <w:szCs w:val="18"/>
          <w:lang w:val="lt-LT"/>
        </w:rPr>
        <w:t> (%) 26</w:t>
      </w:r>
      <w:r>
        <w:rPr>
          <w:rFonts w:eastAsia="TimesNewRoman"/>
          <w:snapToGrid/>
          <w:sz w:val="18"/>
          <w:szCs w:val="18"/>
          <w:lang w:val="lt-LT"/>
        </w:rPr>
        <w:noBreakHyphen/>
        <w:t>ąją savaitę.</w:t>
      </w:r>
    </w:p>
    <w:p w14:paraId="43EA5C1C" w14:textId="77777777" w:rsidR="00B64E78" w:rsidRDefault="00DA46A9">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snapToGrid/>
          <w:color w:val="000000"/>
          <w:sz w:val="18"/>
          <w:szCs w:val="18"/>
          <w:vertAlign w:val="superscript"/>
          <w:lang w:val="lt-LT" w:eastAsia="pl-PL"/>
        </w:rPr>
        <w:t>¶</w:t>
      </w:r>
      <w:r>
        <w:rPr>
          <w:rFonts w:eastAsia="MathExt"/>
          <w:snapToGrid/>
          <w:sz w:val="18"/>
          <w:szCs w:val="18"/>
          <w:lang w:val="lt-LT"/>
        </w:rPr>
        <w:tab/>
      </w:r>
      <w:r>
        <w:rPr>
          <w:rFonts w:eastAsia="TimesNewRoman"/>
          <w:snapToGrid/>
          <w:sz w:val="18"/>
          <w:szCs w:val="18"/>
          <w:lang w:val="lt-LT"/>
        </w:rPr>
        <w:t>Mažiausiųjų kvadratų vidurkiai, koreguoti pagal insulino vartojimą 1</w:t>
      </w:r>
      <w:r>
        <w:rPr>
          <w:rFonts w:eastAsia="TimesNewRoman"/>
          <w:sz w:val="18"/>
          <w:szCs w:val="18"/>
          <w:lang w:val="lt-LT"/>
        </w:rPr>
        <w:t> </w:t>
      </w:r>
      <w:r>
        <w:rPr>
          <w:rFonts w:eastAsia="TimesNewRoman"/>
          <w:snapToGrid/>
          <w:sz w:val="18"/>
          <w:szCs w:val="18"/>
          <w:lang w:val="lt-LT"/>
        </w:rPr>
        <w:t>vizito metu (mišrus insulinas, lyginant su nemišriu [vidutinės veikimo trukmės arba ilgo veikimo insulinas]) ir pradinį rodmenį.</w:t>
      </w:r>
    </w:p>
    <w:p w14:paraId="10DC8799" w14:textId="77777777" w:rsidR="00B64E78" w:rsidRDefault="00B64E78">
      <w:pPr>
        <w:widowControl w:val="0"/>
        <w:tabs>
          <w:tab w:val="clear" w:pos="567"/>
        </w:tabs>
        <w:spacing w:line="240" w:lineRule="auto"/>
        <w:rPr>
          <w:snapToGrid/>
          <w:szCs w:val="22"/>
          <w:lang w:val="lt-LT"/>
        </w:rPr>
      </w:pPr>
    </w:p>
    <w:p w14:paraId="774AC1DC"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52 savaičių trukmės tyrimu, kurio metu buvo lygintas kartą per parą vartotos 100 mg </w:t>
      </w:r>
      <w:proofErr w:type="spellStart"/>
      <w:r>
        <w:rPr>
          <w:rFonts w:eastAsia="TimesNewRoman"/>
          <w:snapToGrid/>
          <w:szCs w:val="22"/>
          <w:lang w:val="lt-LT"/>
        </w:rPr>
        <w:t>sitagliptino</w:t>
      </w:r>
      <w:proofErr w:type="spellEnd"/>
      <w:r>
        <w:rPr>
          <w:rFonts w:eastAsia="TimesNewRoman"/>
          <w:snapToGrid/>
          <w:szCs w:val="22"/>
          <w:lang w:val="lt-LT"/>
        </w:rPr>
        <w:t xml:space="preserve"> dozės arba </w:t>
      </w:r>
      <w:proofErr w:type="spellStart"/>
      <w:r>
        <w:rPr>
          <w:rFonts w:eastAsia="TimesNewRoman"/>
          <w:snapToGrid/>
          <w:szCs w:val="22"/>
          <w:lang w:val="lt-LT"/>
        </w:rPr>
        <w:t>glipizido</w:t>
      </w:r>
      <w:proofErr w:type="spellEnd"/>
      <w:r>
        <w:rPr>
          <w:rFonts w:eastAsia="TimesNewRoman"/>
          <w:snapToGrid/>
          <w:szCs w:val="22"/>
          <w:lang w:val="lt-LT"/>
        </w:rPr>
        <w:t xml:space="preserve"> (</w:t>
      </w:r>
      <w:proofErr w:type="spellStart"/>
      <w:r>
        <w:rPr>
          <w:rFonts w:eastAsia="TimesNewRoman"/>
          <w:snapToGrid/>
          <w:szCs w:val="22"/>
          <w:lang w:val="lt-LT"/>
        </w:rPr>
        <w:t>sulfonilkarbamido</w:t>
      </w:r>
      <w:proofErr w:type="spellEnd"/>
      <w:r>
        <w:rPr>
          <w:rFonts w:eastAsia="TimesNewRoman"/>
          <w:snapToGrid/>
          <w:szCs w:val="22"/>
          <w:lang w:val="lt-LT"/>
        </w:rPr>
        <w:t xml:space="preserve">) veiksmingumas ir saugumas (papildant esamą gydymą) pacientams, kuriems gydymo vien </w:t>
      </w:r>
      <w:proofErr w:type="spellStart"/>
      <w:r>
        <w:rPr>
          <w:rFonts w:eastAsia="TimesNewRoman"/>
          <w:snapToGrid/>
          <w:szCs w:val="22"/>
          <w:lang w:val="lt-LT"/>
        </w:rPr>
        <w:t>metforminu</w:t>
      </w:r>
      <w:proofErr w:type="spellEnd"/>
      <w:r>
        <w:rPr>
          <w:rFonts w:eastAsia="TimesNewRoman"/>
          <w:snapToGrid/>
          <w:szCs w:val="22"/>
          <w:lang w:val="lt-LT"/>
        </w:rPr>
        <w:t xml:space="preserve"> metu </w:t>
      </w:r>
      <w:proofErr w:type="spellStart"/>
      <w:r>
        <w:rPr>
          <w:rFonts w:eastAsia="TimesNewRoman"/>
          <w:snapToGrid/>
          <w:szCs w:val="22"/>
          <w:lang w:val="lt-LT"/>
        </w:rPr>
        <w:t>glikemija</w:t>
      </w:r>
      <w:proofErr w:type="spellEnd"/>
      <w:r>
        <w:rPr>
          <w:rFonts w:eastAsia="TimesNewRoman"/>
          <w:snapToGrid/>
          <w:szCs w:val="22"/>
          <w:lang w:val="lt-LT"/>
        </w:rPr>
        <w:t xml:space="preserve"> buvo kontroliuojama nepakankamai, nustatyta, kad </w:t>
      </w:r>
      <w:proofErr w:type="spellStart"/>
      <w:r>
        <w:rPr>
          <w:rFonts w:eastAsia="TimesNewRoman"/>
          <w:snapToGrid/>
          <w:szCs w:val="22"/>
          <w:lang w:val="lt-LT"/>
        </w:rPr>
        <w:t>sitagliptinas</w:t>
      </w:r>
      <w:proofErr w:type="spellEnd"/>
      <w:r>
        <w:rPr>
          <w:rFonts w:eastAsia="TimesNewRoman"/>
          <w:snapToGrid/>
          <w:szCs w:val="22"/>
          <w:lang w:val="lt-LT"/>
        </w:rPr>
        <w:t xml:space="preserve"> HbA</w:t>
      </w:r>
      <w:r>
        <w:rPr>
          <w:rFonts w:eastAsia="TimesNewRoman"/>
          <w:snapToGrid/>
          <w:szCs w:val="22"/>
          <w:vertAlign w:val="subscript"/>
          <w:lang w:val="lt-LT"/>
        </w:rPr>
        <w:t>1c</w:t>
      </w:r>
      <w:r>
        <w:rPr>
          <w:rFonts w:eastAsia="TimesNewRoman"/>
          <w:snapToGrid/>
          <w:szCs w:val="22"/>
          <w:lang w:val="lt-LT"/>
        </w:rPr>
        <w:t xml:space="preserve"> kiekį sumažino panašiai kaip </w:t>
      </w:r>
      <w:proofErr w:type="spellStart"/>
      <w:r>
        <w:rPr>
          <w:rFonts w:eastAsia="TimesNewRoman"/>
          <w:snapToGrid/>
          <w:szCs w:val="22"/>
          <w:lang w:val="lt-LT"/>
        </w:rPr>
        <w:t>glipizidas</w:t>
      </w:r>
      <w:proofErr w:type="spellEnd"/>
      <w:r>
        <w:rPr>
          <w:rFonts w:eastAsia="TimesNewRoman"/>
          <w:snapToGrid/>
          <w:szCs w:val="22"/>
          <w:lang w:val="lt-LT"/>
        </w:rPr>
        <w:t xml:space="preserve"> (-0,7 % vidutinis pokytis nuo pradinio </w:t>
      </w:r>
      <w:r>
        <w:rPr>
          <w:rFonts w:eastAsia="TimesNewRoman"/>
          <w:snapToGrid/>
          <w:szCs w:val="22"/>
          <w:lang w:val="lt-LT"/>
        </w:rPr>
        <w:lastRenderedPageBreak/>
        <w:t>52 savaitę, kai pradinis HbA</w:t>
      </w:r>
      <w:r>
        <w:rPr>
          <w:rFonts w:eastAsia="TimesNewRoman"/>
          <w:snapToGrid/>
          <w:szCs w:val="22"/>
          <w:vertAlign w:val="subscript"/>
          <w:lang w:val="lt-LT"/>
        </w:rPr>
        <w:t>1c</w:t>
      </w:r>
      <w:r>
        <w:rPr>
          <w:rFonts w:eastAsia="TimesNewRoman"/>
          <w:snapToGrid/>
          <w:szCs w:val="22"/>
          <w:lang w:val="lt-LT"/>
        </w:rPr>
        <w:t xml:space="preserve"> buvo maždaug 7,5 % abiejose grupėse). Vidutinė </w:t>
      </w:r>
      <w:proofErr w:type="spellStart"/>
      <w:r>
        <w:rPr>
          <w:rFonts w:eastAsia="TimesNewRoman"/>
          <w:snapToGrid/>
          <w:szCs w:val="22"/>
          <w:lang w:val="lt-LT"/>
        </w:rPr>
        <w:t>glipizido</w:t>
      </w:r>
      <w:proofErr w:type="spellEnd"/>
      <w:r>
        <w:rPr>
          <w:rFonts w:eastAsia="TimesNewRoman"/>
          <w:snapToGrid/>
          <w:szCs w:val="22"/>
          <w:lang w:val="lt-LT"/>
        </w:rPr>
        <w:t xml:space="preserve"> paros dozė, kurią vartojo lyginamosios grupės tiriamieji, buvo 10 mg, ir maždaug 40 % pacientų tyrimo laikotarpiu reikėjo ≤ 5 mg </w:t>
      </w:r>
      <w:proofErr w:type="spellStart"/>
      <w:r>
        <w:rPr>
          <w:rFonts w:eastAsia="TimesNewRoman"/>
          <w:snapToGrid/>
          <w:szCs w:val="22"/>
          <w:lang w:val="lt-LT"/>
        </w:rPr>
        <w:t>glipizido</w:t>
      </w:r>
      <w:proofErr w:type="spellEnd"/>
      <w:r>
        <w:rPr>
          <w:rFonts w:eastAsia="TimesNewRoman"/>
          <w:snapToGrid/>
          <w:szCs w:val="22"/>
          <w:lang w:val="lt-LT"/>
        </w:rPr>
        <w:t xml:space="preserve"> paros dozės. Vis dėlto dėl nepakankamo veiksmingumo gydymą </w:t>
      </w:r>
      <w:proofErr w:type="spellStart"/>
      <w:r>
        <w:rPr>
          <w:rFonts w:eastAsia="TimesNewRoman"/>
          <w:snapToGrid/>
          <w:szCs w:val="22"/>
          <w:lang w:val="lt-LT"/>
        </w:rPr>
        <w:t>sitagliptino</w:t>
      </w:r>
      <w:proofErr w:type="spellEnd"/>
      <w:r>
        <w:rPr>
          <w:rFonts w:eastAsia="TimesNewRoman"/>
          <w:snapToGrid/>
          <w:szCs w:val="22"/>
          <w:lang w:val="lt-LT"/>
        </w:rPr>
        <w:t xml:space="preserve"> grupėje nutraukė daugiau pacientų negu gydymą </w:t>
      </w:r>
      <w:proofErr w:type="spellStart"/>
      <w:r>
        <w:rPr>
          <w:rFonts w:eastAsia="TimesNewRoman"/>
          <w:snapToGrid/>
          <w:szCs w:val="22"/>
          <w:lang w:val="lt-LT"/>
        </w:rPr>
        <w:t>glipizido</w:t>
      </w:r>
      <w:proofErr w:type="spellEnd"/>
      <w:r>
        <w:rPr>
          <w:rFonts w:eastAsia="TimesNewRoman"/>
          <w:snapToGrid/>
          <w:szCs w:val="22"/>
          <w:lang w:val="lt-LT"/>
        </w:rPr>
        <w:t xml:space="preserve"> grupėje. </w:t>
      </w:r>
      <w:proofErr w:type="spellStart"/>
      <w:r>
        <w:rPr>
          <w:rFonts w:eastAsia="TimesNewRoman"/>
          <w:snapToGrid/>
          <w:szCs w:val="22"/>
          <w:lang w:val="lt-LT"/>
        </w:rPr>
        <w:t>Sitagliptino</w:t>
      </w:r>
      <w:proofErr w:type="spellEnd"/>
      <w:r>
        <w:rPr>
          <w:rFonts w:eastAsia="TimesNewRoman"/>
          <w:snapToGrid/>
          <w:szCs w:val="22"/>
          <w:lang w:val="lt-LT"/>
        </w:rPr>
        <w:t xml:space="preserve"> vartojusių pacientų vidutinis kūno svoris, palyginti su pradiniu, tyrimo metu reikšmingai sumažėjo (-1,5 kg), o </w:t>
      </w:r>
      <w:proofErr w:type="spellStart"/>
      <w:r>
        <w:rPr>
          <w:rFonts w:eastAsia="TimesNewRoman"/>
          <w:snapToGrid/>
          <w:szCs w:val="22"/>
          <w:lang w:val="lt-LT"/>
        </w:rPr>
        <w:t>glipizido</w:t>
      </w:r>
      <w:proofErr w:type="spellEnd"/>
      <w:r>
        <w:rPr>
          <w:rFonts w:eastAsia="TimesNewRoman"/>
          <w:snapToGrid/>
          <w:szCs w:val="22"/>
          <w:lang w:val="lt-LT"/>
        </w:rPr>
        <w:t xml:space="preserve"> vartojusių pacientų – reikšmingai padidėjo (+1,1 kg). Šio tyrimo metu insulino gamybos ir išskyrimo veiksmingumo žymuo, t. y. </w:t>
      </w:r>
      <w:proofErr w:type="spellStart"/>
      <w:r>
        <w:rPr>
          <w:rFonts w:eastAsia="TimesNewRoman"/>
          <w:snapToGrid/>
          <w:szCs w:val="22"/>
          <w:lang w:val="lt-LT"/>
        </w:rPr>
        <w:t>proinsulino</w:t>
      </w:r>
      <w:proofErr w:type="spellEnd"/>
      <w:r>
        <w:rPr>
          <w:rFonts w:eastAsia="TimesNewRoman"/>
          <w:snapToGrid/>
          <w:szCs w:val="22"/>
          <w:lang w:val="lt-LT"/>
        </w:rPr>
        <w:t xml:space="preserve"> ir insulino santykis, gydant </w:t>
      </w:r>
      <w:proofErr w:type="spellStart"/>
      <w:r>
        <w:rPr>
          <w:rFonts w:eastAsia="TimesNewRoman"/>
          <w:snapToGrid/>
          <w:szCs w:val="22"/>
          <w:lang w:val="lt-LT"/>
        </w:rPr>
        <w:t>sitagliptinu</w:t>
      </w:r>
      <w:proofErr w:type="spellEnd"/>
      <w:r>
        <w:rPr>
          <w:rFonts w:eastAsia="TimesNewRoman"/>
          <w:snapToGrid/>
          <w:szCs w:val="22"/>
          <w:lang w:val="lt-LT"/>
        </w:rPr>
        <w:t xml:space="preserve"> pagerėjo, o gydant </w:t>
      </w:r>
      <w:proofErr w:type="spellStart"/>
      <w:r>
        <w:rPr>
          <w:rFonts w:eastAsia="TimesNewRoman"/>
          <w:snapToGrid/>
          <w:szCs w:val="22"/>
          <w:lang w:val="lt-LT"/>
        </w:rPr>
        <w:t>glipizidu</w:t>
      </w:r>
      <w:proofErr w:type="spellEnd"/>
      <w:r>
        <w:rPr>
          <w:rFonts w:eastAsia="TimesNewRoman"/>
          <w:snapToGrid/>
          <w:szCs w:val="22"/>
          <w:lang w:val="lt-LT"/>
        </w:rPr>
        <w:t xml:space="preserve"> pablogėjo. </w:t>
      </w:r>
      <w:proofErr w:type="spellStart"/>
      <w:r>
        <w:rPr>
          <w:rFonts w:eastAsia="TimesNewRoman"/>
          <w:snapToGrid/>
          <w:szCs w:val="22"/>
          <w:lang w:val="lt-LT"/>
        </w:rPr>
        <w:t>Sitagliptino</w:t>
      </w:r>
      <w:proofErr w:type="spellEnd"/>
      <w:r>
        <w:rPr>
          <w:rFonts w:eastAsia="TimesNewRoman"/>
          <w:snapToGrid/>
          <w:szCs w:val="22"/>
          <w:lang w:val="lt-LT"/>
        </w:rPr>
        <w:t xml:space="preserve"> grupėje hipoglikemijos dažnis (4,9 %) buvo reikšmingai mažesnis negu </w:t>
      </w:r>
      <w:proofErr w:type="spellStart"/>
      <w:r>
        <w:rPr>
          <w:rFonts w:eastAsia="TimesNewRoman"/>
          <w:snapToGrid/>
          <w:szCs w:val="22"/>
          <w:lang w:val="lt-LT"/>
        </w:rPr>
        <w:t>glipizido</w:t>
      </w:r>
      <w:proofErr w:type="spellEnd"/>
      <w:r>
        <w:rPr>
          <w:rFonts w:eastAsia="TimesNewRoman"/>
          <w:snapToGrid/>
          <w:szCs w:val="22"/>
          <w:lang w:val="lt-LT"/>
        </w:rPr>
        <w:t xml:space="preserve"> grupėje (32,0 %).</w:t>
      </w:r>
    </w:p>
    <w:p w14:paraId="09FC077E"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4B815E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24 savaičių trukmės placebu kontroliuotas klinikinis tyrimas, kuriame dalyvavo 660 pacientų, buvo skirtas įvertinti insulino poreikį mažinantį </w:t>
      </w:r>
      <w:proofErr w:type="spellStart"/>
      <w:r>
        <w:rPr>
          <w:rFonts w:eastAsia="TimesNewRoman"/>
          <w:snapToGrid/>
          <w:szCs w:val="22"/>
          <w:lang w:val="lt-LT"/>
        </w:rPr>
        <w:t>sitagliptino</w:t>
      </w:r>
      <w:proofErr w:type="spellEnd"/>
      <w:r>
        <w:rPr>
          <w:rFonts w:eastAsia="TimesNewRoman"/>
          <w:snapToGrid/>
          <w:szCs w:val="22"/>
          <w:lang w:val="lt-LT"/>
        </w:rPr>
        <w:t xml:space="preserve"> (100 mg kartą per parą) veiksmingumą ir saugumą, juo papildant gydymą insulinu </w:t>
      </w:r>
      <w:proofErr w:type="spellStart"/>
      <w:r>
        <w:rPr>
          <w:rFonts w:eastAsia="TimesNewRoman"/>
          <w:snapToGrid/>
          <w:szCs w:val="22"/>
          <w:lang w:val="lt-LT"/>
        </w:rPr>
        <w:t>glarginu</w:t>
      </w:r>
      <w:proofErr w:type="spellEnd"/>
      <w:r>
        <w:rPr>
          <w:rFonts w:eastAsia="TimesNewRoman"/>
          <w:snapToGrid/>
          <w:szCs w:val="22"/>
          <w:lang w:val="lt-LT"/>
        </w:rPr>
        <w:t xml:space="preserve"> kartu su </w:t>
      </w:r>
      <w:proofErr w:type="spellStart"/>
      <w:r>
        <w:rPr>
          <w:rFonts w:eastAsia="TimesNewRoman"/>
          <w:snapToGrid/>
          <w:szCs w:val="22"/>
          <w:lang w:val="lt-LT"/>
        </w:rPr>
        <w:t>metforminu</w:t>
      </w:r>
      <w:proofErr w:type="spellEnd"/>
      <w:r>
        <w:rPr>
          <w:rFonts w:eastAsia="TimesNewRoman"/>
          <w:snapToGrid/>
          <w:szCs w:val="22"/>
          <w:lang w:val="lt-LT"/>
        </w:rPr>
        <w:t xml:space="preserve"> (dozė ne mažesnė kaip 1500 mg) arba be jo insulino terapijos intensyvinimo laikotarpiu. </w:t>
      </w:r>
      <w:proofErr w:type="spellStart"/>
      <w:r>
        <w:rPr>
          <w:rFonts w:eastAsia="TimesNewRoman"/>
          <w:snapToGrid/>
          <w:szCs w:val="22"/>
          <w:lang w:val="lt-LT"/>
        </w:rPr>
        <w:t>Metformino</w:t>
      </w:r>
      <w:proofErr w:type="spellEnd"/>
      <w:r>
        <w:rPr>
          <w:rFonts w:eastAsia="TimesNewRoman"/>
          <w:snapToGrid/>
          <w:szCs w:val="22"/>
          <w:lang w:val="lt-LT"/>
        </w:rPr>
        <w:t xml:space="preserve"> vartojusių pacientų pradinis HbA</w:t>
      </w:r>
      <w:r>
        <w:rPr>
          <w:rFonts w:eastAsia="TimesNewRoman"/>
          <w:snapToGrid/>
          <w:szCs w:val="22"/>
          <w:vertAlign w:val="subscript"/>
          <w:lang w:val="lt-LT"/>
        </w:rPr>
        <w:t>1c</w:t>
      </w:r>
      <w:r>
        <w:rPr>
          <w:rFonts w:eastAsia="TimesNewRoman"/>
          <w:snapToGrid/>
          <w:szCs w:val="22"/>
          <w:lang w:val="lt-LT"/>
        </w:rPr>
        <w:t xml:space="preserve"> buvo 8,74 %, insulino paros dozė – 37 TV. Pacientams buvo nurodyta nusistatyti insulino </w:t>
      </w:r>
      <w:proofErr w:type="spellStart"/>
      <w:r>
        <w:rPr>
          <w:rFonts w:eastAsia="TimesNewRoman"/>
          <w:snapToGrid/>
          <w:szCs w:val="22"/>
          <w:lang w:val="lt-LT"/>
        </w:rPr>
        <w:t>glargino</w:t>
      </w:r>
      <w:proofErr w:type="spellEnd"/>
      <w:r>
        <w:rPr>
          <w:rFonts w:eastAsia="TimesNewRoman"/>
          <w:snapToGrid/>
          <w:szCs w:val="22"/>
          <w:lang w:val="lt-LT"/>
        </w:rPr>
        <w:t xml:space="preserve"> dozę remiantis gliukozės kiekiu nevalgius kraujyje iš įdurto piršto. Vartojant </w:t>
      </w:r>
      <w:proofErr w:type="spellStart"/>
      <w:r>
        <w:rPr>
          <w:rFonts w:eastAsia="TimesNewRoman"/>
          <w:snapToGrid/>
          <w:szCs w:val="22"/>
          <w:lang w:val="lt-LT"/>
        </w:rPr>
        <w:t>metformino</w:t>
      </w:r>
      <w:proofErr w:type="spellEnd"/>
      <w:r>
        <w:rPr>
          <w:rFonts w:eastAsia="TimesNewRoman"/>
          <w:snapToGrid/>
          <w:szCs w:val="22"/>
          <w:lang w:val="lt-LT"/>
        </w:rPr>
        <w:t xml:space="preserve">, 24 savaitę </w:t>
      </w:r>
      <w:proofErr w:type="spellStart"/>
      <w:r>
        <w:rPr>
          <w:rFonts w:eastAsia="TimesNewRoman"/>
          <w:snapToGrid/>
          <w:szCs w:val="22"/>
          <w:lang w:val="lt-LT"/>
        </w:rPr>
        <w:t>sitagliptinu</w:t>
      </w:r>
      <w:proofErr w:type="spellEnd"/>
      <w:r>
        <w:rPr>
          <w:rFonts w:eastAsia="TimesNewRoman"/>
          <w:snapToGrid/>
          <w:szCs w:val="22"/>
          <w:lang w:val="lt-LT"/>
        </w:rPr>
        <w:t xml:space="preserve"> gydytiems pacientams kasdienės insulino paros dozės padidėjimas buvo 19 TV, o placebu gydytiems pacientams – 24 TV. HbA</w:t>
      </w:r>
      <w:r>
        <w:rPr>
          <w:rFonts w:eastAsia="TimesNewRoman"/>
          <w:snapToGrid/>
          <w:szCs w:val="22"/>
          <w:vertAlign w:val="subscript"/>
          <w:lang w:val="lt-LT"/>
        </w:rPr>
        <w:t>1c</w:t>
      </w:r>
      <w:r>
        <w:rPr>
          <w:rFonts w:eastAsia="TimesNewRoman"/>
          <w:snapToGrid/>
          <w:szCs w:val="22"/>
          <w:lang w:val="lt-LT"/>
        </w:rPr>
        <w:t xml:space="preserve"> sumažėjimas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ir insulino deriniu gydytiems pacientams buvo </w:t>
      </w:r>
      <w:r>
        <w:rPr>
          <w:rFonts w:eastAsia="TimesNewRoman"/>
          <w:snapToGrid/>
          <w:szCs w:val="22"/>
          <w:lang w:val="lt-LT"/>
        </w:rPr>
        <w:noBreakHyphen/>
        <w:t xml:space="preserve">1,35 %, palyginti su </w:t>
      </w:r>
      <w:r>
        <w:rPr>
          <w:rFonts w:eastAsia="TimesNewRoman"/>
          <w:snapToGrid/>
          <w:szCs w:val="22"/>
          <w:lang w:val="lt-LT"/>
        </w:rPr>
        <w:noBreakHyphen/>
        <w:t xml:space="preserve">0,90 % placebo, </w:t>
      </w:r>
      <w:proofErr w:type="spellStart"/>
      <w:r>
        <w:rPr>
          <w:rFonts w:eastAsia="TimesNewRoman"/>
          <w:snapToGrid/>
          <w:szCs w:val="22"/>
          <w:lang w:val="lt-LT"/>
        </w:rPr>
        <w:t>metformino</w:t>
      </w:r>
      <w:proofErr w:type="spellEnd"/>
      <w:r>
        <w:rPr>
          <w:rFonts w:eastAsia="TimesNewRoman"/>
          <w:snapToGrid/>
          <w:szCs w:val="22"/>
          <w:lang w:val="lt-LT"/>
        </w:rPr>
        <w:t xml:space="preserve"> ir insulino derinio vartojusiems pacientams, skirtumas buvo </w:t>
      </w:r>
      <w:r>
        <w:rPr>
          <w:rFonts w:eastAsia="TimesNewRoman"/>
          <w:snapToGrid/>
          <w:szCs w:val="22"/>
          <w:lang w:val="lt-LT"/>
        </w:rPr>
        <w:noBreakHyphen/>
        <w:t xml:space="preserve">0,45 % (95 % PI: </w:t>
      </w:r>
      <w:r>
        <w:rPr>
          <w:rFonts w:eastAsia="TimesNewRoman"/>
          <w:snapToGrid/>
          <w:szCs w:val="22"/>
          <w:lang w:val="lt-LT"/>
        </w:rPr>
        <w:noBreakHyphen/>
        <w:t xml:space="preserve">0,62; </w:t>
      </w:r>
      <w:r>
        <w:rPr>
          <w:rFonts w:eastAsia="TimesNewRoman"/>
          <w:snapToGrid/>
          <w:szCs w:val="22"/>
          <w:lang w:val="lt-LT"/>
        </w:rPr>
        <w:noBreakHyphen/>
        <w:t xml:space="preserve">0,29). Hipoglikemijos dažnis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ir insulino deriniu gydytiems pacientams buvo 24,9 %, o placebo, </w:t>
      </w:r>
      <w:proofErr w:type="spellStart"/>
      <w:r>
        <w:rPr>
          <w:rFonts w:eastAsia="TimesNewRoman"/>
          <w:snapToGrid/>
          <w:szCs w:val="22"/>
          <w:lang w:val="lt-LT"/>
        </w:rPr>
        <w:t>metformino</w:t>
      </w:r>
      <w:proofErr w:type="spellEnd"/>
      <w:r>
        <w:rPr>
          <w:rFonts w:eastAsia="TimesNewRoman"/>
          <w:snapToGrid/>
          <w:szCs w:val="22"/>
          <w:lang w:val="lt-LT"/>
        </w:rPr>
        <w:t xml:space="preserve"> ir insulino derinio vartojusiems pacientams – 37,8 %. Šį skirtumą iš esmės lėmė didesnė procentinė dalis placebo grupės pacientų, patyrusių 3 ar daugiau hipoglikemijos epizodų, (9,1 %, palyginti su 19,8 %). Sunkios hipoglikemijos dažnis nesiskyrė.</w:t>
      </w:r>
    </w:p>
    <w:p w14:paraId="452D5AC5"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8000A36" w14:textId="77777777" w:rsidR="00B64E78" w:rsidRDefault="00DA46A9">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Metforminas</w:t>
      </w:r>
    </w:p>
    <w:p w14:paraId="3494A0DF"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Veikimo mechanizmas</w:t>
      </w:r>
    </w:p>
    <w:p w14:paraId="44EC4A2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Metforminas yra </w:t>
      </w:r>
      <w:proofErr w:type="spellStart"/>
      <w:r>
        <w:rPr>
          <w:rFonts w:eastAsia="TimesNewRoman"/>
          <w:snapToGrid/>
          <w:szCs w:val="22"/>
          <w:lang w:val="lt-LT"/>
        </w:rPr>
        <w:t>glikemiją</w:t>
      </w:r>
      <w:proofErr w:type="spellEnd"/>
      <w:r>
        <w:rPr>
          <w:rFonts w:eastAsia="TimesNewRoman"/>
          <w:snapToGrid/>
          <w:szCs w:val="22"/>
          <w:lang w:val="lt-LT"/>
        </w:rPr>
        <w:t xml:space="preserve"> mažinantį poveikį sukeliantis </w:t>
      </w:r>
      <w:proofErr w:type="spellStart"/>
      <w:r>
        <w:rPr>
          <w:rFonts w:eastAsia="TimesNewRoman"/>
          <w:snapToGrid/>
          <w:szCs w:val="22"/>
          <w:lang w:val="lt-LT"/>
        </w:rPr>
        <w:t>biguanidų</w:t>
      </w:r>
      <w:proofErr w:type="spellEnd"/>
      <w:r>
        <w:rPr>
          <w:rFonts w:eastAsia="TimesNewRoman"/>
          <w:snapToGrid/>
          <w:szCs w:val="22"/>
          <w:lang w:val="lt-LT"/>
        </w:rPr>
        <w:t xml:space="preserve"> grupės vaistinis preparatas, kuris mažina tiek bazinį, tiek po valgio išmatuotą gliukozės kiekį kraujo plazmoje. Jis nestimuliuoja insulino sekrecijos ir todėl nesukelia hipoglikemijos.</w:t>
      </w:r>
    </w:p>
    <w:p w14:paraId="37E67EE8"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09F6CF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Metforminas gali veikti trimis mechanizmais:</w:t>
      </w:r>
    </w:p>
    <w:p w14:paraId="1F23FBAD"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mažinti gliukozės susidarymą kepenyse, slopindamas </w:t>
      </w:r>
      <w:proofErr w:type="spellStart"/>
      <w:r>
        <w:rPr>
          <w:rFonts w:eastAsia="TimesNewRoman"/>
          <w:snapToGrid/>
          <w:szCs w:val="22"/>
          <w:lang w:val="lt-LT"/>
        </w:rPr>
        <w:t>gliukoneogenezę</w:t>
      </w:r>
      <w:proofErr w:type="spellEnd"/>
      <w:r>
        <w:rPr>
          <w:rFonts w:eastAsia="TimesNewRoman"/>
          <w:snapToGrid/>
          <w:szCs w:val="22"/>
          <w:lang w:val="lt-LT"/>
        </w:rPr>
        <w:t xml:space="preserve"> ir </w:t>
      </w:r>
      <w:proofErr w:type="spellStart"/>
      <w:r>
        <w:rPr>
          <w:rFonts w:eastAsia="TimesNewRoman"/>
          <w:snapToGrid/>
          <w:szCs w:val="22"/>
          <w:lang w:val="lt-LT"/>
        </w:rPr>
        <w:t>glikogenolizę</w:t>
      </w:r>
      <w:proofErr w:type="spellEnd"/>
      <w:r>
        <w:rPr>
          <w:rFonts w:eastAsia="TimesNewRoman"/>
          <w:snapToGrid/>
          <w:szCs w:val="22"/>
          <w:lang w:val="lt-LT"/>
        </w:rPr>
        <w:t>;</w:t>
      </w:r>
    </w:p>
    <w:p w14:paraId="427ADB50"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šiek tiek didindamas jautrumą insulinui raumenyse, gerinti periferinį gliukozės įsisavinimą ir suvartojimą;</w:t>
      </w:r>
    </w:p>
    <w:p w14:paraId="7E3C6021"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lėtinti gliukozės absorbciją žarnyne.</w:t>
      </w:r>
    </w:p>
    <w:p w14:paraId="6D40CA8C"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69A740B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Metforminas, veikdamas glikogeno </w:t>
      </w:r>
      <w:proofErr w:type="spellStart"/>
      <w:r>
        <w:rPr>
          <w:rFonts w:eastAsia="TimesNewRoman"/>
          <w:snapToGrid/>
          <w:szCs w:val="22"/>
          <w:lang w:val="lt-LT"/>
        </w:rPr>
        <w:t>sintazę</w:t>
      </w:r>
      <w:proofErr w:type="spellEnd"/>
      <w:r>
        <w:rPr>
          <w:rFonts w:eastAsia="TimesNewRoman"/>
          <w:snapToGrid/>
          <w:szCs w:val="22"/>
          <w:lang w:val="lt-LT"/>
        </w:rPr>
        <w:t>, skatina glikogeno sintezę ląstelėse. Metforminas didina specifinių tipų gliukozės pernašos mechanizmų (GLUT-1 ir GLUT-4) ląstelės membranoje pajėgumą.</w:t>
      </w:r>
    </w:p>
    <w:p w14:paraId="506B7172"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4EBF3A3"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Klinikinis veiksmingumas ir saugumas</w:t>
      </w:r>
    </w:p>
    <w:p w14:paraId="2AEE8A2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Nepriklausomai nuo poveikio </w:t>
      </w:r>
      <w:proofErr w:type="spellStart"/>
      <w:r>
        <w:rPr>
          <w:rFonts w:eastAsia="TimesNewRoman"/>
          <w:snapToGrid/>
          <w:szCs w:val="22"/>
          <w:lang w:val="lt-LT"/>
        </w:rPr>
        <w:t>glikemijai</w:t>
      </w:r>
      <w:proofErr w:type="spellEnd"/>
      <w:r>
        <w:rPr>
          <w:rFonts w:eastAsia="TimesNewRoman"/>
          <w:snapToGrid/>
          <w:szCs w:val="22"/>
          <w:lang w:val="lt-LT"/>
        </w:rPr>
        <w:t xml:space="preserve">, </w:t>
      </w:r>
      <w:proofErr w:type="spellStart"/>
      <w:r>
        <w:rPr>
          <w:rFonts w:eastAsia="TimesNewRoman"/>
          <w:snapToGrid/>
          <w:szCs w:val="22"/>
          <w:lang w:val="lt-LT"/>
        </w:rPr>
        <w:t>metforminas</w:t>
      </w:r>
      <w:proofErr w:type="spellEnd"/>
      <w:r>
        <w:rPr>
          <w:rFonts w:eastAsia="TimesNewRoman"/>
          <w:snapToGrid/>
          <w:szCs w:val="22"/>
          <w:lang w:val="lt-LT"/>
        </w:rPr>
        <w:t xml:space="preserve"> pasižymi palankiu poveikiu žmogaus organizmo lipidų apykaitai. Tai įrodyta kontroliuotų vidutinės trukmės ir ilgalaikių klinikinių tyrimų metu vartojant gydomąsias </w:t>
      </w:r>
      <w:proofErr w:type="spellStart"/>
      <w:r>
        <w:rPr>
          <w:rFonts w:eastAsia="TimesNewRoman"/>
          <w:snapToGrid/>
          <w:szCs w:val="22"/>
          <w:lang w:val="lt-LT"/>
        </w:rPr>
        <w:t>metformino</w:t>
      </w:r>
      <w:proofErr w:type="spellEnd"/>
      <w:r>
        <w:rPr>
          <w:rFonts w:eastAsia="TimesNewRoman"/>
          <w:snapToGrid/>
          <w:szCs w:val="22"/>
          <w:lang w:val="lt-LT"/>
        </w:rPr>
        <w:t xml:space="preserve"> dozes: </w:t>
      </w:r>
      <w:proofErr w:type="spellStart"/>
      <w:r>
        <w:rPr>
          <w:rFonts w:eastAsia="TimesNewRoman"/>
          <w:snapToGrid/>
          <w:szCs w:val="22"/>
          <w:lang w:val="lt-LT"/>
        </w:rPr>
        <w:t>metforminas</w:t>
      </w:r>
      <w:proofErr w:type="spellEnd"/>
      <w:r>
        <w:rPr>
          <w:rFonts w:eastAsia="TimesNewRoman"/>
          <w:snapToGrid/>
          <w:szCs w:val="22"/>
          <w:lang w:val="lt-LT"/>
        </w:rPr>
        <w:t xml:space="preserve"> mažina bendrojo cholesterolio, mažo tankio lipoproteinų cholesterolio (</w:t>
      </w:r>
      <w:proofErr w:type="spellStart"/>
      <w:r>
        <w:rPr>
          <w:rFonts w:eastAsia="TimesNewRoman"/>
          <w:snapToGrid/>
          <w:szCs w:val="22"/>
          <w:lang w:val="lt-LT"/>
        </w:rPr>
        <w:t>MTLc</w:t>
      </w:r>
      <w:proofErr w:type="spellEnd"/>
      <w:r>
        <w:rPr>
          <w:rFonts w:eastAsia="TimesNewRoman"/>
          <w:snapToGrid/>
          <w:szCs w:val="22"/>
          <w:lang w:val="lt-LT"/>
        </w:rPr>
        <w:t>) ir trigliceridų kiekį kraujyje.</w:t>
      </w:r>
    </w:p>
    <w:p w14:paraId="1C37077C"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0626E98E"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Perspektyvinio atsitiktinių imčių (UKPDS) tyrimo metu nustatyta ilgalaikė intensyvios </w:t>
      </w:r>
      <w:proofErr w:type="spellStart"/>
      <w:r>
        <w:rPr>
          <w:rFonts w:eastAsia="TimesNewRoman"/>
          <w:snapToGrid/>
          <w:szCs w:val="22"/>
          <w:lang w:val="lt-LT"/>
        </w:rPr>
        <w:t>glikemijos</w:t>
      </w:r>
      <w:proofErr w:type="spellEnd"/>
      <w:r>
        <w:rPr>
          <w:rFonts w:eastAsia="TimesNewRoman"/>
          <w:snapToGrid/>
          <w:szCs w:val="22"/>
          <w:lang w:val="lt-LT"/>
        </w:rPr>
        <w:t xml:space="preserve"> kontrolės nauda sergant 2 tipo cukriniu diabetu. Antsvorį turinčių pacientų, kurių gydymas vien dieta nebuvo veiksmingas, gydymo </w:t>
      </w:r>
      <w:proofErr w:type="spellStart"/>
      <w:r>
        <w:rPr>
          <w:rFonts w:eastAsia="TimesNewRoman"/>
          <w:snapToGrid/>
          <w:szCs w:val="22"/>
          <w:lang w:val="lt-LT"/>
        </w:rPr>
        <w:t>metforminu</w:t>
      </w:r>
      <w:proofErr w:type="spellEnd"/>
      <w:r>
        <w:rPr>
          <w:rFonts w:eastAsia="TimesNewRoman"/>
          <w:snapToGrid/>
          <w:szCs w:val="22"/>
          <w:lang w:val="lt-LT"/>
        </w:rPr>
        <w:t xml:space="preserve"> rezultatų analizė parodė, kad:</w:t>
      </w:r>
    </w:p>
    <w:p w14:paraId="1DDAA755"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metformino</w:t>
      </w:r>
      <w:proofErr w:type="spellEnd"/>
      <w:r>
        <w:rPr>
          <w:rFonts w:eastAsia="TimesNewRoman"/>
          <w:snapToGrid/>
          <w:szCs w:val="22"/>
          <w:lang w:val="lt-LT"/>
        </w:rPr>
        <w:t xml:space="preserve"> vartojusių pacientų grupėje reikšmingai sumažėjo absoliuti bet kokių su cukriniu diabetu susijusių komplikacijų pasireiškimo rizika (29,8 atvejo/1 000 paciento metų), palyginti su vien dieta gydytų pacientų grupe (43,3 atvejo/1 000 paciento metų, p=0,0023) ir palyginti su kombinuotojo gydymo kartu su </w:t>
      </w:r>
      <w:proofErr w:type="spellStart"/>
      <w:r>
        <w:rPr>
          <w:rFonts w:eastAsia="TimesNewRoman"/>
          <w:snapToGrid/>
          <w:szCs w:val="22"/>
          <w:lang w:val="lt-LT"/>
        </w:rPr>
        <w:t>sulfonilkarbamidu</w:t>
      </w:r>
      <w:proofErr w:type="spellEnd"/>
      <w:r>
        <w:rPr>
          <w:rFonts w:eastAsia="TimesNewRoman"/>
          <w:snapToGrid/>
          <w:szCs w:val="22"/>
          <w:lang w:val="lt-LT"/>
        </w:rPr>
        <w:t xml:space="preserve"> ir insulino </w:t>
      </w:r>
      <w:proofErr w:type="spellStart"/>
      <w:r>
        <w:rPr>
          <w:rFonts w:eastAsia="TimesNewRoman"/>
          <w:snapToGrid/>
          <w:szCs w:val="22"/>
          <w:lang w:val="lt-LT"/>
        </w:rPr>
        <w:t>monoterapijos</w:t>
      </w:r>
      <w:proofErr w:type="spellEnd"/>
      <w:r>
        <w:rPr>
          <w:rFonts w:eastAsia="TimesNewRoman"/>
          <w:snapToGrid/>
          <w:szCs w:val="22"/>
          <w:lang w:val="lt-LT"/>
        </w:rPr>
        <w:t xml:space="preserve"> grupėmis (40,1 atvejo/1 000 paciento metų, p=0,0034);</w:t>
      </w:r>
    </w:p>
    <w:p w14:paraId="68522AF0"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reikšmingai sumažėjo su cukriniu diabetu susijusio mirštamumo absoliuti rizika: 7,5 atvejo/1 000 paciento metų </w:t>
      </w:r>
      <w:proofErr w:type="spellStart"/>
      <w:r>
        <w:rPr>
          <w:rFonts w:eastAsia="TimesNewRoman"/>
          <w:snapToGrid/>
          <w:szCs w:val="22"/>
          <w:lang w:val="lt-LT"/>
        </w:rPr>
        <w:t>metformino</w:t>
      </w:r>
      <w:proofErr w:type="spellEnd"/>
      <w:r>
        <w:rPr>
          <w:rFonts w:eastAsia="TimesNewRoman"/>
          <w:snapToGrid/>
          <w:szCs w:val="22"/>
          <w:lang w:val="lt-LT"/>
        </w:rPr>
        <w:t xml:space="preserve"> vartojusių pacientų grupėje, palyginti su 12,7 atvejo/1 000 paciento metų vien dieta gydytų pacientų grupėje (p=0,017);</w:t>
      </w:r>
    </w:p>
    <w:p w14:paraId="334628D5"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lastRenderedPageBreak/>
        <w:t xml:space="preserve">reikšmingai sumažėjo bendrojo mirtingumo absoliuti rizika: 13,5 atvejo/1 000 paciento metų </w:t>
      </w:r>
      <w:proofErr w:type="spellStart"/>
      <w:r>
        <w:rPr>
          <w:rFonts w:eastAsia="TimesNewRoman"/>
          <w:snapToGrid/>
          <w:szCs w:val="22"/>
          <w:lang w:val="lt-LT"/>
        </w:rPr>
        <w:t>metformino</w:t>
      </w:r>
      <w:proofErr w:type="spellEnd"/>
      <w:r>
        <w:rPr>
          <w:rFonts w:eastAsia="TimesNewRoman"/>
          <w:snapToGrid/>
          <w:szCs w:val="22"/>
          <w:lang w:val="lt-LT"/>
        </w:rPr>
        <w:t xml:space="preserve"> vartojusių pacientų grupėje, palyginti su 20,6 atvejo/1 000 paciento metų vien dieta gydytų pacientų grupėje (p=0,011) ir 18,9 atvejo/1 000 paciento metų kombinuotojo gydymo kartu su </w:t>
      </w:r>
      <w:proofErr w:type="spellStart"/>
      <w:r>
        <w:rPr>
          <w:rFonts w:eastAsia="TimesNewRoman"/>
          <w:snapToGrid/>
          <w:szCs w:val="22"/>
          <w:lang w:val="lt-LT"/>
        </w:rPr>
        <w:t>sulfonilkarbamidu</w:t>
      </w:r>
      <w:proofErr w:type="spellEnd"/>
      <w:r>
        <w:rPr>
          <w:rFonts w:eastAsia="TimesNewRoman"/>
          <w:snapToGrid/>
          <w:szCs w:val="22"/>
          <w:lang w:val="lt-LT"/>
        </w:rPr>
        <w:t xml:space="preserve"> ir insulino </w:t>
      </w:r>
      <w:proofErr w:type="spellStart"/>
      <w:r>
        <w:rPr>
          <w:rFonts w:eastAsia="TimesNewRoman"/>
          <w:snapToGrid/>
          <w:szCs w:val="22"/>
          <w:lang w:val="lt-LT"/>
        </w:rPr>
        <w:t>monoterapijos</w:t>
      </w:r>
      <w:proofErr w:type="spellEnd"/>
      <w:r>
        <w:rPr>
          <w:rFonts w:eastAsia="TimesNewRoman"/>
          <w:snapToGrid/>
          <w:szCs w:val="22"/>
          <w:lang w:val="lt-LT"/>
        </w:rPr>
        <w:t xml:space="preserve"> grupėse (p=0,021);</w:t>
      </w:r>
    </w:p>
    <w:p w14:paraId="25993F95" w14:textId="77777777" w:rsidR="00B64E78" w:rsidRDefault="00DA46A9">
      <w:pPr>
        <w:widowControl w:val="0"/>
        <w:numPr>
          <w:ilvl w:val="0"/>
          <w:numId w:val="1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reikšmingai sumažėjo absoliuti miokardo infarkto rizika: 11 atvejų/1 000 paciento metų </w:t>
      </w:r>
      <w:proofErr w:type="spellStart"/>
      <w:r>
        <w:rPr>
          <w:rFonts w:eastAsia="TimesNewRoman"/>
          <w:snapToGrid/>
          <w:szCs w:val="22"/>
          <w:lang w:val="lt-LT"/>
        </w:rPr>
        <w:t>metformino</w:t>
      </w:r>
      <w:proofErr w:type="spellEnd"/>
      <w:r>
        <w:rPr>
          <w:rFonts w:eastAsia="TimesNewRoman"/>
          <w:snapToGrid/>
          <w:szCs w:val="22"/>
          <w:lang w:val="lt-LT"/>
        </w:rPr>
        <w:t xml:space="preserve"> vartojusių pacientų grupėje, palyginti su 18 atvejų/1 000 paciento metų vien dieta gydytų pacientų grupėje (p=0,01).</w:t>
      </w:r>
    </w:p>
    <w:p w14:paraId="0329068F"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7ED3DBE" w14:textId="77777777" w:rsidR="00B64E78" w:rsidRDefault="00DA46A9">
      <w:pPr>
        <w:widowControl w:val="0"/>
        <w:tabs>
          <w:tab w:val="clear" w:pos="567"/>
        </w:tabs>
        <w:autoSpaceDE w:val="0"/>
        <w:autoSpaceDN w:val="0"/>
        <w:adjustRightInd w:val="0"/>
        <w:spacing w:line="240" w:lineRule="auto"/>
        <w:rPr>
          <w:snapToGrid/>
          <w:szCs w:val="22"/>
          <w:lang w:val="lt-LT"/>
        </w:rPr>
      </w:pPr>
      <w:r>
        <w:rPr>
          <w:rFonts w:eastAsia="TimesNewRoman"/>
          <w:snapToGrid/>
          <w:szCs w:val="22"/>
          <w:lang w:val="lt-LT"/>
        </w:rPr>
        <w:t>Atsitiktinių imčių klinikinio tyrimo TECOS ketinimo gydyti populiaciją sudarė 14 671 pacientas, kurių HbA</w:t>
      </w:r>
      <w:r>
        <w:rPr>
          <w:rFonts w:eastAsia="TimesNewRoman"/>
          <w:snapToGrid/>
          <w:szCs w:val="22"/>
          <w:vertAlign w:val="subscript"/>
          <w:lang w:val="lt-LT"/>
        </w:rPr>
        <w:t>1c</w:t>
      </w:r>
      <w:r>
        <w:rPr>
          <w:rFonts w:eastAsia="TimesNewRoman"/>
          <w:snapToGrid/>
          <w:szCs w:val="22"/>
          <w:lang w:val="lt-LT"/>
        </w:rPr>
        <w:t xml:space="preserve"> buvo nuo ≥ 6,5 % iki 8,0 %, tiriamieji sirgo patvirtinta kardiovaskuline (KV) liga ir buvo gydyti </w:t>
      </w:r>
      <w:proofErr w:type="spellStart"/>
      <w:r>
        <w:rPr>
          <w:rFonts w:eastAsia="TimesNewRoman"/>
          <w:snapToGrid/>
          <w:szCs w:val="22"/>
          <w:lang w:val="lt-LT"/>
        </w:rPr>
        <w:t>sitagliptino</w:t>
      </w:r>
      <w:proofErr w:type="spellEnd"/>
      <w:r>
        <w:rPr>
          <w:rFonts w:eastAsia="TimesNewRoman"/>
          <w:snapToGrid/>
          <w:szCs w:val="22"/>
          <w:lang w:val="lt-LT"/>
        </w:rPr>
        <w:t xml:space="preserve"> (n=7 332) 100 mg paros doze (arba 50 mg paros doze, jeigu pradinis </w:t>
      </w:r>
      <w:proofErr w:type="spellStart"/>
      <w:r>
        <w:rPr>
          <w:rFonts w:eastAsia="TimesNewRoman"/>
          <w:snapToGrid/>
          <w:szCs w:val="22"/>
          <w:lang w:val="lt-LT"/>
        </w:rPr>
        <w:t>aGFG</w:t>
      </w:r>
      <w:proofErr w:type="spellEnd"/>
      <w:r>
        <w:rPr>
          <w:rFonts w:eastAsia="TimesNewRoman"/>
          <w:snapToGrid/>
          <w:szCs w:val="22"/>
          <w:lang w:val="lt-LT"/>
        </w:rPr>
        <w:t xml:space="preserve"> buvo ≥ 30 ir &lt; 50 ml/min./1,73 m</w:t>
      </w:r>
      <w:r>
        <w:rPr>
          <w:rFonts w:eastAsia="TimesNewRoman"/>
          <w:snapToGrid/>
          <w:szCs w:val="22"/>
          <w:vertAlign w:val="superscript"/>
          <w:lang w:val="lt-LT"/>
        </w:rPr>
        <w:t>2</w:t>
      </w:r>
      <w:r>
        <w:rPr>
          <w:rFonts w:eastAsia="TimesNewRoman"/>
          <w:snapToGrid/>
          <w:szCs w:val="22"/>
          <w:lang w:val="lt-LT"/>
        </w:rPr>
        <w:t>) arba placebu (n=7 339) .</w:t>
      </w:r>
      <w:r>
        <w:rPr>
          <w:rFonts w:eastAsia="TimesNewRoman,Italic"/>
          <w:snapToGrid/>
          <w:szCs w:val="22"/>
          <w:lang w:val="lt-LT"/>
        </w:rPr>
        <w:t xml:space="preserve"> Ir </w:t>
      </w:r>
      <w:proofErr w:type="spellStart"/>
      <w:r>
        <w:rPr>
          <w:rFonts w:eastAsia="TimesNewRoman,Italic"/>
          <w:snapToGrid/>
          <w:szCs w:val="22"/>
          <w:lang w:val="lt-LT"/>
        </w:rPr>
        <w:t>sitgaliptinas</w:t>
      </w:r>
      <w:proofErr w:type="spellEnd"/>
      <w:r>
        <w:rPr>
          <w:rFonts w:eastAsia="TimesNewRoman,Italic"/>
          <w:snapToGrid/>
          <w:szCs w:val="22"/>
          <w:lang w:val="lt-LT"/>
        </w:rPr>
        <w:t>, ir placebas buvo skirti papildomai kartu su įprasta priežiūra, vykdyta pagal regioninius HbA</w:t>
      </w:r>
      <w:r>
        <w:rPr>
          <w:rFonts w:eastAsia="TimesNewRoman,Italic"/>
          <w:snapToGrid/>
          <w:szCs w:val="22"/>
          <w:vertAlign w:val="subscript"/>
          <w:lang w:val="lt-LT"/>
        </w:rPr>
        <w:t>1c</w:t>
      </w:r>
      <w:r>
        <w:rPr>
          <w:rFonts w:eastAsia="TimesNewRoman,Italic"/>
          <w:snapToGrid/>
          <w:szCs w:val="22"/>
          <w:lang w:val="lt-LT"/>
        </w:rPr>
        <w:t xml:space="preserve"> ir kardiovaskulinių ligų rizikos veiksnių kontrolės standartus</w:t>
      </w:r>
      <w:r>
        <w:rPr>
          <w:rFonts w:eastAsia="TimesNewRoman"/>
          <w:snapToGrid/>
          <w:szCs w:val="22"/>
          <w:lang w:val="lt-LT"/>
        </w:rPr>
        <w:t xml:space="preserve">. Pacientai, kurių </w:t>
      </w:r>
      <w:proofErr w:type="spellStart"/>
      <w:r>
        <w:rPr>
          <w:rFonts w:eastAsia="TimesNewRoman"/>
          <w:snapToGrid/>
          <w:szCs w:val="22"/>
          <w:lang w:val="lt-LT"/>
        </w:rPr>
        <w:t>aGFG</w:t>
      </w:r>
      <w:proofErr w:type="spellEnd"/>
      <w:r>
        <w:rPr>
          <w:rFonts w:eastAsia="TimesNewRoman"/>
          <w:snapToGrid/>
          <w:szCs w:val="22"/>
          <w:lang w:val="lt-LT"/>
        </w:rPr>
        <w:t xml:space="preserve"> buvo &lt; 30 ml/min./1,73 m</w:t>
      </w:r>
      <w:r>
        <w:rPr>
          <w:rFonts w:eastAsia="TimesNewRoman"/>
          <w:snapToGrid/>
          <w:szCs w:val="22"/>
          <w:vertAlign w:val="superscript"/>
          <w:lang w:val="lt-LT"/>
        </w:rPr>
        <w:t>2</w:t>
      </w:r>
      <w:r>
        <w:rPr>
          <w:rFonts w:eastAsia="TimesNewRoman"/>
          <w:snapToGrid/>
          <w:szCs w:val="22"/>
          <w:lang w:val="lt-LT"/>
        </w:rPr>
        <w:t>, į šį tyrimą nebuvo įtraukti. Tyrimo populiaciją sudarė 2 004 75 metų ir vyresni pacientai bei 3 324 pacientai, kurių inkstų funkcija buvo sutrikusi (</w:t>
      </w:r>
      <w:proofErr w:type="spellStart"/>
      <w:r>
        <w:rPr>
          <w:rFonts w:eastAsia="TimesNewRoman"/>
          <w:snapToGrid/>
          <w:szCs w:val="22"/>
          <w:lang w:val="lt-LT"/>
        </w:rPr>
        <w:t>aGFG</w:t>
      </w:r>
      <w:proofErr w:type="spellEnd"/>
      <w:r>
        <w:rPr>
          <w:rFonts w:eastAsia="TimesNewRoman"/>
          <w:snapToGrid/>
          <w:szCs w:val="22"/>
          <w:lang w:val="lt-LT"/>
        </w:rPr>
        <w:t> &lt; 60 ml/min./1,73 m</w:t>
      </w:r>
      <w:r>
        <w:rPr>
          <w:rFonts w:eastAsia="TimesNewRoman"/>
          <w:snapToGrid/>
          <w:szCs w:val="22"/>
          <w:vertAlign w:val="superscript"/>
          <w:lang w:val="lt-LT"/>
        </w:rPr>
        <w:t>2</w:t>
      </w:r>
      <w:r>
        <w:rPr>
          <w:rFonts w:eastAsia="TimesNewRoman"/>
          <w:snapToGrid/>
          <w:szCs w:val="22"/>
          <w:lang w:val="lt-LT"/>
        </w:rPr>
        <w:t>).</w:t>
      </w:r>
    </w:p>
    <w:p w14:paraId="436678CB"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D34DB43"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Šio tyrimo metu bendrasis apskaičiuotasis vidutinis (SN) HbA</w:t>
      </w:r>
      <w:r>
        <w:rPr>
          <w:rFonts w:eastAsia="TimesNewRoman"/>
          <w:snapToGrid/>
          <w:szCs w:val="22"/>
          <w:vertAlign w:val="subscript"/>
          <w:lang w:val="lt-LT"/>
        </w:rPr>
        <w:t>1c</w:t>
      </w:r>
      <w:r>
        <w:rPr>
          <w:rFonts w:eastAsia="TimesNewRoman"/>
          <w:snapToGrid/>
          <w:szCs w:val="22"/>
          <w:lang w:val="lt-LT"/>
        </w:rPr>
        <w:t xml:space="preserve"> skirtumas tarp </w:t>
      </w:r>
      <w:proofErr w:type="spellStart"/>
      <w:r>
        <w:rPr>
          <w:rFonts w:eastAsia="TimesNewRoman"/>
          <w:snapToGrid/>
          <w:szCs w:val="22"/>
          <w:lang w:val="lt-LT"/>
        </w:rPr>
        <w:t>sitagliptino</w:t>
      </w:r>
      <w:proofErr w:type="spellEnd"/>
      <w:r>
        <w:rPr>
          <w:rFonts w:eastAsia="TimesNewRoman"/>
          <w:snapToGrid/>
          <w:szCs w:val="22"/>
          <w:lang w:val="lt-LT"/>
        </w:rPr>
        <w:t xml:space="preserve"> ir placebo grupių buvo 0,29 % (0,01), 95 % PI: </w:t>
      </w:r>
      <w:r>
        <w:rPr>
          <w:rFonts w:eastAsia="TimesNewRoman"/>
          <w:snapToGrid/>
          <w:szCs w:val="22"/>
          <w:lang w:val="lt-LT"/>
        </w:rPr>
        <w:noBreakHyphen/>
        <w:t xml:space="preserve">0,32; </w:t>
      </w:r>
      <w:r>
        <w:rPr>
          <w:rFonts w:eastAsia="TimesNewRoman"/>
          <w:snapToGrid/>
          <w:szCs w:val="22"/>
          <w:lang w:val="lt-LT"/>
        </w:rPr>
        <w:noBreakHyphen/>
        <w:t>0,27, p &lt; 0,001.</w:t>
      </w:r>
    </w:p>
    <w:p w14:paraId="7FCC792B"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6251730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Pagrindinė kardiovaskulinė vertinamoji baigtis buvo sudėtinė, ją sudarė kardiovaskulinė mirtis, nemirtinas miokardo infarktas, nemirtinas insultas ar hospitalizavimas dėl nestabiliosios krūtinės anginos (pirmasis pasireiškimas). Antrinės kardiovaskulinės vertinamosios baigtys buvo kardiovaskulinės mirties, nemirtino miokardo infarkto ar nemirtino insulto pirmasis pasireiškimas, pagrindinės vertinamosios baigties atskirų komponentų pirmasis pasireiškimas, mirtis dėl bet kokios priežasties ir hospitalizavimas dėl </w:t>
      </w:r>
      <w:proofErr w:type="spellStart"/>
      <w:r>
        <w:rPr>
          <w:rFonts w:eastAsia="TimesNewRoman"/>
          <w:snapToGrid/>
          <w:szCs w:val="22"/>
          <w:lang w:val="lt-LT"/>
        </w:rPr>
        <w:t>stazinio</w:t>
      </w:r>
      <w:proofErr w:type="spellEnd"/>
      <w:r>
        <w:rPr>
          <w:rFonts w:eastAsia="TimesNewRoman"/>
          <w:snapToGrid/>
          <w:szCs w:val="22"/>
          <w:lang w:val="lt-LT"/>
        </w:rPr>
        <w:t xml:space="preserve"> širdies nepakankamumo.</w:t>
      </w:r>
    </w:p>
    <w:p w14:paraId="69B70964"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DF03B76"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2 tipo cukriniu diabetu sirgusiems pacientams po stebėjimo laikotarpio, kurio trukmės mediana buvo 3 metai, </w:t>
      </w:r>
      <w:proofErr w:type="spellStart"/>
      <w:r>
        <w:rPr>
          <w:rFonts w:eastAsia="TimesNewRoman"/>
          <w:snapToGrid/>
          <w:szCs w:val="22"/>
          <w:lang w:val="lt-LT"/>
        </w:rPr>
        <w:t>sitagliptinas</w:t>
      </w:r>
      <w:proofErr w:type="spellEnd"/>
      <w:r>
        <w:rPr>
          <w:rFonts w:eastAsia="TimesNewRoman"/>
          <w:snapToGrid/>
          <w:szCs w:val="22"/>
          <w:lang w:val="lt-LT"/>
        </w:rPr>
        <w:t xml:space="preserve"> kartu su įprasta priežiūra, palyginti su įprasta priežiūra be </w:t>
      </w:r>
      <w:proofErr w:type="spellStart"/>
      <w:r>
        <w:rPr>
          <w:rFonts w:eastAsia="TimesNewRoman"/>
          <w:snapToGrid/>
          <w:szCs w:val="22"/>
          <w:lang w:val="lt-LT"/>
        </w:rPr>
        <w:t>sitagliptino</w:t>
      </w:r>
      <w:proofErr w:type="spellEnd"/>
      <w:r>
        <w:rPr>
          <w:rFonts w:eastAsia="TimesNewRoman"/>
          <w:snapToGrid/>
          <w:szCs w:val="22"/>
          <w:lang w:val="lt-LT"/>
        </w:rPr>
        <w:t>, sunkių nepageidaujamų kardiovaskulinių reiškinių arba hospitalizavimo dėl širdies nepakankamumo rizikos nepadidino (3 lentelė).</w:t>
      </w:r>
    </w:p>
    <w:p w14:paraId="7425FA8D"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009E782" w14:textId="77777777" w:rsidR="00B64E78" w:rsidRDefault="00DA46A9">
      <w:pPr>
        <w:widowControl w:val="0"/>
        <w:tabs>
          <w:tab w:val="clear" w:pos="567"/>
        </w:tabs>
        <w:autoSpaceDE w:val="0"/>
        <w:autoSpaceDN w:val="0"/>
        <w:adjustRightInd w:val="0"/>
        <w:spacing w:line="240" w:lineRule="auto"/>
        <w:rPr>
          <w:rFonts w:eastAsia="TimesNewRoman,Bold"/>
          <w:b/>
          <w:snapToGrid/>
          <w:szCs w:val="22"/>
          <w:lang w:val="lt-LT"/>
        </w:rPr>
      </w:pPr>
      <w:r>
        <w:rPr>
          <w:rFonts w:eastAsia="TimesNewRoman,Bold"/>
          <w:b/>
          <w:snapToGrid/>
          <w:szCs w:val="22"/>
          <w:lang w:val="lt-LT"/>
        </w:rPr>
        <w:t>3 lentelė. Sudėtinių kardiovaskulinių vertinamųjų baigčių ir svarbiausių antrinių vertinamųjų baigčių dažniai</w:t>
      </w:r>
    </w:p>
    <w:p w14:paraId="470362D5"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1134"/>
        <w:gridCol w:w="1015"/>
        <w:gridCol w:w="1134"/>
        <w:gridCol w:w="1015"/>
        <w:gridCol w:w="1208"/>
        <w:gridCol w:w="962"/>
      </w:tblGrid>
      <w:tr w:rsidR="00B64E78" w14:paraId="7A442A79" w14:textId="77777777">
        <w:trPr>
          <w:cantSplit/>
        </w:trPr>
        <w:tc>
          <w:tcPr>
            <w:tcW w:w="2823" w:type="dxa"/>
            <w:vMerge w:val="restart"/>
          </w:tcPr>
          <w:p w14:paraId="67F361EA" w14:textId="77777777" w:rsidR="00B64E78" w:rsidRDefault="00B64E78">
            <w:pPr>
              <w:widowControl w:val="0"/>
              <w:tabs>
                <w:tab w:val="clear" w:pos="567"/>
              </w:tabs>
              <w:spacing w:line="240" w:lineRule="auto"/>
              <w:rPr>
                <w:b/>
                <w:snapToGrid/>
                <w:color w:val="000000"/>
                <w:sz w:val="18"/>
                <w:szCs w:val="18"/>
                <w:u w:val="single"/>
                <w:lang w:val="lt-LT" w:eastAsia="pl-PL"/>
              </w:rPr>
            </w:pPr>
          </w:p>
        </w:tc>
        <w:tc>
          <w:tcPr>
            <w:tcW w:w="2149" w:type="dxa"/>
            <w:gridSpan w:val="2"/>
            <w:vAlign w:val="center"/>
          </w:tcPr>
          <w:p w14:paraId="7F00345B"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Sitagliptinas 100 mg</w:t>
            </w:r>
          </w:p>
        </w:tc>
        <w:tc>
          <w:tcPr>
            <w:tcW w:w="2149" w:type="dxa"/>
            <w:gridSpan w:val="2"/>
            <w:vAlign w:val="center"/>
          </w:tcPr>
          <w:p w14:paraId="45E58BE8"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Placebas</w:t>
            </w:r>
          </w:p>
        </w:tc>
        <w:tc>
          <w:tcPr>
            <w:tcW w:w="1208" w:type="dxa"/>
            <w:vMerge w:val="restart"/>
            <w:vAlign w:val="center"/>
          </w:tcPr>
          <w:p w14:paraId="12351F12" w14:textId="77777777" w:rsidR="00B64E78" w:rsidRDefault="00DA46A9">
            <w:pPr>
              <w:widowControl w:val="0"/>
              <w:tabs>
                <w:tab w:val="clear" w:pos="567"/>
              </w:tabs>
              <w:spacing w:line="240" w:lineRule="auto"/>
              <w:jc w:val="center"/>
              <w:rPr>
                <w:b/>
                <w:snapToGrid/>
                <w:color w:val="000000"/>
                <w:sz w:val="18"/>
                <w:szCs w:val="18"/>
                <w:lang w:val="lt-LT" w:eastAsia="pl-PL"/>
              </w:rPr>
            </w:pPr>
            <w:r>
              <w:rPr>
                <w:rFonts w:eastAsia="TimesNewRoman,Bold"/>
                <w:b/>
                <w:snapToGrid/>
                <w:sz w:val="18"/>
                <w:szCs w:val="18"/>
                <w:lang w:val="lt-LT"/>
              </w:rPr>
              <w:t>Rizikos santykis</w:t>
            </w:r>
          </w:p>
          <w:p w14:paraId="1AF5BC93"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(95 % PI)</w:t>
            </w:r>
          </w:p>
        </w:tc>
        <w:tc>
          <w:tcPr>
            <w:tcW w:w="962" w:type="dxa"/>
            <w:vMerge w:val="restart"/>
            <w:vAlign w:val="center"/>
          </w:tcPr>
          <w:p w14:paraId="60500E5F" w14:textId="77777777" w:rsidR="00B64E78" w:rsidRDefault="00DA46A9">
            <w:pPr>
              <w:widowControl w:val="0"/>
              <w:tabs>
                <w:tab w:val="clear" w:pos="567"/>
              </w:tabs>
              <w:spacing w:line="240" w:lineRule="auto"/>
              <w:jc w:val="center"/>
              <w:rPr>
                <w:b/>
                <w:snapToGrid/>
                <w:color w:val="000000"/>
                <w:sz w:val="18"/>
                <w:szCs w:val="18"/>
                <w:u w:val="single"/>
                <w:lang w:val="lt-LT" w:eastAsia="pl-PL"/>
              </w:rPr>
            </w:pPr>
            <w:r>
              <w:rPr>
                <w:rFonts w:eastAsia="TimesNewRoman,Bold"/>
                <w:b/>
                <w:snapToGrid/>
                <w:sz w:val="18"/>
                <w:szCs w:val="18"/>
                <w:lang w:val="lt-LT"/>
              </w:rPr>
              <w:t>p</w:t>
            </w:r>
            <w:r>
              <w:rPr>
                <w:rFonts w:eastAsia="TimesNewRoman,Bold"/>
                <w:b/>
                <w:snapToGrid/>
                <w:sz w:val="18"/>
                <w:szCs w:val="18"/>
                <w:lang w:val="lt-LT"/>
              </w:rPr>
              <w:noBreakHyphen/>
              <w:t>rodmuo</w:t>
            </w:r>
            <w:r>
              <w:rPr>
                <w:b/>
                <w:snapToGrid/>
                <w:color w:val="000000"/>
                <w:sz w:val="18"/>
                <w:szCs w:val="18"/>
                <w:vertAlign w:val="superscript"/>
                <w:lang w:val="lt-LT" w:eastAsia="pl-PL"/>
              </w:rPr>
              <w:t>†</w:t>
            </w:r>
          </w:p>
        </w:tc>
      </w:tr>
      <w:tr w:rsidR="00B64E78" w14:paraId="46EF3870" w14:textId="77777777">
        <w:trPr>
          <w:cantSplit/>
        </w:trPr>
        <w:tc>
          <w:tcPr>
            <w:tcW w:w="2823" w:type="dxa"/>
            <w:vMerge/>
          </w:tcPr>
          <w:p w14:paraId="241E6D9A" w14:textId="77777777" w:rsidR="00B64E78" w:rsidRDefault="00B64E78">
            <w:pPr>
              <w:widowControl w:val="0"/>
              <w:tabs>
                <w:tab w:val="clear" w:pos="567"/>
              </w:tabs>
              <w:spacing w:line="240" w:lineRule="auto"/>
              <w:rPr>
                <w:b/>
                <w:snapToGrid/>
                <w:color w:val="000000"/>
                <w:sz w:val="18"/>
                <w:szCs w:val="18"/>
                <w:u w:val="single"/>
                <w:lang w:val="lt-LT" w:eastAsia="pl-PL"/>
              </w:rPr>
            </w:pPr>
          </w:p>
        </w:tc>
        <w:tc>
          <w:tcPr>
            <w:tcW w:w="1134" w:type="dxa"/>
            <w:vAlign w:val="center"/>
          </w:tcPr>
          <w:p w14:paraId="3E5F7A59"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N (%)</w:t>
            </w:r>
          </w:p>
        </w:tc>
        <w:tc>
          <w:tcPr>
            <w:tcW w:w="1015" w:type="dxa"/>
            <w:vAlign w:val="center"/>
          </w:tcPr>
          <w:p w14:paraId="6FE57428" w14:textId="77777777" w:rsidR="00B64E78" w:rsidRDefault="00DA46A9">
            <w:pPr>
              <w:widowControl w:val="0"/>
              <w:tabs>
                <w:tab w:val="clear" w:pos="567"/>
              </w:tabs>
              <w:autoSpaceDE w:val="0"/>
              <w:autoSpaceDN w:val="0"/>
              <w:adjustRightInd w:val="0"/>
              <w:spacing w:line="240" w:lineRule="auto"/>
              <w:jc w:val="center"/>
              <w:rPr>
                <w:b/>
                <w:snapToGrid/>
                <w:color w:val="000000"/>
                <w:sz w:val="18"/>
                <w:szCs w:val="18"/>
                <w:u w:val="single"/>
                <w:vertAlign w:val="superscript"/>
                <w:lang w:val="lt-LT" w:eastAsia="pl-PL"/>
              </w:rPr>
            </w:pPr>
            <w:r>
              <w:rPr>
                <w:rFonts w:eastAsia="TimesNewRoman,Bold"/>
                <w:b/>
                <w:snapToGrid/>
                <w:sz w:val="18"/>
                <w:szCs w:val="18"/>
                <w:lang w:val="lt-LT"/>
              </w:rPr>
              <w:t>Dažnis per 100 paciento metų</w:t>
            </w:r>
            <w:r>
              <w:rPr>
                <w:rFonts w:eastAsia="TimesNewRoman"/>
                <w:b/>
                <w:snapToGrid/>
                <w:sz w:val="18"/>
                <w:szCs w:val="18"/>
                <w:lang w:val="lt-LT"/>
              </w:rPr>
              <w:t>*</w:t>
            </w:r>
          </w:p>
        </w:tc>
        <w:tc>
          <w:tcPr>
            <w:tcW w:w="1134" w:type="dxa"/>
            <w:vAlign w:val="center"/>
          </w:tcPr>
          <w:p w14:paraId="50A61BD7"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N (%)</w:t>
            </w:r>
          </w:p>
        </w:tc>
        <w:tc>
          <w:tcPr>
            <w:tcW w:w="1015" w:type="dxa"/>
            <w:vAlign w:val="center"/>
          </w:tcPr>
          <w:p w14:paraId="0F86E3F2" w14:textId="77777777" w:rsidR="00B64E78" w:rsidRDefault="00DA46A9">
            <w:pPr>
              <w:widowControl w:val="0"/>
              <w:tabs>
                <w:tab w:val="clear" w:pos="567"/>
              </w:tabs>
              <w:autoSpaceDE w:val="0"/>
              <w:autoSpaceDN w:val="0"/>
              <w:adjustRightInd w:val="0"/>
              <w:spacing w:line="240" w:lineRule="auto"/>
              <w:jc w:val="center"/>
              <w:rPr>
                <w:b/>
                <w:snapToGrid/>
                <w:color w:val="000000"/>
                <w:sz w:val="18"/>
                <w:szCs w:val="18"/>
                <w:u w:val="single"/>
                <w:lang w:val="lt-LT" w:eastAsia="pl-PL"/>
              </w:rPr>
            </w:pPr>
            <w:r>
              <w:rPr>
                <w:rFonts w:eastAsia="TimesNewRoman,Bold"/>
                <w:b/>
                <w:snapToGrid/>
                <w:sz w:val="18"/>
                <w:szCs w:val="18"/>
                <w:lang w:val="lt-LT"/>
              </w:rPr>
              <w:t>Dažnis per 100 paciento metų</w:t>
            </w:r>
            <w:r>
              <w:rPr>
                <w:b/>
                <w:snapToGrid/>
                <w:color w:val="000000"/>
                <w:sz w:val="18"/>
                <w:szCs w:val="18"/>
                <w:lang w:val="lt-LT" w:eastAsia="pl-PL"/>
              </w:rPr>
              <w:t>*</w:t>
            </w:r>
          </w:p>
        </w:tc>
        <w:tc>
          <w:tcPr>
            <w:tcW w:w="1208" w:type="dxa"/>
            <w:vMerge/>
            <w:vAlign w:val="center"/>
          </w:tcPr>
          <w:p w14:paraId="44E3706A" w14:textId="77777777" w:rsidR="00B64E78" w:rsidRDefault="00B64E78">
            <w:pPr>
              <w:widowControl w:val="0"/>
              <w:tabs>
                <w:tab w:val="clear" w:pos="567"/>
              </w:tabs>
              <w:spacing w:line="240" w:lineRule="auto"/>
              <w:jc w:val="center"/>
              <w:rPr>
                <w:b/>
                <w:snapToGrid/>
                <w:color w:val="000000"/>
                <w:sz w:val="18"/>
                <w:szCs w:val="18"/>
                <w:u w:val="single"/>
                <w:lang w:val="lt-LT" w:eastAsia="pl-PL"/>
              </w:rPr>
            </w:pPr>
          </w:p>
        </w:tc>
        <w:tc>
          <w:tcPr>
            <w:tcW w:w="962" w:type="dxa"/>
            <w:vMerge/>
            <w:vAlign w:val="center"/>
          </w:tcPr>
          <w:p w14:paraId="645C6082" w14:textId="77777777" w:rsidR="00B64E78" w:rsidRDefault="00B64E78">
            <w:pPr>
              <w:widowControl w:val="0"/>
              <w:tabs>
                <w:tab w:val="clear" w:pos="567"/>
              </w:tabs>
              <w:spacing w:line="240" w:lineRule="auto"/>
              <w:jc w:val="center"/>
              <w:rPr>
                <w:b/>
                <w:snapToGrid/>
                <w:color w:val="000000"/>
                <w:sz w:val="18"/>
                <w:szCs w:val="18"/>
                <w:u w:val="single"/>
                <w:lang w:val="lt-LT" w:eastAsia="pl-PL"/>
              </w:rPr>
            </w:pPr>
          </w:p>
        </w:tc>
      </w:tr>
      <w:tr w:rsidR="00B64E78" w14:paraId="70E2614C" w14:textId="77777777">
        <w:tc>
          <w:tcPr>
            <w:tcW w:w="9291" w:type="dxa"/>
            <w:gridSpan w:val="7"/>
          </w:tcPr>
          <w:p w14:paraId="6254F907" w14:textId="77777777" w:rsidR="00B64E78" w:rsidRDefault="00DA46A9">
            <w:pPr>
              <w:widowControl w:val="0"/>
              <w:tabs>
                <w:tab w:val="clear" w:pos="567"/>
              </w:tabs>
              <w:spacing w:line="240" w:lineRule="auto"/>
              <w:rPr>
                <w:b/>
                <w:snapToGrid/>
                <w:color w:val="000000"/>
                <w:sz w:val="18"/>
                <w:szCs w:val="18"/>
                <w:u w:val="single"/>
                <w:lang w:val="lt-LT" w:eastAsia="pl-PL"/>
              </w:rPr>
            </w:pPr>
            <w:r>
              <w:rPr>
                <w:rFonts w:eastAsia="TimesNewRoman,Bold"/>
                <w:b/>
                <w:snapToGrid/>
                <w:sz w:val="18"/>
                <w:szCs w:val="18"/>
                <w:lang w:val="lt-LT"/>
              </w:rPr>
              <w:t>Ketinimo gydyti populiacijos analizė</w:t>
            </w:r>
          </w:p>
        </w:tc>
      </w:tr>
      <w:tr w:rsidR="00B64E78" w14:paraId="737D7C8A" w14:textId="77777777">
        <w:tc>
          <w:tcPr>
            <w:tcW w:w="2823" w:type="dxa"/>
          </w:tcPr>
          <w:p w14:paraId="37BBA60F" w14:textId="77777777" w:rsidR="00B64E78" w:rsidRDefault="00DA46A9">
            <w:pPr>
              <w:widowControl w:val="0"/>
              <w:tabs>
                <w:tab w:val="clear" w:pos="567"/>
              </w:tabs>
              <w:spacing w:line="240" w:lineRule="auto"/>
              <w:rPr>
                <w:b/>
                <w:snapToGrid/>
                <w:color w:val="000000"/>
                <w:sz w:val="18"/>
                <w:szCs w:val="18"/>
                <w:lang w:val="lt-LT" w:eastAsia="pl-PL"/>
              </w:rPr>
            </w:pPr>
            <w:r>
              <w:rPr>
                <w:rFonts w:eastAsia="TimesNewRoman,Bold"/>
                <w:b/>
                <w:snapToGrid/>
                <w:sz w:val="18"/>
                <w:szCs w:val="18"/>
                <w:lang w:val="lt-LT"/>
              </w:rPr>
              <w:t>Pacientų skaičius</w:t>
            </w:r>
          </w:p>
        </w:tc>
        <w:tc>
          <w:tcPr>
            <w:tcW w:w="2149" w:type="dxa"/>
            <w:gridSpan w:val="2"/>
          </w:tcPr>
          <w:p w14:paraId="34DE5442"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7 332</w:t>
            </w:r>
          </w:p>
        </w:tc>
        <w:tc>
          <w:tcPr>
            <w:tcW w:w="2149" w:type="dxa"/>
            <w:gridSpan w:val="2"/>
          </w:tcPr>
          <w:p w14:paraId="50533467" w14:textId="77777777" w:rsidR="00B64E78" w:rsidRDefault="00DA46A9">
            <w:pPr>
              <w:widowControl w:val="0"/>
              <w:tabs>
                <w:tab w:val="clear" w:pos="567"/>
              </w:tabs>
              <w:spacing w:line="240" w:lineRule="auto"/>
              <w:jc w:val="center"/>
              <w:rPr>
                <w:b/>
                <w:snapToGrid/>
                <w:color w:val="000000"/>
                <w:sz w:val="18"/>
                <w:szCs w:val="18"/>
                <w:lang w:val="lt-LT" w:eastAsia="pl-PL"/>
              </w:rPr>
            </w:pPr>
            <w:r>
              <w:rPr>
                <w:b/>
                <w:snapToGrid/>
                <w:color w:val="000000"/>
                <w:sz w:val="18"/>
                <w:szCs w:val="18"/>
                <w:lang w:val="lt-LT" w:eastAsia="pl-PL"/>
              </w:rPr>
              <w:t>7 339</w:t>
            </w:r>
          </w:p>
        </w:tc>
        <w:tc>
          <w:tcPr>
            <w:tcW w:w="2170" w:type="dxa"/>
            <w:gridSpan w:val="2"/>
          </w:tcPr>
          <w:p w14:paraId="230E37C0" w14:textId="77777777" w:rsidR="00B64E78" w:rsidRDefault="00B64E78">
            <w:pPr>
              <w:widowControl w:val="0"/>
              <w:tabs>
                <w:tab w:val="clear" w:pos="567"/>
              </w:tabs>
              <w:spacing w:line="240" w:lineRule="auto"/>
              <w:rPr>
                <w:snapToGrid/>
                <w:color w:val="000000"/>
                <w:sz w:val="18"/>
                <w:szCs w:val="18"/>
                <w:u w:val="single"/>
                <w:lang w:val="lt-LT" w:eastAsia="pl-PL"/>
              </w:rPr>
            </w:pPr>
          </w:p>
        </w:tc>
      </w:tr>
      <w:tr w:rsidR="00B64E78" w14:paraId="607B821A" w14:textId="77777777">
        <w:tc>
          <w:tcPr>
            <w:tcW w:w="2823" w:type="dxa"/>
          </w:tcPr>
          <w:p w14:paraId="301FB863" w14:textId="77777777" w:rsidR="00B64E78" w:rsidRDefault="00DA46A9">
            <w:pPr>
              <w:widowControl w:val="0"/>
              <w:tabs>
                <w:tab w:val="clear" w:pos="567"/>
              </w:tabs>
              <w:autoSpaceDE w:val="0"/>
              <w:autoSpaceDN w:val="0"/>
              <w:adjustRightInd w:val="0"/>
              <w:spacing w:line="240" w:lineRule="auto"/>
              <w:rPr>
                <w:rFonts w:eastAsia="TimesNewRoman,Bold"/>
                <w:b/>
                <w:snapToGrid/>
                <w:sz w:val="18"/>
                <w:szCs w:val="18"/>
                <w:lang w:val="lt-LT"/>
              </w:rPr>
            </w:pPr>
            <w:r>
              <w:rPr>
                <w:rFonts w:eastAsia="TimesNewRoman,Bold"/>
                <w:b/>
                <w:snapToGrid/>
                <w:sz w:val="18"/>
                <w:szCs w:val="18"/>
                <w:lang w:val="lt-LT"/>
              </w:rPr>
              <w:t>Pagrindinė sudėtinė vertinamoji baigtis</w:t>
            </w:r>
          </w:p>
          <w:p w14:paraId="4BF18A5A" w14:textId="77777777" w:rsidR="00B64E78" w:rsidRDefault="00DA46A9">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(kardiovaskulinė mirtis, nemirtinas miokardo infarktas, nemirtinas insultas ar hospitalizavimas dėl nestabiliosios krūtinės anginos)</w:t>
            </w:r>
          </w:p>
        </w:tc>
        <w:tc>
          <w:tcPr>
            <w:tcW w:w="1134" w:type="dxa"/>
            <w:vAlign w:val="center"/>
          </w:tcPr>
          <w:p w14:paraId="0C55771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839 (11,4)</w:t>
            </w:r>
          </w:p>
        </w:tc>
        <w:tc>
          <w:tcPr>
            <w:tcW w:w="1015" w:type="dxa"/>
            <w:vAlign w:val="center"/>
          </w:tcPr>
          <w:p w14:paraId="45C753E6"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4,1</w:t>
            </w:r>
          </w:p>
        </w:tc>
        <w:tc>
          <w:tcPr>
            <w:tcW w:w="1134" w:type="dxa"/>
            <w:vAlign w:val="center"/>
          </w:tcPr>
          <w:p w14:paraId="0AEA7985"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851 (11,6)</w:t>
            </w:r>
          </w:p>
        </w:tc>
        <w:tc>
          <w:tcPr>
            <w:tcW w:w="1015" w:type="dxa"/>
            <w:vAlign w:val="center"/>
          </w:tcPr>
          <w:p w14:paraId="6044AA6C"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4,2</w:t>
            </w:r>
          </w:p>
        </w:tc>
        <w:tc>
          <w:tcPr>
            <w:tcW w:w="1208" w:type="dxa"/>
            <w:vAlign w:val="center"/>
          </w:tcPr>
          <w:p w14:paraId="454AD98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0,98</w:t>
            </w:r>
          </w:p>
          <w:p w14:paraId="6388309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1,08)</w:t>
            </w:r>
          </w:p>
        </w:tc>
        <w:tc>
          <w:tcPr>
            <w:tcW w:w="962" w:type="dxa"/>
            <w:vAlign w:val="center"/>
          </w:tcPr>
          <w:p w14:paraId="7ABDDAB0"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&lt; 0,001</w:t>
            </w:r>
          </w:p>
        </w:tc>
      </w:tr>
      <w:tr w:rsidR="00B64E78" w14:paraId="1D81B403" w14:textId="77777777">
        <w:tc>
          <w:tcPr>
            <w:tcW w:w="2823" w:type="dxa"/>
          </w:tcPr>
          <w:p w14:paraId="7D3B1C7F" w14:textId="77777777" w:rsidR="00B64E78" w:rsidRDefault="00DA46A9">
            <w:pPr>
              <w:widowControl w:val="0"/>
              <w:tabs>
                <w:tab w:val="clear" w:pos="567"/>
              </w:tabs>
              <w:autoSpaceDE w:val="0"/>
              <w:autoSpaceDN w:val="0"/>
              <w:adjustRightInd w:val="0"/>
              <w:spacing w:line="240" w:lineRule="auto"/>
              <w:rPr>
                <w:rFonts w:eastAsia="TimesNewRoman,Bold"/>
                <w:snapToGrid/>
                <w:sz w:val="18"/>
                <w:szCs w:val="18"/>
                <w:lang w:val="lt-LT"/>
              </w:rPr>
            </w:pPr>
            <w:r>
              <w:rPr>
                <w:rFonts w:eastAsia="TimesNewRoman,Bold"/>
                <w:b/>
                <w:snapToGrid/>
                <w:sz w:val="18"/>
                <w:szCs w:val="18"/>
                <w:lang w:val="lt-LT"/>
              </w:rPr>
              <w:t>Antrinė sudėtinė</w:t>
            </w:r>
            <w:r>
              <w:rPr>
                <w:rFonts w:eastAsia="TimesNewRoman,Bold"/>
                <w:snapToGrid/>
                <w:sz w:val="18"/>
                <w:szCs w:val="18"/>
                <w:lang w:val="lt-LT"/>
              </w:rPr>
              <w:t xml:space="preserve"> </w:t>
            </w:r>
            <w:r>
              <w:rPr>
                <w:rFonts w:eastAsia="TimesNewRoman,Bold"/>
                <w:b/>
                <w:snapToGrid/>
                <w:sz w:val="18"/>
                <w:szCs w:val="18"/>
                <w:lang w:val="lt-LT"/>
              </w:rPr>
              <w:t>vertinamoji baigtis</w:t>
            </w:r>
          </w:p>
          <w:p w14:paraId="5FC13A68" w14:textId="77777777" w:rsidR="00B64E78" w:rsidRDefault="00DA46A9">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(kardiovaskulinė mirtis, nemirtinas miokardo infarktas ar nemirtinas insultas)</w:t>
            </w:r>
          </w:p>
        </w:tc>
        <w:tc>
          <w:tcPr>
            <w:tcW w:w="1134" w:type="dxa"/>
            <w:vAlign w:val="center"/>
          </w:tcPr>
          <w:p w14:paraId="12EA94C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745 (10,2)</w:t>
            </w:r>
          </w:p>
        </w:tc>
        <w:tc>
          <w:tcPr>
            <w:tcW w:w="1015" w:type="dxa"/>
            <w:vAlign w:val="center"/>
          </w:tcPr>
          <w:p w14:paraId="4C5B6153"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w:t>
            </w:r>
          </w:p>
        </w:tc>
        <w:tc>
          <w:tcPr>
            <w:tcW w:w="1134" w:type="dxa"/>
            <w:vAlign w:val="center"/>
          </w:tcPr>
          <w:p w14:paraId="68B199B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746 (10,2)</w:t>
            </w:r>
          </w:p>
        </w:tc>
        <w:tc>
          <w:tcPr>
            <w:tcW w:w="1015" w:type="dxa"/>
            <w:vAlign w:val="center"/>
          </w:tcPr>
          <w:p w14:paraId="00632F9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w:t>
            </w:r>
          </w:p>
        </w:tc>
        <w:tc>
          <w:tcPr>
            <w:tcW w:w="1208" w:type="dxa"/>
            <w:vAlign w:val="center"/>
          </w:tcPr>
          <w:p w14:paraId="782678F7"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0,99</w:t>
            </w:r>
          </w:p>
          <w:p w14:paraId="76FBA140"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1,10)</w:t>
            </w:r>
          </w:p>
        </w:tc>
        <w:tc>
          <w:tcPr>
            <w:tcW w:w="962" w:type="dxa"/>
            <w:vAlign w:val="center"/>
          </w:tcPr>
          <w:p w14:paraId="2E6616B4"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&lt; 0,001</w:t>
            </w:r>
          </w:p>
        </w:tc>
      </w:tr>
      <w:tr w:rsidR="00B64E78" w14:paraId="1AFA11D8" w14:textId="77777777">
        <w:tc>
          <w:tcPr>
            <w:tcW w:w="9291" w:type="dxa"/>
            <w:gridSpan w:val="7"/>
          </w:tcPr>
          <w:p w14:paraId="13E3888C" w14:textId="77777777" w:rsidR="00B64E78" w:rsidRDefault="00DA46A9">
            <w:pPr>
              <w:widowControl w:val="0"/>
              <w:tabs>
                <w:tab w:val="clear" w:pos="567"/>
              </w:tabs>
              <w:spacing w:line="240" w:lineRule="auto"/>
              <w:rPr>
                <w:b/>
                <w:snapToGrid/>
                <w:color w:val="000000"/>
                <w:sz w:val="18"/>
                <w:szCs w:val="18"/>
                <w:lang w:val="lt-LT" w:eastAsia="pl-PL"/>
              </w:rPr>
            </w:pPr>
            <w:r>
              <w:rPr>
                <w:rFonts w:eastAsia="TimesNewRoman,Bold"/>
                <w:b/>
                <w:snapToGrid/>
                <w:sz w:val="18"/>
                <w:szCs w:val="18"/>
                <w:lang w:val="lt-LT"/>
              </w:rPr>
              <w:t>Antrinės vertinamosios baigtys</w:t>
            </w:r>
          </w:p>
        </w:tc>
      </w:tr>
      <w:tr w:rsidR="00B64E78" w14:paraId="4C2C6025" w14:textId="77777777">
        <w:tc>
          <w:tcPr>
            <w:tcW w:w="2823" w:type="dxa"/>
          </w:tcPr>
          <w:p w14:paraId="068B3AAD" w14:textId="77777777" w:rsidR="00B64E78" w:rsidRDefault="00DA46A9">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t>Kardiovaskulinė mirtis</w:t>
            </w:r>
          </w:p>
        </w:tc>
        <w:tc>
          <w:tcPr>
            <w:tcW w:w="1134" w:type="dxa"/>
            <w:vAlign w:val="center"/>
          </w:tcPr>
          <w:p w14:paraId="2656C2F6"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380 (5,2)</w:t>
            </w:r>
          </w:p>
        </w:tc>
        <w:tc>
          <w:tcPr>
            <w:tcW w:w="1015" w:type="dxa"/>
            <w:vAlign w:val="center"/>
          </w:tcPr>
          <w:p w14:paraId="69820F1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w:t>
            </w:r>
          </w:p>
        </w:tc>
        <w:tc>
          <w:tcPr>
            <w:tcW w:w="1134" w:type="dxa"/>
            <w:vAlign w:val="center"/>
          </w:tcPr>
          <w:p w14:paraId="3D8AAAC5"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366 (5,0)</w:t>
            </w:r>
          </w:p>
        </w:tc>
        <w:tc>
          <w:tcPr>
            <w:tcW w:w="1015" w:type="dxa"/>
            <w:vAlign w:val="center"/>
          </w:tcPr>
          <w:p w14:paraId="0BC61C3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w:t>
            </w:r>
          </w:p>
        </w:tc>
        <w:tc>
          <w:tcPr>
            <w:tcW w:w="1208" w:type="dxa"/>
            <w:vAlign w:val="center"/>
          </w:tcPr>
          <w:p w14:paraId="4A360D60"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1,03</w:t>
            </w:r>
          </w:p>
          <w:p w14:paraId="16AC0514"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(0,89</w:t>
            </w:r>
            <w:r>
              <w:rPr>
                <w:snapToGrid/>
                <w:color w:val="000000"/>
                <w:sz w:val="18"/>
                <w:szCs w:val="18"/>
                <w:lang w:val="lt-LT" w:eastAsia="pl-PL"/>
              </w:rPr>
              <w:noBreakHyphen/>
              <w:t>1,19)</w:t>
            </w:r>
          </w:p>
        </w:tc>
        <w:tc>
          <w:tcPr>
            <w:tcW w:w="958" w:type="dxa"/>
            <w:vAlign w:val="center"/>
          </w:tcPr>
          <w:p w14:paraId="604B84A4"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0,711</w:t>
            </w:r>
          </w:p>
        </w:tc>
      </w:tr>
      <w:tr w:rsidR="00B64E78" w14:paraId="6AE1D9D6" w14:textId="77777777">
        <w:tc>
          <w:tcPr>
            <w:tcW w:w="2823" w:type="dxa"/>
          </w:tcPr>
          <w:p w14:paraId="5D7139BD" w14:textId="77777777" w:rsidR="00B64E78" w:rsidRDefault="00DA46A9">
            <w:pPr>
              <w:widowControl w:val="0"/>
              <w:tabs>
                <w:tab w:val="clear" w:pos="567"/>
              </w:tabs>
              <w:autoSpaceDE w:val="0"/>
              <w:autoSpaceDN w:val="0"/>
              <w:adjustRightInd w:val="0"/>
              <w:spacing w:line="240" w:lineRule="auto"/>
              <w:rPr>
                <w:rFonts w:eastAsia="TimesNewRoman"/>
                <w:snapToGrid/>
                <w:sz w:val="18"/>
                <w:szCs w:val="18"/>
                <w:lang w:val="lt-LT"/>
              </w:rPr>
            </w:pPr>
            <w:r>
              <w:rPr>
                <w:rFonts w:eastAsia="TimesNewRoman"/>
                <w:snapToGrid/>
                <w:sz w:val="18"/>
                <w:szCs w:val="18"/>
                <w:lang w:val="lt-LT"/>
              </w:rPr>
              <w:t>Bet koks miokardo infarktas (mirtinas ir nemirtinas)</w:t>
            </w:r>
          </w:p>
        </w:tc>
        <w:tc>
          <w:tcPr>
            <w:tcW w:w="1134" w:type="dxa"/>
            <w:vAlign w:val="center"/>
          </w:tcPr>
          <w:p w14:paraId="5BC100B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300 (4,1)</w:t>
            </w:r>
          </w:p>
        </w:tc>
        <w:tc>
          <w:tcPr>
            <w:tcW w:w="1015" w:type="dxa"/>
            <w:vAlign w:val="center"/>
          </w:tcPr>
          <w:p w14:paraId="1646673F"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1,4</w:t>
            </w:r>
          </w:p>
        </w:tc>
        <w:tc>
          <w:tcPr>
            <w:tcW w:w="1134" w:type="dxa"/>
            <w:vAlign w:val="center"/>
          </w:tcPr>
          <w:p w14:paraId="25F396C8"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316 (4,3)</w:t>
            </w:r>
          </w:p>
        </w:tc>
        <w:tc>
          <w:tcPr>
            <w:tcW w:w="1015" w:type="dxa"/>
            <w:vAlign w:val="center"/>
          </w:tcPr>
          <w:p w14:paraId="0CEC47A8"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1,5</w:t>
            </w:r>
          </w:p>
        </w:tc>
        <w:tc>
          <w:tcPr>
            <w:tcW w:w="1208" w:type="dxa"/>
            <w:vAlign w:val="center"/>
          </w:tcPr>
          <w:p w14:paraId="5F85B911"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0,95</w:t>
            </w:r>
          </w:p>
          <w:p w14:paraId="2819B47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(0,81</w:t>
            </w:r>
            <w:r>
              <w:rPr>
                <w:snapToGrid/>
                <w:color w:val="000000"/>
                <w:sz w:val="18"/>
                <w:szCs w:val="18"/>
                <w:lang w:val="lt-LT" w:eastAsia="pl-PL"/>
              </w:rPr>
              <w:noBreakHyphen/>
              <w:t>1,11)</w:t>
            </w:r>
          </w:p>
        </w:tc>
        <w:tc>
          <w:tcPr>
            <w:tcW w:w="958" w:type="dxa"/>
            <w:vAlign w:val="center"/>
          </w:tcPr>
          <w:p w14:paraId="7D2E0E27"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0,487</w:t>
            </w:r>
          </w:p>
        </w:tc>
      </w:tr>
      <w:tr w:rsidR="00B64E78" w14:paraId="2D8D99AD" w14:textId="77777777">
        <w:tc>
          <w:tcPr>
            <w:tcW w:w="2823" w:type="dxa"/>
          </w:tcPr>
          <w:p w14:paraId="756EE7B1" w14:textId="77777777" w:rsidR="00B64E78" w:rsidRDefault="00DA46A9">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t>Bet koks insultas (mirtinas ir nemirtinas)</w:t>
            </w:r>
          </w:p>
        </w:tc>
        <w:tc>
          <w:tcPr>
            <w:tcW w:w="1134" w:type="dxa"/>
            <w:vAlign w:val="center"/>
          </w:tcPr>
          <w:p w14:paraId="3ABB625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178 (2,4)</w:t>
            </w:r>
          </w:p>
        </w:tc>
        <w:tc>
          <w:tcPr>
            <w:tcW w:w="1015" w:type="dxa"/>
            <w:vAlign w:val="center"/>
          </w:tcPr>
          <w:p w14:paraId="41B98DBC"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w:t>
            </w:r>
          </w:p>
        </w:tc>
        <w:tc>
          <w:tcPr>
            <w:tcW w:w="1134" w:type="dxa"/>
            <w:vAlign w:val="center"/>
          </w:tcPr>
          <w:p w14:paraId="067F3A1F"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183 (2,5)</w:t>
            </w:r>
          </w:p>
        </w:tc>
        <w:tc>
          <w:tcPr>
            <w:tcW w:w="1015" w:type="dxa"/>
            <w:vAlign w:val="center"/>
          </w:tcPr>
          <w:p w14:paraId="59E55C0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w:t>
            </w:r>
          </w:p>
        </w:tc>
        <w:tc>
          <w:tcPr>
            <w:tcW w:w="1208" w:type="dxa"/>
            <w:vAlign w:val="center"/>
          </w:tcPr>
          <w:p w14:paraId="4F093FA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0,97</w:t>
            </w:r>
          </w:p>
          <w:p w14:paraId="30DCD1B3"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(0,79</w:t>
            </w:r>
            <w:r>
              <w:rPr>
                <w:snapToGrid/>
                <w:color w:val="000000"/>
                <w:sz w:val="18"/>
                <w:szCs w:val="18"/>
                <w:lang w:val="lt-LT" w:eastAsia="pl-PL"/>
              </w:rPr>
              <w:noBreakHyphen/>
              <w:t>1,19)</w:t>
            </w:r>
          </w:p>
        </w:tc>
        <w:tc>
          <w:tcPr>
            <w:tcW w:w="958" w:type="dxa"/>
            <w:vAlign w:val="center"/>
          </w:tcPr>
          <w:p w14:paraId="2265918D"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0,760</w:t>
            </w:r>
          </w:p>
        </w:tc>
      </w:tr>
      <w:tr w:rsidR="00B64E78" w14:paraId="77E98935" w14:textId="77777777">
        <w:tc>
          <w:tcPr>
            <w:tcW w:w="2823" w:type="dxa"/>
          </w:tcPr>
          <w:p w14:paraId="2C4D5851" w14:textId="77777777" w:rsidR="00B64E78" w:rsidRDefault="00DA46A9">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Hospitalizavimas dėl nestabiliosios krūtinės anginos</w:t>
            </w:r>
          </w:p>
        </w:tc>
        <w:tc>
          <w:tcPr>
            <w:tcW w:w="1134" w:type="dxa"/>
            <w:vAlign w:val="center"/>
          </w:tcPr>
          <w:p w14:paraId="2E41E66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116 (1,6)</w:t>
            </w:r>
          </w:p>
        </w:tc>
        <w:tc>
          <w:tcPr>
            <w:tcW w:w="1015" w:type="dxa"/>
            <w:vAlign w:val="center"/>
          </w:tcPr>
          <w:p w14:paraId="3131DCFC"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0,5</w:t>
            </w:r>
          </w:p>
        </w:tc>
        <w:tc>
          <w:tcPr>
            <w:tcW w:w="1134" w:type="dxa"/>
            <w:vAlign w:val="center"/>
          </w:tcPr>
          <w:p w14:paraId="60F76CE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129 (1,8)</w:t>
            </w:r>
          </w:p>
        </w:tc>
        <w:tc>
          <w:tcPr>
            <w:tcW w:w="1015" w:type="dxa"/>
            <w:vAlign w:val="center"/>
          </w:tcPr>
          <w:p w14:paraId="0F1A1DC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0,6</w:t>
            </w:r>
          </w:p>
        </w:tc>
        <w:tc>
          <w:tcPr>
            <w:tcW w:w="1208" w:type="dxa"/>
            <w:vAlign w:val="center"/>
          </w:tcPr>
          <w:p w14:paraId="77F55426"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0,90</w:t>
            </w:r>
          </w:p>
          <w:p w14:paraId="19AA357C"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(0,70</w:t>
            </w:r>
            <w:r>
              <w:rPr>
                <w:snapToGrid/>
                <w:color w:val="000000"/>
                <w:sz w:val="18"/>
                <w:szCs w:val="18"/>
                <w:lang w:val="lt-LT" w:eastAsia="pl-PL"/>
              </w:rPr>
              <w:noBreakHyphen/>
              <w:t>1,16)</w:t>
            </w:r>
          </w:p>
        </w:tc>
        <w:tc>
          <w:tcPr>
            <w:tcW w:w="958" w:type="dxa"/>
            <w:vAlign w:val="center"/>
          </w:tcPr>
          <w:p w14:paraId="31D29D4E"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0,419</w:t>
            </w:r>
          </w:p>
        </w:tc>
      </w:tr>
      <w:tr w:rsidR="00B64E78" w14:paraId="4E1B5B57" w14:textId="77777777">
        <w:tc>
          <w:tcPr>
            <w:tcW w:w="2823" w:type="dxa"/>
          </w:tcPr>
          <w:p w14:paraId="5541A838" w14:textId="77777777" w:rsidR="00B64E78" w:rsidRDefault="00DA46A9">
            <w:pPr>
              <w:widowControl w:val="0"/>
              <w:tabs>
                <w:tab w:val="clear" w:pos="567"/>
              </w:tabs>
              <w:spacing w:line="240" w:lineRule="auto"/>
              <w:rPr>
                <w:snapToGrid/>
                <w:color w:val="000000"/>
                <w:sz w:val="18"/>
                <w:szCs w:val="18"/>
                <w:lang w:val="lt-LT" w:eastAsia="pl-PL"/>
              </w:rPr>
            </w:pPr>
            <w:r>
              <w:rPr>
                <w:rFonts w:eastAsia="TimesNewRoman"/>
                <w:snapToGrid/>
                <w:sz w:val="18"/>
                <w:szCs w:val="18"/>
                <w:lang w:val="lt-LT"/>
              </w:rPr>
              <w:lastRenderedPageBreak/>
              <w:t>Mirtis dėl bet kokios priežasties</w:t>
            </w:r>
          </w:p>
        </w:tc>
        <w:tc>
          <w:tcPr>
            <w:tcW w:w="1134" w:type="dxa"/>
            <w:vAlign w:val="center"/>
          </w:tcPr>
          <w:p w14:paraId="52DF50D2"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547 (7,5)</w:t>
            </w:r>
          </w:p>
        </w:tc>
        <w:tc>
          <w:tcPr>
            <w:tcW w:w="1015" w:type="dxa"/>
            <w:vAlign w:val="center"/>
          </w:tcPr>
          <w:p w14:paraId="5C2C7861"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2,5</w:t>
            </w:r>
          </w:p>
        </w:tc>
        <w:tc>
          <w:tcPr>
            <w:tcW w:w="1134" w:type="dxa"/>
            <w:vAlign w:val="center"/>
          </w:tcPr>
          <w:p w14:paraId="31131740"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537 (7,3)</w:t>
            </w:r>
          </w:p>
        </w:tc>
        <w:tc>
          <w:tcPr>
            <w:tcW w:w="1015" w:type="dxa"/>
            <w:vAlign w:val="center"/>
          </w:tcPr>
          <w:p w14:paraId="446FCF50"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2,5</w:t>
            </w:r>
          </w:p>
        </w:tc>
        <w:tc>
          <w:tcPr>
            <w:tcW w:w="1208" w:type="dxa"/>
            <w:vAlign w:val="center"/>
          </w:tcPr>
          <w:p w14:paraId="1070FA78"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1,01</w:t>
            </w:r>
          </w:p>
          <w:p w14:paraId="59458F3B"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(0,90</w:t>
            </w:r>
            <w:r>
              <w:rPr>
                <w:snapToGrid/>
                <w:color w:val="000000"/>
                <w:sz w:val="18"/>
                <w:szCs w:val="18"/>
                <w:lang w:val="lt-LT" w:eastAsia="pl-PL"/>
              </w:rPr>
              <w:noBreakHyphen/>
              <w:t>1,14)</w:t>
            </w:r>
          </w:p>
        </w:tc>
        <w:tc>
          <w:tcPr>
            <w:tcW w:w="958" w:type="dxa"/>
            <w:vAlign w:val="center"/>
          </w:tcPr>
          <w:p w14:paraId="5C94A8C4"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0,875</w:t>
            </w:r>
          </w:p>
        </w:tc>
      </w:tr>
      <w:tr w:rsidR="00B64E78" w14:paraId="3121F9EB" w14:textId="77777777">
        <w:tc>
          <w:tcPr>
            <w:tcW w:w="2823" w:type="dxa"/>
          </w:tcPr>
          <w:p w14:paraId="0A8C0747" w14:textId="77777777" w:rsidR="00B64E78" w:rsidRDefault="00DA46A9">
            <w:pPr>
              <w:widowControl w:val="0"/>
              <w:tabs>
                <w:tab w:val="clear" w:pos="567"/>
              </w:tabs>
              <w:autoSpaceDE w:val="0"/>
              <w:autoSpaceDN w:val="0"/>
              <w:adjustRightInd w:val="0"/>
              <w:spacing w:line="240" w:lineRule="auto"/>
              <w:rPr>
                <w:snapToGrid/>
                <w:color w:val="000000"/>
                <w:sz w:val="18"/>
                <w:szCs w:val="18"/>
                <w:lang w:val="lt-LT" w:eastAsia="pl-PL"/>
              </w:rPr>
            </w:pPr>
            <w:r>
              <w:rPr>
                <w:rFonts w:eastAsia="TimesNewRoman"/>
                <w:snapToGrid/>
                <w:sz w:val="18"/>
                <w:szCs w:val="18"/>
                <w:lang w:val="lt-LT"/>
              </w:rPr>
              <w:t>Hospitalizavimas dėl širdies nepakankamumo</w:t>
            </w:r>
            <w:r>
              <w:rPr>
                <w:snapToGrid/>
                <w:color w:val="000000"/>
                <w:sz w:val="18"/>
                <w:szCs w:val="18"/>
                <w:vertAlign w:val="superscript"/>
                <w:lang w:val="lt-LT" w:eastAsia="pl-PL"/>
              </w:rPr>
              <w:t>‡</w:t>
            </w:r>
          </w:p>
        </w:tc>
        <w:tc>
          <w:tcPr>
            <w:tcW w:w="1134" w:type="dxa"/>
            <w:vAlign w:val="center"/>
          </w:tcPr>
          <w:p w14:paraId="38FFED22"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228 (3,1)</w:t>
            </w:r>
          </w:p>
        </w:tc>
        <w:tc>
          <w:tcPr>
            <w:tcW w:w="1015" w:type="dxa"/>
            <w:vAlign w:val="center"/>
          </w:tcPr>
          <w:p w14:paraId="4D390FFC"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w:t>
            </w:r>
          </w:p>
        </w:tc>
        <w:tc>
          <w:tcPr>
            <w:tcW w:w="1134" w:type="dxa"/>
            <w:vAlign w:val="center"/>
          </w:tcPr>
          <w:p w14:paraId="21272033"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229 (3,1)</w:t>
            </w:r>
          </w:p>
        </w:tc>
        <w:tc>
          <w:tcPr>
            <w:tcW w:w="1015" w:type="dxa"/>
            <w:vAlign w:val="center"/>
          </w:tcPr>
          <w:p w14:paraId="750AFC5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1,1</w:t>
            </w:r>
          </w:p>
        </w:tc>
        <w:tc>
          <w:tcPr>
            <w:tcW w:w="1208" w:type="dxa"/>
            <w:vAlign w:val="center"/>
          </w:tcPr>
          <w:p w14:paraId="417FC889"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1,00</w:t>
            </w:r>
          </w:p>
          <w:p w14:paraId="5E3D0051"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(0,83</w:t>
            </w:r>
            <w:r>
              <w:rPr>
                <w:snapToGrid/>
                <w:color w:val="000000"/>
                <w:sz w:val="18"/>
                <w:szCs w:val="18"/>
                <w:lang w:val="lt-LT" w:eastAsia="pl-PL"/>
              </w:rPr>
              <w:noBreakHyphen/>
              <w:t>1,20)</w:t>
            </w:r>
          </w:p>
        </w:tc>
        <w:tc>
          <w:tcPr>
            <w:tcW w:w="958" w:type="dxa"/>
            <w:vAlign w:val="center"/>
          </w:tcPr>
          <w:p w14:paraId="65420761" w14:textId="77777777" w:rsidR="00B64E78" w:rsidRDefault="00DA46A9">
            <w:pPr>
              <w:widowControl w:val="0"/>
              <w:tabs>
                <w:tab w:val="clear" w:pos="567"/>
              </w:tabs>
              <w:spacing w:line="240" w:lineRule="auto"/>
              <w:jc w:val="center"/>
              <w:rPr>
                <w:snapToGrid/>
                <w:color w:val="000000"/>
                <w:sz w:val="18"/>
                <w:szCs w:val="18"/>
                <w:lang w:val="lt-LT" w:eastAsia="pl-PL"/>
              </w:rPr>
            </w:pPr>
            <w:r>
              <w:rPr>
                <w:snapToGrid/>
                <w:color w:val="000000"/>
                <w:sz w:val="18"/>
                <w:szCs w:val="18"/>
                <w:lang w:val="lt-LT" w:eastAsia="pl-PL"/>
              </w:rPr>
              <w:t>0,983</w:t>
            </w:r>
          </w:p>
        </w:tc>
      </w:tr>
    </w:tbl>
    <w:p w14:paraId="7F7D7280" w14:textId="77777777" w:rsidR="00B64E78" w:rsidRDefault="00DA46A9">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lang w:val="lt-LT"/>
        </w:rPr>
        <w:t>*</w:t>
      </w:r>
      <w:r>
        <w:rPr>
          <w:rFonts w:eastAsia="TimesNewRoman"/>
          <w:snapToGrid/>
          <w:sz w:val="18"/>
          <w:szCs w:val="18"/>
          <w:lang w:val="lt-LT"/>
        </w:rPr>
        <w:tab/>
        <w:t xml:space="preserve">Dažnis per 100 paciento metų apskaičiuotas taip: 100 × (bendras skaičius pacientų, patyrusių 1 ar daugiau reiškinių tinkamu stebėjimo laikotarpiu, per visą paciento stebėjimo laikotarpį </w:t>
      </w:r>
      <w:r>
        <w:rPr>
          <w:rFonts w:eastAsia="TimesNewRoman"/>
          <w:sz w:val="18"/>
          <w:szCs w:val="18"/>
          <w:lang w:val="lt-LT"/>
        </w:rPr>
        <w:t>metais</w:t>
      </w:r>
      <w:r>
        <w:rPr>
          <w:rFonts w:eastAsia="TimesNewRoman"/>
          <w:snapToGrid/>
          <w:sz w:val="18"/>
          <w:szCs w:val="18"/>
          <w:lang w:val="lt-LT"/>
        </w:rPr>
        <w:t>).</w:t>
      </w:r>
    </w:p>
    <w:p w14:paraId="0A9E994E" w14:textId="77777777" w:rsidR="00B64E78" w:rsidRDefault="00DA46A9">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 xml:space="preserve">Remiantis </w:t>
      </w:r>
      <w:proofErr w:type="spellStart"/>
      <w:r>
        <w:rPr>
          <w:rFonts w:eastAsia="TimesNewRoman,Italic"/>
          <w:i/>
          <w:iCs/>
          <w:snapToGrid/>
          <w:sz w:val="18"/>
          <w:szCs w:val="18"/>
          <w:lang w:val="lt-LT"/>
        </w:rPr>
        <w:t>Cox</w:t>
      </w:r>
      <w:proofErr w:type="spellEnd"/>
      <w:r>
        <w:rPr>
          <w:rFonts w:eastAsia="TimesNewRoman,Italic"/>
          <w:i/>
          <w:iCs/>
          <w:snapToGrid/>
          <w:sz w:val="18"/>
          <w:szCs w:val="18"/>
          <w:lang w:val="lt-LT"/>
        </w:rPr>
        <w:t> </w:t>
      </w:r>
      <w:r>
        <w:rPr>
          <w:rFonts w:eastAsia="TimesNewRoman"/>
          <w:snapToGrid/>
          <w:sz w:val="18"/>
          <w:szCs w:val="18"/>
          <w:lang w:val="lt-LT"/>
        </w:rPr>
        <w:t xml:space="preserve">modeliu, </w:t>
      </w:r>
      <w:proofErr w:type="spellStart"/>
      <w:r>
        <w:rPr>
          <w:rFonts w:eastAsia="TimesNewRoman"/>
          <w:snapToGrid/>
          <w:sz w:val="18"/>
          <w:szCs w:val="18"/>
          <w:lang w:val="lt-LT"/>
        </w:rPr>
        <w:t>stratifikuojant</w:t>
      </w:r>
      <w:proofErr w:type="spellEnd"/>
      <w:r>
        <w:rPr>
          <w:rFonts w:eastAsia="TimesNewRoman"/>
          <w:snapToGrid/>
          <w:sz w:val="18"/>
          <w:szCs w:val="18"/>
          <w:lang w:val="lt-LT"/>
        </w:rPr>
        <w:t xml:space="preserve"> pagal regioną. Sudėtinių vertinamųjų baigčių p rodmenys atitinka neprastesnio poveikio (angl. </w:t>
      </w:r>
      <w:proofErr w:type="spellStart"/>
      <w:r>
        <w:rPr>
          <w:rFonts w:eastAsia="TimesNewRoman"/>
          <w:i/>
          <w:iCs/>
          <w:snapToGrid/>
          <w:sz w:val="18"/>
          <w:szCs w:val="18"/>
          <w:lang w:val="lt-LT"/>
        </w:rPr>
        <w:t>non-inferiority</w:t>
      </w:r>
      <w:proofErr w:type="spellEnd"/>
      <w:r>
        <w:rPr>
          <w:rFonts w:eastAsia="TimesNewRoman"/>
          <w:snapToGrid/>
          <w:sz w:val="18"/>
          <w:szCs w:val="18"/>
          <w:lang w:val="lt-LT"/>
        </w:rPr>
        <w:t>) testą, kuriuo siekiama įrodyti, kad rizikos santykis yra mažesnis kaip 1,3. Visų kitų vertinamųjų baigčių p rodmenys atitinka rizikos santykio skirtumų testą.</w:t>
      </w:r>
    </w:p>
    <w:p w14:paraId="016C021B" w14:textId="77777777" w:rsidR="00B64E78" w:rsidRDefault="00DA46A9">
      <w:pPr>
        <w:widowControl w:val="0"/>
        <w:tabs>
          <w:tab w:val="clear" w:pos="567"/>
          <w:tab w:val="left" w:pos="170"/>
        </w:tabs>
        <w:autoSpaceDE w:val="0"/>
        <w:autoSpaceDN w:val="0"/>
        <w:adjustRightInd w:val="0"/>
        <w:spacing w:line="240" w:lineRule="auto"/>
        <w:ind w:left="170" w:hanging="170"/>
        <w:rPr>
          <w:rFonts w:eastAsia="TimesNewRoman"/>
          <w:snapToGrid/>
          <w:sz w:val="18"/>
          <w:szCs w:val="18"/>
          <w:lang w:val="lt-LT"/>
        </w:rPr>
      </w:pPr>
      <w:r>
        <w:rPr>
          <w:rFonts w:eastAsia="TimesNewRoman"/>
          <w:snapToGrid/>
          <w:sz w:val="18"/>
          <w:szCs w:val="18"/>
          <w:vertAlign w:val="superscript"/>
          <w:lang w:val="lt-LT"/>
        </w:rPr>
        <w:t>‡</w:t>
      </w:r>
      <w:r>
        <w:rPr>
          <w:rFonts w:eastAsia="TimesNewRoman"/>
          <w:snapToGrid/>
          <w:sz w:val="18"/>
          <w:szCs w:val="18"/>
          <w:lang w:val="lt-LT"/>
        </w:rPr>
        <w:tab/>
        <w:t>Hospitalizavimo dėl širdies nepakankamumo analizė buvo pakoreguota pagal prieš pradedant tyrimą buvusį širdies nepakankamumą.</w:t>
      </w:r>
    </w:p>
    <w:p w14:paraId="27998533"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797C2A1"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Vaikų populiacija</w:t>
      </w:r>
    </w:p>
    <w:p w14:paraId="24127C4F"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Europos vaistų agentūra atidėjo įpareigojimą pateikti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hidrochlorido</w:t>
      </w:r>
      <w:r>
        <w:rPr>
          <w:rFonts w:eastAsia="TimesNewRoman"/>
          <w:snapToGrid/>
          <w:szCs w:val="22"/>
          <w:lang w:val="lt-LT"/>
        </w:rPr>
        <w:t xml:space="preserve"> tyrimų su vienu ar daugiau vaikų populiacijos pogrupių duomenis 2 tipo cukrinio diabeto indikacijai (vartojimo vaikams informacija pateikiama 4.2 skyriuje).</w:t>
      </w:r>
    </w:p>
    <w:p w14:paraId="7437AE60"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729844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Papildomo gydymo </w:t>
      </w:r>
      <w:proofErr w:type="spellStart"/>
      <w:r>
        <w:rPr>
          <w:rFonts w:eastAsia="TimesNewRoman"/>
          <w:snapToGrid/>
          <w:szCs w:val="22"/>
          <w:lang w:val="lt-LT"/>
        </w:rPr>
        <w:t>sitagliptinu</w:t>
      </w:r>
      <w:proofErr w:type="spellEnd"/>
      <w:r>
        <w:rPr>
          <w:rFonts w:eastAsia="TimesNewRoman"/>
          <w:snapToGrid/>
          <w:szCs w:val="22"/>
          <w:lang w:val="lt-LT"/>
        </w:rPr>
        <w:t xml:space="preserve"> saugumas ir veiksmingumas 2 tipo diabetu sirgusiems 10-17 metų vaikų populiacijos pacientams, kuriems buvo nepakankama </w:t>
      </w:r>
      <w:proofErr w:type="spellStart"/>
      <w:r>
        <w:rPr>
          <w:rFonts w:eastAsia="TimesNewRoman"/>
          <w:snapToGrid/>
          <w:szCs w:val="22"/>
          <w:lang w:val="lt-LT"/>
        </w:rPr>
        <w:t>glikemijos</w:t>
      </w:r>
      <w:proofErr w:type="spellEnd"/>
      <w:r>
        <w:rPr>
          <w:rFonts w:eastAsia="TimesNewRoman"/>
          <w:snapToGrid/>
          <w:szCs w:val="22"/>
          <w:lang w:val="lt-LT"/>
        </w:rPr>
        <w:t xml:space="preserve"> kontrolė gydant </w:t>
      </w:r>
      <w:proofErr w:type="spellStart"/>
      <w:r>
        <w:rPr>
          <w:rFonts w:eastAsia="TimesNewRoman"/>
          <w:snapToGrid/>
          <w:szCs w:val="22"/>
          <w:lang w:val="lt-LT"/>
        </w:rPr>
        <w:t>metforminu</w:t>
      </w:r>
      <w:proofErr w:type="spellEnd"/>
      <w:r>
        <w:rPr>
          <w:rFonts w:eastAsia="TimesNewRoman"/>
          <w:snapToGrid/>
          <w:szCs w:val="22"/>
          <w:lang w:val="lt-LT"/>
        </w:rPr>
        <w:t xml:space="preserve"> kartu su insulinu ar be jo, buvo įvertinti atlikus du 54 savaičių trukmės tyrimus. Papildomo gydymo </w:t>
      </w:r>
      <w:proofErr w:type="spellStart"/>
      <w:r>
        <w:rPr>
          <w:rFonts w:eastAsia="TimesNewRoman"/>
          <w:snapToGrid/>
          <w:szCs w:val="22"/>
          <w:lang w:val="lt-LT"/>
        </w:rPr>
        <w:t>sitagliptinu</w:t>
      </w:r>
      <w:proofErr w:type="spellEnd"/>
      <w:r>
        <w:rPr>
          <w:rFonts w:eastAsia="TimesNewRoman"/>
          <w:snapToGrid/>
          <w:szCs w:val="22"/>
          <w:lang w:val="lt-LT"/>
        </w:rPr>
        <w:t xml:space="preserve"> (skiriant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derinio arba </w:t>
      </w:r>
      <w:proofErr w:type="spellStart"/>
      <w:r>
        <w:rPr>
          <w:rFonts w:eastAsia="TimesNewRoman"/>
          <w:snapToGrid/>
          <w:szCs w:val="22"/>
          <w:lang w:val="lt-LT"/>
        </w:rPr>
        <w:t>sitagliptino</w:t>
      </w:r>
      <w:proofErr w:type="spellEnd"/>
      <w:r>
        <w:rPr>
          <w:rFonts w:eastAsia="TimesNewRoman"/>
          <w:snapToGrid/>
          <w:szCs w:val="22"/>
          <w:lang w:val="lt-LT"/>
        </w:rPr>
        <w:t xml:space="preserve"> ir pailginto atpalaidavimo </w:t>
      </w:r>
      <w:proofErr w:type="spellStart"/>
      <w:r>
        <w:rPr>
          <w:rFonts w:eastAsia="TimesNewRoman"/>
          <w:snapToGrid/>
          <w:szCs w:val="22"/>
          <w:lang w:val="lt-LT"/>
        </w:rPr>
        <w:t>metformino</w:t>
      </w:r>
      <w:proofErr w:type="spellEnd"/>
      <w:r>
        <w:rPr>
          <w:rFonts w:eastAsia="TimesNewRoman"/>
          <w:snapToGrid/>
          <w:szCs w:val="22"/>
          <w:lang w:val="lt-LT"/>
        </w:rPr>
        <w:t xml:space="preserve"> (XR) derinio) poveikis buvo palygintas su placebo, pridėto prie </w:t>
      </w:r>
      <w:proofErr w:type="spellStart"/>
      <w:r>
        <w:rPr>
          <w:rFonts w:eastAsia="TimesNewRoman"/>
          <w:snapToGrid/>
          <w:szCs w:val="22"/>
          <w:lang w:val="lt-LT"/>
        </w:rPr>
        <w:t>metformino</w:t>
      </w:r>
      <w:proofErr w:type="spellEnd"/>
      <w:r>
        <w:rPr>
          <w:rFonts w:eastAsia="TimesNewRoman"/>
          <w:snapToGrid/>
          <w:szCs w:val="22"/>
          <w:lang w:val="lt-LT"/>
        </w:rPr>
        <w:t xml:space="preserve"> arba </w:t>
      </w:r>
      <w:proofErr w:type="spellStart"/>
      <w:r>
        <w:rPr>
          <w:rFonts w:eastAsia="TimesNewRoman"/>
          <w:snapToGrid/>
          <w:szCs w:val="22"/>
          <w:lang w:val="lt-LT"/>
        </w:rPr>
        <w:t>metformino</w:t>
      </w:r>
      <w:proofErr w:type="spellEnd"/>
      <w:r>
        <w:rPr>
          <w:rFonts w:eastAsia="TimesNewRoman"/>
          <w:snapToGrid/>
          <w:szCs w:val="22"/>
          <w:lang w:val="lt-LT"/>
        </w:rPr>
        <w:t xml:space="preserve"> XR, poveikiu.</w:t>
      </w:r>
    </w:p>
    <w:p w14:paraId="2EC349F7"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4F963D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Nors jungtinė šių dviejų tyrimų duomenų analizė parodė, kad skiriant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derinio arba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XR derinio po 20 savaičių buvo nustatytas veiksmingesnis poveikis HbA1c rodmens sumažėjimui nei skiriant vien </w:t>
      </w:r>
      <w:proofErr w:type="spellStart"/>
      <w:r>
        <w:rPr>
          <w:rFonts w:eastAsia="TimesNewRoman"/>
          <w:snapToGrid/>
          <w:szCs w:val="22"/>
          <w:lang w:val="lt-LT"/>
        </w:rPr>
        <w:t>metformino</w:t>
      </w:r>
      <w:proofErr w:type="spellEnd"/>
      <w:r>
        <w:rPr>
          <w:rFonts w:eastAsia="TimesNewRoman"/>
          <w:snapToGrid/>
          <w:szCs w:val="22"/>
          <w:lang w:val="lt-LT"/>
        </w:rPr>
        <w:t xml:space="preserve">, tačiau kiekvieno atskiro tyrimo rezultatai buvo prieštaringi. Be to, 54-ąją savaitę nebuvo nustatytas veiksmingesnis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derinio arba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XR derinio poveikis lyginant su vien </w:t>
      </w:r>
      <w:proofErr w:type="spellStart"/>
      <w:r>
        <w:rPr>
          <w:rFonts w:eastAsia="TimesNewRoman"/>
          <w:snapToGrid/>
          <w:szCs w:val="22"/>
          <w:lang w:val="lt-LT"/>
        </w:rPr>
        <w:t>metformino</w:t>
      </w:r>
      <w:proofErr w:type="spellEnd"/>
      <w:r>
        <w:rPr>
          <w:rFonts w:eastAsia="TimesNewRoman"/>
          <w:snapToGrid/>
          <w:szCs w:val="22"/>
          <w:lang w:val="lt-LT"/>
        </w:rPr>
        <w:t xml:space="preserve"> poveikiu. Todėl </w:t>
      </w:r>
      <w:proofErr w:type="spellStart"/>
      <w:r>
        <w:rPr>
          <w:rFonts w:eastAsia="TimesNewRoman"/>
          <w:snapToGrid/>
          <w:szCs w:val="22"/>
          <w:lang w:val="lt-LT"/>
        </w:rPr>
        <w:t>Janumet</w:t>
      </w:r>
      <w:proofErr w:type="spellEnd"/>
      <w:r>
        <w:rPr>
          <w:rFonts w:eastAsia="TimesNewRoman"/>
          <w:snapToGrid/>
          <w:szCs w:val="22"/>
          <w:lang w:val="lt-LT"/>
        </w:rPr>
        <w:t xml:space="preserve"> negalima vartoti vaikų populiacijos pacientams nuo 10 iki 17 metų, kadangi jiems veiksmingumas nepakankamas (žr. 4.2 skyriaus informaciją apie vartojimą vaikams).</w:t>
      </w:r>
    </w:p>
    <w:p w14:paraId="3E782A83" w14:textId="77777777" w:rsidR="00B64E78" w:rsidRDefault="00B64E78">
      <w:pPr>
        <w:widowControl w:val="0"/>
        <w:tabs>
          <w:tab w:val="clear" w:pos="567"/>
        </w:tabs>
        <w:spacing w:line="240" w:lineRule="auto"/>
        <w:rPr>
          <w:snapToGrid/>
          <w:szCs w:val="22"/>
          <w:lang w:val="lt-LT"/>
        </w:rPr>
      </w:pPr>
    </w:p>
    <w:p w14:paraId="2303C3A6"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r>
      <w:proofErr w:type="spellStart"/>
      <w:r>
        <w:rPr>
          <w:b/>
          <w:snapToGrid/>
          <w:kern w:val="28"/>
          <w:szCs w:val="22"/>
          <w:lang w:val="lt-LT"/>
        </w:rPr>
        <w:t>Farmakokinetinės</w:t>
      </w:r>
      <w:proofErr w:type="spellEnd"/>
      <w:r>
        <w:rPr>
          <w:b/>
          <w:snapToGrid/>
          <w:kern w:val="28"/>
          <w:szCs w:val="22"/>
          <w:lang w:val="lt-LT"/>
        </w:rPr>
        <w:t xml:space="preserve"> savybės</w:t>
      </w:r>
    </w:p>
    <w:p w14:paraId="62758BE6" w14:textId="77777777" w:rsidR="00B64E78" w:rsidRDefault="00B64E78">
      <w:pPr>
        <w:widowControl w:val="0"/>
        <w:tabs>
          <w:tab w:val="clear" w:pos="567"/>
        </w:tabs>
        <w:spacing w:line="240" w:lineRule="auto"/>
        <w:ind w:left="567" w:hanging="567"/>
        <w:rPr>
          <w:bCs/>
          <w:snapToGrid/>
          <w:szCs w:val="22"/>
          <w:lang w:val="lt-LT"/>
        </w:rPr>
      </w:pPr>
    </w:p>
    <w:p w14:paraId="5284D32A" w14:textId="77777777" w:rsidR="00B64E78" w:rsidRDefault="00DA46A9">
      <w:pPr>
        <w:widowControl w:val="0"/>
        <w:tabs>
          <w:tab w:val="clear" w:pos="567"/>
        </w:tabs>
        <w:spacing w:line="240" w:lineRule="auto"/>
        <w:ind w:left="567" w:hanging="567"/>
        <w:rPr>
          <w:bCs/>
          <w:snapToGrid/>
          <w:szCs w:val="22"/>
          <w:lang w:val="lt-LT"/>
        </w:rPr>
      </w:pPr>
      <w:r>
        <w:rPr>
          <w:bCs/>
          <w:snapToGrid/>
          <w:szCs w:val="22"/>
          <w:lang w:val="lt-LT"/>
        </w:rPr>
        <w:t>Sitagliptinas/</w:t>
      </w:r>
      <w:proofErr w:type="spellStart"/>
      <w:r>
        <w:rPr>
          <w:bCs/>
          <w:snapToGrid/>
          <w:szCs w:val="22"/>
          <w:lang w:val="lt-LT"/>
        </w:rPr>
        <w:t>metforminas</w:t>
      </w:r>
      <w:proofErr w:type="spellEnd"/>
    </w:p>
    <w:p w14:paraId="4CA5DF94"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Biologinio ekvivalentiškumo tyrimas su sveikais savanoriais parodė, kad </w:t>
      </w:r>
      <w:proofErr w:type="spellStart"/>
      <w:r>
        <w:rPr>
          <w:rFonts w:eastAsia="TimesNewRoman"/>
          <w:snapToGrid/>
          <w:szCs w:val="22"/>
          <w:lang w:val="lt-LT"/>
        </w:rPr>
        <w:t>sitagliptino</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hidrochlorido derinio tabletės yra biologiškai ekvivalentiškos kartu vartojamoms atskiroms </w:t>
      </w:r>
      <w:proofErr w:type="spellStart"/>
      <w:r>
        <w:rPr>
          <w:rFonts w:eastAsia="TimesNewRoman"/>
          <w:snapToGrid/>
          <w:szCs w:val="22"/>
          <w:lang w:val="lt-LT"/>
        </w:rPr>
        <w:t>sitagliptino</w:t>
      </w:r>
      <w:proofErr w:type="spellEnd"/>
      <w:r>
        <w:rPr>
          <w:rFonts w:eastAsia="TimesNewRoman"/>
          <w:snapToGrid/>
          <w:szCs w:val="22"/>
          <w:lang w:val="lt-LT"/>
        </w:rPr>
        <w:t xml:space="preserve"> fosfato ir </w:t>
      </w:r>
      <w:proofErr w:type="spellStart"/>
      <w:r>
        <w:rPr>
          <w:rFonts w:eastAsia="TimesNewRoman"/>
          <w:snapToGrid/>
          <w:szCs w:val="22"/>
          <w:lang w:val="lt-LT"/>
        </w:rPr>
        <w:t>metformino</w:t>
      </w:r>
      <w:proofErr w:type="spellEnd"/>
      <w:r>
        <w:rPr>
          <w:rFonts w:eastAsia="TimesNewRoman"/>
          <w:snapToGrid/>
          <w:szCs w:val="22"/>
          <w:lang w:val="lt-LT"/>
        </w:rPr>
        <w:t xml:space="preserve"> hidrochlorido tabletėms.</w:t>
      </w:r>
    </w:p>
    <w:p w14:paraId="127F0B22"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EDACD14"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pateikiama informacija apie kiekvienos </w:t>
      </w:r>
      <w:proofErr w:type="spellStart"/>
      <w:r>
        <w:rPr>
          <w:rFonts w:eastAsia="TimesNewRoman"/>
          <w:snapToGrid/>
          <w:szCs w:val="22"/>
          <w:lang w:val="lt-LT"/>
        </w:rPr>
        <w:t>Maymetsi</w:t>
      </w:r>
      <w:proofErr w:type="spellEnd"/>
      <w:r>
        <w:rPr>
          <w:rFonts w:eastAsia="TimesNewRoman"/>
          <w:snapToGrid/>
          <w:szCs w:val="22"/>
          <w:lang w:val="lt-LT"/>
        </w:rPr>
        <w:t xml:space="preserve"> veikliosios medžiagos </w:t>
      </w:r>
      <w:proofErr w:type="spellStart"/>
      <w:r>
        <w:rPr>
          <w:rFonts w:eastAsia="TimesNewRoman"/>
          <w:snapToGrid/>
          <w:szCs w:val="22"/>
          <w:lang w:val="lt-LT"/>
        </w:rPr>
        <w:t>farmakokinetines</w:t>
      </w:r>
      <w:proofErr w:type="spellEnd"/>
      <w:r>
        <w:rPr>
          <w:rFonts w:eastAsia="TimesNewRoman"/>
          <w:snapToGrid/>
          <w:szCs w:val="22"/>
          <w:lang w:val="lt-LT"/>
        </w:rPr>
        <w:t xml:space="preserve"> savybes.</w:t>
      </w:r>
    </w:p>
    <w:p w14:paraId="1AFA34CF" w14:textId="77777777" w:rsidR="00B64E78" w:rsidRDefault="00B64E78">
      <w:pPr>
        <w:widowControl w:val="0"/>
        <w:tabs>
          <w:tab w:val="clear" w:pos="567"/>
        </w:tabs>
        <w:spacing w:line="240" w:lineRule="auto"/>
        <w:ind w:left="567" w:hanging="567"/>
        <w:rPr>
          <w:bCs/>
          <w:snapToGrid/>
          <w:szCs w:val="22"/>
          <w:lang w:val="lt-LT"/>
        </w:rPr>
      </w:pPr>
    </w:p>
    <w:p w14:paraId="0BC8BA0D" w14:textId="77777777" w:rsidR="00B64E78" w:rsidRDefault="00DA46A9">
      <w:pPr>
        <w:widowControl w:val="0"/>
        <w:tabs>
          <w:tab w:val="clear" w:pos="567"/>
        </w:tabs>
        <w:spacing w:line="240" w:lineRule="auto"/>
        <w:ind w:left="567" w:hanging="567"/>
        <w:rPr>
          <w:bCs/>
          <w:i/>
          <w:iCs/>
          <w:snapToGrid/>
          <w:szCs w:val="22"/>
          <w:lang w:val="lt-LT"/>
        </w:rPr>
      </w:pPr>
      <w:r>
        <w:rPr>
          <w:bCs/>
          <w:i/>
          <w:iCs/>
          <w:snapToGrid/>
          <w:szCs w:val="22"/>
          <w:lang w:val="lt-LT"/>
        </w:rPr>
        <w:t>Sitagliptinas</w:t>
      </w:r>
    </w:p>
    <w:p w14:paraId="2E9637D3"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53E86ED8"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Sveikų tiriamųjų, pavartojusių per burną 100 mg dozę, organizme </w:t>
      </w:r>
      <w:proofErr w:type="spellStart"/>
      <w:r>
        <w:rPr>
          <w:rFonts w:eastAsia="TimesNewRoman"/>
          <w:snapToGrid/>
          <w:szCs w:val="22"/>
          <w:lang w:val="lt-LT"/>
        </w:rPr>
        <w:t>sitagliptinas</w:t>
      </w:r>
      <w:proofErr w:type="spellEnd"/>
      <w:r>
        <w:rPr>
          <w:rFonts w:eastAsia="TimesNewRoman"/>
          <w:snapToGrid/>
          <w:szCs w:val="22"/>
          <w:lang w:val="lt-LT"/>
        </w:rPr>
        <w:t xml:space="preserve"> buvo greitai absorbuotas, didžiausia koncentracija kraujo plazmoje (</w:t>
      </w:r>
      <w:proofErr w:type="spellStart"/>
      <w:r>
        <w:rPr>
          <w:rFonts w:eastAsia="TimesNewRoman"/>
          <w:snapToGrid/>
          <w:szCs w:val="22"/>
          <w:lang w:val="lt-LT"/>
        </w:rPr>
        <w:t>T</w:t>
      </w:r>
      <w:r>
        <w:rPr>
          <w:rFonts w:eastAsia="TimesNewRoman"/>
          <w:snapToGrid/>
          <w:szCs w:val="22"/>
          <w:vertAlign w:val="subscript"/>
          <w:lang w:val="lt-LT"/>
        </w:rPr>
        <w:t>max</w:t>
      </w:r>
      <w:proofErr w:type="spellEnd"/>
      <w:r>
        <w:rPr>
          <w:rFonts w:eastAsia="TimesNewRoman"/>
          <w:snapToGrid/>
          <w:szCs w:val="22"/>
          <w:lang w:val="lt-LT"/>
        </w:rPr>
        <w:t> mediana) atsirado praėjus 1</w:t>
      </w:r>
      <w:r>
        <w:rPr>
          <w:rFonts w:eastAsia="TimesNewRoman"/>
          <w:snapToGrid/>
          <w:szCs w:val="22"/>
          <w:lang w:val="lt-LT"/>
        </w:rPr>
        <w:noBreakHyphen/>
        <w:t xml:space="preserve">4 valandoms po dozės pavartojimo, vidutinis </w:t>
      </w:r>
      <w:proofErr w:type="spellStart"/>
      <w:r>
        <w:rPr>
          <w:rFonts w:eastAsia="TimesNewRoman"/>
          <w:snapToGrid/>
          <w:szCs w:val="22"/>
          <w:lang w:val="lt-LT"/>
        </w:rPr>
        <w:t>sitagliptino</w:t>
      </w:r>
      <w:proofErr w:type="spellEnd"/>
      <w:r>
        <w:rPr>
          <w:rFonts w:eastAsia="TimesNewRoman"/>
          <w:snapToGrid/>
          <w:szCs w:val="22"/>
          <w:lang w:val="lt-LT"/>
        </w:rPr>
        <w:t xml:space="preserve"> AUC kraujo plazmoje buvo 8,52 µM*val.,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950 </w:t>
      </w:r>
      <w:proofErr w:type="spellStart"/>
      <w:r>
        <w:rPr>
          <w:rFonts w:eastAsia="TimesNewRoman"/>
          <w:snapToGrid/>
          <w:szCs w:val="22"/>
          <w:lang w:val="lt-LT"/>
        </w:rPr>
        <w:t>nM</w:t>
      </w:r>
      <w:proofErr w:type="spellEnd"/>
      <w:r>
        <w:rPr>
          <w:rFonts w:eastAsia="TimesNewRoman"/>
          <w:snapToGrid/>
          <w:szCs w:val="22"/>
          <w:lang w:val="lt-LT"/>
        </w:rPr>
        <w:t xml:space="preserve">. Absoliutus </w:t>
      </w:r>
      <w:proofErr w:type="spellStart"/>
      <w:r>
        <w:rPr>
          <w:rFonts w:eastAsia="TimesNewRoman"/>
          <w:snapToGrid/>
          <w:szCs w:val="22"/>
          <w:lang w:val="lt-LT"/>
        </w:rPr>
        <w:t>sitagliptino</w:t>
      </w:r>
      <w:proofErr w:type="spellEnd"/>
      <w:r>
        <w:rPr>
          <w:rFonts w:eastAsia="TimesNewRoman"/>
          <w:snapToGrid/>
          <w:szCs w:val="22"/>
          <w:lang w:val="lt-LT"/>
        </w:rPr>
        <w:t xml:space="preserve"> biologinis prieinamumas yra maždaug 87 %. Labai riebus maistas kartu vartoto </w:t>
      </w:r>
      <w:proofErr w:type="spellStart"/>
      <w:r>
        <w:rPr>
          <w:rFonts w:eastAsia="TimesNewRoman"/>
          <w:snapToGrid/>
          <w:szCs w:val="22"/>
          <w:lang w:val="lt-LT"/>
        </w:rPr>
        <w:t>sitagliptino</w:t>
      </w:r>
      <w:proofErr w:type="spellEnd"/>
      <w:r>
        <w:rPr>
          <w:rFonts w:eastAsia="TimesNewRoman"/>
          <w:snapToGrid/>
          <w:szCs w:val="22"/>
          <w:lang w:val="lt-LT"/>
        </w:rPr>
        <w:t xml:space="preserve"> farmakokinetikai įtakos neturėjo, </w:t>
      </w:r>
      <w:proofErr w:type="spellStart"/>
      <w:r>
        <w:rPr>
          <w:rFonts w:eastAsia="TimesNewRoman"/>
          <w:snapToGrid/>
          <w:szCs w:val="22"/>
          <w:lang w:val="lt-LT"/>
        </w:rPr>
        <w:t>sitagliptiną</w:t>
      </w:r>
      <w:proofErr w:type="spellEnd"/>
      <w:r>
        <w:rPr>
          <w:rFonts w:eastAsia="TimesNewRoman"/>
          <w:snapToGrid/>
          <w:szCs w:val="22"/>
          <w:lang w:val="lt-LT"/>
        </w:rPr>
        <w:t xml:space="preserve"> galima vartoti valgant arba nevalgius.</w:t>
      </w:r>
    </w:p>
    <w:p w14:paraId="16F14277"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408F9B95"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Sitagliptino</w:t>
      </w:r>
      <w:proofErr w:type="spellEnd"/>
      <w:r>
        <w:rPr>
          <w:rFonts w:eastAsia="TimesNewRoman"/>
          <w:snapToGrid/>
          <w:szCs w:val="22"/>
          <w:lang w:val="lt-LT"/>
        </w:rPr>
        <w:t xml:space="preserve"> AUC kraujo plazmoje didėjo proporcingai dozei.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vertAlign w:val="subscript"/>
          <w:lang w:val="lt-LT"/>
        </w:rPr>
        <w:t xml:space="preserve"> </w:t>
      </w:r>
      <w:r>
        <w:rPr>
          <w:rFonts w:eastAsia="TimesNewRoman"/>
          <w:snapToGrid/>
          <w:szCs w:val="22"/>
          <w:lang w:val="lt-LT"/>
        </w:rPr>
        <w:t>ir C</w:t>
      </w:r>
      <w:r>
        <w:rPr>
          <w:rFonts w:eastAsia="TimesNewRoman"/>
          <w:snapToGrid/>
          <w:szCs w:val="22"/>
          <w:vertAlign w:val="subscript"/>
          <w:lang w:val="lt-LT"/>
        </w:rPr>
        <w:t>24 val.</w:t>
      </w:r>
      <w:r>
        <w:rPr>
          <w:rFonts w:eastAsia="TimesNewRoman"/>
          <w:snapToGrid/>
          <w:szCs w:val="22"/>
          <w:lang w:val="lt-LT"/>
        </w:rPr>
        <w:t xml:space="preserve"> proporcingumas dozei nebuvo patvirtinti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didėjo daugiau negu proporcingai dozei, C</w:t>
      </w:r>
      <w:r>
        <w:rPr>
          <w:rFonts w:eastAsia="TimesNewRoman"/>
          <w:snapToGrid/>
          <w:szCs w:val="22"/>
          <w:vertAlign w:val="subscript"/>
          <w:lang w:val="lt-LT"/>
        </w:rPr>
        <w:t>24 val.</w:t>
      </w:r>
      <w:r>
        <w:rPr>
          <w:rFonts w:eastAsia="TimesNewRoman"/>
          <w:snapToGrid/>
          <w:szCs w:val="22"/>
          <w:lang w:val="lt-LT"/>
        </w:rPr>
        <w:t xml:space="preserve"> – mažiau negu proporcingai dozei).</w:t>
      </w:r>
    </w:p>
    <w:p w14:paraId="6050807D"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0B5E21B1"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353F3474"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 veną suleidus vieną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sveikų asmenų organizme vidutinis pasiskirstymo tūris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apykaitai buvo maždaug 198 litrai. </w:t>
      </w:r>
      <w:proofErr w:type="spellStart"/>
      <w:r>
        <w:rPr>
          <w:rFonts w:eastAsia="TimesNewRoman"/>
          <w:snapToGrid/>
          <w:szCs w:val="22"/>
          <w:lang w:val="lt-LT"/>
        </w:rPr>
        <w:t>Sitagliptino</w:t>
      </w:r>
      <w:proofErr w:type="spellEnd"/>
      <w:r>
        <w:rPr>
          <w:rFonts w:eastAsia="TimesNewRoman"/>
          <w:snapToGrid/>
          <w:szCs w:val="22"/>
          <w:lang w:val="lt-LT"/>
        </w:rPr>
        <w:t xml:space="preserve"> dalis, kuri laikinai prisijungia prie kraujo plazmos baltymų, yra maža (38 %).</w:t>
      </w:r>
    </w:p>
    <w:p w14:paraId="54CC25F9" w14:textId="77777777" w:rsidR="00B64E78" w:rsidRDefault="00B64E78">
      <w:pPr>
        <w:widowControl w:val="0"/>
        <w:tabs>
          <w:tab w:val="clear" w:pos="567"/>
        </w:tabs>
        <w:autoSpaceDE w:val="0"/>
        <w:autoSpaceDN w:val="0"/>
        <w:adjustRightInd w:val="0"/>
        <w:spacing w:line="240" w:lineRule="auto"/>
        <w:rPr>
          <w:rFonts w:eastAsia="TimesNewRoman"/>
          <w:snapToGrid/>
          <w:szCs w:val="22"/>
          <w:u w:val="single"/>
          <w:lang w:val="lt-LT"/>
        </w:rPr>
      </w:pPr>
    </w:p>
    <w:p w14:paraId="36D9A783"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lastRenderedPageBreak/>
        <w:t>Biotransformacija</w:t>
      </w:r>
      <w:proofErr w:type="spellEnd"/>
    </w:p>
    <w:p w14:paraId="56FC0F33"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metabolizuojama</w:t>
      </w:r>
      <w:proofErr w:type="spellEnd"/>
      <w:r>
        <w:rPr>
          <w:rFonts w:eastAsia="TimesNewRoman"/>
          <w:snapToGrid/>
          <w:szCs w:val="22"/>
          <w:lang w:val="lt-LT"/>
        </w:rPr>
        <w:t xml:space="preserve"> mažai, daugiausiai jis pašalinamas su šlapimu nepakitęs. Maždaug 79 % </w:t>
      </w:r>
      <w:proofErr w:type="spellStart"/>
      <w:r>
        <w:rPr>
          <w:rFonts w:eastAsia="TimesNewRoman"/>
          <w:snapToGrid/>
          <w:szCs w:val="22"/>
          <w:lang w:val="lt-LT"/>
        </w:rPr>
        <w:t>sitagliptino</w:t>
      </w:r>
      <w:proofErr w:type="spellEnd"/>
      <w:r>
        <w:rPr>
          <w:rFonts w:eastAsia="TimesNewRoman"/>
          <w:snapToGrid/>
          <w:szCs w:val="22"/>
          <w:lang w:val="lt-LT"/>
        </w:rPr>
        <w:t xml:space="preserve"> išsiskiria su šlapimu nepakitusia forma.</w:t>
      </w:r>
    </w:p>
    <w:p w14:paraId="1EE003BA"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2FBB523"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Pavartojus per burną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 xml:space="preserve">sitagliptino dozę, maždaug 16 % radioaktyvumo buvo pašalinta </w:t>
      </w:r>
      <w:proofErr w:type="spellStart"/>
      <w:r>
        <w:rPr>
          <w:rFonts w:eastAsia="TimesNewRoman"/>
          <w:snapToGrid/>
          <w:szCs w:val="22"/>
          <w:lang w:val="lt-LT"/>
        </w:rPr>
        <w:t>sitagliptino</w:t>
      </w:r>
      <w:proofErr w:type="spellEnd"/>
      <w:r>
        <w:rPr>
          <w:rFonts w:eastAsia="TimesNewRoman"/>
          <w:snapToGrid/>
          <w:szCs w:val="22"/>
          <w:lang w:val="lt-LT"/>
        </w:rPr>
        <w:t xml:space="preserve"> metabolitų forma. Buvo aptikti šešių metabolitų pėdsakai ir nesitikima, kad jie prisideda prie </w:t>
      </w:r>
      <w:proofErr w:type="spellStart"/>
      <w:r>
        <w:rPr>
          <w:rFonts w:eastAsia="TimesNewRoman"/>
          <w:snapToGrid/>
          <w:szCs w:val="22"/>
          <w:lang w:val="lt-LT"/>
        </w:rPr>
        <w:t>sitagliptino</w:t>
      </w:r>
      <w:proofErr w:type="spellEnd"/>
      <w:r>
        <w:rPr>
          <w:rFonts w:eastAsia="TimesNewRoman"/>
          <w:snapToGrid/>
          <w:szCs w:val="22"/>
          <w:lang w:val="lt-LT"/>
        </w:rPr>
        <w:t xml:space="preserve"> DPP</w:t>
      </w:r>
      <w:r>
        <w:rPr>
          <w:rFonts w:eastAsia="TimesNewRoman"/>
          <w:snapToGrid/>
          <w:szCs w:val="22"/>
          <w:lang w:val="lt-LT"/>
        </w:rPr>
        <w:noBreakHyphen/>
        <w:t xml:space="preserve">4 slopinamojo aktyvumo kraujo plazmoje. Tyrimai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parodė, kad svarbiausias fermentas, atsakingas už ribotą </w:t>
      </w:r>
      <w:proofErr w:type="spellStart"/>
      <w:r>
        <w:rPr>
          <w:rFonts w:eastAsia="TimesNewRoman"/>
          <w:snapToGrid/>
          <w:szCs w:val="22"/>
          <w:lang w:val="lt-LT"/>
        </w:rPr>
        <w:t>sitagliptino</w:t>
      </w:r>
      <w:proofErr w:type="spellEnd"/>
      <w:r>
        <w:rPr>
          <w:rFonts w:eastAsia="TimesNewRoman"/>
          <w:snapToGrid/>
          <w:szCs w:val="22"/>
          <w:lang w:val="lt-LT"/>
        </w:rPr>
        <w:t xml:space="preserve"> metabolizmą, yra CYP3A4, dalyvaujant ir CYP2C8.</w:t>
      </w:r>
    </w:p>
    <w:p w14:paraId="5D60CCE4"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65A1241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w:t>
      </w:r>
      <w:proofErr w:type="spellStart"/>
      <w:r>
        <w:rPr>
          <w:rFonts w:eastAsia="TimesNewRoman,Italic"/>
          <w:i/>
          <w:iCs/>
          <w:snapToGrid/>
          <w:szCs w:val="22"/>
          <w:lang w:val="lt-LT"/>
        </w:rPr>
        <w:t>in</w:t>
      </w:r>
      <w:proofErr w:type="spellEnd"/>
      <w:r>
        <w:rPr>
          <w:rFonts w:eastAsia="TimesNewRoman,Italic"/>
          <w:i/>
          <w:iCs/>
          <w:snapToGrid/>
          <w:szCs w:val="22"/>
          <w:lang w:val="lt-LT"/>
        </w:rPr>
        <w:t> </w:t>
      </w:r>
      <w:proofErr w:type="spellStart"/>
      <w:r>
        <w:rPr>
          <w:rFonts w:eastAsia="TimesNewRoman,Italic"/>
          <w:i/>
          <w:iCs/>
          <w:snapToGrid/>
          <w:szCs w:val="22"/>
          <w:lang w:val="lt-LT"/>
        </w:rPr>
        <w:t>vitro</w:t>
      </w:r>
      <w:proofErr w:type="spellEnd"/>
      <w:r>
        <w:rPr>
          <w:rFonts w:eastAsia="TimesNewRoman,Italic"/>
          <w:i/>
          <w:iCs/>
          <w:snapToGrid/>
          <w:szCs w:val="22"/>
          <w:lang w:val="lt-LT"/>
        </w:rPr>
        <w:t xml:space="preserve"> </w:t>
      </w:r>
      <w:r>
        <w:rPr>
          <w:rFonts w:eastAsia="TimesNewRoman"/>
          <w:snapToGrid/>
          <w:szCs w:val="22"/>
          <w:lang w:val="lt-LT"/>
        </w:rPr>
        <w:t xml:space="preserve">duomenys rodo, kad </w:t>
      </w:r>
      <w:proofErr w:type="spellStart"/>
      <w:r>
        <w:rPr>
          <w:rFonts w:eastAsia="TimesNewRoman"/>
          <w:snapToGrid/>
          <w:szCs w:val="22"/>
          <w:lang w:val="lt-LT"/>
        </w:rPr>
        <w:t>sitagliptinas</w:t>
      </w:r>
      <w:proofErr w:type="spellEnd"/>
      <w:r>
        <w:rPr>
          <w:rFonts w:eastAsia="TimesNewRoman"/>
          <w:snapToGrid/>
          <w:szCs w:val="22"/>
          <w:lang w:val="lt-LT"/>
        </w:rPr>
        <w:t xml:space="preserve"> CYP </w:t>
      </w:r>
      <w:proofErr w:type="spellStart"/>
      <w:r>
        <w:rPr>
          <w:rFonts w:eastAsia="TimesNewRoman"/>
          <w:snapToGrid/>
          <w:szCs w:val="22"/>
          <w:lang w:val="lt-LT"/>
        </w:rPr>
        <w:t>izofermentų</w:t>
      </w:r>
      <w:proofErr w:type="spellEnd"/>
      <w:r>
        <w:rPr>
          <w:rFonts w:eastAsia="TimesNewRoman"/>
          <w:snapToGrid/>
          <w:szCs w:val="22"/>
          <w:lang w:val="lt-LT"/>
        </w:rPr>
        <w:t xml:space="preserve"> CYP3A4, 2C8, 2C9, 2D6, 1A2, 2C19 bei 2B6 neslopina, o CYP3A4 ir CYP1A2 neindukuoja.</w:t>
      </w:r>
    </w:p>
    <w:p w14:paraId="71F34BD7"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DB1791C"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3C7FE058"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2"/>
          <w:lang w:val="lt-LT"/>
        </w:rPr>
        <w:t xml:space="preserve">Sveikiems asmenims per burną pavartojus 100 mg žymėto </w:t>
      </w:r>
      <w:r>
        <w:rPr>
          <w:rFonts w:eastAsia="TimesNewRoman"/>
          <w:snapToGrid/>
          <w:szCs w:val="22"/>
          <w:vertAlign w:val="superscript"/>
          <w:lang w:val="lt-LT"/>
        </w:rPr>
        <w:t>14</w:t>
      </w:r>
      <w:r>
        <w:rPr>
          <w:rFonts w:eastAsia="TimesNewRoman"/>
          <w:snapToGrid/>
          <w:szCs w:val="22"/>
          <w:lang w:val="lt-LT"/>
        </w:rPr>
        <w:t>C</w:t>
      </w:r>
      <w:r>
        <w:rPr>
          <w:rFonts w:eastAsia="TimesNewRoman"/>
          <w:snapToGrid/>
          <w:szCs w:val="22"/>
          <w:lang w:val="lt-LT"/>
        </w:rPr>
        <w:noBreakHyphen/>
        <w:t xml:space="preserve">sitagliptino dozę, per savaitę išsiskyrė maždaug 100 % radioaktyvumo (13 % su išmatomis ir 87 % su šlapimu). Pavartojus per burną 100 mg </w:t>
      </w:r>
      <w:proofErr w:type="spellStart"/>
      <w:r>
        <w:rPr>
          <w:rFonts w:eastAsia="TimesNewRoman"/>
          <w:snapToGrid/>
          <w:szCs w:val="22"/>
          <w:lang w:val="lt-LT"/>
        </w:rPr>
        <w:t>sitagliptino</w:t>
      </w:r>
      <w:proofErr w:type="spellEnd"/>
      <w:r>
        <w:rPr>
          <w:rFonts w:eastAsia="TimesNewRoman"/>
          <w:snapToGrid/>
          <w:szCs w:val="22"/>
          <w:lang w:val="lt-LT"/>
        </w:rPr>
        <w:t xml:space="preserve"> dozę, jo tariamasis galutinis pusinės eliminacijos laikas (t</w:t>
      </w:r>
      <w:r>
        <w:rPr>
          <w:rFonts w:eastAsia="TimesNewRoman"/>
          <w:snapToGrid/>
          <w:szCs w:val="22"/>
          <w:vertAlign w:val="subscript"/>
          <w:lang w:val="lt-LT"/>
        </w:rPr>
        <w:t>½</w:t>
      </w:r>
      <w:r>
        <w:rPr>
          <w:rFonts w:eastAsia="TimesNewRoman"/>
          <w:snapToGrid/>
          <w:szCs w:val="22"/>
          <w:lang w:val="lt-LT"/>
        </w:rPr>
        <w:t xml:space="preserve">) buvo maždaug 12,4 valandos. </w:t>
      </w:r>
      <w:r>
        <w:rPr>
          <w:rFonts w:eastAsia="TimesNewRoman"/>
          <w:snapToGrid/>
          <w:szCs w:val="24"/>
          <w:lang w:val="lt-LT"/>
        </w:rPr>
        <w:t xml:space="preserve">Vartojant kartotines dozes, </w:t>
      </w:r>
      <w:proofErr w:type="spellStart"/>
      <w:r>
        <w:rPr>
          <w:rFonts w:eastAsia="TimesNewRoman"/>
          <w:snapToGrid/>
          <w:szCs w:val="24"/>
          <w:lang w:val="lt-LT"/>
        </w:rPr>
        <w:t>sitagliptino</w:t>
      </w:r>
      <w:proofErr w:type="spellEnd"/>
      <w:r>
        <w:rPr>
          <w:rFonts w:eastAsia="TimesNewRoman"/>
          <w:snapToGrid/>
          <w:szCs w:val="24"/>
          <w:lang w:val="lt-LT"/>
        </w:rPr>
        <w:t xml:space="preserve"> organizme kaupiasi labai nedaug. Vaistinio preparato inkstų klirensas buvo maždaug 350 ml/min.</w:t>
      </w:r>
    </w:p>
    <w:p w14:paraId="10CE5A27"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576536E6"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Sitagliptinas šalinamas daugiausiai per inkstus, vyksta aktyvi sekrecija į kanalėlius. Sitagliptinas yra žmogaus organinių anijonų nešiklio</w:t>
      </w:r>
      <w:r>
        <w:rPr>
          <w:rFonts w:eastAsia="TimesNewRoman"/>
          <w:snapToGrid/>
          <w:szCs w:val="24"/>
          <w:lang w:val="lt-LT"/>
        </w:rPr>
        <w:noBreakHyphen/>
        <w:t>3 (hOAT</w:t>
      </w:r>
      <w:r>
        <w:rPr>
          <w:rFonts w:eastAsia="TimesNewRoman"/>
          <w:snapToGrid/>
          <w:szCs w:val="24"/>
          <w:lang w:val="lt-LT"/>
        </w:rPr>
        <w:noBreakHyphen/>
        <w:t xml:space="preserve">3), kuris galbūt dalyvauja ir </w:t>
      </w:r>
      <w:proofErr w:type="spellStart"/>
      <w:r>
        <w:rPr>
          <w:rFonts w:eastAsia="TimesNewRoman"/>
          <w:snapToGrid/>
          <w:szCs w:val="24"/>
          <w:lang w:val="lt-LT"/>
        </w:rPr>
        <w:t>sitagliptino</w:t>
      </w:r>
      <w:proofErr w:type="spellEnd"/>
      <w:r>
        <w:rPr>
          <w:rFonts w:eastAsia="TimesNewRoman"/>
          <w:snapToGrid/>
          <w:szCs w:val="24"/>
          <w:lang w:val="lt-LT"/>
        </w:rPr>
        <w:t xml:space="preserve"> išsiskyrime per inkstus, substratas. Klinikinė hOAT</w:t>
      </w:r>
      <w:r>
        <w:rPr>
          <w:rFonts w:eastAsia="TimesNewRoman"/>
          <w:snapToGrid/>
          <w:szCs w:val="24"/>
          <w:lang w:val="lt-LT"/>
        </w:rPr>
        <w:noBreakHyphen/>
        <w:t xml:space="preserve">3 dalyvavimo </w:t>
      </w:r>
      <w:proofErr w:type="spellStart"/>
      <w:r>
        <w:rPr>
          <w:rFonts w:eastAsia="TimesNewRoman"/>
          <w:snapToGrid/>
          <w:szCs w:val="24"/>
          <w:lang w:val="lt-LT"/>
        </w:rPr>
        <w:t>sitagliptino</w:t>
      </w:r>
      <w:proofErr w:type="spellEnd"/>
      <w:r>
        <w:rPr>
          <w:rFonts w:eastAsia="TimesNewRoman"/>
          <w:snapToGrid/>
          <w:szCs w:val="24"/>
          <w:lang w:val="lt-LT"/>
        </w:rPr>
        <w:t xml:space="preserve"> pernašoje reikšmė nenustatyta. Be to, </w:t>
      </w:r>
      <w:proofErr w:type="spellStart"/>
      <w:r>
        <w:rPr>
          <w:rFonts w:eastAsia="TimesNewRoman"/>
          <w:snapToGrid/>
          <w:szCs w:val="24"/>
          <w:lang w:val="lt-LT"/>
        </w:rPr>
        <w:t>sitagliptinas</w:t>
      </w:r>
      <w:proofErr w:type="spellEnd"/>
      <w:r>
        <w:rPr>
          <w:rFonts w:eastAsia="TimesNewRoman"/>
          <w:snapToGrid/>
          <w:szCs w:val="24"/>
          <w:lang w:val="lt-LT"/>
        </w:rPr>
        <w:t xml:space="preserve"> yra ir p</w:t>
      </w:r>
      <w:r>
        <w:rPr>
          <w:rFonts w:eastAsia="TimesNewRoman"/>
          <w:snapToGrid/>
          <w:szCs w:val="24"/>
          <w:lang w:val="lt-LT"/>
        </w:rPr>
        <w:noBreakHyphen/>
      </w:r>
      <w:proofErr w:type="spellStart"/>
      <w:r>
        <w:rPr>
          <w:rFonts w:eastAsia="TimesNewRoman"/>
          <w:snapToGrid/>
          <w:szCs w:val="24"/>
          <w:lang w:val="lt-LT"/>
        </w:rPr>
        <w:t>glikoproteino</w:t>
      </w:r>
      <w:proofErr w:type="spellEnd"/>
      <w:r>
        <w:rPr>
          <w:rFonts w:eastAsia="TimesNewRoman"/>
          <w:snapToGrid/>
          <w:szCs w:val="24"/>
          <w:lang w:val="lt-LT"/>
        </w:rPr>
        <w:t xml:space="preserve">, taip pat galinčio dalyvauti </w:t>
      </w:r>
      <w:proofErr w:type="spellStart"/>
      <w:r>
        <w:rPr>
          <w:rFonts w:eastAsia="TimesNewRoman"/>
          <w:snapToGrid/>
          <w:szCs w:val="24"/>
          <w:lang w:val="lt-LT"/>
        </w:rPr>
        <w:t>sitagliptino</w:t>
      </w:r>
      <w:proofErr w:type="spellEnd"/>
      <w:r>
        <w:rPr>
          <w:rFonts w:eastAsia="TimesNewRoman"/>
          <w:snapToGrid/>
          <w:szCs w:val="24"/>
          <w:lang w:val="lt-LT"/>
        </w:rPr>
        <w:t xml:space="preserve"> šalinime per inkstus, substratas. Vis dėlto p</w:t>
      </w:r>
      <w:r>
        <w:rPr>
          <w:rFonts w:eastAsia="TimesNewRoman"/>
          <w:snapToGrid/>
          <w:szCs w:val="24"/>
          <w:lang w:val="lt-LT"/>
        </w:rPr>
        <w:noBreakHyphen/>
      </w:r>
      <w:proofErr w:type="spellStart"/>
      <w:r>
        <w:rPr>
          <w:rFonts w:eastAsia="TimesNewRoman"/>
          <w:snapToGrid/>
          <w:szCs w:val="24"/>
          <w:lang w:val="lt-LT"/>
        </w:rPr>
        <w:t>glikoproteino</w:t>
      </w:r>
      <w:proofErr w:type="spellEnd"/>
      <w:r>
        <w:rPr>
          <w:rFonts w:eastAsia="TimesNewRoman"/>
          <w:snapToGrid/>
          <w:szCs w:val="24"/>
          <w:lang w:val="lt-LT"/>
        </w:rPr>
        <w:t xml:space="preserve"> inhibitorius </w:t>
      </w:r>
      <w:proofErr w:type="spellStart"/>
      <w:r>
        <w:rPr>
          <w:rFonts w:eastAsia="TimesNewRoman"/>
          <w:snapToGrid/>
          <w:szCs w:val="24"/>
          <w:lang w:val="lt-LT"/>
        </w:rPr>
        <w:t>ciklosporinas</w:t>
      </w:r>
      <w:proofErr w:type="spellEnd"/>
      <w:r>
        <w:rPr>
          <w:rFonts w:eastAsia="TimesNewRoman"/>
          <w:snapToGrid/>
          <w:szCs w:val="24"/>
          <w:lang w:val="lt-LT"/>
        </w:rPr>
        <w:t xml:space="preserve"> </w:t>
      </w:r>
      <w:proofErr w:type="spellStart"/>
      <w:r>
        <w:rPr>
          <w:rFonts w:eastAsia="TimesNewRoman"/>
          <w:snapToGrid/>
          <w:szCs w:val="24"/>
          <w:lang w:val="lt-LT"/>
        </w:rPr>
        <w:t>sitagliptino</w:t>
      </w:r>
      <w:proofErr w:type="spellEnd"/>
      <w:r>
        <w:rPr>
          <w:rFonts w:eastAsia="TimesNewRoman"/>
          <w:snapToGrid/>
          <w:szCs w:val="24"/>
          <w:lang w:val="lt-LT"/>
        </w:rPr>
        <w:t xml:space="preserve"> inkstų klirenso nemažina. Sitagliptinas nėra nešiklių OCT2, OAT1 ar PEPT1/2 substratas. </w:t>
      </w:r>
      <w:proofErr w:type="spellStart"/>
      <w:r>
        <w:rPr>
          <w:rFonts w:eastAsia="TimesNewRoman,Italic"/>
          <w:i/>
          <w:snapToGrid/>
          <w:szCs w:val="24"/>
          <w:lang w:val="lt-LT"/>
        </w:rPr>
        <w:t>In</w:t>
      </w:r>
      <w:proofErr w:type="spellEnd"/>
      <w:r>
        <w:rPr>
          <w:rFonts w:eastAsia="TimesNewRoman,Italic"/>
          <w:i/>
          <w:snapToGrid/>
          <w:szCs w:val="24"/>
          <w:lang w:val="lt-LT"/>
        </w:rPr>
        <w:t> </w:t>
      </w:r>
      <w:proofErr w:type="spellStart"/>
      <w:r>
        <w:rPr>
          <w:rFonts w:eastAsia="TimesNewRoman,Italic"/>
          <w:i/>
          <w:snapToGrid/>
          <w:szCs w:val="24"/>
          <w:lang w:val="lt-LT"/>
        </w:rPr>
        <w:t>vitro</w:t>
      </w:r>
      <w:proofErr w:type="spellEnd"/>
      <w:r>
        <w:rPr>
          <w:rFonts w:eastAsia="TimesNewRoman,Italic"/>
          <w:i/>
          <w:snapToGrid/>
          <w:szCs w:val="24"/>
          <w:lang w:val="lt-LT"/>
        </w:rPr>
        <w:t xml:space="preserve"> </w:t>
      </w:r>
      <w:r>
        <w:rPr>
          <w:rFonts w:eastAsia="TimesNewRoman"/>
          <w:snapToGrid/>
          <w:szCs w:val="24"/>
          <w:lang w:val="lt-LT"/>
        </w:rPr>
        <w:t xml:space="preserve">esant terapiniu požiūriu reikšmingai </w:t>
      </w:r>
      <w:proofErr w:type="spellStart"/>
      <w:r>
        <w:rPr>
          <w:rFonts w:eastAsia="TimesNewRoman"/>
          <w:snapToGrid/>
          <w:szCs w:val="24"/>
          <w:lang w:val="lt-LT"/>
        </w:rPr>
        <w:t>sitagliptino</w:t>
      </w:r>
      <w:proofErr w:type="spellEnd"/>
      <w:r>
        <w:rPr>
          <w:rFonts w:eastAsia="TimesNewRoman"/>
          <w:snapToGrid/>
          <w:szCs w:val="24"/>
          <w:lang w:val="lt-LT"/>
        </w:rPr>
        <w:t xml:space="preserve"> koncentracijai, OAT3 (IC</w:t>
      </w:r>
      <w:r>
        <w:rPr>
          <w:rFonts w:eastAsia="TimesNewRoman"/>
          <w:snapToGrid/>
          <w:szCs w:val="24"/>
          <w:vertAlign w:val="subscript"/>
          <w:lang w:val="lt-LT"/>
        </w:rPr>
        <w:t>50</w:t>
      </w:r>
      <w:r>
        <w:rPr>
          <w:rFonts w:eastAsia="TimesNewRoman"/>
          <w:snapToGrid/>
          <w:szCs w:val="24"/>
          <w:lang w:val="lt-LT"/>
        </w:rPr>
        <w:t>=160 µM) ar p</w:t>
      </w:r>
      <w:r>
        <w:rPr>
          <w:rFonts w:eastAsia="TimesNewRoman"/>
          <w:snapToGrid/>
          <w:szCs w:val="24"/>
          <w:lang w:val="lt-LT"/>
        </w:rPr>
        <w:noBreakHyphen/>
      </w:r>
      <w:proofErr w:type="spellStart"/>
      <w:r>
        <w:rPr>
          <w:rFonts w:eastAsia="TimesNewRoman"/>
          <w:snapToGrid/>
          <w:szCs w:val="24"/>
          <w:lang w:val="lt-LT"/>
        </w:rPr>
        <w:t>glikoproteino</w:t>
      </w:r>
      <w:proofErr w:type="spellEnd"/>
      <w:r>
        <w:rPr>
          <w:rFonts w:eastAsia="TimesNewRoman"/>
          <w:snapToGrid/>
          <w:szCs w:val="24"/>
          <w:lang w:val="lt-LT"/>
        </w:rPr>
        <w:t xml:space="preserve"> (iki 250 µM) vykdoma pernaša nebuvo slopinama. Klinikinių tyrimų metu </w:t>
      </w:r>
      <w:proofErr w:type="spellStart"/>
      <w:r>
        <w:rPr>
          <w:rFonts w:eastAsia="TimesNewRoman"/>
          <w:snapToGrid/>
          <w:szCs w:val="24"/>
          <w:lang w:val="lt-LT"/>
        </w:rPr>
        <w:t>sitagliptinas</w:t>
      </w:r>
      <w:proofErr w:type="spellEnd"/>
      <w:r>
        <w:rPr>
          <w:rFonts w:eastAsia="TimesNewRoman"/>
          <w:snapToGrid/>
          <w:szCs w:val="24"/>
          <w:lang w:val="lt-LT"/>
        </w:rPr>
        <w:t xml:space="preserve"> šiek tiek veikė </w:t>
      </w:r>
      <w:proofErr w:type="spellStart"/>
      <w:r>
        <w:rPr>
          <w:rFonts w:eastAsia="TimesNewRoman"/>
          <w:snapToGrid/>
          <w:szCs w:val="24"/>
          <w:lang w:val="lt-LT"/>
        </w:rPr>
        <w:t>digoksino</w:t>
      </w:r>
      <w:proofErr w:type="spellEnd"/>
      <w:r>
        <w:rPr>
          <w:rFonts w:eastAsia="TimesNewRoman"/>
          <w:snapToGrid/>
          <w:szCs w:val="24"/>
          <w:lang w:val="lt-LT"/>
        </w:rPr>
        <w:t xml:space="preserve"> koncentraciją kraujo plazmoje: tai rodo, kad </w:t>
      </w:r>
      <w:proofErr w:type="spellStart"/>
      <w:r>
        <w:rPr>
          <w:rFonts w:eastAsia="TimesNewRoman"/>
          <w:snapToGrid/>
          <w:szCs w:val="24"/>
          <w:lang w:val="lt-LT"/>
        </w:rPr>
        <w:t>sitagliptinas</w:t>
      </w:r>
      <w:proofErr w:type="spellEnd"/>
      <w:r>
        <w:rPr>
          <w:rFonts w:eastAsia="TimesNewRoman"/>
          <w:snapToGrid/>
          <w:szCs w:val="24"/>
          <w:lang w:val="lt-LT"/>
        </w:rPr>
        <w:t xml:space="preserve"> gali būti silpnas p</w:t>
      </w:r>
      <w:r>
        <w:rPr>
          <w:rFonts w:eastAsia="TimesNewRoman"/>
          <w:snapToGrid/>
          <w:szCs w:val="24"/>
          <w:lang w:val="lt-LT"/>
        </w:rPr>
        <w:noBreakHyphen/>
      </w:r>
      <w:proofErr w:type="spellStart"/>
      <w:r>
        <w:rPr>
          <w:rFonts w:eastAsia="TimesNewRoman"/>
          <w:snapToGrid/>
          <w:szCs w:val="24"/>
          <w:lang w:val="lt-LT"/>
        </w:rPr>
        <w:t>glikoproteino</w:t>
      </w:r>
      <w:proofErr w:type="spellEnd"/>
      <w:r>
        <w:rPr>
          <w:rFonts w:eastAsia="TimesNewRoman"/>
          <w:snapToGrid/>
          <w:szCs w:val="24"/>
          <w:lang w:val="lt-LT"/>
        </w:rPr>
        <w:t xml:space="preserve"> inhibitorius.</w:t>
      </w:r>
    </w:p>
    <w:p w14:paraId="60F80040"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252E8A44"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Ypatingos populiacijos</w:t>
      </w:r>
    </w:p>
    <w:p w14:paraId="057B2594"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Sveikų asmenų ar pacientų, sirgusių 2 tipo cukriniu diabetu, organizme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 apskritai buvo panaši.</w:t>
      </w:r>
    </w:p>
    <w:p w14:paraId="605D4E32" w14:textId="77777777" w:rsidR="00B64E78" w:rsidRDefault="00B64E78">
      <w:pPr>
        <w:widowControl w:val="0"/>
        <w:tabs>
          <w:tab w:val="clear" w:pos="567"/>
        </w:tabs>
        <w:autoSpaceDE w:val="0"/>
        <w:autoSpaceDN w:val="0"/>
        <w:adjustRightInd w:val="0"/>
        <w:spacing w:line="240" w:lineRule="auto"/>
        <w:rPr>
          <w:rFonts w:eastAsia="TimesNewRoman,Italic"/>
          <w:i/>
          <w:snapToGrid/>
          <w:szCs w:val="24"/>
          <w:lang w:val="lt-LT"/>
        </w:rPr>
      </w:pPr>
    </w:p>
    <w:p w14:paraId="768DAD2D" w14:textId="77777777" w:rsidR="00B64E78" w:rsidRDefault="00DA46A9">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inkstų funkcija</w:t>
      </w:r>
    </w:p>
    <w:p w14:paraId="34398F75"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Buvo atliktas vienos dozės atviras klinikinis tyrimas, kurio metu vertinta sumažintos </w:t>
      </w:r>
      <w:proofErr w:type="spellStart"/>
      <w:r>
        <w:rPr>
          <w:rFonts w:eastAsia="TimesNewRoman"/>
          <w:snapToGrid/>
          <w:szCs w:val="24"/>
          <w:lang w:val="lt-LT"/>
        </w:rPr>
        <w:t>sitagliptino</w:t>
      </w:r>
      <w:proofErr w:type="spellEnd"/>
      <w:r>
        <w:rPr>
          <w:rFonts w:eastAsia="TimesNewRoman"/>
          <w:snapToGrid/>
          <w:szCs w:val="24"/>
          <w:lang w:val="lt-LT"/>
        </w:rPr>
        <w:t xml:space="preserve"> dozės (50 mg) farmakokinetika pacientų, sirgusių įvairaus sunkumo lėtiniu inkstų funkcijos sutrikimu, organizme, palyginti su farmakokinetika sveikų kontrolinės grupės tiriamųjų organizme. Tyrime dalyvavo pacientai, kuriems buvo nustatytas lengvas, vidutinio sunkumo ar sunkus inkstų funkcijos sutrikimas, o taip pat pacientai, kuriems buvo GSIL ir buvo atliekamos hemodializės. Be to, inkstų funkcijos sutrikimo įtaka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2 tipo cukriniu diabetu sirgusiems pacientams, kuriems buvo lengvas, vidutinio sunkumo ar sunkus inkstų funkcijos sutrikimas (įskaitant GSIL), buvo įvertinta populiacijos farmakokinetikos analizės metodu.</w:t>
      </w:r>
    </w:p>
    <w:p w14:paraId="1F415BF0"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2970D743"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Palyginti su sveikais kontrolinės grupės tiriamaisiais, pacientams, kuriems buvo lengvas inkstų funkcijos sutrikimas (GFG nuo ≥ 60 ml/min. iki &lt; 90 ml/min.) arba vidutinio sunkumo inkstų funkcijos sutrikimas (GFG nuo ≥ 45 ml/min. iki &lt; 60 ml/min.), </w:t>
      </w:r>
      <w:proofErr w:type="spellStart"/>
      <w:r>
        <w:rPr>
          <w:rFonts w:eastAsia="TimesNewRoman"/>
          <w:snapToGrid/>
          <w:szCs w:val="24"/>
          <w:lang w:val="lt-LT"/>
        </w:rPr>
        <w:t>sitagliptino</w:t>
      </w:r>
      <w:proofErr w:type="spellEnd"/>
      <w:r>
        <w:rPr>
          <w:rFonts w:eastAsia="TimesNewRoman"/>
          <w:snapToGrid/>
          <w:szCs w:val="24"/>
          <w:lang w:val="lt-LT"/>
        </w:rPr>
        <w:t xml:space="preserve"> AUC kraujo plazmoje buvo padidėjęs atitinkamai maždaug 1,2 karto ir 1,6 karto. Kadangi toks padidėjimas nėra kliniškai reikšmingas, tokiems pacientams dozės keisti nereikia.</w:t>
      </w:r>
    </w:p>
    <w:p w14:paraId="68FEED58"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16E4382A"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Pacientų, kuriems buvo vidutinio sunkumo inkstų funkcijos sutrikimas (GFG nuo ≥ 30 ml/min. iki &lt; 45 ml/min.), organizme </w:t>
      </w:r>
      <w:proofErr w:type="spellStart"/>
      <w:r>
        <w:rPr>
          <w:rFonts w:eastAsia="TimesNewRoman"/>
          <w:snapToGrid/>
          <w:szCs w:val="24"/>
          <w:lang w:val="lt-LT"/>
        </w:rPr>
        <w:t>sitagliptino</w:t>
      </w:r>
      <w:proofErr w:type="spellEnd"/>
      <w:r>
        <w:rPr>
          <w:rFonts w:eastAsia="TimesNewRoman"/>
          <w:snapToGrid/>
          <w:szCs w:val="24"/>
          <w:lang w:val="lt-LT"/>
        </w:rPr>
        <w:t xml:space="preserve"> AUC kraujo plazmoje buvo padidėjęs maždaug 2 kartus, o pacientų, kuriems buvo sunkus inkstų funkcijos sutrikimas (GFG &lt; 30 ml/min.) ar kurie dėl GSIL buvo gydomi hemodializėmis – maždaug 4 kartus. Hemodialize </w:t>
      </w:r>
      <w:proofErr w:type="spellStart"/>
      <w:r>
        <w:rPr>
          <w:rFonts w:eastAsia="TimesNewRoman"/>
          <w:snapToGrid/>
          <w:szCs w:val="24"/>
          <w:lang w:val="lt-LT"/>
        </w:rPr>
        <w:t>sitagliptino</w:t>
      </w:r>
      <w:proofErr w:type="spellEnd"/>
      <w:r>
        <w:rPr>
          <w:rFonts w:eastAsia="TimesNewRoman"/>
          <w:snapToGrid/>
          <w:szCs w:val="24"/>
          <w:lang w:val="lt-LT"/>
        </w:rPr>
        <w:t xml:space="preserve"> buvo pašalinta nedaug (13,5 % per 3</w:t>
      </w:r>
      <w:r>
        <w:rPr>
          <w:rFonts w:eastAsia="TimesNewRoman"/>
          <w:snapToGrid/>
          <w:szCs w:val="24"/>
          <w:lang w:val="lt-LT"/>
        </w:rPr>
        <w:noBreakHyphen/>
        <w:t>4 valandų hemodializę, kuri buvo pradėta praėjus 4 val. po dozės pavartojimo).</w:t>
      </w:r>
    </w:p>
    <w:p w14:paraId="4C4B6C03" w14:textId="77777777" w:rsidR="00B64E78" w:rsidRDefault="00B64E78">
      <w:pPr>
        <w:widowControl w:val="0"/>
        <w:tabs>
          <w:tab w:val="clear" w:pos="567"/>
        </w:tabs>
        <w:autoSpaceDE w:val="0"/>
        <w:autoSpaceDN w:val="0"/>
        <w:adjustRightInd w:val="0"/>
        <w:spacing w:line="240" w:lineRule="auto"/>
        <w:rPr>
          <w:rFonts w:eastAsia="TimesNewRoman,Italic"/>
          <w:i/>
          <w:snapToGrid/>
          <w:szCs w:val="24"/>
          <w:lang w:val="lt-LT"/>
        </w:rPr>
      </w:pPr>
    </w:p>
    <w:p w14:paraId="047B973E" w14:textId="77777777" w:rsidR="00B64E78" w:rsidRDefault="00DA46A9">
      <w:pPr>
        <w:widowControl w:val="0"/>
        <w:tabs>
          <w:tab w:val="clear" w:pos="567"/>
        </w:tabs>
        <w:autoSpaceDE w:val="0"/>
        <w:autoSpaceDN w:val="0"/>
        <w:adjustRightInd w:val="0"/>
        <w:spacing w:line="240" w:lineRule="auto"/>
        <w:rPr>
          <w:rFonts w:eastAsia="TimesNewRoman,Italic"/>
          <w:snapToGrid/>
          <w:szCs w:val="24"/>
          <w:u w:val="single"/>
          <w:lang w:val="lt-LT"/>
        </w:rPr>
      </w:pPr>
      <w:r>
        <w:rPr>
          <w:rFonts w:eastAsia="TimesNewRoman,Italic"/>
          <w:snapToGrid/>
          <w:szCs w:val="24"/>
          <w:u w:val="single"/>
          <w:lang w:val="lt-LT"/>
        </w:rPr>
        <w:t>Sutrikusi kepenų funkcija</w:t>
      </w:r>
    </w:p>
    <w:p w14:paraId="1465EB6F"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lastRenderedPageBreak/>
        <w:t xml:space="preserve">Pacientams, kuriems yra lengvas arba vidutinio sunkumo kepenų funkcijos sutrikimas (≤ 9 pagal </w:t>
      </w:r>
      <w:proofErr w:type="spellStart"/>
      <w:r>
        <w:rPr>
          <w:rFonts w:eastAsia="TimesNewRoman"/>
          <w:i/>
          <w:snapToGrid/>
          <w:szCs w:val="24"/>
          <w:lang w:val="lt-LT"/>
        </w:rPr>
        <w:t>Child</w:t>
      </w:r>
      <w:r>
        <w:rPr>
          <w:rFonts w:eastAsia="TimesNewRoman"/>
          <w:i/>
          <w:snapToGrid/>
          <w:szCs w:val="24"/>
          <w:lang w:val="lt-LT"/>
        </w:rPr>
        <w:noBreakHyphen/>
        <w:t>Pugh</w:t>
      </w:r>
      <w:proofErr w:type="spellEnd"/>
      <w:r>
        <w:rPr>
          <w:rFonts w:eastAsia="TimesNewRoman"/>
          <w:snapToGrid/>
          <w:szCs w:val="24"/>
          <w:lang w:val="lt-LT"/>
        </w:rPr>
        <w:t xml:space="preserve">), </w:t>
      </w:r>
      <w:proofErr w:type="spellStart"/>
      <w:r>
        <w:rPr>
          <w:rFonts w:eastAsia="TimesNewRoman"/>
          <w:snapToGrid/>
          <w:szCs w:val="24"/>
          <w:lang w:val="lt-LT"/>
        </w:rPr>
        <w:t>sitagliptino</w:t>
      </w:r>
      <w:proofErr w:type="spellEnd"/>
      <w:r>
        <w:rPr>
          <w:rFonts w:eastAsia="TimesNewRoman"/>
          <w:snapToGrid/>
          <w:szCs w:val="24"/>
          <w:lang w:val="lt-LT"/>
        </w:rPr>
        <w:t xml:space="preserve"> dozės keisti nereikia. Pacientų, kuriems yra sunkus kepenų funkcijos sutrikimas (&gt; 9 pagal </w:t>
      </w:r>
      <w:proofErr w:type="spellStart"/>
      <w:r>
        <w:rPr>
          <w:rFonts w:eastAsia="TimesNewRoman"/>
          <w:i/>
          <w:snapToGrid/>
          <w:szCs w:val="24"/>
          <w:lang w:val="lt-LT"/>
        </w:rPr>
        <w:t>Child</w:t>
      </w:r>
      <w:r>
        <w:rPr>
          <w:rFonts w:eastAsia="TimesNewRoman"/>
          <w:i/>
          <w:snapToGrid/>
          <w:szCs w:val="24"/>
          <w:lang w:val="lt-LT"/>
        </w:rPr>
        <w:noBreakHyphen/>
        <w:t>Pugh</w:t>
      </w:r>
      <w:proofErr w:type="spellEnd"/>
      <w:r>
        <w:rPr>
          <w:rFonts w:eastAsia="TimesNewRoman"/>
          <w:snapToGrid/>
          <w:szCs w:val="24"/>
          <w:lang w:val="lt-LT"/>
        </w:rPr>
        <w:t xml:space="preserve">), klinikinės gydymo patirties nėra. Vis dėlto nėra tikėtina, kad sunkus kepenų sutrikimas gali paveikti </w:t>
      </w:r>
      <w:proofErr w:type="spellStart"/>
      <w:r>
        <w:rPr>
          <w:rFonts w:eastAsia="TimesNewRoman"/>
          <w:snapToGrid/>
          <w:szCs w:val="24"/>
          <w:lang w:val="lt-LT"/>
        </w:rPr>
        <w:t>sitagliptino</w:t>
      </w:r>
      <w:proofErr w:type="spellEnd"/>
      <w:r>
        <w:rPr>
          <w:rFonts w:eastAsia="TimesNewRoman"/>
          <w:snapToGrid/>
          <w:szCs w:val="24"/>
          <w:lang w:val="lt-LT"/>
        </w:rPr>
        <w:t xml:space="preserve"> farmakokinetiką, nes daugiausia </w:t>
      </w:r>
      <w:proofErr w:type="spellStart"/>
      <w:r>
        <w:rPr>
          <w:rFonts w:eastAsia="TimesNewRoman"/>
          <w:snapToGrid/>
          <w:szCs w:val="24"/>
          <w:lang w:val="lt-LT"/>
        </w:rPr>
        <w:t>sitagliptino</w:t>
      </w:r>
      <w:proofErr w:type="spellEnd"/>
      <w:r>
        <w:rPr>
          <w:rFonts w:eastAsia="TimesNewRoman"/>
          <w:snapToGrid/>
          <w:szCs w:val="24"/>
          <w:lang w:val="lt-LT"/>
        </w:rPr>
        <w:t xml:space="preserve"> pašalinama per inkstus.</w:t>
      </w:r>
    </w:p>
    <w:p w14:paraId="2505C6DC" w14:textId="77777777" w:rsidR="00B64E78" w:rsidRDefault="00B64E78">
      <w:pPr>
        <w:widowControl w:val="0"/>
        <w:tabs>
          <w:tab w:val="clear" w:pos="567"/>
        </w:tabs>
        <w:autoSpaceDE w:val="0"/>
        <w:autoSpaceDN w:val="0"/>
        <w:adjustRightInd w:val="0"/>
        <w:spacing w:line="240" w:lineRule="auto"/>
        <w:rPr>
          <w:rFonts w:eastAsia="TimesNewRoman,Italic"/>
          <w:i/>
          <w:snapToGrid/>
          <w:szCs w:val="24"/>
          <w:lang w:val="lt-LT"/>
        </w:rPr>
      </w:pPr>
    </w:p>
    <w:p w14:paraId="69AAAEFA" w14:textId="77777777" w:rsidR="00B64E78" w:rsidRDefault="00DA46A9">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Senyvi pacientai</w:t>
      </w:r>
    </w:p>
    <w:p w14:paraId="54078A7B"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Dėl amžiaus dozės keisti nereikia. Remiantis populiacijos farmakokinetikos duomenų, gautų I ir II fazės tyrimų metu, analize, amžius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kliniškai reikšmingo poveikio nedarė. Senyvų (65</w:t>
      </w:r>
      <w:r>
        <w:rPr>
          <w:rFonts w:eastAsia="TimesNewRoman"/>
          <w:snapToGrid/>
          <w:szCs w:val="24"/>
          <w:lang w:val="lt-LT"/>
        </w:rPr>
        <w:noBreakHyphen/>
        <w:t xml:space="preserve">80 metų) asmenų kraujo plazmoje </w:t>
      </w:r>
      <w:proofErr w:type="spellStart"/>
      <w:r>
        <w:rPr>
          <w:rFonts w:eastAsia="TimesNewRoman"/>
          <w:snapToGrid/>
          <w:szCs w:val="24"/>
          <w:lang w:val="lt-LT"/>
        </w:rPr>
        <w:t>sitagliptino</w:t>
      </w:r>
      <w:proofErr w:type="spellEnd"/>
      <w:r>
        <w:rPr>
          <w:rFonts w:eastAsia="TimesNewRoman"/>
          <w:snapToGrid/>
          <w:szCs w:val="24"/>
          <w:lang w:val="lt-LT"/>
        </w:rPr>
        <w:t xml:space="preserve"> koncentracija buvo maždaug 19 % didesnė nei jaunesnių asmenų kraujo plazmoje.</w:t>
      </w:r>
    </w:p>
    <w:p w14:paraId="40586C79" w14:textId="77777777" w:rsidR="00B64E78" w:rsidRDefault="00B64E78">
      <w:pPr>
        <w:widowControl w:val="0"/>
        <w:tabs>
          <w:tab w:val="clear" w:pos="567"/>
        </w:tabs>
        <w:autoSpaceDE w:val="0"/>
        <w:autoSpaceDN w:val="0"/>
        <w:adjustRightInd w:val="0"/>
        <w:spacing w:line="240" w:lineRule="auto"/>
        <w:rPr>
          <w:rFonts w:eastAsia="TimesNewRoman,Italic"/>
          <w:i/>
          <w:snapToGrid/>
          <w:szCs w:val="24"/>
          <w:lang w:val="lt-LT"/>
        </w:rPr>
      </w:pPr>
    </w:p>
    <w:p w14:paraId="1B4624FE" w14:textId="77777777" w:rsidR="00B64E78" w:rsidRDefault="00DA46A9">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Vaikų populiacija</w:t>
      </w:r>
    </w:p>
    <w:p w14:paraId="6D05DF3D"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proofErr w:type="spellStart"/>
      <w:r>
        <w:rPr>
          <w:rFonts w:eastAsia="TimesNewRoman"/>
          <w:snapToGrid/>
          <w:szCs w:val="24"/>
          <w:lang w:val="lt-LT"/>
        </w:rPr>
        <w:t>Sitagliptino</w:t>
      </w:r>
      <w:proofErr w:type="spellEnd"/>
      <w:r>
        <w:rPr>
          <w:rFonts w:eastAsia="TimesNewRoman"/>
          <w:snapToGrid/>
          <w:szCs w:val="24"/>
          <w:lang w:val="lt-LT"/>
        </w:rPr>
        <w:t xml:space="preserve"> farmakokinetika (skiriant vienkartines 50 mg, 100 mg arba 200 mg dozes) buvo ištirta 2 tipo diabetu sergantiems vaikų populiacijos pacientams (10-17 metų amžiaus). Šioje populiacijoje </w:t>
      </w:r>
      <w:proofErr w:type="spellStart"/>
      <w:r>
        <w:rPr>
          <w:rFonts w:eastAsia="TimesNewRoman"/>
          <w:snapToGrid/>
          <w:szCs w:val="24"/>
          <w:lang w:val="lt-LT"/>
        </w:rPr>
        <w:t>sitagliptino</w:t>
      </w:r>
      <w:proofErr w:type="spellEnd"/>
      <w:r>
        <w:rPr>
          <w:rFonts w:eastAsia="TimesNewRoman"/>
          <w:snapToGrid/>
          <w:szCs w:val="24"/>
          <w:lang w:val="lt-LT"/>
        </w:rPr>
        <w:t xml:space="preserve"> pagal dozę koreguotas AUC rodmuo plazmoje buvo maždaug 18 % mažesnis nei 2 tipo diabetu sergantiems suaugusiems pacientams nustatytas rodmuo, skiriant 100 mg dozę. Jaunesniems kaip 10 metų amžiaus vaikams klinikinių </w:t>
      </w:r>
      <w:proofErr w:type="spellStart"/>
      <w:r>
        <w:rPr>
          <w:rFonts w:eastAsia="TimesNewRoman"/>
          <w:snapToGrid/>
          <w:szCs w:val="24"/>
          <w:lang w:val="lt-LT"/>
        </w:rPr>
        <w:t>sitagliptino</w:t>
      </w:r>
      <w:proofErr w:type="spellEnd"/>
      <w:r>
        <w:rPr>
          <w:rFonts w:eastAsia="TimesNewRoman"/>
          <w:snapToGrid/>
          <w:szCs w:val="24"/>
          <w:lang w:val="lt-LT"/>
        </w:rPr>
        <w:t xml:space="preserve"> tyrimų neatlikta. </w:t>
      </w:r>
    </w:p>
    <w:p w14:paraId="1552257E" w14:textId="77777777" w:rsidR="00B64E78" w:rsidRDefault="00DA46A9">
      <w:pPr>
        <w:widowControl w:val="0"/>
        <w:tabs>
          <w:tab w:val="clear" w:pos="567"/>
        </w:tabs>
        <w:autoSpaceDE w:val="0"/>
        <w:autoSpaceDN w:val="0"/>
        <w:adjustRightInd w:val="0"/>
        <w:spacing w:line="240" w:lineRule="auto"/>
        <w:rPr>
          <w:rFonts w:eastAsia="TimesNewRoman,Italic"/>
          <w:iCs/>
          <w:snapToGrid/>
          <w:szCs w:val="24"/>
          <w:u w:val="single"/>
          <w:lang w:val="lt-LT"/>
        </w:rPr>
      </w:pPr>
      <w:r>
        <w:rPr>
          <w:rFonts w:eastAsia="TimesNewRoman,Italic"/>
          <w:iCs/>
          <w:snapToGrid/>
          <w:szCs w:val="24"/>
          <w:u w:val="single"/>
          <w:lang w:val="lt-LT"/>
        </w:rPr>
        <w:t>Kitų grupių pacientai</w:t>
      </w:r>
    </w:p>
    <w:p w14:paraId="0B750FD8"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Dėl lyties, rasės ar kūno masės indekso (KMI) dozės keisti nereikia. Remiantis bendra I fazės farmakokinetikos tyrimų duomenų ir populiacijos farmakokinetikos duomenų, gautų I ir II fazės tyrimų metu, analize, minėti veiksniai kliniškai reikšmingo poveikio </w:t>
      </w:r>
      <w:proofErr w:type="spellStart"/>
      <w:r>
        <w:rPr>
          <w:rFonts w:eastAsia="TimesNewRoman"/>
          <w:snapToGrid/>
          <w:szCs w:val="24"/>
          <w:lang w:val="lt-LT"/>
        </w:rPr>
        <w:t>sitagliptino</w:t>
      </w:r>
      <w:proofErr w:type="spellEnd"/>
      <w:r>
        <w:rPr>
          <w:rFonts w:eastAsia="TimesNewRoman"/>
          <w:snapToGrid/>
          <w:szCs w:val="24"/>
          <w:lang w:val="lt-LT"/>
        </w:rPr>
        <w:t xml:space="preserve"> farmakokinetikai neturėjo.</w:t>
      </w:r>
    </w:p>
    <w:p w14:paraId="24ED865F"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4748A721" w14:textId="77777777" w:rsidR="00B64E78" w:rsidRDefault="00DA46A9">
      <w:pPr>
        <w:widowControl w:val="0"/>
        <w:tabs>
          <w:tab w:val="clear" w:pos="567"/>
        </w:tabs>
        <w:autoSpaceDE w:val="0"/>
        <w:autoSpaceDN w:val="0"/>
        <w:adjustRightInd w:val="0"/>
        <w:spacing w:line="240" w:lineRule="auto"/>
        <w:rPr>
          <w:rFonts w:eastAsia="TimesNewRoman"/>
          <w:i/>
          <w:iCs/>
          <w:snapToGrid/>
          <w:szCs w:val="24"/>
          <w:lang w:val="lt-LT"/>
        </w:rPr>
      </w:pPr>
      <w:r>
        <w:rPr>
          <w:rFonts w:eastAsia="TimesNewRoman"/>
          <w:i/>
          <w:iCs/>
          <w:snapToGrid/>
          <w:szCs w:val="24"/>
          <w:lang w:val="lt-LT"/>
        </w:rPr>
        <w:t>Metforminas</w:t>
      </w:r>
    </w:p>
    <w:p w14:paraId="494074CE"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Absorbcija</w:t>
      </w:r>
    </w:p>
    <w:p w14:paraId="48CDD82E"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Išgėrus </w:t>
      </w:r>
      <w:proofErr w:type="spellStart"/>
      <w:r>
        <w:rPr>
          <w:rFonts w:eastAsia="TimesNewRoman"/>
          <w:snapToGrid/>
          <w:szCs w:val="24"/>
          <w:lang w:val="lt-LT"/>
        </w:rPr>
        <w:t>metformino</w:t>
      </w:r>
      <w:proofErr w:type="spellEnd"/>
      <w:r>
        <w:rPr>
          <w:rFonts w:eastAsia="TimesNewRoman"/>
          <w:snapToGrid/>
          <w:szCs w:val="24"/>
          <w:lang w:val="lt-LT"/>
        </w:rPr>
        <w:t xml:space="preserve"> dozę, </w:t>
      </w:r>
      <w:proofErr w:type="spellStart"/>
      <w:r>
        <w:rPr>
          <w:rFonts w:eastAsia="TimesNewRoman"/>
          <w:snapToGrid/>
          <w:szCs w:val="24"/>
          <w:lang w:val="lt-LT"/>
        </w:rPr>
        <w:t>T</w:t>
      </w:r>
      <w:r>
        <w:rPr>
          <w:rFonts w:eastAsia="TimesNewRoman"/>
          <w:snapToGrid/>
          <w:szCs w:val="24"/>
          <w:vertAlign w:val="subscript"/>
          <w:lang w:val="lt-LT"/>
        </w:rPr>
        <w:t>max</w:t>
      </w:r>
      <w:proofErr w:type="spellEnd"/>
      <w:r>
        <w:rPr>
          <w:rFonts w:eastAsia="TimesNewRoman"/>
          <w:snapToGrid/>
          <w:szCs w:val="24"/>
          <w:lang w:val="lt-LT"/>
        </w:rPr>
        <w:t xml:space="preserve"> yra pasiekiamas po 2,5 valandos. Sveikų tiriamųjų organizme absoliutus 500 mg </w:t>
      </w:r>
      <w:proofErr w:type="spellStart"/>
      <w:r>
        <w:rPr>
          <w:rFonts w:eastAsia="TimesNewRoman"/>
          <w:snapToGrid/>
          <w:szCs w:val="24"/>
          <w:lang w:val="lt-LT"/>
        </w:rPr>
        <w:t>metformino</w:t>
      </w:r>
      <w:proofErr w:type="spellEnd"/>
      <w:r>
        <w:rPr>
          <w:rFonts w:eastAsia="TimesNewRoman"/>
          <w:snapToGrid/>
          <w:szCs w:val="24"/>
          <w:lang w:val="lt-LT"/>
        </w:rPr>
        <w:t xml:space="preserve"> tabletės biologinis prieinamumas yra maždaug 50</w:t>
      </w:r>
      <w:r>
        <w:rPr>
          <w:rFonts w:eastAsia="TimesNewRoman"/>
          <w:snapToGrid/>
          <w:szCs w:val="24"/>
          <w:lang w:val="lt-LT"/>
        </w:rPr>
        <w:noBreakHyphen/>
        <w:t>60 %. Su išmatomis išsiskiria 20</w:t>
      </w:r>
      <w:r>
        <w:rPr>
          <w:rFonts w:eastAsia="TimesNewRoman"/>
          <w:snapToGrid/>
          <w:szCs w:val="24"/>
          <w:lang w:val="lt-LT"/>
        </w:rPr>
        <w:noBreakHyphen/>
        <w:t xml:space="preserve">30 % neabsorbuoto išgerto </w:t>
      </w:r>
      <w:proofErr w:type="spellStart"/>
      <w:r>
        <w:rPr>
          <w:rFonts w:eastAsia="TimesNewRoman"/>
          <w:snapToGrid/>
          <w:szCs w:val="24"/>
          <w:lang w:val="lt-LT"/>
        </w:rPr>
        <w:t>metformino</w:t>
      </w:r>
      <w:proofErr w:type="spellEnd"/>
      <w:r>
        <w:rPr>
          <w:rFonts w:eastAsia="TimesNewRoman"/>
          <w:snapToGrid/>
          <w:szCs w:val="24"/>
          <w:lang w:val="lt-LT"/>
        </w:rPr>
        <w:t>.</w:t>
      </w:r>
    </w:p>
    <w:p w14:paraId="1BEB3248"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28F4B845"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Išgerto </w:t>
      </w:r>
      <w:proofErr w:type="spellStart"/>
      <w:r>
        <w:rPr>
          <w:rFonts w:eastAsia="TimesNewRoman"/>
          <w:snapToGrid/>
          <w:szCs w:val="24"/>
          <w:lang w:val="lt-LT"/>
        </w:rPr>
        <w:t>metformino</w:t>
      </w:r>
      <w:proofErr w:type="spellEnd"/>
      <w:r>
        <w:rPr>
          <w:rFonts w:eastAsia="TimesNewRoman"/>
          <w:snapToGrid/>
          <w:szCs w:val="24"/>
          <w:lang w:val="lt-LT"/>
        </w:rPr>
        <w:t xml:space="preserve"> absorbcija yra įsotinamojo pobūdžio ir nevisiška. Manoma, kad </w:t>
      </w:r>
      <w:proofErr w:type="spellStart"/>
      <w:r>
        <w:rPr>
          <w:rFonts w:eastAsia="TimesNewRoman"/>
          <w:snapToGrid/>
          <w:szCs w:val="24"/>
          <w:lang w:val="lt-LT"/>
        </w:rPr>
        <w:t>metformino</w:t>
      </w:r>
      <w:proofErr w:type="spellEnd"/>
      <w:r>
        <w:rPr>
          <w:rFonts w:eastAsia="TimesNewRoman"/>
          <w:snapToGrid/>
          <w:szCs w:val="24"/>
          <w:lang w:val="lt-LT"/>
        </w:rPr>
        <w:t xml:space="preserve"> absorbcijos farmakokinetika yra netiesinio pobūdžio. Jei vartojama dozė ir dozavimo intervalas yra įprastiniai, </w:t>
      </w:r>
      <w:proofErr w:type="spellStart"/>
      <w:r>
        <w:rPr>
          <w:rFonts w:eastAsia="TimesNewRoman"/>
          <w:snapToGrid/>
          <w:szCs w:val="24"/>
          <w:lang w:val="lt-LT"/>
        </w:rPr>
        <w:t>pusiausvyrinė</w:t>
      </w:r>
      <w:proofErr w:type="spellEnd"/>
      <w:r>
        <w:rPr>
          <w:rFonts w:eastAsia="TimesNewRoman"/>
          <w:snapToGrid/>
          <w:szCs w:val="24"/>
          <w:lang w:val="lt-LT"/>
        </w:rPr>
        <w:t xml:space="preserve"> </w:t>
      </w:r>
      <w:proofErr w:type="spellStart"/>
      <w:r>
        <w:rPr>
          <w:rFonts w:eastAsia="TimesNewRoman"/>
          <w:snapToGrid/>
          <w:szCs w:val="24"/>
          <w:lang w:val="lt-LT"/>
        </w:rPr>
        <w:t>metformino</w:t>
      </w:r>
      <w:proofErr w:type="spellEnd"/>
      <w:r>
        <w:rPr>
          <w:rFonts w:eastAsia="TimesNewRoman"/>
          <w:snapToGrid/>
          <w:szCs w:val="24"/>
          <w:lang w:val="lt-LT"/>
        </w:rPr>
        <w:t xml:space="preserve"> koncentracija kraujo plazmoje susidaro per 24</w:t>
      </w:r>
      <w:r>
        <w:rPr>
          <w:rFonts w:eastAsia="TimesNewRoman"/>
          <w:snapToGrid/>
          <w:szCs w:val="24"/>
          <w:lang w:val="lt-LT"/>
        </w:rPr>
        <w:noBreakHyphen/>
        <w:t>48 valandas ir paprastai būna mažesnė nei 1 </w:t>
      </w:r>
      <w:proofErr w:type="spellStart"/>
      <w:r>
        <w:rPr>
          <w:rFonts w:eastAsia="TimesNewRoman"/>
          <w:snapToGrid/>
          <w:szCs w:val="24"/>
          <w:lang w:val="lt-LT"/>
        </w:rPr>
        <w:t>μg</w:t>
      </w:r>
      <w:proofErr w:type="spellEnd"/>
      <w:r>
        <w:rPr>
          <w:rFonts w:eastAsia="TimesNewRoman"/>
          <w:snapToGrid/>
          <w:szCs w:val="24"/>
          <w:lang w:val="lt-LT"/>
        </w:rPr>
        <w:t xml:space="preserve">/ml. Kontroliuotų klinikinių tyrimų metu, net vartojant didžiausią dozę, didžiausia </w:t>
      </w:r>
      <w:proofErr w:type="spellStart"/>
      <w:r>
        <w:rPr>
          <w:rFonts w:eastAsia="TimesNewRoman"/>
          <w:snapToGrid/>
          <w:szCs w:val="24"/>
          <w:lang w:val="lt-LT"/>
        </w:rPr>
        <w:t>metformino</w:t>
      </w:r>
      <w:proofErr w:type="spellEnd"/>
      <w:r>
        <w:rPr>
          <w:rFonts w:eastAsia="TimesNewRoman"/>
          <w:snapToGrid/>
          <w:szCs w:val="24"/>
          <w:lang w:val="lt-LT"/>
        </w:rPr>
        <w:t xml:space="preserve"> koncentracija kraujo plazmoje (</w:t>
      </w:r>
      <w:proofErr w:type="spellStart"/>
      <w:r>
        <w:rPr>
          <w:rFonts w:eastAsia="TimesNewRoman"/>
          <w:snapToGrid/>
          <w:szCs w:val="24"/>
          <w:lang w:val="lt-LT"/>
        </w:rPr>
        <w:t>C</w:t>
      </w:r>
      <w:r>
        <w:rPr>
          <w:rFonts w:eastAsia="TimesNewRoman"/>
          <w:snapToGrid/>
          <w:szCs w:val="24"/>
          <w:vertAlign w:val="subscript"/>
          <w:lang w:val="lt-LT"/>
        </w:rPr>
        <w:t>max</w:t>
      </w:r>
      <w:proofErr w:type="spellEnd"/>
      <w:r>
        <w:rPr>
          <w:rFonts w:eastAsia="TimesNewRoman"/>
          <w:snapToGrid/>
          <w:szCs w:val="24"/>
          <w:lang w:val="lt-LT"/>
        </w:rPr>
        <w:t xml:space="preserve">) neviršijo 5 </w:t>
      </w:r>
      <w:proofErr w:type="spellStart"/>
      <w:r>
        <w:rPr>
          <w:rFonts w:eastAsia="TimesNewRoman"/>
          <w:snapToGrid/>
          <w:szCs w:val="24"/>
          <w:lang w:val="lt-LT"/>
        </w:rPr>
        <w:t>μg</w:t>
      </w:r>
      <w:proofErr w:type="spellEnd"/>
      <w:r>
        <w:rPr>
          <w:rFonts w:eastAsia="TimesNewRoman"/>
          <w:snapToGrid/>
          <w:szCs w:val="24"/>
          <w:lang w:val="lt-LT"/>
        </w:rPr>
        <w:t>/ml.</w:t>
      </w:r>
    </w:p>
    <w:p w14:paraId="4F4DE6D0"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7A9C98CB"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Maistas mažina ir šiek tiek lėtina </w:t>
      </w:r>
      <w:proofErr w:type="spellStart"/>
      <w:r>
        <w:rPr>
          <w:rFonts w:eastAsia="TimesNewRoman"/>
          <w:snapToGrid/>
          <w:szCs w:val="24"/>
          <w:lang w:val="lt-LT"/>
        </w:rPr>
        <w:t>metformino</w:t>
      </w:r>
      <w:proofErr w:type="spellEnd"/>
      <w:r>
        <w:rPr>
          <w:rFonts w:eastAsia="TimesNewRoman"/>
          <w:snapToGrid/>
          <w:szCs w:val="24"/>
          <w:lang w:val="lt-LT"/>
        </w:rPr>
        <w:t xml:space="preserve"> absorbciją. Nustatyta, kad išgėrus 850 mg </w:t>
      </w:r>
      <w:proofErr w:type="spellStart"/>
      <w:r>
        <w:rPr>
          <w:rFonts w:eastAsia="TimesNewRoman"/>
          <w:snapToGrid/>
          <w:szCs w:val="24"/>
          <w:lang w:val="lt-LT"/>
        </w:rPr>
        <w:t>metformino</w:t>
      </w:r>
      <w:proofErr w:type="spellEnd"/>
      <w:r>
        <w:rPr>
          <w:rFonts w:eastAsia="TimesNewRoman"/>
          <w:snapToGrid/>
          <w:szCs w:val="24"/>
          <w:lang w:val="lt-LT"/>
        </w:rPr>
        <w:t xml:space="preserve"> dozę, didžiausia koncentracija kraujo plazmoje būna 40 % mažesnė, 25 % sumažėja AUC ir 35 min. vėliau susidaro didžiausia koncentracija kraujo plazmoje. Klinikinio tokio pokyčio reikšmė nežinoma.</w:t>
      </w:r>
    </w:p>
    <w:p w14:paraId="649E9EC7"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343E1C06"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Pasiskirstymas</w:t>
      </w:r>
    </w:p>
    <w:p w14:paraId="4DC5E2F4"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Metforminas prie kraujo plazmos baltymų beveik nesijungia. Metforminas prasiskverbia į eritrocitus. Didžiausia koncentracija kraujyje būna mažesnė už didžiausią koncentraciją kraujo plazmoje, jos susidaro beveik tuo pačiu metu. Eritrocitai tikriausiai yra antrinė pasiskirstymo terpė. Vidutinis pasiskirstymo tūris (</w:t>
      </w:r>
      <w:proofErr w:type="spellStart"/>
      <w:r>
        <w:rPr>
          <w:rFonts w:eastAsia="TimesNewRoman"/>
          <w:snapToGrid/>
          <w:szCs w:val="24"/>
          <w:lang w:val="lt-LT"/>
        </w:rPr>
        <w:t>V</w:t>
      </w:r>
      <w:r>
        <w:rPr>
          <w:rFonts w:eastAsia="TimesNewRoman"/>
          <w:snapToGrid/>
          <w:szCs w:val="24"/>
          <w:vertAlign w:val="subscript"/>
          <w:lang w:val="lt-LT"/>
        </w:rPr>
        <w:t>d</w:t>
      </w:r>
      <w:proofErr w:type="spellEnd"/>
      <w:r>
        <w:rPr>
          <w:rFonts w:eastAsia="TimesNewRoman"/>
          <w:snapToGrid/>
          <w:szCs w:val="24"/>
          <w:lang w:val="lt-LT"/>
        </w:rPr>
        <w:t>) yra 63</w:t>
      </w:r>
      <w:r>
        <w:rPr>
          <w:rFonts w:eastAsia="TimesNewRoman"/>
          <w:snapToGrid/>
          <w:szCs w:val="24"/>
          <w:lang w:val="lt-LT"/>
        </w:rPr>
        <w:noBreakHyphen/>
        <w:t>276 l.</w:t>
      </w:r>
    </w:p>
    <w:p w14:paraId="3BA07D23"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16ED8108"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proofErr w:type="spellStart"/>
      <w:r>
        <w:rPr>
          <w:rFonts w:eastAsia="TimesNewRoman"/>
          <w:snapToGrid/>
          <w:szCs w:val="24"/>
          <w:u w:val="single"/>
          <w:lang w:val="lt-LT"/>
        </w:rPr>
        <w:t>Biotransformacija</w:t>
      </w:r>
      <w:proofErr w:type="spellEnd"/>
    </w:p>
    <w:p w14:paraId="307BD72A"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r>
        <w:rPr>
          <w:rFonts w:eastAsia="TimesNewRoman"/>
          <w:snapToGrid/>
          <w:szCs w:val="24"/>
          <w:lang w:val="lt-LT"/>
        </w:rPr>
        <w:t xml:space="preserve">Metforminas šalinamas su šlapimu nepakitęs. Žmogaus organizme </w:t>
      </w:r>
      <w:proofErr w:type="spellStart"/>
      <w:r>
        <w:rPr>
          <w:rFonts w:eastAsia="TimesNewRoman"/>
          <w:snapToGrid/>
          <w:szCs w:val="24"/>
          <w:lang w:val="lt-LT"/>
        </w:rPr>
        <w:t>metformino</w:t>
      </w:r>
      <w:proofErr w:type="spellEnd"/>
      <w:r>
        <w:rPr>
          <w:rFonts w:eastAsia="TimesNewRoman"/>
          <w:snapToGrid/>
          <w:szCs w:val="24"/>
          <w:lang w:val="lt-LT"/>
        </w:rPr>
        <w:t xml:space="preserve"> metabolitų nenustatyta.</w:t>
      </w:r>
    </w:p>
    <w:p w14:paraId="19FA3622"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2EFB81F5" w14:textId="77777777" w:rsidR="00B64E78" w:rsidRDefault="00DA46A9">
      <w:pPr>
        <w:widowControl w:val="0"/>
        <w:tabs>
          <w:tab w:val="clear" w:pos="567"/>
        </w:tabs>
        <w:autoSpaceDE w:val="0"/>
        <w:autoSpaceDN w:val="0"/>
        <w:adjustRightInd w:val="0"/>
        <w:spacing w:line="240" w:lineRule="auto"/>
        <w:rPr>
          <w:rFonts w:eastAsia="TimesNewRoman"/>
          <w:snapToGrid/>
          <w:szCs w:val="24"/>
          <w:u w:val="single"/>
          <w:lang w:val="lt-LT"/>
        </w:rPr>
      </w:pPr>
      <w:r>
        <w:rPr>
          <w:rFonts w:eastAsia="TimesNewRoman"/>
          <w:snapToGrid/>
          <w:szCs w:val="24"/>
          <w:u w:val="single"/>
          <w:lang w:val="lt-LT"/>
        </w:rPr>
        <w:t>Eliminacija</w:t>
      </w:r>
    </w:p>
    <w:p w14:paraId="01B5520C" w14:textId="77777777" w:rsidR="00B64E78" w:rsidRDefault="00DA46A9">
      <w:pPr>
        <w:widowControl w:val="0"/>
        <w:tabs>
          <w:tab w:val="clear" w:pos="567"/>
        </w:tabs>
        <w:autoSpaceDE w:val="0"/>
        <w:autoSpaceDN w:val="0"/>
        <w:adjustRightInd w:val="0"/>
        <w:spacing w:line="240" w:lineRule="auto"/>
        <w:rPr>
          <w:rFonts w:eastAsia="TimesNewRoman"/>
          <w:snapToGrid/>
          <w:szCs w:val="24"/>
          <w:lang w:val="lt-LT"/>
        </w:rPr>
      </w:pPr>
      <w:proofErr w:type="spellStart"/>
      <w:r>
        <w:rPr>
          <w:rFonts w:eastAsia="TimesNewRoman"/>
          <w:snapToGrid/>
          <w:szCs w:val="24"/>
          <w:lang w:val="lt-LT"/>
        </w:rPr>
        <w:t>Metformino</w:t>
      </w:r>
      <w:proofErr w:type="spellEnd"/>
      <w:r>
        <w:rPr>
          <w:rFonts w:eastAsia="TimesNewRoman"/>
          <w:snapToGrid/>
          <w:szCs w:val="24"/>
          <w:lang w:val="lt-LT"/>
        </w:rPr>
        <w:t xml:space="preserve"> inkstų klirensas yra &gt; 400 ml/min., tai rodo, kad </w:t>
      </w:r>
      <w:proofErr w:type="spellStart"/>
      <w:r>
        <w:rPr>
          <w:rFonts w:eastAsia="TimesNewRoman"/>
          <w:snapToGrid/>
          <w:szCs w:val="24"/>
          <w:lang w:val="lt-LT"/>
        </w:rPr>
        <w:t>metforminas</w:t>
      </w:r>
      <w:proofErr w:type="spellEnd"/>
      <w:r>
        <w:rPr>
          <w:rFonts w:eastAsia="TimesNewRoman"/>
          <w:snapToGrid/>
          <w:szCs w:val="24"/>
          <w:lang w:val="lt-LT"/>
        </w:rPr>
        <w:t xml:space="preserve"> išskiriamas </w:t>
      </w:r>
      <w:proofErr w:type="spellStart"/>
      <w:r>
        <w:rPr>
          <w:rFonts w:eastAsia="TimesNewRoman"/>
          <w:snapToGrid/>
          <w:szCs w:val="24"/>
          <w:lang w:val="lt-LT"/>
        </w:rPr>
        <w:t>glomerulų</w:t>
      </w:r>
      <w:proofErr w:type="spellEnd"/>
      <w:r>
        <w:rPr>
          <w:rFonts w:eastAsia="TimesNewRoman"/>
          <w:snapToGrid/>
          <w:szCs w:val="24"/>
          <w:lang w:val="lt-LT"/>
        </w:rPr>
        <w:t xml:space="preserve"> filtracijos ir kanalėlių sekrecijos būdu. Išgėrus dozę, tariamasis galutinės pusinės eliminacijos laikas yra apie 6,5 val. Sutrikus inkstų funkcijai, inkstų klirensas mažėja proporcingai kreatinino klirensui, todėl pailgėja pusinės eliminacijos laikas ir didėja </w:t>
      </w:r>
      <w:proofErr w:type="spellStart"/>
      <w:r>
        <w:rPr>
          <w:rFonts w:eastAsia="TimesNewRoman"/>
          <w:snapToGrid/>
          <w:szCs w:val="24"/>
          <w:lang w:val="lt-LT"/>
        </w:rPr>
        <w:t>metformino</w:t>
      </w:r>
      <w:proofErr w:type="spellEnd"/>
      <w:r>
        <w:rPr>
          <w:rFonts w:eastAsia="TimesNewRoman"/>
          <w:snapToGrid/>
          <w:szCs w:val="24"/>
          <w:lang w:val="lt-LT"/>
        </w:rPr>
        <w:t xml:space="preserve"> kiekis kraujo plazmoje.</w:t>
      </w:r>
    </w:p>
    <w:p w14:paraId="2419591F" w14:textId="77777777" w:rsidR="00B64E78" w:rsidRDefault="00B64E78">
      <w:pPr>
        <w:widowControl w:val="0"/>
        <w:tabs>
          <w:tab w:val="clear" w:pos="567"/>
        </w:tabs>
        <w:autoSpaceDE w:val="0"/>
        <w:autoSpaceDN w:val="0"/>
        <w:adjustRightInd w:val="0"/>
        <w:spacing w:line="240" w:lineRule="auto"/>
        <w:rPr>
          <w:rFonts w:eastAsia="TimesNewRoman"/>
          <w:snapToGrid/>
          <w:szCs w:val="24"/>
          <w:lang w:val="lt-LT"/>
        </w:rPr>
      </w:pPr>
    </w:p>
    <w:p w14:paraId="7B7CCE08" w14:textId="77777777" w:rsidR="00B64E78" w:rsidRDefault="00DA46A9">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r>
      <w:proofErr w:type="spellStart"/>
      <w:r>
        <w:rPr>
          <w:b/>
          <w:snapToGrid/>
          <w:kern w:val="28"/>
          <w:szCs w:val="22"/>
          <w:lang w:val="lt-LT"/>
        </w:rPr>
        <w:t>Ikiklinikinių</w:t>
      </w:r>
      <w:proofErr w:type="spellEnd"/>
      <w:r>
        <w:rPr>
          <w:b/>
          <w:snapToGrid/>
          <w:kern w:val="28"/>
          <w:szCs w:val="22"/>
          <w:lang w:val="lt-LT"/>
        </w:rPr>
        <w:t xml:space="preserve"> saugumo tyrimų duomenys</w:t>
      </w:r>
    </w:p>
    <w:p w14:paraId="7DF8FC98"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3FF3E71"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lastRenderedPageBreak/>
        <w:t>Maymetsi</w:t>
      </w:r>
      <w:proofErr w:type="spellEnd"/>
      <w:r>
        <w:rPr>
          <w:rFonts w:eastAsia="TimesNewRoman"/>
          <w:snapToGrid/>
          <w:szCs w:val="22"/>
          <w:lang w:val="lt-LT"/>
        </w:rPr>
        <w:t xml:space="preserve"> tyrimų su gyvūnais neatlikta.</w:t>
      </w:r>
    </w:p>
    <w:p w14:paraId="020B4C32"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0676D729"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16 savaičių trukmės tyrimų metu šunims buvo skiriama vien </w:t>
      </w:r>
      <w:proofErr w:type="spellStart"/>
      <w:r>
        <w:rPr>
          <w:rFonts w:eastAsia="TimesNewRoman"/>
          <w:snapToGrid/>
          <w:szCs w:val="22"/>
          <w:lang w:val="lt-LT"/>
        </w:rPr>
        <w:t>metformino</w:t>
      </w:r>
      <w:proofErr w:type="spellEnd"/>
      <w:r>
        <w:rPr>
          <w:rFonts w:eastAsia="TimesNewRoman"/>
          <w:snapToGrid/>
          <w:szCs w:val="22"/>
          <w:lang w:val="lt-LT"/>
        </w:rPr>
        <w:t xml:space="preserve"> arba </w:t>
      </w:r>
      <w:proofErr w:type="spellStart"/>
      <w:r>
        <w:rPr>
          <w:rFonts w:eastAsia="TimesNewRoman"/>
          <w:snapToGrid/>
          <w:szCs w:val="22"/>
          <w:lang w:val="lt-LT"/>
        </w:rPr>
        <w:t>metformino</w:t>
      </w:r>
      <w:proofErr w:type="spellEnd"/>
      <w:r>
        <w:rPr>
          <w:rFonts w:eastAsia="TimesNewRoman"/>
          <w:snapToGrid/>
          <w:szCs w:val="22"/>
          <w:lang w:val="lt-LT"/>
        </w:rPr>
        <w:t xml:space="preserve"> ir </w:t>
      </w:r>
      <w:proofErr w:type="spellStart"/>
      <w:r>
        <w:rPr>
          <w:rFonts w:eastAsia="TimesNewRoman"/>
          <w:snapToGrid/>
          <w:szCs w:val="22"/>
          <w:lang w:val="lt-LT"/>
        </w:rPr>
        <w:t>sitagliptino</w:t>
      </w:r>
      <w:proofErr w:type="spellEnd"/>
      <w:r>
        <w:rPr>
          <w:rFonts w:eastAsia="TimesNewRoman"/>
          <w:snapToGrid/>
          <w:szCs w:val="22"/>
          <w:lang w:val="lt-LT"/>
        </w:rPr>
        <w:t xml:space="preserve"> derinio, jo vartojusiems gyvūnams papildomo toksinio poveikio nenustatyta. Šių tyrimų metu nustatyta, kad poveikio nesukelianti </w:t>
      </w:r>
      <w:proofErr w:type="spellStart"/>
      <w:r>
        <w:rPr>
          <w:rFonts w:eastAsia="TimesNewRoman"/>
          <w:snapToGrid/>
          <w:szCs w:val="22"/>
          <w:lang w:val="lt-LT"/>
        </w:rPr>
        <w:t>sitagliptino</w:t>
      </w:r>
      <w:proofErr w:type="spellEnd"/>
      <w:r>
        <w:rPr>
          <w:rFonts w:eastAsia="TimesNewRoman"/>
          <w:snapToGrid/>
          <w:szCs w:val="22"/>
          <w:lang w:val="lt-LT"/>
        </w:rPr>
        <w:t xml:space="preserve"> ekspozicija (angl. </w:t>
      </w:r>
      <w:proofErr w:type="spellStart"/>
      <w:r>
        <w:rPr>
          <w:rFonts w:eastAsia="TimesNewRoman"/>
          <w:i/>
          <w:iCs/>
          <w:snapToGrid/>
          <w:szCs w:val="22"/>
          <w:lang w:val="lt-LT"/>
        </w:rPr>
        <w:t>no</w:t>
      </w:r>
      <w:proofErr w:type="spellEnd"/>
      <w:r>
        <w:rPr>
          <w:rFonts w:eastAsia="TimesNewRoman"/>
          <w:i/>
          <w:iCs/>
          <w:snapToGrid/>
          <w:szCs w:val="22"/>
          <w:lang w:val="lt-LT"/>
        </w:rPr>
        <w:t xml:space="preserve"> </w:t>
      </w:r>
      <w:proofErr w:type="spellStart"/>
      <w:r>
        <w:rPr>
          <w:rFonts w:eastAsia="TimesNewRoman"/>
          <w:i/>
          <w:iCs/>
          <w:snapToGrid/>
          <w:szCs w:val="22"/>
          <w:lang w:val="lt-LT"/>
        </w:rPr>
        <w:t>observed</w:t>
      </w:r>
      <w:proofErr w:type="spellEnd"/>
      <w:r>
        <w:rPr>
          <w:rFonts w:eastAsia="TimesNewRoman"/>
          <w:i/>
          <w:iCs/>
          <w:snapToGrid/>
          <w:szCs w:val="22"/>
          <w:lang w:val="lt-LT"/>
        </w:rPr>
        <w:t xml:space="preserve"> </w:t>
      </w:r>
      <w:proofErr w:type="spellStart"/>
      <w:r>
        <w:rPr>
          <w:rFonts w:eastAsia="TimesNewRoman"/>
          <w:i/>
          <w:iCs/>
          <w:snapToGrid/>
          <w:szCs w:val="22"/>
          <w:lang w:val="lt-LT"/>
        </w:rPr>
        <w:t>effect</w:t>
      </w:r>
      <w:proofErr w:type="spellEnd"/>
      <w:r>
        <w:rPr>
          <w:rFonts w:eastAsia="TimesNewRoman"/>
          <w:i/>
          <w:iCs/>
          <w:snapToGrid/>
          <w:szCs w:val="22"/>
          <w:lang w:val="lt-LT"/>
        </w:rPr>
        <w:t xml:space="preserve"> </w:t>
      </w:r>
      <w:proofErr w:type="spellStart"/>
      <w:r>
        <w:rPr>
          <w:rFonts w:eastAsia="TimesNewRoman"/>
          <w:i/>
          <w:iCs/>
          <w:snapToGrid/>
          <w:szCs w:val="22"/>
          <w:lang w:val="lt-LT"/>
        </w:rPr>
        <w:t>level</w:t>
      </w:r>
      <w:proofErr w:type="spellEnd"/>
      <w:r>
        <w:rPr>
          <w:rFonts w:eastAsia="TimesNewRoman"/>
          <w:snapToGrid/>
          <w:szCs w:val="22"/>
          <w:lang w:val="lt-LT"/>
        </w:rPr>
        <w:t xml:space="preserve">, NOEL) šunų organizme buvo maždaug 6 kartus didesnė už būnančią žmogaus organizme, o </w:t>
      </w:r>
      <w:proofErr w:type="spellStart"/>
      <w:r>
        <w:rPr>
          <w:rFonts w:eastAsia="TimesNewRoman"/>
          <w:snapToGrid/>
          <w:szCs w:val="22"/>
          <w:lang w:val="lt-LT"/>
        </w:rPr>
        <w:t>metformino</w:t>
      </w:r>
      <w:proofErr w:type="spellEnd"/>
      <w:r>
        <w:rPr>
          <w:rFonts w:eastAsia="TimesNewRoman"/>
          <w:snapToGrid/>
          <w:szCs w:val="22"/>
          <w:lang w:val="lt-LT"/>
        </w:rPr>
        <w:t xml:space="preserve"> – maždaug 2,5 karto didesnė už būnančią žmogaus organizme.</w:t>
      </w:r>
    </w:p>
    <w:p w14:paraId="1828EDD5"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538B5BF"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nurodyti duomenys gauti atliekant tyrimus su </w:t>
      </w:r>
      <w:proofErr w:type="spellStart"/>
      <w:r>
        <w:rPr>
          <w:rFonts w:eastAsia="TimesNewRoman"/>
          <w:snapToGrid/>
          <w:szCs w:val="22"/>
          <w:lang w:val="lt-LT"/>
        </w:rPr>
        <w:t>sitagliptinu</w:t>
      </w:r>
      <w:proofErr w:type="spellEnd"/>
      <w:r>
        <w:rPr>
          <w:rFonts w:eastAsia="TimesNewRoman"/>
          <w:snapToGrid/>
          <w:szCs w:val="22"/>
          <w:lang w:val="lt-LT"/>
        </w:rPr>
        <w:t xml:space="preserve"> ir </w:t>
      </w:r>
      <w:proofErr w:type="spellStart"/>
      <w:r>
        <w:rPr>
          <w:rFonts w:eastAsia="TimesNewRoman"/>
          <w:snapToGrid/>
          <w:szCs w:val="22"/>
          <w:lang w:val="lt-LT"/>
        </w:rPr>
        <w:t>metforminu</w:t>
      </w:r>
      <w:proofErr w:type="spellEnd"/>
      <w:r>
        <w:rPr>
          <w:rFonts w:eastAsia="TimesNewRoman"/>
          <w:snapToGrid/>
          <w:szCs w:val="22"/>
          <w:lang w:val="lt-LT"/>
        </w:rPr>
        <w:t xml:space="preserve"> atskirai. </w:t>
      </w:r>
    </w:p>
    <w:p w14:paraId="1BA145E1"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50290BF" w14:textId="77777777" w:rsidR="00B64E78" w:rsidRDefault="00DA46A9">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Sitagliptinas</w:t>
      </w:r>
    </w:p>
    <w:p w14:paraId="1E77B838"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Toksinis poveikis graužikų inkstams ir kepenims pasireiškė tada, kai sisteminė ekspozicija jų organizme buvo 58 kartus didesnė už susidarančią žmogaus organizme. Poveikio nesukelianti ekspozicija graužikų organizme buvo 19 kartų didesnė už susidarančią žmogaus organizme. Žiurkėms, kurių organizme vaistinio preparato ekspozicija buvo 67 kartus didesnė už susidarančią žmogaus organizme, buvo priešakinių dantų pokyčių; remiantis 14 savaičių trukmės tyrimais su žiurkėmis, šio poveikio nesukelianti ekspozicija buvo 58 kartus didesnė už susidarančią klinikinę dozę vartojančio žmogaus organizme. Šių duomenų reikšmė žmogui nežinoma. Šunims, kurių organizme ekspozicija buvo 23 kartus didesnė už susidarančią klinikinę dozę vartojančio žmogaus organizme, pasireiškė laikinų su gydymu susijusių fizinių simptomų, kai kurie iš jų rodo toksinį poveikį nervų sistemai, pvz., kvėpavimas prasižiojus, seilėtekis, vėmimas baltomis putomis, </w:t>
      </w:r>
      <w:proofErr w:type="spellStart"/>
      <w:r>
        <w:rPr>
          <w:rFonts w:eastAsia="TimesNewRoman"/>
          <w:snapToGrid/>
          <w:szCs w:val="22"/>
          <w:lang w:val="lt-LT"/>
        </w:rPr>
        <w:t>ataksija</w:t>
      </w:r>
      <w:proofErr w:type="spellEnd"/>
      <w:r>
        <w:rPr>
          <w:rFonts w:eastAsia="TimesNewRoman"/>
          <w:snapToGrid/>
          <w:szCs w:val="22"/>
          <w:lang w:val="lt-LT"/>
        </w:rPr>
        <w:t>, drebulys, aktyvumo sumažėjimas ir (arba) kūprinimasis. Be to, histologiniu tyrimu nustatyta labai lengva ar lengva skeleto raumenų degeneracija vartojant dozes, kai ekspozicija buvo maždaug 23 kartus didesnė už susidarančią žmogaus organizme. Šio pokyčio nesukelianti ekspozicija buvo 6 kartus didesnė už susidarančią klinikinę dozę vartojančio žmogaus organizme.</w:t>
      </w:r>
    </w:p>
    <w:p w14:paraId="71E30519"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D47783C"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Ikiklinikinių</w:t>
      </w:r>
      <w:proofErr w:type="spellEnd"/>
      <w:r>
        <w:rPr>
          <w:rFonts w:eastAsia="TimesNewRoman"/>
          <w:snapToGrid/>
          <w:szCs w:val="22"/>
          <w:lang w:val="lt-LT"/>
        </w:rPr>
        <w:t xml:space="preserve"> tyrimų metu </w:t>
      </w:r>
      <w:proofErr w:type="spellStart"/>
      <w:r>
        <w:rPr>
          <w:rFonts w:eastAsia="TimesNewRoman"/>
          <w:snapToGrid/>
          <w:szCs w:val="22"/>
          <w:lang w:val="lt-LT"/>
        </w:rPr>
        <w:t>sitagliptino</w:t>
      </w:r>
      <w:proofErr w:type="spellEnd"/>
      <w:r>
        <w:rPr>
          <w:rFonts w:eastAsia="TimesNewRoman"/>
          <w:snapToGrid/>
          <w:szCs w:val="22"/>
          <w:lang w:val="lt-LT"/>
        </w:rPr>
        <w:t xml:space="preserve"> </w:t>
      </w:r>
      <w:proofErr w:type="spellStart"/>
      <w:r>
        <w:rPr>
          <w:rFonts w:eastAsia="TimesNewRoman"/>
          <w:snapToGrid/>
          <w:szCs w:val="22"/>
          <w:lang w:val="lt-LT"/>
        </w:rPr>
        <w:t>genotoksinio</w:t>
      </w:r>
      <w:proofErr w:type="spellEnd"/>
      <w:r>
        <w:rPr>
          <w:rFonts w:eastAsia="TimesNewRoman"/>
          <w:snapToGrid/>
          <w:szCs w:val="22"/>
          <w:lang w:val="lt-LT"/>
        </w:rPr>
        <w:t xml:space="preserve"> poveikio nepastebėta. Pelėms </w:t>
      </w:r>
      <w:proofErr w:type="spellStart"/>
      <w:r>
        <w:rPr>
          <w:rFonts w:eastAsia="TimesNewRoman"/>
          <w:snapToGrid/>
          <w:szCs w:val="22"/>
          <w:lang w:val="lt-LT"/>
        </w:rPr>
        <w:t>sitagliptinas</w:t>
      </w:r>
      <w:proofErr w:type="spellEnd"/>
      <w:r>
        <w:rPr>
          <w:rFonts w:eastAsia="TimesNewRoman"/>
          <w:snapToGrid/>
          <w:szCs w:val="22"/>
          <w:lang w:val="lt-LT"/>
        </w:rPr>
        <w:t xml:space="preserve"> kancerogeninio poveikio nesukėlė. Žiurkėms, kurių organizme ekspozicija buvo 58 kartus didesnė už susidarančią klinikinę dozę vartojančio žmogaus organizme, dažniau pasireiškė kepenų adenoma ar karcinoma. Įrodyta, jog žiurkėms toksinis poveikis kepenims koreliuoja su kepenų naviko pasireiškimu, todėl tikėtina, kad šis kepenų naviko padažnėjimas žiurkėms buvo antrinis dėl šios didelės dozės sukelto lėtinio toksinio poveikio kepenims. Nemanoma, kad pastebėti navikiniai pokyčiai gali būti svarbūs gydant žmogų, nes saugumo ribos yra plačios (šių pokyčių nesukelianti ekspozicija yra 19 kartų didesnė už susidarančią klinikinę dozę vartojančio žmogaus organizme).</w:t>
      </w:r>
    </w:p>
    <w:p w14:paraId="29DC5BDB"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05BCB408"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Nepageidaujamo poveikio žiurkių patelių ir patinų, </w:t>
      </w:r>
      <w:proofErr w:type="spellStart"/>
      <w:r>
        <w:rPr>
          <w:rFonts w:eastAsia="TimesNewRoman"/>
          <w:snapToGrid/>
          <w:szCs w:val="22"/>
          <w:lang w:val="lt-LT"/>
        </w:rPr>
        <w:t>sitagliptino</w:t>
      </w:r>
      <w:proofErr w:type="spellEnd"/>
      <w:r>
        <w:rPr>
          <w:rFonts w:eastAsia="TimesNewRoman"/>
          <w:snapToGrid/>
          <w:szCs w:val="22"/>
          <w:lang w:val="lt-LT"/>
        </w:rPr>
        <w:t xml:space="preserve"> vartojusių prieš poravimąsi ir poravimosi metu, vaisingumui nepastebėta.</w:t>
      </w:r>
    </w:p>
    <w:p w14:paraId="335357B8"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F590C41"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Tyrimų su žiurkėmis metu </w:t>
      </w:r>
      <w:proofErr w:type="spellStart"/>
      <w:r>
        <w:rPr>
          <w:rFonts w:eastAsia="TimesNewRoman"/>
          <w:snapToGrid/>
          <w:szCs w:val="22"/>
          <w:lang w:val="lt-LT"/>
        </w:rPr>
        <w:t>sitagliptino</w:t>
      </w:r>
      <w:proofErr w:type="spellEnd"/>
      <w:r>
        <w:rPr>
          <w:rFonts w:eastAsia="TimesNewRoman"/>
          <w:snapToGrid/>
          <w:szCs w:val="22"/>
          <w:lang w:val="lt-LT"/>
        </w:rPr>
        <w:t xml:space="preserve"> nepageidaujamų reakcijų vystymuisi </w:t>
      </w:r>
      <w:proofErr w:type="spellStart"/>
      <w:r>
        <w:rPr>
          <w:rFonts w:eastAsia="TimesNewRoman"/>
          <w:snapToGrid/>
          <w:szCs w:val="22"/>
          <w:lang w:val="lt-LT"/>
        </w:rPr>
        <w:t>prenataliniu</w:t>
      </w:r>
      <w:proofErr w:type="spellEnd"/>
      <w:r>
        <w:rPr>
          <w:rFonts w:eastAsia="TimesNewRoman"/>
          <w:snapToGrid/>
          <w:szCs w:val="22"/>
          <w:lang w:val="lt-LT"/>
        </w:rPr>
        <w:t xml:space="preserve"> ir </w:t>
      </w:r>
      <w:proofErr w:type="spellStart"/>
      <w:r>
        <w:rPr>
          <w:rFonts w:eastAsia="TimesNewRoman"/>
          <w:snapToGrid/>
          <w:szCs w:val="22"/>
          <w:lang w:val="lt-LT"/>
        </w:rPr>
        <w:t>postnataliniu</w:t>
      </w:r>
      <w:proofErr w:type="spellEnd"/>
      <w:r>
        <w:rPr>
          <w:rFonts w:eastAsia="TimesNewRoman"/>
          <w:snapToGrid/>
          <w:szCs w:val="22"/>
          <w:lang w:val="lt-LT"/>
        </w:rPr>
        <w:t xml:space="preserve"> laikotarpiu nepastebėta.</w:t>
      </w:r>
    </w:p>
    <w:p w14:paraId="3637EE5C"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1AC0039C"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Toksinio poveikio reprodukcijai tyrimų metu vaikingų žiurkių, kurių organizme ekspozicija buvo daugiau kaip 29 kartus didesnė už susidarančią žmogaus organizme, vaisiui šiek tiek dažniau pasireiškė nuo vaistinio preparato priklausomų šonkaulių sklaidos trūkumų (ne visi šonkauliai, </w:t>
      </w:r>
      <w:proofErr w:type="spellStart"/>
      <w:r>
        <w:rPr>
          <w:rFonts w:eastAsia="TimesNewRoman"/>
          <w:snapToGrid/>
          <w:szCs w:val="22"/>
          <w:lang w:val="lt-LT"/>
        </w:rPr>
        <w:t>hipoplastiški</w:t>
      </w:r>
      <w:proofErr w:type="spellEnd"/>
      <w:r>
        <w:rPr>
          <w:rFonts w:eastAsia="TimesNewRoman"/>
          <w:snapToGrid/>
          <w:szCs w:val="22"/>
          <w:lang w:val="lt-LT"/>
        </w:rPr>
        <w:t xml:space="preserve"> ar banguoti šonkauliai). Toksinis poveikis vaikingoms triušių patelėms pasireiškė tada, kai jų organizme ekspozicija buvo daugiau kaip 29 kartus didesnė už susidarančią žmogaus organizme. Kadangi saugumo ribos yra plačios, todėl šie duomenys reikšmingos rizikos žmogaus reprodukcinei funkcijai nerodo. Žindymo laikotarpiu į žiurkių pieną </w:t>
      </w:r>
      <w:proofErr w:type="spellStart"/>
      <w:r>
        <w:rPr>
          <w:rFonts w:eastAsia="TimesNewRoman"/>
          <w:snapToGrid/>
          <w:szCs w:val="22"/>
          <w:lang w:val="lt-LT"/>
        </w:rPr>
        <w:t>sitagliptino</w:t>
      </w:r>
      <w:proofErr w:type="spellEnd"/>
      <w:r>
        <w:rPr>
          <w:rFonts w:eastAsia="TimesNewRoman"/>
          <w:snapToGrid/>
          <w:szCs w:val="22"/>
          <w:lang w:val="lt-LT"/>
        </w:rPr>
        <w:t xml:space="preserve"> išsiskiria reikšmingais kiekiais (kiekio piene ir plazmoje santykis yra 4:1).</w:t>
      </w:r>
    </w:p>
    <w:p w14:paraId="53573663"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53CE4F14" w14:textId="77777777" w:rsidR="00B64E78" w:rsidRDefault="00DA46A9">
      <w:pPr>
        <w:widowControl w:val="0"/>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Metforminas</w:t>
      </w:r>
    </w:p>
    <w:p w14:paraId="2CBC8750"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Įprastų farmakologinio saugumo, kartotinių dozių toksiškumo, </w:t>
      </w:r>
      <w:proofErr w:type="spellStart"/>
      <w:r>
        <w:rPr>
          <w:rFonts w:eastAsia="TimesNewRoman"/>
          <w:snapToGrid/>
          <w:szCs w:val="22"/>
          <w:lang w:val="lt-LT"/>
        </w:rPr>
        <w:t>genotoksiškumo</w:t>
      </w:r>
      <w:proofErr w:type="spellEnd"/>
      <w:r>
        <w:rPr>
          <w:rFonts w:eastAsia="TimesNewRoman"/>
          <w:snapToGrid/>
          <w:szCs w:val="22"/>
          <w:lang w:val="lt-LT"/>
        </w:rPr>
        <w:t xml:space="preserve">, galimo </w:t>
      </w:r>
      <w:proofErr w:type="spellStart"/>
      <w:r>
        <w:rPr>
          <w:rFonts w:eastAsia="TimesNewRoman"/>
          <w:snapToGrid/>
          <w:szCs w:val="22"/>
          <w:lang w:val="lt-LT"/>
        </w:rPr>
        <w:t>kancerogeniškumo</w:t>
      </w:r>
      <w:proofErr w:type="spellEnd"/>
      <w:r>
        <w:rPr>
          <w:rFonts w:eastAsia="TimesNewRoman"/>
          <w:snapToGrid/>
          <w:szCs w:val="22"/>
          <w:lang w:val="lt-LT"/>
        </w:rPr>
        <w:t xml:space="preserve"> ir toksinio poveikio reprodukcijai </w:t>
      </w:r>
      <w:proofErr w:type="spellStart"/>
      <w:r>
        <w:rPr>
          <w:rFonts w:eastAsia="TimesNewRoman"/>
          <w:snapToGrid/>
          <w:szCs w:val="22"/>
          <w:lang w:val="lt-LT"/>
        </w:rPr>
        <w:t>ikiklinikinių</w:t>
      </w:r>
      <w:proofErr w:type="spellEnd"/>
      <w:r>
        <w:rPr>
          <w:rFonts w:eastAsia="TimesNewRoman"/>
          <w:snapToGrid/>
          <w:szCs w:val="22"/>
          <w:lang w:val="lt-LT"/>
        </w:rPr>
        <w:t xml:space="preserve"> </w:t>
      </w:r>
      <w:proofErr w:type="spellStart"/>
      <w:r>
        <w:rPr>
          <w:rFonts w:eastAsia="TimesNewRoman"/>
          <w:snapToGrid/>
          <w:szCs w:val="22"/>
          <w:lang w:val="lt-LT"/>
        </w:rPr>
        <w:t>metformino</w:t>
      </w:r>
      <w:proofErr w:type="spellEnd"/>
      <w:r>
        <w:rPr>
          <w:rFonts w:eastAsia="TimesNewRoman"/>
          <w:snapToGrid/>
          <w:szCs w:val="22"/>
          <w:lang w:val="lt-LT"/>
        </w:rPr>
        <w:t xml:space="preserve"> tyrimų duomenys specifinio pavojaus žmogui nerodo.</w:t>
      </w:r>
    </w:p>
    <w:p w14:paraId="579FC1C2"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26D90413"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6E7E0326" w14:textId="77777777" w:rsidR="00B64E78" w:rsidRDefault="00DA46A9">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734BB61F" w14:textId="77777777" w:rsidR="00B64E78" w:rsidRDefault="00B64E78" w:rsidP="00317643">
      <w:pPr>
        <w:widowControl w:val="0"/>
        <w:tabs>
          <w:tab w:val="clear" w:pos="567"/>
        </w:tabs>
        <w:spacing w:line="240" w:lineRule="auto"/>
        <w:ind w:left="567" w:hanging="567"/>
        <w:rPr>
          <w:snapToGrid/>
          <w:szCs w:val="22"/>
          <w:lang w:val="lt-LT"/>
        </w:rPr>
      </w:pPr>
    </w:p>
    <w:p w14:paraId="3A96C410" w14:textId="77777777" w:rsidR="00B64E78" w:rsidRDefault="00DA46A9" w:rsidP="00317643">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44EC7CF1" w14:textId="77777777" w:rsidR="00B64E78" w:rsidRDefault="00B64E78" w:rsidP="00317643">
      <w:pPr>
        <w:widowControl w:val="0"/>
        <w:tabs>
          <w:tab w:val="clear" w:pos="567"/>
        </w:tabs>
        <w:spacing w:line="240" w:lineRule="auto"/>
        <w:rPr>
          <w:snapToGrid/>
          <w:szCs w:val="22"/>
          <w:lang w:val="lt-LT"/>
        </w:rPr>
      </w:pPr>
    </w:p>
    <w:p w14:paraId="3F820F4E"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Tabletės šerdis</w:t>
      </w:r>
    </w:p>
    <w:p w14:paraId="7B91F06F" w14:textId="77777777" w:rsidR="00B64E78" w:rsidRDefault="00DA46A9" w:rsidP="00317643">
      <w:pPr>
        <w:widowControl w:val="0"/>
        <w:tabs>
          <w:tab w:val="clear" w:pos="567"/>
        </w:tabs>
        <w:spacing w:line="240" w:lineRule="auto"/>
        <w:rPr>
          <w:rFonts w:eastAsia="TimesNewRoman"/>
          <w:snapToGrid/>
          <w:szCs w:val="22"/>
          <w:lang w:val="lt-LT"/>
        </w:rPr>
      </w:pPr>
      <w:proofErr w:type="spellStart"/>
      <w:r>
        <w:rPr>
          <w:rFonts w:eastAsia="TimesNewRoman"/>
          <w:snapToGrid/>
          <w:szCs w:val="22"/>
          <w:lang w:val="lt-LT"/>
        </w:rPr>
        <w:t>Povidonas</w:t>
      </w:r>
      <w:proofErr w:type="spellEnd"/>
    </w:p>
    <w:p w14:paraId="28C1CF02" w14:textId="77777777" w:rsidR="00B64E78" w:rsidRDefault="00DA46A9" w:rsidP="00317643">
      <w:pPr>
        <w:widowControl w:val="0"/>
        <w:tabs>
          <w:tab w:val="clear" w:pos="567"/>
        </w:tabs>
        <w:spacing w:line="240" w:lineRule="auto"/>
        <w:rPr>
          <w:snapToGrid/>
          <w:szCs w:val="22"/>
          <w:lang w:val="lt-LT"/>
        </w:rPr>
      </w:pPr>
      <w:proofErr w:type="spellStart"/>
      <w:r>
        <w:rPr>
          <w:rFonts w:eastAsia="TimesNewRoman"/>
          <w:snapToGrid/>
          <w:szCs w:val="22"/>
          <w:lang w:val="lt-LT"/>
        </w:rPr>
        <w:t>Mikrokristalinė</w:t>
      </w:r>
      <w:proofErr w:type="spellEnd"/>
      <w:r>
        <w:rPr>
          <w:rFonts w:eastAsia="TimesNewRoman"/>
          <w:snapToGrid/>
          <w:szCs w:val="22"/>
          <w:lang w:val="lt-LT"/>
        </w:rPr>
        <w:t xml:space="preserve"> celiuliozė</w:t>
      </w:r>
    </w:p>
    <w:p w14:paraId="2E2F3CCB"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Manitolis</w:t>
      </w:r>
      <w:proofErr w:type="spellEnd"/>
    </w:p>
    <w:p w14:paraId="653C1302"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Natrio </w:t>
      </w:r>
      <w:proofErr w:type="spellStart"/>
      <w:r>
        <w:rPr>
          <w:rFonts w:eastAsia="TimesNewRoman"/>
          <w:snapToGrid/>
          <w:szCs w:val="22"/>
          <w:lang w:val="lt-LT"/>
        </w:rPr>
        <w:t>laurilsulfatas</w:t>
      </w:r>
      <w:proofErr w:type="spellEnd"/>
    </w:p>
    <w:p w14:paraId="4CB216B5" w14:textId="77777777" w:rsidR="00B64E78" w:rsidRDefault="00DA46A9" w:rsidP="00317643">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Magnio </w:t>
      </w:r>
      <w:proofErr w:type="spellStart"/>
      <w:r>
        <w:rPr>
          <w:rFonts w:eastAsia="TimesNewRoman"/>
          <w:snapToGrid/>
          <w:szCs w:val="22"/>
          <w:lang w:val="lt-LT"/>
        </w:rPr>
        <w:t>stearatas</w:t>
      </w:r>
      <w:proofErr w:type="spellEnd"/>
    </w:p>
    <w:p w14:paraId="671DF591" w14:textId="77777777" w:rsidR="00B64E78" w:rsidRDefault="00B64E78" w:rsidP="00317643">
      <w:pPr>
        <w:widowControl w:val="0"/>
        <w:tabs>
          <w:tab w:val="clear" w:pos="567"/>
        </w:tabs>
        <w:spacing w:line="240" w:lineRule="auto"/>
        <w:ind w:left="567" w:hanging="567"/>
        <w:rPr>
          <w:snapToGrid/>
          <w:szCs w:val="22"/>
          <w:lang w:val="lt-LT"/>
        </w:rPr>
      </w:pPr>
    </w:p>
    <w:p w14:paraId="0362B763"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Plėvelė</w:t>
      </w:r>
    </w:p>
    <w:p w14:paraId="7D22002B"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Hipromeliozė</w:t>
      </w:r>
      <w:proofErr w:type="spellEnd"/>
    </w:p>
    <w:p w14:paraId="1C6D5C19"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Titano dioksidas (E171)</w:t>
      </w:r>
    </w:p>
    <w:p w14:paraId="2A72E2E8"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Talkas</w:t>
      </w:r>
    </w:p>
    <w:p w14:paraId="14779E20"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Propilenglikolis</w:t>
      </w:r>
      <w:proofErr w:type="spellEnd"/>
    </w:p>
    <w:p w14:paraId="4BF9DBCF"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Raudonasis geležies oksidas (E172)</w:t>
      </w:r>
    </w:p>
    <w:p w14:paraId="4B727827" w14:textId="77777777" w:rsidR="00B64E78" w:rsidRDefault="00B64E78" w:rsidP="00317643">
      <w:pPr>
        <w:widowControl w:val="0"/>
        <w:tabs>
          <w:tab w:val="clear" w:pos="567"/>
        </w:tabs>
        <w:spacing w:line="240" w:lineRule="auto"/>
        <w:ind w:left="567" w:hanging="567"/>
        <w:rPr>
          <w:snapToGrid/>
          <w:szCs w:val="22"/>
          <w:lang w:val="lt-LT"/>
        </w:rPr>
      </w:pPr>
    </w:p>
    <w:p w14:paraId="017855DA" w14:textId="77777777" w:rsidR="00B64E78" w:rsidRDefault="00DA46A9" w:rsidP="00317643">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00822BF8" w14:textId="77777777" w:rsidR="00B64E78" w:rsidRDefault="00B64E78" w:rsidP="00317643">
      <w:pPr>
        <w:widowControl w:val="0"/>
        <w:tabs>
          <w:tab w:val="clear" w:pos="567"/>
        </w:tabs>
        <w:spacing w:line="240" w:lineRule="auto"/>
        <w:ind w:left="567" w:hanging="567"/>
        <w:rPr>
          <w:snapToGrid/>
          <w:szCs w:val="22"/>
          <w:lang w:val="lt-LT"/>
        </w:rPr>
      </w:pPr>
    </w:p>
    <w:p w14:paraId="1CDD7D2C" w14:textId="77777777" w:rsidR="00B64E78" w:rsidRDefault="00DA46A9" w:rsidP="00317643">
      <w:pPr>
        <w:widowControl w:val="0"/>
        <w:tabs>
          <w:tab w:val="clear" w:pos="567"/>
        </w:tabs>
        <w:spacing w:line="240" w:lineRule="auto"/>
        <w:ind w:left="567" w:hanging="567"/>
        <w:rPr>
          <w:snapToGrid/>
          <w:szCs w:val="22"/>
          <w:lang w:val="lt-LT"/>
        </w:rPr>
      </w:pPr>
      <w:r>
        <w:rPr>
          <w:snapToGrid/>
          <w:szCs w:val="22"/>
          <w:lang w:val="lt-LT"/>
        </w:rPr>
        <w:t>Duomenys nebūtini.</w:t>
      </w:r>
    </w:p>
    <w:p w14:paraId="7817C92C" w14:textId="77777777" w:rsidR="00B64E78" w:rsidRDefault="00B64E78" w:rsidP="00317643">
      <w:pPr>
        <w:widowControl w:val="0"/>
        <w:tabs>
          <w:tab w:val="clear" w:pos="567"/>
        </w:tabs>
        <w:spacing w:line="240" w:lineRule="auto"/>
        <w:ind w:left="567" w:hanging="567"/>
        <w:rPr>
          <w:snapToGrid/>
          <w:szCs w:val="22"/>
          <w:lang w:val="lt-LT"/>
        </w:rPr>
      </w:pPr>
    </w:p>
    <w:p w14:paraId="438D99C7" w14:textId="77777777" w:rsidR="00B64E78" w:rsidRDefault="00DA46A9" w:rsidP="00317643">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2A514208" w14:textId="77777777" w:rsidR="00B64E78" w:rsidRDefault="00B64E78" w:rsidP="00317643">
      <w:pPr>
        <w:widowControl w:val="0"/>
        <w:tabs>
          <w:tab w:val="clear" w:pos="567"/>
        </w:tabs>
        <w:spacing w:line="240" w:lineRule="auto"/>
        <w:ind w:left="567" w:hanging="567"/>
        <w:rPr>
          <w:snapToGrid/>
          <w:szCs w:val="22"/>
          <w:lang w:val="lt-LT"/>
        </w:rPr>
      </w:pPr>
    </w:p>
    <w:p w14:paraId="0A5F057A" w14:textId="77777777" w:rsidR="00B64E78" w:rsidRDefault="00DA46A9" w:rsidP="00317643">
      <w:pPr>
        <w:widowControl w:val="0"/>
        <w:tabs>
          <w:tab w:val="clear" w:pos="567"/>
        </w:tabs>
        <w:spacing w:line="240" w:lineRule="auto"/>
        <w:ind w:left="567" w:hanging="567"/>
        <w:rPr>
          <w:snapToGrid/>
          <w:szCs w:val="22"/>
          <w:lang w:val="lt-LT"/>
        </w:rPr>
      </w:pPr>
      <w:r>
        <w:rPr>
          <w:snapToGrid/>
          <w:szCs w:val="22"/>
          <w:lang w:val="lt-LT"/>
        </w:rPr>
        <w:t>OPA/aliuminio/PVC//aliuminio lizdinės plokštelės: 2 metai.</w:t>
      </w:r>
    </w:p>
    <w:p w14:paraId="7A61C141" w14:textId="77777777" w:rsidR="00B64E78" w:rsidRDefault="00DA46A9" w:rsidP="00317643">
      <w:pPr>
        <w:widowControl w:val="0"/>
        <w:tabs>
          <w:tab w:val="clear" w:pos="567"/>
        </w:tabs>
        <w:spacing w:line="240" w:lineRule="auto"/>
        <w:rPr>
          <w:i/>
          <w:iCs/>
          <w:snapToGrid/>
          <w:szCs w:val="22"/>
          <w:lang w:val="lt-LT"/>
        </w:rPr>
      </w:pPr>
      <w:r>
        <w:rPr>
          <w:iCs/>
          <w:snapToGrid/>
          <w:szCs w:val="22"/>
          <w:lang w:val="lt-LT"/>
        </w:rPr>
        <w:t>PVC/PE/PVDC/PE/PVC//aliuminio</w:t>
      </w:r>
      <w:r>
        <w:rPr>
          <w:iCs/>
          <w:lang w:val="lt-LT"/>
        </w:rPr>
        <w:t xml:space="preserve"> lizdinės plokštelės: </w:t>
      </w:r>
      <w:r>
        <w:rPr>
          <w:snapToGrid/>
          <w:szCs w:val="22"/>
          <w:lang w:val="lt-LT"/>
        </w:rPr>
        <w:t>3 metai.</w:t>
      </w:r>
    </w:p>
    <w:p w14:paraId="133FD3B3" w14:textId="77777777" w:rsidR="00B64E78" w:rsidRDefault="00B64E78" w:rsidP="00317643">
      <w:pPr>
        <w:widowControl w:val="0"/>
        <w:tabs>
          <w:tab w:val="clear" w:pos="567"/>
        </w:tabs>
        <w:spacing w:line="240" w:lineRule="auto"/>
        <w:rPr>
          <w:snapToGrid/>
          <w:szCs w:val="22"/>
          <w:lang w:val="lt-LT"/>
        </w:rPr>
      </w:pPr>
    </w:p>
    <w:p w14:paraId="12A941E3" w14:textId="77777777" w:rsidR="00B64E78" w:rsidRDefault="00B64E78" w:rsidP="00317643">
      <w:pPr>
        <w:widowControl w:val="0"/>
        <w:tabs>
          <w:tab w:val="clear" w:pos="567"/>
        </w:tabs>
        <w:spacing w:line="240" w:lineRule="auto"/>
        <w:rPr>
          <w:snapToGrid/>
          <w:szCs w:val="22"/>
          <w:lang w:val="lt-LT"/>
        </w:rPr>
      </w:pPr>
    </w:p>
    <w:p w14:paraId="02515C5D" w14:textId="77777777" w:rsidR="00B64E78" w:rsidRDefault="00DA46A9" w:rsidP="00317643">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0651066C" w14:textId="77777777" w:rsidR="00B64E78" w:rsidRDefault="00B64E78" w:rsidP="00317643">
      <w:pPr>
        <w:widowControl w:val="0"/>
        <w:tabs>
          <w:tab w:val="clear" w:pos="567"/>
        </w:tabs>
        <w:spacing w:line="240" w:lineRule="auto"/>
        <w:rPr>
          <w:i/>
          <w:iCs/>
          <w:snapToGrid/>
          <w:szCs w:val="22"/>
          <w:lang w:val="lt-LT"/>
        </w:rPr>
      </w:pPr>
    </w:p>
    <w:p w14:paraId="6D701E46" w14:textId="77777777" w:rsidR="00B64E78" w:rsidRDefault="00DA46A9" w:rsidP="00317643">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01464761" w14:textId="77777777" w:rsidR="00B64E78" w:rsidRDefault="00DA46A9" w:rsidP="00317643">
      <w:pPr>
        <w:widowControl w:val="0"/>
        <w:tabs>
          <w:tab w:val="clear" w:pos="567"/>
        </w:tabs>
        <w:spacing w:line="240" w:lineRule="auto"/>
        <w:rPr>
          <w:rFonts w:eastAsia="TimesNewRoman"/>
          <w:snapToGrid/>
          <w:szCs w:val="22"/>
          <w:lang w:val="lt-LT"/>
        </w:rPr>
      </w:pPr>
      <w:r>
        <w:rPr>
          <w:lang w:val="lt-LT"/>
        </w:rPr>
        <w:t>Šio vaistinio preparato laikymui specialių temperatūros sąlygų nereikalaujama.</w:t>
      </w:r>
    </w:p>
    <w:p w14:paraId="002D046C" w14:textId="77777777" w:rsidR="00B64E78" w:rsidRDefault="00DA46A9" w:rsidP="00317643">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vaistinis preparatas būtų apsaugotas nuo drėgmės.</w:t>
      </w:r>
    </w:p>
    <w:p w14:paraId="75AC7DA2" w14:textId="77777777" w:rsidR="00C81F45" w:rsidRDefault="00C81F45" w:rsidP="00317643">
      <w:pPr>
        <w:widowControl w:val="0"/>
        <w:tabs>
          <w:tab w:val="clear" w:pos="567"/>
        </w:tabs>
        <w:spacing w:line="240" w:lineRule="auto"/>
        <w:rPr>
          <w:rFonts w:eastAsia="TimesNewRoman"/>
          <w:snapToGrid/>
          <w:szCs w:val="22"/>
          <w:lang w:val="lt-LT"/>
        </w:rPr>
      </w:pPr>
    </w:p>
    <w:p w14:paraId="5A0F4ED8" w14:textId="77777777" w:rsidR="00B64E78" w:rsidRDefault="00DA46A9" w:rsidP="00317643">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18508EDF" w14:textId="77777777" w:rsidR="00B64E78" w:rsidRDefault="00DA46A9" w:rsidP="00317643">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vaistinis preparatas būtų apsaugotas nuo drėgmės</w:t>
      </w:r>
      <w:r>
        <w:rPr>
          <w:snapToGrid/>
          <w:szCs w:val="22"/>
          <w:highlight w:val="lightGray"/>
          <w:lang w:val="lt-LT"/>
        </w:rPr>
        <w:t>.</w:t>
      </w:r>
    </w:p>
    <w:p w14:paraId="6585B948" w14:textId="77777777" w:rsidR="00B64E78" w:rsidRDefault="00B64E78" w:rsidP="00317643">
      <w:pPr>
        <w:widowControl w:val="0"/>
        <w:tabs>
          <w:tab w:val="clear" w:pos="567"/>
        </w:tabs>
        <w:spacing w:line="240" w:lineRule="auto"/>
        <w:ind w:left="567" w:hanging="567"/>
        <w:rPr>
          <w:snapToGrid/>
          <w:szCs w:val="22"/>
          <w:lang w:val="lt-LT"/>
        </w:rPr>
      </w:pPr>
    </w:p>
    <w:p w14:paraId="5621E8CE" w14:textId="77777777" w:rsidR="00B64E78" w:rsidRDefault="00DA46A9" w:rsidP="00317643">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r>
      <w:proofErr w:type="spellStart"/>
      <w:r>
        <w:rPr>
          <w:b/>
          <w:snapToGrid/>
          <w:kern w:val="28"/>
          <w:szCs w:val="22"/>
          <w:lang w:val="lt-LT"/>
        </w:rPr>
        <w:t>Talpyklės</w:t>
      </w:r>
      <w:proofErr w:type="spellEnd"/>
      <w:r>
        <w:rPr>
          <w:b/>
          <w:snapToGrid/>
          <w:kern w:val="28"/>
          <w:szCs w:val="22"/>
          <w:lang w:val="lt-LT"/>
        </w:rPr>
        <w:t xml:space="preserve"> pobūdis ir jos turinys</w:t>
      </w:r>
    </w:p>
    <w:p w14:paraId="6DED0505" w14:textId="77777777" w:rsidR="00B64E78" w:rsidRDefault="00B64E78" w:rsidP="00317643">
      <w:pPr>
        <w:widowControl w:val="0"/>
        <w:spacing w:line="240" w:lineRule="auto"/>
        <w:rPr>
          <w:i/>
          <w:snapToGrid/>
          <w:szCs w:val="22"/>
          <w:highlight w:val="lightGray"/>
          <w:lang w:val="lt-LT"/>
        </w:rPr>
      </w:pPr>
    </w:p>
    <w:p w14:paraId="38E67705" w14:textId="77777777" w:rsidR="00B64E78" w:rsidRDefault="00DA46A9" w:rsidP="00317643">
      <w:pPr>
        <w:widowControl w:val="0"/>
        <w:spacing w:line="240" w:lineRule="auto"/>
        <w:rPr>
          <w:snapToGrid/>
          <w:szCs w:val="22"/>
          <w:lang w:val="lt-LT"/>
        </w:rPr>
      </w:pPr>
      <w:r>
        <w:rPr>
          <w:snapToGrid/>
          <w:szCs w:val="22"/>
          <w:lang w:val="lt-LT"/>
        </w:rPr>
        <w:t>Lizdinė plokštelė (OPA/aliuminio/PVC//aliuminio): 10, 14, 28, 30, 56, 60, 90, 196, 200 plėvele dengtų tablečių dėžutėje.</w:t>
      </w:r>
    </w:p>
    <w:p w14:paraId="7C70CB5C" w14:textId="77777777" w:rsidR="00B64E78" w:rsidRDefault="00DA46A9" w:rsidP="00317643">
      <w:pPr>
        <w:widowControl w:val="0"/>
        <w:spacing w:line="240" w:lineRule="auto"/>
        <w:rPr>
          <w:snapToGrid/>
          <w:szCs w:val="22"/>
          <w:lang w:val="lt-LT"/>
        </w:rPr>
      </w:pPr>
      <w:r>
        <w:rPr>
          <w:snapToGrid/>
          <w:szCs w:val="22"/>
          <w:lang w:val="lt-LT"/>
        </w:rPr>
        <w:t>Lizdinė plokštelė (OPA/aliuminio/PVC//aliuminio), kalendorinė pakuotė: 14, 28, 56, 196 plėvele dengtos tabletės dėžutėje.</w:t>
      </w:r>
    </w:p>
    <w:p w14:paraId="0E3692BE" w14:textId="77777777" w:rsidR="00B64E78" w:rsidRDefault="00DA46A9" w:rsidP="00317643">
      <w:pPr>
        <w:widowControl w:val="0"/>
        <w:spacing w:line="240" w:lineRule="auto"/>
        <w:rPr>
          <w:snapToGrid/>
          <w:szCs w:val="22"/>
          <w:lang w:val="lt-LT"/>
        </w:rPr>
      </w:pPr>
      <w:r>
        <w:rPr>
          <w:snapToGrid/>
          <w:szCs w:val="22"/>
          <w:lang w:val="lt-LT"/>
        </w:rPr>
        <w:t xml:space="preserve">Lizdinė plokštelė </w:t>
      </w:r>
      <w:r>
        <w:rPr>
          <w:rFonts w:eastAsia="TimesNewRoman"/>
          <w:snapToGrid/>
          <w:szCs w:val="22"/>
          <w:lang w:val="lt-LT"/>
        </w:rPr>
        <w:t xml:space="preserve">(PVC/PE/PVDC/PE/PVC//aliuminio): 10, 14, 28, 30, 56, 60, 90, 196, </w:t>
      </w:r>
      <w:r>
        <w:rPr>
          <w:snapToGrid/>
          <w:szCs w:val="22"/>
          <w:lang w:val="lt-LT"/>
        </w:rPr>
        <w:t>200 plėvele dengtų tablečių dėžutėje.</w:t>
      </w:r>
    </w:p>
    <w:p w14:paraId="5EA8427C"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Lizdinė plokštelė </w:t>
      </w:r>
      <w:r>
        <w:rPr>
          <w:rFonts w:eastAsia="TimesNewRoman"/>
          <w:snapToGrid/>
          <w:szCs w:val="22"/>
          <w:lang w:val="lt-LT"/>
        </w:rPr>
        <w:t xml:space="preserve">(PVC/PE/PVDC/PE/PVC//aliuminio), </w:t>
      </w:r>
      <w:r>
        <w:rPr>
          <w:snapToGrid/>
          <w:szCs w:val="22"/>
          <w:lang w:val="lt-LT"/>
        </w:rPr>
        <w:t>kalendorinė pakuotė</w:t>
      </w:r>
      <w:r>
        <w:rPr>
          <w:rFonts w:eastAsia="TimesNewRoman"/>
          <w:snapToGrid/>
          <w:szCs w:val="22"/>
          <w:lang w:val="lt-LT"/>
        </w:rPr>
        <w:t xml:space="preserve">: 14, 28, 56, </w:t>
      </w:r>
      <w:r>
        <w:rPr>
          <w:snapToGrid/>
          <w:szCs w:val="22"/>
          <w:lang w:val="lt-LT"/>
        </w:rPr>
        <w:t>196 plėvele dengtos tabletės dėžutėje</w:t>
      </w:r>
      <w:r>
        <w:rPr>
          <w:rFonts w:eastAsia="TimesNewRoman"/>
          <w:snapToGrid/>
          <w:szCs w:val="22"/>
          <w:lang w:val="lt-LT"/>
        </w:rPr>
        <w:t>.</w:t>
      </w:r>
    </w:p>
    <w:p w14:paraId="780B897A" w14:textId="77777777" w:rsidR="00B64E78" w:rsidRDefault="00B64E78" w:rsidP="00317643">
      <w:pPr>
        <w:widowControl w:val="0"/>
        <w:tabs>
          <w:tab w:val="clear" w:pos="567"/>
        </w:tabs>
        <w:autoSpaceDE w:val="0"/>
        <w:autoSpaceDN w:val="0"/>
        <w:adjustRightInd w:val="0"/>
        <w:spacing w:line="240" w:lineRule="auto"/>
        <w:rPr>
          <w:rFonts w:eastAsia="TimesNewRoman"/>
          <w:snapToGrid/>
          <w:szCs w:val="22"/>
          <w:lang w:val="lt-LT"/>
        </w:rPr>
      </w:pPr>
    </w:p>
    <w:p w14:paraId="6DA605E1"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153C6C9F" w14:textId="77777777" w:rsidR="00B64E78" w:rsidRDefault="00B64E78" w:rsidP="00317643">
      <w:pPr>
        <w:widowControl w:val="0"/>
        <w:tabs>
          <w:tab w:val="clear" w:pos="567"/>
        </w:tabs>
        <w:spacing w:line="240" w:lineRule="auto"/>
        <w:ind w:left="567" w:hanging="567"/>
        <w:rPr>
          <w:snapToGrid/>
          <w:szCs w:val="22"/>
          <w:lang w:val="lt-LT"/>
        </w:rPr>
      </w:pPr>
    </w:p>
    <w:p w14:paraId="4A1FC82F" w14:textId="77777777" w:rsidR="00B64E78" w:rsidRDefault="00DA46A9" w:rsidP="00317643">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w:t>
      </w:r>
    </w:p>
    <w:p w14:paraId="404F844C" w14:textId="77777777" w:rsidR="00B64E78" w:rsidRDefault="00B64E78" w:rsidP="00317643">
      <w:pPr>
        <w:widowControl w:val="0"/>
        <w:tabs>
          <w:tab w:val="clear" w:pos="567"/>
        </w:tabs>
        <w:spacing w:line="240" w:lineRule="auto"/>
        <w:rPr>
          <w:snapToGrid/>
          <w:szCs w:val="22"/>
          <w:lang w:val="lt-LT"/>
        </w:rPr>
      </w:pPr>
    </w:p>
    <w:p w14:paraId="45932D8D" w14:textId="77777777" w:rsidR="00B64E78" w:rsidRDefault="00DA46A9" w:rsidP="00317643">
      <w:pPr>
        <w:widowControl w:val="0"/>
        <w:tabs>
          <w:tab w:val="clear" w:pos="567"/>
        </w:tabs>
        <w:spacing w:line="240" w:lineRule="auto"/>
        <w:ind w:left="567" w:hanging="567"/>
        <w:rPr>
          <w:snapToGrid/>
          <w:szCs w:val="22"/>
          <w:lang w:val="lt-LT"/>
        </w:rPr>
      </w:pPr>
      <w:r>
        <w:rPr>
          <w:snapToGrid/>
          <w:szCs w:val="22"/>
          <w:lang w:val="lt-LT"/>
        </w:rPr>
        <w:t>Specialių reikalavimų nėra.</w:t>
      </w:r>
    </w:p>
    <w:p w14:paraId="3A47612D" w14:textId="77777777" w:rsidR="00B64E78" w:rsidRDefault="00B64E78" w:rsidP="00317643">
      <w:pPr>
        <w:widowControl w:val="0"/>
        <w:tabs>
          <w:tab w:val="clear" w:pos="567"/>
        </w:tabs>
        <w:spacing w:line="240" w:lineRule="auto"/>
        <w:ind w:left="567" w:hanging="567"/>
        <w:rPr>
          <w:snapToGrid/>
          <w:szCs w:val="22"/>
          <w:lang w:val="lt-LT"/>
        </w:rPr>
      </w:pPr>
    </w:p>
    <w:p w14:paraId="5F67C4DA" w14:textId="77777777" w:rsidR="00B64E78" w:rsidRDefault="00B64E78" w:rsidP="00317643">
      <w:pPr>
        <w:widowControl w:val="0"/>
        <w:tabs>
          <w:tab w:val="clear" w:pos="567"/>
        </w:tabs>
        <w:spacing w:line="240" w:lineRule="auto"/>
        <w:ind w:left="567" w:hanging="567"/>
        <w:rPr>
          <w:snapToGrid/>
          <w:szCs w:val="22"/>
          <w:lang w:val="lt-LT"/>
        </w:rPr>
      </w:pPr>
    </w:p>
    <w:p w14:paraId="2AF7C04E" w14:textId="77777777" w:rsidR="00B64E78" w:rsidRDefault="00DA46A9" w:rsidP="00317643">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7D993365" w14:textId="77777777" w:rsidR="00B64E78" w:rsidRDefault="00B64E78" w:rsidP="00317643">
      <w:pPr>
        <w:widowControl w:val="0"/>
        <w:tabs>
          <w:tab w:val="clear" w:pos="567"/>
        </w:tabs>
        <w:spacing w:line="240" w:lineRule="auto"/>
        <w:rPr>
          <w:snapToGrid/>
          <w:szCs w:val="22"/>
          <w:lang w:val="lt-LT"/>
        </w:rPr>
      </w:pPr>
    </w:p>
    <w:p w14:paraId="79559955" w14:textId="77777777" w:rsidR="00B64E78" w:rsidRDefault="00DA46A9" w:rsidP="00317643">
      <w:pPr>
        <w:widowControl w:val="0"/>
        <w:tabs>
          <w:tab w:val="clear" w:pos="567"/>
          <w:tab w:val="left" w:pos="540"/>
        </w:tabs>
        <w:spacing w:line="240" w:lineRule="auto"/>
        <w:rPr>
          <w:rFonts w:eastAsia="Calibri"/>
          <w:snapToGrid/>
          <w:szCs w:val="22"/>
          <w:lang w:val="lt-LT"/>
        </w:rPr>
      </w:pPr>
      <w:r>
        <w:rPr>
          <w:rFonts w:eastAsia="Calibri"/>
          <w:snapToGrid/>
          <w:szCs w:val="22"/>
          <w:lang w:val="lt-LT"/>
        </w:rPr>
        <w:lastRenderedPageBreak/>
        <w:t xml:space="preserve">KRKA </w:t>
      </w:r>
      <w:proofErr w:type="spellStart"/>
      <w:r>
        <w:rPr>
          <w:rFonts w:eastAsia="Calibri"/>
          <w:snapToGrid/>
          <w:szCs w:val="22"/>
          <w:lang w:val="lt-LT"/>
        </w:rPr>
        <w:t>d.d</w:t>
      </w:r>
      <w:proofErr w:type="spellEnd"/>
      <w:r>
        <w:rPr>
          <w:rFonts w:eastAsia="Calibri"/>
          <w:snapToGrid/>
          <w:szCs w:val="22"/>
          <w:lang w:val="lt-LT"/>
        </w:rPr>
        <w:t xml:space="preserve">. Novo mesto, </w:t>
      </w: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6,8501 Novo mesto, Slovėnija</w:t>
      </w:r>
    </w:p>
    <w:p w14:paraId="63E84498" w14:textId="77777777" w:rsidR="00B64E78" w:rsidRDefault="00B64E78" w:rsidP="00317643">
      <w:pPr>
        <w:widowControl w:val="0"/>
        <w:tabs>
          <w:tab w:val="clear" w:pos="567"/>
        </w:tabs>
        <w:spacing w:line="240" w:lineRule="auto"/>
        <w:rPr>
          <w:snapToGrid/>
          <w:szCs w:val="22"/>
          <w:lang w:val="lt-LT"/>
        </w:rPr>
      </w:pPr>
    </w:p>
    <w:p w14:paraId="609C58A7" w14:textId="77777777" w:rsidR="00B64E78" w:rsidRDefault="00B64E78" w:rsidP="00317643">
      <w:pPr>
        <w:widowControl w:val="0"/>
        <w:tabs>
          <w:tab w:val="clear" w:pos="567"/>
        </w:tabs>
        <w:spacing w:line="240" w:lineRule="auto"/>
        <w:ind w:left="567" w:hanging="567"/>
        <w:rPr>
          <w:snapToGrid/>
          <w:szCs w:val="22"/>
          <w:lang w:val="lt-LT"/>
        </w:rPr>
      </w:pPr>
    </w:p>
    <w:p w14:paraId="6901EBE9" w14:textId="77777777" w:rsidR="00B64E78" w:rsidRDefault="00DA46A9" w:rsidP="00317643">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09C44368" w14:textId="77777777" w:rsidR="00B64E78" w:rsidRDefault="00B64E78" w:rsidP="00317643">
      <w:pPr>
        <w:widowControl w:val="0"/>
        <w:tabs>
          <w:tab w:val="clear" w:pos="567"/>
        </w:tabs>
        <w:spacing w:line="240" w:lineRule="auto"/>
        <w:rPr>
          <w:i/>
          <w:snapToGrid/>
          <w:szCs w:val="22"/>
          <w:lang w:val="lt-LT"/>
        </w:rPr>
      </w:pPr>
    </w:p>
    <w:tbl>
      <w:tblPr>
        <w:tblW w:w="0" w:type="auto"/>
        <w:tblInd w:w="108" w:type="dxa"/>
        <w:tblLook w:val="04A0" w:firstRow="1" w:lastRow="0" w:firstColumn="1" w:lastColumn="0" w:noHBand="0" w:noVBand="1"/>
      </w:tblPr>
      <w:tblGrid>
        <w:gridCol w:w="4481"/>
        <w:gridCol w:w="4481"/>
      </w:tblGrid>
      <w:tr w:rsidR="00B64E78" w14:paraId="4ABB4EF6" w14:textId="77777777">
        <w:tc>
          <w:tcPr>
            <w:tcW w:w="4589" w:type="dxa"/>
          </w:tcPr>
          <w:p w14:paraId="495AA6A0" w14:textId="77777777" w:rsidR="00B64E78" w:rsidRDefault="00DA46A9" w:rsidP="00317643">
            <w:pPr>
              <w:widowControl w:val="0"/>
              <w:tabs>
                <w:tab w:val="clear" w:pos="567"/>
              </w:tabs>
              <w:spacing w:line="240" w:lineRule="auto"/>
              <w:rPr>
                <w:noProof/>
                <w:sz w:val="24"/>
                <w:u w:val="single"/>
                <w:lang w:val="lt-LT"/>
              </w:rPr>
            </w:pPr>
            <w:r>
              <w:rPr>
                <w:noProof/>
                <w:sz w:val="24"/>
                <w:u w:val="single"/>
                <w:lang w:val="lt-LT"/>
              </w:rPr>
              <w:t>50 mg/850 mg</w:t>
            </w:r>
          </w:p>
          <w:p w14:paraId="35B72AA8" w14:textId="77777777" w:rsidR="00B64E78" w:rsidRDefault="00DA46A9" w:rsidP="00317643">
            <w:pPr>
              <w:widowControl w:val="0"/>
              <w:tabs>
                <w:tab w:val="clear" w:pos="567"/>
              </w:tabs>
              <w:spacing w:line="240" w:lineRule="auto"/>
              <w:rPr>
                <w:noProof/>
                <w:sz w:val="24"/>
                <w:u w:val="single"/>
                <w:lang w:val="lt-LT"/>
              </w:rPr>
            </w:pPr>
            <w:r>
              <w:rPr>
                <w:noProof/>
                <w:color w:val="000000"/>
                <w:u w:val="single"/>
                <w:lang w:val="lt-LT"/>
              </w:rPr>
              <w:t>lizdinė plokštelė</w:t>
            </w:r>
          </w:p>
          <w:p w14:paraId="4EEC4366" w14:textId="77777777" w:rsidR="00B64E78" w:rsidRDefault="00DA46A9" w:rsidP="00317643">
            <w:pPr>
              <w:pStyle w:val="Betarp1"/>
              <w:rPr>
                <w:rFonts w:ascii="Times New Roman" w:eastAsia="Times New Roman" w:hAnsi="Times New Roman"/>
                <w:bCs/>
                <w:lang w:val="lt-LT"/>
              </w:rPr>
            </w:pPr>
            <w:r>
              <w:rPr>
                <w:rFonts w:ascii="Times New Roman" w:eastAsia="Times New Roman" w:hAnsi="Times New Roman"/>
                <w:lang w:val="lt-LT"/>
              </w:rPr>
              <w:t>LT/1/21/4677</w:t>
            </w:r>
            <w:r>
              <w:rPr>
                <w:rFonts w:ascii="Times New Roman" w:eastAsia="Times New Roman" w:hAnsi="Times New Roman"/>
                <w:bCs/>
                <w:lang w:val="lt-LT"/>
              </w:rPr>
              <w:t>/001 –</w:t>
            </w:r>
            <w:r>
              <w:rPr>
                <w:rFonts w:ascii="Times New Roman" w:eastAsia="Times New Roman" w:hAnsi="Times New Roman"/>
                <w:noProof/>
                <w:color w:val="000000"/>
                <w:lang w:val="lt-LT"/>
              </w:rPr>
              <w:t xml:space="preserve"> </w:t>
            </w:r>
            <w:r>
              <w:rPr>
                <w:rFonts w:ascii="Times New Roman" w:eastAsia="Times New Roman" w:hAnsi="Times New Roman"/>
                <w:bCs/>
                <w:lang w:val="lt-LT"/>
              </w:rPr>
              <w:t>N10</w:t>
            </w:r>
          </w:p>
          <w:p w14:paraId="58E28E20" w14:textId="77777777" w:rsidR="00B64E78" w:rsidRDefault="00DA46A9" w:rsidP="00317643">
            <w:pPr>
              <w:pStyle w:val="Betarp1"/>
              <w:rPr>
                <w:rFonts w:ascii="Times New Roman" w:eastAsia="Times New Roman" w:hAnsi="Times New Roman"/>
                <w:lang w:val="pt-PT"/>
              </w:rPr>
            </w:pPr>
            <w:r>
              <w:rPr>
                <w:rFonts w:ascii="Times New Roman" w:eastAsia="Times New Roman" w:hAnsi="Times New Roman"/>
                <w:lang w:val="pt-PT"/>
              </w:rPr>
              <w:t>LT/1/21/4677/002 – N14</w:t>
            </w:r>
          </w:p>
          <w:p w14:paraId="067334F3"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/003 –</w:t>
            </w:r>
            <w:r>
              <w:rPr>
                <w:rFonts w:ascii="Times New Roman" w:eastAsia="Times New Roman" w:hAnsi="Times New Roman"/>
                <w:noProof/>
                <w:color w:val="000000"/>
                <w:lang w:val="pt-PT"/>
              </w:rPr>
              <w:t xml:space="preserve"> </w:t>
            </w:r>
            <w:r>
              <w:rPr>
                <w:rFonts w:ascii="Times New Roman" w:eastAsia="Times New Roman" w:hAnsi="Times New Roman"/>
                <w:bCs/>
                <w:lang w:val="pt-PT"/>
              </w:rPr>
              <w:t>N28</w:t>
            </w:r>
          </w:p>
          <w:p w14:paraId="0CC30128"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/004 –</w:t>
            </w:r>
            <w:r>
              <w:rPr>
                <w:rFonts w:ascii="Times New Roman" w:eastAsia="Times New Roman" w:hAnsi="Times New Roman"/>
                <w:noProof/>
                <w:color w:val="000000"/>
                <w:lang w:val="pt-PT"/>
              </w:rPr>
              <w:t xml:space="preserve"> </w:t>
            </w:r>
            <w:r>
              <w:rPr>
                <w:rFonts w:ascii="Times New Roman" w:eastAsia="Times New Roman" w:hAnsi="Times New Roman"/>
                <w:bCs/>
                <w:lang w:val="pt-PT"/>
              </w:rPr>
              <w:t>N30</w:t>
            </w:r>
          </w:p>
          <w:p w14:paraId="30101BD2"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/005 –</w:t>
            </w:r>
            <w:r>
              <w:rPr>
                <w:rFonts w:ascii="Times New Roman" w:eastAsia="Times New Roman" w:hAnsi="Times New Roman"/>
                <w:noProof/>
                <w:color w:val="000000"/>
                <w:lang w:val="pt-PT"/>
              </w:rPr>
              <w:t xml:space="preserve"> </w:t>
            </w:r>
            <w:r>
              <w:rPr>
                <w:rFonts w:ascii="Times New Roman" w:eastAsia="Times New Roman" w:hAnsi="Times New Roman"/>
                <w:bCs/>
                <w:lang w:val="pt-PT"/>
              </w:rPr>
              <w:t>N56</w:t>
            </w:r>
          </w:p>
          <w:p w14:paraId="75081B48"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/006 –</w:t>
            </w:r>
            <w:r>
              <w:rPr>
                <w:rFonts w:ascii="Times New Roman" w:eastAsia="Times New Roman" w:hAnsi="Times New Roman"/>
                <w:noProof/>
                <w:color w:val="000000"/>
                <w:lang w:val="pt-PT"/>
              </w:rPr>
              <w:t xml:space="preserve"> </w:t>
            </w:r>
            <w:r>
              <w:rPr>
                <w:rFonts w:ascii="Times New Roman" w:eastAsia="Times New Roman" w:hAnsi="Times New Roman"/>
                <w:bCs/>
                <w:lang w:val="pt-PT"/>
              </w:rPr>
              <w:t>N60</w:t>
            </w:r>
          </w:p>
          <w:p w14:paraId="530B8ABF"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/007 –</w:t>
            </w:r>
            <w:r>
              <w:rPr>
                <w:rFonts w:ascii="Times New Roman" w:eastAsia="Times New Roman" w:hAnsi="Times New Roman"/>
                <w:noProof/>
                <w:color w:val="000000"/>
                <w:lang w:val="pt-PT"/>
              </w:rPr>
              <w:t xml:space="preserve"> </w:t>
            </w:r>
            <w:r>
              <w:rPr>
                <w:rFonts w:ascii="Times New Roman" w:eastAsia="Times New Roman" w:hAnsi="Times New Roman"/>
                <w:bCs/>
                <w:lang w:val="pt-PT"/>
              </w:rPr>
              <w:t>N90</w:t>
            </w:r>
          </w:p>
          <w:p w14:paraId="7CD6A94F"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/008 –</w:t>
            </w:r>
            <w:r>
              <w:rPr>
                <w:rFonts w:ascii="Times New Roman" w:eastAsia="Times New Roman" w:hAnsi="Times New Roman"/>
                <w:noProof/>
                <w:color w:val="000000"/>
                <w:lang w:val="pt-PT"/>
              </w:rPr>
              <w:t xml:space="preserve"> </w:t>
            </w:r>
            <w:r>
              <w:rPr>
                <w:rFonts w:ascii="Times New Roman" w:eastAsia="Times New Roman" w:hAnsi="Times New Roman"/>
                <w:bCs/>
                <w:lang w:val="pt-PT"/>
              </w:rPr>
              <w:t>N196</w:t>
            </w:r>
          </w:p>
          <w:p w14:paraId="522A396E"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/009 –</w:t>
            </w:r>
            <w:r>
              <w:rPr>
                <w:rFonts w:ascii="Times New Roman" w:eastAsia="Times New Roman" w:hAnsi="Times New Roman"/>
                <w:noProof/>
                <w:color w:val="000000"/>
                <w:lang w:val="pt-PT"/>
              </w:rPr>
              <w:t xml:space="preserve"> </w:t>
            </w:r>
            <w:r>
              <w:rPr>
                <w:rFonts w:ascii="Times New Roman" w:eastAsia="Times New Roman" w:hAnsi="Times New Roman"/>
                <w:bCs/>
                <w:lang w:val="pt-PT"/>
              </w:rPr>
              <w:t>N200</w:t>
            </w:r>
          </w:p>
          <w:p w14:paraId="38EA0302" w14:textId="1E20B0D6" w:rsidR="00B64E78" w:rsidRDefault="00317643" w:rsidP="00317643">
            <w:pPr>
              <w:pStyle w:val="Betarp1"/>
              <w:rPr>
                <w:rFonts w:ascii="Times New Roman" w:eastAsia="Times New Roman" w:hAnsi="Times New Roman"/>
                <w:bCs/>
                <w:u w:val="single"/>
                <w:lang w:val="pt-PT"/>
              </w:rPr>
            </w:pPr>
            <w:r>
              <w:rPr>
                <w:rFonts w:ascii="Times New Roman" w:eastAsia="Times New Roman" w:hAnsi="Times New Roman"/>
                <w:noProof/>
                <w:color w:val="000000"/>
                <w:u w:val="single"/>
                <w:lang w:val="pt-PT"/>
              </w:rPr>
              <w:t xml:space="preserve"> </w:t>
            </w:r>
            <w:r w:rsidR="00DA46A9">
              <w:rPr>
                <w:rFonts w:ascii="Times New Roman" w:eastAsia="Times New Roman" w:hAnsi="Times New Roman"/>
                <w:noProof/>
                <w:color w:val="000000"/>
                <w:u w:val="single"/>
                <w:lang w:val="pt-PT"/>
              </w:rPr>
              <w:t xml:space="preserve"> </w:t>
            </w:r>
            <w:r>
              <w:rPr>
                <w:rFonts w:ascii="Times New Roman" w:eastAsia="Times New Roman" w:hAnsi="Times New Roman"/>
                <w:noProof/>
                <w:color w:val="000000"/>
                <w:u w:val="single"/>
                <w:lang w:val="pt-PT"/>
              </w:rPr>
              <w:t>{</w:t>
            </w:r>
            <w:r w:rsidR="00DA46A9">
              <w:rPr>
                <w:rFonts w:ascii="Times New Roman" w:eastAsia="Times New Roman" w:hAnsi="Times New Roman"/>
                <w:noProof/>
                <w:color w:val="000000"/>
                <w:u w:val="single"/>
                <w:lang w:val="pt-PT"/>
              </w:rPr>
              <w:t>kalendorinė pakuotė</w:t>
            </w:r>
            <w:r>
              <w:rPr>
                <w:rFonts w:ascii="Times New Roman" w:eastAsia="Times New Roman" w:hAnsi="Times New Roman"/>
                <w:noProof/>
                <w:color w:val="000000"/>
                <w:u w:val="single"/>
                <w:lang w:val="pt-PT"/>
              </w:rPr>
              <w:t>}</w:t>
            </w:r>
          </w:p>
          <w:p w14:paraId="04823999"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LT/1/21/4677</w:t>
            </w:r>
            <w:r>
              <w:rPr>
                <w:rFonts w:ascii="Times New Roman" w:eastAsia="Times New Roman" w:hAnsi="Times New Roman"/>
                <w:bCs/>
                <w:lang w:val="pt-PT"/>
              </w:rPr>
              <w:t xml:space="preserve">/010 – </w:t>
            </w:r>
            <w:r>
              <w:rPr>
                <w:rFonts w:ascii="Times New Roman" w:eastAsia="Times New Roman" w:hAnsi="Times New Roman"/>
                <w:noProof/>
                <w:color w:val="000000"/>
                <w:lang w:val="pt-PT"/>
              </w:rPr>
              <w:t>N14</w:t>
            </w:r>
          </w:p>
          <w:p w14:paraId="12E85C34" w14:textId="77777777" w:rsidR="00B64E78" w:rsidRDefault="00DA46A9" w:rsidP="00317643">
            <w:pPr>
              <w:pStyle w:val="Betarp1"/>
              <w:rPr>
                <w:rFonts w:ascii="Times New Roman" w:eastAsia="Times New Roman" w:hAnsi="Times New Roman"/>
                <w:bCs/>
              </w:rPr>
            </w:pPr>
            <w:r>
              <w:rPr>
                <w:rFonts w:ascii="Times New Roman" w:eastAsia="Times New Roman" w:hAnsi="Times New Roman"/>
              </w:rPr>
              <w:t>LT/1/21/4677</w:t>
            </w:r>
            <w:r>
              <w:rPr>
                <w:rFonts w:ascii="Times New Roman" w:eastAsia="Times New Roman" w:hAnsi="Times New Roman"/>
                <w:bCs/>
              </w:rPr>
              <w:t xml:space="preserve">/011 – </w:t>
            </w:r>
            <w:r>
              <w:rPr>
                <w:rFonts w:ascii="Times New Roman" w:eastAsia="Times New Roman" w:hAnsi="Times New Roman"/>
                <w:noProof/>
                <w:color w:val="000000"/>
              </w:rPr>
              <w:t>N28</w:t>
            </w:r>
          </w:p>
          <w:p w14:paraId="77260483" w14:textId="77777777" w:rsidR="00B64E78" w:rsidRDefault="00DA46A9" w:rsidP="00317643">
            <w:pPr>
              <w:pStyle w:val="Betarp1"/>
              <w:rPr>
                <w:rFonts w:ascii="Times New Roman" w:eastAsia="Times New Roman" w:hAnsi="Times New Roman"/>
                <w:noProof/>
                <w:color w:val="000000"/>
              </w:rPr>
            </w:pPr>
            <w:r>
              <w:rPr>
                <w:rFonts w:ascii="Times New Roman" w:eastAsia="Times New Roman" w:hAnsi="Times New Roman"/>
              </w:rPr>
              <w:t>LT/1/21/4677</w:t>
            </w:r>
            <w:r>
              <w:rPr>
                <w:rFonts w:ascii="Times New Roman" w:eastAsia="Times New Roman" w:hAnsi="Times New Roman"/>
                <w:bCs/>
              </w:rPr>
              <w:t xml:space="preserve">/012 – </w:t>
            </w:r>
            <w:r>
              <w:rPr>
                <w:rFonts w:ascii="Times New Roman" w:eastAsia="Times New Roman" w:hAnsi="Times New Roman"/>
                <w:noProof/>
                <w:color w:val="000000"/>
              </w:rPr>
              <w:t>N56</w:t>
            </w:r>
          </w:p>
          <w:p w14:paraId="08881CB0" w14:textId="77777777" w:rsidR="00B64E78" w:rsidRDefault="00DA46A9" w:rsidP="00317643">
            <w:pPr>
              <w:widowControl w:val="0"/>
              <w:tabs>
                <w:tab w:val="clear" w:pos="567"/>
              </w:tabs>
              <w:spacing w:line="240" w:lineRule="auto"/>
              <w:rPr>
                <w:snapToGrid/>
                <w:szCs w:val="22"/>
                <w:lang w:val="lt-LT"/>
              </w:rPr>
            </w:pPr>
            <w:r>
              <w:t>LT/1/21/4677</w:t>
            </w:r>
            <w:r>
              <w:rPr>
                <w:bCs/>
              </w:rPr>
              <w:t xml:space="preserve">/013 – </w:t>
            </w:r>
            <w:r>
              <w:rPr>
                <w:noProof/>
                <w:color w:val="000000"/>
              </w:rPr>
              <w:t>N196</w:t>
            </w:r>
          </w:p>
        </w:tc>
        <w:tc>
          <w:tcPr>
            <w:tcW w:w="4589" w:type="dxa"/>
          </w:tcPr>
          <w:p w14:paraId="68C15298" w14:textId="77777777" w:rsidR="00B64E78" w:rsidRDefault="00DA46A9" w:rsidP="00317643">
            <w:pPr>
              <w:widowControl w:val="0"/>
              <w:tabs>
                <w:tab w:val="clear" w:pos="567"/>
              </w:tabs>
              <w:spacing w:line="240" w:lineRule="auto"/>
              <w:rPr>
                <w:noProof/>
                <w:sz w:val="24"/>
                <w:u w:val="single"/>
                <w:lang w:val="lt-LT"/>
              </w:rPr>
            </w:pPr>
            <w:r>
              <w:rPr>
                <w:noProof/>
                <w:sz w:val="24"/>
                <w:u w:val="single"/>
                <w:lang w:val="lt-LT"/>
              </w:rPr>
              <w:t>50 mg/1000 mg</w:t>
            </w:r>
          </w:p>
          <w:p w14:paraId="5B8A7612" w14:textId="77777777" w:rsidR="00B64E78" w:rsidRDefault="00DA46A9" w:rsidP="00317643">
            <w:pPr>
              <w:widowControl w:val="0"/>
              <w:tabs>
                <w:tab w:val="clear" w:pos="567"/>
              </w:tabs>
              <w:spacing w:line="240" w:lineRule="auto"/>
              <w:rPr>
                <w:noProof/>
                <w:sz w:val="24"/>
                <w:lang w:val="lt-LT"/>
              </w:rPr>
            </w:pPr>
            <w:r>
              <w:rPr>
                <w:noProof/>
                <w:color w:val="000000"/>
                <w:u w:val="single"/>
                <w:lang w:val="lt-LT"/>
              </w:rPr>
              <w:t>lizdinė plokštelė</w:t>
            </w:r>
          </w:p>
          <w:p w14:paraId="69E07D1C" w14:textId="77777777" w:rsidR="00B64E78" w:rsidRDefault="00DA46A9" w:rsidP="00317643">
            <w:pPr>
              <w:pStyle w:val="Betarp1"/>
              <w:rPr>
                <w:rFonts w:ascii="Times New Roman" w:eastAsia="Times New Roman" w:hAnsi="Times New Roman"/>
                <w:bCs/>
                <w:lang w:val="lt-LT"/>
              </w:rPr>
            </w:pPr>
            <w:r>
              <w:rPr>
                <w:rFonts w:ascii="Times New Roman" w:eastAsia="Times New Roman" w:hAnsi="Times New Roman"/>
                <w:lang w:val="lt-LT"/>
              </w:rPr>
              <w:t>LT/1/21/4678</w:t>
            </w:r>
            <w:r>
              <w:rPr>
                <w:rFonts w:ascii="Times New Roman" w:eastAsia="Times New Roman" w:hAnsi="Times New Roman"/>
                <w:bCs/>
                <w:lang w:val="lt-LT"/>
              </w:rPr>
              <w:t>/001 –</w:t>
            </w:r>
            <w:r>
              <w:rPr>
                <w:rFonts w:ascii="Times New Roman" w:eastAsia="Times New Roman" w:hAnsi="Times New Roman"/>
                <w:noProof/>
                <w:color w:val="000000"/>
                <w:lang w:val="lt-LT"/>
              </w:rPr>
              <w:t xml:space="preserve"> </w:t>
            </w:r>
            <w:r>
              <w:rPr>
                <w:rFonts w:ascii="Times New Roman" w:eastAsia="Times New Roman" w:hAnsi="Times New Roman"/>
                <w:bCs/>
                <w:lang w:val="lt-LT"/>
              </w:rPr>
              <w:t>N10</w:t>
            </w:r>
          </w:p>
          <w:p w14:paraId="642C7C94" w14:textId="77777777" w:rsidR="00B64E78" w:rsidRDefault="00DA46A9" w:rsidP="00317643">
            <w:pPr>
              <w:pStyle w:val="Betarp1"/>
              <w:rPr>
                <w:rFonts w:ascii="Times New Roman" w:eastAsia="Times New Roman" w:hAnsi="Times New Roman"/>
                <w:lang w:val="pt-PT"/>
              </w:rPr>
            </w:pPr>
            <w:r>
              <w:rPr>
                <w:rFonts w:ascii="Times New Roman" w:eastAsia="Times New Roman" w:hAnsi="Times New Roman"/>
                <w:lang w:val="pt-PT"/>
              </w:rPr>
              <w:t>LT/1/21/4678/002 – N14</w:t>
            </w:r>
          </w:p>
          <w:p w14:paraId="19B418B4"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/003 –</w:t>
            </w:r>
            <w:r>
              <w:rPr>
                <w:rFonts w:ascii="Times New Roman" w:eastAsia="Times New Roman" w:hAnsi="Times New Roman"/>
                <w:noProof/>
                <w:color w:val="000000"/>
                <w:lang w:val="pt-PT"/>
              </w:rPr>
              <w:t xml:space="preserve"> </w:t>
            </w:r>
            <w:r>
              <w:rPr>
                <w:rFonts w:ascii="Times New Roman" w:eastAsia="Times New Roman" w:hAnsi="Times New Roman"/>
                <w:bCs/>
                <w:lang w:val="pt-PT"/>
              </w:rPr>
              <w:t>N28</w:t>
            </w:r>
          </w:p>
          <w:p w14:paraId="2D246A30"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/004 –</w:t>
            </w:r>
            <w:r>
              <w:rPr>
                <w:rFonts w:ascii="Times New Roman" w:eastAsia="Times New Roman" w:hAnsi="Times New Roman"/>
                <w:noProof/>
                <w:color w:val="000000"/>
                <w:lang w:val="pt-PT"/>
              </w:rPr>
              <w:t xml:space="preserve"> </w:t>
            </w:r>
            <w:r>
              <w:rPr>
                <w:rFonts w:ascii="Times New Roman" w:eastAsia="Times New Roman" w:hAnsi="Times New Roman"/>
                <w:bCs/>
                <w:lang w:val="pt-PT"/>
              </w:rPr>
              <w:t>N30</w:t>
            </w:r>
          </w:p>
          <w:p w14:paraId="690A8123"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/005 –</w:t>
            </w:r>
            <w:r>
              <w:rPr>
                <w:rFonts w:ascii="Times New Roman" w:eastAsia="Times New Roman" w:hAnsi="Times New Roman"/>
                <w:noProof/>
                <w:color w:val="000000"/>
                <w:lang w:val="pt-PT"/>
              </w:rPr>
              <w:t xml:space="preserve"> </w:t>
            </w:r>
            <w:r>
              <w:rPr>
                <w:rFonts w:ascii="Times New Roman" w:eastAsia="Times New Roman" w:hAnsi="Times New Roman"/>
                <w:bCs/>
                <w:lang w:val="pt-PT"/>
              </w:rPr>
              <w:t>N56</w:t>
            </w:r>
          </w:p>
          <w:p w14:paraId="5309036A"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/006 –</w:t>
            </w:r>
            <w:r>
              <w:rPr>
                <w:rFonts w:ascii="Times New Roman" w:eastAsia="Times New Roman" w:hAnsi="Times New Roman"/>
                <w:noProof/>
                <w:color w:val="000000"/>
                <w:lang w:val="pt-PT"/>
              </w:rPr>
              <w:t xml:space="preserve"> </w:t>
            </w:r>
            <w:r>
              <w:rPr>
                <w:rFonts w:ascii="Times New Roman" w:eastAsia="Times New Roman" w:hAnsi="Times New Roman"/>
                <w:bCs/>
                <w:lang w:val="pt-PT"/>
              </w:rPr>
              <w:t>N60</w:t>
            </w:r>
          </w:p>
          <w:p w14:paraId="1BD4E256"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/007 –</w:t>
            </w:r>
            <w:r>
              <w:rPr>
                <w:rFonts w:ascii="Times New Roman" w:eastAsia="Times New Roman" w:hAnsi="Times New Roman"/>
                <w:noProof/>
                <w:color w:val="000000"/>
                <w:lang w:val="pt-PT"/>
              </w:rPr>
              <w:t xml:space="preserve"> </w:t>
            </w:r>
            <w:r>
              <w:rPr>
                <w:rFonts w:ascii="Times New Roman" w:eastAsia="Times New Roman" w:hAnsi="Times New Roman"/>
                <w:bCs/>
                <w:lang w:val="pt-PT"/>
              </w:rPr>
              <w:t>N90</w:t>
            </w:r>
          </w:p>
          <w:p w14:paraId="50FBB523"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/008 –</w:t>
            </w:r>
            <w:r>
              <w:rPr>
                <w:rFonts w:ascii="Times New Roman" w:eastAsia="Times New Roman" w:hAnsi="Times New Roman"/>
                <w:noProof/>
                <w:color w:val="000000"/>
                <w:lang w:val="pt-PT"/>
              </w:rPr>
              <w:t xml:space="preserve"> </w:t>
            </w:r>
            <w:r>
              <w:rPr>
                <w:rFonts w:ascii="Times New Roman" w:eastAsia="Times New Roman" w:hAnsi="Times New Roman"/>
                <w:bCs/>
                <w:lang w:val="pt-PT"/>
              </w:rPr>
              <w:t>N196</w:t>
            </w:r>
          </w:p>
          <w:p w14:paraId="6360ECE2"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/009 –</w:t>
            </w:r>
            <w:r>
              <w:rPr>
                <w:rFonts w:ascii="Times New Roman" w:eastAsia="Times New Roman" w:hAnsi="Times New Roman"/>
                <w:noProof/>
                <w:color w:val="000000"/>
                <w:lang w:val="pt-PT"/>
              </w:rPr>
              <w:t xml:space="preserve"> </w:t>
            </w:r>
            <w:r>
              <w:rPr>
                <w:rFonts w:ascii="Times New Roman" w:eastAsia="Times New Roman" w:hAnsi="Times New Roman"/>
                <w:bCs/>
                <w:lang w:val="pt-PT"/>
              </w:rPr>
              <w:t>N200</w:t>
            </w:r>
          </w:p>
          <w:p w14:paraId="186C8CE5" w14:textId="5C7EEF05" w:rsidR="00B64E78" w:rsidRDefault="00317643" w:rsidP="00317643">
            <w:pPr>
              <w:pStyle w:val="Betarp1"/>
              <w:rPr>
                <w:rFonts w:ascii="Times New Roman" w:eastAsia="Times New Roman" w:hAnsi="Times New Roman"/>
                <w:bCs/>
                <w:u w:val="single"/>
                <w:lang w:val="pt-PT"/>
              </w:rPr>
            </w:pPr>
            <w:r>
              <w:rPr>
                <w:rFonts w:ascii="Times New Roman" w:eastAsia="Times New Roman" w:hAnsi="Times New Roman"/>
                <w:noProof/>
                <w:color w:val="000000"/>
                <w:u w:val="single"/>
                <w:lang w:val="pt-PT"/>
              </w:rPr>
              <w:t xml:space="preserve"> </w:t>
            </w:r>
            <w:r w:rsidR="00DA46A9">
              <w:rPr>
                <w:rFonts w:ascii="Times New Roman" w:eastAsia="Times New Roman" w:hAnsi="Times New Roman"/>
                <w:noProof/>
                <w:color w:val="000000"/>
                <w:u w:val="single"/>
                <w:lang w:val="pt-PT"/>
              </w:rPr>
              <w:t xml:space="preserve"> </w:t>
            </w:r>
            <w:r>
              <w:rPr>
                <w:rFonts w:ascii="Times New Roman" w:eastAsia="Times New Roman" w:hAnsi="Times New Roman"/>
                <w:noProof/>
                <w:color w:val="000000"/>
                <w:u w:val="single"/>
                <w:lang w:val="pt-PT"/>
              </w:rPr>
              <w:t>{</w:t>
            </w:r>
            <w:r w:rsidR="00DA46A9">
              <w:rPr>
                <w:rFonts w:ascii="Times New Roman" w:eastAsia="Times New Roman" w:hAnsi="Times New Roman"/>
                <w:noProof/>
                <w:color w:val="000000"/>
                <w:u w:val="single"/>
                <w:lang w:val="pt-PT"/>
              </w:rPr>
              <w:t>kalendorinė pakuotė</w:t>
            </w:r>
            <w:r>
              <w:rPr>
                <w:rFonts w:ascii="Times New Roman" w:eastAsia="Times New Roman" w:hAnsi="Times New Roman"/>
                <w:noProof/>
                <w:color w:val="000000"/>
                <w:u w:val="single"/>
                <w:lang w:val="pt-PT"/>
              </w:rPr>
              <w:t>}</w:t>
            </w:r>
          </w:p>
          <w:p w14:paraId="1765EB29" w14:textId="77777777" w:rsidR="00B64E78" w:rsidRDefault="00DA46A9" w:rsidP="00317643">
            <w:pPr>
              <w:pStyle w:val="Betarp1"/>
              <w:rPr>
                <w:rFonts w:ascii="Times New Roman" w:eastAsia="Times New Roman" w:hAnsi="Times New Roman"/>
                <w:bCs/>
                <w:lang w:val="pt-PT"/>
              </w:rPr>
            </w:pPr>
            <w:r>
              <w:rPr>
                <w:rFonts w:ascii="Times New Roman" w:eastAsia="Times New Roman" w:hAnsi="Times New Roman"/>
                <w:lang w:val="pt-PT"/>
              </w:rPr>
              <w:t>LT/1/21/4678</w:t>
            </w:r>
            <w:r>
              <w:rPr>
                <w:rFonts w:ascii="Times New Roman" w:eastAsia="Times New Roman" w:hAnsi="Times New Roman"/>
                <w:bCs/>
                <w:lang w:val="pt-PT"/>
              </w:rPr>
              <w:t>/010 –</w:t>
            </w:r>
            <w:r>
              <w:rPr>
                <w:rFonts w:ascii="Times New Roman" w:eastAsia="Times New Roman" w:hAnsi="Times New Roman"/>
                <w:noProof/>
                <w:color w:val="000000"/>
                <w:lang w:val="pt-PT"/>
              </w:rPr>
              <w:t xml:space="preserve"> N14</w:t>
            </w:r>
          </w:p>
          <w:p w14:paraId="3BFB3FB0" w14:textId="77777777" w:rsidR="00B64E78" w:rsidRDefault="00DA46A9" w:rsidP="00317643">
            <w:pPr>
              <w:pStyle w:val="Betarp1"/>
              <w:rPr>
                <w:rFonts w:ascii="Times New Roman" w:eastAsia="Times New Roman" w:hAnsi="Times New Roman"/>
                <w:bCs/>
              </w:rPr>
            </w:pPr>
            <w:r>
              <w:rPr>
                <w:rFonts w:ascii="Times New Roman" w:eastAsia="Times New Roman" w:hAnsi="Times New Roman"/>
              </w:rPr>
              <w:t>LT/1/21/4678</w:t>
            </w:r>
            <w:r>
              <w:rPr>
                <w:rFonts w:ascii="Times New Roman" w:eastAsia="Times New Roman" w:hAnsi="Times New Roman"/>
                <w:bCs/>
              </w:rPr>
              <w:t>/011 –</w:t>
            </w:r>
            <w:r>
              <w:rPr>
                <w:rFonts w:ascii="Times New Roman" w:eastAsia="Times New Roman" w:hAnsi="Times New Roman"/>
                <w:noProof/>
                <w:color w:val="000000"/>
              </w:rPr>
              <w:t xml:space="preserve"> N28</w:t>
            </w:r>
          </w:p>
          <w:p w14:paraId="30C71AD4" w14:textId="77777777" w:rsidR="00B64E78" w:rsidRDefault="00DA46A9" w:rsidP="00317643">
            <w:pPr>
              <w:pStyle w:val="Betarp1"/>
              <w:rPr>
                <w:rFonts w:ascii="Times New Roman" w:eastAsia="Times New Roman" w:hAnsi="Times New Roman"/>
                <w:noProof/>
                <w:color w:val="000000"/>
              </w:rPr>
            </w:pPr>
            <w:r>
              <w:rPr>
                <w:rFonts w:ascii="Times New Roman" w:eastAsia="Times New Roman" w:hAnsi="Times New Roman"/>
              </w:rPr>
              <w:t>LT/1/21/4678</w:t>
            </w:r>
            <w:r>
              <w:rPr>
                <w:rFonts w:ascii="Times New Roman" w:eastAsia="Times New Roman" w:hAnsi="Times New Roman"/>
                <w:bCs/>
              </w:rPr>
              <w:t>/012 –</w:t>
            </w:r>
            <w:r>
              <w:rPr>
                <w:rFonts w:ascii="Times New Roman" w:eastAsia="Times New Roman" w:hAnsi="Times New Roman"/>
                <w:noProof/>
                <w:color w:val="000000"/>
              </w:rPr>
              <w:t xml:space="preserve"> N56</w:t>
            </w:r>
          </w:p>
          <w:p w14:paraId="615D1353" w14:textId="77777777" w:rsidR="00B64E78" w:rsidRDefault="00DA46A9" w:rsidP="00317643">
            <w:pPr>
              <w:widowControl w:val="0"/>
              <w:tabs>
                <w:tab w:val="clear" w:pos="567"/>
              </w:tabs>
              <w:spacing w:line="240" w:lineRule="auto"/>
              <w:rPr>
                <w:snapToGrid/>
                <w:szCs w:val="22"/>
                <w:lang w:val="lt-LT"/>
              </w:rPr>
            </w:pPr>
            <w:r>
              <w:t>LT/1/21/4678</w:t>
            </w:r>
            <w:r>
              <w:rPr>
                <w:bCs/>
              </w:rPr>
              <w:t xml:space="preserve">/013 – </w:t>
            </w:r>
            <w:r>
              <w:rPr>
                <w:noProof/>
                <w:color w:val="000000"/>
              </w:rPr>
              <w:t>N196</w:t>
            </w:r>
          </w:p>
        </w:tc>
      </w:tr>
    </w:tbl>
    <w:p w14:paraId="0ED11E38" w14:textId="77777777" w:rsidR="00B64E78" w:rsidRDefault="00B64E78" w:rsidP="00317643">
      <w:pPr>
        <w:widowControl w:val="0"/>
        <w:tabs>
          <w:tab w:val="clear" w:pos="567"/>
        </w:tabs>
        <w:spacing w:line="240" w:lineRule="auto"/>
        <w:ind w:left="567" w:hanging="567"/>
        <w:rPr>
          <w:snapToGrid/>
          <w:szCs w:val="22"/>
          <w:lang w:val="lt-LT"/>
        </w:rPr>
      </w:pPr>
    </w:p>
    <w:p w14:paraId="0780FE93" w14:textId="77777777" w:rsidR="00B64E78" w:rsidRDefault="00B64E78" w:rsidP="00317643">
      <w:pPr>
        <w:widowControl w:val="0"/>
        <w:tabs>
          <w:tab w:val="clear" w:pos="567"/>
        </w:tabs>
        <w:spacing w:line="240" w:lineRule="auto"/>
        <w:ind w:left="567" w:hanging="567"/>
        <w:rPr>
          <w:snapToGrid/>
          <w:szCs w:val="22"/>
          <w:lang w:val="lt-LT"/>
        </w:rPr>
      </w:pPr>
    </w:p>
    <w:p w14:paraId="7AB2F1AA" w14:textId="77777777" w:rsidR="00B64E78" w:rsidRDefault="00DA46A9" w:rsidP="00317643">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3DEE03AA" w14:textId="77777777" w:rsidR="00B64E78" w:rsidRDefault="00B64E78" w:rsidP="00317643">
      <w:pPr>
        <w:widowControl w:val="0"/>
        <w:tabs>
          <w:tab w:val="clear" w:pos="567"/>
        </w:tabs>
        <w:spacing w:line="240" w:lineRule="auto"/>
        <w:ind w:left="567" w:hanging="567"/>
        <w:rPr>
          <w:bCs/>
          <w:caps/>
          <w:snapToGrid/>
          <w:szCs w:val="22"/>
          <w:lang w:val="lt-LT"/>
        </w:rPr>
      </w:pPr>
    </w:p>
    <w:p w14:paraId="6F0F62CD" w14:textId="77777777" w:rsidR="00B64E78" w:rsidRDefault="00DA46A9" w:rsidP="00317643">
      <w:pPr>
        <w:widowControl w:val="0"/>
        <w:tabs>
          <w:tab w:val="clear" w:pos="567"/>
        </w:tabs>
        <w:spacing w:line="240" w:lineRule="auto"/>
        <w:rPr>
          <w:snapToGrid/>
          <w:szCs w:val="22"/>
          <w:lang w:val="lt-LT"/>
        </w:rPr>
      </w:pPr>
      <w:r>
        <w:rPr>
          <w:szCs w:val="22"/>
          <w:lang w:val="lt-LT"/>
        </w:rPr>
        <w:t>Registravimo data 2021 m. vasario 10 d.</w:t>
      </w:r>
    </w:p>
    <w:p w14:paraId="3C4E4EB4" w14:textId="6D2C17F1" w:rsidR="00B64E78" w:rsidRPr="00317643" w:rsidRDefault="00053370" w:rsidP="00317643">
      <w:pPr>
        <w:widowControl w:val="0"/>
        <w:tabs>
          <w:tab w:val="clear" w:pos="567"/>
        </w:tabs>
        <w:spacing w:line="240" w:lineRule="auto"/>
        <w:rPr>
          <w:szCs w:val="24"/>
          <w:lang w:val="it-CH"/>
        </w:rPr>
      </w:pPr>
      <w:r w:rsidRPr="00317643">
        <w:rPr>
          <w:szCs w:val="22"/>
          <w:lang w:val="it-CH"/>
        </w:rPr>
        <w:t xml:space="preserve">Paskutinio </w:t>
      </w:r>
      <w:r w:rsidRPr="00317643">
        <w:rPr>
          <w:szCs w:val="24"/>
          <w:lang w:val="it-CH"/>
        </w:rPr>
        <w:t>perregistravimo data</w:t>
      </w:r>
      <w:r w:rsidR="00317643">
        <w:rPr>
          <w:szCs w:val="24"/>
          <w:lang w:val="it-CH"/>
        </w:rPr>
        <w:t xml:space="preserve"> 2026 m. vasario 13 d.</w:t>
      </w:r>
    </w:p>
    <w:p w14:paraId="651196E8" w14:textId="77777777" w:rsidR="00053370" w:rsidRDefault="00053370" w:rsidP="00317643">
      <w:pPr>
        <w:widowControl w:val="0"/>
        <w:tabs>
          <w:tab w:val="clear" w:pos="567"/>
        </w:tabs>
        <w:spacing w:line="240" w:lineRule="auto"/>
        <w:rPr>
          <w:snapToGrid/>
          <w:szCs w:val="22"/>
          <w:lang w:val="lt-LT"/>
        </w:rPr>
      </w:pPr>
    </w:p>
    <w:p w14:paraId="232E2F87" w14:textId="77777777" w:rsidR="00B64E78" w:rsidRDefault="00B64E78" w:rsidP="00317643">
      <w:pPr>
        <w:widowControl w:val="0"/>
        <w:tabs>
          <w:tab w:val="clear" w:pos="567"/>
        </w:tabs>
        <w:spacing w:line="240" w:lineRule="auto"/>
        <w:ind w:left="567" w:hanging="567"/>
        <w:rPr>
          <w:snapToGrid/>
          <w:szCs w:val="22"/>
          <w:lang w:val="lt-LT"/>
        </w:rPr>
      </w:pPr>
    </w:p>
    <w:p w14:paraId="3DE2033E" w14:textId="77777777" w:rsidR="00B64E78" w:rsidRDefault="00DA46A9" w:rsidP="00317643">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22A33A04" w14:textId="77777777" w:rsidR="00B64E78" w:rsidRDefault="00B64E78" w:rsidP="00317643">
      <w:pPr>
        <w:widowControl w:val="0"/>
        <w:tabs>
          <w:tab w:val="clear" w:pos="567"/>
        </w:tabs>
        <w:spacing w:line="240" w:lineRule="auto"/>
        <w:ind w:left="567" w:hanging="567"/>
        <w:rPr>
          <w:bCs/>
          <w:caps/>
          <w:snapToGrid/>
          <w:szCs w:val="22"/>
          <w:lang w:val="lt-LT"/>
        </w:rPr>
      </w:pPr>
    </w:p>
    <w:p w14:paraId="65415FDC" w14:textId="1EEAA49C" w:rsidR="00B64E78" w:rsidRDefault="00317643" w:rsidP="00317643">
      <w:pPr>
        <w:widowControl w:val="0"/>
        <w:tabs>
          <w:tab w:val="clear" w:pos="567"/>
          <w:tab w:val="left" w:pos="5954"/>
          <w:tab w:val="left" w:pos="6237"/>
          <w:tab w:val="left" w:pos="6663"/>
          <w:tab w:val="left" w:pos="6946"/>
        </w:tabs>
        <w:spacing w:line="240" w:lineRule="auto"/>
        <w:rPr>
          <w:szCs w:val="24"/>
          <w:lang w:val="it-CH"/>
        </w:rPr>
      </w:pPr>
      <w:r>
        <w:rPr>
          <w:szCs w:val="24"/>
          <w:lang w:val="it-CH"/>
        </w:rPr>
        <w:t>2026 m. vasario 13 d.</w:t>
      </w:r>
    </w:p>
    <w:p w14:paraId="312C57B1" w14:textId="77777777" w:rsidR="00317643" w:rsidRDefault="00317643" w:rsidP="00317643">
      <w:pPr>
        <w:widowControl w:val="0"/>
        <w:tabs>
          <w:tab w:val="clear" w:pos="567"/>
          <w:tab w:val="left" w:pos="5954"/>
          <w:tab w:val="left" w:pos="6237"/>
          <w:tab w:val="left" w:pos="6663"/>
          <w:tab w:val="left" w:pos="6946"/>
        </w:tabs>
        <w:spacing w:line="240" w:lineRule="auto"/>
        <w:rPr>
          <w:rFonts w:eastAsia="SimSun"/>
          <w:snapToGrid/>
          <w:szCs w:val="22"/>
          <w:lang w:val="lt-LT"/>
        </w:rPr>
      </w:pPr>
    </w:p>
    <w:p w14:paraId="180768D8" w14:textId="77777777" w:rsidR="00B64E78" w:rsidRDefault="00DA46A9" w:rsidP="00317643">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hyperlink r:id="rId10" w:history="1">
        <w:r>
          <w:rPr>
            <w:rFonts w:eastAsia="SimSun"/>
            <w:snapToGrid/>
            <w:color w:val="0000FF"/>
            <w:szCs w:val="22"/>
            <w:lang w:val="lt-LT"/>
          </w:rPr>
          <w:t>http://www.vvkt.lt</w:t>
        </w:r>
      </w:hyperlink>
      <w:r>
        <w:rPr>
          <w:rFonts w:eastAsia="TimesNewRoman"/>
          <w:snapToGrid/>
          <w:szCs w:val="22"/>
          <w:lang w:val="lt-LT"/>
        </w:rPr>
        <w:t>.</w:t>
      </w:r>
    </w:p>
    <w:p w14:paraId="6F4DEBDA" w14:textId="77777777" w:rsidR="00B64E78" w:rsidRDefault="00DA46A9" w:rsidP="00317643">
      <w:pPr>
        <w:widowControl w:val="0"/>
        <w:tabs>
          <w:tab w:val="clear" w:pos="567"/>
        </w:tabs>
        <w:spacing w:line="240" w:lineRule="auto"/>
        <w:rPr>
          <w:snapToGrid/>
          <w:szCs w:val="22"/>
          <w:lang w:val="lt-LT"/>
        </w:rPr>
      </w:pPr>
      <w:r>
        <w:rPr>
          <w:snapToGrid/>
          <w:szCs w:val="22"/>
          <w:lang w:val="lt-LT"/>
        </w:rPr>
        <w:br w:type="page"/>
      </w:r>
    </w:p>
    <w:p w14:paraId="1B5DEBAE" w14:textId="77777777" w:rsidR="00B64E78" w:rsidRDefault="00B64E78">
      <w:pPr>
        <w:widowControl w:val="0"/>
        <w:tabs>
          <w:tab w:val="clear" w:pos="567"/>
        </w:tabs>
        <w:spacing w:line="240" w:lineRule="auto"/>
        <w:rPr>
          <w:snapToGrid/>
          <w:szCs w:val="22"/>
          <w:lang w:val="lt-LT"/>
        </w:rPr>
      </w:pPr>
    </w:p>
    <w:p w14:paraId="7D2731D2" w14:textId="77777777" w:rsidR="00B64E78" w:rsidRDefault="00B64E78">
      <w:pPr>
        <w:widowControl w:val="0"/>
        <w:tabs>
          <w:tab w:val="clear" w:pos="567"/>
        </w:tabs>
        <w:spacing w:line="240" w:lineRule="auto"/>
        <w:rPr>
          <w:snapToGrid/>
          <w:szCs w:val="22"/>
          <w:lang w:val="lt-LT"/>
        </w:rPr>
      </w:pPr>
    </w:p>
    <w:p w14:paraId="63AF4DA8" w14:textId="77777777" w:rsidR="00B64E78" w:rsidRDefault="00B64E78">
      <w:pPr>
        <w:widowControl w:val="0"/>
        <w:tabs>
          <w:tab w:val="clear" w:pos="567"/>
        </w:tabs>
        <w:spacing w:line="240" w:lineRule="auto"/>
        <w:rPr>
          <w:snapToGrid/>
          <w:szCs w:val="22"/>
          <w:lang w:val="lt-LT"/>
        </w:rPr>
      </w:pPr>
    </w:p>
    <w:p w14:paraId="57431659" w14:textId="77777777" w:rsidR="00B64E78" w:rsidRDefault="00B64E78">
      <w:pPr>
        <w:widowControl w:val="0"/>
        <w:tabs>
          <w:tab w:val="clear" w:pos="567"/>
        </w:tabs>
        <w:spacing w:line="240" w:lineRule="auto"/>
        <w:rPr>
          <w:snapToGrid/>
          <w:szCs w:val="22"/>
          <w:lang w:val="lt-LT"/>
        </w:rPr>
      </w:pPr>
    </w:p>
    <w:p w14:paraId="43BD38E3" w14:textId="77777777" w:rsidR="00B64E78" w:rsidRDefault="00B64E78">
      <w:pPr>
        <w:widowControl w:val="0"/>
        <w:tabs>
          <w:tab w:val="clear" w:pos="567"/>
        </w:tabs>
        <w:spacing w:line="240" w:lineRule="auto"/>
        <w:rPr>
          <w:snapToGrid/>
          <w:szCs w:val="22"/>
          <w:lang w:val="lt-LT"/>
        </w:rPr>
      </w:pPr>
    </w:p>
    <w:p w14:paraId="4D3C2D2A" w14:textId="77777777" w:rsidR="00B64E78" w:rsidRDefault="00B64E78">
      <w:pPr>
        <w:widowControl w:val="0"/>
        <w:tabs>
          <w:tab w:val="clear" w:pos="567"/>
        </w:tabs>
        <w:spacing w:line="240" w:lineRule="auto"/>
        <w:rPr>
          <w:snapToGrid/>
          <w:szCs w:val="22"/>
          <w:lang w:val="lt-LT"/>
        </w:rPr>
      </w:pPr>
    </w:p>
    <w:p w14:paraId="189D6FCA" w14:textId="77777777" w:rsidR="00B64E78" w:rsidRDefault="00B64E78">
      <w:pPr>
        <w:widowControl w:val="0"/>
        <w:tabs>
          <w:tab w:val="clear" w:pos="567"/>
        </w:tabs>
        <w:spacing w:line="240" w:lineRule="auto"/>
        <w:rPr>
          <w:snapToGrid/>
          <w:szCs w:val="22"/>
          <w:lang w:val="lt-LT"/>
        </w:rPr>
      </w:pPr>
    </w:p>
    <w:p w14:paraId="6AD64F74" w14:textId="77777777" w:rsidR="00B64E78" w:rsidRDefault="00B64E78">
      <w:pPr>
        <w:widowControl w:val="0"/>
        <w:tabs>
          <w:tab w:val="clear" w:pos="567"/>
        </w:tabs>
        <w:spacing w:line="240" w:lineRule="auto"/>
        <w:rPr>
          <w:snapToGrid/>
          <w:szCs w:val="22"/>
          <w:lang w:val="lt-LT"/>
        </w:rPr>
      </w:pPr>
    </w:p>
    <w:p w14:paraId="3AB30263" w14:textId="77777777" w:rsidR="00B64E78" w:rsidRDefault="00B64E78">
      <w:pPr>
        <w:widowControl w:val="0"/>
        <w:tabs>
          <w:tab w:val="clear" w:pos="567"/>
        </w:tabs>
        <w:spacing w:line="240" w:lineRule="auto"/>
        <w:rPr>
          <w:snapToGrid/>
          <w:szCs w:val="22"/>
          <w:lang w:val="lt-LT"/>
        </w:rPr>
      </w:pPr>
    </w:p>
    <w:p w14:paraId="006F6384" w14:textId="77777777" w:rsidR="00B64E78" w:rsidRDefault="00B64E78">
      <w:pPr>
        <w:widowControl w:val="0"/>
        <w:tabs>
          <w:tab w:val="clear" w:pos="567"/>
        </w:tabs>
        <w:spacing w:line="240" w:lineRule="auto"/>
        <w:rPr>
          <w:snapToGrid/>
          <w:szCs w:val="22"/>
          <w:lang w:val="lt-LT"/>
        </w:rPr>
      </w:pPr>
    </w:p>
    <w:p w14:paraId="4C49605F" w14:textId="77777777" w:rsidR="00B64E78" w:rsidRDefault="00B64E78">
      <w:pPr>
        <w:widowControl w:val="0"/>
        <w:tabs>
          <w:tab w:val="clear" w:pos="567"/>
        </w:tabs>
        <w:spacing w:line="240" w:lineRule="auto"/>
        <w:rPr>
          <w:snapToGrid/>
          <w:szCs w:val="22"/>
          <w:lang w:val="lt-LT"/>
        </w:rPr>
      </w:pPr>
    </w:p>
    <w:p w14:paraId="3602F6CD" w14:textId="77777777" w:rsidR="00B64E78" w:rsidRDefault="00B64E78">
      <w:pPr>
        <w:widowControl w:val="0"/>
        <w:tabs>
          <w:tab w:val="clear" w:pos="567"/>
        </w:tabs>
        <w:spacing w:line="240" w:lineRule="auto"/>
        <w:rPr>
          <w:snapToGrid/>
          <w:szCs w:val="22"/>
          <w:lang w:val="lt-LT"/>
        </w:rPr>
      </w:pPr>
    </w:p>
    <w:p w14:paraId="2AC2F70F" w14:textId="77777777" w:rsidR="00B64E78" w:rsidRDefault="00B64E78">
      <w:pPr>
        <w:widowControl w:val="0"/>
        <w:tabs>
          <w:tab w:val="clear" w:pos="567"/>
        </w:tabs>
        <w:spacing w:line="240" w:lineRule="auto"/>
        <w:rPr>
          <w:snapToGrid/>
          <w:szCs w:val="22"/>
          <w:lang w:val="lt-LT"/>
        </w:rPr>
      </w:pPr>
    </w:p>
    <w:p w14:paraId="148CB319" w14:textId="77777777" w:rsidR="00B64E78" w:rsidRDefault="00B64E78">
      <w:pPr>
        <w:widowControl w:val="0"/>
        <w:tabs>
          <w:tab w:val="clear" w:pos="567"/>
        </w:tabs>
        <w:spacing w:line="240" w:lineRule="auto"/>
        <w:rPr>
          <w:snapToGrid/>
          <w:szCs w:val="22"/>
          <w:lang w:val="lt-LT"/>
        </w:rPr>
      </w:pPr>
    </w:p>
    <w:p w14:paraId="74BF85D8" w14:textId="77777777" w:rsidR="00B64E78" w:rsidRDefault="00B64E78">
      <w:pPr>
        <w:widowControl w:val="0"/>
        <w:tabs>
          <w:tab w:val="clear" w:pos="567"/>
        </w:tabs>
        <w:spacing w:line="240" w:lineRule="auto"/>
        <w:rPr>
          <w:snapToGrid/>
          <w:szCs w:val="22"/>
          <w:lang w:val="lt-LT"/>
        </w:rPr>
      </w:pPr>
    </w:p>
    <w:p w14:paraId="727E9F69" w14:textId="77777777" w:rsidR="00B64E78" w:rsidRDefault="00B64E78">
      <w:pPr>
        <w:widowControl w:val="0"/>
        <w:tabs>
          <w:tab w:val="clear" w:pos="567"/>
        </w:tabs>
        <w:spacing w:line="240" w:lineRule="auto"/>
        <w:rPr>
          <w:snapToGrid/>
          <w:szCs w:val="22"/>
          <w:lang w:val="lt-LT"/>
        </w:rPr>
      </w:pPr>
    </w:p>
    <w:p w14:paraId="7EB6675E" w14:textId="77777777" w:rsidR="00B64E78" w:rsidRDefault="00B64E78">
      <w:pPr>
        <w:widowControl w:val="0"/>
        <w:tabs>
          <w:tab w:val="clear" w:pos="567"/>
        </w:tabs>
        <w:spacing w:line="240" w:lineRule="auto"/>
        <w:rPr>
          <w:snapToGrid/>
          <w:szCs w:val="22"/>
          <w:lang w:val="lt-LT"/>
        </w:rPr>
      </w:pPr>
    </w:p>
    <w:p w14:paraId="36A87477" w14:textId="77777777" w:rsidR="00B64E78" w:rsidRDefault="00B64E78">
      <w:pPr>
        <w:widowControl w:val="0"/>
        <w:tabs>
          <w:tab w:val="clear" w:pos="567"/>
        </w:tabs>
        <w:spacing w:line="240" w:lineRule="auto"/>
        <w:rPr>
          <w:snapToGrid/>
          <w:szCs w:val="22"/>
          <w:lang w:val="lt-LT"/>
        </w:rPr>
      </w:pPr>
    </w:p>
    <w:p w14:paraId="7788C1AF" w14:textId="77777777" w:rsidR="00B64E78" w:rsidRDefault="00B64E78">
      <w:pPr>
        <w:widowControl w:val="0"/>
        <w:tabs>
          <w:tab w:val="clear" w:pos="567"/>
        </w:tabs>
        <w:spacing w:line="240" w:lineRule="auto"/>
        <w:rPr>
          <w:snapToGrid/>
          <w:szCs w:val="22"/>
          <w:lang w:val="lt-LT"/>
        </w:rPr>
      </w:pPr>
    </w:p>
    <w:p w14:paraId="547B4937" w14:textId="77777777" w:rsidR="00B64E78" w:rsidRDefault="00B64E78">
      <w:pPr>
        <w:widowControl w:val="0"/>
        <w:tabs>
          <w:tab w:val="clear" w:pos="567"/>
        </w:tabs>
        <w:spacing w:line="240" w:lineRule="auto"/>
        <w:rPr>
          <w:snapToGrid/>
          <w:szCs w:val="22"/>
          <w:lang w:val="lt-LT"/>
        </w:rPr>
      </w:pPr>
    </w:p>
    <w:p w14:paraId="18B49986" w14:textId="77777777" w:rsidR="00B64E78" w:rsidRDefault="00B64E78">
      <w:pPr>
        <w:widowControl w:val="0"/>
        <w:tabs>
          <w:tab w:val="clear" w:pos="567"/>
        </w:tabs>
        <w:spacing w:line="240" w:lineRule="auto"/>
        <w:rPr>
          <w:snapToGrid/>
          <w:szCs w:val="22"/>
          <w:lang w:val="lt-LT"/>
        </w:rPr>
      </w:pPr>
    </w:p>
    <w:p w14:paraId="63727BA6" w14:textId="77777777" w:rsidR="00B64E78" w:rsidRDefault="00B64E78">
      <w:pPr>
        <w:widowControl w:val="0"/>
        <w:tabs>
          <w:tab w:val="clear" w:pos="567"/>
        </w:tabs>
        <w:spacing w:line="240" w:lineRule="auto"/>
        <w:rPr>
          <w:snapToGrid/>
          <w:szCs w:val="22"/>
          <w:lang w:val="lt-LT"/>
        </w:rPr>
      </w:pPr>
    </w:p>
    <w:p w14:paraId="39FE8491" w14:textId="77777777" w:rsidR="00B64E78" w:rsidRDefault="00DA46A9">
      <w:pPr>
        <w:widowControl w:val="0"/>
        <w:spacing w:line="240" w:lineRule="auto"/>
        <w:ind w:left="567" w:hanging="567"/>
        <w:jc w:val="center"/>
        <w:outlineLvl w:val="0"/>
        <w:rPr>
          <w:b/>
          <w:caps/>
          <w:snapToGrid/>
          <w:szCs w:val="22"/>
          <w:lang w:val="lt-LT"/>
        </w:rPr>
      </w:pPr>
      <w:r>
        <w:rPr>
          <w:b/>
          <w:caps/>
          <w:snapToGrid/>
          <w:szCs w:val="22"/>
          <w:lang w:val="lt-LT"/>
        </w:rPr>
        <w:t>II PRIEDAS</w:t>
      </w:r>
    </w:p>
    <w:p w14:paraId="743092C7" w14:textId="77777777" w:rsidR="00B64E78" w:rsidRDefault="00B64E78">
      <w:pPr>
        <w:widowControl w:val="0"/>
        <w:tabs>
          <w:tab w:val="clear" w:pos="567"/>
        </w:tabs>
        <w:spacing w:line="240" w:lineRule="auto"/>
        <w:rPr>
          <w:snapToGrid/>
          <w:szCs w:val="22"/>
          <w:lang w:val="lt-LT"/>
        </w:rPr>
      </w:pPr>
    </w:p>
    <w:p w14:paraId="067BCFE9" w14:textId="77777777" w:rsidR="00B64E78" w:rsidRDefault="00DA46A9">
      <w:pPr>
        <w:widowControl w:val="0"/>
        <w:spacing w:line="240" w:lineRule="auto"/>
        <w:ind w:left="567" w:hanging="567"/>
        <w:jc w:val="center"/>
        <w:outlineLvl w:val="0"/>
        <w:rPr>
          <w:b/>
          <w:caps/>
          <w:snapToGrid/>
          <w:szCs w:val="22"/>
          <w:lang w:val="lt-LT"/>
        </w:rPr>
      </w:pPr>
      <w:r>
        <w:rPr>
          <w:b/>
          <w:caps/>
          <w:snapToGrid/>
          <w:szCs w:val="22"/>
          <w:lang w:val="lt-LT"/>
        </w:rPr>
        <w:t>REGISTRACIJOS SĄLYGOS</w:t>
      </w:r>
    </w:p>
    <w:p w14:paraId="56E3DB9C" w14:textId="77777777" w:rsidR="00B64E78" w:rsidRDefault="00B64E78">
      <w:pPr>
        <w:widowControl w:val="0"/>
        <w:tabs>
          <w:tab w:val="clear" w:pos="567"/>
        </w:tabs>
        <w:spacing w:line="240" w:lineRule="auto"/>
        <w:rPr>
          <w:snapToGrid/>
          <w:szCs w:val="24"/>
          <w:lang w:val="lt-LT"/>
        </w:rPr>
      </w:pPr>
    </w:p>
    <w:p w14:paraId="7E6CD1D3" w14:textId="77777777" w:rsidR="00B64E78" w:rsidRDefault="00DA46A9">
      <w:pPr>
        <w:widowControl w:val="0"/>
        <w:tabs>
          <w:tab w:val="clear" w:pos="567"/>
          <w:tab w:val="left" w:pos="1701"/>
        </w:tabs>
        <w:spacing w:line="240" w:lineRule="auto"/>
        <w:ind w:left="1701" w:hanging="567"/>
        <w:rPr>
          <w:b/>
          <w:snapToGrid/>
          <w:szCs w:val="24"/>
          <w:highlight w:val="yellow"/>
          <w:lang w:val="lt-LT"/>
        </w:rPr>
      </w:pPr>
      <w:r>
        <w:rPr>
          <w:b/>
          <w:snapToGrid/>
          <w:szCs w:val="24"/>
          <w:lang w:val="lt-LT"/>
        </w:rPr>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2FBA89E8" w14:textId="77777777" w:rsidR="00B64E78" w:rsidRDefault="00B64E78">
      <w:pPr>
        <w:widowControl w:val="0"/>
        <w:tabs>
          <w:tab w:val="clear" w:pos="567"/>
        </w:tabs>
        <w:spacing w:line="240" w:lineRule="auto"/>
        <w:rPr>
          <w:snapToGrid/>
          <w:szCs w:val="24"/>
          <w:highlight w:val="yellow"/>
          <w:lang w:val="lt-LT"/>
        </w:rPr>
      </w:pPr>
    </w:p>
    <w:p w14:paraId="224965AC" w14:textId="77777777" w:rsidR="00B64E78" w:rsidRDefault="00DA46A9">
      <w:pPr>
        <w:widowControl w:val="0"/>
        <w:tabs>
          <w:tab w:val="clear" w:pos="567"/>
          <w:tab w:val="left" w:pos="1701"/>
        </w:tabs>
        <w:spacing w:line="240" w:lineRule="auto"/>
        <w:ind w:left="1701" w:hanging="567"/>
        <w:rPr>
          <w:snapToGrid/>
          <w:szCs w:val="22"/>
          <w:lang w:val="lt-LT"/>
        </w:rPr>
      </w:pPr>
      <w:r>
        <w:rPr>
          <w:b/>
          <w:snapToGrid/>
          <w:szCs w:val="24"/>
          <w:lang w:val="lt-LT"/>
        </w:rPr>
        <w:t>B.</w:t>
      </w:r>
      <w:r>
        <w:rPr>
          <w:b/>
          <w:snapToGrid/>
          <w:szCs w:val="24"/>
          <w:lang w:val="lt-LT"/>
        </w:rPr>
        <w:tab/>
        <w:t>TIEKIMO IR VARTOJIMO SĄLYGOS AR APRIBOJIMAI</w:t>
      </w:r>
    </w:p>
    <w:p w14:paraId="74CE2989" w14:textId="77777777" w:rsidR="00B64E78" w:rsidRDefault="00DA46A9">
      <w:pPr>
        <w:widowControl w:val="0"/>
        <w:spacing w:line="240" w:lineRule="auto"/>
        <w:ind w:left="567" w:hanging="567"/>
        <w:jc w:val="both"/>
        <w:outlineLvl w:val="1"/>
        <w:rPr>
          <w:b/>
          <w:snapToGrid/>
          <w:szCs w:val="24"/>
          <w:lang w:val="lt-LT"/>
        </w:rPr>
      </w:pPr>
      <w:r>
        <w:rPr>
          <w:snapToGrid/>
          <w:szCs w:val="22"/>
          <w:lang w:val="lt-LT"/>
        </w:rPr>
        <w:br w:type="page"/>
      </w:r>
      <w:r>
        <w:rPr>
          <w:b/>
          <w:snapToGrid/>
          <w:szCs w:val="24"/>
          <w:lang w:val="lt-LT"/>
        </w:rPr>
        <w:lastRenderedPageBreak/>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241C5380" w14:textId="77777777" w:rsidR="00B64E78" w:rsidRDefault="00B64E78">
      <w:pPr>
        <w:widowControl w:val="0"/>
        <w:tabs>
          <w:tab w:val="clear" w:pos="567"/>
        </w:tabs>
        <w:spacing w:line="240" w:lineRule="auto"/>
        <w:jc w:val="both"/>
        <w:rPr>
          <w:snapToGrid/>
          <w:szCs w:val="24"/>
          <w:highlight w:val="yellow"/>
          <w:lang w:val="lt-LT"/>
        </w:rPr>
      </w:pPr>
    </w:p>
    <w:p w14:paraId="6DBC0A2C" w14:textId="77777777" w:rsidR="00B64E78" w:rsidRDefault="00DA46A9">
      <w:pPr>
        <w:widowControl w:val="0"/>
        <w:tabs>
          <w:tab w:val="clear" w:pos="567"/>
        </w:tabs>
        <w:spacing w:line="240" w:lineRule="auto"/>
        <w:jc w:val="both"/>
        <w:rPr>
          <w:snapToGrid/>
          <w:szCs w:val="24"/>
          <w:u w:val="single"/>
          <w:lang w:val="lt-LT"/>
        </w:rPr>
      </w:pPr>
      <w:r>
        <w:rPr>
          <w:snapToGrid/>
          <w:szCs w:val="24"/>
          <w:u w:val="single"/>
          <w:lang w:val="lt-LT"/>
        </w:rPr>
        <w:t>Gamintojo (</w:t>
      </w:r>
      <w:r>
        <w:rPr>
          <w:snapToGrid/>
          <w:szCs w:val="24"/>
          <w:u w:val="single"/>
          <w:lang w:val="lt-LT"/>
        </w:rPr>
        <w:noBreakHyphen/>
        <w:t>ų), atsakingo (</w:t>
      </w:r>
      <w:r>
        <w:rPr>
          <w:snapToGrid/>
          <w:szCs w:val="24"/>
          <w:u w:val="single"/>
          <w:lang w:val="lt-LT"/>
        </w:rPr>
        <w:noBreakHyphen/>
        <w:t>ų) už serijų išleidimą, pavadinimas (</w:t>
      </w:r>
      <w:r>
        <w:rPr>
          <w:snapToGrid/>
          <w:szCs w:val="24"/>
          <w:u w:val="single"/>
          <w:lang w:val="lt-LT"/>
        </w:rPr>
        <w:noBreakHyphen/>
        <w:t>ai) ir adresas (</w:t>
      </w:r>
      <w:r>
        <w:rPr>
          <w:snapToGrid/>
          <w:szCs w:val="24"/>
          <w:u w:val="single"/>
          <w:lang w:val="lt-LT"/>
        </w:rPr>
        <w:noBreakHyphen/>
        <w:t>ai)</w:t>
      </w:r>
    </w:p>
    <w:p w14:paraId="61DF2E6C" w14:textId="77777777" w:rsidR="00B64E78" w:rsidRDefault="00B64E78">
      <w:pPr>
        <w:widowControl w:val="0"/>
        <w:tabs>
          <w:tab w:val="clear" w:pos="567"/>
        </w:tabs>
        <w:spacing w:line="240" w:lineRule="auto"/>
        <w:jc w:val="both"/>
        <w:rPr>
          <w:snapToGrid/>
          <w:szCs w:val="24"/>
          <w:highlight w:val="yellow"/>
          <w:lang w:val="lt-LT"/>
        </w:rPr>
      </w:pPr>
    </w:p>
    <w:p w14:paraId="4A04C990" w14:textId="77777777" w:rsidR="00B64E78" w:rsidRDefault="00DA46A9">
      <w:pPr>
        <w:widowControl w:val="0"/>
        <w:spacing w:line="240" w:lineRule="auto"/>
        <w:rPr>
          <w:lang w:val="pt-PT" w:eastAsia="lt-LT"/>
        </w:rPr>
      </w:pPr>
      <w:r>
        <w:rPr>
          <w:lang w:val="pt-PT" w:eastAsia="lt-LT"/>
        </w:rPr>
        <w:t>KRKA, d. d., Novo mesto, Šmarješka cesta 6, 8501 Novo mesto, Slovėnija</w:t>
      </w:r>
    </w:p>
    <w:p w14:paraId="34B57B78" w14:textId="77777777" w:rsidR="00B64E78" w:rsidRDefault="00B64E78">
      <w:pPr>
        <w:widowControl w:val="0"/>
        <w:spacing w:line="240" w:lineRule="auto"/>
        <w:rPr>
          <w:lang w:val="pt-PT" w:eastAsia="lt-LT"/>
        </w:rPr>
      </w:pPr>
    </w:p>
    <w:p w14:paraId="314E827C" w14:textId="77777777" w:rsidR="00B64E78" w:rsidRDefault="00DA46A9">
      <w:pPr>
        <w:widowControl w:val="0"/>
        <w:spacing w:line="240" w:lineRule="auto"/>
        <w:rPr>
          <w:lang w:val="pt-PT" w:eastAsia="lt-LT"/>
        </w:rPr>
      </w:pPr>
      <w:r>
        <w:rPr>
          <w:lang w:val="pt-PT" w:eastAsia="lt-LT"/>
        </w:rPr>
        <w:t>arba</w:t>
      </w:r>
    </w:p>
    <w:p w14:paraId="2BF0AB5C" w14:textId="77777777" w:rsidR="00B64E78" w:rsidRDefault="00B64E78">
      <w:pPr>
        <w:widowControl w:val="0"/>
        <w:spacing w:line="240" w:lineRule="auto"/>
        <w:rPr>
          <w:lang w:val="pt-PT" w:eastAsia="lt-LT"/>
        </w:rPr>
      </w:pPr>
    </w:p>
    <w:p w14:paraId="4AEAB9DE" w14:textId="77777777" w:rsidR="00B64E78" w:rsidRDefault="00DA46A9">
      <w:pPr>
        <w:widowControl w:val="0"/>
        <w:rPr>
          <w:noProof/>
          <w:szCs w:val="22"/>
          <w:lang w:val="es-ES"/>
        </w:rPr>
      </w:pPr>
      <w:r>
        <w:rPr>
          <w:snapToGrid/>
          <w:szCs w:val="24"/>
          <w:lang w:val="lt-LT"/>
        </w:rPr>
        <w:t xml:space="preserve">TAD Pharma </w:t>
      </w:r>
      <w:proofErr w:type="spellStart"/>
      <w:r>
        <w:rPr>
          <w:snapToGrid/>
          <w:szCs w:val="24"/>
          <w:lang w:val="lt-LT"/>
        </w:rPr>
        <w:t>GmbH</w:t>
      </w:r>
      <w:proofErr w:type="spellEnd"/>
      <w:r>
        <w:rPr>
          <w:snapToGrid/>
          <w:szCs w:val="24"/>
          <w:lang w:val="lt-LT"/>
        </w:rPr>
        <w:t xml:space="preserve">, </w:t>
      </w:r>
      <w:r>
        <w:rPr>
          <w:noProof/>
          <w:szCs w:val="22"/>
          <w:lang w:val="de-DE"/>
        </w:rPr>
        <w:t xml:space="preserve">Heinz-Lohmann-Straße 5, </w:t>
      </w:r>
      <w:r>
        <w:rPr>
          <w:noProof/>
          <w:szCs w:val="22"/>
          <w:lang w:val="es-ES"/>
        </w:rPr>
        <w:t>27472 Cuxhaven, Vokietija</w:t>
      </w:r>
    </w:p>
    <w:p w14:paraId="29E9647F" w14:textId="77777777" w:rsidR="00B64E78" w:rsidRDefault="00B64E78">
      <w:pPr>
        <w:widowControl w:val="0"/>
        <w:rPr>
          <w:noProof/>
          <w:szCs w:val="22"/>
          <w:lang w:val="de-DE"/>
        </w:rPr>
      </w:pPr>
    </w:p>
    <w:p w14:paraId="79C136B9" w14:textId="77777777" w:rsidR="00B64E78" w:rsidRDefault="00DA46A9">
      <w:pPr>
        <w:widowControl w:val="0"/>
        <w:tabs>
          <w:tab w:val="clear" w:pos="567"/>
        </w:tabs>
        <w:spacing w:line="240" w:lineRule="auto"/>
        <w:jc w:val="both"/>
        <w:rPr>
          <w:snapToGrid/>
          <w:szCs w:val="24"/>
          <w:lang w:val="lt-LT"/>
        </w:rPr>
      </w:pPr>
      <w:r>
        <w:rPr>
          <w:snapToGrid/>
          <w:szCs w:val="24"/>
          <w:lang w:val="lt-LT"/>
        </w:rPr>
        <w:t>Su pakuote pateikiamame lapelyje nurodomas gamintojo, atsakingo už konkrečios serijos išleidimą, pavadinimas ir adresas</w:t>
      </w:r>
    </w:p>
    <w:p w14:paraId="045D4834" w14:textId="77777777" w:rsidR="00B64E78" w:rsidRDefault="00B64E78">
      <w:pPr>
        <w:widowControl w:val="0"/>
        <w:tabs>
          <w:tab w:val="clear" w:pos="567"/>
        </w:tabs>
        <w:spacing w:line="240" w:lineRule="auto"/>
        <w:jc w:val="both"/>
        <w:rPr>
          <w:snapToGrid/>
          <w:szCs w:val="24"/>
          <w:lang w:val="lt-LT"/>
        </w:rPr>
      </w:pPr>
    </w:p>
    <w:p w14:paraId="09A7A313" w14:textId="77777777" w:rsidR="00B64E78" w:rsidRDefault="00B64E78">
      <w:pPr>
        <w:widowControl w:val="0"/>
        <w:tabs>
          <w:tab w:val="clear" w:pos="567"/>
        </w:tabs>
        <w:spacing w:line="240" w:lineRule="auto"/>
        <w:jc w:val="both"/>
        <w:rPr>
          <w:snapToGrid/>
          <w:szCs w:val="24"/>
          <w:highlight w:val="yellow"/>
          <w:lang w:val="lt-LT"/>
        </w:rPr>
      </w:pPr>
    </w:p>
    <w:p w14:paraId="7F27BB82" w14:textId="77777777" w:rsidR="00B64E78" w:rsidRDefault="00DA46A9">
      <w:pPr>
        <w:widowControl w:val="0"/>
        <w:spacing w:line="240" w:lineRule="auto"/>
        <w:ind w:left="567" w:hanging="567"/>
        <w:jc w:val="both"/>
        <w:outlineLvl w:val="1"/>
        <w:rPr>
          <w:b/>
          <w:snapToGrid/>
          <w:szCs w:val="24"/>
          <w:lang w:val="lt-LT"/>
        </w:rPr>
      </w:pPr>
      <w:bookmarkStart w:id="1" w:name="_Toc129243129"/>
      <w:bookmarkStart w:id="2" w:name="_Toc129243254"/>
      <w:r>
        <w:rPr>
          <w:b/>
          <w:snapToGrid/>
          <w:szCs w:val="24"/>
          <w:lang w:val="lt-LT"/>
        </w:rPr>
        <w:t>B.</w:t>
      </w:r>
      <w:r>
        <w:rPr>
          <w:b/>
          <w:snapToGrid/>
          <w:szCs w:val="24"/>
          <w:lang w:val="lt-LT"/>
        </w:rPr>
        <w:tab/>
        <w:t>TIEKIMO IR VARTOJIMO SĄLYGOS AR APRIBOJIMAI</w:t>
      </w:r>
      <w:bookmarkEnd w:id="1"/>
      <w:bookmarkEnd w:id="2"/>
    </w:p>
    <w:p w14:paraId="32515F7E" w14:textId="77777777" w:rsidR="00B64E78" w:rsidRDefault="00B64E78">
      <w:pPr>
        <w:widowControl w:val="0"/>
        <w:tabs>
          <w:tab w:val="clear" w:pos="567"/>
        </w:tabs>
        <w:spacing w:line="240" w:lineRule="auto"/>
        <w:jc w:val="both"/>
        <w:rPr>
          <w:snapToGrid/>
          <w:szCs w:val="24"/>
          <w:lang w:val="lt-LT"/>
        </w:rPr>
      </w:pPr>
    </w:p>
    <w:p w14:paraId="76C92296" w14:textId="77777777" w:rsidR="00B64E78" w:rsidRDefault="00DA46A9">
      <w:pPr>
        <w:widowControl w:val="0"/>
        <w:tabs>
          <w:tab w:val="clear" w:pos="567"/>
        </w:tabs>
        <w:spacing w:line="240" w:lineRule="auto"/>
        <w:jc w:val="both"/>
        <w:rPr>
          <w:snapToGrid/>
          <w:szCs w:val="24"/>
          <w:lang w:val="lt-LT"/>
        </w:rPr>
      </w:pPr>
      <w:r>
        <w:rPr>
          <w:snapToGrid/>
          <w:szCs w:val="24"/>
          <w:lang w:val="lt-LT"/>
        </w:rPr>
        <w:t>Receptinis vaistinis preparatas.</w:t>
      </w:r>
    </w:p>
    <w:p w14:paraId="1D40CF14" w14:textId="77777777" w:rsidR="00B64E78" w:rsidRDefault="00DA46A9">
      <w:pPr>
        <w:widowControl w:val="0"/>
        <w:tabs>
          <w:tab w:val="clear" w:pos="567"/>
        </w:tabs>
        <w:spacing w:line="240" w:lineRule="auto"/>
        <w:rPr>
          <w:snapToGrid/>
          <w:szCs w:val="22"/>
          <w:lang w:val="lt-LT"/>
        </w:rPr>
      </w:pPr>
      <w:r>
        <w:rPr>
          <w:snapToGrid/>
          <w:szCs w:val="24"/>
          <w:lang w:val="lt-LT"/>
        </w:rPr>
        <w:br w:type="page"/>
      </w:r>
    </w:p>
    <w:p w14:paraId="5A54EC09" w14:textId="77777777" w:rsidR="00B64E78" w:rsidRDefault="00B64E78">
      <w:pPr>
        <w:widowControl w:val="0"/>
        <w:tabs>
          <w:tab w:val="clear" w:pos="567"/>
        </w:tabs>
        <w:spacing w:line="240" w:lineRule="auto"/>
        <w:rPr>
          <w:snapToGrid/>
          <w:szCs w:val="22"/>
          <w:lang w:val="lt-LT"/>
        </w:rPr>
      </w:pPr>
    </w:p>
    <w:p w14:paraId="06EFF0D6" w14:textId="77777777" w:rsidR="00B64E78" w:rsidRDefault="00B64E78">
      <w:pPr>
        <w:widowControl w:val="0"/>
        <w:tabs>
          <w:tab w:val="clear" w:pos="567"/>
        </w:tabs>
        <w:spacing w:line="240" w:lineRule="auto"/>
        <w:rPr>
          <w:snapToGrid/>
          <w:szCs w:val="22"/>
          <w:lang w:val="lt-LT"/>
        </w:rPr>
      </w:pPr>
    </w:p>
    <w:p w14:paraId="3DF6F3DF" w14:textId="77777777" w:rsidR="00B64E78" w:rsidRDefault="00B64E78">
      <w:pPr>
        <w:widowControl w:val="0"/>
        <w:tabs>
          <w:tab w:val="clear" w:pos="567"/>
        </w:tabs>
        <w:spacing w:line="240" w:lineRule="auto"/>
        <w:rPr>
          <w:snapToGrid/>
          <w:szCs w:val="22"/>
          <w:lang w:val="lt-LT"/>
        </w:rPr>
      </w:pPr>
    </w:p>
    <w:p w14:paraId="45F67958" w14:textId="77777777" w:rsidR="00B64E78" w:rsidRDefault="00B64E78">
      <w:pPr>
        <w:widowControl w:val="0"/>
        <w:tabs>
          <w:tab w:val="clear" w:pos="567"/>
        </w:tabs>
        <w:spacing w:line="240" w:lineRule="auto"/>
        <w:rPr>
          <w:snapToGrid/>
          <w:szCs w:val="22"/>
          <w:lang w:val="lt-LT"/>
        </w:rPr>
      </w:pPr>
    </w:p>
    <w:p w14:paraId="1B99FBD0" w14:textId="77777777" w:rsidR="00B64E78" w:rsidRDefault="00B64E78">
      <w:pPr>
        <w:widowControl w:val="0"/>
        <w:tabs>
          <w:tab w:val="clear" w:pos="567"/>
        </w:tabs>
        <w:spacing w:line="240" w:lineRule="auto"/>
        <w:rPr>
          <w:snapToGrid/>
          <w:szCs w:val="22"/>
          <w:lang w:val="lt-LT"/>
        </w:rPr>
      </w:pPr>
    </w:p>
    <w:p w14:paraId="7D5E220A" w14:textId="77777777" w:rsidR="00B64E78" w:rsidRDefault="00B64E78">
      <w:pPr>
        <w:widowControl w:val="0"/>
        <w:tabs>
          <w:tab w:val="clear" w:pos="567"/>
        </w:tabs>
        <w:spacing w:line="240" w:lineRule="auto"/>
        <w:rPr>
          <w:snapToGrid/>
          <w:szCs w:val="22"/>
          <w:lang w:val="lt-LT"/>
        </w:rPr>
      </w:pPr>
    </w:p>
    <w:p w14:paraId="1F4CE4C7" w14:textId="77777777" w:rsidR="00B64E78" w:rsidRDefault="00B64E78">
      <w:pPr>
        <w:widowControl w:val="0"/>
        <w:tabs>
          <w:tab w:val="clear" w:pos="567"/>
        </w:tabs>
        <w:spacing w:line="240" w:lineRule="auto"/>
        <w:rPr>
          <w:snapToGrid/>
          <w:szCs w:val="22"/>
          <w:lang w:val="lt-LT"/>
        </w:rPr>
      </w:pPr>
    </w:p>
    <w:p w14:paraId="63F1659B" w14:textId="77777777" w:rsidR="00B64E78" w:rsidRDefault="00B64E78">
      <w:pPr>
        <w:widowControl w:val="0"/>
        <w:tabs>
          <w:tab w:val="clear" w:pos="567"/>
        </w:tabs>
        <w:spacing w:line="240" w:lineRule="auto"/>
        <w:rPr>
          <w:snapToGrid/>
          <w:szCs w:val="22"/>
          <w:lang w:val="lt-LT"/>
        </w:rPr>
      </w:pPr>
    </w:p>
    <w:p w14:paraId="3ED3D7CE" w14:textId="77777777" w:rsidR="00B64E78" w:rsidRDefault="00B64E78">
      <w:pPr>
        <w:widowControl w:val="0"/>
        <w:tabs>
          <w:tab w:val="clear" w:pos="567"/>
        </w:tabs>
        <w:spacing w:line="240" w:lineRule="auto"/>
        <w:rPr>
          <w:snapToGrid/>
          <w:szCs w:val="22"/>
          <w:lang w:val="lt-LT"/>
        </w:rPr>
      </w:pPr>
    </w:p>
    <w:p w14:paraId="600AD446" w14:textId="77777777" w:rsidR="00B64E78" w:rsidRDefault="00B64E78">
      <w:pPr>
        <w:widowControl w:val="0"/>
        <w:tabs>
          <w:tab w:val="clear" w:pos="567"/>
        </w:tabs>
        <w:spacing w:line="240" w:lineRule="auto"/>
        <w:rPr>
          <w:snapToGrid/>
          <w:szCs w:val="22"/>
          <w:lang w:val="lt-LT"/>
        </w:rPr>
      </w:pPr>
    </w:p>
    <w:p w14:paraId="1A7E647D" w14:textId="77777777" w:rsidR="00B64E78" w:rsidRDefault="00B64E78">
      <w:pPr>
        <w:widowControl w:val="0"/>
        <w:tabs>
          <w:tab w:val="clear" w:pos="567"/>
        </w:tabs>
        <w:spacing w:line="240" w:lineRule="auto"/>
        <w:rPr>
          <w:snapToGrid/>
          <w:szCs w:val="22"/>
          <w:lang w:val="lt-LT"/>
        </w:rPr>
      </w:pPr>
    </w:p>
    <w:p w14:paraId="7DE1C7D4" w14:textId="77777777" w:rsidR="00B64E78" w:rsidRDefault="00B64E78">
      <w:pPr>
        <w:widowControl w:val="0"/>
        <w:tabs>
          <w:tab w:val="clear" w:pos="567"/>
        </w:tabs>
        <w:spacing w:line="240" w:lineRule="auto"/>
        <w:rPr>
          <w:snapToGrid/>
          <w:szCs w:val="22"/>
          <w:lang w:val="lt-LT"/>
        </w:rPr>
      </w:pPr>
    </w:p>
    <w:p w14:paraId="59BC079A" w14:textId="77777777" w:rsidR="00B64E78" w:rsidRDefault="00B64E78">
      <w:pPr>
        <w:widowControl w:val="0"/>
        <w:tabs>
          <w:tab w:val="clear" w:pos="567"/>
        </w:tabs>
        <w:spacing w:line="240" w:lineRule="auto"/>
        <w:rPr>
          <w:snapToGrid/>
          <w:szCs w:val="22"/>
          <w:lang w:val="lt-LT"/>
        </w:rPr>
      </w:pPr>
    </w:p>
    <w:p w14:paraId="1D7C74E4" w14:textId="77777777" w:rsidR="00B64E78" w:rsidRDefault="00B64E78">
      <w:pPr>
        <w:widowControl w:val="0"/>
        <w:tabs>
          <w:tab w:val="clear" w:pos="567"/>
        </w:tabs>
        <w:spacing w:line="240" w:lineRule="auto"/>
        <w:rPr>
          <w:snapToGrid/>
          <w:szCs w:val="22"/>
          <w:lang w:val="lt-LT"/>
        </w:rPr>
      </w:pPr>
    </w:p>
    <w:p w14:paraId="4A9D0F6A" w14:textId="77777777" w:rsidR="00B64E78" w:rsidRDefault="00B64E78">
      <w:pPr>
        <w:widowControl w:val="0"/>
        <w:tabs>
          <w:tab w:val="clear" w:pos="567"/>
        </w:tabs>
        <w:spacing w:line="240" w:lineRule="auto"/>
        <w:rPr>
          <w:snapToGrid/>
          <w:szCs w:val="22"/>
          <w:lang w:val="lt-LT"/>
        </w:rPr>
      </w:pPr>
    </w:p>
    <w:p w14:paraId="06654561" w14:textId="77777777" w:rsidR="00B64E78" w:rsidRDefault="00B64E78">
      <w:pPr>
        <w:widowControl w:val="0"/>
        <w:tabs>
          <w:tab w:val="clear" w:pos="567"/>
        </w:tabs>
        <w:spacing w:line="240" w:lineRule="auto"/>
        <w:rPr>
          <w:snapToGrid/>
          <w:szCs w:val="22"/>
          <w:lang w:val="lt-LT"/>
        </w:rPr>
      </w:pPr>
    </w:p>
    <w:p w14:paraId="762354FB" w14:textId="77777777" w:rsidR="00B64E78" w:rsidRDefault="00B64E78">
      <w:pPr>
        <w:widowControl w:val="0"/>
        <w:tabs>
          <w:tab w:val="clear" w:pos="567"/>
        </w:tabs>
        <w:spacing w:line="240" w:lineRule="auto"/>
        <w:rPr>
          <w:snapToGrid/>
          <w:szCs w:val="22"/>
          <w:lang w:val="lt-LT"/>
        </w:rPr>
      </w:pPr>
    </w:p>
    <w:p w14:paraId="44800A9C" w14:textId="77777777" w:rsidR="00B64E78" w:rsidRDefault="00B64E78">
      <w:pPr>
        <w:widowControl w:val="0"/>
        <w:tabs>
          <w:tab w:val="clear" w:pos="567"/>
        </w:tabs>
        <w:spacing w:line="240" w:lineRule="auto"/>
        <w:rPr>
          <w:snapToGrid/>
          <w:szCs w:val="22"/>
          <w:lang w:val="lt-LT"/>
        </w:rPr>
      </w:pPr>
    </w:p>
    <w:p w14:paraId="7F23CC06" w14:textId="77777777" w:rsidR="00B64E78" w:rsidRDefault="00B64E78">
      <w:pPr>
        <w:widowControl w:val="0"/>
        <w:tabs>
          <w:tab w:val="clear" w:pos="567"/>
        </w:tabs>
        <w:spacing w:line="240" w:lineRule="auto"/>
        <w:rPr>
          <w:snapToGrid/>
          <w:szCs w:val="22"/>
          <w:lang w:val="lt-LT"/>
        </w:rPr>
      </w:pPr>
    </w:p>
    <w:p w14:paraId="1B56FBB7" w14:textId="77777777" w:rsidR="00B64E78" w:rsidRDefault="00B64E78">
      <w:pPr>
        <w:widowControl w:val="0"/>
        <w:tabs>
          <w:tab w:val="clear" w:pos="567"/>
        </w:tabs>
        <w:spacing w:line="240" w:lineRule="auto"/>
        <w:rPr>
          <w:snapToGrid/>
          <w:szCs w:val="22"/>
          <w:lang w:val="lt-LT"/>
        </w:rPr>
      </w:pPr>
    </w:p>
    <w:p w14:paraId="730366EE" w14:textId="77777777" w:rsidR="00B64E78" w:rsidRDefault="00B64E78">
      <w:pPr>
        <w:widowControl w:val="0"/>
        <w:tabs>
          <w:tab w:val="clear" w:pos="567"/>
        </w:tabs>
        <w:spacing w:line="240" w:lineRule="auto"/>
        <w:rPr>
          <w:snapToGrid/>
          <w:szCs w:val="22"/>
          <w:lang w:val="lt-LT"/>
        </w:rPr>
      </w:pPr>
    </w:p>
    <w:p w14:paraId="6490B54A" w14:textId="77777777" w:rsidR="00B64E78" w:rsidRDefault="00B64E78">
      <w:pPr>
        <w:widowControl w:val="0"/>
        <w:tabs>
          <w:tab w:val="clear" w:pos="567"/>
        </w:tabs>
        <w:spacing w:line="240" w:lineRule="auto"/>
        <w:rPr>
          <w:snapToGrid/>
          <w:szCs w:val="22"/>
          <w:lang w:val="lt-LT"/>
        </w:rPr>
      </w:pPr>
      <w:bookmarkStart w:id="3" w:name="_Toc129243134"/>
      <w:bookmarkStart w:id="4" w:name="_Toc129243259"/>
    </w:p>
    <w:p w14:paraId="1E87C967" w14:textId="77777777" w:rsidR="00B64E78" w:rsidRDefault="00DA46A9">
      <w:pPr>
        <w:widowControl w:val="0"/>
        <w:spacing w:line="240" w:lineRule="auto"/>
        <w:ind w:left="567" w:hanging="567"/>
        <w:jc w:val="center"/>
        <w:outlineLvl w:val="0"/>
        <w:rPr>
          <w:b/>
          <w:caps/>
          <w:snapToGrid/>
          <w:szCs w:val="24"/>
          <w:lang w:val="lt-LT"/>
        </w:rPr>
      </w:pPr>
      <w:r>
        <w:rPr>
          <w:b/>
          <w:caps/>
          <w:snapToGrid/>
          <w:szCs w:val="24"/>
          <w:lang w:val="lt-LT"/>
        </w:rPr>
        <w:t>III PRIEDAS</w:t>
      </w:r>
      <w:bookmarkEnd w:id="3"/>
      <w:bookmarkEnd w:id="4"/>
    </w:p>
    <w:p w14:paraId="5A462F03" w14:textId="77777777" w:rsidR="00B64E78" w:rsidRDefault="00B64E78">
      <w:pPr>
        <w:widowControl w:val="0"/>
        <w:tabs>
          <w:tab w:val="clear" w:pos="567"/>
        </w:tabs>
        <w:spacing w:line="240" w:lineRule="auto"/>
        <w:jc w:val="both"/>
        <w:rPr>
          <w:snapToGrid/>
          <w:szCs w:val="24"/>
          <w:lang w:val="lt-LT"/>
        </w:rPr>
      </w:pPr>
    </w:p>
    <w:p w14:paraId="51866194" w14:textId="77777777" w:rsidR="00B64E78" w:rsidRDefault="00DA46A9">
      <w:pPr>
        <w:widowControl w:val="0"/>
        <w:spacing w:line="240" w:lineRule="auto"/>
        <w:ind w:left="567" w:hanging="567"/>
        <w:jc w:val="center"/>
        <w:outlineLvl w:val="0"/>
        <w:rPr>
          <w:b/>
          <w:caps/>
          <w:snapToGrid/>
          <w:szCs w:val="24"/>
          <w:lang w:val="lt-LT"/>
        </w:rPr>
      </w:pPr>
      <w:bookmarkStart w:id="5" w:name="_Toc129243135"/>
      <w:bookmarkStart w:id="6" w:name="_Toc129243260"/>
      <w:r>
        <w:rPr>
          <w:b/>
          <w:caps/>
          <w:snapToGrid/>
          <w:szCs w:val="24"/>
          <w:lang w:val="lt-LT"/>
        </w:rPr>
        <w:t>ŽENKLINIMAS IR PAKUOTĖS LAPELIS</w:t>
      </w:r>
      <w:bookmarkEnd w:id="5"/>
      <w:bookmarkEnd w:id="6"/>
    </w:p>
    <w:p w14:paraId="2B5A3C4A" w14:textId="77777777" w:rsidR="00B64E78" w:rsidRDefault="00DA46A9">
      <w:pPr>
        <w:widowControl w:val="0"/>
        <w:tabs>
          <w:tab w:val="clear" w:pos="567"/>
        </w:tabs>
        <w:spacing w:line="240" w:lineRule="auto"/>
        <w:rPr>
          <w:snapToGrid/>
          <w:szCs w:val="22"/>
          <w:lang w:val="lt-LT"/>
        </w:rPr>
      </w:pPr>
      <w:r>
        <w:rPr>
          <w:snapToGrid/>
          <w:szCs w:val="24"/>
          <w:lang w:val="lt-LT"/>
        </w:rPr>
        <w:br w:type="page"/>
      </w:r>
    </w:p>
    <w:p w14:paraId="3FC7AE56" w14:textId="77777777" w:rsidR="00B64E78" w:rsidRDefault="00B64E78">
      <w:pPr>
        <w:widowControl w:val="0"/>
        <w:tabs>
          <w:tab w:val="clear" w:pos="567"/>
        </w:tabs>
        <w:spacing w:line="240" w:lineRule="auto"/>
        <w:rPr>
          <w:snapToGrid/>
          <w:szCs w:val="22"/>
          <w:lang w:val="lt-LT"/>
        </w:rPr>
      </w:pPr>
    </w:p>
    <w:p w14:paraId="6A77EFB5" w14:textId="77777777" w:rsidR="00B64E78" w:rsidRDefault="00B64E78">
      <w:pPr>
        <w:widowControl w:val="0"/>
        <w:tabs>
          <w:tab w:val="clear" w:pos="567"/>
        </w:tabs>
        <w:spacing w:line="240" w:lineRule="auto"/>
        <w:rPr>
          <w:snapToGrid/>
          <w:szCs w:val="22"/>
          <w:lang w:val="lt-LT"/>
        </w:rPr>
      </w:pPr>
    </w:p>
    <w:p w14:paraId="1633E420" w14:textId="77777777" w:rsidR="00B64E78" w:rsidRDefault="00B64E78">
      <w:pPr>
        <w:widowControl w:val="0"/>
        <w:tabs>
          <w:tab w:val="clear" w:pos="567"/>
        </w:tabs>
        <w:spacing w:line="240" w:lineRule="auto"/>
        <w:rPr>
          <w:snapToGrid/>
          <w:szCs w:val="22"/>
          <w:lang w:val="lt-LT"/>
        </w:rPr>
      </w:pPr>
    </w:p>
    <w:p w14:paraId="5FC34C48" w14:textId="77777777" w:rsidR="00B64E78" w:rsidRDefault="00B64E78">
      <w:pPr>
        <w:widowControl w:val="0"/>
        <w:tabs>
          <w:tab w:val="clear" w:pos="567"/>
        </w:tabs>
        <w:spacing w:line="240" w:lineRule="auto"/>
        <w:rPr>
          <w:snapToGrid/>
          <w:szCs w:val="22"/>
          <w:lang w:val="lt-LT"/>
        </w:rPr>
      </w:pPr>
    </w:p>
    <w:p w14:paraId="625249E2" w14:textId="77777777" w:rsidR="00B64E78" w:rsidRDefault="00B64E78">
      <w:pPr>
        <w:widowControl w:val="0"/>
        <w:tabs>
          <w:tab w:val="clear" w:pos="567"/>
        </w:tabs>
        <w:spacing w:line="240" w:lineRule="auto"/>
        <w:rPr>
          <w:snapToGrid/>
          <w:szCs w:val="22"/>
          <w:lang w:val="lt-LT"/>
        </w:rPr>
      </w:pPr>
    </w:p>
    <w:p w14:paraId="09E95A3E" w14:textId="77777777" w:rsidR="00B64E78" w:rsidRDefault="00B64E78">
      <w:pPr>
        <w:widowControl w:val="0"/>
        <w:tabs>
          <w:tab w:val="clear" w:pos="567"/>
        </w:tabs>
        <w:spacing w:line="240" w:lineRule="auto"/>
        <w:rPr>
          <w:snapToGrid/>
          <w:szCs w:val="22"/>
          <w:lang w:val="lt-LT"/>
        </w:rPr>
      </w:pPr>
    </w:p>
    <w:p w14:paraId="5837A8A8" w14:textId="77777777" w:rsidR="00B64E78" w:rsidRDefault="00B64E78">
      <w:pPr>
        <w:widowControl w:val="0"/>
        <w:tabs>
          <w:tab w:val="clear" w:pos="567"/>
        </w:tabs>
        <w:spacing w:line="240" w:lineRule="auto"/>
        <w:rPr>
          <w:snapToGrid/>
          <w:szCs w:val="22"/>
          <w:lang w:val="lt-LT"/>
        </w:rPr>
      </w:pPr>
    </w:p>
    <w:p w14:paraId="6A4E0E58" w14:textId="77777777" w:rsidR="00B64E78" w:rsidRDefault="00B64E78">
      <w:pPr>
        <w:widowControl w:val="0"/>
        <w:tabs>
          <w:tab w:val="clear" w:pos="567"/>
        </w:tabs>
        <w:spacing w:line="240" w:lineRule="auto"/>
        <w:rPr>
          <w:snapToGrid/>
          <w:szCs w:val="22"/>
          <w:lang w:val="lt-LT"/>
        </w:rPr>
      </w:pPr>
    </w:p>
    <w:p w14:paraId="4F893397" w14:textId="77777777" w:rsidR="00B64E78" w:rsidRDefault="00B64E78">
      <w:pPr>
        <w:widowControl w:val="0"/>
        <w:tabs>
          <w:tab w:val="clear" w:pos="567"/>
        </w:tabs>
        <w:spacing w:line="240" w:lineRule="auto"/>
        <w:rPr>
          <w:snapToGrid/>
          <w:szCs w:val="22"/>
          <w:lang w:val="lt-LT"/>
        </w:rPr>
      </w:pPr>
    </w:p>
    <w:p w14:paraId="5D8CF7BA" w14:textId="77777777" w:rsidR="00B64E78" w:rsidRDefault="00B64E78">
      <w:pPr>
        <w:widowControl w:val="0"/>
        <w:tabs>
          <w:tab w:val="clear" w:pos="567"/>
        </w:tabs>
        <w:spacing w:line="240" w:lineRule="auto"/>
        <w:rPr>
          <w:snapToGrid/>
          <w:szCs w:val="22"/>
          <w:lang w:val="lt-LT"/>
        </w:rPr>
      </w:pPr>
    </w:p>
    <w:p w14:paraId="04088C8A" w14:textId="77777777" w:rsidR="00B64E78" w:rsidRDefault="00B64E78">
      <w:pPr>
        <w:widowControl w:val="0"/>
        <w:tabs>
          <w:tab w:val="clear" w:pos="567"/>
        </w:tabs>
        <w:spacing w:line="240" w:lineRule="auto"/>
        <w:rPr>
          <w:snapToGrid/>
          <w:szCs w:val="22"/>
          <w:lang w:val="lt-LT"/>
        </w:rPr>
      </w:pPr>
    </w:p>
    <w:p w14:paraId="5704482C" w14:textId="77777777" w:rsidR="00B64E78" w:rsidRDefault="00B64E78">
      <w:pPr>
        <w:widowControl w:val="0"/>
        <w:tabs>
          <w:tab w:val="clear" w:pos="567"/>
        </w:tabs>
        <w:spacing w:line="240" w:lineRule="auto"/>
        <w:rPr>
          <w:snapToGrid/>
          <w:szCs w:val="22"/>
          <w:lang w:val="lt-LT"/>
        </w:rPr>
      </w:pPr>
    </w:p>
    <w:p w14:paraId="5A51A91C" w14:textId="77777777" w:rsidR="00B64E78" w:rsidRDefault="00B64E78">
      <w:pPr>
        <w:widowControl w:val="0"/>
        <w:tabs>
          <w:tab w:val="clear" w:pos="567"/>
        </w:tabs>
        <w:spacing w:line="240" w:lineRule="auto"/>
        <w:rPr>
          <w:snapToGrid/>
          <w:szCs w:val="22"/>
          <w:lang w:val="lt-LT"/>
        </w:rPr>
      </w:pPr>
    </w:p>
    <w:p w14:paraId="09D16AF2" w14:textId="77777777" w:rsidR="00B64E78" w:rsidRDefault="00B64E78">
      <w:pPr>
        <w:widowControl w:val="0"/>
        <w:tabs>
          <w:tab w:val="clear" w:pos="567"/>
        </w:tabs>
        <w:spacing w:line="240" w:lineRule="auto"/>
        <w:rPr>
          <w:snapToGrid/>
          <w:szCs w:val="22"/>
          <w:lang w:val="lt-LT"/>
        </w:rPr>
      </w:pPr>
    </w:p>
    <w:p w14:paraId="42007C3D" w14:textId="77777777" w:rsidR="00B64E78" w:rsidRDefault="00B64E78">
      <w:pPr>
        <w:widowControl w:val="0"/>
        <w:tabs>
          <w:tab w:val="clear" w:pos="567"/>
        </w:tabs>
        <w:spacing w:line="240" w:lineRule="auto"/>
        <w:rPr>
          <w:snapToGrid/>
          <w:szCs w:val="22"/>
          <w:lang w:val="lt-LT"/>
        </w:rPr>
      </w:pPr>
    </w:p>
    <w:p w14:paraId="27AAFE16" w14:textId="77777777" w:rsidR="00B64E78" w:rsidRDefault="00B64E78">
      <w:pPr>
        <w:widowControl w:val="0"/>
        <w:tabs>
          <w:tab w:val="clear" w:pos="567"/>
        </w:tabs>
        <w:spacing w:line="240" w:lineRule="auto"/>
        <w:rPr>
          <w:snapToGrid/>
          <w:szCs w:val="22"/>
          <w:lang w:val="lt-LT"/>
        </w:rPr>
      </w:pPr>
    </w:p>
    <w:p w14:paraId="65E2683C" w14:textId="77777777" w:rsidR="00B64E78" w:rsidRDefault="00B64E78">
      <w:pPr>
        <w:widowControl w:val="0"/>
        <w:tabs>
          <w:tab w:val="clear" w:pos="567"/>
        </w:tabs>
        <w:spacing w:line="240" w:lineRule="auto"/>
        <w:rPr>
          <w:snapToGrid/>
          <w:szCs w:val="22"/>
          <w:lang w:val="lt-LT"/>
        </w:rPr>
      </w:pPr>
    </w:p>
    <w:p w14:paraId="39C5A242" w14:textId="77777777" w:rsidR="00B64E78" w:rsidRDefault="00B64E78">
      <w:pPr>
        <w:widowControl w:val="0"/>
        <w:tabs>
          <w:tab w:val="clear" w:pos="567"/>
        </w:tabs>
        <w:spacing w:line="240" w:lineRule="auto"/>
        <w:rPr>
          <w:snapToGrid/>
          <w:szCs w:val="22"/>
          <w:lang w:val="lt-LT"/>
        </w:rPr>
      </w:pPr>
    </w:p>
    <w:p w14:paraId="6DEE9D5C" w14:textId="77777777" w:rsidR="00B64E78" w:rsidRDefault="00B64E78">
      <w:pPr>
        <w:widowControl w:val="0"/>
        <w:tabs>
          <w:tab w:val="clear" w:pos="567"/>
        </w:tabs>
        <w:spacing w:line="240" w:lineRule="auto"/>
        <w:rPr>
          <w:snapToGrid/>
          <w:szCs w:val="22"/>
          <w:lang w:val="lt-LT"/>
        </w:rPr>
      </w:pPr>
    </w:p>
    <w:p w14:paraId="7617B506" w14:textId="77777777" w:rsidR="00B64E78" w:rsidRDefault="00B64E78">
      <w:pPr>
        <w:widowControl w:val="0"/>
        <w:tabs>
          <w:tab w:val="clear" w:pos="567"/>
        </w:tabs>
        <w:spacing w:line="240" w:lineRule="auto"/>
        <w:rPr>
          <w:snapToGrid/>
          <w:szCs w:val="22"/>
          <w:lang w:val="lt-LT"/>
        </w:rPr>
      </w:pPr>
    </w:p>
    <w:p w14:paraId="0688A8E2" w14:textId="77777777" w:rsidR="00B64E78" w:rsidRDefault="00B64E78">
      <w:pPr>
        <w:widowControl w:val="0"/>
        <w:tabs>
          <w:tab w:val="clear" w:pos="567"/>
        </w:tabs>
        <w:spacing w:line="240" w:lineRule="auto"/>
        <w:rPr>
          <w:snapToGrid/>
          <w:szCs w:val="22"/>
          <w:lang w:val="lt-LT"/>
        </w:rPr>
      </w:pPr>
    </w:p>
    <w:p w14:paraId="43C3A9C3" w14:textId="77777777" w:rsidR="00B64E78" w:rsidRDefault="00B64E78">
      <w:pPr>
        <w:widowControl w:val="0"/>
        <w:tabs>
          <w:tab w:val="clear" w:pos="567"/>
        </w:tabs>
        <w:spacing w:line="240" w:lineRule="auto"/>
        <w:rPr>
          <w:snapToGrid/>
          <w:szCs w:val="22"/>
          <w:lang w:val="lt-LT"/>
        </w:rPr>
      </w:pPr>
    </w:p>
    <w:p w14:paraId="44547881" w14:textId="77777777" w:rsidR="00B64E78" w:rsidRDefault="00DA46A9">
      <w:pPr>
        <w:widowControl w:val="0"/>
        <w:spacing w:line="240" w:lineRule="auto"/>
        <w:ind w:left="567" w:hanging="567"/>
        <w:jc w:val="center"/>
        <w:outlineLvl w:val="0"/>
        <w:rPr>
          <w:b/>
          <w:caps/>
          <w:snapToGrid/>
          <w:szCs w:val="24"/>
          <w:lang w:val="lt-LT"/>
        </w:rPr>
      </w:pPr>
      <w:bookmarkStart w:id="7" w:name="_Toc129243136"/>
      <w:bookmarkStart w:id="8" w:name="_Toc129243261"/>
      <w:r>
        <w:rPr>
          <w:b/>
          <w:caps/>
          <w:snapToGrid/>
          <w:szCs w:val="24"/>
          <w:lang w:val="lt-LT"/>
        </w:rPr>
        <w:t>A. ŽENKLINIMAS</w:t>
      </w:r>
      <w:bookmarkEnd w:id="7"/>
      <w:bookmarkEnd w:id="8"/>
    </w:p>
    <w:p w14:paraId="779FBE75" w14:textId="77777777" w:rsidR="00B64E78" w:rsidRDefault="00DA46A9" w:rsidP="00317643">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Pr>
          <w:snapToGrid/>
          <w:szCs w:val="22"/>
          <w:lang w:val="lt-LT"/>
        </w:rPr>
        <w:br w:type="page"/>
      </w:r>
      <w:r>
        <w:rPr>
          <w:b/>
          <w:snapToGrid/>
          <w:szCs w:val="22"/>
          <w:lang w:val="lt-LT"/>
        </w:rPr>
        <w:lastRenderedPageBreak/>
        <w:t>INFORMACIJA ANT IŠORINĖS PAKUOTĖS</w:t>
      </w:r>
    </w:p>
    <w:p w14:paraId="465A874A" w14:textId="77777777" w:rsidR="00B64E78" w:rsidRDefault="00B64E78" w:rsidP="00317643">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1A04F43B" w14:textId="77777777" w:rsidR="00B64E78" w:rsidRDefault="00DA46A9" w:rsidP="00317643">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KARTONO DĖŽUTĖ</w:t>
      </w:r>
    </w:p>
    <w:p w14:paraId="4B1A46D0" w14:textId="77777777" w:rsidR="00B64E78" w:rsidRDefault="00B64E78" w:rsidP="00317643">
      <w:pPr>
        <w:widowControl w:val="0"/>
        <w:tabs>
          <w:tab w:val="clear" w:pos="567"/>
        </w:tabs>
        <w:spacing w:line="240" w:lineRule="auto"/>
        <w:rPr>
          <w:snapToGrid/>
          <w:szCs w:val="22"/>
          <w:lang w:val="lt-LT"/>
        </w:rPr>
      </w:pPr>
    </w:p>
    <w:p w14:paraId="4A1B6910" w14:textId="77777777" w:rsidR="00B64E78" w:rsidRDefault="00B64E78" w:rsidP="00317643">
      <w:pPr>
        <w:widowControl w:val="0"/>
        <w:tabs>
          <w:tab w:val="clear" w:pos="567"/>
        </w:tabs>
        <w:spacing w:line="240" w:lineRule="auto"/>
        <w:rPr>
          <w:snapToGrid/>
          <w:szCs w:val="22"/>
          <w:lang w:val="lt-LT"/>
        </w:rPr>
      </w:pPr>
    </w:p>
    <w:p w14:paraId="189A59F1"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1.</w:t>
      </w:r>
      <w:r>
        <w:rPr>
          <w:b/>
          <w:snapToGrid/>
          <w:szCs w:val="22"/>
          <w:lang w:val="lt-LT"/>
        </w:rPr>
        <w:tab/>
        <w:t>VAISTINIO PREPARATO PAVADINIMAS</w:t>
      </w:r>
    </w:p>
    <w:p w14:paraId="74791ED5" w14:textId="77777777" w:rsidR="00B64E78" w:rsidRDefault="00B64E78" w:rsidP="00317643">
      <w:pPr>
        <w:widowControl w:val="0"/>
        <w:tabs>
          <w:tab w:val="clear" w:pos="567"/>
        </w:tabs>
        <w:spacing w:line="240" w:lineRule="auto"/>
        <w:rPr>
          <w:snapToGrid/>
          <w:szCs w:val="22"/>
          <w:lang w:val="lt-LT"/>
        </w:rPr>
      </w:pPr>
    </w:p>
    <w:p w14:paraId="65A0B8A1" w14:textId="77777777" w:rsidR="00B64E78" w:rsidRDefault="00DA46A9" w:rsidP="00317643">
      <w:pPr>
        <w:widowControl w:val="0"/>
        <w:tabs>
          <w:tab w:val="clear" w:pos="567"/>
        </w:tabs>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50 mg/850 mg plėvele dengtos tabletės</w:t>
      </w:r>
    </w:p>
    <w:p w14:paraId="61D7DE04" w14:textId="77777777" w:rsidR="00B64E78" w:rsidRDefault="00DA46A9" w:rsidP="00317643">
      <w:pPr>
        <w:widowControl w:val="0"/>
        <w:tabs>
          <w:tab w:val="clear" w:pos="567"/>
        </w:tabs>
        <w:spacing w:line="240" w:lineRule="auto"/>
        <w:rPr>
          <w:snapToGrid/>
          <w:szCs w:val="22"/>
          <w:lang w:val="lt-LT"/>
        </w:rPr>
      </w:pPr>
      <w:proofErr w:type="spellStart"/>
      <w:r>
        <w:rPr>
          <w:snapToGrid/>
          <w:szCs w:val="22"/>
          <w:highlight w:val="lightGray"/>
          <w:lang w:val="lt-LT"/>
        </w:rPr>
        <w:t>Maymetsi</w:t>
      </w:r>
      <w:proofErr w:type="spellEnd"/>
      <w:r>
        <w:rPr>
          <w:snapToGrid/>
          <w:szCs w:val="22"/>
          <w:highlight w:val="lightGray"/>
          <w:lang w:val="lt-LT"/>
        </w:rPr>
        <w:t xml:space="preserve"> 50 mg/1000 mg plėvele dengtos tabletės</w:t>
      </w:r>
    </w:p>
    <w:p w14:paraId="316D1E04" w14:textId="77777777" w:rsidR="00B64E78" w:rsidRDefault="00B64E78" w:rsidP="00317643">
      <w:pPr>
        <w:widowControl w:val="0"/>
        <w:tabs>
          <w:tab w:val="clear" w:pos="567"/>
        </w:tabs>
        <w:spacing w:line="240" w:lineRule="auto"/>
        <w:rPr>
          <w:snapToGrid/>
          <w:szCs w:val="22"/>
          <w:lang w:val="lt-LT"/>
        </w:rPr>
      </w:pPr>
    </w:p>
    <w:p w14:paraId="42253BC5" w14:textId="77777777" w:rsidR="00B64E78" w:rsidRDefault="00DA46A9" w:rsidP="00317643">
      <w:pPr>
        <w:widowControl w:val="0"/>
        <w:tabs>
          <w:tab w:val="clear" w:pos="567"/>
        </w:tabs>
        <w:spacing w:line="240" w:lineRule="auto"/>
        <w:ind w:left="567" w:hanging="567"/>
        <w:rPr>
          <w:snapToGrid/>
          <w:szCs w:val="22"/>
          <w:lang w:val="lt-LT"/>
        </w:rPr>
      </w:pPr>
      <w:proofErr w:type="spellStart"/>
      <w:r>
        <w:rPr>
          <w:snapToGrid/>
          <w:szCs w:val="22"/>
          <w:lang w:val="lt-LT"/>
        </w:rPr>
        <w:t>sitagliptinas</w:t>
      </w:r>
      <w:proofErr w:type="spellEnd"/>
      <w:r>
        <w:rPr>
          <w:snapToGrid/>
          <w:szCs w:val="22"/>
          <w:lang w:val="lt-LT"/>
        </w:rPr>
        <w:t>/</w:t>
      </w:r>
      <w:proofErr w:type="spellStart"/>
      <w:r>
        <w:rPr>
          <w:snapToGrid/>
          <w:szCs w:val="22"/>
          <w:lang w:val="lt-LT"/>
        </w:rPr>
        <w:t>metformino</w:t>
      </w:r>
      <w:proofErr w:type="spellEnd"/>
      <w:r>
        <w:rPr>
          <w:snapToGrid/>
          <w:szCs w:val="22"/>
          <w:lang w:val="lt-LT"/>
        </w:rPr>
        <w:t xml:space="preserve"> hidrochloridas</w:t>
      </w:r>
    </w:p>
    <w:p w14:paraId="2972D6E0" w14:textId="77777777" w:rsidR="00B64E78" w:rsidRDefault="00B64E78" w:rsidP="00317643">
      <w:pPr>
        <w:widowControl w:val="0"/>
        <w:tabs>
          <w:tab w:val="clear" w:pos="567"/>
        </w:tabs>
        <w:spacing w:line="240" w:lineRule="auto"/>
        <w:rPr>
          <w:snapToGrid/>
          <w:szCs w:val="22"/>
          <w:lang w:val="lt-LT"/>
        </w:rPr>
      </w:pPr>
    </w:p>
    <w:p w14:paraId="35AA0ED7" w14:textId="77777777" w:rsidR="00B64E78" w:rsidRDefault="00B64E78" w:rsidP="00317643">
      <w:pPr>
        <w:widowControl w:val="0"/>
        <w:tabs>
          <w:tab w:val="clear" w:pos="567"/>
        </w:tabs>
        <w:spacing w:line="240" w:lineRule="auto"/>
        <w:rPr>
          <w:snapToGrid/>
          <w:szCs w:val="22"/>
          <w:lang w:val="lt-LT"/>
        </w:rPr>
      </w:pPr>
    </w:p>
    <w:p w14:paraId="5808222D"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2.</w:t>
      </w:r>
      <w:r>
        <w:rPr>
          <w:b/>
          <w:snapToGrid/>
          <w:szCs w:val="22"/>
          <w:lang w:val="lt-LT"/>
        </w:rPr>
        <w:tab/>
        <w:t>VEIKLIOJI (</w:t>
      </w:r>
      <w:r>
        <w:rPr>
          <w:b/>
          <w:snapToGrid/>
          <w:szCs w:val="22"/>
          <w:lang w:val="lt-LT"/>
        </w:rPr>
        <w:noBreakHyphen/>
        <w:t>IOS) MEDŽIAGA (</w:t>
      </w:r>
      <w:r>
        <w:rPr>
          <w:b/>
          <w:snapToGrid/>
          <w:szCs w:val="22"/>
          <w:lang w:val="lt-LT"/>
        </w:rPr>
        <w:noBreakHyphen/>
        <w:t>OS) IR JOS (</w:t>
      </w:r>
      <w:r>
        <w:rPr>
          <w:b/>
          <w:snapToGrid/>
          <w:szCs w:val="22"/>
          <w:lang w:val="lt-LT"/>
        </w:rPr>
        <w:noBreakHyphen/>
        <w:t>Ų) KIEKIS (</w:t>
      </w:r>
      <w:r>
        <w:rPr>
          <w:b/>
          <w:snapToGrid/>
          <w:szCs w:val="22"/>
          <w:lang w:val="lt-LT"/>
        </w:rPr>
        <w:noBreakHyphen/>
        <w:t>IAI)</w:t>
      </w:r>
    </w:p>
    <w:p w14:paraId="4B13EA8B" w14:textId="77777777" w:rsidR="00B64E78" w:rsidRDefault="00B64E78" w:rsidP="00317643">
      <w:pPr>
        <w:widowControl w:val="0"/>
        <w:tabs>
          <w:tab w:val="clear" w:pos="567"/>
        </w:tabs>
        <w:spacing w:line="240" w:lineRule="auto"/>
        <w:rPr>
          <w:snapToGrid/>
          <w:szCs w:val="22"/>
          <w:lang w:val="lt-LT"/>
        </w:rPr>
      </w:pPr>
    </w:p>
    <w:p w14:paraId="5619BA4D" w14:textId="77777777" w:rsidR="00B64E78" w:rsidRDefault="00DA46A9" w:rsidP="00317643">
      <w:pPr>
        <w:widowControl w:val="0"/>
        <w:tabs>
          <w:tab w:val="clear" w:pos="567"/>
        </w:tabs>
        <w:spacing w:line="240" w:lineRule="auto"/>
        <w:rPr>
          <w:snapToGrid/>
          <w:szCs w:val="22"/>
          <w:u w:val="single"/>
          <w:lang w:val="lt-LT"/>
        </w:rPr>
      </w:pPr>
      <w:proofErr w:type="spellStart"/>
      <w:r>
        <w:rPr>
          <w:snapToGrid/>
          <w:szCs w:val="22"/>
          <w:u w:val="single"/>
          <w:lang w:val="lt-LT"/>
        </w:rPr>
        <w:t>Maymetsi</w:t>
      </w:r>
      <w:proofErr w:type="spellEnd"/>
      <w:r>
        <w:rPr>
          <w:snapToGrid/>
          <w:szCs w:val="22"/>
          <w:u w:val="single"/>
          <w:lang w:val="lt-LT"/>
        </w:rPr>
        <w:t xml:space="preserve"> 50 mg/850 mg plėvele dengtos tabletės</w:t>
      </w:r>
    </w:p>
    <w:p w14:paraId="340CF3B7"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850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6FEE81DA" w14:textId="77777777" w:rsidR="00B64E78" w:rsidRDefault="00DA46A9" w:rsidP="00317643">
      <w:pPr>
        <w:widowControl w:val="0"/>
        <w:tabs>
          <w:tab w:val="clear" w:pos="567"/>
        </w:tabs>
        <w:spacing w:line="240" w:lineRule="auto"/>
        <w:rPr>
          <w:snapToGrid/>
          <w:szCs w:val="22"/>
          <w:highlight w:val="lightGray"/>
          <w:u w:val="single"/>
          <w:lang w:val="lt-LT"/>
        </w:rPr>
      </w:pPr>
      <w:proofErr w:type="spellStart"/>
      <w:r>
        <w:rPr>
          <w:snapToGrid/>
          <w:szCs w:val="22"/>
          <w:highlight w:val="lightGray"/>
          <w:u w:val="single"/>
          <w:lang w:val="lt-LT"/>
        </w:rPr>
        <w:t>Maymetsi</w:t>
      </w:r>
      <w:proofErr w:type="spellEnd"/>
      <w:r>
        <w:rPr>
          <w:snapToGrid/>
          <w:szCs w:val="22"/>
          <w:highlight w:val="lightGray"/>
          <w:u w:val="single"/>
          <w:lang w:val="lt-LT"/>
        </w:rPr>
        <w:t xml:space="preserve"> 50 mg/1000 mg plėvele dengtos tabletės</w:t>
      </w:r>
    </w:p>
    <w:p w14:paraId="2BF88840" w14:textId="77777777" w:rsidR="00B64E78" w:rsidRDefault="00DA46A9" w:rsidP="00317643">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 xml:space="preserve">Kiekvienoje plėvele dengtoje tabletėje yra 50 mg </w:t>
      </w:r>
      <w:proofErr w:type="spellStart"/>
      <w:r>
        <w:rPr>
          <w:rFonts w:eastAsia="TimesNewRoman"/>
          <w:snapToGrid/>
          <w:szCs w:val="22"/>
          <w:highlight w:val="lightGray"/>
          <w:lang w:val="lt-LT"/>
        </w:rPr>
        <w:t>sitagliptino</w:t>
      </w:r>
      <w:proofErr w:type="spellEnd"/>
      <w:r>
        <w:rPr>
          <w:rFonts w:eastAsia="TimesNewRoman"/>
          <w:snapToGrid/>
          <w:szCs w:val="22"/>
          <w:highlight w:val="lightGray"/>
          <w:lang w:val="lt-LT"/>
        </w:rPr>
        <w:t xml:space="preserve"> ir 1000 mg </w:t>
      </w:r>
      <w:proofErr w:type="spellStart"/>
      <w:r>
        <w:rPr>
          <w:highlight w:val="lightGray"/>
          <w:lang w:val="lt-LT"/>
        </w:rPr>
        <w:t>metformino</w:t>
      </w:r>
      <w:proofErr w:type="spellEnd"/>
      <w:r>
        <w:rPr>
          <w:highlight w:val="lightGray"/>
          <w:lang w:val="lt-LT"/>
        </w:rPr>
        <w:t xml:space="preserve"> hidrochlorido</w:t>
      </w:r>
      <w:r>
        <w:rPr>
          <w:rFonts w:eastAsia="TimesNewRoman"/>
          <w:snapToGrid/>
          <w:szCs w:val="22"/>
          <w:highlight w:val="lightGray"/>
          <w:lang w:val="lt-LT"/>
        </w:rPr>
        <w:t>.</w:t>
      </w:r>
    </w:p>
    <w:p w14:paraId="788FC30F" w14:textId="77777777" w:rsidR="00B64E78" w:rsidRDefault="00B64E78" w:rsidP="00317643">
      <w:pPr>
        <w:widowControl w:val="0"/>
        <w:tabs>
          <w:tab w:val="clear" w:pos="567"/>
        </w:tabs>
        <w:autoSpaceDE w:val="0"/>
        <w:autoSpaceDN w:val="0"/>
        <w:adjustRightInd w:val="0"/>
        <w:spacing w:line="240" w:lineRule="auto"/>
        <w:rPr>
          <w:rFonts w:eastAsia="TimesNewRoman"/>
          <w:snapToGrid/>
          <w:szCs w:val="22"/>
          <w:lang w:val="lt-LT"/>
        </w:rPr>
      </w:pPr>
    </w:p>
    <w:p w14:paraId="3E3AFF0D" w14:textId="77777777" w:rsidR="00B64E78" w:rsidRDefault="00B64E78" w:rsidP="00317643">
      <w:pPr>
        <w:widowControl w:val="0"/>
        <w:tabs>
          <w:tab w:val="clear" w:pos="567"/>
        </w:tabs>
        <w:spacing w:line="240" w:lineRule="auto"/>
        <w:rPr>
          <w:snapToGrid/>
          <w:szCs w:val="22"/>
          <w:lang w:val="lt-LT"/>
        </w:rPr>
      </w:pPr>
    </w:p>
    <w:p w14:paraId="78575F13"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3.</w:t>
      </w:r>
      <w:r>
        <w:rPr>
          <w:b/>
          <w:snapToGrid/>
          <w:szCs w:val="22"/>
          <w:lang w:val="lt-LT"/>
        </w:rPr>
        <w:tab/>
        <w:t>PAGALBINIŲ MEDŽIAGŲ SĄRAŠAS</w:t>
      </w:r>
    </w:p>
    <w:p w14:paraId="4AE75570" w14:textId="77777777" w:rsidR="00B64E78" w:rsidRDefault="00B64E78" w:rsidP="00317643">
      <w:pPr>
        <w:widowControl w:val="0"/>
        <w:tabs>
          <w:tab w:val="clear" w:pos="567"/>
        </w:tabs>
        <w:spacing w:line="240" w:lineRule="auto"/>
        <w:rPr>
          <w:snapToGrid/>
          <w:szCs w:val="22"/>
          <w:lang w:val="lt-LT"/>
        </w:rPr>
      </w:pPr>
    </w:p>
    <w:p w14:paraId="27C57524" w14:textId="77777777" w:rsidR="00B64E78" w:rsidRDefault="00B64E78" w:rsidP="00317643">
      <w:pPr>
        <w:widowControl w:val="0"/>
        <w:tabs>
          <w:tab w:val="clear" w:pos="567"/>
        </w:tabs>
        <w:spacing w:line="240" w:lineRule="auto"/>
        <w:rPr>
          <w:snapToGrid/>
          <w:szCs w:val="22"/>
          <w:lang w:val="lt-LT"/>
        </w:rPr>
      </w:pPr>
    </w:p>
    <w:p w14:paraId="5D2BBC8B"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4.</w:t>
      </w:r>
      <w:r>
        <w:rPr>
          <w:b/>
          <w:snapToGrid/>
          <w:szCs w:val="22"/>
          <w:lang w:val="lt-LT"/>
        </w:rPr>
        <w:tab/>
        <w:t>FARMACINĖ FORMA IR KIEKIS PAKUOTĖJE</w:t>
      </w:r>
    </w:p>
    <w:p w14:paraId="71ED11DC" w14:textId="77777777" w:rsidR="00B64E78" w:rsidRDefault="00B64E78" w:rsidP="00317643">
      <w:pPr>
        <w:widowControl w:val="0"/>
        <w:tabs>
          <w:tab w:val="clear" w:pos="567"/>
        </w:tabs>
        <w:spacing w:line="240" w:lineRule="auto"/>
        <w:rPr>
          <w:snapToGrid/>
          <w:szCs w:val="22"/>
          <w:lang w:val="lt-LT"/>
        </w:rPr>
      </w:pPr>
    </w:p>
    <w:p w14:paraId="2ED31E4F" w14:textId="77777777" w:rsidR="00B64E78" w:rsidRDefault="00DA46A9" w:rsidP="00317643">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plėvele dengta tabletė (tabletė)</w:t>
      </w:r>
    </w:p>
    <w:p w14:paraId="743E7A10" w14:textId="77777777" w:rsidR="00B64E78" w:rsidRDefault="00B64E78" w:rsidP="00317643">
      <w:pPr>
        <w:widowControl w:val="0"/>
        <w:tabs>
          <w:tab w:val="clear" w:pos="567"/>
        </w:tabs>
        <w:spacing w:line="240" w:lineRule="auto"/>
        <w:rPr>
          <w:rFonts w:eastAsia="TimesNewRoman"/>
          <w:snapToGrid/>
          <w:szCs w:val="22"/>
          <w:highlight w:val="lightGray"/>
          <w:lang w:val="lt-LT"/>
        </w:rPr>
      </w:pPr>
    </w:p>
    <w:p w14:paraId="1BDDAEF3" w14:textId="77777777" w:rsidR="00B64E78" w:rsidRDefault="00DA46A9" w:rsidP="00317643">
      <w:pPr>
        <w:widowControl w:val="0"/>
        <w:tabs>
          <w:tab w:val="clear" w:pos="567"/>
        </w:tabs>
        <w:spacing w:line="240" w:lineRule="auto"/>
        <w:rPr>
          <w:snapToGrid/>
          <w:szCs w:val="22"/>
          <w:lang w:val="lt-LT"/>
        </w:rPr>
      </w:pPr>
      <w:r>
        <w:rPr>
          <w:snapToGrid/>
          <w:szCs w:val="22"/>
          <w:lang w:val="lt-LT"/>
        </w:rPr>
        <w:t>10 plėvele dengtų tablečių</w:t>
      </w:r>
    </w:p>
    <w:p w14:paraId="228D72ED"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14 plėvele dengtų tablečių</w:t>
      </w:r>
    </w:p>
    <w:p w14:paraId="277EAEFD"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28 plėvele dengtos tabletės</w:t>
      </w:r>
    </w:p>
    <w:p w14:paraId="420BDEED"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30 plėvele dengtų tablečių</w:t>
      </w:r>
    </w:p>
    <w:p w14:paraId="5C73FAB8"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56 plėvele dengtos tabletės</w:t>
      </w:r>
    </w:p>
    <w:p w14:paraId="68664FC4"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60 plėvele dengtų tablečių</w:t>
      </w:r>
    </w:p>
    <w:p w14:paraId="380EF3C3"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90 plėvele dengtų tablečių</w:t>
      </w:r>
    </w:p>
    <w:p w14:paraId="30AA4659"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196 plėvele dengtos tabletės</w:t>
      </w:r>
    </w:p>
    <w:p w14:paraId="0F599B41" w14:textId="77777777" w:rsidR="00B64E78" w:rsidRDefault="00DA46A9" w:rsidP="00317643">
      <w:pPr>
        <w:widowControl w:val="0"/>
        <w:tabs>
          <w:tab w:val="clear" w:pos="567"/>
        </w:tabs>
        <w:spacing w:line="240" w:lineRule="auto"/>
        <w:rPr>
          <w:snapToGrid/>
          <w:lang w:val="lt-LT" w:eastAsia="sl-SI"/>
        </w:rPr>
      </w:pPr>
      <w:r>
        <w:rPr>
          <w:snapToGrid/>
          <w:szCs w:val="22"/>
          <w:highlight w:val="lightGray"/>
          <w:lang w:val="lt-LT"/>
        </w:rPr>
        <w:t>200 plėvele dengtų tablečių</w:t>
      </w:r>
    </w:p>
    <w:p w14:paraId="7BA5B4B2" w14:textId="77777777" w:rsidR="00B64E78" w:rsidRPr="00317643" w:rsidRDefault="00B64E78" w:rsidP="00317643">
      <w:pPr>
        <w:widowControl w:val="0"/>
        <w:tabs>
          <w:tab w:val="clear" w:pos="567"/>
        </w:tabs>
        <w:spacing w:line="240" w:lineRule="auto"/>
        <w:rPr>
          <w:snapToGrid/>
          <w:sz w:val="16"/>
          <w:szCs w:val="16"/>
          <w:lang w:val="lt-LT"/>
        </w:rPr>
      </w:pPr>
    </w:p>
    <w:p w14:paraId="1F1217B0" w14:textId="77777777" w:rsidR="00B64E78" w:rsidRDefault="00B64E78" w:rsidP="00317643">
      <w:pPr>
        <w:widowControl w:val="0"/>
        <w:tabs>
          <w:tab w:val="clear" w:pos="567"/>
        </w:tabs>
        <w:spacing w:line="240" w:lineRule="auto"/>
        <w:rPr>
          <w:snapToGrid/>
          <w:szCs w:val="22"/>
          <w:lang w:val="lt-LT"/>
        </w:rPr>
      </w:pPr>
    </w:p>
    <w:p w14:paraId="14237AB4"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5.</w:t>
      </w:r>
      <w:r>
        <w:rPr>
          <w:b/>
          <w:snapToGrid/>
          <w:szCs w:val="22"/>
          <w:lang w:val="lt-LT"/>
        </w:rPr>
        <w:tab/>
        <w:t>VARTOJIMO METODAS IR BŪDAS (</w:t>
      </w:r>
      <w:r>
        <w:rPr>
          <w:b/>
          <w:snapToGrid/>
          <w:szCs w:val="22"/>
          <w:lang w:val="lt-LT"/>
        </w:rPr>
        <w:noBreakHyphen/>
        <w:t>AI)</w:t>
      </w:r>
    </w:p>
    <w:p w14:paraId="302714F9" w14:textId="77777777" w:rsidR="00B64E78" w:rsidRDefault="00B64E78" w:rsidP="00317643">
      <w:pPr>
        <w:widowControl w:val="0"/>
        <w:tabs>
          <w:tab w:val="clear" w:pos="567"/>
        </w:tabs>
        <w:spacing w:line="240" w:lineRule="auto"/>
        <w:rPr>
          <w:i/>
          <w:snapToGrid/>
          <w:szCs w:val="22"/>
          <w:lang w:val="lt-LT"/>
        </w:rPr>
      </w:pPr>
    </w:p>
    <w:p w14:paraId="665C562B" w14:textId="77777777" w:rsidR="00B64E78" w:rsidRDefault="00DA46A9" w:rsidP="00317643">
      <w:pPr>
        <w:widowControl w:val="0"/>
        <w:tabs>
          <w:tab w:val="clear" w:pos="567"/>
        </w:tabs>
        <w:spacing w:line="240" w:lineRule="auto"/>
        <w:rPr>
          <w:snapToGrid/>
          <w:szCs w:val="22"/>
          <w:lang w:val="lt-LT"/>
        </w:rPr>
      </w:pPr>
      <w:r>
        <w:rPr>
          <w:snapToGrid/>
          <w:szCs w:val="22"/>
          <w:lang w:val="lt-LT"/>
        </w:rPr>
        <w:t>Prieš vartojimą perskaitykite pakuotės lapelį.</w:t>
      </w:r>
    </w:p>
    <w:p w14:paraId="7F6294EC" w14:textId="77777777" w:rsidR="00B64E78" w:rsidRDefault="00DA46A9" w:rsidP="00317643">
      <w:pPr>
        <w:widowControl w:val="0"/>
        <w:tabs>
          <w:tab w:val="clear" w:pos="567"/>
        </w:tabs>
        <w:spacing w:line="240" w:lineRule="auto"/>
        <w:rPr>
          <w:snapToGrid/>
          <w:szCs w:val="22"/>
          <w:lang w:val="lt-LT"/>
        </w:rPr>
      </w:pPr>
      <w:r>
        <w:rPr>
          <w:rFonts w:eastAsia="TimesNewRoman"/>
          <w:snapToGrid/>
          <w:szCs w:val="22"/>
          <w:lang w:val="lt-LT"/>
        </w:rPr>
        <w:t>Vartoti per burną.</w:t>
      </w:r>
    </w:p>
    <w:p w14:paraId="03F811C2" w14:textId="77777777" w:rsidR="00B64E78" w:rsidRPr="00317643" w:rsidRDefault="00B64E78" w:rsidP="00317643">
      <w:pPr>
        <w:widowControl w:val="0"/>
        <w:tabs>
          <w:tab w:val="clear" w:pos="567"/>
        </w:tabs>
        <w:spacing w:line="240" w:lineRule="auto"/>
        <w:rPr>
          <w:snapToGrid/>
          <w:sz w:val="16"/>
          <w:szCs w:val="16"/>
          <w:lang w:val="lt-LT"/>
        </w:rPr>
      </w:pPr>
    </w:p>
    <w:p w14:paraId="5ECDE1DE" w14:textId="77777777" w:rsidR="00B64E78" w:rsidRDefault="00B64E78" w:rsidP="00317643">
      <w:pPr>
        <w:widowControl w:val="0"/>
        <w:tabs>
          <w:tab w:val="clear" w:pos="567"/>
        </w:tabs>
        <w:spacing w:line="240" w:lineRule="auto"/>
        <w:rPr>
          <w:snapToGrid/>
          <w:szCs w:val="22"/>
          <w:lang w:val="lt-LT"/>
        </w:rPr>
      </w:pPr>
    </w:p>
    <w:p w14:paraId="1B5EE9CD" w14:textId="77777777" w:rsidR="00B64E78" w:rsidRDefault="00DA46A9" w:rsidP="00317643">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6.</w:t>
      </w:r>
      <w:r>
        <w:rPr>
          <w:b/>
          <w:snapToGrid/>
          <w:szCs w:val="22"/>
          <w:lang w:val="lt-LT"/>
        </w:rPr>
        <w:tab/>
      </w:r>
      <w:r>
        <w:rPr>
          <w:b/>
          <w:bCs/>
          <w:snapToGrid/>
          <w:szCs w:val="22"/>
          <w:lang w:val="lt-LT"/>
        </w:rPr>
        <w:t>SPECIALUS ĮSPĖJIMAS, KAD VAISTINĮ PREPARATĄ BŪTINA LAIKYTI VAIKAMS NEPASTEBIMOJE IR NEPASIEKIAMOJE VIETOJE</w:t>
      </w:r>
    </w:p>
    <w:p w14:paraId="233C2362" w14:textId="77777777" w:rsidR="00B64E78" w:rsidRPr="00317643" w:rsidRDefault="00B64E78" w:rsidP="00317643">
      <w:pPr>
        <w:widowControl w:val="0"/>
        <w:tabs>
          <w:tab w:val="clear" w:pos="567"/>
        </w:tabs>
        <w:spacing w:line="240" w:lineRule="auto"/>
        <w:rPr>
          <w:snapToGrid/>
          <w:sz w:val="16"/>
          <w:szCs w:val="16"/>
          <w:lang w:val="lt-LT"/>
        </w:rPr>
      </w:pPr>
    </w:p>
    <w:p w14:paraId="55262C22" w14:textId="77777777" w:rsidR="00B64E78" w:rsidRDefault="00DA46A9" w:rsidP="00317643">
      <w:pPr>
        <w:widowControl w:val="0"/>
        <w:tabs>
          <w:tab w:val="clear" w:pos="567"/>
        </w:tabs>
        <w:spacing w:line="240" w:lineRule="auto"/>
        <w:rPr>
          <w:iCs/>
          <w:snapToGrid/>
          <w:szCs w:val="22"/>
          <w:lang w:val="lt-LT"/>
        </w:rPr>
      </w:pPr>
      <w:r>
        <w:rPr>
          <w:iCs/>
          <w:snapToGrid/>
          <w:szCs w:val="22"/>
          <w:lang w:val="lt-LT"/>
        </w:rPr>
        <w:t>Laikyti vaikams nepastebimoje ir nepasiekiamoje vietoje.</w:t>
      </w:r>
    </w:p>
    <w:p w14:paraId="347803C5" w14:textId="77777777" w:rsidR="00B64E78" w:rsidRPr="00317643" w:rsidRDefault="00B64E78" w:rsidP="00317643">
      <w:pPr>
        <w:widowControl w:val="0"/>
        <w:tabs>
          <w:tab w:val="clear" w:pos="567"/>
        </w:tabs>
        <w:spacing w:line="240" w:lineRule="auto"/>
        <w:rPr>
          <w:snapToGrid/>
          <w:sz w:val="16"/>
          <w:szCs w:val="16"/>
          <w:lang w:val="lt-LT"/>
        </w:rPr>
      </w:pPr>
    </w:p>
    <w:p w14:paraId="7B357A39" w14:textId="77777777" w:rsidR="00B64E78" w:rsidRDefault="00B64E78" w:rsidP="00317643">
      <w:pPr>
        <w:widowControl w:val="0"/>
        <w:tabs>
          <w:tab w:val="clear" w:pos="567"/>
        </w:tabs>
        <w:spacing w:line="240" w:lineRule="auto"/>
        <w:rPr>
          <w:snapToGrid/>
          <w:szCs w:val="22"/>
          <w:lang w:val="lt-LT"/>
        </w:rPr>
      </w:pPr>
    </w:p>
    <w:p w14:paraId="4D9EDEDB"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7.</w:t>
      </w:r>
      <w:r>
        <w:rPr>
          <w:b/>
          <w:snapToGrid/>
          <w:szCs w:val="22"/>
          <w:lang w:val="lt-LT"/>
        </w:rPr>
        <w:tab/>
      </w:r>
      <w:r>
        <w:rPr>
          <w:b/>
          <w:bCs/>
          <w:snapToGrid/>
          <w:szCs w:val="22"/>
          <w:lang w:val="lt-LT"/>
        </w:rPr>
        <w:t>KITAS (</w:t>
      </w:r>
      <w:r>
        <w:rPr>
          <w:b/>
          <w:bCs/>
          <w:snapToGrid/>
          <w:szCs w:val="22"/>
          <w:lang w:val="lt-LT"/>
        </w:rPr>
        <w:noBreakHyphen/>
        <w:t>I) SPECIALUS (</w:t>
      </w:r>
      <w:r>
        <w:rPr>
          <w:b/>
          <w:bCs/>
          <w:snapToGrid/>
          <w:szCs w:val="22"/>
          <w:lang w:val="lt-LT"/>
        </w:rPr>
        <w:noBreakHyphen/>
        <w:t>ŪS) ĮSPĖJIMAS (</w:t>
      </w:r>
      <w:r>
        <w:rPr>
          <w:b/>
          <w:bCs/>
          <w:snapToGrid/>
          <w:szCs w:val="22"/>
          <w:lang w:val="lt-LT"/>
        </w:rPr>
        <w:noBreakHyphen/>
        <w:t>AI) (JEI REIKIA)</w:t>
      </w:r>
    </w:p>
    <w:p w14:paraId="62D86507" w14:textId="77777777" w:rsidR="00B64E78" w:rsidRPr="00317643" w:rsidRDefault="00B64E78" w:rsidP="00317643">
      <w:pPr>
        <w:widowControl w:val="0"/>
        <w:tabs>
          <w:tab w:val="clear" w:pos="567"/>
        </w:tabs>
        <w:spacing w:line="240" w:lineRule="auto"/>
        <w:rPr>
          <w:snapToGrid/>
          <w:sz w:val="16"/>
          <w:szCs w:val="16"/>
          <w:lang w:val="lt-LT"/>
        </w:rPr>
      </w:pPr>
    </w:p>
    <w:p w14:paraId="22A8A5D8" w14:textId="77777777" w:rsidR="00B64E78" w:rsidRDefault="00B64E78" w:rsidP="00317643">
      <w:pPr>
        <w:widowControl w:val="0"/>
        <w:tabs>
          <w:tab w:val="clear" w:pos="567"/>
        </w:tabs>
        <w:spacing w:line="240" w:lineRule="auto"/>
        <w:rPr>
          <w:snapToGrid/>
          <w:szCs w:val="22"/>
          <w:lang w:val="lt-LT"/>
        </w:rPr>
      </w:pPr>
    </w:p>
    <w:p w14:paraId="3AEF2350"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8.</w:t>
      </w:r>
      <w:r>
        <w:rPr>
          <w:b/>
          <w:snapToGrid/>
          <w:szCs w:val="22"/>
          <w:lang w:val="lt-LT"/>
        </w:rPr>
        <w:tab/>
      </w:r>
      <w:r>
        <w:rPr>
          <w:b/>
          <w:bCs/>
          <w:snapToGrid/>
          <w:szCs w:val="22"/>
          <w:lang w:val="lt-LT"/>
        </w:rPr>
        <w:t>TINKAMUMO LAIKAS</w:t>
      </w:r>
    </w:p>
    <w:p w14:paraId="032A97B9" w14:textId="77777777" w:rsidR="00B64E78" w:rsidRPr="00317643" w:rsidRDefault="00B64E78" w:rsidP="00317643">
      <w:pPr>
        <w:widowControl w:val="0"/>
        <w:tabs>
          <w:tab w:val="clear" w:pos="567"/>
        </w:tabs>
        <w:spacing w:line="240" w:lineRule="auto"/>
        <w:rPr>
          <w:iCs/>
          <w:snapToGrid/>
          <w:sz w:val="16"/>
          <w:szCs w:val="16"/>
          <w:lang w:val="lt-LT"/>
        </w:rPr>
      </w:pPr>
    </w:p>
    <w:p w14:paraId="140B37A7" w14:textId="77777777" w:rsidR="00B64E78" w:rsidRDefault="00DA46A9" w:rsidP="00317643">
      <w:pPr>
        <w:widowControl w:val="0"/>
        <w:tabs>
          <w:tab w:val="clear" w:pos="567"/>
        </w:tabs>
        <w:spacing w:line="240" w:lineRule="auto"/>
        <w:rPr>
          <w:snapToGrid/>
          <w:szCs w:val="22"/>
          <w:lang w:val="lt-LT"/>
        </w:rPr>
      </w:pPr>
      <w:r>
        <w:rPr>
          <w:snapToGrid/>
          <w:szCs w:val="22"/>
          <w:lang w:val="lt-LT"/>
        </w:rPr>
        <w:t>EXP</w:t>
      </w:r>
    </w:p>
    <w:p w14:paraId="0D62B1ED" w14:textId="77777777" w:rsidR="00B64E78" w:rsidRDefault="00B64E78" w:rsidP="00317643">
      <w:pPr>
        <w:widowControl w:val="0"/>
        <w:tabs>
          <w:tab w:val="clear" w:pos="567"/>
        </w:tabs>
        <w:spacing w:line="240" w:lineRule="auto"/>
        <w:rPr>
          <w:snapToGrid/>
          <w:szCs w:val="22"/>
          <w:lang w:val="lt-LT"/>
        </w:rPr>
      </w:pPr>
    </w:p>
    <w:p w14:paraId="1E509AAE" w14:textId="77777777" w:rsidR="00B64E78" w:rsidRDefault="00B64E78" w:rsidP="00317643">
      <w:pPr>
        <w:widowControl w:val="0"/>
        <w:tabs>
          <w:tab w:val="clear" w:pos="567"/>
        </w:tabs>
        <w:spacing w:line="240" w:lineRule="auto"/>
        <w:rPr>
          <w:snapToGrid/>
          <w:szCs w:val="22"/>
          <w:lang w:val="lt-LT"/>
        </w:rPr>
      </w:pPr>
    </w:p>
    <w:p w14:paraId="154AC6ED"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9.</w:t>
      </w:r>
      <w:r>
        <w:rPr>
          <w:b/>
          <w:snapToGrid/>
          <w:szCs w:val="22"/>
          <w:lang w:val="lt-LT"/>
        </w:rPr>
        <w:tab/>
        <w:t>SPECIALIOS LAIKYMO SĄLYGOS</w:t>
      </w:r>
    </w:p>
    <w:p w14:paraId="70BE3109" w14:textId="77777777" w:rsidR="00B64E78" w:rsidRDefault="00B64E78" w:rsidP="00317643">
      <w:pPr>
        <w:widowControl w:val="0"/>
        <w:tabs>
          <w:tab w:val="clear" w:pos="567"/>
        </w:tabs>
        <w:spacing w:line="240" w:lineRule="auto"/>
        <w:rPr>
          <w:i/>
          <w:snapToGrid/>
          <w:szCs w:val="22"/>
          <w:lang w:val="lt-LT"/>
        </w:rPr>
      </w:pPr>
    </w:p>
    <w:p w14:paraId="4B6C1649" w14:textId="77777777" w:rsidR="00B64E78" w:rsidRDefault="00DA46A9" w:rsidP="00317643">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0C9FDDA4" w14:textId="77777777" w:rsidR="00B64E78" w:rsidRDefault="00DA46A9" w:rsidP="00317643">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6C069E5D" w14:textId="77777777" w:rsidR="00B64E78" w:rsidRDefault="00DA46A9" w:rsidP="00317643">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54F6420E" w14:textId="77777777" w:rsidR="00B64E78" w:rsidRDefault="00DA46A9" w:rsidP="00317643">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14:paraId="0650FF10" w14:textId="77777777" w:rsidR="00B64E78" w:rsidRDefault="00B64E78" w:rsidP="00317643">
      <w:pPr>
        <w:widowControl w:val="0"/>
        <w:tabs>
          <w:tab w:val="clear" w:pos="567"/>
        </w:tabs>
        <w:spacing w:line="240" w:lineRule="auto"/>
        <w:ind w:left="567" w:hanging="567"/>
        <w:rPr>
          <w:i/>
          <w:iCs/>
          <w:snapToGrid/>
          <w:szCs w:val="22"/>
          <w:lang w:val="lt-LT"/>
        </w:rPr>
      </w:pPr>
    </w:p>
    <w:p w14:paraId="6C55B278" w14:textId="77777777" w:rsidR="00B64E78" w:rsidRDefault="00B64E78" w:rsidP="00317643">
      <w:pPr>
        <w:widowControl w:val="0"/>
        <w:tabs>
          <w:tab w:val="clear" w:pos="567"/>
        </w:tabs>
        <w:spacing w:line="240" w:lineRule="auto"/>
        <w:ind w:left="567" w:hanging="567"/>
        <w:rPr>
          <w:snapToGrid/>
          <w:szCs w:val="22"/>
          <w:lang w:val="lt-LT"/>
        </w:rPr>
      </w:pPr>
    </w:p>
    <w:p w14:paraId="2EACA57F"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10.</w:t>
      </w:r>
      <w:r>
        <w:rPr>
          <w:b/>
          <w:snapToGrid/>
          <w:szCs w:val="22"/>
          <w:lang w:val="lt-LT"/>
        </w:rPr>
        <w:tab/>
        <w:t>SPECIALIOS ATSARGUMO PRIEMONĖS DĖL NESUVARTOTO</w:t>
      </w:r>
      <w:r>
        <w:rPr>
          <w:b/>
          <w:bCs/>
          <w:snapToGrid/>
          <w:szCs w:val="22"/>
          <w:lang w:val="lt-LT"/>
        </w:rPr>
        <w:t xml:space="preserve"> VAISTINIO PREPARATO AR JO ATLIEKŲ</w:t>
      </w:r>
      <w:r>
        <w:rPr>
          <w:snapToGrid/>
          <w:szCs w:val="22"/>
          <w:lang w:val="lt-LT"/>
        </w:rPr>
        <w:t xml:space="preserve"> </w:t>
      </w:r>
      <w:r>
        <w:rPr>
          <w:b/>
          <w:bCs/>
          <w:snapToGrid/>
          <w:szCs w:val="22"/>
          <w:lang w:val="lt-LT"/>
        </w:rPr>
        <w:t>TVARKYMO</w:t>
      </w:r>
      <w:r>
        <w:rPr>
          <w:b/>
          <w:snapToGrid/>
          <w:szCs w:val="22"/>
          <w:lang w:val="lt-LT"/>
        </w:rPr>
        <w:t xml:space="preserve"> (JEI REIKIA)</w:t>
      </w:r>
    </w:p>
    <w:p w14:paraId="3055D560" w14:textId="77777777" w:rsidR="00B64E78" w:rsidRDefault="00B64E78" w:rsidP="00317643">
      <w:pPr>
        <w:widowControl w:val="0"/>
        <w:tabs>
          <w:tab w:val="clear" w:pos="567"/>
        </w:tabs>
        <w:spacing w:line="240" w:lineRule="auto"/>
        <w:rPr>
          <w:snapToGrid/>
          <w:szCs w:val="22"/>
          <w:lang w:val="lt-LT"/>
        </w:rPr>
      </w:pPr>
    </w:p>
    <w:p w14:paraId="67E78E5A" w14:textId="77777777" w:rsidR="00B64E78" w:rsidRDefault="00B64E78" w:rsidP="00317643">
      <w:pPr>
        <w:widowControl w:val="0"/>
        <w:tabs>
          <w:tab w:val="clear" w:pos="567"/>
        </w:tabs>
        <w:spacing w:line="240" w:lineRule="auto"/>
        <w:rPr>
          <w:snapToGrid/>
          <w:szCs w:val="22"/>
          <w:lang w:val="lt-LT"/>
        </w:rPr>
      </w:pPr>
    </w:p>
    <w:p w14:paraId="394D01AA"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Pr>
          <w:b/>
          <w:snapToGrid/>
          <w:szCs w:val="22"/>
          <w:lang w:val="lt-LT"/>
        </w:rPr>
        <w:t>11.</w:t>
      </w:r>
      <w:r>
        <w:rPr>
          <w:b/>
          <w:snapToGrid/>
          <w:szCs w:val="22"/>
          <w:lang w:val="lt-LT"/>
        </w:rPr>
        <w:tab/>
      </w:r>
      <w:r>
        <w:rPr>
          <w:b/>
          <w:szCs w:val="22"/>
          <w:lang w:val="lt-LT"/>
        </w:rPr>
        <w:t xml:space="preserve">REGISTRUOTOJO </w:t>
      </w:r>
      <w:r>
        <w:rPr>
          <w:b/>
          <w:snapToGrid/>
          <w:szCs w:val="22"/>
          <w:lang w:val="lt-LT"/>
        </w:rPr>
        <w:t>PAVADINIMAS IR ADRESAS</w:t>
      </w:r>
    </w:p>
    <w:p w14:paraId="5A45B0F8" w14:textId="77777777" w:rsidR="00B64E78" w:rsidRDefault="00B64E78" w:rsidP="00317643">
      <w:pPr>
        <w:widowControl w:val="0"/>
        <w:tabs>
          <w:tab w:val="clear" w:pos="567"/>
        </w:tabs>
        <w:spacing w:line="240" w:lineRule="auto"/>
        <w:rPr>
          <w:snapToGrid/>
          <w:szCs w:val="22"/>
          <w:lang w:val="lt-LT"/>
        </w:rPr>
      </w:pPr>
    </w:p>
    <w:p w14:paraId="3EA30E9C" w14:textId="77777777" w:rsidR="00B64E78" w:rsidRDefault="00DA46A9" w:rsidP="00317643">
      <w:pPr>
        <w:widowControl w:val="0"/>
        <w:tabs>
          <w:tab w:val="clear" w:pos="567"/>
        </w:tabs>
        <w:spacing w:line="240" w:lineRule="auto"/>
        <w:jc w:val="both"/>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 xml:space="preserve">. Novo mesto, </w:t>
      </w:r>
      <w:proofErr w:type="spellStart"/>
      <w:r>
        <w:rPr>
          <w:snapToGrid/>
          <w:szCs w:val="22"/>
          <w:lang w:val="lt-LT"/>
        </w:rPr>
        <w:t>Šmarješka</w:t>
      </w:r>
      <w:proofErr w:type="spellEnd"/>
      <w:r>
        <w:rPr>
          <w:snapToGrid/>
          <w:szCs w:val="22"/>
          <w:lang w:val="lt-LT"/>
        </w:rPr>
        <w:t xml:space="preserve"> </w:t>
      </w:r>
      <w:proofErr w:type="spellStart"/>
      <w:r>
        <w:rPr>
          <w:snapToGrid/>
          <w:szCs w:val="22"/>
          <w:lang w:val="lt-LT"/>
        </w:rPr>
        <w:t>cesta</w:t>
      </w:r>
      <w:proofErr w:type="spellEnd"/>
      <w:r>
        <w:rPr>
          <w:snapToGrid/>
          <w:szCs w:val="22"/>
          <w:lang w:val="lt-LT"/>
        </w:rPr>
        <w:t xml:space="preserve"> 6,8501 Novo mesto, </w:t>
      </w:r>
      <w:proofErr w:type="spellStart"/>
      <w:r>
        <w:rPr>
          <w:snapToGrid/>
          <w:szCs w:val="22"/>
          <w:lang w:val="lt-LT"/>
        </w:rPr>
        <w:t>Slovenia</w:t>
      </w:r>
      <w:proofErr w:type="spellEnd"/>
    </w:p>
    <w:p w14:paraId="10743B76" w14:textId="77777777" w:rsidR="00B64E78" w:rsidRPr="00317643" w:rsidRDefault="00B64E78" w:rsidP="00317643">
      <w:pPr>
        <w:widowControl w:val="0"/>
        <w:tabs>
          <w:tab w:val="clear" w:pos="567"/>
        </w:tabs>
        <w:spacing w:line="240" w:lineRule="auto"/>
        <w:rPr>
          <w:snapToGrid/>
          <w:sz w:val="16"/>
          <w:szCs w:val="16"/>
          <w:lang w:val="lt-LT"/>
        </w:rPr>
      </w:pPr>
    </w:p>
    <w:p w14:paraId="5619C79A" w14:textId="77777777" w:rsidR="00B64E78" w:rsidRDefault="00B64E78" w:rsidP="00317643">
      <w:pPr>
        <w:widowControl w:val="0"/>
        <w:tabs>
          <w:tab w:val="clear" w:pos="567"/>
        </w:tabs>
        <w:spacing w:line="240" w:lineRule="auto"/>
        <w:rPr>
          <w:snapToGrid/>
          <w:szCs w:val="22"/>
          <w:lang w:val="lt-LT"/>
        </w:rPr>
      </w:pPr>
    </w:p>
    <w:p w14:paraId="360B3F74"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12.</w:t>
      </w:r>
      <w:r>
        <w:rPr>
          <w:b/>
          <w:snapToGrid/>
          <w:szCs w:val="22"/>
          <w:lang w:val="lt-LT"/>
        </w:rPr>
        <w:tab/>
      </w:r>
      <w:r>
        <w:rPr>
          <w:b/>
          <w:szCs w:val="22"/>
          <w:lang w:val="lt-LT"/>
        </w:rPr>
        <w:t xml:space="preserve">REGISTRACIJOS PAŽYMĖJIMO </w:t>
      </w:r>
      <w:r>
        <w:rPr>
          <w:b/>
          <w:snapToGrid/>
          <w:szCs w:val="22"/>
          <w:lang w:val="lt-LT"/>
        </w:rPr>
        <w:t>NUMERIS (</w:t>
      </w:r>
      <w:r>
        <w:rPr>
          <w:b/>
          <w:snapToGrid/>
          <w:szCs w:val="22"/>
          <w:lang w:val="lt-LT"/>
        </w:rPr>
        <w:noBreakHyphen/>
        <w:t>IAI)</w:t>
      </w:r>
    </w:p>
    <w:p w14:paraId="688E1D2E" w14:textId="77777777" w:rsidR="00B64E78" w:rsidRPr="00317643" w:rsidRDefault="00B64E78" w:rsidP="00317643">
      <w:pPr>
        <w:widowControl w:val="0"/>
        <w:tabs>
          <w:tab w:val="clear" w:pos="567"/>
        </w:tabs>
        <w:spacing w:line="240" w:lineRule="auto"/>
        <w:rPr>
          <w:snapToGrid/>
          <w:sz w:val="16"/>
          <w:szCs w:val="16"/>
          <w:lang w:val="lt-LT"/>
        </w:rPr>
      </w:pPr>
    </w:p>
    <w:p w14:paraId="2F0257F6" w14:textId="77777777" w:rsidR="00B64E78" w:rsidRPr="00317643" w:rsidRDefault="00DA46A9" w:rsidP="00317643">
      <w:pPr>
        <w:widowControl w:val="0"/>
        <w:tabs>
          <w:tab w:val="clear" w:pos="567"/>
        </w:tabs>
        <w:spacing w:line="240" w:lineRule="auto"/>
        <w:rPr>
          <w:snapToGrid/>
          <w:szCs w:val="22"/>
          <w:highlight w:val="lightGray"/>
          <w:u w:val="single"/>
          <w:lang w:val="lt-LT"/>
        </w:rPr>
      </w:pPr>
      <w:r w:rsidRPr="00317643">
        <w:rPr>
          <w:snapToGrid/>
          <w:szCs w:val="22"/>
          <w:highlight w:val="lightGray"/>
          <w:u w:val="single"/>
          <w:lang w:val="lt-LT"/>
        </w:rPr>
        <w:t>50 mg/850 mg</w:t>
      </w:r>
    </w:p>
    <w:p w14:paraId="07F54193" w14:textId="77777777" w:rsidR="00B64E78" w:rsidRDefault="00DA46A9" w:rsidP="00317643">
      <w:pPr>
        <w:widowControl w:val="0"/>
        <w:tabs>
          <w:tab w:val="clear" w:pos="567"/>
        </w:tabs>
        <w:spacing w:line="240" w:lineRule="auto"/>
        <w:rPr>
          <w:snapToGrid/>
          <w:szCs w:val="22"/>
          <w:lang w:val="lt-LT"/>
        </w:rPr>
      </w:pPr>
      <w:r w:rsidRPr="00317643">
        <w:rPr>
          <w:snapToGrid/>
          <w:szCs w:val="22"/>
          <w:highlight w:val="lightGray"/>
          <w:u w:val="single"/>
          <w:lang w:val="lt-LT"/>
        </w:rPr>
        <w:t>lizdinė plokštelė</w:t>
      </w:r>
    </w:p>
    <w:p w14:paraId="66E169A2" w14:textId="77777777" w:rsidR="00B64E78" w:rsidRDefault="00DA46A9" w:rsidP="00317643">
      <w:pPr>
        <w:widowControl w:val="0"/>
        <w:tabs>
          <w:tab w:val="clear" w:pos="567"/>
        </w:tabs>
        <w:spacing w:line="240" w:lineRule="auto"/>
        <w:rPr>
          <w:snapToGrid/>
          <w:szCs w:val="22"/>
          <w:highlight w:val="lightGray"/>
          <w:lang w:val="lt-LT"/>
        </w:rPr>
      </w:pPr>
      <w:r>
        <w:rPr>
          <w:snapToGrid/>
          <w:szCs w:val="22"/>
          <w:lang w:val="lt-LT"/>
        </w:rPr>
        <w:t xml:space="preserve">LT/1/21/4677/001 </w:t>
      </w:r>
      <w:r>
        <w:rPr>
          <w:snapToGrid/>
          <w:szCs w:val="22"/>
          <w:highlight w:val="lightGray"/>
          <w:lang w:val="lt-LT"/>
        </w:rPr>
        <w:t>– N10</w:t>
      </w:r>
    </w:p>
    <w:p w14:paraId="709E65C2"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LT/1/21/4677/002 – N14</w:t>
      </w:r>
    </w:p>
    <w:p w14:paraId="07B2B1A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LT/1/21/4677/003 – N28</w:t>
      </w:r>
    </w:p>
    <w:p w14:paraId="6D54FB33"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LT/1/21/4677/004 – N30</w:t>
      </w:r>
    </w:p>
    <w:p w14:paraId="7035B694"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LT/1/21/4677/005 – N56</w:t>
      </w:r>
    </w:p>
    <w:p w14:paraId="57AA511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LT/1/21/4677/006 – N60</w:t>
      </w:r>
    </w:p>
    <w:p w14:paraId="3BF4B20C"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LT/1/21/4677/007 – N90</w:t>
      </w:r>
    </w:p>
    <w:p w14:paraId="355F4B08"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LT/1/21/4677/008 – N196</w:t>
      </w:r>
    </w:p>
    <w:p w14:paraId="23CE2F2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LT/1/21/4677/009 – N200</w:t>
      </w:r>
    </w:p>
    <w:p w14:paraId="37F2A176" w14:textId="390109C1" w:rsidR="00B64E78" w:rsidRDefault="00317643" w:rsidP="00317643">
      <w:pPr>
        <w:widowControl w:val="0"/>
        <w:tabs>
          <w:tab w:val="clear" w:pos="567"/>
        </w:tabs>
        <w:spacing w:line="240" w:lineRule="auto"/>
        <w:rPr>
          <w:snapToGrid/>
          <w:szCs w:val="22"/>
          <w:highlight w:val="lightGray"/>
          <w:lang w:val="lt-LT"/>
        </w:rPr>
      </w:pPr>
      <w:r>
        <w:rPr>
          <w:snapToGrid/>
          <w:szCs w:val="22"/>
          <w:highlight w:val="lightGray"/>
          <w:lang w:val="lt-LT"/>
        </w:rPr>
        <w:t>{</w:t>
      </w:r>
      <w:r w:rsidR="00DA46A9">
        <w:rPr>
          <w:snapToGrid/>
          <w:szCs w:val="22"/>
          <w:highlight w:val="lightGray"/>
          <w:lang w:val="lt-LT"/>
        </w:rPr>
        <w:t>kalendorinė pakuotė</w:t>
      </w:r>
      <w:r>
        <w:rPr>
          <w:snapToGrid/>
          <w:szCs w:val="22"/>
          <w:highlight w:val="lightGray"/>
          <w:lang w:val="lt-LT"/>
        </w:rPr>
        <w:t>}</w:t>
      </w:r>
    </w:p>
    <w:p w14:paraId="7229069A"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LT/1/21/4677/010 – N14</w:t>
      </w:r>
    </w:p>
    <w:p w14:paraId="2AEF40E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LT/1/21/4677/011 – N28</w:t>
      </w:r>
    </w:p>
    <w:p w14:paraId="37989FD3"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LT/1/21/4677/012 – N56</w:t>
      </w:r>
    </w:p>
    <w:p w14:paraId="7538424F"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LT/1/21/4677/013 – N196</w:t>
      </w:r>
    </w:p>
    <w:p w14:paraId="12934CB3" w14:textId="77777777" w:rsidR="00317643" w:rsidRDefault="00317643" w:rsidP="00317643">
      <w:pPr>
        <w:widowControl w:val="0"/>
        <w:tabs>
          <w:tab w:val="clear" w:pos="567"/>
        </w:tabs>
        <w:spacing w:line="240" w:lineRule="auto"/>
        <w:rPr>
          <w:snapToGrid/>
          <w:szCs w:val="22"/>
          <w:highlight w:val="lightGray"/>
          <w:lang w:val="lt-LT"/>
        </w:rPr>
      </w:pPr>
    </w:p>
    <w:p w14:paraId="0A54B6AE" w14:textId="77777777" w:rsidR="00B64E78" w:rsidRPr="00317643" w:rsidRDefault="00DA46A9" w:rsidP="00317643">
      <w:pPr>
        <w:widowControl w:val="0"/>
        <w:tabs>
          <w:tab w:val="clear" w:pos="567"/>
        </w:tabs>
        <w:spacing w:line="240" w:lineRule="auto"/>
        <w:rPr>
          <w:snapToGrid/>
          <w:szCs w:val="22"/>
          <w:highlight w:val="lightGray"/>
          <w:u w:val="single"/>
          <w:lang w:val="lt-LT"/>
        </w:rPr>
      </w:pPr>
      <w:r w:rsidRPr="00317643">
        <w:rPr>
          <w:snapToGrid/>
          <w:szCs w:val="22"/>
          <w:highlight w:val="lightGray"/>
          <w:u w:val="single"/>
          <w:lang w:val="lt-LT"/>
        </w:rPr>
        <w:t>50 mg/1000 mg</w:t>
      </w:r>
    </w:p>
    <w:p w14:paraId="6EF0ECED" w14:textId="77777777" w:rsidR="00B64E78" w:rsidRDefault="00DA46A9" w:rsidP="00317643">
      <w:pPr>
        <w:widowControl w:val="0"/>
        <w:tabs>
          <w:tab w:val="clear" w:pos="567"/>
        </w:tabs>
        <w:spacing w:line="240" w:lineRule="auto"/>
        <w:rPr>
          <w:snapToGrid/>
          <w:szCs w:val="22"/>
          <w:highlight w:val="lightGray"/>
          <w:lang w:val="lt-LT"/>
        </w:rPr>
      </w:pPr>
      <w:r w:rsidRPr="00317643">
        <w:rPr>
          <w:snapToGrid/>
          <w:szCs w:val="22"/>
          <w:highlight w:val="lightGray"/>
          <w:u w:val="single"/>
          <w:lang w:val="lt-LT"/>
        </w:rPr>
        <w:t>lizdinė plokštelė</w:t>
      </w:r>
    </w:p>
    <w:p w14:paraId="2BBE3763" w14:textId="77777777" w:rsidR="00B64E78" w:rsidRDefault="00DA46A9" w:rsidP="00317643">
      <w:pPr>
        <w:widowControl w:val="0"/>
        <w:tabs>
          <w:tab w:val="clear" w:pos="567"/>
        </w:tabs>
        <w:spacing w:line="240" w:lineRule="auto"/>
        <w:rPr>
          <w:snapToGrid/>
          <w:szCs w:val="22"/>
          <w:highlight w:val="lightGray"/>
          <w:lang w:val="lt-LT"/>
        </w:rPr>
      </w:pPr>
      <w:r w:rsidRPr="00317643">
        <w:rPr>
          <w:snapToGrid/>
          <w:szCs w:val="22"/>
          <w:highlight w:val="lightGray"/>
          <w:lang w:val="lt-LT"/>
        </w:rPr>
        <w:t xml:space="preserve">LT/1/21/4678/001 – </w:t>
      </w:r>
      <w:r>
        <w:rPr>
          <w:snapToGrid/>
          <w:szCs w:val="22"/>
          <w:highlight w:val="lightGray"/>
          <w:lang w:val="lt-LT"/>
        </w:rPr>
        <w:t>N10</w:t>
      </w:r>
    </w:p>
    <w:p w14:paraId="3B5F8B09"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LT/1/21/4678/002 – N14</w:t>
      </w:r>
    </w:p>
    <w:p w14:paraId="5B65A957"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LT/1/21/4678/003 – N28</w:t>
      </w:r>
    </w:p>
    <w:p w14:paraId="661E5CF9"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LT/1/21/4678/004 – N30</w:t>
      </w:r>
    </w:p>
    <w:p w14:paraId="35E1ABA7"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LT/1/21/4678/005 – N56</w:t>
      </w:r>
    </w:p>
    <w:p w14:paraId="2D82EE6D"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LT/1/21/4678/006 – N60</w:t>
      </w:r>
    </w:p>
    <w:p w14:paraId="13018D63"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LT/1/21/4678/007 – N90</w:t>
      </w:r>
    </w:p>
    <w:p w14:paraId="3D99D4E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LT/1/21/4678/008 – N196</w:t>
      </w:r>
    </w:p>
    <w:p w14:paraId="51885AE8"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LT/1/21/4678/009 – N200</w:t>
      </w:r>
    </w:p>
    <w:p w14:paraId="771465B2" w14:textId="68C6AE6B" w:rsidR="00B64E78" w:rsidRDefault="00317643" w:rsidP="00317643">
      <w:pPr>
        <w:widowControl w:val="0"/>
        <w:tabs>
          <w:tab w:val="clear" w:pos="567"/>
        </w:tabs>
        <w:spacing w:line="240" w:lineRule="auto"/>
        <w:rPr>
          <w:snapToGrid/>
          <w:szCs w:val="22"/>
          <w:highlight w:val="lightGray"/>
          <w:lang w:val="lt-LT"/>
        </w:rPr>
      </w:pPr>
      <w:r>
        <w:rPr>
          <w:snapToGrid/>
          <w:szCs w:val="22"/>
          <w:highlight w:val="lightGray"/>
          <w:lang w:val="lt-LT"/>
        </w:rPr>
        <w:t>{</w:t>
      </w:r>
      <w:r w:rsidR="00DA46A9">
        <w:rPr>
          <w:snapToGrid/>
          <w:szCs w:val="22"/>
          <w:highlight w:val="lightGray"/>
          <w:lang w:val="lt-LT"/>
        </w:rPr>
        <w:t>kalendorinė pakuotė</w:t>
      </w:r>
      <w:r>
        <w:rPr>
          <w:snapToGrid/>
          <w:szCs w:val="22"/>
          <w:highlight w:val="lightGray"/>
          <w:lang w:val="lt-LT"/>
        </w:rPr>
        <w:t>}</w:t>
      </w:r>
    </w:p>
    <w:p w14:paraId="648E61B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LT/1/21/4678/010 – N14</w:t>
      </w:r>
    </w:p>
    <w:p w14:paraId="454678E0"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LT/1/21/4678/011 – N28</w:t>
      </w:r>
    </w:p>
    <w:p w14:paraId="3B97FE58"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LT/1/21/4678/012 – N56</w:t>
      </w:r>
    </w:p>
    <w:p w14:paraId="51054F0F" w14:textId="77777777" w:rsidR="00B64E78" w:rsidRDefault="00DA46A9" w:rsidP="00317643">
      <w:pPr>
        <w:widowControl w:val="0"/>
        <w:tabs>
          <w:tab w:val="clear" w:pos="567"/>
        </w:tabs>
        <w:spacing w:line="240" w:lineRule="auto"/>
        <w:rPr>
          <w:snapToGrid/>
          <w:szCs w:val="22"/>
          <w:lang w:val="lt-LT"/>
        </w:rPr>
      </w:pPr>
      <w:r>
        <w:rPr>
          <w:snapToGrid/>
          <w:szCs w:val="22"/>
          <w:highlight w:val="lightGray"/>
          <w:lang w:val="lt-LT"/>
        </w:rPr>
        <w:t>LT/1/21/4678/013 –  N196</w:t>
      </w:r>
    </w:p>
    <w:p w14:paraId="53B6CB2A" w14:textId="77777777" w:rsidR="00B64E78" w:rsidRDefault="00B64E78" w:rsidP="00317643">
      <w:pPr>
        <w:widowControl w:val="0"/>
        <w:tabs>
          <w:tab w:val="clear" w:pos="567"/>
        </w:tabs>
        <w:spacing w:line="240" w:lineRule="auto"/>
        <w:rPr>
          <w:snapToGrid/>
          <w:szCs w:val="22"/>
          <w:lang w:val="lt-LT"/>
        </w:rPr>
      </w:pPr>
    </w:p>
    <w:p w14:paraId="269CE67F" w14:textId="77777777" w:rsidR="00B64E78" w:rsidRDefault="00B64E78" w:rsidP="00317643">
      <w:pPr>
        <w:widowControl w:val="0"/>
        <w:tabs>
          <w:tab w:val="clear" w:pos="567"/>
        </w:tabs>
        <w:spacing w:line="240" w:lineRule="auto"/>
        <w:rPr>
          <w:snapToGrid/>
          <w:szCs w:val="22"/>
          <w:lang w:val="lt-LT"/>
        </w:rPr>
      </w:pPr>
    </w:p>
    <w:p w14:paraId="6C43609D"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lastRenderedPageBreak/>
        <w:t>13.</w:t>
      </w:r>
      <w:r>
        <w:rPr>
          <w:b/>
          <w:snapToGrid/>
          <w:szCs w:val="22"/>
          <w:lang w:val="lt-LT"/>
        </w:rPr>
        <w:tab/>
        <w:t>SERIJOS NUMERIS</w:t>
      </w:r>
    </w:p>
    <w:p w14:paraId="6FDE5600" w14:textId="77777777" w:rsidR="00B64E78" w:rsidRDefault="00B64E78" w:rsidP="00317643">
      <w:pPr>
        <w:widowControl w:val="0"/>
        <w:tabs>
          <w:tab w:val="clear" w:pos="567"/>
        </w:tabs>
        <w:spacing w:line="240" w:lineRule="auto"/>
        <w:rPr>
          <w:i/>
          <w:snapToGrid/>
          <w:szCs w:val="22"/>
          <w:lang w:val="lt-LT"/>
        </w:rPr>
      </w:pPr>
    </w:p>
    <w:p w14:paraId="3F963EA7" w14:textId="77777777" w:rsidR="00B64E78" w:rsidRDefault="00DA46A9" w:rsidP="00317643">
      <w:pPr>
        <w:widowControl w:val="0"/>
        <w:tabs>
          <w:tab w:val="clear" w:pos="567"/>
        </w:tabs>
        <w:spacing w:line="240" w:lineRule="auto"/>
        <w:rPr>
          <w:snapToGrid/>
          <w:szCs w:val="22"/>
          <w:lang w:val="lt-LT"/>
        </w:rPr>
      </w:pPr>
      <w:r>
        <w:rPr>
          <w:snapToGrid/>
          <w:szCs w:val="22"/>
          <w:lang w:val="lt-LT"/>
        </w:rPr>
        <w:t>Lot</w:t>
      </w:r>
    </w:p>
    <w:p w14:paraId="01EE61DE" w14:textId="77777777" w:rsidR="00B64E78" w:rsidRDefault="00B64E78" w:rsidP="00317643">
      <w:pPr>
        <w:widowControl w:val="0"/>
        <w:tabs>
          <w:tab w:val="clear" w:pos="567"/>
        </w:tabs>
        <w:spacing w:line="240" w:lineRule="auto"/>
        <w:rPr>
          <w:snapToGrid/>
          <w:szCs w:val="22"/>
          <w:lang w:val="lt-LT"/>
        </w:rPr>
      </w:pPr>
    </w:p>
    <w:p w14:paraId="312D22EB" w14:textId="77777777" w:rsidR="00B64E78" w:rsidRDefault="00B64E78" w:rsidP="00317643">
      <w:pPr>
        <w:widowControl w:val="0"/>
        <w:tabs>
          <w:tab w:val="clear" w:pos="567"/>
        </w:tabs>
        <w:spacing w:line="240" w:lineRule="auto"/>
        <w:rPr>
          <w:snapToGrid/>
          <w:szCs w:val="22"/>
          <w:lang w:val="lt-LT"/>
        </w:rPr>
      </w:pPr>
    </w:p>
    <w:p w14:paraId="2BA15DBA"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14.</w:t>
      </w:r>
      <w:r>
        <w:rPr>
          <w:b/>
          <w:snapToGrid/>
          <w:szCs w:val="22"/>
          <w:lang w:val="lt-LT"/>
        </w:rPr>
        <w:tab/>
        <w:t>PARDAVIMO (IŠDAVIMO) TVARKA</w:t>
      </w:r>
    </w:p>
    <w:p w14:paraId="68957692" w14:textId="77777777" w:rsidR="00B64E78" w:rsidRDefault="00B64E78" w:rsidP="00317643">
      <w:pPr>
        <w:widowControl w:val="0"/>
        <w:tabs>
          <w:tab w:val="clear" w:pos="567"/>
        </w:tabs>
        <w:spacing w:line="240" w:lineRule="auto"/>
        <w:rPr>
          <w:snapToGrid/>
          <w:szCs w:val="22"/>
          <w:lang w:val="lt-LT"/>
        </w:rPr>
      </w:pPr>
    </w:p>
    <w:p w14:paraId="48F29C40" w14:textId="77777777" w:rsidR="00B64E78" w:rsidRDefault="00DA46A9" w:rsidP="00317643">
      <w:pPr>
        <w:widowControl w:val="0"/>
        <w:tabs>
          <w:tab w:val="clear" w:pos="567"/>
          <w:tab w:val="left" w:pos="360"/>
        </w:tabs>
        <w:spacing w:line="240" w:lineRule="auto"/>
        <w:rPr>
          <w:snapToGrid/>
          <w:szCs w:val="22"/>
          <w:lang w:val="lt-LT"/>
        </w:rPr>
      </w:pPr>
      <w:r>
        <w:rPr>
          <w:snapToGrid/>
          <w:szCs w:val="22"/>
          <w:lang w:val="lt-LT"/>
        </w:rPr>
        <w:t>Receptinis vaistas.</w:t>
      </w:r>
    </w:p>
    <w:p w14:paraId="1E611B98" w14:textId="77777777" w:rsidR="00B64E78" w:rsidRDefault="00B64E78" w:rsidP="00317643">
      <w:pPr>
        <w:widowControl w:val="0"/>
        <w:tabs>
          <w:tab w:val="clear" w:pos="567"/>
        </w:tabs>
        <w:spacing w:line="240" w:lineRule="auto"/>
        <w:rPr>
          <w:snapToGrid/>
          <w:szCs w:val="22"/>
          <w:lang w:val="lt-LT"/>
        </w:rPr>
      </w:pPr>
    </w:p>
    <w:p w14:paraId="0E6C4F9E" w14:textId="77777777" w:rsidR="00B64E78" w:rsidRDefault="00B64E78" w:rsidP="00317643">
      <w:pPr>
        <w:widowControl w:val="0"/>
        <w:tabs>
          <w:tab w:val="clear" w:pos="567"/>
        </w:tabs>
        <w:spacing w:line="240" w:lineRule="auto"/>
        <w:rPr>
          <w:snapToGrid/>
          <w:szCs w:val="22"/>
          <w:lang w:val="lt-LT"/>
        </w:rPr>
      </w:pPr>
    </w:p>
    <w:p w14:paraId="6C37191E"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15.</w:t>
      </w:r>
      <w:r>
        <w:rPr>
          <w:b/>
          <w:snapToGrid/>
          <w:szCs w:val="22"/>
          <w:lang w:val="lt-LT"/>
        </w:rPr>
        <w:tab/>
        <w:t>VARTOJIMO INSTRUKCIJA</w:t>
      </w:r>
    </w:p>
    <w:p w14:paraId="18CB80FF" w14:textId="77777777" w:rsidR="00B64E78" w:rsidRDefault="00B64E78" w:rsidP="00317643">
      <w:pPr>
        <w:widowControl w:val="0"/>
        <w:tabs>
          <w:tab w:val="clear" w:pos="567"/>
        </w:tabs>
        <w:spacing w:line="240" w:lineRule="auto"/>
        <w:rPr>
          <w:snapToGrid/>
          <w:szCs w:val="22"/>
          <w:lang w:val="lt-LT"/>
        </w:rPr>
      </w:pPr>
    </w:p>
    <w:p w14:paraId="52207C18" w14:textId="77777777" w:rsidR="00B64E78" w:rsidRDefault="00B64E78" w:rsidP="00317643">
      <w:pPr>
        <w:widowControl w:val="0"/>
        <w:tabs>
          <w:tab w:val="clear" w:pos="567"/>
        </w:tabs>
        <w:spacing w:line="240" w:lineRule="auto"/>
        <w:rPr>
          <w:snapToGrid/>
          <w:szCs w:val="22"/>
          <w:lang w:val="lt-LT"/>
        </w:rPr>
      </w:pPr>
    </w:p>
    <w:p w14:paraId="43458D2B"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16.</w:t>
      </w:r>
      <w:r>
        <w:rPr>
          <w:b/>
          <w:snapToGrid/>
          <w:szCs w:val="22"/>
          <w:lang w:val="lt-LT"/>
        </w:rPr>
        <w:tab/>
        <w:t>INFORMACIJA BRAILIO RAŠTU</w:t>
      </w:r>
    </w:p>
    <w:p w14:paraId="5E458C67" w14:textId="77777777" w:rsidR="00B64E78" w:rsidRDefault="00B64E78" w:rsidP="00317643">
      <w:pPr>
        <w:widowControl w:val="0"/>
        <w:tabs>
          <w:tab w:val="clear" w:pos="567"/>
        </w:tabs>
        <w:spacing w:line="240" w:lineRule="auto"/>
        <w:rPr>
          <w:snapToGrid/>
          <w:szCs w:val="22"/>
          <w:lang w:val="lt-LT"/>
        </w:rPr>
      </w:pPr>
    </w:p>
    <w:p w14:paraId="2D2826D5" w14:textId="77777777" w:rsidR="00B64E78" w:rsidRDefault="00DA46A9" w:rsidP="00317643">
      <w:pPr>
        <w:widowControl w:val="0"/>
        <w:tabs>
          <w:tab w:val="clear" w:pos="567"/>
        </w:tabs>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50 mg/850 mg</w:t>
      </w:r>
    </w:p>
    <w:p w14:paraId="786683EE" w14:textId="77777777" w:rsidR="00B64E78" w:rsidRDefault="00DA46A9" w:rsidP="00317643">
      <w:pPr>
        <w:widowControl w:val="0"/>
        <w:tabs>
          <w:tab w:val="clear" w:pos="567"/>
        </w:tabs>
        <w:spacing w:line="240" w:lineRule="auto"/>
        <w:rPr>
          <w:snapToGrid/>
          <w:szCs w:val="22"/>
          <w:lang w:val="lt-LT"/>
        </w:rPr>
      </w:pPr>
      <w:proofErr w:type="spellStart"/>
      <w:r>
        <w:rPr>
          <w:snapToGrid/>
          <w:szCs w:val="22"/>
          <w:highlight w:val="lightGray"/>
          <w:lang w:val="lt-LT"/>
        </w:rPr>
        <w:t>Maymetsi</w:t>
      </w:r>
      <w:proofErr w:type="spellEnd"/>
      <w:r>
        <w:rPr>
          <w:snapToGrid/>
          <w:szCs w:val="22"/>
          <w:highlight w:val="lightGray"/>
          <w:lang w:val="lt-LT"/>
        </w:rPr>
        <w:t xml:space="preserve"> 50 mg/1000 mg</w:t>
      </w:r>
    </w:p>
    <w:p w14:paraId="0FE03767" w14:textId="77777777" w:rsidR="00B64E78" w:rsidRDefault="00B64E78" w:rsidP="00317643">
      <w:pPr>
        <w:widowControl w:val="0"/>
        <w:tabs>
          <w:tab w:val="clear" w:pos="567"/>
        </w:tabs>
        <w:spacing w:line="240" w:lineRule="auto"/>
        <w:rPr>
          <w:snapToGrid/>
          <w:szCs w:val="22"/>
          <w:shd w:val="clear" w:color="auto" w:fill="CCCCCC"/>
          <w:lang w:val="lt-LT"/>
        </w:rPr>
      </w:pPr>
    </w:p>
    <w:p w14:paraId="27BA1A4D" w14:textId="77777777" w:rsidR="00B64E78" w:rsidRDefault="00B64E78" w:rsidP="00317643">
      <w:pPr>
        <w:widowControl w:val="0"/>
        <w:tabs>
          <w:tab w:val="clear" w:pos="567"/>
        </w:tabs>
        <w:spacing w:line="240" w:lineRule="auto"/>
        <w:rPr>
          <w:snapToGrid/>
          <w:szCs w:val="22"/>
          <w:shd w:val="clear" w:color="auto" w:fill="CCCCCC"/>
          <w:lang w:val="lt-LT"/>
        </w:rPr>
      </w:pPr>
    </w:p>
    <w:p w14:paraId="298FB213"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17.</w:t>
      </w:r>
      <w:r>
        <w:rPr>
          <w:b/>
          <w:snapToGrid/>
          <w:szCs w:val="22"/>
          <w:lang w:val="lt-LT"/>
        </w:rPr>
        <w:tab/>
        <w:t>UNIKALUS IDENTIFIKATORIUS – 2D BRŪKŠNINIS KODAS</w:t>
      </w:r>
    </w:p>
    <w:p w14:paraId="08AF3BED" w14:textId="77777777" w:rsidR="00B64E78" w:rsidRDefault="00B64E78" w:rsidP="00317643">
      <w:pPr>
        <w:widowControl w:val="0"/>
        <w:tabs>
          <w:tab w:val="clear" w:pos="567"/>
        </w:tabs>
        <w:spacing w:line="240" w:lineRule="auto"/>
        <w:rPr>
          <w:snapToGrid/>
          <w:szCs w:val="22"/>
          <w:lang w:val="lt-LT"/>
        </w:rPr>
      </w:pPr>
    </w:p>
    <w:p w14:paraId="459AAF57" w14:textId="77777777" w:rsidR="00B64E78" w:rsidRDefault="00DA46A9" w:rsidP="00317643">
      <w:pPr>
        <w:widowControl w:val="0"/>
        <w:tabs>
          <w:tab w:val="clear" w:pos="567"/>
        </w:tabs>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5A4577F1" w14:textId="77777777" w:rsidR="00B64E78" w:rsidRDefault="00B64E78" w:rsidP="00317643">
      <w:pPr>
        <w:widowControl w:val="0"/>
        <w:tabs>
          <w:tab w:val="clear" w:pos="567"/>
        </w:tabs>
        <w:spacing w:line="240" w:lineRule="auto"/>
        <w:rPr>
          <w:snapToGrid/>
          <w:szCs w:val="22"/>
          <w:lang w:val="lt-LT"/>
        </w:rPr>
      </w:pPr>
    </w:p>
    <w:p w14:paraId="36174280" w14:textId="77777777" w:rsidR="00B64E78" w:rsidRDefault="00B64E78" w:rsidP="00317643">
      <w:pPr>
        <w:widowControl w:val="0"/>
        <w:tabs>
          <w:tab w:val="clear" w:pos="567"/>
        </w:tabs>
        <w:spacing w:line="240" w:lineRule="auto"/>
        <w:rPr>
          <w:snapToGrid/>
          <w:szCs w:val="22"/>
          <w:lang w:val="lt-LT"/>
        </w:rPr>
      </w:pPr>
    </w:p>
    <w:p w14:paraId="355EFC32" w14:textId="77777777" w:rsidR="00B64E78" w:rsidRDefault="00DA46A9" w:rsidP="00317643">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18.</w:t>
      </w:r>
      <w:r>
        <w:rPr>
          <w:b/>
          <w:snapToGrid/>
          <w:szCs w:val="22"/>
          <w:lang w:val="lt-LT"/>
        </w:rPr>
        <w:tab/>
        <w:t>UNIKALUS IDENTIFIKATORIUS – ŽMONĖMS SUPRANTAMI DUOMENYS</w:t>
      </w:r>
    </w:p>
    <w:p w14:paraId="17FDDFE3" w14:textId="77777777" w:rsidR="00B64E78" w:rsidRDefault="00B64E78" w:rsidP="00317643">
      <w:pPr>
        <w:widowControl w:val="0"/>
        <w:tabs>
          <w:tab w:val="clear" w:pos="567"/>
        </w:tabs>
        <w:spacing w:line="240" w:lineRule="auto"/>
        <w:rPr>
          <w:snapToGrid/>
          <w:szCs w:val="22"/>
          <w:lang w:val="lt-LT"/>
        </w:rPr>
      </w:pPr>
    </w:p>
    <w:p w14:paraId="0182B327" w14:textId="77777777" w:rsidR="00B64E78" w:rsidRDefault="00DA46A9" w:rsidP="00317643">
      <w:pPr>
        <w:widowControl w:val="0"/>
        <w:tabs>
          <w:tab w:val="clear" w:pos="567"/>
        </w:tabs>
        <w:spacing w:line="240" w:lineRule="auto"/>
        <w:rPr>
          <w:snapToGrid/>
          <w:szCs w:val="22"/>
          <w:lang w:val="lt-LT"/>
        </w:rPr>
      </w:pPr>
      <w:r>
        <w:rPr>
          <w:snapToGrid/>
          <w:szCs w:val="22"/>
          <w:lang w:val="lt-LT"/>
        </w:rPr>
        <w:t>PC</w:t>
      </w:r>
    </w:p>
    <w:p w14:paraId="0E1F8EAD" w14:textId="77777777" w:rsidR="00B64E78" w:rsidRDefault="00DA46A9" w:rsidP="00317643">
      <w:pPr>
        <w:widowControl w:val="0"/>
        <w:tabs>
          <w:tab w:val="clear" w:pos="567"/>
        </w:tabs>
        <w:spacing w:line="240" w:lineRule="auto"/>
        <w:rPr>
          <w:snapToGrid/>
          <w:szCs w:val="22"/>
          <w:lang w:val="lt-LT"/>
        </w:rPr>
      </w:pPr>
      <w:r>
        <w:rPr>
          <w:snapToGrid/>
          <w:szCs w:val="22"/>
          <w:lang w:val="lt-LT"/>
        </w:rPr>
        <w:t>SN</w:t>
      </w:r>
    </w:p>
    <w:p w14:paraId="6BB13C77" w14:textId="77777777" w:rsidR="00B64E78" w:rsidRDefault="00DA46A9" w:rsidP="00317643">
      <w:pPr>
        <w:widowControl w:val="0"/>
        <w:tabs>
          <w:tab w:val="clear" w:pos="567"/>
        </w:tabs>
        <w:spacing w:line="240" w:lineRule="auto"/>
        <w:rPr>
          <w:snapToGrid/>
          <w:szCs w:val="22"/>
          <w:highlight w:val="lightGray"/>
          <w:lang w:val="lt-LT"/>
        </w:rPr>
      </w:pPr>
      <w:r>
        <w:rPr>
          <w:snapToGrid/>
          <w:szCs w:val="22"/>
          <w:highlight w:val="lightGray"/>
          <w:lang w:val="lt-LT"/>
        </w:rPr>
        <w:t>NN</w:t>
      </w:r>
    </w:p>
    <w:p w14:paraId="0969A0BA" w14:textId="77777777" w:rsidR="00B64E78" w:rsidRDefault="00B64E78" w:rsidP="00317643">
      <w:pPr>
        <w:widowControl w:val="0"/>
        <w:tabs>
          <w:tab w:val="clear" w:pos="567"/>
        </w:tabs>
        <w:spacing w:line="240" w:lineRule="auto"/>
        <w:rPr>
          <w:snapToGrid/>
          <w:szCs w:val="22"/>
          <w:highlight w:val="lightGray"/>
          <w:lang w:val="lt-LT"/>
        </w:rPr>
      </w:pPr>
    </w:p>
    <w:p w14:paraId="3447A243" w14:textId="77777777" w:rsidR="00B64E78" w:rsidRDefault="00DA46A9" w:rsidP="00317643">
      <w:pPr>
        <w:tabs>
          <w:tab w:val="clear" w:pos="567"/>
        </w:tabs>
        <w:spacing w:line="240" w:lineRule="auto"/>
        <w:rPr>
          <w:i/>
          <w:snapToGrid/>
          <w:vanish/>
          <w:szCs w:val="22"/>
          <w:lang w:val="lt-LT"/>
        </w:rPr>
      </w:pPr>
      <w:r>
        <w:rPr>
          <w:snapToGrid/>
          <w:vanish/>
          <w:szCs w:val="22"/>
          <w:highlight w:val="lightGray"/>
          <w:lang w:val="lt-LT"/>
        </w:rPr>
        <w:t>Jei antrinis pakavimas bus atliekamas Indijoje, ant dėžučių bus pateikti papildomi duomenys raminantis nacionaliniais Indijos reikalavimais (pvz., pakuotės išklotinės kodas, licencijos kodas ir kt.)</w:t>
      </w:r>
      <w:r>
        <w:rPr>
          <w:snapToGrid/>
          <w:vanish/>
          <w:szCs w:val="22"/>
          <w:lang w:val="lt-LT"/>
        </w:rPr>
        <w:t>.</w:t>
      </w:r>
    </w:p>
    <w:p w14:paraId="3B28C200" w14:textId="77777777" w:rsidR="00B64E78" w:rsidRDefault="00B64E78" w:rsidP="00317643">
      <w:pPr>
        <w:widowControl w:val="0"/>
        <w:tabs>
          <w:tab w:val="clear" w:pos="567"/>
        </w:tabs>
        <w:spacing w:line="240" w:lineRule="auto"/>
        <w:rPr>
          <w:snapToGrid/>
          <w:szCs w:val="22"/>
          <w:highlight w:val="lightGray"/>
          <w:lang w:val="lt-LT"/>
        </w:rPr>
      </w:pPr>
    </w:p>
    <w:p w14:paraId="25A755CA" w14:textId="77777777" w:rsidR="00B64E78" w:rsidRDefault="00DA46A9">
      <w:pPr>
        <w:widowControl w:val="0"/>
        <w:tabs>
          <w:tab w:val="clear" w:pos="567"/>
        </w:tabs>
        <w:spacing w:line="240" w:lineRule="auto"/>
        <w:rPr>
          <w:b/>
          <w:snapToGrid/>
          <w:szCs w:val="22"/>
          <w:lang w:val="lt-LT"/>
        </w:rPr>
      </w:pPr>
      <w:r>
        <w:rPr>
          <w:b/>
          <w:snapToGrid/>
          <w:szCs w:val="22"/>
          <w:lang w:val="lt-LT"/>
        </w:rPr>
        <w:br w:type="page"/>
      </w:r>
    </w:p>
    <w:p w14:paraId="1F92ED6B"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lastRenderedPageBreak/>
        <w:t>MINIMALI INFORMACIJA ANT LIZDINIŲ PLOKŠTELIŲ ARBA DVISLUOKSNIŲ JUOSTELIŲ</w:t>
      </w:r>
    </w:p>
    <w:p w14:paraId="62AADCD6" w14:textId="77777777" w:rsidR="00B64E78" w:rsidRDefault="00B64E7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4FE6FC12"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Pr>
          <w:b/>
          <w:snapToGrid/>
          <w:szCs w:val="22"/>
          <w:lang w:val="lt-LT"/>
        </w:rPr>
        <w:t>LIZDINĖ PLOKŠTELĖ</w:t>
      </w:r>
    </w:p>
    <w:p w14:paraId="6B6121D1" w14:textId="77777777" w:rsidR="00B64E78" w:rsidRDefault="00B64E78">
      <w:pPr>
        <w:widowControl w:val="0"/>
        <w:tabs>
          <w:tab w:val="clear" w:pos="567"/>
        </w:tabs>
        <w:spacing w:line="240" w:lineRule="auto"/>
        <w:rPr>
          <w:bCs/>
          <w:snapToGrid/>
          <w:szCs w:val="22"/>
          <w:lang w:val="lt-LT"/>
        </w:rPr>
      </w:pPr>
    </w:p>
    <w:p w14:paraId="085B429E" w14:textId="77777777" w:rsidR="00B64E78" w:rsidRDefault="00B64E78">
      <w:pPr>
        <w:widowControl w:val="0"/>
        <w:tabs>
          <w:tab w:val="clear" w:pos="567"/>
        </w:tabs>
        <w:spacing w:line="240" w:lineRule="auto"/>
        <w:rPr>
          <w:bCs/>
          <w:snapToGrid/>
          <w:szCs w:val="22"/>
          <w:lang w:val="lt-LT"/>
        </w:rPr>
      </w:pPr>
    </w:p>
    <w:p w14:paraId="30176C42"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1.</w:t>
      </w:r>
      <w:r>
        <w:rPr>
          <w:b/>
          <w:snapToGrid/>
          <w:szCs w:val="22"/>
          <w:lang w:val="lt-LT"/>
        </w:rPr>
        <w:tab/>
        <w:t>VAISTINIO PREPARATO PAVADINIMAS</w:t>
      </w:r>
    </w:p>
    <w:p w14:paraId="0DA0F70C" w14:textId="77777777" w:rsidR="00B64E78" w:rsidRDefault="00B64E78">
      <w:pPr>
        <w:widowControl w:val="0"/>
        <w:tabs>
          <w:tab w:val="clear" w:pos="567"/>
        </w:tabs>
        <w:spacing w:line="240" w:lineRule="auto"/>
        <w:ind w:left="567" w:hanging="567"/>
        <w:rPr>
          <w:snapToGrid/>
          <w:szCs w:val="22"/>
          <w:lang w:val="lt-LT"/>
        </w:rPr>
      </w:pPr>
    </w:p>
    <w:p w14:paraId="73323D61" w14:textId="77777777" w:rsidR="00B64E78" w:rsidRDefault="00DA46A9">
      <w:pPr>
        <w:widowControl w:val="0"/>
        <w:tabs>
          <w:tab w:val="clear" w:pos="567"/>
        </w:tabs>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50 mg/850 mg plėvele dengtos tabletės</w:t>
      </w:r>
    </w:p>
    <w:p w14:paraId="6969B104" w14:textId="77777777" w:rsidR="00B64E78" w:rsidRDefault="00DA46A9">
      <w:pPr>
        <w:widowControl w:val="0"/>
        <w:tabs>
          <w:tab w:val="clear" w:pos="567"/>
        </w:tabs>
        <w:spacing w:line="240" w:lineRule="auto"/>
        <w:rPr>
          <w:snapToGrid/>
          <w:szCs w:val="22"/>
          <w:lang w:val="lt-LT"/>
        </w:rPr>
      </w:pPr>
      <w:proofErr w:type="spellStart"/>
      <w:r>
        <w:rPr>
          <w:snapToGrid/>
          <w:szCs w:val="22"/>
          <w:highlight w:val="lightGray"/>
          <w:lang w:val="lt-LT"/>
        </w:rPr>
        <w:t>Maymetsi</w:t>
      </w:r>
      <w:proofErr w:type="spellEnd"/>
      <w:r>
        <w:rPr>
          <w:snapToGrid/>
          <w:szCs w:val="22"/>
          <w:highlight w:val="lightGray"/>
          <w:lang w:val="lt-LT"/>
        </w:rPr>
        <w:t xml:space="preserve"> 50 mg/1000 mg plėvele dengtos tabletės</w:t>
      </w:r>
    </w:p>
    <w:p w14:paraId="16B8CD2F" w14:textId="77777777" w:rsidR="00B64E78" w:rsidRDefault="00B64E78">
      <w:pPr>
        <w:widowControl w:val="0"/>
        <w:tabs>
          <w:tab w:val="clear" w:pos="567"/>
        </w:tabs>
        <w:spacing w:line="240" w:lineRule="auto"/>
        <w:rPr>
          <w:snapToGrid/>
          <w:szCs w:val="22"/>
          <w:lang w:val="lt-LT"/>
        </w:rPr>
      </w:pPr>
    </w:p>
    <w:p w14:paraId="4AA438AC" w14:textId="77777777" w:rsidR="00B64E78" w:rsidRDefault="00DA46A9">
      <w:pPr>
        <w:widowControl w:val="0"/>
        <w:tabs>
          <w:tab w:val="clear" w:pos="567"/>
        </w:tabs>
        <w:spacing w:line="240" w:lineRule="auto"/>
        <w:rPr>
          <w:i/>
          <w:iCs/>
          <w:snapToGrid/>
          <w:szCs w:val="22"/>
          <w:highlight w:val="lightGray"/>
          <w:u w:val="single"/>
          <w:lang w:val="lt-LT"/>
        </w:rPr>
      </w:pPr>
      <w:r>
        <w:rPr>
          <w:i/>
          <w:iCs/>
          <w:snapToGrid/>
          <w:szCs w:val="22"/>
          <w:highlight w:val="lightGray"/>
          <w:u w:val="single"/>
          <w:lang w:val="lt-LT"/>
        </w:rPr>
        <w:t>Daugiakalbė lizdinė plokštelė:</w:t>
      </w:r>
    </w:p>
    <w:p w14:paraId="191F0BF5" w14:textId="77777777" w:rsidR="00B64E78" w:rsidRDefault="00DA46A9">
      <w:pPr>
        <w:widowControl w:val="0"/>
        <w:tabs>
          <w:tab w:val="clear" w:pos="567"/>
        </w:tabs>
        <w:spacing w:line="240" w:lineRule="auto"/>
        <w:rPr>
          <w:snapToGrid/>
          <w:szCs w:val="22"/>
          <w:highlight w:val="lightGray"/>
          <w:lang w:val="lt-LT"/>
        </w:rPr>
      </w:pPr>
      <w:proofErr w:type="spellStart"/>
      <w:r>
        <w:rPr>
          <w:snapToGrid/>
          <w:szCs w:val="22"/>
          <w:highlight w:val="lightGray"/>
          <w:lang w:val="lt-LT"/>
        </w:rPr>
        <w:t>Maymetsi</w:t>
      </w:r>
      <w:proofErr w:type="spellEnd"/>
      <w:r>
        <w:rPr>
          <w:snapToGrid/>
          <w:szCs w:val="22"/>
          <w:highlight w:val="lightGray"/>
          <w:lang w:val="lt-LT"/>
        </w:rPr>
        <w:t xml:space="preserve"> 50 mg/850 mg tabletės</w:t>
      </w:r>
    </w:p>
    <w:p w14:paraId="571A77F1" w14:textId="77777777" w:rsidR="00B64E78" w:rsidRDefault="00DA46A9">
      <w:pPr>
        <w:widowControl w:val="0"/>
        <w:tabs>
          <w:tab w:val="clear" w:pos="567"/>
        </w:tabs>
        <w:spacing w:line="240" w:lineRule="auto"/>
        <w:rPr>
          <w:snapToGrid/>
          <w:szCs w:val="22"/>
          <w:lang w:val="lt-LT"/>
        </w:rPr>
      </w:pPr>
      <w:proofErr w:type="spellStart"/>
      <w:r>
        <w:rPr>
          <w:snapToGrid/>
          <w:szCs w:val="22"/>
          <w:highlight w:val="lightGray"/>
          <w:lang w:val="lt-LT"/>
        </w:rPr>
        <w:t>Maymetsi</w:t>
      </w:r>
      <w:proofErr w:type="spellEnd"/>
      <w:r>
        <w:rPr>
          <w:snapToGrid/>
          <w:szCs w:val="22"/>
          <w:highlight w:val="lightGray"/>
          <w:lang w:val="lt-LT"/>
        </w:rPr>
        <w:t xml:space="preserve"> 50 mg/1000 mg tabletės</w:t>
      </w:r>
    </w:p>
    <w:p w14:paraId="2D782C66" w14:textId="77777777" w:rsidR="00B64E78" w:rsidRDefault="00B64E78">
      <w:pPr>
        <w:widowControl w:val="0"/>
        <w:tabs>
          <w:tab w:val="clear" w:pos="567"/>
        </w:tabs>
        <w:spacing w:line="240" w:lineRule="auto"/>
        <w:rPr>
          <w:snapToGrid/>
          <w:szCs w:val="22"/>
          <w:lang w:val="lt-LT"/>
        </w:rPr>
      </w:pPr>
    </w:p>
    <w:p w14:paraId="764C0258" w14:textId="77777777" w:rsidR="00B64E78" w:rsidRDefault="00DA46A9">
      <w:pPr>
        <w:widowControl w:val="0"/>
        <w:tabs>
          <w:tab w:val="clear" w:pos="567"/>
        </w:tabs>
        <w:spacing w:line="240" w:lineRule="auto"/>
        <w:ind w:left="567" w:hanging="567"/>
        <w:rPr>
          <w:snapToGrid/>
          <w:szCs w:val="22"/>
          <w:lang w:val="lt-LT"/>
        </w:rPr>
      </w:pPr>
      <w:proofErr w:type="spellStart"/>
      <w:r>
        <w:rPr>
          <w:snapToGrid/>
          <w:szCs w:val="22"/>
          <w:lang w:val="lt-LT"/>
        </w:rPr>
        <w:t>sitagliptinas</w:t>
      </w:r>
      <w:proofErr w:type="spellEnd"/>
      <w:r>
        <w:rPr>
          <w:snapToGrid/>
          <w:szCs w:val="22"/>
          <w:lang w:val="lt-LT"/>
        </w:rPr>
        <w:t>/</w:t>
      </w:r>
      <w:proofErr w:type="spellStart"/>
      <w:r>
        <w:rPr>
          <w:snapToGrid/>
          <w:szCs w:val="22"/>
          <w:lang w:val="lt-LT"/>
        </w:rPr>
        <w:t>metformino</w:t>
      </w:r>
      <w:proofErr w:type="spellEnd"/>
      <w:r>
        <w:rPr>
          <w:snapToGrid/>
          <w:szCs w:val="22"/>
          <w:lang w:val="lt-LT"/>
        </w:rPr>
        <w:t xml:space="preserve"> hidrochloridas</w:t>
      </w:r>
    </w:p>
    <w:p w14:paraId="5D02DA23" w14:textId="77777777" w:rsidR="00B64E78" w:rsidRDefault="00B64E78">
      <w:pPr>
        <w:widowControl w:val="0"/>
        <w:tabs>
          <w:tab w:val="clear" w:pos="567"/>
        </w:tabs>
        <w:spacing w:line="240" w:lineRule="auto"/>
        <w:rPr>
          <w:bCs/>
          <w:snapToGrid/>
          <w:szCs w:val="22"/>
          <w:lang w:val="lt-LT"/>
        </w:rPr>
      </w:pPr>
    </w:p>
    <w:p w14:paraId="51774768" w14:textId="77777777" w:rsidR="00B64E78" w:rsidRDefault="00B64E78">
      <w:pPr>
        <w:widowControl w:val="0"/>
        <w:tabs>
          <w:tab w:val="clear" w:pos="567"/>
        </w:tabs>
        <w:spacing w:line="240" w:lineRule="auto"/>
        <w:rPr>
          <w:bCs/>
          <w:snapToGrid/>
          <w:szCs w:val="22"/>
          <w:lang w:val="lt-LT"/>
        </w:rPr>
      </w:pPr>
    </w:p>
    <w:p w14:paraId="67FB40B0"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2.</w:t>
      </w:r>
      <w:r>
        <w:rPr>
          <w:b/>
          <w:snapToGrid/>
          <w:szCs w:val="22"/>
          <w:lang w:val="lt-LT"/>
        </w:rPr>
        <w:tab/>
        <w:t>REGISTRUOTOJO PAVADINIMAS</w:t>
      </w:r>
    </w:p>
    <w:p w14:paraId="2CED8CF6" w14:textId="77777777" w:rsidR="00B64E78" w:rsidRDefault="00B64E78">
      <w:pPr>
        <w:widowControl w:val="0"/>
        <w:tabs>
          <w:tab w:val="clear" w:pos="567"/>
        </w:tabs>
        <w:spacing w:line="240" w:lineRule="auto"/>
        <w:jc w:val="both"/>
        <w:rPr>
          <w:snapToGrid/>
          <w:szCs w:val="22"/>
          <w:lang w:val="lt-LT"/>
        </w:rPr>
      </w:pPr>
    </w:p>
    <w:p w14:paraId="304577DC" w14:textId="77777777" w:rsidR="00B64E78" w:rsidRDefault="00DA46A9">
      <w:pPr>
        <w:widowControl w:val="0"/>
        <w:tabs>
          <w:tab w:val="clear" w:pos="567"/>
        </w:tabs>
        <w:spacing w:line="240" w:lineRule="auto"/>
        <w:jc w:val="both"/>
        <w:rPr>
          <w:snapToGrid/>
          <w:szCs w:val="22"/>
          <w:lang w:val="lt-LT"/>
        </w:rPr>
      </w:pPr>
      <w:r>
        <w:rPr>
          <w:snapToGrid/>
          <w:szCs w:val="22"/>
          <w:lang w:val="lt-LT"/>
        </w:rPr>
        <w:t xml:space="preserve">KRKA </w:t>
      </w:r>
      <w:proofErr w:type="spellStart"/>
      <w:r>
        <w:rPr>
          <w:snapToGrid/>
          <w:szCs w:val="22"/>
          <w:lang w:val="lt-LT"/>
        </w:rPr>
        <w:t>d.d</w:t>
      </w:r>
      <w:proofErr w:type="spellEnd"/>
      <w:r>
        <w:rPr>
          <w:snapToGrid/>
          <w:szCs w:val="22"/>
          <w:lang w:val="lt-LT"/>
        </w:rPr>
        <w:t>.</w:t>
      </w:r>
    </w:p>
    <w:p w14:paraId="7413F920" w14:textId="77777777" w:rsidR="00B64E78" w:rsidRDefault="00B64E78">
      <w:pPr>
        <w:widowControl w:val="0"/>
        <w:tabs>
          <w:tab w:val="clear" w:pos="567"/>
        </w:tabs>
        <w:spacing w:line="240" w:lineRule="auto"/>
        <w:rPr>
          <w:bCs/>
          <w:snapToGrid/>
          <w:szCs w:val="22"/>
          <w:lang w:val="lt-LT"/>
        </w:rPr>
      </w:pPr>
    </w:p>
    <w:p w14:paraId="3D494865" w14:textId="77777777" w:rsidR="00B64E78" w:rsidRDefault="00B64E78">
      <w:pPr>
        <w:widowControl w:val="0"/>
        <w:tabs>
          <w:tab w:val="clear" w:pos="567"/>
        </w:tabs>
        <w:spacing w:line="240" w:lineRule="auto"/>
        <w:rPr>
          <w:bCs/>
          <w:snapToGrid/>
          <w:szCs w:val="22"/>
          <w:lang w:val="lt-LT"/>
        </w:rPr>
      </w:pPr>
    </w:p>
    <w:p w14:paraId="3F6B29A0"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3.</w:t>
      </w:r>
      <w:r>
        <w:rPr>
          <w:b/>
          <w:snapToGrid/>
          <w:szCs w:val="22"/>
          <w:lang w:val="lt-LT"/>
        </w:rPr>
        <w:tab/>
        <w:t>TINKAMUMO LAIKAS</w:t>
      </w:r>
    </w:p>
    <w:p w14:paraId="0D28BE4A" w14:textId="77777777" w:rsidR="00B64E78" w:rsidRDefault="00B64E78">
      <w:pPr>
        <w:widowControl w:val="0"/>
        <w:tabs>
          <w:tab w:val="clear" w:pos="567"/>
        </w:tabs>
        <w:spacing w:line="240" w:lineRule="auto"/>
        <w:rPr>
          <w:bCs/>
          <w:snapToGrid/>
          <w:szCs w:val="22"/>
          <w:lang w:val="lt-LT"/>
        </w:rPr>
      </w:pPr>
    </w:p>
    <w:p w14:paraId="6F18C438" w14:textId="77777777" w:rsidR="00B64E78" w:rsidRDefault="00DA46A9">
      <w:pPr>
        <w:widowControl w:val="0"/>
        <w:tabs>
          <w:tab w:val="clear" w:pos="567"/>
        </w:tabs>
        <w:spacing w:line="240" w:lineRule="auto"/>
        <w:rPr>
          <w:snapToGrid/>
          <w:szCs w:val="22"/>
          <w:lang w:val="lt-LT"/>
        </w:rPr>
      </w:pPr>
      <w:r>
        <w:rPr>
          <w:snapToGrid/>
          <w:szCs w:val="22"/>
          <w:lang w:val="lt-LT"/>
        </w:rPr>
        <w:t>EXP</w:t>
      </w:r>
    </w:p>
    <w:p w14:paraId="242C800C" w14:textId="77777777" w:rsidR="00B64E78" w:rsidRDefault="00B64E78">
      <w:pPr>
        <w:widowControl w:val="0"/>
        <w:tabs>
          <w:tab w:val="clear" w:pos="567"/>
        </w:tabs>
        <w:spacing w:line="240" w:lineRule="auto"/>
        <w:rPr>
          <w:snapToGrid/>
          <w:szCs w:val="22"/>
          <w:lang w:val="lt-LT"/>
        </w:rPr>
      </w:pPr>
    </w:p>
    <w:p w14:paraId="5A390ED2" w14:textId="77777777" w:rsidR="00B64E78" w:rsidRDefault="00B64E78">
      <w:pPr>
        <w:widowControl w:val="0"/>
        <w:tabs>
          <w:tab w:val="clear" w:pos="567"/>
        </w:tabs>
        <w:spacing w:line="240" w:lineRule="auto"/>
        <w:rPr>
          <w:snapToGrid/>
          <w:szCs w:val="22"/>
          <w:lang w:val="lt-LT"/>
        </w:rPr>
      </w:pPr>
    </w:p>
    <w:p w14:paraId="59FA6C8C"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Pr>
          <w:b/>
          <w:snapToGrid/>
          <w:szCs w:val="22"/>
          <w:lang w:val="lt-LT"/>
        </w:rPr>
        <w:t>4.</w:t>
      </w:r>
      <w:r>
        <w:rPr>
          <w:b/>
          <w:snapToGrid/>
          <w:szCs w:val="22"/>
          <w:lang w:val="lt-LT"/>
        </w:rPr>
        <w:tab/>
        <w:t>SERIJOS NUMERIS</w:t>
      </w:r>
    </w:p>
    <w:p w14:paraId="77232407" w14:textId="77777777" w:rsidR="00B64E78" w:rsidRDefault="00B64E78">
      <w:pPr>
        <w:widowControl w:val="0"/>
        <w:tabs>
          <w:tab w:val="clear" w:pos="567"/>
        </w:tabs>
        <w:spacing w:line="240" w:lineRule="auto"/>
        <w:ind w:right="113"/>
        <w:rPr>
          <w:i/>
          <w:snapToGrid/>
          <w:szCs w:val="22"/>
          <w:highlight w:val="yellow"/>
          <w:lang w:val="lt-LT"/>
        </w:rPr>
      </w:pPr>
    </w:p>
    <w:p w14:paraId="1A2A1356" w14:textId="77777777" w:rsidR="00B64E78" w:rsidRDefault="00DA46A9">
      <w:pPr>
        <w:widowControl w:val="0"/>
        <w:tabs>
          <w:tab w:val="clear" w:pos="567"/>
        </w:tabs>
        <w:spacing w:line="240" w:lineRule="auto"/>
        <w:ind w:right="113"/>
        <w:rPr>
          <w:snapToGrid/>
          <w:szCs w:val="22"/>
          <w:lang w:val="lt-LT"/>
        </w:rPr>
      </w:pPr>
      <w:r>
        <w:rPr>
          <w:snapToGrid/>
          <w:szCs w:val="22"/>
          <w:lang w:val="lt-LT"/>
        </w:rPr>
        <w:t>Lot</w:t>
      </w:r>
    </w:p>
    <w:p w14:paraId="5B348835" w14:textId="77777777" w:rsidR="00B64E78" w:rsidRDefault="00B64E78">
      <w:pPr>
        <w:widowControl w:val="0"/>
        <w:tabs>
          <w:tab w:val="clear" w:pos="567"/>
        </w:tabs>
        <w:spacing w:line="240" w:lineRule="auto"/>
        <w:ind w:right="113"/>
        <w:rPr>
          <w:snapToGrid/>
          <w:szCs w:val="22"/>
          <w:lang w:val="lt-LT"/>
        </w:rPr>
      </w:pPr>
    </w:p>
    <w:p w14:paraId="095A3B6A" w14:textId="77777777" w:rsidR="00B64E78" w:rsidRDefault="00B64E78">
      <w:pPr>
        <w:widowControl w:val="0"/>
        <w:tabs>
          <w:tab w:val="clear" w:pos="567"/>
        </w:tabs>
        <w:spacing w:line="240" w:lineRule="auto"/>
        <w:ind w:right="113"/>
        <w:rPr>
          <w:snapToGrid/>
          <w:szCs w:val="22"/>
          <w:lang w:val="lt-LT"/>
        </w:rPr>
      </w:pPr>
    </w:p>
    <w:p w14:paraId="65A60309" w14:textId="77777777" w:rsidR="00B64E78" w:rsidRDefault="00DA46A9">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5.</w:t>
      </w:r>
      <w:r>
        <w:rPr>
          <w:b/>
          <w:snapToGrid/>
          <w:szCs w:val="22"/>
          <w:lang w:val="lt-LT"/>
        </w:rPr>
        <w:tab/>
        <w:t>KITA</w:t>
      </w:r>
    </w:p>
    <w:p w14:paraId="2CCF4C95" w14:textId="77777777" w:rsidR="00B64E78" w:rsidRDefault="00B64E78">
      <w:pPr>
        <w:widowControl w:val="0"/>
        <w:tabs>
          <w:tab w:val="clear" w:pos="567"/>
        </w:tabs>
        <w:spacing w:line="240" w:lineRule="auto"/>
        <w:ind w:left="567" w:hanging="567"/>
        <w:rPr>
          <w:snapToGrid/>
          <w:szCs w:val="22"/>
          <w:lang w:val="lt-LT"/>
        </w:rPr>
      </w:pPr>
    </w:p>
    <w:p w14:paraId="27B9C194" w14:textId="77777777" w:rsidR="00B64E78" w:rsidRDefault="00DA46A9">
      <w:pPr>
        <w:widowControl w:val="0"/>
        <w:tabs>
          <w:tab w:val="clear" w:pos="567"/>
        </w:tabs>
        <w:spacing w:line="240" w:lineRule="auto"/>
        <w:rPr>
          <w:snapToGrid/>
          <w:highlight w:val="lightGray"/>
          <w:lang w:val="lt-LT" w:eastAsia="sl-SI"/>
        </w:rPr>
      </w:pPr>
      <w:r>
        <w:rPr>
          <w:i/>
          <w:iCs/>
          <w:snapToGrid/>
          <w:szCs w:val="22"/>
          <w:highlight w:val="lightGray"/>
          <w:lang w:val="lt-LT" w:eastAsia="sl-SI"/>
        </w:rPr>
        <w:t>Kalendorinė pakuotė</w:t>
      </w:r>
      <w:r>
        <w:rPr>
          <w:iCs/>
          <w:snapToGrid/>
          <w:szCs w:val="22"/>
          <w:highlight w:val="lightGray"/>
          <w:lang w:val="lt-LT" w:eastAsia="sl-SI"/>
        </w:rPr>
        <w:t>:</w:t>
      </w:r>
    </w:p>
    <w:p w14:paraId="1C440F41"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P.</w:t>
      </w:r>
    </w:p>
    <w:p w14:paraId="7A09E4D6"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A.</w:t>
      </w:r>
    </w:p>
    <w:p w14:paraId="689CD6BB"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T.</w:t>
      </w:r>
    </w:p>
    <w:p w14:paraId="63E6C0D6"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K.</w:t>
      </w:r>
    </w:p>
    <w:p w14:paraId="2680CA14" w14:textId="77777777" w:rsidR="00B64E78" w:rsidRDefault="00DA46A9">
      <w:pPr>
        <w:widowControl w:val="0"/>
        <w:tabs>
          <w:tab w:val="clear" w:pos="567"/>
        </w:tabs>
        <w:spacing w:line="240" w:lineRule="auto"/>
        <w:rPr>
          <w:iCs/>
          <w:snapToGrid/>
          <w:szCs w:val="22"/>
          <w:highlight w:val="lightGray"/>
          <w:lang w:val="lt-LT" w:eastAsia="sl-SI"/>
        </w:rPr>
      </w:pPr>
      <w:proofErr w:type="spellStart"/>
      <w:r>
        <w:rPr>
          <w:iCs/>
          <w:snapToGrid/>
          <w:szCs w:val="22"/>
          <w:highlight w:val="lightGray"/>
          <w:lang w:val="lt-LT" w:eastAsia="sl-SI"/>
        </w:rPr>
        <w:t>Pn</w:t>
      </w:r>
      <w:proofErr w:type="spellEnd"/>
      <w:r>
        <w:rPr>
          <w:iCs/>
          <w:snapToGrid/>
          <w:szCs w:val="22"/>
          <w:highlight w:val="lightGray"/>
          <w:lang w:val="lt-LT" w:eastAsia="sl-SI"/>
        </w:rPr>
        <w:t>.</w:t>
      </w:r>
    </w:p>
    <w:p w14:paraId="35D5302B"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Š.</w:t>
      </w:r>
    </w:p>
    <w:p w14:paraId="4EA59F5D" w14:textId="77777777" w:rsidR="00B64E78" w:rsidRDefault="00DA46A9">
      <w:pPr>
        <w:widowControl w:val="0"/>
        <w:tabs>
          <w:tab w:val="clear" w:pos="567"/>
        </w:tabs>
        <w:spacing w:line="240" w:lineRule="auto"/>
        <w:rPr>
          <w:iCs/>
          <w:snapToGrid/>
          <w:szCs w:val="22"/>
          <w:highlight w:val="lightGray"/>
          <w:lang w:val="lt-LT" w:eastAsia="sl-SI"/>
        </w:rPr>
      </w:pPr>
      <w:r>
        <w:rPr>
          <w:iCs/>
          <w:snapToGrid/>
          <w:szCs w:val="22"/>
          <w:highlight w:val="lightGray"/>
          <w:lang w:val="lt-LT" w:eastAsia="sl-SI"/>
        </w:rPr>
        <w:t>S.</w:t>
      </w:r>
    </w:p>
    <w:p w14:paraId="42DF8009" w14:textId="77777777" w:rsidR="00B64E78" w:rsidRDefault="00B64E78">
      <w:pPr>
        <w:widowControl w:val="0"/>
        <w:tabs>
          <w:tab w:val="clear" w:pos="567"/>
        </w:tabs>
        <w:spacing w:line="240" w:lineRule="auto"/>
        <w:rPr>
          <w:iCs/>
          <w:snapToGrid/>
          <w:szCs w:val="22"/>
          <w:highlight w:val="lightGray"/>
          <w:lang w:val="lt-LT" w:eastAsia="sl-SI"/>
        </w:rPr>
      </w:pPr>
    </w:p>
    <w:p w14:paraId="133FBD87" w14:textId="77777777" w:rsidR="00B64E78" w:rsidRDefault="00DA46A9">
      <w:pPr>
        <w:widowControl w:val="0"/>
        <w:tabs>
          <w:tab w:val="clear" w:pos="567"/>
        </w:tabs>
        <w:spacing w:line="240" w:lineRule="auto"/>
        <w:ind w:left="567" w:hanging="567"/>
        <w:rPr>
          <w:snapToGrid/>
          <w:szCs w:val="22"/>
          <w:highlight w:val="lightGray"/>
          <w:lang w:val="lt-LT"/>
        </w:rPr>
      </w:pPr>
      <w:r>
        <w:rPr>
          <w:snapToGrid/>
          <w:szCs w:val="22"/>
          <w:highlight w:val="lightGray"/>
          <w:lang w:val="lt-LT"/>
        </w:rPr>
        <w:t xml:space="preserve">Saulė </w:t>
      </w:r>
      <w:r>
        <w:rPr>
          <w:i/>
          <w:snapToGrid/>
          <w:szCs w:val="22"/>
          <w:highlight w:val="lightGray"/>
          <w:lang w:val="lt-LT"/>
        </w:rPr>
        <w:t>kaip simbolis</w:t>
      </w:r>
    </w:p>
    <w:p w14:paraId="0F5698DF" w14:textId="77777777" w:rsidR="00B64E78" w:rsidRDefault="00DA46A9">
      <w:pPr>
        <w:widowControl w:val="0"/>
        <w:tabs>
          <w:tab w:val="clear" w:pos="567"/>
        </w:tabs>
        <w:spacing w:line="240" w:lineRule="auto"/>
        <w:ind w:left="567" w:hanging="567"/>
        <w:rPr>
          <w:i/>
          <w:lang w:val="lt-LT"/>
        </w:rPr>
      </w:pPr>
      <w:r>
        <w:rPr>
          <w:snapToGrid/>
          <w:szCs w:val="22"/>
          <w:highlight w:val="lightGray"/>
          <w:lang w:val="lt-LT"/>
        </w:rPr>
        <w:t xml:space="preserve">Mėnulis </w:t>
      </w:r>
      <w:r>
        <w:rPr>
          <w:i/>
          <w:snapToGrid/>
          <w:szCs w:val="22"/>
          <w:highlight w:val="lightGray"/>
          <w:lang w:val="lt-LT"/>
        </w:rPr>
        <w:t>kaip simbolis</w:t>
      </w:r>
    </w:p>
    <w:p w14:paraId="083358AA" w14:textId="77777777" w:rsidR="00B64E78" w:rsidRDefault="00B64E78">
      <w:pPr>
        <w:widowControl w:val="0"/>
        <w:tabs>
          <w:tab w:val="clear" w:pos="567"/>
        </w:tabs>
        <w:spacing w:line="240" w:lineRule="auto"/>
        <w:ind w:left="567" w:hanging="567"/>
        <w:rPr>
          <w:i/>
          <w:snapToGrid/>
          <w:szCs w:val="22"/>
          <w:lang w:val="lt-LT"/>
        </w:rPr>
      </w:pPr>
    </w:p>
    <w:p w14:paraId="34DD2755" w14:textId="77777777" w:rsidR="00B64E78" w:rsidRDefault="00DA46A9">
      <w:pPr>
        <w:tabs>
          <w:tab w:val="clear" w:pos="567"/>
        </w:tabs>
        <w:spacing w:line="240" w:lineRule="auto"/>
        <w:rPr>
          <w:i/>
          <w:snapToGrid/>
          <w:vanish/>
          <w:szCs w:val="22"/>
          <w:lang w:val="lt-LT"/>
        </w:rPr>
      </w:pPr>
      <w:r>
        <w:rPr>
          <w:snapToGrid/>
          <w:vanish/>
          <w:szCs w:val="22"/>
          <w:highlight w:val="lightGray"/>
          <w:lang w:val="lt-LT"/>
        </w:rPr>
        <w:t>Jei antrinis pakavimas bus atliekamas Indijoje, ant dėžučių bus pateikti papildomi duomenys raminantis nacionaliniais Indijos reikalavimais (pvz., pakuotės išklotinės kodas, licencijos kodas ir kt.)</w:t>
      </w:r>
      <w:r>
        <w:rPr>
          <w:snapToGrid/>
          <w:vanish/>
          <w:szCs w:val="22"/>
          <w:lang w:val="lt-LT"/>
        </w:rPr>
        <w:t>.</w:t>
      </w:r>
    </w:p>
    <w:p w14:paraId="233ABCDA" w14:textId="77777777" w:rsidR="00B64E78" w:rsidRDefault="00B64E78">
      <w:pPr>
        <w:widowControl w:val="0"/>
        <w:tabs>
          <w:tab w:val="clear" w:pos="567"/>
        </w:tabs>
        <w:spacing w:line="240" w:lineRule="auto"/>
        <w:ind w:left="567" w:hanging="567"/>
        <w:rPr>
          <w:snapToGrid/>
          <w:szCs w:val="22"/>
          <w:lang w:val="lt-LT"/>
        </w:rPr>
      </w:pPr>
    </w:p>
    <w:p w14:paraId="1F6BA9ED" w14:textId="77777777" w:rsidR="00B64E78" w:rsidRDefault="00DA46A9">
      <w:pPr>
        <w:widowControl w:val="0"/>
        <w:tabs>
          <w:tab w:val="clear" w:pos="567"/>
        </w:tabs>
        <w:spacing w:line="240" w:lineRule="auto"/>
        <w:ind w:left="567" w:hanging="567"/>
        <w:jc w:val="center"/>
        <w:rPr>
          <w:b/>
          <w:caps/>
          <w:snapToGrid/>
          <w:szCs w:val="24"/>
          <w:lang w:val="lt-LT"/>
        </w:rPr>
      </w:pPr>
      <w:r>
        <w:rPr>
          <w:snapToGrid/>
          <w:szCs w:val="22"/>
          <w:lang w:val="lt-LT"/>
        </w:rPr>
        <w:br w:type="page"/>
      </w:r>
    </w:p>
    <w:p w14:paraId="00629B74" w14:textId="77777777" w:rsidR="00B64E78" w:rsidRDefault="00B64E78">
      <w:pPr>
        <w:widowControl w:val="0"/>
        <w:tabs>
          <w:tab w:val="clear" w:pos="567"/>
        </w:tabs>
        <w:spacing w:line="240" w:lineRule="auto"/>
        <w:ind w:left="567" w:hanging="567"/>
        <w:jc w:val="center"/>
        <w:rPr>
          <w:b/>
          <w:caps/>
          <w:snapToGrid/>
          <w:szCs w:val="24"/>
          <w:lang w:val="lt-LT"/>
        </w:rPr>
      </w:pPr>
    </w:p>
    <w:p w14:paraId="61F26703" w14:textId="77777777" w:rsidR="00B64E78" w:rsidRDefault="00B64E78">
      <w:pPr>
        <w:widowControl w:val="0"/>
        <w:tabs>
          <w:tab w:val="clear" w:pos="567"/>
        </w:tabs>
        <w:spacing w:line="240" w:lineRule="auto"/>
        <w:ind w:left="567" w:hanging="567"/>
        <w:jc w:val="center"/>
        <w:rPr>
          <w:b/>
          <w:caps/>
          <w:snapToGrid/>
          <w:szCs w:val="24"/>
          <w:lang w:val="lt-LT"/>
        </w:rPr>
      </w:pPr>
    </w:p>
    <w:p w14:paraId="2B66CEEF" w14:textId="77777777" w:rsidR="00B64E78" w:rsidRDefault="00B64E78">
      <w:pPr>
        <w:widowControl w:val="0"/>
        <w:tabs>
          <w:tab w:val="clear" w:pos="567"/>
        </w:tabs>
        <w:spacing w:line="240" w:lineRule="auto"/>
        <w:ind w:left="567" w:hanging="567"/>
        <w:jc w:val="center"/>
        <w:rPr>
          <w:b/>
          <w:caps/>
          <w:snapToGrid/>
          <w:szCs w:val="24"/>
          <w:lang w:val="lt-LT"/>
        </w:rPr>
      </w:pPr>
    </w:p>
    <w:p w14:paraId="221D7DD1" w14:textId="77777777" w:rsidR="00B64E78" w:rsidRDefault="00B64E78">
      <w:pPr>
        <w:widowControl w:val="0"/>
        <w:tabs>
          <w:tab w:val="clear" w:pos="567"/>
        </w:tabs>
        <w:spacing w:line="240" w:lineRule="auto"/>
        <w:ind w:left="567" w:hanging="567"/>
        <w:jc w:val="center"/>
        <w:rPr>
          <w:b/>
          <w:caps/>
          <w:snapToGrid/>
          <w:szCs w:val="24"/>
          <w:lang w:val="lt-LT"/>
        </w:rPr>
      </w:pPr>
    </w:p>
    <w:p w14:paraId="60709058" w14:textId="77777777" w:rsidR="00B64E78" w:rsidRDefault="00B64E78">
      <w:pPr>
        <w:widowControl w:val="0"/>
        <w:tabs>
          <w:tab w:val="clear" w:pos="567"/>
        </w:tabs>
        <w:spacing w:line="240" w:lineRule="auto"/>
        <w:ind w:left="567" w:hanging="567"/>
        <w:jc w:val="center"/>
        <w:rPr>
          <w:b/>
          <w:caps/>
          <w:snapToGrid/>
          <w:szCs w:val="24"/>
          <w:lang w:val="lt-LT"/>
        </w:rPr>
      </w:pPr>
    </w:p>
    <w:p w14:paraId="595E5C81" w14:textId="77777777" w:rsidR="00B64E78" w:rsidRDefault="00B64E78">
      <w:pPr>
        <w:widowControl w:val="0"/>
        <w:tabs>
          <w:tab w:val="clear" w:pos="567"/>
        </w:tabs>
        <w:spacing w:line="240" w:lineRule="auto"/>
        <w:ind w:left="567" w:hanging="567"/>
        <w:jc w:val="center"/>
        <w:rPr>
          <w:b/>
          <w:caps/>
          <w:snapToGrid/>
          <w:szCs w:val="24"/>
          <w:lang w:val="lt-LT"/>
        </w:rPr>
      </w:pPr>
    </w:p>
    <w:p w14:paraId="140FA738" w14:textId="77777777" w:rsidR="00B64E78" w:rsidRDefault="00B64E78">
      <w:pPr>
        <w:widowControl w:val="0"/>
        <w:tabs>
          <w:tab w:val="clear" w:pos="567"/>
        </w:tabs>
        <w:spacing w:line="240" w:lineRule="auto"/>
        <w:ind w:left="567" w:hanging="567"/>
        <w:jc w:val="center"/>
        <w:rPr>
          <w:b/>
          <w:caps/>
          <w:snapToGrid/>
          <w:szCs w:val="24"/>
          <w:lang w:val="lt-LT"/>
        </w:rPr>
      </w:pPr>
    </w:p>
    <w:p w14:paraId="378EC777" w14:textId="77777777" w:rsidR="00B64E78" w:rsidRDefault="00B64E78">
      <w:pPr>
        <w:widowControl w:val="0"/>
        <w:tabs>
          <w:tab w:val="clear" w:pos="567"/>
        </w:tabs>
        <w:spacing w:line="240" w:lineRule="auto"/>
        <w:ind w:left="567" w:hanging="567"/>
        <w:jc w:val="center"/>
        <w:rPr>
          <w:b/>
          <w:caps/>
          <w:snapToGrid/>
          <w:szCs w:val="24"/>
          <w:lang w:val="lt-LT"/>
        </w:rPr>
      </w:pPr>
    </w:p>
    <w:p w14:paraId="7B86FBF0" w14:textId="77777777" w:rsidR="00B64E78" w:rsidRDefault="00B64E78">
      <w:pPr>
        <w:widowControl w:val="0"/>
        <w:tabs>
          <w:tab w:val="clear" w:pos="567"/>
        </w:tabs>
        <w:spacing w:line="240" w:lineRule="auto"/>
        <w:ind w:left="567" w:hanging="567"/>
        <w:jc w:val="center"/>
        <w:rPr>
          <w:b/>
          <w:caps/>
          <w:snapToGrid/>
          <w:szCs w:val="24"/>
          <w:lang w:val="lt-LT"/>
        </w:rPr>
      </w:pPr>
    </w:p>
    <w:p w14:paraId="047C32FB" w14:textId="77777777" w:rsidR="00B64E78" w:rsidRDefault="00B64E78">
      <w:pPr>
        <w:widowControl w:val="0"/>
        <w:tabs>
          <w:tab w:val="clear" w:pos="567"/>
        </w:tabs>
        <w:spacing w:line="240" w:lineRule="auto"/>
        <w:ind w:left="567" w:hanging="567"/>
        <w:jc w:val="center"/>
        <w:rPr>
          <w:b/>
          <w:caps/>
          <w:snapToGrid/>
          <w:szCs w:val="24"/>
          <w:lang w:val="lt-LT"/>
        </w:rPr>
      </w:pPr>
    </w:p>
    <w:p w14:paraId="2BBC865A" w14:textId="77777777" w:rsidR="00B64E78" w:rsidRDefault="00B64E78">
      <w:pPr>
        <w:widowControl w:val="0"/>
        <w:tabs>
          <w:tab w:val="clear" w:pos="567"/>
        </w:tabs>
        <w:spacing w:line="240" w:lineRule="auto"/>
        <w:ind w:left="567" w:hanging="567"/>
        <w:jc w:val="center"/>
        <w:rPr>
          <w:b/>
          <w:caps/>
          <w:snapToGrid/>
          <w:szCs w:val="24"/>
          <w:lang w:val="lt-LT"/>
        </w:rPr>
      </w:pPr>
    </w:p>
    <w:p w14:paraId="7A7AE2E3" w14:textId="77777777" w:rsidR="00B64E78" w:rsidRDefault="00B64E78">
      <w:pPr>
        <w:widowControl w:val="0"/>
        <w:tabs>
          <w:tab w:val="clear" w:pos="567"/>
        </w:tabs>
        <w:spacing w:line="240" w:lineRule="auto"/>
        <w:ind w:left="567" w:hanging="567"/>
        <w:jc w:val="center"/>
        <w:rPr>
          <w:b/>
          <w:caps/>
          <w:snapToGrid/>
          <w:szCs w:val="24"/>
          <w:lang w:val="lt-LT"/>
        </w:rPr>
      </w:pPr>
    </w:p>
    <w:p w14:paraId="575F2782" w14:textId="77777777" w:rsidR="00B64E78" w:rsidRDefault="00B64E78">
      <w:pPr>
        <w:widowControl w:val="0"/>
        <w:tabs>
          <w:tab w:val="clear" w:pos="567"/>
        </w:tabs>
        <w:spacing w:line="240" w:lineRule="auto"/>
        <w:ind w:left="567" w:hanging="567"/>
        <w:jc w:val="center"/>
        <w:rPr>
          <w:b/>
          <w:caps/>
          <w:snapToGrid/>
          <w:szCs w:val="24"/>
          <w:lang w:val="lt-LT"/>
        </w:rPr>
      </w:pPr>
    </w:p>
    <w:p w14:paraId="787B889B" w14:textId="77777777" w:rsidR="00B64E78" w:rsidRDefault="00B64E78">
      <w:pPr>
        <w:widowControl w:val="0"/>
        <w:tabs>
          <w:tab w:val="clear" w:pos="567"/>
        </w:tabs>
        <w:spacing w:line="240" w:lineRule="auto"/>
        <w:ind w:left="567" w:hanging="567"/>
        <w:jc w:val="center"/>
        <w:rPr>
          <w:b/>
          <w:caps/>
          <w:snapToGrid/>
          <w:szCs w:val="24"/>
          <w:lang w:val="lt-LT"/>
        </w:rPr>
      </w:pPr>
    </w:p>
    <w:p w14:paraId="36348F1B" w14:textId="77777777" w:rsidR="00B64E78" w:rsidRDefault="00B64E78">
      <w:pPr>
        <w:widowControl w:val="0"/>
        <w:tabs>
          <w:tab w:val="clear" w:pos="567"/>
        </w:tabs>
        <w:spacing w:line="240" w:lineRule="auto"/>
        <w:ind w:left="567" w:hanging="567"/>
        <w:jc w:val="center"/>
        <w:rPr>
          <w:b/>
          <w:caps/>
          <w:snapToGrid/>
          <w:szCs w:val="24"/>
          <w:lang w:val="lt-LT"/>
        </w:rPr>
      </w:pPr>
    </w:p>
    <w:p w14:paraId="1962CEC2" w14:textId="77777777" w:rsidR="00B64E78" w:rsidRDefault="00B64E78">
      <w:pPr>
        <w:widowControl w:val="0"/>
        <w:tabs>
          <w:tab w:val="clear" w:pos="567"/>
        </w:tabs>
        <w:spacing w:line="240" w:lineRule="auto"/>
        <w:ind w:left="567" w:hanging="567"/>
        <w:jc w:val="center"/>
        <w:rPr>
          <w:b/>
          <w:caps/>
          <w:snapToGrid/>
          <w:szCs w:val="24"/>
          <w:lang w:val="lt-LT"/>
        </w:rPr>
      </w:pPr>
    </w:p>
    <w:p w14:paraId="7EA2BB0B" w14:textId="77777777" w:rsidR="00B64E78" w:rsidRDefault="00B64E78">
      <w:pPr>
        <w:widowControl w:val="0"/>
        <w:tabs>
          <w:tab w:val="clear" w:pos="567"/>
        </w:tabs>
        <w:spacing w:line="240" w:lineRule="auto"/>
        <w:ind w:left="567" w:hanging="567"/>
        <w:jc w:val="center"/>
        <w:rPr>
          <w:b/>
          <w:caps/>
          <w:snapToGrid/>
          <w:szCs w:val="24"/>
          <w:lang w:val="lt-LT"/>
        </w:rPr>
      </w:pPr>
    </w:p>
    <w:p w14:paraId="43EE9BA4" w14:textId="77777777" w:rsidR="00B64E78" w:rsidRDefault="00B64E78">
      <w:pPr>
        <w:widowControl w:val="0"/>
        <w:tabs>
          <w:tab w:val="clear" w:pos="567"/>
        </w:tabs>
        <w:spacing w:line="240" w:lineRule="auto"/>
        <w:ind w:left="567" w:hanging="567"/>
        <w:jc w:val="center"/>
        <w:rPr>
          <w:b/>
          <w:caps/>
          <w:snapToGrid/>
          <w:szCs w:val="24"/>
          <w:lang w:val="lt-LT"/>
        </w:rPr>
      </w:pPr>
    </w:p>
    <w:p w14:paraId="33D5CC27" w14:textId="77777777" w:rsidR="00B64E78" w:rsidRDefault="00B64E78">
      <w:pPr>
        <w:widowControl w:val="0"/>
        <w:tabs>
          <w:tab w:val="clear" w:pos="567"/>
        </w:tabs>
        <w:spacing w:line="240" w:lineRule="auto"/>
        <w:ind w:left="567" w:hanging="567"/>
        <w:jc w:val="center"/>
        <w:rPr>
          <w:b/>
          <w:caps/>
          <w:snapToGrid/>
          <w:szCs w:val="24"/>
          <w:lang w:val="lt-LT"/>
        </w:rPr>
      </w:pPr>
    </w:p>
    <w:p w14:paraId="2C05CB63" w14:textId="77777777" w:rsidR="00B64E78" w:rsidRDefault="00B64E78">
      <w:pPr>
        <w:widowControl w:val="0"/>
        <w:tabs>
          <w:tab w:val="clear" w:pos="567"/>
        </w:tabs>
        <w:spacing w:line="240" w:lineRule="auto"/>
        <w:ind w:left="567" w:hanging="567"/>
        <w:jc w:val="center"/>
        <w:rPr>
          <w:b/>
          <w:caps/>
          <w:snapToGrid/>
          <w:szCs w:val="24"/>
          <w:lang w:val="lt-LT"/>
        </w:rPr>
      </w:pPr>
    </w:p>
    <w:p w14:paraId="755858EC" w14:textId="77777777" w:rsidR="00B64E78" w:rsidRDefault="00B64E78">
      <w:pPr>
        <w:widowControl w:val="0"/>
        <w:tabs>
          <w:tab w:val="clear" w:pos="567"/>
        </w:tabs>
        <w:spacing w:line="240" w:lineRule="auto"/>
        <w:ind w:left="567" w:hanging="567"/>
        <w:jc w:val="center"/>
        <w:rPr>
          <w:b/>
          <w:caps/>
          <w:snapToGrid/>
          <w:szCs w:val="24"/>
          <w:lang w:val="lt-LT"/>
        </w:rPr>
      </w:pPr>
    </w:p>
    <w:p w14:paraId="59584C45" w14:textId="77777777" w:rsidR="00B64E78" w:rsidRDefault="00DA46A9">
      <w:pPr>
        <w:widowControl w:val="0"/>
        <w:spacing w:line="240" w:lineRule="auto"/>
        <w:ind w:left="567" w:hanging="567"/>
        <w:jc w:val="center"/>
        <w:outlineLvl w:val="0"/>
        <w:rPr>
          <w:b/>
          <w:caps/>
          <w:snapToGrid/>
          <w:szCs w:val="22"/>
          <w:lang w:val="lt-LT"/>
        </w:rPr>
      </w:pPr>
      <w:r>
        <w:rPr>
          <w:b/>
          <w:snapToGrid/>
          <w:szCs w:val="22"/>
          <w:lang w:val="lt-LT"/>
        </w:rPr>
        <w:t>B. PAKUOTĖS LAPELIS</w:t>
      </w:r>
    </w:p>
    <w:p w14:paraId="2B72DAB2" w14:textId="77777777" w:rsidR="00B64E78" w:rsidRDefault="00DA46A9">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pacientui</w:t>
      </w:r>
    </w:p>
    <w:p w14:paraId="703C9A28" w14:textId="77777777" w:rsidR="00B64E78" w:rsidRDefault="00B64E78">
      <w:pPr>
        <w:widowControl w:val="0"/>
        <w:tabs>
          <w:tab w:val="clear" w:pos="567"/>
        </w:tabs>
        <w:spacing w:line="240" w:lineRule="auto"/>
        <w:ind w:left="567" w:hanging="567"/>
        <w:jc w:val="center"/>
        <w:rPr>
          <w:b/>
          <w:snapToGrid/>
          <w:szCs w:val="22"/>
          <w:lang w:val="lt-LT"/>
        </w:rPr>
      </w:pPr>
    </w:p>
    <w:p w14:paraId="5FF2D2E9" w14:textId="77777777" w:rsidR="00B64E78" w:rsidRDefault="00DA46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Maymetsi</w:t>
      </w:r>
      <w:proofErr w:type="spellEnd"/>
      <w:r>
        <w:rPr>
          <w:b/>
          <w:bCs/>
          <w:snapToGrid/>
          <w:color w:val="000000"/>
          <w:szCs w:val="22"/>
          <w:lang w:val="lt-LT"/>
        </w:rPr>
        <w:t xml:space="preserve"> 50 mg/850 mg plėvele dengtos tabletės</w:t>
      </w:r>
    </w:p>
    <w:p w14:paraId="01922185" w14:textId="77777777" w:rsidR="00B64E78" w:rsidRDefault="00DA46A9">
      <w:pPr>
        <w:widowControl w:val="0"/>
        <w:tabs>
          <w:tab w:val="clear" w:pos="567"/>
        </w:tabs>
        <w:autoSpaceDE w:val="0"/>
        <w:autoSpaceDN w:val="0"/>
        <w:adjustRightInd w:val="0"/>
        <w:spacing w:line="240" w:lineRule="auto"/>
        <w:jc w:val="center"/>
        <w:rPr>
          <w:b/>
          <w:bCs/>
          <w:snapToGrid/>
          <w:color w:val="000000"/>
          <w:szCs w:val="22"/>
          <w:lang w:val="lt-LT"/>
        </w:rPr>
      </w:pPr>
      <w:proofErr w:type="spellStart"/>
      <w:r>
        <w:rPr>
          <w:b/>
          <w:bCs/>
          <w:snapToGrid/>
          <w:color w:val="000000"/>
          <w:szCs w:val="22"/>
          <w:lang w:val="lt-LT"/>
        </w:rPr>
        <w:t>Maymetsi</w:t>
      </w:r>
      <w:proofErr w:type="spellEnd"/>
      <w:r>
        <w:rPr>
          <w:b/>
          <w:bCs/>
          <w:snapToGrid/>
          <w:color w:val="000000"/>
          <w:szCs w:val="22"/>
          <w:lang w:val="lt-LT"/>
        </w:rPr>
        <w:t xml:space="preserve"> 50 mg/1000 mg plėvele dengtos tabletės</w:t>
      </w:r>
    </w:p>
    <w:p w14:paraId="5E1C9BDE" w14:textId="77777777" w:rsidR="00B64E78" w:rsidRDefault="00DA46A9">
      <w:pPr>
        <w:widowControl w:val="0"/>
        <w:tabs>
          <w:tab w:val="clear" w:pos="567"/>
        </w:tabs>
        <w:spacing w:line="240" w:lineRule="auto"/>
        <w:ind w:left="567" w:hanging="567"/>
        <w:jc w:val="center"/>
        <w:rPr>
          <w:snapToGrid/>
          <w:szCs w:val="22"/>
          <w:lang w:val="lt-LT"/>
        </w:rPr>
      </w:pPr>
      <w:proofErr w:type="spellStart"/>
      <w:r>
        <w:rPr>
          <w:snapToGrid/>
          <w:szCs w:val="22"/>
          <w:lang w:val="lt-LT"/>
        </w:rPr>
        <w:t>sitagliptinas</w:t>
      </w:r>
      <w:proofErr w:type="spellEnd"/>
      <w:r>
        <w:rPr>
          <w:snapToGrid/>
          <w:szCs w:val="22"/>
          <w:lang w:val="lt-LT"/>
        </w:rPr>
        <w:t>/</w:t>
      </w:r>
      <w:proofErr w:type="spellStart"/>
      <w:r>
        <w:rPr>
          <w:snapToGrid/>
          <w:szCs w:val="22"/>
          <w:lang w:val="lt-LT"/>
        </w:rPr>
        <w:t>metformino</w:t>
      </w:r>
      <w:proofErr w:type="spellEnd"/>
      <w:r>
        <w:rPr>
          <w:snapToGrid/>
          <w:szCs w:val="22"/>
          <w:lang w:val="lt-LT"/>
        </w:rPr>
        <w:t xml:space="preserve"> hidrochloridas</w:t>
      </w:r>
    </w:p>
    <w:p w14:paraId="0A948877" w14:textId="77777777" w:rsidR="00B64E78" w:rsidRDefault="00B64E78">
      <w:pPr>
        <w:widowControl w:val="0"/>
        <w:tabs>
          <w:tab w:val="clear" w:pos="567"/>
        </w:tabs>
        <w:spacing w:line="240" w:lineRule="auto"/>
        <w:ind w:left="567" w:hanging="567"/>
        <w:jc w:val="center"/>
        <w:rPr>
          <w:snapToGrid/>
          <w:szCs w:val="22"/>
          <w:lang w:val="lt-LT"/>
        </w:rPr>
      </w:pPr>
    </w:p>
    <w:p w14:paraId="7F4402FC" w14:textId="77777777" w:rsidR="00B64E78" w:rsidRDefault="00B64E78">
      <w:pPr>
        <w:widowControl w:val="0"/>
        <w:tabs>
          <w:tab w:val="clear" w:pos="567"/>
        </w:tabs>
        <w:spacing w:line="240" w:lineRule="auto"/>
        <w:rPr>
          <w:snapToGrid/>
          <w:szCs w:val="22"/>
          <w:lang w:val="lt-LT"/>
        </w:rPr>
      </w:pPr>
    </w:p>
    <w:p w14:paraId="6F3381DE"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260A1976" w14:textId="77777777" w:rsidR="00B64E78" w:rsidRDefault="00DA46A9">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6C7F886D" w14:textId="77777777" w:rsidR="00B64E78" w:rsidRDefault="00DA46A9">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14:paraId="73A19F27" w14:textId="77777777" w:rsidR="00B64E78" w:rsidRDefault="00DA46A9">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14:paraId="1A638831" w14:textId="77777777" w:rsidR="00B64E78" w:rsidRDefault="00DA46A9">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14:paraId="776C7E5D" w14:textId="77777777" w:rsidR="00B64E78" w:rsidRDefault="00B64E78">
      <w:pPr>
        <w:widowControl w:val="0"/>
        <w:autoSpaceDE w:val="0"/>
        <w:autoSpaceDN w:val="0"/>
        <w:adjustRightInd w:val="0"/>
        <w:spacing w:line="240" w:lineRule="auto"/>
        <w:ind w:left="567" w:hanging="567"/>
        <w:rPr>
          <w:bCs/>
          <w:snapToGrid/>
          <w:szCs w:val="22"/>
          <w:lang w:val="lt-LT"/>
        </w:rPr>
      </w:pPr>
    </w:p>
    <w:p w14:paraId="1838A954" w14:textId="77777777" w:rsidR="00B64E78" w:rsidRDefault="00DA46A9">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50C4B296"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Maymetsi</w:t>
      </w:r>
      <w:proofErr w:type="spellEnd"/>
      <w:r>
        <w:rPr>
          <w:snapToGrid/>
          <w:szCs w:val="22"/>
          <w:lang w:val="lt-LT"/>
        </w:rPr>
        <w:t xml:space="preserve"> ir kam jis vartojamas</w:t>
      </w:r>
    </w:p>
    <w:p w14:paraId="250411BD"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Maymetsi</w:t>
      </w:r>
      <w:proofErr w:type="spellEnd"/>
    </w:p>
    <w:p w14:paraId="2829530F"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Maymetsi</w:t>
      </w:r>
      <w:proofErr w:type="spellEnd"/>
    </w:p>
    <w:p w14:paraId="5464204B"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2037BFC7"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Maymetsi</w:t>
      </w:r>
      <w:proofErr w:type="spellEnd"/>
    </w:p>
    <w:p w14:paraId="15C509AA" w14:textId="77777777" w:rsidR="00B64E78" w:rsidRDefault="00DA46A9">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43108677" w14:textId="77777777" w:rsidR="00B64E78" w:rsidRDefault="00B64E78">
      <w:pPr>
        <w:widowControl w:val="0"/>
        <w:numPr>
          <w:ilvl w:val="12"/>
          <w:numId w:val="0"/>
        </w:numPr>
        <w:tabs>
          <w:tab w:val="clear" w:pos="567"/>
        </w:tabs>
        <w:spacing w:line="240" w:lineRule="auto"/>
        <w:rPr>
          <w:snapToGrid/>
          <w:szCs w:val="22"/>
          <w:lang w:val="lt-LT"/>
        </w:rPr>
      </w:pPr>
    </w:p>
    <w:p w14:paraId="6C03568C" w14:textId="77777777" w:rsidR="00B64E78" w:rsidRDefault="00B64E78">
      <w:pPr>
        <w:widowControl w:val="0"/>
        <w:numPr>
          <w:ilvl w:val="12"/>
          <w:numId w:val="0"/>
        </w:numPr>
        <w:tabs>
          <w:tab w:val="clear" w:pos="567"/>
        </w:tabs>
        <w:spacing w:line="240" w:lineRule="auto"/>
        <w:rPr>
          <w:snapToGrid/>
          <w:szCs w:val="22"/>
          <w:lang w:val="lt-LT"/>
        </w:rPr>
      </w:pPr>
    </w:p>
    <w:p w14:paraId="571C3876"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Maymetsi</w:t>
      </w:r>
      <w:proofErr w:type="spellEnd"/>
      <w:r>
        <w:rPr>
          <w:b/>
          <w:bCs/>
          <w:snapToGrid/>
          <w:szCs w:val="22"/>
          <w:lang w:val="lt-LT"/>
        </w:rPr>
        <w:t xml:space="preserve"> </w:t>
      </w:r>
      <w:r>
        <w:rPr>
          <w:b/>
          <w:snapToGrid/>
          <w:szCs w:val="22"/>
          <w:lang w:val="lt-LT"/>
        </w:rPr>
        <w:t>ir kam jis vartojamas</w:t>
      </w:r>
    </w:p>
    <w:p w14:paraId="70AEED97" w14:textId="77777777" w:rsidR="00B64E78" w:rsidRDefault="00B64E78">
      <w:pPr>
        <w:widowControl w:val="0"/>
        <w:tabs>
          <w:tab w:val="clear" w:pos="567"/>
        </w:tabs>
        <w:spacing w:line="240" w:lineRule="auto"/>
        <w:ind w:left="567" w:hanging="567"/>
        <w:rPr>
          <w:snapToGrid/>
          <w:szCs w:val="22"/>
          <w:lang w:val="lt-LT"/>
        </w:rPr>
      </w:pPr>
    </w:p>
    <w:p w14:paraId="01DDBB30"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sudėtyje yra du skirtingi vaistai, vadinami </w:t>
      </w:r>
      <w:proofErr w:type="spellStart"/>
      <w:r>
        <w:rPr>
          <w:snapToGrid/>
          <w:szCs w:val="22"/>
          <w:lang w:val="lt-LT"/>
        </w:rPr>
        <w:t>sitagliptinu</w:t>
      </w:r>
      <w:proofErr w:type="spellEnd"/>
      <w:r>
        <w:rPr>
          <w:snapToGrid/>
          <w:szCs w:val="22"/>
          <w:lang w:val="lt-LT"/>
        </w:rPr>
        <w:t xml:space="preserve"> ir </w:t>
      </w:r>
      <w:proofErr w:type="spellStart"/>
      <w:r>
        <w:rPr>
          <w:snapToGrid/>
          <w:szCs w:val="22"/>
          <w:lang w:val="lt-LT"/>
        </w:rPr>
        <w:t>metforminu</w:t>
      </w:r>
      <w:proofErr w:type="spellEnd"/>
      <w:r>
        <w:rPr>
          <w:snapToGrid/>
          <w:szCs w:val="22"/>
          <w:lang w:val="lt-LT"/>
        </w:rPr>
        <w:t>.</w:t>
      </w:r>
    </w:p>
    <w:p w14:paraId="3262C155" w14:textId="77777777" w:rsidR="00B64E78" w:rsidRDefault="00DA46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Sitagliptinas priklauso vaistų, vadinamų DPP-4 inhibitoriais (dipeptidilpeptidazės-4 inhibitoriais), klasei.</w:t>
      </w:r>
    </w:p>
    <w:p w14:paraId="119FA9C2" w14:textId="77777777" w:rsidR="00B64E78" w:rsidRDefault="00DA46A9">
      <w:pPr>
        <w:widowControl w:val="0"/>
        <w:numPr>
          <w:ilvl w:val="0"/>
          <w:numId w:val="17"/>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Metforminas priklauso vaistų, vadinamų </w:t>
      </w:r>
      <w:proofErr w:type="spellStart"/>
      <w:r>
        <w:rPr>
          <w:snapToGrid/>
          <w:szCs w:val="22"/>
          <w:lang w:val="lt-LT"/>
        </w:rPr>
        <w:t>biguanidais</w:t>
      </w:r>
      <w:proofErr w:type="spellEnd"/>
      <w:r>
        <w:rPr>
          <w:snapToGrid/>
          <w:szCs w:val="22"/>
          <w:lang w:val="lt-LT"/>
        </w:rPr>
        <w:t>, klasei.</w:t>
      </w:r>
    </w:p>
    <w:p w14:paraId="354033B8" w14:textId="77777777" w:rsidR="00B64E78" w:rsidRDefault="00B64E78">
      <w:pPr>
        <w:widowControl w:val="0"/>
        <w:tabs>
          <w:tab w:val="clear" w:pos="567"/>
        </w:tabs>
        <w:autoSpaceDE w:val="0"/>
        <w:autoSpaceDN w:val="0"/>
        <w:adjustRightInd w:val="0"/>
        <w:spacing w:line="240" w:lineRule="auto"/>
        <w:rPr>
          <w:snapToGrid/>
          <w:szCs w:val="22"/>
          <w:lang w:val="lt-LT"/>
        </w:rPr>
      </w:pPr>
    </w:p>
    <w:p w14:paraId="7B0CF52E"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Veikdami kartu, jie kontroliuoja cukraus kiekį kraujyje suaugusiems pacientams, sergantiems cukrinio diabeto forma, vadinama 2 tipo cukriniu diabetu. Šis vaistas padeda padidinti po valgio išskiriamo insulino kiekį ir sumažina organizmo gaminamo cukraus kiekį.</w:t>
      </w:r>
      <w:r>
        <w:rPr>
          <w:snapToGrid/>
          <w:szCs w:val="22"/>
          <w:lang w:val="lt-LT"/>
        </w:rPr>
        <w:cr/>
      </w:r>
    </w:p>
    <w:p w14:paraId="3B26CFA9" w14:textId="77777777" w:rsidR="00B64E78" w:rsidRDefault="00DA46A9">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Šis vaistas kartu su dieta ir fiziniu krūviu padeda mažinti cukraus kiekį kraujyje. </w:t>
      </w:r>
      <w:r>
        <w:rPr>
          <w:snapToGrid/>
          <w:szCs w:val="24"/>
          <w:lang w:val="lt-LT"/>
        </w:rPr>
        <w:t xml:space="preserve">Šis vaistas gali būti vartojamas vienas arba kartu su kitais cukraus kiekį kraujyje mažinančiais vaistais (insulinu, </w:t>
      </w:r>
      <w:proofErr w:type="spellStart"/>
      <w:r>
        <w:rPr>
          <w:snapToGrid/>
          <w:szCs w:val="24"/>
          <w:lang w:val="lt-LT"/>
        </w:rPr>
        <w:t>sulfonilkarbamidais</w:t>
      </w:r>
      <w:proofErr w:type="spellEnd"/>
      <w:r>
        <w:rPr>
          <w:snapToGrid/>
          <w:szCs w:val="24"/>
          <w:lang w:val="lt-LT"/>
        </w:rPr>
        <w:t xml:space="preserve"> ar </w:t>
      </w:r>
      <w:proofErr w:type="spellStart"/>
      <w:r>
        <w:rPr>
          <w:snapToGrid/>
          <w:szCs w:val="24"/>
          <w:lang w:val="lt-LT"/>
        </w:rPr>
        <w:t>glitazonais</w:t>
      </w:r>
      <w:proofErr w:type="spellEnd"/>
      <w:r>
        <w:rPr>
          <w:snapToGrid/>
          <w:szCs w:val="24"/>
          <w:lang w:val="lt-LT"/>
        </w:rPr>
        <w:t>).</w:t>
      </w:r>
    </w:p>
    <w:p w14:paraId="5AF95A3D" w14:textId="77777777" w:rsidR="00B64E78" w:rsidRDefault="00B64E78">
      <w:pPr>
        <w:widowControl w:val="0"/>
        <w:tabs>
          <w:tab w:val="clear" w:pos="567"/>
        </w:tabs>
        <w:autoSpaceDE w:val="0"/>
        <w:autoSpaceDN w:val="0"/>
        <w:adjustRightInd w:val="0"/>
        <w:spacing w:line="240" w:lineRule="auto"/>
        <w:rPr>
          <w:snapToGrid/>
          <w:szCs w:val="24"/>
          <w:lang w:val="lt-LT"/>
        </w:rPr>
      </w:pPr>
    </w:p>
    <w:p w14:paraId="2B07B9D1" w14:textId="77777777" w:rsidR="00B64E78" w:rsidRDefault="00DA46A9">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14:paraId="627050BA"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14:paraId="09D5EC8E" w14:textId="77777777" w:rsidR="00B64E78" w:rsidRDefault="00B64E78">
      <w:pPr>
        <w:widowControl w:val="0"/>
        <w:numPr>
          <w:ilvl w:val="12"/>
          <w:numId w:val="0"/>
        </w:numPr>
        <w:tabs>
          <w:tab w:val="clear" w:pos="567"/>
        </w:tabs>
        <w:spacing w:line="240" w:lineRule="auto"/>
        <w:rPr>
          <w:snapToGrid/>
          <w:szCs w:val="22"/>
          <w:lang w:val="lt-LT"/>
        </w:rPr>
      </w:pPr>
    </w:p>
    <w:p w14:paraId="6EE0B629" w14:textId="77777777" w:rsidR="00B64E78" w:rsidRDefault="00B64E78">
      <w:pPr>
        <w:widowControl w:val="0"/>
        <w:numPr>
          <w:ilvl w:val="12"/>
          <w:numId w:val="0"/>
        </w:numPr>
        <w:tabs>
          <w:tab w:val="clear" w:pos="567"/>
        </w:tabs>
        <w:spacing w:line="240" w:lineRule="auto"/>
        <w:rPr>
          <w:snapToGrid/>
          <w:szCs w:val="22"/>
          <w:lang w:val="lt-LT"/>
        </w:rPr>
      </w:pPr>
    </w:p>
    <w:p w14:paraId="3DB93409"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Maymetsi</w:t>
      </w:r>
      <w:proofErr w:type="spellEnd"/>
    </w:p>
    <w:p w14:paraId="050E21E7" w14:textId="77777777" w:rsidR="00B64E78" w:rsidRDefault="00B64E78">
      <w:pPr>
        <w:widowControl w:val="0"/>
        <w:tabs>
          <w:tab w:val="clear" w:pos="567"/>
        </w:tabs>
        <w:spacing w:line="240" w:lineRule="auto"/>
        <w:ind w:left="567" w:hanging="567"/>
        <w:rPr>
          <w:snapToGrid/>
          <w:szCs w:val="22"/>
          <w:lang w:val="lt-LT"/>
        </w:rPr>
      </w:pPr>
    </w:p>
    <w:p w14:paraId="0A374C39" w14:textId="77777777" w:rsidR="00B64E78" w:rsidRDefault="00DA46A9">
      <w:pPr>
        <w:widowControl w:val="0"/>
        <w:tabs>
          <w:tab w:val="clear" w:pos="567"/>
        </w:tabs>
        <w:spacing w:line="240" w:lineRule="auto"/>
        <w:ind w:left="567" w:hanging="567"/>
        <w:rPr>
          <w:b/>
          <w:bCs/>
          <w:caps/>
          <w:snapToGrid/>
          <w:szCs w:val="22"/>
          <w:lang w:val="lt-LT"/>
        </w:rPr>
      </w:pPr>
      <w:proofErr w:type="spellStart"/>
      <w:r>
        <w:rPr>
          <w:b/>
          <w:bCs/>
          <w:snapToGrid/>
          <w:szCs w:val="22"/>
          <w:lang w:val="lt-LT"/>
        </w:rPr>
        <w:t>Maymetsi</w:t>
      </w:r>
      <w:proofErr w:type="spellEnd"/>
      <w:r>
        <w:rPr>
          <w:b/>
          <w:bCs/>
          <w:snapToGrid/>
          <w:szCs w:val="22"/>
          <w:lang w:val="lt-LT"/>
        </w:rPr>
        <w:t xml:space="preserve"> vartoti draudžiama:</w:t>
      </w:r>
    </w:p>
    <w:p w14:paraId="0673EE1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veikliosioms medžiagoms arba bet kuriai pagalbinei šio vaisto medžiagai (jos išvardytos 6 skyriuje);</w:t>
      </w:r>
    </w:p>
    <w:p w14:paraId="2882AC5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labai susilpnėjusi inkstų funkcija;</w:t>
      </w:r>
    </w:p>
    <w:p w14:paraId="381A95B2"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nekontroliuojamu cukriniu diabetu, pvz., yra sunki hiperglikemija (didelis gliukozės kiekis kraujyje), pasireiškia pykinimas, vėmimas, viduriavimas, greitas kūno svorio mažėjimas, pieno rūgšties </w:t>
      </w:r>
      <w:proofErr w:type="spellStart"/>
      <w:r>
        <w:rPr>
          <w:snapToGrid/>
          <w:szCs w:val="22"/>
          <w:lang w:val="lt-LT"/>
        </w:rPr>
        <w:t>acidozė</w:t>
      </w:r>
      <w:proofErr w:type="spellEnd"/>
      <w:r>
        <w:rPr>
          <w:snapToGrid/>
          <w:szCs w:val="22"/>
          <w:lang w:val="lt-LT"/>
        </w:rPr>
        <w:t xml:space="preserve"> (žr. „Pieno rūgšties </w:t>
      </w:r>
      <w:proofErr w:type="spellStart"/>
      <w:r>
        <w:rPr>
          <w:snapToGrid/>
          <w:szCs w:val="22"/>
          <w:lang w:val="lt-LT"/>
        </w:rPr>
        <w:t>acidozės</w:t>
      </w:r>
      <w:proofErr w:type="spellEnd"/>
      <w:r>
        <w:rPr>
          <w:snapToGrid/>
          <w:szCs w:val="22"/>
          <w:lang w:val="lt-LT"/>
        </w:rPr>
        <w:t xml:space="preserve"> rizika“ toliau) arba </w:t>
      </w:r>
      <w:proofErr w:type="spellStart"/>
      <w:r>
        <w:rPr>
          <w:snapToGrid/>
          <w:szCs w:val="22"/>
          <w:lang w:val="lt-LT"/>
        </w:rPr>
        <w:t>ketoacidozė</w:t>
      </w:r>
      <w:proofErr w:type="spellEnd"/>
      <w:r>
        <w:rPr>
          <w:snapToGrid/>
          <w:szCs w:val="22"/>
          <w:lang w:val="lt-LT"/>
        </w:rPr>
        <w:t xml:space="preserve">. </w:t>
      </w:r>
      <w:proofErr w:type="spellStart"/>
      <w:r>
        <w:rPr>
          <w:snapToGrid/>
          <w:szCs w:val="22"/>
          <w:lang w:val="lt-LT"/>
        </w:rPr>
        <w:t>Ketoacidozė</w:t>
      </w:r>
      <w:proofErr w:type="spellEnd"/>
      <w:r>
        <w:rPr>
          <w:snapToGrid/>
          <w:szCs w:val="22"/>
          <w:lang w:val="lt-LT"/>
        </w:rPr>
        <w:t xml:space="preserve"> yra būklė, kai kraujyje kaupiasi medžiagos, vadinamos „</w:t>
      </w:r>
      <w:proofErr w:type="spellStart"/>
      <w:r>
        <w:rPr>
          <w:snapToGrid/>
          <w:szCs w:val="22"/>
          <w:lang w:val="lt-LT"/>
        </w:rPr>
        <w:t>ketoniniais</w:t>
      </w:r>
      <w:proofErr w:type="spellEnd"/>
      <w:r>
        <w:rPr>
          <w:snapToGrid/>
          <w:szCs w:val="22"/>
          <w:lang w:val="lt-LT"/>
        </w:rPr>
        <w:t xml:space="preserve"> kūnais“, ji gali </w:t>
      </w:r>
      <w:r>
        <w:rPr>
          <w:snapToGrid/>
          <w:szCs w:val="22"/>
          <w:lang w:val="lt-LT"/>
        </w:rPr>
        <w:lastRenderedPageBreak/>
        <w:t xml:space="preserve">sukelti diabetinę </w:t>
      </w:r>
      <w:proofErr w:type="spellStart"/>
      <w:r>
        <w:rPr>
          <w:snapToGrid/>
          <w:szCs w:val="22"/>
          <w:lang w:val="lt-LT"/>
        </w:rPr>
        <w:t>prekominę</w:t>
      </w:r>
      <w:proofErr w:type="spellEnd"/>
      <w:r>
        <w:rPr>
          <w:snapToGrid/>
          <w:szCs w:val="22"/>
          <w:lang w:val="lt-LT"/>
        </w:rPr>
        <w:t xml:space="preserve"> būklę. Galimi simptomai yra pilvo skausmas, dažnas ir gilus kvėpavimas, mieguistumas arba neįprastas vaisių kvapas iš burnos;</w:t>
      </w:r>
    </w:p>
    <w:p w14:paraId="6EED8C7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infekcija arba skysčio trūkumas organizme;</w:t>
      </w:r>
    </w:p>
    <w:p w14:paraId="2A32203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numatoma atlikti rentgenologinį tyrimą, kurio metu Jums bus sušvirkšta dažo. Jums reikės nutraukti </w:t>
      </w:r>
      <w:proofErr w:type="spellStart"/>
      <w:r>
        <w:rPr>
          <w:snapToGrid/>
          <w:szCs w:val="22"/>
          <w:lang w:val="lt-LT"/>
        </w:rPr>
        <w:t>Maymetsi</w:t>
      </w:r>
      <w:proofErr w:type="spellEnd"/>
      <w:r>
        <w:rPr>
          <w:snapToGrid/>
          <w:szCs w:val="22"/>
          <w:lang w:val="lt-LT"/>
        </w:rPr>
        <w:t xml:space="preserve"> vartojimą rentgenologinio tyrimo metu ir 2 ar daugiau dienų po jo, kiek nurodys gydytojas, atsižvelgdamas į Jūsų inkstų funkciją;</w:t>
      </w:r>
    </w:p>
    <w:p w14:paraId="600AFBB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neseniai patyrėte širdies priepuolį arba buvo sunkių kraujotakos sutrikimų, tokių kaip šokas arba apsunkintas kvėpavimas;</w:t>
      </w:r>
    </w:p>
    <w:p w14:paraId="20670FCB"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sutrikusi kepenų funkcija;</w:t>
      </w:r>
    </w:p>
    <w:p w14:paraId="2CD5ABB3"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nesaikingai vartojate alkoholio (arba kiekvieną dieną, arba tik kartais);</w:t>
      </w:r>
    </w:p>
    <w:p w14:paraId="1C28BA6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maitinate krūtimi.</w:t>
      </w:r>
    </w:p>
    <w:p w14:paraId="618413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22EB23A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bet kuri paminėta būklė Jums tinka, </w:t>
      </w:r>
      <w:proofErr w:type="spellStart"/>
      <w:r>
        <w:rPr>
          <w:snapToGrid/>
          <w:szCs w:val="22"/>
          <w:lang w:val="lt-LT"/>
        </w:rPr>
        <w:t>Maymetsi</w:t>
      </w:r>
      <w:proofErr w:type="spellEnd"/>
      <w:r>
        <w:rPr>
          <w:snapToGrid/>
          <w:szCs w:val="22"/>
          <w:lang w:val="lt-LT"/>
        </w:rPr>
        <w:t xml:space="preserve"> nevartokite ir pasitarkite su gydytoju apie kitus Jūsų cukrinio diabeto gydymo būdus. Jeigu abejojate, kreipkitės į gydytoją, vaistininką arba slaugytoją, prieš pradėdami vartoti </w:t>
      </w:r>
      <w:proofErr w:type="spellStart"/>
      <w:r>
        <w:rPr>
          <w:snapToGrid/>
          <w:szCs w:val="22"/>
          <w:lang w:val="lt-LT"/>
        </w:rPr>
        <w:t>Maymetsi</w:t>
      </w:r>
      <w:proofErr w:type="spellEnd"/>
      <w:r>
        <w:rPr>
          <w:snapToGrid/>
          <w:szCs w:val="22"/>
          <w:lang w:val="lt-LT"/>
        </w:rPr>
        <w:t>.</w:t>
      </w:r>
      <w:r>
        <w:rPr>
          <w:snapToGrid/>
          <w:szCs w:val="22"/>
          <w:lang w:val="lt-LT"/>
        </w:rPr>
        <w:cr/>
      </w:r>
    </w:p>
    <w:p w14:paraId="31C3A7B1" w14:textId="77777777" w:rsidR="00B64E78" w:rsidRDefault="00DA46A9">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3A050BF7" w14:textId="77777777" w:rsidR="00B64E78" w:rsidRDefault="00DA46A9">
      <w:pPr>
        <w:widowControl w:val="0"/>
        <w:numPr>
          <w:ilvl w:val="12"/>
          <w:numId w:val="0"/>
        </w:numPr>
        <w:tabs>
          <w:tab w:val="clear" w:pos="567"/>
        </w:tabs>
        <w:spacing w:line="240" w:lineRule="auto"/>
        <w:rPr>
          <w:snapToGrid/>
          <w:szCs w:val="22"/>
          <w:lang w:val="lt-LT"/>
        </w:rPr>
      </w:pPr>
      <w:r>
        <w:rPr>
          <w:snapToGrid/>
          <w:szCs w:val="22"/>
          <w:lang w:val="lt-LT"/>
        </w:rPr>
        <w:t xml:space="preserve">Pranešta apie kasos uždegimo (pankreatito) atvejus vartojusiems pacientams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derinį (žr. 4 skyrių).</w:t>
      </w:r>
    </w:p>
    <w:p w14:paraId="6EA8D453" w14:textId="77777777" w:rsidR="00B64E78" w:rsidRDefault="00B64E78">
      <w:pPr>
        <w:widowControl w:val="0"/>
        <w:numPr>
          <w:ilvl w:val="12"/>
          <w:numId w:val="0"/>
        </w:numPr>
        <w:tabs>
          <w:tab w:val="clear" w:pos="567"/>
        </w:tabs>
        <w:spacing w:line="240" w:lineRule="auto"/>
        <w:rPr>
          <w:snapToGrid/>
          <w:szCs w:val="22"/>
          <w:lang w:val="lt-LT"/>
        </w:rPr>
      </w:pPr>
    </w:p>
    <w:p w14:paraId="5DE66CE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ant odos atsiranda pūslių, tai gali būti </w:t>
      </w:r>
      <w:proofErr w:type="spellStart"/>
      <w:r>
        <w:rPr>
          <w:snapToGrid/>
          <w:szCs w:val="22"/>
          <w:lang w:val="lt-LT"/>
        </w:rPr>
        <w:t>pūsliniu</w:t>
      </w:r>
      <w:proofErr w:type="spellEnd"/>
      <w:r>
        <w:rPr>
          <w:snapToGrid/>
          <w:szCs w:val="22"/>
          <w:lang w:val="lt-LT"/>
        </w:rPr>
        <w:t xml:space="preserve"> </w:t>
      </w:r>
      <w:proofErr w:type="spellStart"/>
      <w:r>
        <w:rPr>
          <w:snapToGrid/>
          <w:szCs w:val="22"/>
          <w:lang w:val="lt-LT"/>
        </w:rPr>
        <w:t>pemfigoidu</w:t>
      </w:r>
      <w:proofErr w:type="spellEnd"/>
      <w:r>
        <w:rPr>
          <w:snapToGrid/>
          <w:szCs w:val="22"/>
          <w:lang w:val="lt-LT"/>
        </w:rPr>
        <w:t xml:space="preserve"> vadinamos būklės požymis. Gydytojas gali Jums nurodyti nutraukti </w:t>
      </w:r>
      <w:proofErr w:type="spellStart"/>
      <w:r>
        <w:rPr>
          <w:snapToGrid/>
          <w:szCs w:val="22"/>
          <w:lang w:val="lt-LT"/>
        </w:rPr>
        <w:t>Maymetsi</w:t>
      </w:r>
      <w:proofErr w:type="spellEnd"/>
      <w:r>
        <w:rPr>
          <w:snapToGrid/>
          <w:szCs w:val="22"/>
          <w:lang w:val="lt-LT"/>
        </w:rPr>
        <w:t xml:space="preserve"> vartojimą.</w:t>
      </w:r>
    </w:p>
    <w:p w14:paraId="6BEE0588" w14:textId="77777777" w:rsidR="00B64E78" w:rsidRDefault="00B64E78">
      <w:pPr>
        <w:widowControl w:val="0"/>
        <w:numPr>
          <w:ilvl w:val="12"/>
          <w:numId w:val="0"/>
        </w:numPr>
        <w:tabs>
          <w:tab w:val="clear" w:pos="567"/>
        </w:tabs>
        <w:spacing w:line="240" w:lineRule="auto"/>
        <w:rPr>
          <w:snapToGrid/>
          <w:szCs w:val="22"/>
          <w:lang w:val="lt-LT"/>
        </w:rPr>
      </w:pPr>
    </w:p>
    <w:p w14:paraId="25572426" w14:textId="77777777" w:rsidR="00B64E78" w:rsidRDefault="00DA46A9">
      <w:pPr>
        <w:widowControl w:val="0"/>
        <w:tabs>
          <w:tab w:val="clear" w:pos="567"/>
        </w:tabs>
        <w:autoSpaceDE w:val="0"/>
        <w:autoSpaceDN w:val="0"/>
        <w:adjustRightInd w:val="0"/>
        <w:spacing w:line="240" w:lineRule="auto"/>
        <w:rPr>
          <w:b/>
          <w:bCs/>
          <w:snapToGrid/>
          <w:szCs w:val="22"/>
          <w:u w:val="single"/>
          <w:lang w:val="lt-LT"/>
        </w:rPr>
      </w:pPr>
      <w:r>
        <w:rPr>
          <w:b/>
          <w:bCs/>
          <w:snapToGrid/>
          <w:szCs w:val="22"/>
          <w:u w:val="single"/>
          <w:lang w:val="lt-LT"/>
        </w:rPr>
        <w:t xml:space="preserve">Pieno rūgšties </w:t>
      </w:r>
      <w:proofErr w:type="spellStart"/>
      <w:r>
        <w:rPr>
          <w:b/>
          <w:bCs/>
          <w:snapToGrid/>
          <w:szCs w:val="22"/>
          <w:u w:val="single"/>
          <w:lang w:val="lt-LT"/>
        </w:rPr>
        <w:t>acidozės</w:t>
      </w:r>
      <w:proofErr w:type="spellEnd"/>
      <w:r>
        <w:rPr>
          <w:b/>
          <w:bCs/>
          <w:snapToGrid/>
          <w:szCs w:val="22"/>
          <w:u w:val="single"/>
          <w:lang w:val="lt-LT"/>
        </w:rPr>
        <w:t xml:space="preserve"> rizika</w:t>
      </w:r>
    </w:p>
    <w:p w14:paraId="1B129575"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gali sukelti labai retą, bet labai sunkų šalutinį poveikį, vadinamą pieno rūgšties </w:t>
      </w:r>
      <w:proofErr w:type="spellStart"/>
      <w:r>
        <w:rPr>
          <w:snapToGrid/>
          <w:szCs w:val="22"/>
          <w:lang w:val="lt-LT"/>
        </w:rPr>
        <w:t>acidoze</w:t>
      </w:r>
      <w:proofErr w:type="spellEnd"/>
      <w:r>
        <w:rPr>
          <w:snapToGrid/>
          <w:szCs w:val="22"/>
          <w:lang w:val="lt-LT"/>
        </w:rPr>
        <w:t xml:space="preserve">, ypač jei Jūsų inkstai neveikia tinkamai. Pieno rūgšties </w:t>
      </w:r>
      <w:proofErr w:type="spellStart"/>
      <w:r>
        <w:rPr>
          <w:snapToGrid/>
          <w:szCs w:val="22"/>
          <w:lang w:val="lt-LT"/>
        </w:rPr>
        <w:t>acidozės</w:t>
      </w:r>
      <w:proofErr w:type="spellEnd"/>
      <w:r>
        <w:rPr>
          <w:snapToGrid/>
          <w:szCs w:val="22"/>
          <w:lang w:val="lt-LT"/>
        </w:rPr>
        <w:t xml:space="preserve"> pasireiškimo rizika padidėja ir esant nekontroliuojamam cukriniam diabetui, sunkioms infekcijoms, ilgalaikiam badavimui arba piktnaudžiavimui alkoholiu, dehidratacijai (žr. informaciją toliau), kepenų sutrikimams ir bet kurioms sveikatos būklėms, kai sumažėja organizmo dalies aprūpinimas deguonimi (pvz., ūminei sunkiai širdies ligai).</w:t>
      </w:r>
    </w:p>
    <w:p w14:paraId="32FC603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Jeigu Jums tinka bent viena iš paminėtų būklių, kreipkitės į gydytoją dėl tolesnių nurodymų.</w:t>
      </w:r>
    </w:p>
    <w:p w14:paraId="1703754C" w14:textId="77777777" w:rsidR="00B64E78" w:rsidRDefault="00B64E78">
      <w:pPr>
        <w:widowControl w:val="0"/>
        <w:tabs>
          <w:tab w:val="clear" w:pos="567"/>
        </w:tabs>
        <w:autoSpaceDE w:val="0"/>
        <w:autoSpaceDN w:val="0"/>
        <w:adjustRightInd w:val="0"/>
        <w:spacing w:line="240" w:lineRule="auto"/>
        <w:rPr>
          <w:snapToGrid/>
          <w:szCs w:val="22"/>
          <w:lang w:val="lt-LT"/>
        </w:rPr>
      </w:pPr>
    </w:p>
    <w:p w14:paraId="7AB7A63E" w14:textId="77777777" w:rsidR="00B64E78" w:rsidRDefault="00DA46A9">
      <w:pPr>
        <w:widowControl w:val="0"/>
        <w:tabs>
          <w:tab w:val="clear" w:pos="567"/>
        </w:tabs>
        <w:autoSpaceDE w:val="0"/>
        <w:autoSpaceDN w:val="0"/>
        <w:adjustRightInd w:val="0"/>
        <w:spacing w:line="240" w:lineRule="auto"/>
        <w:rPr>
          <w:snapToGrid/>
          <w:szCs w:val="22"/>
          <w:lang w:val="lt-LT"/>
        </w:rPr>
      </w:pPr>
      <w:r>
        <w:rPr>
          <w:b/>
          <w:bCs/>
          <w:snapToGrid/>
          <w:szCs w:val="22"/>
          <w:lang w:val="lt-LT"/>
        </w:rPr>
        <w:t xml:space="preserve">Trumpam nutraukite </w:t>
      </w:r>
      <w:proofErr w:type="spellStart"/>
      <w:r>
        <w:rPr>
          <w:b/>
          <w:bCs/>
          <w:snapToGrid/>
          <w:szCs w:val="22"/>
          <w:lang w:val="lt-LT"/>
        </w:rPr>
        <w:t>Maymetsi</w:t>
      </w:r>
      <w:proofErr w:type="spellEnd"/>
      <w:r>
        <w:rPr>
          <w:b/>
          <w:bCs/>
          <w:snapToGrid/>
          <w:szCs w:val="22"/>
          <w:lang w:val="lt-LT"/>
        </w:rPr>
        <w:t xml:space="preserve"> vartojimą, jeigu Jums yra būklė, kuri gali būti susijusi su dehidratacija</w:t>
      </w:r>
      <w:r>
        <w:rPr>
          <w:snapToGrid/>
          <w:szCs w:val="22"/>
          <w:lang w:val="lt-LT"/>
        </w:rPr>
        <w:t xml:space="preserve"> (reikšmingu organizmo skysčių netekimu), pvz., sunkus vėmimas, viduriavimas, karščiavimas, karščio poveikis arba mažesnis nei įprastai skysčių suvartojimas. Kreipkitės į gydytoją dėl tolesnių nurodymų.</w:t>
      </w:r>
    </w:p>
    <w:p w14:paraId="72719D38" w14:textId="77777777" w:rsidR="00B64E78" w:rsidRDefault="00B64E78">
      <w:pPr>
        <w:widowControl w:val="0"/>
        <w:tabs>
          <w:tab w:val="clear" w:pos="567"/>
        </w:tabs>
        <w:autoSpaceDE w:val="0"/>
        <w:autoSpaceDN w:val="0"/>
        <w:adjustRightInd w:val="0"/>
        <w:spacing w:line="240" w:lineRule="auto"/>
        <w:rPr>
          <w:snapToGrid/>
          <w:szCs w:val="22"/>
          <w:lang w:val="lt-LT"/>
        </w:rPr>
      </w:pPr>
    </w:p>
    <w:p w14:paraId="0BA96190" w14:textId="77777777" w:rsidR="00B64E78" w:rsidRDefault="00DA46A9">
      <w:pPr>
        <w:widowControl w:val="0"/>
        <w:tabs>
          <w:tab w:val="clear" w:pos="567"/>
        </w:tabs>
        <w:autoSpaceDE w:val="0"/>
        <w:autoSpaceDN w:val="0"/>
        <w:adjustRightInd w:val="0"/>
        <w:spacing w:line="240" w:lineRule="auto"/>
        <w:rPr>
          <w:snapToGrid/>
          <w:szCs w:val="22"/>
          <w:lang w:val="lt-LT"/>
        </w:rPr>
      </w:pPr>
      <w:r>
        <w:rPr>
          <w:b/>
          <w:bCs/>
          <w:snapToGrid/>
          <w:szCs w:val="22"/>
          <w:lang w:val="lt-LT"/>
        </w:rPr>
        <w:t xml:space="preserve">Nutraukite </w:t>
      </w:r>
      <w:proofErr w:type="spellStart"/>
      <w:r>
        <w:rPr>
          <w:b/>
          <w:bCs/>
          <w:snapToGrid/>
          <w:szCs w:val="22"/>
          <w:lang w:val="lt-LT"/>
        </w:rPr>
        <w:t>Maymetsi</w:t>
      </w:r>
      <w:proofErr w:type="spellEnd"/>
      <w:r>
        <w:rPr>
          <w:b/>
          <w:bCs/>
          <w:snapToGrid/>
          <w:szCs w:val="22"/>
          <w:lang w:val="lt-LT"/>
        </w:rPr>
        <w:t xml:space="preserve"> vartojimą ir nedelsdami kreipkitės į gydytoją arba artimiausią ligoninę, jeigu Jums pasireiškė pieno rūgšties </w:t>
      </w:r>
      <w:proofErr w:type="spellStart"/>
      <w:r>
        <w:rPr>
          <w:b/>
          <w:bCs/>
          <w:snapToGrid/>
          <w:szCs w:val="22"/>
          <w:lang w:val="lt-LT"/>
        </w:rPr>
        <w:t>acidozės</w:t>
      </w:r>
      <w:proofErr w:type="spellEnd"/>
      <w:r>
        <w:rPr>
          <w:b/>
          <w:bCs/>
          <w:snapToGrid/>
          <w:szCs w:val="22"/>
          <w:lang w:val="lt-LT"/>
        </w:rPr>
        <w:t xml:space="preserve"> simptomų</w:t>
      </w:r>
      <w:r>
        <w:rPr>
          <w:snapToGrid/>
          <w:szCs w:val="22"/>
          <w:lang w:val="lt-LT"/>
        </w:rPr>
        <w:t>, nes ši būklė gali sukelti komą.</w:t>
      </w:r>
    </w:p>
    <w:p w14:paraId="7C107A4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Galimi pieno rūgšties </w:t>
      </w:r>
      <w:proofErr w:type="spellStart"/>
      <w:r>
        <w:rPr>
          <w:snapToGrid/>
          <w:szCs w:val="22"/>
          <w:lang w:val="lt-LT"/>
        </w:rPr>
        <w:t>acidozės</w:t>
      </w:r>
      <w:proofErr w:type="spellEnd"/>
      <w:r>
        <w:rPr>
          <w:snapToGrid/>
          <w:szCs w:val="22"/>
          <w:lang w:val="lt-LT"/>
        </w:rPr>
        <w:t xml:space="preserve"> simptomai yra:</w:t>
      </w:r>
    </w:p>
    <w:p w14:paraId="1F309D2A"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vėmimas;</w:t>
      </w:r>
    </w:p>
    <w:p w14:paraId="270A08EF"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skrandžio skausmas (pilvo skausmas);</w:t>
      </w:r>
    </w:p>
    <w:p w14:paraId="470586E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raumenų mėšlungis;</w:t>
      </w:r>
    </w:p>
    <w:p w14:paraId="3A1509BC"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bendrasis blogos savijautos pojūtis su dideliu nuovargiu;</w:t>
      </w:r>
    </w:p>
    <w:p w14:paraId="54234584"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pasunkėjęs kvėpavimas;</w:t>
      </w:r>
    </w:p>
    <w:p w14:paraId="682EB91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sumažėjusi kūno temperatūra ir suretėjęs širdies plakimas.</w:t>
      </w:r>
    </w:p>
    <w:p w14:paraId="637F5C8D" w14:textId="77777777" w:rsidR="00B64E78" w:rsidRDefault="00B64E78">
      <w:pPr>
        <w:widowControl w:val="0"/>
        <w:tabs>
          <w:tab w:val="clear" w:pos="567"/>
        </w:tabs>
        <w:autoSpaceDE w:val="0"/>
        <w:autoSpaceDN w:val="0"/>
        <w:adjustRightInd w:val="0"/>
        <w:spacing w:line="240" w:lineRule="auto"/>
        <w:rPr>
          <w:snapToGrid/>
          <w:szCs w:val="22"/>
          <w:lang w:val="lt-LT"/>
        </w:rPr>
      </w:pPr>
    </w:p>
    <w:p w14:paraId="280E8C1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Pieno rūgšties </w:t>
      </w:r>
      <w:proofErr w:type="spellStart"/>
      <w:r>
        <w:rPr>
          <w:snapToGrid/>
          <w:szCs w:val="22"/>
          <w:lang w:val="lt-LT"/>
        </w:rPr>
        <w:t>acidozė</w:t>
      </w:r>
      <w:proofErr w:type="spellEnd"/>
      <w:r>
        <w:rPr>
          <w:snapToGrid/>
          <w:szCs w:val="22"/>
          <w:lang w:val="lt-LT"/>
        </w:rPr>
        <w:t xml:space="preserve"> yra pavojinga medicininė būklė, kuri turi būti gydoma ligoninėje.</w:t>
      </w:r>
    </w:p>
    <w:p w14:paraId="5120A299" w14:textId="77777777" w:rsidR="00B64E78" w:rsidRPr="00F701F0" w:rsidRDefault="00B64E78">
      <w:pPr>
        <w:widowControl w:val="0"/>
        <w:tabs>
          <w:tab w:val="clear" w:pos="567"/>
        </w:tabs>
        <w:autoSpaceDE w:val="0"/>
        <w:autoSpaceDN w:val="0"/>
        <w:adjustRightInd w:val="0"/>
        <w:spacing w:line="240" w:lineRule="auto"/>
        <w:rPr>
          <w:lang w:val="lt-LT"/>
        </w:rPr>
      </w:pPr>
    </w:p>
    <w:p w14:paraId="6C0A9E6C" w14:textId="77777777" w:rsidR="00B64E78" w:rsidRPr="00F701F0" w:rsidRDefault="00DA46A9">
      <w:pPr>
        <w:widowControl w:val="0"/>
        <w:tabs>
          <w:tab w:val="clear" w:pos="567"/>
        </w:tabs>
        <w:autoSpaceDE w:val="0"/>
        <w:autoSpaceDN w:val="0"/>
        <w:adjustRightInd w:val="0"/>
        <w:spacing w:line="240" w:lineRule="auto"/>
        <w:rPr>
          <w:lang w:val="lt-LT"/>
        </w:rPr>
      </w:pPr>
      <w:r w:rsidRPr="00F701F0">
        <w:rPr>
          <w:lang w:val="lt-LT"/>
        </w:rPr>
        <w:t>Nedelsdami kreipkitės į gydytoją dėl tolesnių nurodymų, jeigu:</w:t>
      </w:r>
    </w:p>
    <w:p w14:paraId="6E6C8314" w14:textId="77777777" w:rsidR="00B64E78" w:rsidRPr="00F701F0" w:rsidRDefault="00DA46A9">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F701F0">
        <w:rPr>
          <w:lang w:val="lt-LT"/>
        </w:rPr>
        <w:t xml:space="preserve">Jums diagnozuota genetiškai paveldima liga, pažeidžianti </w:t>
      </w:r>
      <w:proofErr w:type="spellStart"/>
      <w:r w:rsidRPr="00F701F0">
        <w:rPr>
          <w:lang w:val="lt-LT"/>
        </w:rPr>
        <w:t>mitochondrijas</w:t>
      </w:r>
      <w:proofErr w:type="spellEnd"/>
      <w:r w:rsidRPr="00F701F0">
        <w:rPr>
          <w:lang w:val="lt-LT"/>
        </w:rPr>
        <w:t xml:space="preserve"> (energiją gaminančius ląstelių komponentus), pvz., MELAS sindromas (</w:t>
      </w:r>
      <w:proofErr w:type="spellStart"/>
      <w:r w:rsidRPr="00F701F0">
        <w:rPr>
          <w:lang w:val="lt-LT"/>
        </w:rPr>
        <w:t>mitochondrinė</w:t>
      </w:r>
      <w:proofErr w:type="spellEnd"/>
      <w:r w:rsidRPr="00F701F0">
        <w:rPr>
          <w:lang w:val="lt-LT"/>
        </w:rPr>
        <w:t xml:space="preserve"> </w:t>
      </w:r>
      <w:proofErr w:type="spellStart"/>
      <w:r w:rsidRPr="00F701F0">
        <w:rPr>
          <w:lang w:val="lt-LT"/>
        </w:rPr>
        <w:t>encefalopatija</w:t>
      </w:r>
      <w:proofErr w:type="spellEnd"/>
      <w:r w:rsidRPr="00F701F0">
        <w:rPr>
          <w:lang w:val="lt-LT"/>
        </w:rPr>
        <w:t xml:space="preserve">, </w:t>
      </w:r>
      <w:proofErr w:type="spellStart"/>
      <w:r w:rsidRPr="00F701F0">
        <w:rPr>
          <w:lang w:val="lt-LT"/>
        </w:rPr>
        <w:t>miopatija</w:t>
      </w:r>
      <w:proofErr w:type="spellEnd"/>
      <w:r w:rsidRPr="00F701F0">
        <w:rPr>
          <w:lang w:val="lt-LT"/>
        </w:rPr>
        <w:t xml:space="preserve">, pieno rūgšties </w:t>
      </w:r>
      <w:proofErr w:type="spellStart"/>
      <w:r w:rsidRPr="00F701F0">
        <w:rPr>
          <w:lang w:val="lt-LT"/>
        </w:rPr>
        <w:t>acidozė</w:t>
      </w:r>
      <w:proofErr w:type="spellEnd"/>
      <w:r w:rsidRPr="00F701F0">
        <w:rPr>
          <w:lang w:val="lt-LT"/>
        </w:rPr>
        <w:t xml:space="preserve"> ir į insultą panašūs epizodai) arba iš motinos paveldimas diabetas ir kurtumas (MIDD).</w:t>
      </w:r>
    </w:p>
    <w:p w14:paraId="53ED7B31" w14:textId="77777777" w:rsidR="00B64E78" w:rsidRPr="00F701F0" w:rsidRDefault="00DA46A9">
      <w:pPr>
        <w:numPr>
          <w:ilvl w:val="0"/>
          <w:numId w:val="25"/>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F701F0">
        <w:rPr>
          <w:lang w:val="lt-LT"/>
        </w:rPr>
        <w:t xml:space="preserve">Pradėjus vartoti </w:t>
      </w:r>
      <w:proofErr w:type="spellStart"/>
      <w:r w:rsidRPr="00F701F0">
        <w:rPr>
          <w:lang w:val="lt-LT"/>
        </w:rPr>
        <w:t>metforminą</w:t>
      </w:r>
      <w:proofErr w:type="spellEnd"/>
      <w:r w:rsidRPr="00F701F0">
        <w:rPr>
          <w:lang w:val="lt-LT"/>
        </w:rPr>
        <w:t>, Jums pasireiškė bet kuris iš šių simptomų: traukulių priepuolis, pablogėjo pažintiniai gebėjimai, sutriko kūno judesiai, atsirado simptomų, rodančių nervų pažeidimą (pvz., skausmas arba tirpimas), migrena ir kurtumas.</w:t>
      </w:r>
    </w:p>
    <w:p w14:paraId="589BFA6A" w14:textId="77777777" w:rsidR="00B64E78" w:rsidRDefault="00B64E78">
      <w:pPr>
        <w:widowControl w:val="0"/>
        <w:tabs>
          <w:tab w:val="clear" w:pos="567"/>
        </w:tabs>
        <w:autoSpaceDE w:val="0"/>
        <w:autoSpaceDN w:val="0"/>
        <w:adjustRightInd w:val="0"/>
        <w:spacing w:line="240" w:lineRule="auto"/>
        <w:rPr>
          <w:snapToGrid/>
          <w:szCs w:val="22"/>
          <w:lang w:val="lt-LT"/>
        </w:rPr>
      </w:pPr>
    </w:p>
    <w:p w14:paraId="72E298C2"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Pasitarkite su gydytoju arba vaistininku, jeigu:</w:t>
      </w:r>
    </w:p>
    <w:p w14:paraId="7A0B4C0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arba anksčiau sirgote kasos liga (pavyzdžiui, pankreatitu);</w:t>
      </w:r>
    </w:p>
    <w:p w14:paraId="1E7084A2"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tulžies akmenų, priklausomybė nuo alkoholio ar labai didelis trigliceridų (tam tikros rūšies riebalų) kiekis kraujyje. Šie sutrikimai gali padidinti riziką susirgti pankreatitu (žr. 4 skyrių);</w:t>
      </w:r>
    </w:p>
    <w:p w14:paraId="5D9CF77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sergate 1 tipo cukriniu diabetu (kartais vadinamu nuo insulino priklausomu cukriniu diabetu);</w:t>
      </w:r>
    </w:p>
    <w:p w14:paraId="69CE8E6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yra arba anksčiau buvo alerginė reakcija į </w:t>
      </w:r>
      <w:proofErr w:type="spellStart"/>
      <w:r>
        <w:rPr>
          <w:snapToGrid/>
          <w:szCs w:val="22"/>
          <w:lang w:val="lt-LT"/>
        </w:rPr>
        <w:t>sitagliptiną</w:t>
      </w:r>
      <w:proofErr w:type="spellEnd"/>
      <w:r>
        <w:rPr>
          <w:snapToGrid/>
          <w:szCs w:val="22"/>
          <w:lang w:val="lt-LT"/>
        </w:rPr>
        <w:t xml:space="preserve">, </w:t>
      </w:r>
      <w:proofErr w:type="spellStart"/>
      <w:r>
        <w:rPr>
          <w:snapToGrid/>
          <w:szCs w:val="22"/>
          <w:lang w:val="lt-LT"/>
        </w:rPr>
        <w:t>metforminą</w:t>
      </w:r>
      <w:proofErr w:type="spellEnd"/>
      <w:r>
        <w:rPr>
          <w:snapToGrid/>
          <w:szCs w:val="22"/>
          <w:lang w:val="lt-LT"/>
        </w:rPr>
        <w:t xml:space="preserve"> arba </w:t>
      </w:r>
      <w:proofErr w:type="spellStart"/>
      <w:r>
        <w:rPr>
          <w:snapToGrid/>
          <w:szCs w:val="22"/>
          <w:lang w:val="lt-LT"/>
        </w:rPr>
        <w:t>Maymetsi</w:t>
      </w:r>
      <w:proofErr w:type="spellEnd"/>
      <w:r>
        <w:rPr>
          <w:snapToGrid/>
          <w:szCs w:val="22"/>
          <w:lang w:val="lt-LT"/>
        </w:rPr>
        <w:t xml:space="preserve"> (žr. 4 skyrių);</w:t>
      </w:r>
    </w:p>
    <w:p w14:paraId="343A277D"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kartu su </w:t>
      </w:r>
      <w:proofErr w:type="spellStart"/>
      <w:r>
        <w:rPr>
          <w:snapToGrid/>
          <w:szCs w:val="22"/>
          <w:lang w:val="lt-LT"/>
        </w:rPr>
        <w:t>Maymetsi</w:t>
      </w:r>
      <w:proofErr w:type="spellEnd"/>
      <w:r>
        <w:rPr>
          <w:snapToGrid/>
          <w:szCs w:val="22"/>
          <w:lang w:val="lt-LT"/>
        </w:rPr>
        <w:t xml:space="preserve"> vartojate vaistų cukriniam diabetui gydyti </w:t>
      </w:r>
      <w:proofErr w:type="spellStart"/>
      <w:r>
        <w:rPr>
          <w:snapToGrid/>
          <w:szCs w:val="22"/>
          <w:lang w:val="lt-LT"/>
        </w:rPr>
        <w:t>sulfonilkarbamido</w:t>
      </w:r>
      <w:proofErr w:type="spellEnd"/>
      <w:r>
        <w:rPr>
          <w:snapToGrid/>
          <w:szCs w:val="22"/>
          <w:lang w:val="lt-LT"/>
        </w:rPr>
        <w:t xml:space="preserve"> arba insulino, kadangi cukraus kiekis kraujyje gali tapti mažas (pasireikšti hipoglikemija). Gydytojas gali sumažinti vartojamo </w:t>
      </w:r>
      <w:proofErr w:type="spellStart"/>
      <w:r>
        <w:rPr>
          <w:snapToGrid/>
          <w:szCs w:val="22"/>
          <w:lang w:val="lt-LT"/>
        </w:rPr>
        <w:t>sulfonilkarbamido</w:t>
      </w:r>
      <w:proofErr w:type="spellEnd"/>
      <w:r>
        <w:rPr>
          <w:snapToGrid/>
          <w:szCs w:val="22"/>
          <w:lang w:val="lt-LT"/>
        </w:rPr>
        <w:t xml:space="preserve"> arba insulino dozę.</w:t>
      </w:r>
    </w:p>
    <w:p w14:paraId="3609BBFB" w14:textId="77777777" w:rsidR="00B64E78" w:rsidRDefault="00B64E78">
      <w:pPr>
        <w:widowControl w:val="0"/>
        <w:autoSpaceDE w:val="0"/>
        <w:autoSpaceDN w:val="0"/>
        <w:adjustRightInd w:val="0"/>
        <w:spacing w:line="240" w:lineRule="auto"/>
        <w:ind w:left="567" w:hanging="567"/>
        <w:rPr>
          <w:snapToGrid/>
          <w:szCs w:val="22"/>
          <w:lang w:val="lt-LT"/>
        </w:rPr>
      </w:pPr>
    </w:p>
    <w:p w14:paraId="2E7D504B"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Jums reikia atlikti didelę operaciją, </w:t>
      </w:r>
      <w:proofErr w:type="spellStart"/>
      <w:r>
        <w:rPr>
          <w:snapToGrid/>
          <w:szCs w:val="22"/>
          <w:lang w:val="lt-LT"/>
        </w:rPr>
        <w:t>Maymetsi</w:t>
      </w:r>
      <w:proofErr w:type="spellEnd"/>
      <w:r>
        <w:rPr>
          <w:snapToGrid/>
          <w:szCs w:val="22"/>
          <w:lang w:val="lt-LT"/>
        </w:rPr>
        <w:t xml:space="preserve"> vartojimą turite nutraukti procedūros metu ir tam tikrą laikotarpį po procedūros. Gydytojas nuspręs, kada turite nutraukti ir atnaujinti gydymą </w:t>
      </w:r>
      <w:proofErr w:type="spellStart"/>
      <w:r>
        <w:rPr>
          <w:snapToGrid/>
          <w:szCs w:val="22"/>
          <w:lang w:val="lt-LT"/>
        </w:rPr>
        <w:t>Maymetsi</w:t>
      </w:r>
      <w:proofErr w:type="spellEnd"/>
      <w:r>
        <w:rPr>
          <w:snapToGrid/>
          <w:szCs w:val="22"/>
          <w:lang w:val="lt-LT"/>
        </w:rPr>
        <w:t>.</w:t>
      </w:r>
    </w:p>
    <w:p w14:paraId="187E2B5C"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3B52214B"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nesate tikri, ar kuri nors iš išvardytų būklių Jums tinka, pasitarkite su gydytoju ar vaistininku prieš pradėdami vartoti </w:t>
      </w:r>
      <w:proofErr w:type="spellStart"/>
      <w:r>
        <w:rPr>
          <w:snapToGrid/>
          <w:szCs w:val="22"/>
          <w:lang w:val="lt-LT"/>
        </w:rPr>
        <w:t>Maymetsi</w:t>
      </w:r>
      <w:proofErr w:type="spellEnd"/>
      <w:r>
        <w:rPr>
          <w:snapToGrid/>
          <w:szCs w:val="22"/>
          <w:lang w:val="lt-LT"/>
        </w:rPr>
        <w:t>.</w:t>
      </w:r>
    </w:p>
    <w:p w14:paraId="58D40EEA"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5A4D0A96" w14:textId="77777777" w:rsidR="00B64E78" w:rsidRDefault="00DA46A9">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 xml:space="preserve">Jeigu esate senyvi ir (arba) Jūsų inkstų funkcija blogėja, gydymo </w:t>
      </w:r>
      <w:proofErr w:type="spellStart"/>
      <w:r>
        <w:rPr>
          <w:snapToGrid/>
          <w:szCs w:val="22"/>
          <w:lang w:val="lt-LT"/>
        </w:rPr>
        <w:t>Maymetsi</w:t>
      </w:r>
      <w:proofErr w:type="spellEnd"/>
      <w:r>
        <w:rPr>
          <w:snapToGrid/>
          <w:szCs w:val="22"/>
          <w:lang w:val="lt-LT"/>
        </w:rPr>
        <w:t xml:space="preserve"> metu gydytojas tikrins Jūsų inkstų funkciją ne rečiau kaip kartą per metus arba dažniau.</w:t>
      </w:r>
    </w:p>
    <w:p w14:paraId="589C05B1" w14:textId="77777777" w:rsidR="00B64E78" w:rsidRDefault="00B64E78">
      <w:pPr>
        <w:widowControl w:val="0"/>
        <w:tabs>
          <w:tab w:val="clear" w:pos="567"/>
          <w:tab w:val="left" w:pos="0"/>
        </w:tabs>
        <w:autoSpaceDE w:val="0"/>
        <w:autoSpaceDN w:val="0"/>
        <w:adjustRightInd w:val="0"/>
        <w:spacing w:line="240" w:lineRule="auto"/>
        <w:rPr>
          <w:snapToGrid/>
          <w:szCs w:val="22"/>
          <w:lang w:val="lt-LT"/>
        </w:rPr>
      </w:pPr>
    </w:p>
    <w:p w14:paraId="74933209"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14:paraId="4DF38233"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Vaikams ir jaunesniems kaip 18 metų paaugliams šio vaisto vartoti </w:t>
      </w:r>
      <w:r>
        <w:rPr>
          <w:rFonts w:eastAsia="TimesNewRoman"/>
          <w:snapToGrid/>
          <w:szCs w:val="22"/>
          <w:lang w:val="lt-LT"/>
        </w:rPr>
        <w:t>negalima</w:t>
      </w:r>
      <w:r>
        <w:rPr>
          <w:rFonts w:eastAsia="TimesNewRoman,Bold"/>
          <w:snapToGrid/>
          <w:szCs w:val="22"/>
          <w:lang w:val="lt-LT"/>
        </w:rPr>
        <w:t xml:space="preserve"> Jis nėra veiksmingas vaikams ir paaugliams nuo 10 iki 17 metų. Ar jaunesniems kaip 10 metų vaikams vaistą vartoti būtų saugu ir veiksminga, nėra žinoma.</w:t>
      </w:r>
    </w:p>
    <w:p w14:paraId="11D6ACFB" w14:textId="77777777" w:rsidR="00B64E78" w:rsidRDefault="00B64E78">
      <w:pPr>
        <w:widowControl w:val="0"/>
        <w:numPr>
          <w:ilvl w:val="12"/>
          <w:numId w:val="0"/>
        </w:numPr>
        <w:tabs>
          <w:tab w:val="clear" w:pos="567"/>
        </w:tabs>
        <w:spacing w:line="240" w:lineRule="auto"/>
        <w:ind w:right="-2"/>
        <w:rPr>
          <w:bCs/>
          <w:snapToGrid/>
          <w:szCs w:val="22"/>
          <w:lang w:val="lt-LT"/>
        </w:rPr>
      </w:pPr>
    </w:p>
    <w:p w14:paraId="73B6D37A" w14:textId="77777777" w:rsidR="00B64E78" w:rsidRDefault="00DA46A9">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Maymetsi</w:t>
      </w:r>
      <w:proofErr w:type="spellEnd"/>
    </w:p>
    <w:p w14:paraId="47DBD54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Jums reikia į kraują suleisti kontrastinės medžiagos, kurios sudėtyje yra jodo, pvz., atliekant rentgeno arba skenavimo tyrimą, prieš leidžiant arba leidimo metu turite nutraukti </w:t>
      </w:r>
      <w:proofErr w:type="spellStart"/>
      <w:r>
        <w:rPr>
          <w:snapToGrid/>
          <w:szCs w:val="22"/>
          <w:lang w:val="lt-LT"/>
        </w:rPr>
        <w:t>Maymetsi</w:t>
      </w:r>
      <w:proofErr w:type="spellEnd"/>
      <w:r>
        <w:rPr>
          <w:snapToGrid/>
          <w:szCs w:val="22"/>
          <w:lang w:val="lt-LT"/>
        </w:rPr>
        <w:t xml:space="preserve"> vartojimą. Gydytojas nuspręs, kada turite nutraukti ir atnaujinti gydymą </w:t>
      </w:r>
      <w:proofErr w:type="spellStart"/>
      <w:r>
        <w:rPr>
          <w:snapToGrid/>
          <w:szCs w:val="22"/>
          <w:lang w:val="lt-LT"/>
        </w:rPr>
        <w:t>Maymetsi</w:t>
      </w:r>
      <w:proofErr w:type="spellEnd"/>
      <w:r>
        <w:rPr>
          <w:snapToGrid/>
          <w:szCs w:val="22"/>
          <w:lang w:val="lt-LT"/>
        </w:rPr>
        <w:t>.</w:t>
      </w:r>
    </w:p>
    <w:p w14:paraId="5792A6B0" w14:textId="77777777" w:rsidR="00B64E78" w:rsidRDefault="00B64E78">
      <w:pPr>
        <w:widowControl w:val="0"/>
        <w:tabs>
          <w:tab w:val="clear" w:pos="567"/>
        </w:tabs>
        <w:autoSpaceDE w:val="0"/>
        <w:autoSpaceDN w:val="0"/>
        <w:adjustRightInd w:val="0"/>
        <w:spacing w:line="240" w:lineRule="auto"/>
        <w:rPr>
          <w:snapToGrid/>
          <w:szCs w:val="22"/>
          <w:lang w:val="lt-LT"/>
        </w:rPr>
      </w:pPr>
    </w:p>
    <w:p w14:paraId="3011A53A"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vartojate ar neseniai vartojote kitų vaistų arba dėl to nesate tikri, apie tai pasakykite gydytojui arba vaistininkui. Jums gali reikėti dažniau tirti gliukozės kiekį kraujyje ir inkstų funkciją arba gydytojui gali reikėti koreguoti </w:t>
      </w:r>
      <w:proofErr w:type="spellStart"/>
      <w:r>
        <w:rPr>
          <w:snapToGrid/>
          <w:szCs w:val="22"/>
          <w:lang w:val="lt-LT"/>
        </w:rPr>
        <w:t>Maymetsi</w:t>
      </w:r>
      <w:proofErr w:type="spellEnd"/>
      <w:r>
        <w:rPr>
          <w:snapToGrid/>
          <w:szCs w:val="22"/>
          <w:lang w:val="lt-LT"/>
        </w:rPr>
        <w:t xml:space="preserve"> dozavimą. Ypač svarbu paminėti:</w:t>
      </w:r>
    </w:p>
    <w:p w14:paraId="2FFC5C24" w14:textId="77777777" w:rsidR="00B64E78" w:rsidRDefault="00B64E78">
      <w:pPr>
        <w:widowControl w:val="0"/>
        <w:tabs>
          <w:tab w:val="clear" w:pos="567"/>
        </w:tabs>
        <w:autoSpaceDE w:val="0"/>
        <w:autoSpaceDN w:val="0"/>
        <w:adjustRightInd w:val="0"/>
        <w:spacing w:line="240" w:lineRule="auto"/>
        <w:rPr>
          <w:snapToGrid/>
          <w:szCs w:val="22"/>
          <w:lang w:val="lt-LT"/>
        </w:rPr>
      </w:pPr>
    </w:p>
    <w:p w14:paraId="7F67A22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uždegiminėms ligoms, tokioms kaip astma ar artritas, gydyti vartojamus (geriamuosius, įkvepiamuosius ar leidžiamuosius) vaistus (kortikosteroidai);</w:t>
      </w:r>
    </w:p>
    <w:p w14:paraId="45C47A2D"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vaistus, kurie skatina šlapimo išsiskyrimą (diuretikai);</w:t>
      </w:r>
    </w:p>
    <w:p w14:paraId="1D8FD941"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vaistus, vartojamus skausmui ir uždegimui mažinti (NVNU ir COX-2 inhibitoriai, pvz., </w:t>
      </w:r>
      <w:proofErr w:type="spellStart"/>
      <w:r>
        <w:rPr>
          <w:snapToGrid/>
          <w:szCs w:val="22"/>
          <w:lang w:val="lt-LT"/>
        </w:rPr>
        <w:t>ibuprofenas</w:t>
      </w:r>
      <w:proofErr w:type="spellEnd"/>
      <w:r>
        <w:rPr>
          <w:snapToGrid/>
          <w:szCs w:val="22"/>
          <w:lang w:val="lt-LT"/>
        </w:rPr>
        <w:t xml:space="preserve"> ir </w:t>
      </w:r>
      <w:proofErr w:type="spellStart"/>
      <w:r>
        <w:rPr>
          <w:snapToGrid/>
          <w:szCs w:val="22"/>
          <w:lang w:val="lt-LT"/>
        </w:rPr>
        <w:t>celekoksibas</w:t>
      </w:r>
      <w:proofErr w:type="spellEnd"/>
      <w:r>
        <w:rPr>
          <w:snapToGrid/>
          <w:szCs w:val="22"/>
          <w:lang w:val="lt-LT"/>
        </w:rPr>
        <w:t>);</w:t>
      </w:r>
    </w:p>
    <w:p w14:paraId="328E625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tam tikrus vaistus padidėjusiam kraujospūdžiui gydyti (AKF inhibitoriai ir </w:t>
      </w:r>
      <w:proofErr w:type="spellStart"/>
      <w:r>
        <w:rPr>
          <w:snapToGrid/>
          <w:szCs w:val="22"/>
          <w:lang w:val="lt-LT"/>
        </w:rPr>
        <w:t>angiotenzino</w:t>
      </w:r>
      <w:proofErr w:type="spellEnd"/>
      <w:r>
        <w:rPr>
          <w:snapToGrid/>
          <w:szCs w:val="22"/>
          <w:lang w:val="lt-LT"/>
        </w:rPr>
        <w:t xml:space="preserve"> II receptorių antagonistai);</w:t>
      </w:r>
    </w:p>
    <w:p w14:paraId="1B5F614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specifinius vaistus bronchų astmai gydyti (beta </w:t>
      </w:r>
      <w:proofErr w:type="spellStart"/>
      <w:r>
        <w:rPr>
          <w:snapToGrid/>
          <w:szCs w:val="22"/>
          <w:lang w:val="lt-LT"/>
        </w:rPr>
        <w:t>simpatomimetikai</w:t>
      </w:r>
      <w:proofErr w:type="spellEnd"/>
      <w:r>
        <w:rPr>
          <w:snapToGrid/>
          <w:szCs w:val="22"/>
          <w:lang w:val="lt-LT"/>
        </w:rPr>
        <w:t>);</w:t>
      </w:r>
    </w:p>
    <w:p w14:paraId="352380B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kontrastines medžiagas, kurių sudėtyje yra jodo, ir vaistus, kurių sudėtyje yra alkoholio;</w:t>
      </w:r>
    </w:p>
    <w:p w14:paraId="2E0DAE7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kai kuriuos skrandžio ligoms gydyti vartojamus vaistus, tokius kaip </w:t>
      </w:r>
      <w:proofErr w:type="spellStart"/>
      <w:r>
        <w:rPr>
          <w:snapToGrid/>
          <w:szCs w:val="22"/>
          <w:lang w:val="lt-LT"/>
        </w:rPr>
        <w:t>cimetidinas</w:t>
      </w:r>
      <w:proofErr w:type="spellEnd"/>
      <w:r>
        <w:rPr>
          <w:snapToGrid/>
          <w:szCs w:val="22"/>
          <w:lang w:val="lt-LT"/>
        </w:rPr>
        <w:t>;</w:t>
      </w:r>
    </w:p>
    <w:p w14:paraId="5DEBF296"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ranolaziną</w:t>
      </w:r>
      <w:proofErr w:type="spellEnd"/>
      <w:r>
        <w:rPr>
          <w:snapToGrid/>
          <w:szCs w:val="22"/>
          <w:lang w:val="lt-LT"/>
        </w:rPr>
        <w:t xml:space="preserve"> (krūtinės anginai gydyti vartojamą vaistą);</w:t>
      </w:r>
    </w:p>
    <w:p w14:paraId="3FC64407"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dolutegravirą</w:t>
      </w:r>
      <w:proofErr w:type="spellEnd"/>
      <w:r>
        <w:rPr>
          <w:snapToGrid/>
          <w:szCs w:val="22"/>
          <w:lang w:val="lt-LT"/>
        </w:rPr>
        <w:t xml:space="preserve"> (ŽIV infekcijai gydyti vartojamą vaistą);</w:t>
      </w:r>
    </w:p>
    <w:p w14:paraId="342C8AB9"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vandetanibą</w:t>
      </w:r>
      <w:proofErr w:type="spellEnd"/>
      <w:r>
        <w:rPr>
          <w:snapToGrid/>
          <w:szCs w:val="22"/>
          <w:lang w:val="lt-LT"/>
        </w:rPr>
        <w:t>, t. y. tam tikram skydliaukės vėžiui (</w:t>
      </w:r>
      <w:proofErr w:type="spellStart"/>
      <w:r>
        <w:rPr>
          <w:snapToGrid/>
          <w:szCs w:val="22"/>
          <w:lang w:val="lt-LT"/>
        </w:rPr>
        <w:t>meduliniam</w:t>
      </w:r>
      <w:proofErr w:type="spellEnd"/>
      <w:r>
        <w:rPr>
          <w:snapToGrid/>
          <w:szCs w:val="22"/>
          <w:lang w:val="lt-LT"/>
        </w:rPr>
        <w:t xml:space="preserve"> skydliaukės vėžiui) gydyti vartojamą vaistą;</w:t>
      </w:r>
    </w:p>
    <w:p w14:paraId="2BD2AE4E"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proofErr w:type="spellStart"/>
      <w:r>
        <w:rPr>
          <w:snapToGrid/>
          <w:szCs w:val="22"/>
          <w:lang w:val="lt-LT"/>
        </w:rPr>
        <w:t>digoksiną</w:t>
      </w:r>
      <w:proofErr w:type="spellEnd"/>
      <w:r>
        <w:rPr>
          <w:snapToGrid/>
          <w:szCs w:val="22"/>
          <w:lang w:val="lt-LT"/>
        </w:rPr>
        <w:t xml:space="preserve"> (jo vartojama esant nereguliariam širdies plakimui ir kitiems širdies veiklos sutrikimams). Kol vartosite </w:t>
      </w:r>
      <w:proofErr w:type="spellStart"/>
      <w:r>
        <w:rPr>
          <w:snapToGrid/>
          <w:szCs w:val="22"/>
          <w:lang w:val="lt-LT"/>
        </w:rPr>
        <w:t>Maymetsi</w:t>
      </w:r>
      <w:proofErr w:type="spellEnd"/>
      <w:r>
        <w:rPr>
          <w:snapToGrid/>
          <w:szCs w:val="22"/>
          <w:lang w:val="lt-LT"/>
        </w:rPr>
        <w:t xml:space="preserve">, gali reikėti tikrinti </w:t>
      </w:r>
      <w:proofErr w:type="spellStart"/>
      <w:r>
        <w:rPr>
          <w:snapToGrid/>
          <w:szCs w:val="22"/>
          <w:lang w:val="lt-LT"/>
        </w:rPr>
        <w:t>digoksino</w:t>
      </w:r>
      <w:proofErr w:type="spellEnd"/>
      <w:r>
        <w:rPr>
          <w:snapToGrid/>
          <w:szCs w:val="22"/>
          <w:lang w:val="lt-LT"/>
        </w:rPr>
        <w:t xml:space="preserve"> kiekį kraujyje.</w:t>
      </w:r>
    </w:p>
    <w:p w14:paraId="4C75AAAC" w14:textId="77777777" w:rsidR="00B64E78" w:rsidRDefault="00B64E78">
      <w:pPr>
        <w:widowControl w:val="0"/>
        <w:tabs>
          <w:tab w:val="clear" w:pos="567"/>
        </w:tabs>
        <w:autoSpaceDE w:val="0"/>
        <w:autoSpaceDN w:val="0"/>
        <w:adjustRightInd w:val="0"/>
        <w:spacing w:line="240" w:lineRule="auto"/>
        <w:rPr>
          <w:snapToGrid/>
          <w:szCs w:val="22"/>
          <w:lang w:val="lt-LT"/>
        </w:rPr>
      </w:pPr>
    </w:p>
    <w:p w14:paraId="59215523"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Maymetsi</w:t>
      </w:r>
      <w:proofErr w:type="spellEnd"/>
      <w:r>
        <w:rPr>
          <w:rFonts w:eastAsia="TimesNewRoman,Bold"/>
          <w:b/>
          <w:bCs/>
          <w:snapToGrid/>
          <w:szCs w:val="22"/>
          <w:lang w:val="lt-LT"/>
        </w:rPr>
        <w:t xml:space="preserve"> vartojimas su alkoholiu</w:t>
      </w:r>
    </w:p>
    <w:p w14:paraId="6ECBF295"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Vartodami </w:t>
      </w:r>
      <w:proofErr w:type="spellStart"/>
      <w:r>
        <w:rPr>
          <w:rFonts w:eastAsia="TimesNewRoman,Bold"/>
          <w:snapToGrid/>
          <w:szCs w:val="22"/>
          <w:lang w:val="lt-LT"/>
        </w:rPr>
        <w:t>Maymetsi</w:t>
      </w:r>
      <w:proofErr w:type="spellEnd"/>
      <w:r>
        <w:rPr>
          <w:rFonts w:eastAsia="TimesNewRoman,Bold"/>
          <w:snapToGrid/>
          <w:szCs w:val="22"/>
          <w:lang w:val="lt-LT"/>
        </w:rPr>
        <w:t xml:space="preserve"> venkite piktnaudžiauti alkoholiu, nes tai gali padidinti pieno rūgšties </w:t>
      </w:r>
      <w:proofErr w:type="spellStart"/>
      <w:r>
        <w:rPr>
          <w:rFonts w:eastAsia="TimesNewRoman,Bold"/>
          <w:snapToGrid/>
          <w:szCs w:val="22"/>
          <w:lang w:val="lt-LT"/>
        </w:rPr>
        <w:t>acidozės</w:t>
      </w:r>
      <w:proofErr w:type="spellEnd"/>
      <w:r>
        <w:rPr>
          <w:rFonts w:eastAsia="TimesNewRoman,Bold"/>
          <w:snapToGrid/>
          <w:szCs w:val="22"/>
          <w:lang w:val="lt-LT"/>
        </w:rPr>
        <w:t xml:space="preserve"> pasireiškimo riziką (žr. skyrių „Įspėjimai ir atsargumo priemonės“).</w:t>
      </w:r>
    </w:p>
    <w:p w14:paraId="21263A4A"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5296DB9C"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lastRenderedPageBreak/>
        <w:t>Nėštumas ir žindymo laikotarpis</w:t>
      </w:r>
    </w:p>
    <w:p w14:paraId="0073C864"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 arba vaistininku. Nėštumo laikotarpiu šio vaisto vartoti negalima.</w:t>
      </w:r>
      <w:r>
        <w:rPr>
          <w:lang w:val="lt-LT"/>
        </w:rPr>
        <w:t xml:space="preserve"> </w:t>
      </w:r>
      <w:r>
        <w:rPr>
          <w:rFonts w:eastAsia="TimesNewRomanPSMT"/>
          <w:snapToGrid/>
          <w:szCs w:val="22"/>
          <w:lang w:val="lt-LT" w:eastAsia="lt-LT"/>
        </w:rPr>
        <w:t xml:space="preserve">Nevartokite šio vaisto žindymo laikotarpiu. </w:t>
      </w:r>
      <w:r>
        <w:rPr>
          <w:rFonts w:eastAsia="TimesNewRoman,Bold"/>
          <w:b/>
          <w:bCs/>
          <w:snapToGrid/>
          <w:szCs w:val="22"/>
          <w:lang w:val="lt-LT"/>
        </w:rPr>
        <w:t>Žr. 2 skyrių „</w:t>
      </w:r>
      <w:proofErr w:type="spellStart"/>
      <w:r>
        <w:rPr>
          <w:b/>
          <w:bCs/>
          <w:snapToGrid/>
          <w:szCs w:val="22"/>
          <w:lang w:val="lt-LT"/>
        </w:rPr>
        <w:t>Maymetsi</w:t>
      </w:r>
      <w:proofErr w:type="spellEnd"/>
      <w:r>
        <w:rPr>
          <w:rFonts w:eastAsia="TimesNewRoman,Bold"/>
          <w:b/>
          <w:bCs/>
          <w:snapToGrid/>
          <w:szCs w:val="22"/>
          <w:lang w:val="lt-LT"/>
        </w:rPr>
        <w:t xml:space="preserve"> vartoti draudžiama“.</w:t>
      </w:r>
    </w:p>
    <w:p w14:paraId="74DB5A33"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1E20475F"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14:paraId="575EDBA8"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Maymetsi</w:t>
      </w:r>
      <w:proofErr w:type="spellEnd"/>
      <w:r>
        <w:rPr>
          <w:rFonts w:eastAsia="TimesNewRoman,Bold"/>
          <w:snapToGrid/>
          <w:szCs w:val="22"/>
          <w:lang w:val="lt-LT"/>
        </w:rPr>
        <w:t xml:space="preserve"> gebėjimo vairuoti ir valdyti mechanizmus neveikia arba veikia nereikšmingai. Vis dėlto vartojant </w:t>
      </w:r>
      <w:proofErr w:type="spellStart"/>
      <w:r>
        <w:rPr>
          <w:rFonts w:eastAsia="TimesNewRoman,Bold"/>
          <w:snapToGrid/>
          <w:szCs w:val="22"/>
          <w:lang w:val="lt-LT"/>
        </w:rPr>
        <w:t>sitagliptino</w:t>
      </w:r>
      <w:proofErr w:type="spellEnd"/>
      <w:r>
        <w:rPr>
          <w:rFonts w:eastAsia="TimesNewRoman,Bold"/>
          <w:snapToGrid/>
          <w:szCs w:val="22"/>
          <w:lang w:val="lt-LT"/>
        </w:rPr>
        <w:t xml:space="preserve"> buvo pranešta apie svaigulio ir apsnūdimo atvejus, o tai gali paveikti Jūsų gebėjimą vairuoti ar valdyti mechanizmus.</w:t>
      </w:r>
    </w:p>
    <w:p w14:paraId="6D1D9532"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22F17ED9"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Šio vaisto vartojant kartu su vaistais, vadinamais </w:t>
      </w:r>
      <w:proofErr w:type="spellStart"/>
      <w:r>
        <w:rPr>
          <w:rFonts w:eastAsia="TimesNewRoman,Bold"/>
          <w:snapToGrid/>
          <w:szCs w:val="22"/>
          <w:lang w:val="lt-LT"/>
        </w:rPr>
        <w:t>sulfonilkarbamidais</w:t>
      </w:r>
      <w:proofErr w:type="spellEnd"/>
      <w:r>
        <w:rPr>
          <w:rFonts w:eastAsia="TimesNewRoman,Bold"/>
          <w:snapToGrid/>
          <w:szCs w:val="22"/>
          <w:lang w:val="lt-LT"/>
        </w:rPr>
        <w:t>, arba kartu su insulinu gali pasireikšti hipoglikemija, kuri gali pakenkti gebėjimui vairuoti, valdyti mechanizmus arba dirbti, kai nėra saugios atramos kojoms.</w:t>
      </w:r>
    </w:p>
    <w:p w14:paraId="259C2306" w14:textId="77777777" w:rsidR="00B64E78" w:rsidRDefault="00B64E78">
      <w:pPr>
        <w:widowControl w:val="0"/>
        <w:numPr>
          <w:ilvl w:val="12"/>
          <w:numId w:val="0"/>
        </w:numPr>
        <w:tabs>
          <w:tab w:val="clear" w:pos="567"/>
        </w:tabs>
        <w:spacing w:line="240" w:lineRule="auto"/>
        <w:ind w:right="-2"/>
        <w:rPr>
          <w:bCs/>
          <w:snapToGrid/>
          <w:szCs w:val="22"/>
          <w:lang w:val="lt-LT"/>
        </w:rPr>
      </w:pPr>
    </w:p>
    <w:p w14:paraId="71F86F00" w14:textId="77777777" w:rsidR="00B64E78" w:rsidRDefault="00DA46A9">
      <w:pPr>
        <w:widowControl w:val="0"/>
        <w:numPr>
          <w:ilvl w:val="12"/>
          <w:numId w:val="0"/>
        </w:numPr>
        <w:tabs>
          <w:tab w:val="clear" w:pos="567"/>
        </w:tabs>
        <w:spacing w:line="240" w:lineRule="auto"/>
        <w:rPr>
          <w:snapToGrid/>
          <w:szCs w:val="22"/>
          <w:lang w:val="lt-LT"/>
        </w:rPr>
      </w:pPr>
      <w:proofErr w:type="spellStart"/>
      <w:r>
        <w:rPr>
          <w:b/>
          <w:snapToGrid/>
          <w:szCs w:val="22"/>
          <w:lang w:val="lt-LT"/>
        </w:rPr>
        <w:t>Maymetsi</w:t>
      </w:r>
      <w:proofErr w:type="spellEnd"/>
      <w:r>
        <w:rPr>
          <w:b/>
          <w:snapToGrid/>
          <w:szCs w:val="22"/>
          <w:lang w:val="lt-LT"/>
        </w:rPr>
        <w:t xml:space="preserve"> sudėtyje yra natrio</w:t>
      </w:r>
    </w:p>
    <w:p w14:paraId="62C73A53" w14:textId="77777777" w:rsidR="00B64E78" w:rsidRDefault="00DA46A9">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proofErr w:type="spellStart"/>
      <w:r>
        <w:rPr>
          <w:snapToGrid/>
          <w:szCs w:val="22"/>
          <w:lang w:val="lt-LT"/>
        </w:rPr>
        <w:t>mmol</w:t>
      </w:r>
      <w:proofErr w:type="spellEnd"/>
      <w:r>
        <w:rPr>
          <w:snapToGrid/>
          <w:szCs w:val="22"/>
          <w:lang w:val="lt-LT"/>
        </w:rPr>
        <w:t> (23</w:t>
      </w:r>
      <w:r>
        <w:rPr>
          <w:rFonts w:eastAsia="Calibri"/>
          <w:snapToGrid/>
          <w:szCs w:val="22"/>
          <w:lang w:val="lt-LT"/>
        </w:rPr>
        <w:t> mg</w:t>
      </w:r>
      <w:r>
        <w:rPr>
          <w:snapToGrid/>
          <w:szCs w:val="22"/>
          <w:lang w:val="lt-LT"/>
        </w:rPr>
        <w:t>) natrio, t. y. jis beveik neturi reikšmės.</w:t>
      </w:r>
    </w:p>
    <w:p w14:paraId="10156E94" w14:textId="77777777" w:rsidR="00B64E78" w:rsidRDefault="00B64E78">
      <w:pPr>
        <w:widowControl w:val="0"/>
        <w:numPr>
          <w:ilvl w:val="12"/>
          <w:numId w:val="0"/>
        </w:numPr>
        <w:tabs>
          <w:tab w:val="clear" w:pos="567"/>
        </w:tabs>
        <w:spacing w:line="240" w:lineRule="auto"/>
        <w:ind w:right="-2"/>
        <w:rPr>
          <w:snapToGrid/>
          <w:szCs w:val="22"/>
          <w:lang w:val="lt-LT"/>
        </w:rPr>
      </w:pPr>
    </w:p>
    <w:p w14:paraId="213FD0E0" w14:textId="77777777" w:rsidR="00B64E78" w:rsidRDefault="00B64E78">
      <w:pPr>
        <w:widowControl w:val="0"/>
        <w:numPr>
          <w:ilvl w:val="12"/>
          <w:numId w:val="0"/>
        </w:numPr>
        <w:tabs>
          <w:tab w:val="clear" w:pos="567"/>
        </w:tabs>
        <w:spacing w:line="240" w:lineRule="auto"/>
        <w:ind w:right="-2"/>
        <w:rPr>
          <w:snapToGrid/>
          <w:szCs w:val="22"/>
          <w:lang w:val="lt-LT"/>
        </w:rPr>
      </w:pPr>
    </w:p>
    <w:p w14:paraId="283CE231"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Maymetsi</w:t>
      </w:r>
      <w:proofErr w:type="spellEnd"/>
    </w:p>
    <w:p w14:paraId="42BE29D9" w14:textId="77777777" w:rsidR="00B64E78" w:rsidRDefault="00B64E78">
      <w:pPr>
        <w:widowControl w:val="0"/>
        <w:tabs>
          <w:tab w:val="clear" w:pos="567"/>
        </w:tabs>
        <w:spacing w:line="240" w:lineRule="auto"/>
        <w:ind w:left="567" w:hanging="567"/>
        <w:rPr>
          <w:snapToGrid/>
          <w:szCs w:val="22"/>
          <w:lang w:val="lt-LT"/>
        </w:rPr>
      </w:pPr>
    </w:p>
    <w:p w14:paraId="14583E9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14:paraId="186577F4" w14:textId="77777777" w:rsidR="00B64E78" w:rsidRDefault="00B64E78">
      <w:pPr>
        <w:widowControl w:val="0"/>
        <w:tabs>
          <w:tab w:val="clear" w:pos="567"/>
        </w:tabs>
        <w:autoSpaceDE w:val="0"/>
        <w:autoSpaceDN w:val="0"/>
        <w:adjustRightInd w:val="0"/>
        <w:spacing w:line="240" w:lineRule="auto"/>
        <w:rPr>
          <w:snapToGrid/>
          <w:szCs w:val="22"/>
          <w:lang w:val="lt-LT"/>
        </w:rPr>
      </w:pPr>
    </w:p>
    <w:p w14:paraId="07B78A5C"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Vieną tabletę išgerkite:</w:t>
      </w:r>
    </w:p>
    <w:p w14:paraId="2743A02C" w14:textId="77777777" w:rsidR="00B64E78" w:rsidRDefault="00DA46A9">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du kartus per parą;</w:t>
      </w:r>
    </w:p>
    <w:p w14:paraId="68648D07" w14:textId="77777777" w:rsidR="00B64E78" w:rsidRDefault="00DA46A9">
      <w:pPr>
        <w:widowControl w:val="0"/>
        <w:numPr>
          <w:ilvl w:val="0"/>
          <w:numId w:val="9"/>
        </w:numPr>
        <w:tabs>
          <w:tab w:val="clear" w:pos="567"/>
        </w:tabs>
        <w:autoSpaceDE w:val="0"/>
        <w:autoSpaceDN w:val="0"/>
        <w:adjustRightInd w:val="0"/>
        <w:spacing w:line="240" w:lineRule="auto"/>
        <w:ind w:left="567" w:firstLine="0"/>
        <w:rPr>
          <w:snapToGrid/>
          <w:szCs w:val="22"/>
          <w:lang w:val="lt-LT"/>
        </w:rPr>
      </w:pPr>
      <w:r>
        <w:rPr>
          <w:snapToGrid/>
          <w:szCs w:val="22"/>
          <w:lang w:val="lt-LT"/>
        </w:rPr>
        <w:t>valgio metu, kad sumažėtų skrandžio sutrikimo tikimybė.</w:t>
      </w:r>
    </w:p>
    <w:p w14:paraId="74832599" w14:textId="77777777" w:rsidR="00B64E78" w:rsidRDefault="00B64E78">
      <w:pPr>
        <w:widowControl w:val="0"/>
        <w:tabs>
          <w:tab w:val="clear" w:pos="567"/>
          <w:tab w:val="left" w:pos="5267"/>
        </w:tabs>
        <w:autoSpaceDE w:val="0"/>
        <w:autoSpaceDN w:val="0"/>
        <w:adjustRightInd w:val="0"/>
        <w:spacing w:line="240" w:lineRule="auto"/>
        <w:rPr>
          <w:snapToGrid/>
          <w:szCs w:val="22"/>
          <w:lang w:val="lt-LT"/>
        </w:rPr>
      </w:pPr>
    </w:p>
    <w:p w14:paraId="6646598A"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Gydytojui gali tekti padidinti dozę, kad būtų galima kontroliuoti cukraus kiekį kraujyje.</w:t>
      </w:r>
    </w:p>
    <w:p w14:paraId="33E5DFD2" w14:textId="77777777" w:rsidR="00B64E78" w:rsidRDefault="00B64E78">
      <w:pPr>
        <w:widowControl w:val="0"/>
        <w:tabs>
          <w:tab w:val="clear" w:pos="567"/>
        </w:tabs>
        <w:autoSpaceDE w:val="0"/>
        <w:autoSpaceDN w:val="0"/>
        <w:adjustRightInd w:val="0"/>
        <w:spacing w:line="240" w:lineRule="auto"/>
        <w:rPr>
          <w:snapToGrid/>
          <w:szCs w:val="22"/>
          <w:lang w:val="lt-LT"/>
        </w:rPr>
      </w:pPr>
    </w:p>
    <w:p w14:paraId="14C84938" w14:textId="77777777" w:rsidR="00B64E78" w:rsidRDefault="00DA46A9">
      <w:pPr>
        <w:widowControl w:val="0"/>
        <w:numPr>
          <w:ilvl w:val="0"/>
          <w:numId w:val="9"/>
        </w:numPr>
        <w:tabs>
          <w:tab w:val="clear" w:pos="567"/>
        </w:tabs>
        <w:autoSpaceDE w:val="0"/>
        <w:autoSpaceDN w:val="0"/>
        <w:adjustRightInd w:val="0"/>
        <w:spacing w:line="240" w:lineRule="auto"/>
        <w:ind w:left="567" w:hanging="567"/>
        <w:rPr>
          <w:snapToGrid/>
          <w:szCs w:val="22"/>
          <w:lang w:val="lt-LT"/>
        </w:rPr>
      </w:pPr>
      <w:r>
        <w:rPr>
          <w:snapToGrid/>
          <w:szCs w:val="22"/>
          <w:lang w:val="lt-LT"/>
        </w:rPr>
        <w:t>Jeigu Jūsų inkstų funkcija yra susilpnėjusi, gydytojas gali skirti mažesnę dozę.</w:t>
      </w:r>
    </w:p>
    <w:p w14:paraId="62AD9939" w14:textId="77777777" w:rsidR="00B64E78" w:rsidRDefault="00B64E78">
      <w:pPr>
        <w:widowControl w:val="0"/>
        <w:tabs>
          <w:tab w:val="clear" w:pos="567"/>
        </w:tabs>
        <w:autoSpaceDE w:val="0"/>
        <w:autoSpaceDN w:val="0"/>
        <w:adjustRightInd w:val="0"/>
        <w:spacing w:line="240" w:lineRule="auto"/>
        <w:rPr>
          <w:snapToGrid/>
          <w:szCs w:val="22"/>
          <w:lang w:val="lt-LT"/>
        </w:rPr>
      </w:pPr>
    </w:p>
    <w:p w14:paraId="38DBFC2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Gydymo šiuo vaistu metu turite ir toliau laikytis dietos, kurią Jums rekomendavo gydytojas, ir pasirūpinti, kad suvartojamų angliavandenių kiekis per parą būtų tolygiai paskirstytas.</w:t>
      </w:r>
    </w:p>
    <w:p w14:paraId="6A65DD01" w14:textId="77777777" w:rsidR="00B64E78" w:rsidRDefault="00B64E78">
      <w:pPr>
        <w:widowControl w:val="0"/>
        <w:tabs>
          <w:tab w:val="clear" w:pos="567"/>
        </w:tabs>
        <w:autoSpaceDE w:val="0"/>
        <w:autoSpaceDN w:val="0"/>
        <w:adjustRightInd w:val="0"/>
        <w:spacing w:line="240" w:lineRule="auto"/>
        <w:rPr>
          <w:snapToGrid/>
          <w:szCs w:val="22"/>
          <w:lang w:val="lt-LT"/>
        </w:rPr>
      </w:pPr>
    </w:p>
    <w:p w14:paraId="60DC51F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Nėra tikėtina, kad vien tik šis vaistas pernelyg sumažintų cukraus kiekį kraujyje (sukeltų hipoglikemiją). Šį vaistą vartojant kartu su </w:t>
      </w:r>
      <w:proofErr w:type="spellStart"/>
      <w:r>
        <w:rPr>
          <w:snapToGrid/>
          <w:szCs w:val="22"/>
          <w:lang w:val="lt-LT"/>
        </w:rPr>
        <w:t>sulfonilkarbamidu</w:t>
      </w:r>
      <w:proofErr w:type="spellEnd"/>
      <w:r>
        <w:rPr>
          <w:snapToGrid/>
          <w:szCs w:val="22"/>
          <w:lang w:val="lt-LT"/>
        </w:rPr>
        <w:t xml:space="preserve"> arba kartu su insulinu, cukraus kiekis kraujyje gali tapti mažas, todėl gydytojas gali sumažinti vartojamo </w:t>
      </w:r>
      <w:proofErr w:type="spellStart"/>
      <w:r>
        <w:rPr>
          <w:snapToGrid/>
          <w:szCs w:val="22"/>
          <w:lang w:val="lt-LT"/>
        </w:rPr>
        <w:t>sulfonilkarbamido</w:t>
      </w:r>
      <w:proofErr w:type="spellEnd"/>
      <w:r>
        <w:rPr>
          <w:snapToGrid/>
          <w:szCs w:val="22"/>
          <w:lang w:val="lt-LT"/>
        </w:rPr>
        <w:t xml:space="preserve"> arba insulino dozę.</w:t>
      </w:r>
      <w:r>
        <w:rPr>
          <w:snapToGrid/>
          <w:szCs w:val="22"/>
          <w:lang w:val="lt-LT"/>
        </w:rPr>
        <w:cr/>
      </w:r>
    </w:p>
    <w:p w14:paraId="7F41726E"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Maymetsi</w:t>
      </w:r>
      <w:proofErr w:type="spellEnd"/>
      <w:r>
        <w:rPr>
          <w:rFonts w:eastAsia="TimesNewRoman,Bold"/>
          <w:b/>
          <w:bCs/>
          <w:snapToGrid/>
          <w:szCs w:val="22"/>
          <w:lang w:val="lt-LT"/>
        </w:rPr>
        <w:t xml:space="preserve"> dozę</w:t>
      </w:r>
    </w:p>
    <w:p w14:paraId="0CCFCFEA"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r>
        <w:rPr>
          <w:lang w:val="lt-LT"/>
        </w:rPr>
        <w:t xml:space="preserve"> </w:t>
      </w:r>
      <w:r>
        <w:rPr>
          <w:rFonts w:eastAsia="TimesNewRoman,Bold"/>
          <w:snapToGrid/>
          <w:szCs w:val="22"/>
          <w:lang w:val="lt-LT"/>
        </w:rPr>
        <w:t xml:space="preserve">Pasireiškus pieno rūgšties </w:t>
      </w:r>
      <w:proofErr w:type="spellStart"/>
      <w:r>
        <w:rPr>
          <w:rFonts w:eastAsia="TimesNewRoman,Bold"/>
          <w:snapToGrid/>
          <w:szCs w:val="22"/>
          <w:lang w:val="lt-LT"/>
        </w:rPr>
        <w:t>acidozės</w:t>
      </w:r>
      <w:proofErr w:type="spellEnd"/>
      <w:r>
        <w:rPr>
          <w:rFonts w:eastAsia="TimesNewRoman,Bold"/>
          <w:snapToGrid/>
          <w:szCs w:val="22"/>
          <w:lang w:val="lt-LT"/>
        </w:rPr>
        <w:t xml:space="preserve"> simptomams, tokiems kaip peršalimo pojūtis ar bloga savijauta, sunkus pykinimas ar vėmimas, skrandžio skausmas, nepaaiškinamas kūno svorio mažėjimas, mėšlungis ar dažnas kvėpavimas, nedelsdami vykite į ligoninę (žr. skyrių „Įspėjimai ir atsargumo priemonės“).</w:t>
      </w:r>
    </w:p>
    <w:p w14:paraId="1B67F17E"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7DA82C10"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Pamiršus pavartoti </w:t>
      </w:r>
      <w:proofErr w:type="spellStart"/>
      <w:r>
        <w:rPr>
          <w:rFonts w:eastAsia="TimesNewRoman,Bold"/>
          <w:b/>
          <w:bCs/>
          <w:snapToGrid/>
          <w:szCs w:val="22"/>
          <w:lang w:val="lt-LT"/>
        </w:rPr>
        <w:t>Maymetsi</w:t>
      </w:r>
      <w:proofErr w:type="spellEnd"/>
    </w:p>
    <w:p w14:paraId="37AF51FB"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vaisto dozę, gerkite ją tuoj pat, kai tik prisiminsite. Jei neprisiminsite iki tol, kol bus atėjęs kitos dozės vartojimo laikas, pamirštą dozę praleiskite, o kitas dozes gerkite įprastiniu laiku. Negalima vartoti dvigubos šio vaisto dozės.</w:t>
      </w:r>
    </w:p>
    <w:p w14:paraId="5BE8E0E0" w14:textId="77777777" w:rsidR="00B64E78" w:rsidRDefault="00B64E78">
      <w:pPr>
        <w:widowControl w:val="0"/>
        <w:tabs>
          <w:tab w:val="clear" w:pos="567"/>
        </w:tabs>
        <w:autoSpaceDE w:val="0"/>
        <w:autoSpaceDN w:val="0"/>
        <w:adjustRightInd w:val="0"/>
        <w:spacing w:line="240" w:lineRule="auto"/>
        <w:rPr>
          <w:rFonts w:eastAsia="TimesNewRoman,Bold"/>
          <w:snapToGrid/>
          <w:szCs w:val="22"/>
          <w:lang w:val="lt-LT"/>
        </w:rPr>
      </w:pPr>
    </w:p>
    <w:p w14:paraId="1007D149" w14:textId="77777777" w:rsidR="00B64E78" w:rsidRDefault="00DA46A9">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Nustojus vartoti </w:t>
      </w:r>
      <w:proofErr w:type="spellStart"/>
      <w:r>
        <w:rPr>
          <w:rFonts w:eastAsia="TimesNewRoman,Bold"/>
          <w:b/>
          <w:bCs/>
          <w:snapToGrid/>
          <w:szCs w:val="22"/>
          <w:lang w:val="lt-LT"/>
        </w:rPr>
        <w:t>Maymetsi</w:t>
      </w:r>
      <w:proofErr w:type="spellEnd"/>
    </w:p>
    <w:p w14:paraId="16F4A42E"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vartoję šio vaisto prieš tai nepasitarę su savo gydytoju. Nustojus vartoti</w:t>
      </w:r>
    </w:p>
    <w:p w14:paraId="424B3734" w14:textId="77777777" w:rsidR="00B64E78" w:rsidRDefault="00DA46A9">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Maymetsi</w:t>
      </w:r>
      <w:proofErr w:type="spellEnd"/>
      <w:r>
        <w:rPr>
          <w:rFonts w:eastAsia="TimesNewRoman,Bold"/>
          <w:snapToGrid/>
          <w:szCs w:val="22"/>
          <w:lang w:val="lt-LT"/>
        </w:rPr>
        <w:t>, cukraus kiekis kraujyje vėl gali padidėti.</w:t>
      </w:r>
    </w:p>
    <w:p w14:paraId="5A918C19" w14:textId="77777777" w:rsidR="00B64E78" w:rsidRDefault="00B64E78">
      <w:pPr>
        <w:widowControl w:val="0"/>
        <w:numPr>
          <w:ilvl w:val="12"/>
          <w:numId w:val="0"/>
        </w:numPr>
        <w:tabs>
          <w:tab w:val="clear" w:pos="567"/>
        </w:tabs>
        <w:spacing w:line="240" w:lineRule="auto"/>
        <w:ind w:right="-2"/>
        <w:rPr>
          <w:rFonts w:eastAsia="TimesNewRoman,Bold"/>
          <w:snapToGrid/>
          <w:szCs w:val="22"/>
          <w:lang w:val="lt-LT"/>
        </w:rPr>
      </w:pPr>
    </w:p>
    <w:p w14:paraId="1CB87C7E" w14:textId="77777777" w:rsidR="00B64E78" w:rsidRDefault="00DA46A9">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14:paraId="6C8CA658" w14:textId="77777777" w:rsidR="00B64E78" w:rsidRDefault="00B64E78">
      <w:pPr>
        <w:widowControl w:val="0"/>
        <w:numPr>
          <w:ilvl w:val="12"/>
          <w:numId w:val="0"/>
        </w:numPr>
        <w:tabs>
          <w:tab w:val="clear" w:pos="567"/>
        </w:tabs>
        <w:spacing w:line="240" w:lineRule="auto"/>
        <w:ind w:right="-2"/>
        <w:rPr>
          <w:snapToGrid/>
          <w:szCs w:val="22"/>
          <w:lang w:val="lt-LT"/>
        </w:rPr>
      </w:pPr>
    </w:p>
    <w:p w14:paraId="6AD65D20" w14:textId="77777777" w:rsidR="00B64E78" w:rsidRDefault="00B64E78">
      <w:pPr>
        <w:widowControl w:val="0"/>
        <w:numPr>
          <w:ilvl w:val="12"/>
          <w:numId w:val="0"/>
        </w:numPr>
        <w:tabs>
          <w:tab w:val="clear" w:pos="567"/>
        </w:tabs>
        <w:spacing w:line="240" w:lineRule="auto"/>
        <w:ind w:right="-2"/>
        <w:rPr>
          <w:snapToGrid/>
          <w:szCs w:val="22"/>
          <w:lang w:val="lt-LT"/>
        </w:rPr>
      </w:pPr>
    </w:p>
    <w:p w14:paraId="3CBF88D7"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1AF16F75" w14:textId="77777777" w:rsidR="00B64E78" w:rsidRDefault="00B64E78">
      <w:pPr>
        <w:widowControl w:val="0"/>
        <w:tabs>
          <w:tab w:val="clear" w:pos="567"/>
        </w:tabs>
        <w:spacing w:line="240" w:lineRule="auto"/>
        <w:ind w:left="567" w:hanging="567"/>
        <w:rPr>
          <w:snapToGrid/>
          <w:szCs w:val="22"/>
          <w:lang w:val="lt-LT"/>
        </w:rPr>
      </w:pPr>
    </w:p>
    <w:p w14:paraId="3B4D9CB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2B810D31" w14:textId="77777777" w:rsidR="00B64E78" w:rsidRDefault="00B64E78">
      <w:pPr>
        <w:widowControl w:val="0"/>
        <w:tabs>
          <w:tab w:val="clear" w:pos="567"/>
        </w:tabs>
        <w:autoSpaceDE w:val="0"/>
        <w:autoSpaceDN w:val="0"/>
        <w:adjustRightInd w:val="0"/>
        <w:spacing w:line="240" w:lineRule="auto"/>
        <w:rPr>
          <w:snapToGrid/>
          <w:szCs w:val="22"/>
          <w:lang w:val="lt-LT"/>
        </w:rPr>
      </w:pPr>
    </w:p>
    <w:p w14:paraId="10E3D0F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Pastebėję bet kurį toliau išvardytą sunkų šalutinį poveikį, NUTRAUKITE </w:t>
      </w:r>
      <w:proofErr w:type="spellStart"/>
      <w:r>
        <w:rPr>
          <w:snapToGrid/>
          <w:szCs w:val="22"/>
          <w:lang w:val="lt-LT"/>
        </w:rPr>
        <w:t>Maymetsi</w:t>
      </w:r>
      <w:proofErr w:type="spellEnd"/>
      <w:r>
        <w:rPr>
          <w:snapToGrid/>
          <w:szCs w:val="22"/>
          <w:lang w:val="lt-LT"/>
        </w:rPr>
        <w:t xml:space="preserve"> vartojimą ir nedelsdami kreipkitės į savo gydytoją:</w:t>
      </w:r>
    </w:p>
    <w:p w14:paraId="0ED3739D" w14:textId="77777777" w:rsidR="00B64E78" w:rsidRDefault="00DA46A9">
      <w:pPr>
        <w:widowControl w:val="0"/>
        <w:numPr>
          <w:ilvl w:val="0"/>
          <w:numId w:val="12"/>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14:paraId="6106FB24" w14:textId="77777777" w:rsidR="00B64E78" w:rsidRDefault="00B64E78">
      <w:pPr>
        <w:widowControl w:val="0"/>
        <w:tabs>
          <w:tab w:val="clear" w:pos="567"/>
        </w:tabs>
        <w:autoSpaceDE w:val="0"/>
        <w:autoSpaceDN w:val="0"/>
        <w:adjustRightInd w:val="0"/>
        <w:spacing w:line="240" w:lineRule="auto"/>
        <w:rPr>
          <w:snapToGrid/>
          <w:szCs w:val="22"/>
          <w:lang w:val="lt-LT"/>
        </w:rPr>
      </w:pPr>
    </w:p>
    <w:p w14:paraId="63DD7B41"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Maymetsi</w:t>
      </w:r>
      <w:proofErr w:type="spellEnd"/>
      <w:r>
        <w:rPr>
          <w:snapToGrid/>
          <w:szCs w:val="22"/>
          <w:lang w:val="lt-LT"/>
        </w:rPr>
        <w:t xml:space="preserve"> gali sukelti labai retą (gali pasireikšti rečiau kaip 1 iš 10 000 asmenų), tačiau labai sunkų šalutinį poveikį, vadinamą pieno rūgšties </w:t>
      </w:r>
      <w:proofErr w:type="spellStart"/>
      <w:r>
        <w:rPr>
          <w:snapToGrid/>
          <w:szCs w:val="22"/>
          <w:lang w:val="lt-LT"/>
        </w:rPr>
        <w:t>acidoze</w:t>
      </w:r>
      <w:proofErr w:type="spellEnd"/>
      <w:r>
        <w:rPr>
          <w:snapToGrid/>
          <w:szCs w:val="22"/>
          <w:lang w:val="lt-LT"/>
        </w:rPr>
        <w:t xml:space="preserve"> (žr. skyrių „Įspėjimai ir atsargumo priemonės“). Tokiu atveju turite </w:t>
      </w:r>
      <w:r>
        <w:rPr>
          <w:b/>
          <w:bCs/>
          <w:snapToGrid/>
          <w:szCs w:val="22"/>
          <w:lang w:val="lt-LT"/>
        </w:rPr>
        <w:t xml:space="preserve">nutraukti </w:t>
      </w:r>
      <w:proofErr w:type="spellStart"/>
      <w:r>
        <w:rPr>
          <w:b/>
          <w:bCs/>
          <w:snapToGrid/>
          <w:szCs w:val="22"/>
          <w:lang w:val="lt-LT"/>
        </w:rPr>
        <w:t>Maymetsi</w:t>
      </w:r>
      <w:proofErr w:type="spellEnd"/>
      <w:r>
        <w:rPr>
          <w:b/>
          <w:bCs/>
          <w:snapToGrid/>
          <w:szCs w:val="22"/>
          <w:lang w:val="lt-LT"/>
        </w:rPr>
        <w:t xml:space="preserve"> vartojimą ir nedelsdami kreiptis į gydytoją arba artimiausią ligoninę</w:t>
      </w:r>
      <w:r>
        <w:rPr>
          <w:snapToGrid/>
          <w:szCs w:val="22"/>
          <w:lang w:val="lt-LT"/>
        </w:rPr>
        <w:t xml:space="preserve">, nes pieno rūgšties </w:t>
      </w:r>
      <w:proofErr w:type="spellStart"/>
      <w:r>
        <w:rPr>
          <w:snapToGrid/>
          <w:szCs w:val="22"/>
          <w:lang w:val="lt-LT"/>
        </w:rPr>
        <w:t>acidozė</w:t>
      </w:r>
      <w:proofErr w:type="spellEnd"/>
      <w:r>
        <w:rPr>
          <w:snapToGrid/>
          <w:szCs w:val="22"/>
          <w:lang w:val="lt-LT"/>
        </w:rPr>
        <w:t xml:space="preserve"> gali sukelti komą. </w:t>
      </w:r>
    </w:p>
    <w:p w14:paraId="42CE4B06" w14:textId="77777777" w:rsidR="00B64E78" w:rsidRDefault="00B64E78">
      <w:pPr>
        <w:widowControl w:val="0"/>
        <w:tabs>
          <w:tab w:val="clear" w:pos="567"/>
        </w:tabs>
        <w:autoSpaceDE w:val="0"/>
        <w:autoSpaceDN w:val="0"/>
        <w:adjustRightInd w:val="0"/>
        <w:spacing w:line="240" w:lineRule="auto"/>
        <w:rPr>
          <w:snapToGrid/>
          <w:szCs w:val="22"/>
          <w:lang w:val="lt-LT"/>
        </w:rPr>
      </w:pPr>
    </w:p>
    <w:p w14:paraId="7F20F9E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įskaitant išbėrimą, dilgėlinę, pūsles ant odos ar odos lupimąsi bei veido, lūpų, liežuvio ir gerklės patinimą, kuris gali pasunkinti kvėpavimą arba rijimą, nutraukite šio vaisto vartojimą ir nedelsdami kreipkitės į gydytoją. Gydytojas gali Jums paskirti vaistą alerginei reakcijai gydyti ir kitą vaistą nuo cukrinio diabeto.</w:t>
      </w:r>
    </w:p>
    <w:p w14:paraId="2F20BD49" w14:textId="77777777" w:rsidR="00B64E78" w:rsidRDefault="00B64E78">
      <w:pPr>
        <w:widowControl w:val="0"/>
        <w:tabs>
          <w:tab w:val="clear" w:pos="567"/>
        </w:tabs>
        <w:autoSpaceDE w:val="0"/>
        <w:autoSpaceDN w:val="0"/>
        <w:adjustRightInd w:val="0"/>
        <w:spacing w:line="240" w:lineRule="auto"/>
        <w:rPr>
          <w:snapToGrid/>
          <w:szCs w:val="22"/>
          <w:lang w:val="lt-LT"/>
        </w:rPr>
      </w:pPr>
    </w:p>
    <w:p w14:paraId="160A586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kurių gydymas </w:t>
      </w:r>
      <w:proofErr w:type="spellStart"/>
      <w:r>
        <w:rPr>
          <w:snapToGrid/>
          <w:szCs w:val="22"/>
          <w:lang w:val="lt-LT"/>
        </w:rPr>
        <w:t>metforminu</w:t>
      </w:r>
      <w:proofErr w:type="spellEnd"/>
      <w:r>
        <w:rPr>
          <w:snapToGrid/>
          <w:szCs w:val="22"/>
          <w:lang w:val="lt-LT"/>
        </w:rPr>
        <w:t xml:space="preserve"> buvo papildytas </w:t>
      </w:r>
      <w:proofErr w:type="spellStart"/>
      <w:r>
        <w:rPr>
          <w:snapToGrid/>
          <w:szCs w:val="22"/>
          <w:lang w:val="lt-LT"/>
        </w:rPr>
        <w:t>sitagliptinu</w:t>
      </w:r>
      <w:proofErr w:type="spellEnd"/>
      <w:r>
        <w:rPr>
          <w:snapToGrid/>
          <w:szCs w:val="22"/>
          <w:lang w:val="lt-LT"/>
        </w:rPr>
        <w:t>, pasireiškė toliau išvardytas šalutinis poveikis.</w:t>
      </w:r>
    </w:p>
    <w:p w14:paraId="25ED90A7" w14:textId="77777777" w:rsidR="00B64E78" w:rsidRDefault="00DA46A9">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w:t>
      </w:r>
      <w:r>
        <w:rPr>
          <w:snapToGrid/>
          <w:szCs w:val="22"/>
          <w:lang w:val="lt-LT"/>
        </w:rPr>
        <w:t>asmenų</w:t>
      </w:r>
      <w:r>
        <w:rPr>
          <w:bCs/>
          <w:snapToGrid/>
          <w:szCs w:val="22"/>
          <w:lang w:val="lt-LT"/>
        </w:rPr>
        <w:t>): m</w:t>
      </w:r>
      <w:r>
        <w:rPr>
          <w:snapToGrid/>
          <w:szCs w:val="22"/>
          <w:lang w:val="lt-LT"/>
        </w:rPr>
        <w:t>ažas cukraus kiekis kraujyje, pykinimas, pilvo pūtimas, vėmimas.</w:t>
      </w:r>
    </w:p>
    <w:p w14:paraId="25D32379"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Nedažni šalutinio poveikio reiškiniai </w:t>
      </w:r>
      <w:r>
        <w:rPr>
          <w:bCs/>
          <w:snapToGrid/>
          <w:szCs w:val="22"/>
          <w:lang w:val="lt-LT"/>
        </w:rPr>
        <w:t>(gali pasireikšti rečiau kaip 1 iš 100 </w:t>
      </w:r>
      <w:r>
        <w:rPr>
          <w:snapToGrid/>
          <w:szCs w:val="22"/>
          <w:lang w:val="lt-LT"/>
        </w:rPr>
        <w:t>asmenų</w:t>
      </w:r>
      <w:r>
        <w:rPr>
          <w:bCs/>
          <w:snapToGrid/>
          <w:szCs w:val="22"/>
          <w:lang w:val="lt-LT"/>
        </w:rPr>
        <w:t>): skrandžio</w:t>
      </w:r>
      <w:r>
        <w:rPr>
          <w:snapToGrid/>
          <w:szCs w:val="22"/>
          <w:lang w:val="lt-LT"/>
        </w:rPr>
        <w:t xml:space="preserve"> maudimas, viduriavimas, vidurių užkietėjimas, apsnūdimas.</w:t>
      </w:r>
    </w:p>
    <w:p w14:paraId="30049367" w14:textId="77777777" w:rsidR="00B64E78" w:rsidRDefault="00B64E78">
      <w:pPr>
        <w:widowControl w:val="0"/>
        <w:tabs>
          <w:tab w:val="clear" w:pos="567"/>
        </w:tabs>
        <w:autoSpaceDE w:val="0"/>
        <w:autoSpaceDN w:val="0"/>
        <w:adjustRightInd w:val="0"/>
        <w:spacing w:line="240" w:lineRule="auto"/>
        <w:rPr>
          <w:snapToGrid/>
          <w:szCs w:val="22"/>
          <w:lang w:val="lt-LT"/>
        </w:rPr>
      </w:pPr>
    </w:p>
    <w:p w14:paraId="3A97A3F8"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vartoti pradėjusiems pacientams pasireiškė viduriavimas, pykinimas, pilvo pūtimas, vidurių užkietėjimas, </w:t>
      </w:r>
      <w:r>
        <w:rPr>
          <w:bCs/>
          <w:snapToGrid/>
          <w:szCs w:val="22"/>
          <w:lang w:val="lt-LT"/>
        </w:rPr>
        <w:t>skrandžio</w:t>
      </w:r>
      <w:r>
        <w:rPr>
          <w:snapToGrid/>
          <w:szCs w:val="22"/>
          <w:lang w:val="lt-LT"/>
        </w:rPr>
        <w:t xml:space="preserve"> maudimas ar vėmimas (tokie sutrikimai yra dažni).</w:t>
      </w:r>
    </w:p>
    <w:p w14:paraId="667A3ADB" w14:textId="77777777" w:rsidR="00B64E78" w:rsidRDefault="00B64E78">
      <w:pPr>
        <w:widowControl w:val="0"/>
        <w:tabs>
          <w:tab w:val="clear" w:pos="567"/>
        </w:tabs>
        <w:autoSpaceDE w:val="0"/>
        <w:autoSpaceDN w:val="0"/>
        <w:adjustRightInd w:val="0"/>
        <w:spacing w:line="240" w:lineRule="auto"/>
        <w:rPr>
          <w:snapToGrid/>
          <w:szCs w:val="22"/>
          <w:lang w:val="lt-LT"/>
        </w:rPr>
      </w:pPr>
    </w:p>
    <w:p w14:paraId="7A30D49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šio vaisto vartojo kartu su </w:t>
      </w:r>
      <w:proofErr w:type="spellStart"/>
      <w:r>
        <w:rPr>
          <w:snapToGrid/>
          <w:szCs w:val="22"/>
          <w:lang w:val="lt-LT"/>
        </w:rPr>
        <w:t>sulfonilkarbamidu</w:t>
      </w:r>
      <w:proofErr w:type="spellEnd"/>
      <w:r>
        <w:rPr>
          <w:snapToGrid/>
          <w:szCs w:val="22"/>
          <w:lang w:val="lt-LT"/>
        </w:rPr>
        <w:t xml:space="preserve">, pvz., </w:t>
      </w:r>
      <w:proofErr w:type="spellStart"/>
      <w:r>
        <w:rPr>
          <w:snapToGrid/>
          <w:szCs w:val="22"/>
          <w:lang w:val="lt-LT"/>
        </w:rPr>
        <w:t>glimepiridu</w:t>
      </w:r>
      <w:proofErr w:type="spellEnd"/>
      <w:r>
        <w:rPr>
          <w:snapToGrid/>
          <w:szCs w:val="22"/>
          <w:lang w:val="lt-LT"/>
        </w:rPr>
        <w:t>, pasireiškė toliau išvardytas šalutinis poveikis.</w:t>
      </w:r>
    </w:p>
    <w:p w14:paraId="3E59DBA3"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14:paraId="184BCA11" w14:textId="77777777" w:rsidR="00B64E78" w:rsidRDefault="00DA46A9">
      <w:pPr>
        <w:widowControl w:val="0"/>
        <w:tabs>
          <w:tab w:val="clear" w:pos="567"/>
        </w:tabs>
        <w:spacing w:line="240" w:lineRule="auto"/>
        <w:ind w:left="567" w:hanging="567"/>
        <w:rPr>
          <w:snapToGrid/>
          <w:szCs w:val="22"/>
          <w:lang w:val="lt-LT"/>
        </w:rPr>
      </w:pPr>
      <w:bookmarkStart w:id="9" w:name="_Hlk85650477"/>
      <w:r>
        <w:rPr>
          <w:snapToGrid/>
          <w:szCs w:val="22"/>
          <w:lang w:val="lt-LT"/>
        </w:rPr>
        <w:t>Dažni šalutinio poveikio reiškiniai</w:t>
      </w:r>
      <w:bookmarkEnd w:id="9"/>
      <w:r>
        <w:rPr>
          <w:snapToGrid/>
          <w:szCs w:val="22"/>
          <w:lang w:val="lt-LT"/>
        </w:rPr>
        <w:t>: vidurių užkietėjimas.</w:t>
      </w:r>
    </w:p>
    <w:p w14:paraId="2E93BD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74D7C55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pacientams, kurie šio vaisto vartojo kartu su </w:t>
      </w:r>
      <w:proofErr w:type="spellStart"/>
      <w:r>
        <w:rPr>
          <w:snapToGrid/>
          <w:szCs w:val="22"/>
          <w:lang w:val="lt-LT"/>
        </w:rPr>
        <w:t>pioglitazonu</w:t>
      </w:r>
      <w:proofErr w:type="spellEnd"/>
      <w:r>
        <w:rPr>
          <w:snapToGrid/>
          <w:szCs w:val="22"/>
          <w:lang w:val="lt-LT"/>
        </w:rPr>
        <w:t>, pasireiškė toliau išvardytas šalutinis poveikis.</w:t>
      </w:r>
    </w:p>
    <w:p w14:paraId="14BB396F"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šalutinio poveikio reiškiniai: plaštakų ar kojų pabrinkimas.</w:t>
      </w:r>
    </w:p>
    <w:p w14:paraId="6D971716" w14:textId="77777777" w:rsidR="00B64E78" w:rsidRDefault="00B64E78">
      <w:pPr>
        <w:widowControl w:val="0"/>
        <w:tabs>
          <w:tab w:val="clear" w:pos="567"/>
        </w:tabs>
        <w:autoSpaceDE w:val="0"/>
        <w:autoSpaceDN w:val="0"/>
        <w:adjustRightInd w:val="0"/>
        <w:spacing w:line="240" w:lineRule="auto"/>
        <w:rPr>
          <w:snapToGrid/>
          <w:szCs w:val="22"/>
          <w:lang w:val="lt-LT"/>
        </w:rPr>
      </w:pPr>
    </w:p>
    <w:p w14:paraId="585D96EF"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su insulinu, pasireiškė toliau išvardytas šalutinis poveikis.</w:t>
      </w:r>
    </w:p>
    <w:p w14:paraId="1974370D"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 xml:space="preserve">Dažni šalutinio poveikio reiškiniai: </w:t>
      </w:r>
      <w:r>
        <w:rPr>
          <w:snapToGrid/>
          <w:szCs w:val="22"/>
          <w:lang w:val="lt-LT"/>
        </w:rPr>
        <w:t>mažas cukraus kiekis kraujyje</w:t>
      </w:r>
      <w:r>
        <w:rPr>
          <w:bCs/>
          <w:snapToGrid/>
          <w:szCs w:val="22"/>
          <w:lang w:val="lt-LT"/>
        </w:rPr>
        <w:t>.</w:t>
      </w:r>
    </w:p>
    <w:p w14:paraId="1A70BA9A" w14:textId="77777777" w:rsidR="00B64E78" w:rsidRDefault="00DA46A9">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šalutinio poveikio reiškiniai: burnos džiūvimas, galvos skausmas.</w:t>
      </w:r>
    </w:p>
    <w:p w14:paraId="71B3675B" w14:textId="77777777" w:rsidR="00B64E78" w:rsidRDefault="00B64E78">
      <w:pPr>
        <w:widowControl w:val="0"/>
        <w:tabs>
          <w:tab w:val="clear" w:pos="567"/>
        </w:tabs>
        <w:autoSpaceDE w:val="0"/>
        <w:autoSpaceDN w:val="0"/>
        <w:adjustRightInd w:val="0"/>
        <w:spacing w:line="240" w:lineRule="auto"/>
        <w:rPr>
          <w:snapToGrid/>
          <w:szCs w:val="22"/>
          <w:lang w:val="lt-LT"/>
        </w:rPr>
      </w:pPr>
    </w:p>
    <w:p w14:paraId="0A90FDDB"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išvardytas šalutinis poveikis, kai kuriems pacientams pasireiškęs klinikinių tyrimų metu vartojant vien </w:t>
      </w:r>
      <w:proofErr w:type="spellStart"/>
      <w:r>
        <w:rPr>
          <w:snapToGrid/>
          <w:szCs w:val="22"/>
          <w:lang w:val="lt-LT"/>
        </w:rPr>
        <w:t>sitagliptino</w:t>
      </w:r>
      <w:proofErr w:type="spellEnd"/>
      <w:r>
        <w:rPr>
          <w:snapToGrid/>
          <w:szCs w:val="22"/>
          <w:lang w:val="lt-LT"/>
        </w:rPr>
        <w:t xml:space="preserve"> (vieno iš </w:t>
      </w:r>
      <w:proofErr w:type="spellStart"/>
      <w:r>
        <w:rPr>
          <w:snapToGrid/>
          <w:szCs w:val="22"/>
          <w:lang w:val="lt-LT"/>
        </w:rPr>
        <w:t>Maymetsi</w:t>
      </w:r>
      <w:proofErr w:type="spellEnd"/>
      <w:r>
        <w:rPr>
          <w:snapToGrid/>
          <w:szCs w:val="22"/>
          <w:lang w:val="lt-LT"/>
        </w:rPr>
        <w:t xml:space="preserve"> sudėtyje esančių vaistų) arba po vaisto registracijos vartojant </w:t>
      </w:r>
      <w:proofErr w:type="spellStart"/>
      <w:r>
        <w:rPr>
          <w:snapToGrid/>
          <w:szCs w:val="22"/>
          <w:lang w:val="lt-LT"/>
        </w:rPr>
        <w:t>sitagliptino</w:t>
      </w:r>
      <w:proofErr w:type="spellEnd"/>
      <w:r>
        <w:rPr>
          <w:snapToGrid/>
          <w:szCs w:val="22"/>
          <w:lang w:val="lt-LT"/>
        </w:rPr>
        <w:t xml:space="preserve"> ir </w:t>
      </w:r>
      <w:proofErr w:type="spellStart"/>
      <w:r>
        <w:rPr>
          <w:snapToGrid/>
          <w:szCs w:val="22"/>
          <w:lang w:val="lt-LT"/>
        </w:rPr>
        <w:t>metformino</w:t>
      </w:r>
      <w:proofErr w:type="spellEnd"/>
      <w:r>
        <w:rPr>
          <w:snapToGrid/>
          <w:szCs w:val="22"/>
          <w:lang w:val="lt-LT"/>
        </w:rPr>
        <w:t xml:space="preserve"> derinio arba </w:t>
      </w:r>
      <w:proofErr w:type="spellStart"/>
      <w:r>
        <w:rPr>
          <w:snapToGrid/>
          <w:szCs w:val="22"/>
          <w:lang w:val="lt-LT"/>
        </w:rPr>
        <w:t>sitagliptino</w:t>
      </w:r>
      <w:proofErr w:type="spellEnd"/>
      <w:r>
        <w:rPr>
          <w:snapToGrid/>
          <w:szCs w:val="22"/>
          <w:lang w:val="lt-LT"/>
        </w:rPr>
        <w:t xml:space="preserve"> (vien jų ar kartu su kitais vaistais nuo cukrinio diabeto).</w:t>
      </w:r>
    </w:p>
    <w:p w14:paraId="77676E5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Dažni šalutinio poveikio reiškiniai: mažas cukraus kiekis kraujyje, galvos skausmas, viršutinių kvėpavimo takų infekcija, nosies užsikimšimas ar išskyros ir ryklės skausmas, </w:t>
      </w:r>
      <w:proofErr w:type="spellStart"/>
      <w:r>
        <w:rPr>
          <w:snapToGrid/>
          <w:szCs w:val="22"/>
          <w:lang w:val="lt-LT"/>
        </w:rPr>
        <w:t>osteoartritas</w:t>
      </w:r>
      <w:proofErr w:type="spellEnd"/>
      <w:r>
        <w:rPr>
          <w:snapToGrid/>
          <w:szCs w:val="22"/>
          <w:lang w:val="lt-LT"/>
        </w:rPr>
        <w:t>, rankos ar kojos skausmas.</w:t>
      </w:r>
    </w:p>
    <w:p w14:paraId="5600A06C"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svaigulys, vidurių užkietėjimas, niežulys.</w:t>
      </w:r>
    </w:p>
    <w:p w14:paraId="71173EA6"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Reti šalutinio poveikio reiškiniai: sumažėjęs trombocitų skaičius.</w:t>
      </w:r>
    </w:p>
    <w:p w14:paraId="23CB6A55"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Šalutinio poveikio reiškiniai, kurių dažnis nežinomas: inkstų sutrikimai (kartais prireikia dializės), </w:t>
      </w:r>
      <w:r>
        <w:rPr>
          <w:snapToGrid/>
          <w:szCs w:val="22"/>
          <w:lang w:val="lt-LT"/>
        </w:rPr>
        <w:lastRenderedPageBreak/>
        <w:t xml:space="preserve">vėmimas, sąnarių skausmas, raumenų skausmas, nugaros skausmas, </w:t>
      </w:r>
      <w:proofErr w:type="spellStart"/>
      <w:r>
        <w:rPr>
          <w:snapToGrid/>
          <w:szCs w:val="22"/>
          <w:lang w:val="lt-LT"/>
        </w:rPr>
        <w:t>intersticinė</w:t>
      </w:r>
      <w:proofErr w:type="spellEnd"/>
      <w:r>
        <w:rPr>
          <w:snapToGrid/>
          <w:szCs w:val="22"/>
          <w:lang w:val="lt-LT"/>
        </w:rPr>
        <w:t xml:space="preserve"> plaučių liga, </w:t>
      </w:r>
      <w:proofErr w:type="spellStart"/>
      <w:r>
        <w:rPr>
          <w:snapToGrid/>
          <w:szCs w:val="22"/>
          <w:lang w:val="lt-LT"/>
        </w:rPr>
        <w:t>pūslinis</w:t>
      </w:r>
      <w:proofErr w:type="spellEnd"/>
      <w:r>
        <w:rPr>
          <w:snapToGrid/>
          <w:szCs w:val="22"/>
          <w:lang w:val="lt-LT"/>
        </w:rPr>
        <w:t xml:space="preserve"> </w:t>
      </w:r>
      <w:proofErr w:type="spellStart"/>
      <w:r>
        <w:rPr>
          <w:snapToGrid/>
          <w:szCs w:val="22"/>
          <w:lang w:val="lt-LT"/>
        </w:rPr>
        <w:t>pemfigoidas</w:t>
      </w:r>
      <w:proofErr w:type="spellEnd"/>
      <w:r>
        <w:rPr>
          <w:snapToGrid/>
          <w:szCs w:val="22"/>
          <w:lang w:val="lt-LT"/>
        </w:rPr>
        <w:t xml:space="preserve"> (tam tikro tipo pūslių susidarymas ant odos).</w:t>
      </w:r>
    </w:p>
    <w:p w14:paraId="4DBAF474" w14:textId="77777777" w:rsidR="00B64E78" w:rsidRDefault="00B64E78">
      <w:pPr>
        <w:widowControl w:val="0"/>
        <w:tabs>
          <w:tab w:val="clear" w:pos="567"/>
        </w:tabs>
        <w:autoSpaceDE w:val="0"/>
        <w:autoSpaceDN w:val="0"/>
        <w:adjustRightInd w:val="0"/>
        <w:spacing w:line="240" w:lineRule="auto"/>
        <w:rPr>
          <w:snapToGrid/>
          <w:szCs w:val="22"/>
          <w:lang w:val="lt-LT"/>
        </w:rPr>
      </w:pPr>
    </w:p>
    <w:p w14:paraId="1840DB1D"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Toliau išvardytas šalutinis poveikis, pasireiškęs kai kuriems pacientams, vartojusiems vien </w:t>
      </w:r>
      <w:proofErr w:type="spellStart"/>
      <w:r>
        <w:rPr>
          <w:snapToGrid/>
          <w:szCs w:val="22"/>
          <w:lang w:val="lt-LT"/>
        </w:rPr>
        <w:t>metformino</w:t>
      </w:r>
      <w:proofErr w:type="spellEnd"/>
      <w:r>
        <w:rPr>
          <w:snapToGrid/>
          <w:szCs w:val="22"/>
          <w:lang w:val="lt-LT"/>
        </w:rPr>
        <w:t>.</w:t>
      </w:r>
    </w:p>
    <w:p w14:paraId="0B229A44"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Labai dažni šalutinio poveikio reiškiniai: pykinimas, vėmimas, viduriavimas, </w:t>
      </w:r>
      <w:r>
        <w:rPr>
          <w:bCs/>
          <w:snapToGrid/>
          <w:szCs w:val="22"/>
          <w:lang w:val="lt-LT"/>
        </w:rPr>
        <w:t>skrandžio</w:t>
      </w:r>
      <w:r>
        <w:rPr>
          <w:snapToGrid/>
          <w:szCs w:val="22"/>
          <w:lang w:val="lt-LT"/>
        </w:rPr>
        <w:t xml:space="preserve"> maudimas ir apetito sumažėjimas. Šie simptomai gali pasireikšti pradėjus vartoti </w:t>
      </w:r>
      <w:proofErr w:type="spellStart"/>
      <w:r>
        <w:rPr>
          <w:snapToGrid/>
          <w:szCs w:val="22"/>
          <w:lang w:val="lt-LT"/>
        </w:rPr>
        <w:t>metformino</w:t>
      </w:r>
      <w:proofErr w:type="spellEnd"/>
      <w:r>
        <w:rPr>
          <w:snapToGrid/>
          <w:szCs w:val="22"/>
          <w:lang w:val="lt-LT"/>
        </w:rPr>
        <w:t xml:space="preserve"> ir vėliau paprastai išnyksta.</w:t>
      </w:r>
    </w:p>
    <w:p w14:paraId="4984D50E"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metalo skonis burnoje, sumažėjusi arba žema vitamino B12 koncentracija kraujyje (kurios simptomai gali būti ypatingai ryškus nuovargis, skaudantis ir paraudęs liežuvis (glositas), dilgčiojimo pojūtis galūnėse (</w:t>
      </w:r>
      <w:proofErr w:type="spellStart"/>
      <w:r>
        <w:rPr>
          <w:snapToGrid/>
          <w:szCs w:val="22"/>
          <w:lang w:val="lt-LT"/>
        </w:rPr>
        <w:t>parestezijos</w:t>
      </w:r>
      <w:proofErr w:type="spellEnd"/>
      <w:r>
        <w:rPr>
          <w:snapToGrid/>
          <w:szCs w:val="22"/>
          <w:lang w:val="lt-LT"/>
        </w:rPr>
        <w:t>) arba blyški ar pageltusi oda). Gydytojas gali nurodyti atlikti tam tikrus tyrimus, kad galėtų išsiaiškinti šių Jūsų patiriamų simptomų priežastis, kadangi kai kurie iš šių simptomų taip pat gali būti nulemti diabeto ar kitų nesusijusių sveikatos sutrikimų.</w:t>
      </w:r>
    </w:p>
    <w:p w14:paraId="07EE5654" w14:textId="77777777" w:rsidR="00B64E78" w:rsidRDefault="00B64E78">
      <w:pPr>
        <w:widowControl w:val="0"/>
        <w:tabs>
          <w:tab w:val="clear" w:pos="567"/>
        </w:tabs>
        <w:autoSpaceDE w:val="0"/>
        <w:autoSpaceDN w:val="0"/>
        <w:adjustRightInd w:val="0"/>
        <w:spacing w:line="240" w:lineRule="auto"/>
        <w:rPr>
          <w:snapToGrid/>
          <w:szCs w:val="22"/>
          <w:lang w:val="lt-LT"/>
        </w:rPr>
      </w:pPr>
    </w:p>
    <w:p w14:paraId="5D7278A1" w14:textId="77777777" w:rsidR="00B64E78" w:rsidRDefault="00DA46A9">
      <w:pPr>
        <w:widowControl w:val="0"/>
        <w:tabs>
          <w:tab w:val="clear" w:pos="567"/>
        </w:tabs>
        <w:autoSpaceDE w:val="0"/>
        <w:autoSpaceDN w:val="0"/>
        <w:adjustRightInd w:val="0"/>
        <w:spacing w:line="240" w:lineRule="auto"/>
        <w:rPr>
          <w:snapToGrid/>
          <w:szCs w:val="22"/>
          <w:lang w:val="lt-LT"/>
        </w:rPr>
      </w:pPr>
      <w:r>
        <w:rPr>
          <w:snapToGrid/>
          <w:szCs w:val="22"/>
          <w:lang w:val="lt-LT"/>
        </w:rPr>
        <w:t>Labai reti šalutinio poveikio reiškiniai: hepatitas (kepenų sutrikimas), dilgėlinė, odos paraudimas (išbėrimas) arba niežulys.</w:t>
      </w:r>
    </w:p>
    <w:p w14:paraId="0B8AA776" w14:textId="77777777" w:rsidR="00B64E78" w:rsidRDefault="00B64E78">
      <w:pPr>
        <w:widowControl w:val="0"/>
        <w:tabs>
          <w:tab w:val="clear" w:pos="567"/>
        </w:tabs>
        <w:autoSpaceDE w:val="0"/>
        <w:autoSpaceDN w:val="0"/>
        <w:adjustRightInd w:val="0"/>
        <w:spacing w:line="240" w:lineRule="auto"/>
        <w:rPr>
          <w:snapToGrid/>
          <w:szCs w:val="22"/>
          <w:lang w:val="lt-LT"/>
        </w:rPr>
      </w:pPr>
    </w:p>
    <w:p w14:paraId="61470DB7" w14:textId="77777777" w:rsidR="00B64E78" w:rsidRDefault="00DA46A9">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7DE619FE"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bookmarkStart w:id="10" w:name="_Hlk85559581"/>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Pr>
            <w:color w:val="0000FF"/>
            <w:u w:val="single"/>
            <w:lang w:val="lt-LT"/>
          </w:rPr>
          <w:t>https://vapris.vvkt.lt/vvkt-web/public/nrv</w:t>
        </w:r>
      </w:hyperlink>
      <w:r>
        <w:rPr>
          <w:lang w:val="lt-LT"/>
        </w:rPr>
        <w:t xml:space="preserve"> arba užpildant Sveikatos priežiūros ar farmacijos specialisto pranešimo apie įtariamą nepageidaujamą reakciją formą, kuri skelbiama </w:t>
      </w:r>
      <w:hyperlink r:id="rId12" w:history="1">
        <w:r>
          <w:rPr>
            <w:color w:val="0000FF"/>
            <w:u w:val="single"/>
            <w:lang w:val="lt-LT"/>
          </w:rPr>
          <w:t>https://www.vvkt.lt/index.php?4004286486</w:t>
        </w:r>
      </w:hyperlink>
      <w:r>
        <w:rPr>
          <w:lang w:val="lt-LT"/>
        </w:rPr>
        <w:t xml:space="preserve">, ir atsiunčiant elektroniniu paštu (adresu </w:t>
      </w:r>
      <w:hyperlink r:id="rId13" w:history="1">
        <w:r>
          <w:rPr>
            <w:color w:val="0000FF"/>
            <w:u w:val="single"/>
            <w:lang w:val="lt-LT"/>
          </w:rPr>
          <w:t>NepageidaujamaR@vvkt.lt</w:t>
        </w:r>
      </w:hyperlink>
      <w:r>
        <w:rPr>
          <w:lang w:val="lt-LT"/>
        </w:rPr>
        <w:t>) arba nemokamu telefonu 8 800 73 568.</w:t>
      </w:r>
      <w:bookmarkEnd w:id="10"/>
    </w:p>
    <w:p w14:paraId="7F80106B" w14:textId="77777777" w:rsidR="00B64E78" w:rsidRDefault="00B64E78">
      <w:pPr>
        <w:widowControl w:val="0"/>
        <w:numPr>
          <w:ilvl w:val="12"/>
          <w:numId w:val="0"/>
        </w:numPr>
        <w:tabs>
          <w:tab w:val="clear" w:pos="567"/>
        </w:tabs>
        <w:spacing w:line="240" w:lineRule="auto"/>
        <w:ind w:right="-2"/>
        <w:rPr>
          <w:snapToGrid/>
          <w:szCs w:val="24"/>
          <w:lang w:val="lt-LT"/>
        </w:rPr>
      </w:pPr>
    </w:p>
    <w:p w14:paraId="6F02CF7B" w14:textId="77777777" w:rsidR="00B64E78" w:rsidRDefault="00B64E78">
      <w:pPr>
        <w:widowControl w:val="0"/>
        <w:numPr>
          <w:ilvl w:val="12"/>
          <w:numId w:val="0"/>
        </w:numPr>
        <w:tabs>
          <w:tab w:val="clear" w:pos="567"/>
        </w:tabs>
        <w:spacing w:line="240" w:lineRule="auto"/>
        <w:ind w:right="-2"/>
        <w:rPr>
          <w:snapToGrid/>
          <w:szCs w:val="22"/>
          <w:lang w:val="lt-LT"/>
        </w:rPr>
      </w:pPr>
    </w:p>
    <w:p w14:paraId="59DE9034"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Maymetsi</w:t>
      </w:r>
      <w:proofErr w:type="spellEnd"/>
    </w:p>
    <w:p w14:paraId="4A4EF1BB" w14:textId="77777777" w:rsidR="00B64E78" w:rsidRDefault="00B64E78">
      <w:pPr>
        <w:widowControl w:val="0"/>
        <w:tabs>
          <w:tab w:val="clear" w:pos="567"/>
        </w:tabs>
        <w:spacing w:line="240" w:lineRule="auto"/>
        <w:rPr>
          <w:i/>
          <w:snapToGrid/>
          <w:szCs w:val="22"/>
          <w:lang w:val="lt-LT"/>
        </w:rPr>
      </w:pPr>
    </w:p>
    <w:p w14:paraId="519C80C7"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7C053711" w14:textId="77777777" w:rsidR="00B64E78" w:rsidRDefault="00B64E78">
      <w:pPr>
        <w:widowControl w:val="0"/>
        <w:numPr>
          <w:ilvl w:val="12"/>
          <w:numId w:val="0"/>
        </w:numPr>
        <w:tabs>
          <w:tab w:val="clear" w:pos="567"/>
        </w:tabs>
        <w:spacing w:line="240" w:lineRule="auto"/>
        <w:ind w:right="-2"/>
        <w:rPr>
          <w:snapToGrid/>
          <w:szCs w:val="22"/>
          <w:lang w:val="lt-LT"/>
        </w:rPr>
      </w:pPr>
    </w:p>
    <w:p w14:paraId="6F1E9324" w14:textId="77777777" w:rsidR="00B64E78" w:rsidRDefault="00DA46A9">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14:paraId="02FFB19C" w14:textId="77777777" w:rsidR="00B64E78" w:rsidRDefault="00B64E78">
      <w:pPr>
        <w:widowControl w:val="0"/>
        <w:numPr>
          <w:ilvl w:val="12"/>
          <w:numId w:val="0"/>
        </w:numPr>
        <w:tabs>
          <w:tab w:val="clear" w:pos="567"/>
        </w:tabs>
        <w:spacing w:line="240" w:lineRule="auto"/>
        <w:ind w:right="-2"/>
        <w:rPr>
          <w:snapToGrid/>
          <w:szCs w:val="22"/>
          <w:lang w:val="lt-LT"/>
        </w:rPr>
      </w:pPr>
    </w:p>
    <w:p w14:paraId="264D65F2" w14:textId="77777777" w:rsidR="00B64E78" w:rsidRDefault="00DA46A9">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14:paraId="024CB835" w14:textId="77777777" w:rsidR="00B64E78" w:rsidRDefault="00DA46A9">
      <w:pPr>
        <w:widowControl w:val="0"/>
        <w:tabs>
          <w:tab w:val="clear" w:pos="567"/>
        </w:tabs>
        <w:spacing w:line="240" w:lineRule="auto"/>
        <w:rPr>
          <w:rFonts w:eastAsia="TimesNewRoman"/>
          <w:snapToGrid/>
          <w:szCs w:val="22"/>
          <w:lang w:val="lt-LT"/>
        </w:rPr>
      </w:pPr>
      <w:r>
        <w:rPr>
          <w:lang w:val="lt-LT"/>
        </w:rPr>
        <w:t>Šio vaisto laikymui specialių temperatūros sąlygų nereikalaujama.</w:t>
      </w:r>
    </w:p>
    <w:p w14:paraId="544371B7" w14:textId="77777777" w:rsidR="00B64E78" w:rsidRDefault="00DA46A9">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14:paraId="3A6E569F" w14:textId="77777777" w:rsidR="00B64E78" w:rsidRDefault="00DA46A9">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14:paraId="35FDD3C6" w14:textId="77777777" w:rsidR="00B64E78" w:rsidRDefault="00DA46A9">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14:paraId="65B22DBE" w14:textId="77777777" w:rsidR="00B64E78" w:rsidRDefault="00B64E78">
      <w:pPr>
        <w:widowControl w:val="0"/>
        <w:tabs>
          <w:tab w:val="clear" w:pos="567"/>
        </w:tabs>
        <w:spacing w:line="240" w:lineRule="auto"/>
        <w:rPr>
          <w:rFonts w:eastAsia="TimesNewRoman"/>
          <w:snapToGrid/>
          <w:szCs w:val="22"/>
          <w:lang w:val="lt-LT"/>
        </w:rPr>
      </w:pPr>
    </w:p>
    <w:p w14:paraId="7F91B18E"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13558522" w14:textId="77777777" w:rsidR="00B64E78" w:rsidRDefault="00B64E78">
      <w:pPr>
        <w:widowControl w:val="0"/>
        <w:numPr>
          <w:ilvl w:val="12"/>
          <w:numId w:val="0"/>
        </w:numPr>
        <w:tabs>
          <w:tab w:val="clear" w:pos="567"/>
        </w:tabs>
        <w:spacing w:line="240" w:lineRule="auto"/>
        <w:ind w:right="-2"/>
        <w:rPr>
          <w:snapToGrid/>
          <w:szCs w:val="22"/>
          <w:lang w:val="lt-LT"/>
        </w:rPr>
      </w:pPr>
    </w:p>
    <w:p w14:paraId="52E1163C" w14:textId="77777777" w:rsidR="00B64E78" w:rsidRDefault="00B64E78">
      <w:pPr>
        <w:widowControl w:val="0"/>
        <w:numPr>
          <w:ilvl w:val="12"/>
          <w:numId w:val="0"/>
        </w:numPr>
        <w:tabs>
          <w:tab w:val="clear" w:pos="567"/>
        </w:tabs>
        <w:spacing w:line="240" w:lineRule="auto"/>
        <w:ind w:right="-2"/>
        <w:rPr>
          <w:snapToGrid/>
          <w:szCs w:val="22"/>
          <w:lang w:val="lt-LT"/>
        </w:rPr>
      </w:pPr>
    </w:p>
    <w:p w14:paraId="201ECE12" w14:textId="77777777" w:rsidR="00B64E78" w:rsidRDefault="00DA46A9">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58D44CF3" w14:textId="77777777" w:rsidR="00B64E78" w:rsidRDefault="00B64E78">
      <w:pPr>
        <w:widowControl w:val="0"/>
        <w:numPr>
          <w:ilvl w:val="12"/>
          <w:numId w:val="0"/>
        </w:numPr>
        <w:tabs>
          <w:tab w:val="clear" w:pos="567"/>
        </w:tabs>
        <w:spacing w:line="240" w:lineRule="auto"/>
        <w:rPr>
          <w:snapToGrid/>
          <w:szCs w:val="22"/>
          <w:lang w:val="lt-LT"/>
        </w:rPr>
      </w:pPr>
    </w:p>
    <w:p w14:paraId="6398D9E5" w14:textId="77777777" w:rsidR="00B64E78" w:rsidRDefault="00DA46A9">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Maymetsi</w:t>
      </w:r>
      <w:proofErr w:type="spellEnd"/>
      <w:r>
        <w:rPr>
          <w:b/>
          <w:bCs/>
          <w:snapToGrid/>
          <w:szCs w:val="22"/>
          <w:lang w:val="lt-LT"/>
        </w:rPr>
        <w:t xml:space="preserve"> sudėtis</w:t>
      </w:r>
    </w:p>
    <w:p w14:paraId="79EC1B4D"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Veikliosios medžiagos </w:t>
      </w:r>
      <w:r>
        <w:rPr>
          <w:rFonts w:eastAsia="TimesNewRoman"/>
          <w:snapToGrid/>
          <w:szCs w:val="22"/>
          <w:lang w:val="lt-LT"/>
        </w:rPr>
        <w:t xml:space="preserve">yra </w:t>
      </w:r>
      <w:proofErr w:type="spellStart"/>
      <w:r>
        <w:rPr>
          <w:rFonts w:eastAsia="TimesNewRoman"/>
          <w:snapToGrid/>
          <w:szCs w:val="22"/>
          <w:lang w:val="lt-LT"/>
        </w:rPr>
        <w:t>sitagliptinas</w:t>
      </w:r>
      <w:proofErr w:type="spellEnd"/>
      <w:r>
        <w:rPr>
          <w:rFonts w:eastAsia="TimesNewRoman"/>
          <w:snapToGrid/>
          <w:szCs w:val="22"/>
          <w:lang w:val="lt-LT"/>
        </w:rPr>
        <w:t xml:space="preserve"> ir </w:t>
      </w:r>
      <w:proofErr w:type="spellStart"/>
      <w:r>
        <w:rPr>
          <w:rFonts w:eastAsia="TimesNewRoman"/>
          <w:snapToGrid/>
          <w:szCs w:val="22"/>
          <w:lang w:val="lt-LT"/>
        </w:rPr>
        <w:t>metformino</w:t>
      </w:r>
      <w:proofErr w:type="spellEnd"/>
      <w:r>
        <w:rPr>
          <w:rFonts w:eastAsia="TimesNewRoman"/>
          <w:snapToGrid/>
          <w:szCs w:val="22"/>
          <w:lang w:val="lt-LT"/>
        </w:rPr>
        <w:t xml:space="preserve"> hidrochloridas.</w:t>
      </w:r>
    </w:p>
    <w:p w14:paraId="71E05580" w14:textId="77777777" w:rsidR="00B64E78" w:rsidRDefault="00DA46A9">
      <w:pPr>
        <w:widowControl w:val="0"/>
        <w:numPr>
          <w:ilvl w:val="0"/>
          <w:numId w:val="6"/>
        </w:numPr>
        <w:tabs>
          <w:tab w:val="clear" w:pos="567"/>
        </w:tabs>
        <w:autoSpaceDE w:val="0"/>
        <w:autoSpaceDN w:val="0"/>
        <w:adjustRightInd w:val="0"/>
        <w:spacing w:line="240" w:lineRule="auto"/>
        <w:ind w:left="567" w:hanging="567"/>
        <w:rPr>
          <w:snapToGrid/>
          <w:szCs w:val="22"/>
          <w:u w:val="single"/>
          <w:lang w:val="lt-LT"/>
        </w:rPr>
      </w:pPr>
      <w:proofErr w:type="spellStart"/>
      <w:r>
        <w:rPr>
          <w:snapToGrid/>
          <w:szCs w:val="22"/>
          <w:u w:val="single"/>
          <w:lang w:val="lt-LT"/>
        </w:rPr>
        <w:t>Maymetsi</w:t>
      </w:r>
      <w:proofErr w:type="spellEnd"/>
      <w:r>
        <w:rPr>
          <w:snapToGrid/>
          <w:szCs w:val="22"/>
          <w:u w:val="single"/>
          <w:lang w:val="lt-LT"/>
        </w:rPr>
        <w:t xml:space="preserve"> 50 mg/850 mg plėvele dengtos tabletės</w:t>
      </w:r>
    </w:p>
    <w:p w14:paraId="463D0B82" w14:textId="77777777" w:rsidR="00B64E78" w:rsidRDefault="00DA46A9">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850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2EEF4562" w14:textId="77777777" w:rsidR="00B64E78" w:rsidRDefault="00DA46A9">
      <w:pPr>
        <w:widowControl w:val="0"/>
        <w:tabs>
          <w:tab w:val="clear" w:pos="567"/>
        </w:tabs>
        <w:autoSpaceDE w:val="0"/>
        <w:autoSpaceDN w:val="0"/>
        <w:adjustRightInd w:val="0"/>
        <w:spacing w:line="240" w:lineRule="auto"/>
        <w:ind w:left="567"/>
        <w:rPr>
          <w:snapToGrid/>
          <w:szCs w:val="22"/>
          <w:u w:val="single"/>
          <w:lang w:val="lt-LT"/>
        </w:rPr>
      </w:pPr>
      <w:proofErr w:type="spellStart"/>
      <w:r>
        <w:rPr>
          <w:snapToGrid/>
          <w:szCs w:val="22"/>
          <w:u w:val="single"/>
          <w:lang w:val="lt-LT"/>
        </w:rPr>
        <w:t>Maymetsi</w:t>
      </w:r>
      <w:proofErr w:type="spellEnd"/>
      <w:r>
        <w:rPr>
          <w:snapToGrid/>
          <w:szCs w:val="22"/>
          <w:u w:val="single"/>
          <w:lang w:val="lt-LT"/>
        </w:rPr>
        <w:t xml:space="preserve"> 50 mg/1000 mg plėvele dengtos tabletės</w:t>
      </w:r>
    </w:p>
    <w:p w14:paraId="2C457B32" w14:textId="77777777" w:rsidR="00B64E78" w:rsidRDefault="00DA46A9">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w:t>
      </w:r>
      <w:proofErr w:type="spellStart"/>
      <w:r>
        <w:rPr>
          <w:rFonts w:eastAsia="TimesNewRoman"/>
          <w:snapToGrid/>
          <w:szCs w:val="22"/>
          <w:lang w:val="lt-LT"/>
        </w:rPr>
        <w:t>sitagliptino</w:t>
      </w:r>
      <w:proofErr w:type="spellEnd"/>
      <w:r>
        <w:rPr>
          <w:rFonts w:eastAsia="TimesNewRoman"/>
          <w:snapToGrid/>
          <w:szCs w:val="22"/>
          <w:lang w:val="lt-LT"/>
        </w:rPr>
        <w:t xml:space="preserve"> ir 1000 mg </w:t>
      </w:r>
      <w:proofErr w:type="spellStart"/>
      <w:r>
        <w:rPr>
          <w:lang w:val="lt-LT"/>
        </w:rPr>
        <w:t>metformino</w:t>
      </w:r>
      <w:proofErr w:type="spellEnd"/>
      <w:r>
        <w:rPr>
          <w:lang w:val="lt-LT"/>
        </w:rPr>
        <w:t xml:space="preserve"> hidrochlorido</w:t>
      </w:r>
      <w:r>
        <w:rPr>
          <w:rFonts w:eastAsia="TimesNewRoman"/>
          <w:snapToGrid/>
          <w:szCs w:val="22"/>
          <w:lang w:val="lt-LT"/>
        </w:rPr>
        <w:t>.</w:t>
      </w:r>
    </w:p>
    <w:p w14:paraId="009408A8" w14:textId="77777777" w:rsidR="00B64E78" w:rsidRDefault="00DA46A9">
      <w:pPr>
        <w:widowControl w:val="0"/>
        <w:numPr>
          <w:ilvl w:val="0"/>
          <w:numId w:val="23"/>
        </w:numPr>
        <w:tabs>
          <w:tab w:val="clear" w:pos="567"/>
        </w:tabs>
        <w:spacing w:line="240" w:lineRule="auto"/>
        <w:ind w:left="567" w:hanging="567"/>
        <w:rPr>
          <w:rFonts w:eastAsia="TimesNewRoman"/>
          <w:snapToGrid/>
          <w:szCs w:val="22"/>
          <w:lang w:val="lt-LT"/>
        </w:rPr>
      </w:pPr>
      <w:r>
        <w:rPr>
          <w:snapToGrid/>
          <w:szCs w:val="22"/>
          <w:lang w:val="lt-LT"/>
        </w:rPr>
        <w:t>Kitos (pagalbinės) medžiagos yra</w:t>
      </w:r>
      <w:r>
        <w:rPr>
          <w:rFonts w:eastAsia="TimesNewRoman"/>
          <w:snapToGrid/>
          <w:szCs w:val="22"/>
          <w:lang w:val="lt-LT"/>
        </w:rPr>
        <w:t xml:space="preserve"> </w:t>
      </w:r>
      <w:proofErr w:type="spellStart"/>
      <w:r>
        <w:rPr>
          <w:rFonts w:eastAsia="TimesNewRoman"/>
          <w:snapToGrid/>
          <w:szCs w:val="22"/>
          <w:lang w:val="lt-LT"/>
        </w:rPr>
        <w:t>povidonas</w:t>
      </w:r>
      <w:proofErr w:type="spellEnd"/>
      <w:r>
        <w:rPr>
          <w:rFonts w:eastAsia="TimesNewRoman"/>
          <w:snapToGrid/>
          <w:szCs w:val="22"/>
          <w:lang w:val="lt-LT"/>
        </w:rPr>
        <w:t xml:space="preserve">, </w:t>
      </w:r>
      <w:proofErr w:type="spellStart"/>
      <w:r>
        <w:rPr>
          <w:rFonts w:eastAsia="TimesNewRoman"/>
          <w:snapToGrid/>
          <w:szCs w:val="22"/>
          <w:lang w:val="lt-LT"/>
        </w:rPr>
        <w:t>mikrokristalinė</w:t>
      </w:r>
      <w:proofErr w:type="spellEnd"/>
      <w:r>
        <w:rPr>
          <w:rFonts w:eastAsia="TimesNewRoman"/>
          <w:snapToGrid/>
          <w:szCs w:val="22"/>
          <w:lang w:val="lt-LT"/>
        </w:rPr>
        <w:t xml:space="preserve"> celiuliozė, </w:t>
      </w:r>
      <w:proofErr w:type="spellStart"/>
      <w:r>
        <w:rPr>
          <w:rFonts w:eastAsia="TimesNewRoman"/>
          <w:snapToGrid/>
          <w:szCs w:val="22"/>
          <w:lang w:val="lt-LT"/>
        </w:rPr>
        <w:t>manitolis</w:t>
      </w:r>
      <w:proofErr w:type="spellEnd"/>
      <w:r>
        <w:rPr>
          <w:rFonts w:eastAsia="TimesNewRoman"/>
          <w:snapToGrid/>
          <w:szCs w:val="22"/>
          <w:lang w:val="lt-LT"/>
        </w:rPr>
        <w:t xml:space="preserve">, natrio </w:t>
      </w:r>
      <w:proofErr w:type="spellStart"/>
      <w:r>
        <w:rPr>
          <w:rFonts w:eastAsia="TimesNewRoman"/>
          <w:snapToGrid/>
          <w:szCs w:val="22"/>
          <w:lang w:val="lt-LT"/>
        </w:rPr>
        <w:lastRenderedPageBreak/>
        <w:t>laurilsulfatas</w:t>
      </w:r>
      <w:proofErr w:type="spellEnd"/>
      <w:r>
        <w:rPr>
          <w:rFonts w:eastAsia="TimesNewRoman"/>
          <w:snapToGrid/>
          <w:szCs w:val="22"/>
          <w:lang w:val="lt-LT"/>
        </w:rPr>
        <w:t xml:space="preserve"> ir magnio </w:t>
      </w:r>
      <w:proofErr w:type="spellStart"/>
      <w:r>
        <w:rPr>
          <w:rFonts w:eastAsia="TimesNewRoman"/>
          <w:snapToGrid/>
          <w:szCs w:val="22"/>
          <w:lang w:val="lt-LT"/>
        </w:rPr>
        <w:t>stearatas</w:t>
      </w:r>
      <w:proofErr w:type="spellEnd"/>
      <w:r>
        <w:rPr>
          <w:rFonts w:eastAsia="TimesNewRoman"/>
          <w:snapToGrid/>
          <w:szCs w:val="22"/>
          <w:lang w:val="lt-LT"/>
        </w:rPr>
        <w:t xml:space="preserve"> (tabletės branduolys) bei </w:t>
      </w:r>
      <w:proofErr w:type="spellStart"/>
      <w:r>
        <w:rPr>
          <w:rFonts w:eastAsia="TimesNewRoman"/>
          <w:snapToGrid/>
          <w:szCs w:val="22"/>
          <w:lang w:val="lt-LT"/>
        </w:rPr>
        <w:t>hipromeliozė</w:t>
      </w:r>
      <w:proofErr w:type="spellEnd"/>
      <w:r>
        <w:rPr>
          <w:rFonts w:eastAsia="TimesNewRoman"/>
          <w:snapToGrid/>
          <w:szCs w:val="22"/>
          <w:lang w:val="lt-LT"/>
        </w:rPr>
        <w:t xml:space="preserve">, titano dioksidas (E171), talkas, </w:t>
      </w:r>
      <w:proofErr w:type="spellStart"/>
      <w:r>
        <w:rPr>
          <w:rFonts w:eastAsia="TimesNewRoman"/>
          <w:snapToGrid/>
          <w:szCs w:val="22"/>
          <w:lang w:val="lt-LT"/>
        </w:rPr>
        <w:t>propilenglikolis</w:t>
      </w:r>
      <w:proofErr w:type="spellEnd"/>
      <w:r>
        <w:rPr>
          <w:rFonts w:eastAsia="TimesNewRoman"/>
          <w:snapToGrid/>
          <w:szCs w:val="22"/>
          <w:lang w:val="lt-LT"/>
        </w:rPr>
        <w:t xml:space="preserve"> ir raudonasis geležies oksidas (E172) (tabletės plėvelė). Žr. 2 skyrių „</w:t>
      </w:r>
      <w:proofErr w:type="spellStart"/>
      <w:r>
        <w:rPr>
          <w:rFonts w:eastAsia="TimesNewRoman"/>
          <w:snapToGrid/>
          <w:szCs w:val="22"/>
          <w:lang w:val="lt-LT"/>
        </w:rPr>
        <w:t>Maymetsi</w:t>
      </w:r>
      <w:proofErr w:type="spellEnd"/>
      <w:r>
        <w:rPr>
          <w:rFonts w:eastAsia="TimesNewRoman"/>
          <w:snapToGrid/>
          <w:szCs w:val="22"/>
          <w:lang w:val="lt-LT"/>
        </w:rPr>
        <w:t xml:space="preserve"> sudėtyje yra natrio“.</w:t>
      </w:r>
    </w:p>
    <w:p w14:paraId="4A1CC031" w14:textId="77777777" w:rsidR="00B64E78" w:rsidRDefault="00B64E78">
      <w:pPr>
        <w:widowControl w:val="0"/>
        <w:tabs>
          <w:tab w:val="clear" w:pos="567"/>
        </w:tabs>
        <w:spacing w:line="240" w:lineRule="auto"/>
        <w:ind w:right="-2"/>
        <w:rPr>
          <w:snapToGrid/>
          <w:szCs w:val="22"/>
          <w:lang w:val="lt-LT"/>
        </w:rPr>
      </w:pPr>
    </w:p>
    <w:p w14:paraId="4C05E341" w14:textId="77777777" w:rsidR="00B64E78" w:rsidRDefault="00DA46A9">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Maymetsi</w:t>
      </w:r>
      <w:proofErr w:type="spellEnd"/>
      <w:r>
        <w:rPr>
          <w:b/>
          <w:bCs/>
          <w:snapToGrid/>
          <w:szCs w:val="22"/>
          <w:lang w:val="lt-LT"/>
        </w:rPr>
        <w:t xml:space="preserve"> išvaizda ir kiekis pakuotėje</w:t>
      </w:r>
    </w:p>
    <w:p w14:paraId="18EC168C" w14:textId="77777777" w:rsidR="00B64E78" w:rsidRDefault="00B64E78">
      <w:pPr>
        <w:widowControl w:val="0"/>
        <w:numPr>
          <w:ilvl w:val="12"/>
          <w:numId w:val="0"/>
        </w:numPr>
        <w:tabs>
          <w:tab w:val="clear" w:pos="567"/>
        </w:tabs>
        <w:spacing w:line="240" w:lineRule="auto"/>
        <w:rPr>
          <w:b/>
          <w:bCs/>
          <w:snapToGrid/>
          <w:szCs w:val="22"/>
          <w:lang w:val="lt-LT"/>
        </w:rPr>
      </w:pPr>
    </w:p>
    <w:p w14:paraId="3429BBD9" w14:textId="77777777" w:rsidR="00B64E78" w:rsidRDefault="00DA46A9">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mg/850 mg plėvele dengtos tabletės</w:t>
      </w:r>
      <w:r>
        <w:rPr>
          <w:snapToGrid/>
          <w:color w:val="000000"/>
          <w:szCs w:val="22"/>
          <w:lang w:val="lt-LT"/>
        </w:rPr>
        <w:t>: rausvos, ovalios, abipus išgaubtos, plėvele dengtos tabletės, vienoje tabletės pusėje yra žyma „C4“ (matmenys − maždaug 20 x 11 mm).</w:t>
      </w:r>
    </w:p>
    <w:p w14:paraId="40183625" w14:textId="77777777" w:rsidR="00B64E78" w:rsidRDefault="00B64E78">
      <w:pPr>
        <w:widowControl w:val="0"/>
        <w:tabs>
          <w:tab w:val="clear" w:pos="567"/>
        </w:tabs>
        <w:autoSpaceDE w:val="0"/>
        <w:autoSpaceDN w:val="0"/>
        <w:adjustRightInd w:val="0"/>
        <w:spacing w:line="240" w:lineRule="auto"/>
        <w:rPr>
          <w:snapToGrid/>
          <w:szCs w:val="22"/>
          <w:lang w:val="lt-LT"/>
        </w:rPr>
      </w:pPr>
    </w:p>
    <w:p w14:paraId="7BE1F9C3" w14:textId="77777777" w:rsidR="00B64E78" w:rsidRDefault="00DA46A9">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u w:val="single"/>
          <w:lang w:val="lt-LT"/>
        </w:rPr>
        <w:t>Maymetsi</w:t>
      </w:r>
      <w:proofErr w:type="spellEnd"/>
      <w:r>
        <w:rPr>
          <w:snapToGrid/>
          <w:color w:val="000000"/>
          <w:szCs w:val="22"/>
          <w:u w:val="single"/>
          <w:lang w:val="lt-LT"/>
        </w:rPr>
        <w:t xml:space="preserve"> 50 mg/1000 mg plėvele dengtos tabletės</w:t>
      </w:r>
      <w:r>
        <w:rPr>
          <w:snapToGrid/>
          <w:color w:val="000000"/>
          <w:szCs w:val="22"/>
          <w:lang w:val="lt-LT"/>
        </w:rPr>
        <w:t>: tamsiai rausvos, ovalios, abipus išgaubtos, plėvele dengtos tabletės, vienoje tabletės pusėje yra žyma „C3“ (matmenys − maždaug 21 x 11 mm).</w:t>
      </w:r>
    </w:p>
    <w:p w14:paraId="2737A341" w14:textId="77777777" w:rsidR="00B64E78" w:rsidRDefault="00B64E78">
      <w:pPr>
        <w:widowControl w:val="0"/>
        <w:numPr>
          <w:ilvl w:val="12"/>
          <w:numId w:val="0"/>
        </w:numPr>
        <w:tabs>
          <w:tab w:val="clear" w:pos="567"/>
        </w:tabs>
        <w:spacing w:line="240" w:lineRule="auto"/>
        <w:ind w:right="-2"/>
        <w:rPr>
          <w:snapToGrid/>
          <w:szCs w:val="22"/>
          <w:u w:val="single"/>
          <w:lang w:val="lt-LT"/>
        </w:rPr>
      </w:pPr>
    </w:p>
    <w:p w14:paraId="1C7EC05E" w14:textId="77777777" w:rsidR="00B64E78" w:rsidRDefault="00DA46A9">
      <w:pPr>
        <w:widowControl w:val="0"/>
        <w:tabs>
          <w:tab w:val="clear" w:pos="567"/>
        </w:tabs>
        <w:spacing w:line="240" w:lineRule="auto"/>
        <w:ind w:right="-2"/>
        <w:rPr>
          <w:snapToGrid/>
          <w:szCs w:val="22"/>
          <w:lang w:val="lt-LT" w:eastAsia="sl-SI"/>
        </w:rPr>
      </w:pPr>
      <w:proofErr w:type="spellStart"/>
      <w:r>
        <w:rPr>
          <w:bCs/>
          <w:snapToGrid/>
          <w:szCs w:val="22"/>
          <w:lang w:val="lt-LT" w:eastAsia="sl-SI"/>
        </w:rPr>
        <w:t>Maymetsi</w:t>
      </w:r>
      <w:proofErr w:type="spellEnd"/>
      <w:r>
        <w:rPr>
          <w:bCs/>
          <w:snapToGrid/>
          <w:szCs w:val="22"/>
          <w:lang w:val="lt-LT" w:eastAsia="sl-SI"/>
        </w:rPr>
        <w:t xml:space="preserve"> tiekiamas pakuotėmis, kuriose yra:</w:t>
      </w:r>
    </w:p>
    <w:p w14:paraId="45A6A220" w14:textId="77777777" w:rsidR="00B64E78" w:rsidRDefault="00DA46A9">
      <w:pPr>
        <w:widowControl w:val="0"/>
        <w:numPr>
          <w:ilvl w:val="0"/>
          <w:numId w:val="19"/>
        </w:numPr>
        <w:tabs>
          <w:tab w:val="clear" w:pos="567"/>
        </w:tabs>
        <w:spacing w:line="240" w:lineRule="auto"/>
        <w:ind w:left="567" w:right="-2" w:hanging="567"/>
        <w:rPr>
          <w:snapToGrid/>
          <w:szCs w:val="22"/>
          <w:lang w:val="lt-LT" w:eastAsia="sl-SI"/>
        </w:rPr>
      </w:pPr>
      <w:r>
        <w:rPr>
          <w:snapToGrid/>
          <w:szCs w:val="22"/>
          <w:lang w:val="lt-LT"/>
        </w:rPr>
        <w:t>10, 14, 28, 30, 56, 60, 90, 196 ir 200 plėvele dengtų tablečių lizdinėse plokštelėse;</w:t>
      </w:r>
    </w:p>
    <w:p w14:paraId="24A68682" w14:textId="77777777" w:rsidR="00B64E78" w:rsidRDefault="00DA46A9">
      <w:pPr>
        <w:widowControl w:val="0"/>
        <w:numPr>
          <w:ilvl w:val="0"/>
          <w:numId w:val="21"/>
        </w:numPr>
        <w:tabs>
          <w:tab w:val="clear" w:pos="567"/>
        </w:tabs>
        <w:spacing w:line="240" w:lineRule="auto"/>
        <w:ind w:left="567" w:right="-2" w:hanging="567"/>
        <w:rPr>
          <w:snapToGrid/>
          <w:szCs w:val="22"/>
          <w:lang w:val="lt-LT" w:eastAsia="sl-SI"/>
        </w:rPr>
      </w:pPr>
      <w:r>
        <w:rPr>
          <w:snapToGrid/>
          <w:szCs w:val="22"/>
          <w:lang w:val="lt-LT"/>
        </w:rPr>
        <w:t>14, 28, 56 ir196 plėvele dengtų tablečių lizdinėse plokštelėse kalendorinėse pakuotėse.</w:t>
      </w:r>
    </w:p>
    <w:p w14:paraId="2382FDBF" w14:textId="77777777" w:rsidR="00B64E78" w:rsidRDefault="00B64E78">
      <w:pPr>
        <w:widowControl w:val="0"/>
        <w:tabs>
          <w:tab w:val="clear" w:pos="567"/>
        </w:tabs>
        <w:autoSpaceDE w:val="0"/>
        <w:autoSpaceDN w:val="0"/>
        <w:adjustRightInd w:val="0"/>
        <w:spacing w:line="240" w:lineRule="auto"/>
        <w:rPr>
          <w:rFonts w:eastAsia="TimesNewRoman"/>
          <w:snapToGrid/>
          <w:szCs w:val="22"/>
          <w:lang w:val="lt-LT"/>
        </w:rPr>
      </w:pPr>
    </w:p>
    <w:p w14:paraId="734D5E07" w14:textId="77777777" w:rsidR="00B64E78" w:rsidRDefault="00DA46A9">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7A1D23FB" w14:textId="77777777" w:rsidR="00B64E78" w:rsidRDefault="00B64E78">
      <w:pPr>
        <w:widowControl w:val="0"/>
        <w:numPr>
          <w:ilvl w:val="12"/>
          <w:numId w:val="0"/>
        </w:numPr>
        <w:tabs>
          <w:tab w:val="clear" w:pos="567"/>
        </w:tabs>
        <w:spacing w:line="240" w:lineRule="auto"/>
        <w:ind w:right="-2"/>
        <w:rPr>
          <w:snapToGrid/>
          <w:szCs w:val="22"/>
          <w:lang w:val="lt-LT"/>
        </w:rPr>
      </w:pPr>
    </w:p>
    <w:p w14:paraId="4AFA54AF" w14:textId="77777777" w:rsidR="00B64E78" w:rsidRDefault="00DA46A9">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008FAB33" w14:textId="77777777" w:rsidR="00B64E78" w:rsidRDefault="00B64E78">
      <w:pPr>
        <w:widowControl w:val="0"/>
        <w:numPr>
          <w:ilvl w:val="12"/>
          <w:numId w:val="0"/>
        </w:numPr>
        <w:tabs>
          <w:tab w:val="clear" w:pos="567"/>
        </w:tabs>
        <w:spacing w:line="240" w:lineRule="auto"/>
        <w:rPr>
          <w:b/>
          <w:bCs/>
          <w:snapToGrid/>
          <w:szCs w:val="22"/>
          <w:lang w:val="lt-LT"/>
        </w:rPr>
      </w:pPr>
    </w:p>
    <w:p w14:paraId="22A76D0A" w14:textId="77777777" w:rsidR="00B64E78" w:rsidRDefault="00DA46A9">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0C0EE43D"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3256C1B4" w14:textId="77777777" w:rsidR="00B64E78" w:rsidRDefault="00DA46A9">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4551E7CD"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723677A7"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2E993176" w14:textId="77777777" w:rsidR="00B64E78" w:rsidRDefault="00B64E78">
      <w:pPr>
        <w:widowControl w:val="0"/>
        <w:numPr>
          <w:ilvl w:val="12"/>
          <w:numId w:val="0"/>
        </w:numPr>
        <w:tabs>
          <w:tab w:val="clear" w:pos="567"/>
        </w:tabs>
        <w:spacing w:line="240" w:lineRule="auto"/>
        <w:ind w:right="-2"/>
        <w:rPr>
          <w:snapToGrid/>
          <w:szCs w:val="22"/>
          <w:lang w:val="lt-LT"/>
        </w:rPr>
      </w:pPr>
    </w:p>
    <w:p w14:paraId="460B5602" w14:textId="77777777" w:rsidR="00B64E78" w:rsidRDefault="00DA46A9">
      <w:pPr>
        <w:widowControl w:val="0"/>
        <w:numPr>
          <w:ilvl w:val="12"/>
          <w:numId w:val="0"/>
        </w:numPr>
        <w:tabs>
          <w:tab w:val="clear" w:pos="567"/>
        </w:tabs>
        <w:spacing w:line="240" w:lineRule="auto"/>
        <w:ind w:right="-2"/>
        <w:rPr>
          <w:i/>
          <w:snapToGrid/>
          <w:szCs w:val="22"/>
          <w:lang w:val="lt-LT"/>
        </w:rPr>
      </w:pPr>
      <w:r>
        <w:rPr>
          <w:i/>
          <w:snapToGrid/>
          <w:szCs w:val="22"/>
          <w:lang w:val="lt-LT"/>
        </w:rPr>
        <w:t>Gamintojai</w:t>
      </w:r>
    </w:p>
    <w:p w14:paraId="3BEF51E9"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KRKA </w:t>
      </w:r>
      <w:proofErr w:type="spellStart"/>
      <w:r>
        <w:rPr>
          <w:rFonts w:eastAsia="Calibri"/>
          <w:snapToGrid/>
          <w:szCs w:val="22"/>
          <w:lang w:val="lt-LT"/>
        </w:rPr>
        <w:t>d.d</w:t>
      </w:r>
      <w:proofErr w:type="spellEnd"/>
      <w:r>
        <w:rPr>
          <w:rFonts w:eastAsia="Calibri"/>
          <w:snapToGrid/>
          <w:szCs w:val="22"/>
          <w:lang w:val="lt-LT"/>
        </w:rPr>
        <w:t>. Novo mesto</w:t>
      </w:r>
    </w:p>
    <w:p w14:paraId="6726208C" w14:textId="77777777" w:rsidR="00B64E78" w:rsidRDefault="00DA46A9">
      <w:pPr>
        <w:widowControl w:val="0"/>
        <w:tabs>
          <w:tab w:val="clear" w:pos="567"/>
          <w:tab w:val="left" w:pos="540"/>
        </w:tabs>
        <w:spacing w:line="240" w:lineRule="auto"/>
        <w:rPr>
          <w:rFonts w:eastAsia="Calibri"/>
          <w:snapToGrid/>
          <w:szCs w:val="22"/>
          <w:lang w:val="lt-LT"/>
        </w:rPr>
      </w:pPr>
      <w:proofErr w:type="spellStart"/>
      <w:r>
        <w:rPr>
          <w:rFonts w:eastAsia="Calibri"/>
          <w:snapToGrid/>
          <w:szCs w:val="22"/>
          <w:lang w:val="lt-LT"/>
        </w:rPr>
        <w:t>Šmarješka</w:t>
      </w:r>
      <w:proofErr w:type="spellEnd"/>
      <w:r>
        <w:rPr>
          <w:rFonts w:eastAsia="Calibri"/>
          <w:snapToGrid/>
          <w:szCs w:val="22"/>
          <w:lang w:val="lt-LT"/>
        </w:rPr>
        <w:t xml:space="preserve"> </w:t>
      </w:r>
      <w:proofErr w:type="spellStart"/>
      <w:r>
        <w:rPr>
          <w:rFonts w:eastAsia="Calibri"/>
          <w:snapToGrid/>
          <w:szCs w:val="22"/>
          <w:lang w:val="lt-LT"/>
        </w:rPr>
        <w:t>cesta</w:t>
      </w:r>
      <w:proofErr w:type="spellEnd"/>
      <w:r>
        <w:rPr>
          <w:rFonts w:eastAsia="Calibri"/>
          <w:snapToGrid/>
          <w:szCs w:val="22"/>
          <w:lang w:val="lt-LT"/>
        </w:rPr>
        <w:t xml:space="preserve"> 6</w:t>
      </w:r>
    </w:p>
    <w:p w14:paraId="3CBB90F2"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14:paraId="02B477F3" w14:textId="77777777" w:rsidR="00B64E78" w:rsidRDefault="00DA46A9">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14:paraId="606A4532" w14:textId="77777777" w:rsidR="00B64E78" w:rsidRDefault="00B64E78">
      <w:pPr>
        <w:widowControl w:val="0"/>
        <w:tabs>
          <w:tab w:val="clear" w:pos="567"/>
          <w:tab w:val="left" w:pos="540"/>
        </w:tabs>
        <w:spacing w:line="240" w:lineRule="auto"/>
        <w:rPr>
          <w:rFonts w:eastAsia="Calibri"/>
          <w:snapToGrid/>
          <w:szCs w:val="22"/>
          <w:lang w:val="lt-LT"/>
        </w:rPr>
      </w:pPr>
    </w:p>
    <w:p w14:paraId="67ED778A" w14:textId="77777777" w:rsidR="00B64E78" w:rsidRDefault="00DA46A9">
      <w:pPr>
        <w:widowControl w:val="0"/>
        <w:numPr>
          <w:ilvl w:val="12"/>
          <w:numId w:val="0"/>
        </w:numPr>
        <w:tabs>
          <w:tab w:val="clear" w:pos="567"/>
        </w:tabs>
        <w:spacing w:line="240" w:lineRule="auto"/>
        <w:ind w:right="-2"/>
        <w:rPr>
          <w:snapToGrid/>
          <w:szCs w:val="22"/>
          <w:lang w:val="lt-LT"/>
        </w:rPr>
      </w:pPr>
      <w:r>
        <w:rPr>
          <w:snapToGrid/>
          <w:szCs w:val="22"/>
          <w:lang w:val="lt-LT"/>
        </w:rPr>
        <w:t>arba</w:t>
      </w:r>
    </w:p>
    <w:p w14:paraId="1C0FDAF4" w14:textId="77777777" w:rsidR="00B64E78" w:rsidRDefault="00B64E78">
      <w:pPr>
        <w:widowControl w:val="0"/>
        <w:numPr>
          <w:ilvl w:val="12"/>
          <w:numId w:val="0"/>
        </w:numPr>
        <w:tabs>
          <w:tab w:val="clear" w:pos="567"/>
        </w:tabs>
        <w:spacing w:line="240" w:lineRule="auto"/>
        <w:ind w:right="-2"/>
        <w:rPr>
          <w:snapToGrid/>
          <w:szCs w:val="22"/>
          <w:lang w:val="lt-LT"/>
        </w:rPr>
      </w:pPr>
    </w:p>
    <w:p w14:paraId="274F72BF" w14:textId="77777777" w:rsidR="00B64E78" w:rsidRDefault="00DA46A9">
      <w:pPr>
        <w:widowControl w:val="0"/>
        <w:rPr>
          <w:snapToGrid/>
          <w:szCs w:val="24"/>
          <w:lang w:val="lt-LT"/>
        </w:rPr>
      </w:pPr>
      <w:r>
        <w:rPr>
          <w:snapToGrid/>
          <w:szCs w:val="24"/>
          <w:lang w:val="lt-LT"/>
        </w:rPr>
        <w:t xml:space="preserve">TAD Pharma </w:t>
      </w:r>
      <w:proofErr w:type="spellStart"/>
      <w:r>
        <w:rPr>
          <w:snapToGrid/>
          <w:szCs w:val="24"/>
          <w:lang w:val="lt-LT"/>
        </w:rPr>
        <w:t>GmbH</w:t>
      </w:r>
      <w:proofErr w:type="spellEnd"/>
    </w:p>
    <w:p w14:paraId="2DF1D464" w14:textId="77777777" w:rsidR="00B64E78" w:rsidRDefault="00DA46A9">
      <w:pPr>
        <w:widowControl w:val="0"/>
        <w:rPr>
          <w:noProof/>
          <w:szCs w:val="22"/>
          <w:lang w:val="de-DE"/>
        </w:rPr>
      </w:pPr>
      <w:r>
        <w:rPr>
          <w:noProof/>
          <w:szCs w:val="22"/>
          <w:lang w:val="de-DE"/>
        </w:rPr>
        <w:t>Heinz-Lohmann-Straße 5</w:t>
      </w:r>
    </w:p>
    <w:p w14:paraId="316DD35A" w14:textId="77777777" w:rsidR="00B64E78" w:rsidRDefault="00DA46A9">
      <w:pPr>
        <w:widowControl w:val="0"/>
        <w:rPr>
          <w:noProof/>
          <w:szCs w:val="22"/>
          <w:lang w:val="es-ES"/>
        </w:rPr>
      </w:pPr>
      <w:r>
        <w:rPr>
          <w:noProof/>
          <w:szCs w:val="22"/>
          <w:lang w:val="es-ES"/>
        </w:rPr>
        <w:t>27472 Cuxhaven</w:t>
      </w:r>
    </w:p>
    <w:p w14:paraId="5D51E10F" w14:textId="77777777" w:rsidR="00B64E78" w:rsidRDefault="00DA46A9">
      <w:pPr>
        <w:widowControl w:val="0"/>
        <w:rPr>
          <w:noProof/>
          <w:szCs w:val="22"/>
          <w:lang w:val="es-ES"/>
        </w:rPr>
      </w:pPr>
      <w:r>
        <w:rPr>
          <w:noProof/>
          <w:szCs w:val="22"/>
          <w:lang w:val="es-ES"/>
        </w:rPr>
        <w:t>Vokietija</w:t>
      </w:r>
    </w:p>
    <w:p w14:paraId="2933F396" w14:textId="77777777" w:rsidR="00B64E78" w:rsidRDefault="00B64E78">
      <w:pPr>
        <w:widowControl w:val="0"/>
        <w:numPr>
          <w:ilvl w:val="12"/>
          <w:numId w:val="0"/>
        </w:numPr>
        <w:tabs>
          <w:tab w:val="clear" w:pos="567"/>
        </w:tabs>
        <w:spacing w:line="240" w:lineRule="auto"/>
        <w:ind w:right="-2"/>
        <w:rPr>
          <w:i/>
          <w:snapToGrid/>
          <w:szCs w:val="22"/>
          <w:lang w:val="lt-LT"/>
        </w:rPr>
      </w:pPr>
    </w:p>
    <w:p w14:paraId="491493FD" w14:textId="77777777" w:rsidR="00B64E78" w:rsidRDefault="00DA46A9">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357E2A3A" w14:textId="77777777" w:rsidR="00B64E78" w:rsidRDefault="00B64E78">
      <w:pPr>
        <w:widowControl w:val="0"/>
        <w:numPr>
          <w:ilvl w:val="12"/>
          <w:numId w:val="0"/>
        </w:numPr>
        <w:spacing w:line="240" w:lineRule="auto"/>
        <w:ind w:right="-2"/>
        <w:rPr>
          <w:szCs w:val="24"/>
          <w:lang w:val="lt-LT"/>
        </w:rPr>
      </w:pPr>
    </w:p>
    <w:p w14:paraId="4426BA54"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UAB KRKA Lietuva</w:t>
      </w:r>
    </w:p>
    <w:p w14:paraId="1CC6F864"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Senasis Ukmergės kelias 4,</w:t>
      </w:r>
    </w:p>
    <w:p w14:paraId="1833DFEF" w14:textId="77777777" w:rsidR="00B64E78" w:rsidRDefault="00DA46A9">
      <w:pPr>
        <w:widowControl w:val="0"/>
        <w:tabs>
          <w:tab w:val="clear" w:pos="567"/>
          <w:tab w:val="left" w:pos="540"/>
        </w:tabs>
        <w:spacing w:line="240" w:lineRule="auto"/>
        <w:rPr>
          <w:snapToGrid/>
          <w:szCs w:val="22"/>
          <w:lang w:val="lt-LT"/>
        </w:rPr>
      </w:pPr>
      <w:proofErr w:type="spellStart"/>
      <w:r>
        <w:rPr>
          <w:snapToGrid/>
          <w:szCs w:val="22"/>
          <w:lang w:val="lt-LT"/>
        </w:rPr>
        <w:t>Užubalių</w:t>
      </w:r>
      <w:proofErr w:type="spellEnd"/>
      <w:r>
        <w:rPr>
          <w:snapToGrid/>
          <w:szCs w:val="22"/>
          <w:lang w:val="lt-LT"/>
        </w:rPr>
        <w:t xml:space="preserve"> km., Vilniaus r.</w:t>
      </w:r>
    </w:p>
    <w:p w14:paraId="192291DE" w14:textId="77777777" w:rsidR="00B64E78" w:rsidRDefault="00DA46A9">
      <w:pPr>
        <w:widowControl w:val="0"/>
        <w:tabs>
          <w:tab w:val="clear" w:pos="567"/>
          <w:tab w:val="left" w:pos="540"/>
        </w:tabs>
        <w:spacing w:line="240" w:lineRule="auto"/>
        <w:rPr>
          <w:snapToGrid/>
          <w:szCs w:val="22"/>
          <w:lang w:val="lt-LT"/>
        </w:rPr>
      </w:pPr>
      <w:r>
        <w:rPr>
          <w:snapToGrid/>
          <w:szCs w:val="22"/>
          <w:lang w:val="lt-LT"/>
        </w:rPr>
        <w:t>LT - 14013</w:t>
      </w:r>
    </w:p>
    <w:p w14:paraId="5E42B468" w14:textId="77777777" w:rsidR="00B64E78" w:rsidRDefault="00DA46A9">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14:paraId="400FF3EA" w14:textId="77777777" w:rsidR="00B64E78" w:rsidRDefault="00B64E78">
      <w:pPr>
        <w:widowControl w:val="0"/>
        <w:numPr>
          <w:ilvl w:val="12"/>
          <w:numId w:val="0"/>
        </w:numPr>
        <w:tabs>
          <w:tab w:val="clear" w:pos="567"/>
        </w:tabs>
        <w:spacing w:line="240" w:lineRule="auto"/>
        <w:ind w:right="-2"/>
        <w:rPr>
          <w:snapToGrid/>
          <w:szCs w:val="22"/>
          <w:lang w:val="lt-LT"/>
        </w:rPr>
      </w:pPr>
    </w:p>
    <w:p w14:paraId="3F0D34B2" w14:textId="77777777" w:rsidR="00B64E78" w:rsidRDefault="00DA46A9">
      <w:pPr>
        <w:widowControl w:val="0"/>
        <w:numPr>
          <w:ilvl w:val="12"/>
          <w:numId w:val="0"/>
        </w:numPr>
        <w:rPr>
          <w:lang w:val="lt-LT"/>
        </w:rPr>
      </w:pPr>
      <w:r>
        <w:rPr>
          <w:b/>
          <w:lang w:val="lt-LT"/>
        </w:rPr>
        <w:t>Šis vaistas Europos ekonominės erdvės valstybėse narėse registruotas tokiais pavadinimais:</w:t>
      </w: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693"/>
      </w:tblGrid>
      <w:tr w:rsidR="00B64E78" w14:paraId="64AB27C0" w14:textId="77777777" w:rsidTr="00317643">
        <w:tc>
          <w:tcPr>
            <w:tcW w:w="4962" w:type="dxa"/>
          </w:tcPr>
          <w:p w14:paraId="61589D19" w14:textId="77777777" w:rsidR="00B64E78" w:rsidRDefault="00DA46A9">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2693" w:type="dxa"/>
          </w:tcPr>
          <w:p w14:paraId="1F8FA49F" w14:textId="77777777" w:rsidR="00B64E78" w:rsidRDefault="00DA46A9">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B64E78" w14:paraId="70DBBDA7" w14:textId="77777777" w:rsidTr="00317643">
        <w:tc>
          <w:tcPr>
            <w:tcW w:w="4962" w:type="dxa"/>
          </w:tcPr>
          <w:p w14:paraId="1520CF3D" w14:textId="77777777" w:rsidR="00B64E78" w:rsidRDefault="00DA46A9">
            <w:pPr>
              <w:widowControl w:val="0"/>
              <w:numPr>
                <w:ilvl w:val="12"/>
                <w:numId w:val="0"/>
              </w:numPr>
              <w:ind w:right="-2"/>
              <w:rPr>
                <w:szCs w:val="22"/>
              </w:rPr>
            </w:pPr>
            <w:proofErr w:type="spellStart"/>
            <w:r>
              <w:rPr>
                <w:szCs w:val="22"/>
              </w:rPr>
              <w:t>Slovakija</w:t>
            </w:r>
            <w:proofErr w:type="spellEnd"/>
            <w:r>
              <w:rPr>
                <w:szCs w:val="22"/>
              </w:rPr>
              <w:t xml:space="preserve">, </w:t>
            </w:r>
            <w:proofErr w:type="spellStart"/>
            <w:r>
              <w:rPr>
                <w:szCs w:val="22"/>
              </w:rPr>
              <w:t>Čekija</w:t>
            </w:r>
            <w:proofErr w:type="spellEnd"/>
            <w:r>
              <w:rPr>
                <w:szCs w:val="22"/>
              </w:rPr>
              <w:t xml:space="preserve">, Kipras, </w:t>
            </w:r>
            <w:proofErr w:type="spellStart"/>
            <w:r>
              <w:rPr>
                <w:szCs w:val="22"/>
              </w:rPr>
              <w:t>Estija</w:t>
            </w:r>
            <w:proofErr w:type="spellEnd"/>
            <w:r>
              <w:rPr>
                <w:szCs w:val="22"/>
              </w:rPr>
              <w:t xml:space="preserve">, </w:t>
            </w:r>
            <w:proofErr w:type="spellStart"/>
            <w:r>
              <w:rPr>
                <w:szCs w:val="22"/>
              </w:rPr>
              <w:t>Kroatija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Lenkija, </w:t>
            </w:r>
            <w:proofErr w:type="spellStart"/>
            <w:r>
              <w:rPr>
                <w:szCs w:val="22"/>
              </w:rPr>
              <w:t>Rumunija</w:t>
            </w:r>
            <w:proofErr w:type="spellEnd"/>
            <w:r>
              <w:rPr>
                <w:szCs w:val="22"/>
              </w:rPr>
              <w:t xml:space="preserve">, </w:t>
            </w:r>
            <w:proofErr w:type="spellStart"/>
            <w:r>
              <w:rPr>
                <w:szCs w:val="22"/>
              </w:rPr>
              <w:t>Slovėnija</w:t>
            </w:r>
            <w:proofErr w:type="spellEnd"/>
          </w:p>
        </w:tc>
        <w:tc>
          <w:tcPr>
            <w:tcW w:w="2693" w:type="dxa"/>
          </w:tcPr>
          <w:p w14:paraId="26BB0C83" w14:textId="77777777" w:rsidR="00B64E78" w:rsidRDefault="00DA46A9">
            <w:pPr>
              <w:widowControl w:val="0"/>
              <w:numPr>
                <w:ilvl w:val="12"/>
                <w:numId w:val="0"/>
              </w:numPr>
              <w:ind w:right="-2"/>
              <w:rPr>
                <w:szCs w:val="22"/>
              </w:rPr>
            </w:pPr>
            <w:proofErr w:type="spellStart"/>
            <w:r>
              <w:rPr>
                <w:szCs w:val="22"/>
              </w:rPr>
              <w:t>Maymetsi</w:t>
            </w:r>
            <w:proofErr w:type="spellEnd"/>
          </w:p>
        </w:tc>
      </w:tr>
      <w:tr w:rsidR="00B64E78" w14:paraId="13EA5ABE" w14:textId="77777777" w:rsidTr="00317643">
        <w:tc>
          <w:tcPr>
            <w:tcW w:w="4962" w:type="dxa"/>
          </w:tcPr>
          <w:p w14:paraId="3907951F" w14:textId="77777777" w:rsidR="00B64E78" w:rsidRDefault="00DA46A9">
            <w:pPr>
              <w:widowControl w:val="0"/>
              <w:numPr>
                <w:ilvl w:val="12"/>
                <w:numId w:val="0"/>
              </w:numPr>
              <w:ind w:right="-2"/>
              <w:rPr>
                <w:szCs w:val="22"/>
              </w:rPr>
            </w:pPr>
            <w:proofErr w:type="spellStart"/>
            <w:r>
              <w:rPr>
                <w:szCs w:val="22"/>
              </w:rPr>
              <w:t>Bulgarija</w:t>
            </w:r>
            <w:proofErr w:type="spellEnd"/>
          </w:p>
        </w:tc>
        <w:tc>
          <w:tcPr>
            <w:tcW w:w="2693" w:type="dxa"/>
          </w:tcPr>
          <w:p w14:paraId="72F09E00" w14:textId="77777777" w:rsidR="00B64E78" w:rsidRDefault="00DA46A9">
            <w:pPr>
              <w:widowControl w:val="0"/>
              <w:numPr>
                <w:ilvl w:val="12"/>
                <w:numId w:val="0"/>
              </w:numPr>
              <w:ind w:right="-2"/>
              <w:rPr>
                <w:szCs w:val="22"/>
              </w:rPr>
            </w:pPr>
            <w:proofErr w:type="spellStart"/>
            <w:r>
              <w:rPr>
                <w:rFonts w:eastAsia="Calibri"/>
                <w:snapToGrid/>
                <w:szCs w:val="22"/>
                <w:lang w:val="lt-LT" w:eastAsia="lt-LT"/>
              </w:rPr>
              <w:t>Маыметси</w:t>
            </w:r>
            <w:proofErr w:type="spellEnd"/>
          </w:p>
        </w:tc>
      </w:tr>
    </w:tbl>
    <w:p w14:paraId="20A7DE80" w14:textId="77777777" w:rsidR="00B64E78" w:rsidRDefault="00B64E78">
      <w:pPr>
        <w:widowControl w:val="0"/>
        <w:tabs>
          <w:tab w:val="clear" w:pos="567"/>
        </w:tabs>
        <w:spacing w:line="240" w:lineRule="auto"/>
        <w:rPr>
          <w:snapToGrid/>
          <w:szCs w:val="24"/>
          <w:lang w:val="lt-LT" w:eastAsia="x-none"/>
        </w:rPr>
      </w:pPr>
    </w:p>
    <w:p w14:paraId="630FA62C" w14:textId="7220C80A" w:rsidR="00B64E78" w:rsidRDefault="00DA46A9">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317643">
        <w:rPr>
          <w:b/>
          <w:snapToGrid/>
          <w:szCs w:val="24"/>
          <w:lang w:val="lt-LT" w:eastAsia="x-none"/>
        </w:rPr>
        <w:t xml:space="preserve"> 2026-02-13</w:t>
      </w:r>
      <w:r>
        <w:rPr>
          <w:b/>
          <w:snapToGrid/>
          <w:szCs w:val="24"/>
          <w:lang w:val="lt-LT" w:eastAsia="x-none"/>
        </w:rPr>
        <w:t>.</w:t>
      </w:r>
    </w:p>
    <w:p w14:paraId="6A66BF5F" w14:textId="77777777" w:rsidR="00B64E78" w:rsidRDefault="00B64E78">
      <w:pPr>
        <w:widowControl w:val="0"/>
        <w:tabs>
          <w:tab w:val="clear" w:pos="567"/>
        </w:tabs>
        <w:spacing w:line="240" w:lineRule="auto"/>
        <w:rPr>
          <w:snapToGrid/>
          <w:szCs w:val="24"/>
          <w:lang w:val="lt-LT"/>
        </w:rPr>
      </w:pPr>
    </w:p>
    <w:p w14:paraId="597FD9BF" w14:textId="1BFB7E7C" w:rsidR="00B64E78" w:rsidRDefault="00DA46A9" w:rsidP="008B2199">
      <w:pPr>
        <w:widowControl w:val="0"/>
        <w:tabs>
          <w:tab w:val="clear" w:pos="567"/>
        </w:tabs>
        <w:spacing w:line="240" w:lineRule="auto"/>
        <w:rPr>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14" w:history="1">
        <w:r>
          <w:rPr>
            <w:snapToGrid/>
            <w:color w:val="0000FF"/>
            <w:szCs w:val="24"/>
            <w:u w:val="single"/>
            <w:lang w:val="lt-LT"/>
          </w:rPr>
          <w:t>http://www.vvkt.lt/</w:t>
        </w:r>
      </w:hyperlink>
      <w:r>
        <w:rPr>
          <w:snapToGrid/>
          <w:szCs w:val="24"/>
          <w:lang w:val="lt-LT"/>
        </w:rPr>
        <w:t>.</w:t>
      </w:r>
      <w:r w:rsidR="008B2199">
        <w:rPr>
          <w:snapToGrid/>
          <w:szCs w:val="24"/>
          <w:lang w:val="lt-LT"/>
        </w:rPr>
        <w:t xml:space="preserve">         </w:t>
      </w:r>
    </w:p>
    <w:sectPr w:rsidR="00B64E78">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E669" w14:textId="77777777" w:rsidR="00197C26" w:rsidRDefault="00197C26">
      <w:pPr>
        <w:spacing w:line="240" w:lineRule="auto"/>
      </w:pPr>
      <w:r>
        <w:separator/>
      </w:r>
    </w:p>
  </w:endnote>
  <w:endnote w:type="continuationSeparator" w:id="0">
    <w:p w14:paraId="21AD323E" w14:textId="77777777" w:rsidR="00197C26" w:rsidRDefault="00197C26">
      <w:pPr>
        <w:spacing w:line="240" w:lineRule="auto"/>
      </w:pPr>
      <w:r>
        <w:continuationSeparator/>
      </w:r>
    </w:p>
  </w:endnote>
  <w:endnote w:type="continuationNotice" w:id="1">
    <w:p w14:paraId="55EBB3E8" w14:textId="77777777" w:rsidR="00197C26" w:rsidRDefault="00197C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Italic">
    <w:altName w:val="Yu Gothic"/>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MathExt">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036C" w14:textId="77777777" w:rsidR="00B64E78" w:rsidRDefault="00DA46A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D590733" w14:textId="77777777" w:rsidR="00B64E78" w:rsidRDefault="00B64E7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86F18" w14:textId="3FC6CA4A" w:rsidR="00B64E78" w:rsidRDefault="00DA46A9">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8B2199">
      <w:rPr>
        <w:rStyle w:val="Puslapionumeris"/>
        <w:rFonts w:ascii="Arial" w:hAnsi="Arial" w:cs="Arial"/>
        <w:noProof/>
        <w:lang w:val="lt-LT"/>
      </w:rPr>
      <w:t>3</w:t>
    </w:r>
    <w:r w:rsidR="008B2199">
      <w:rPr>
        <w:rStyle w:val="Puslapionumeris"/>
        <w:rFonts w:ascii="Arial" w:hAnsi="Arial" w:cs="Arial"/>
        <w:noProof/>
        <w:lang w:val="lt-LT"/>
      </w:rPr>
      <w:t>6</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66D3" w14:textId="77777777" w:rsidR="00B64E78" w:rsidRDefault="00B64E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41AF" w14:textId="77777777" w:rsidR="00197C26" w:rsidRDefault="00197C26">
      <w:pPr>
        <w:spacing w:line="240" w:lineRule="auto"/>
      </w:pPr>
      <w:r>
        <w:separator/>
      </w:r>
    </w:p>
  </w:footnote>
  <w:footnote w:type="continuationSeparator" w:id="0">
    <w:p w14:paraId="47016B0D" w14:textId="77777777" w:rsidR="00197C26" w:rsidRDefault="00197C26">
      <w:pPr>
        <w:spacing w:line="240" w:lineRule="auto"/>
      </w:pPr>
      <w:r>
        <w:continuationSeparator/>
      </w:r>
    </w:p>
  </w:footnote>
  <w:footnote w:type="continuationNotice" w:id="1">
    <w:p w14:paraId="4211CE8E" w14:textId="77777777" w:rsidR="00197C26" w:rsidRDefault="00197C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AC9A" w14:textId="77777777" w:rsidR="00B64E78" w:rsidRDefault="00B64E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496C" w14:textId="77777777" w:rsidR="00B64E78" w:rsidRDefault="00B64E7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D4B4" w14:textId="77777777" w:rsidR="00B64E78" w:rsidRDefault="00B64E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860E4"/>
    <w:multiLevelType w:val="hybridMultilevel"/>
    <w:tmpl w:val="524810E4"/>
    <w:lvl w:ilvl="0" w:tplc="11AC6132">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2238B8"/>
    <w:multiLevelType w:val="hybridMultilevel"/>
    <w:tmpl w:val="4D6ECBF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31FF4533"/>
    <w:multiLevelType w:val="hybridMultilevel"/>
    <w:tmpl w:val="01C8B04C"/>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135EC"/>
    <w:multiLevelType w:val="hybridMultilevel"/>
    <w:tmpl w:val="18609F40"/>
    <w:lvl w:ilvl="0" w:tplc="08C23D18">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7F4A94"/>
    <w:multiLevelType w:val="hybridMultilevel"/>
    <w:tmpl w:val="13EA4BF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9302C"/>
    <w:multiLevelType w:val="hybridMultilevel"/>
    <w:tmpl w:val="66B21292"/>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924271"/>
    <w:multiLevelType w:val="hybridMultilevel"/>
    <w:tmpl w:val="5BA89B2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046359"/>
    <w:multiLevelType w:val="hybridMultilevel"/>
    <w:tmpl w:val="46F2342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D162ED8"/>
    <w:multiLevelType w:val="hybridMultilevel"/>
    <w:tmpl w:val="D4B49040"/>
    <w:lvl w:ilvl="0" w:tplc="9A02E9A2">
      <w:start w:val="4"/>
      <w:numFmt w:val="bullet"/>
      <w:lvlText w:val="-"/>
      <w:lvlJc w:val="left"/>
      <w:pPr>
        <w:ind w:left="360" w:hanging="360"/>
      </w:pPr>
      <w:rPr>
        <w:rFonts w:ascii="Times New Roman" w:eastAsia="TimesNewRoman" w:hAnsi="Times New Roman" w:cs="Times New Roman" w:hint="default"/>
      </w:rPr>
    </w:lvl>
    <w:lvl w:ilvl="1" w:tplc="FFFFFFFF">
      <w:start w:val="1"/>
      <w:numFmt w:val="bullet"/>
      <w:lvlText w:val="-"/>
      <w:lvlJc w:val="left"/>
      <w:pPr>
        <w:ind w:left="1080" w:hanging="360"/>
      </w:pPr>
      <w:rPr>
        <w:rFonts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FC3075"/>
    <w:multiLevelType w:val="hybridMultilevel"/>
    <w:tmpl w:val="7450C526"/>
    <w:lvl w:ilvl="0" w:tplc="7DB039C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7BBC1E30"/>
    <w:multiLevelType w:val="hybridMultilevel"/>
    <w:tmpl w:val="75E08AD2"/>
    <w:lvl w:ilvl="0" w:tplc="443629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8434236">
    <w:abstractNumId w:val="2"/>
  </w:num>
  <w:num w:numId="2" w16cid:durableId="1744721267">
    <w:abstractNumId w:val="17"/>
  </w:num>
  <w:num w:numId="3" w16cid:durableId="1185679322">
    <w:abstractNumId w:val="0"/>
    <w:lvlOverride w:ilvl="0">
      <w:lvl w:ilvl="0">
        <w:start w:val="1"/>
        <w:numFmt w:val="bullet"/>
        <w:lvlText w:val="-"/>
        <w:lvlJc w:val="left"/>
        <w:pPr>
          <w:ind w:left="360" w:hanging="360"/>
        </w:pPr>
      </w:lvl>
    </w:lvlOverride>
  </w:num>
  <w:num w:numId="4" w16cid:durableId="473715983">
    <w:abstractNumId w:val="0"/>
    <w:lvlOverride w:ilvl="0">
      <w:lvl w:ilvl="0">
        <w:start w:val="1"/>
        <w:numFmt w:val="bullet"/>
        <w:lvlText w:val=""/>
        <w:lvlJc w:val="left"/>
        <w:pPr>
          <w:ind w:left="360" w:hanging="360"/>
        </w:pPr>
        <w:rPr>
          <w:rFonts w:ascii="Symbol" w:hAnsi="Symbol" w:hint="default"/>
        </w:rPr>
      </w:lvl>
    </w:lvlOverride>
  </w:num>
  <w:num w:numId="5" w16cid:durableId="1767384079">
    <w:abstractNumId w:val="0"/>
    <w:lvlOverride w:ilvl="0">
      <w:lvl w:ilvl="0">
        <w:start w:val="1"/>
        <w:numFmt w:val="bullet"/>
        <w:lvlText w:val="-"/>
        <w:lvlJc w:val="left"/>
        <w:pPr>
          <w:ind w:left="360" w:hanging="360"/>
        </w:pPr>
      </w:lvl>
    </w:lvlOverride>
  </w:num>
  <w:num w:numId="6" w16cid:durableId="1983341124">
    <w:abstractNumId w:val="0"/>
    <w:lvlOverride w:ilvl="0">
      <w:lvl w:ilvl="0">
        <w:start w:val="1"/>
        <w:numFmt w:val="bullet"/>
        <w:lvlText w:val="-"/>
        <w:legacy w:legacy="1" w:legacySpace="0" w:legacyIndent="360"/>
        <w:lvlJc w:val="left"/>
        <w:pPr>
          <w:ind w:left="360" w:hanging="360"/>
        </w:pPr>
      </w:lvl>
    </w:lvlOverride>
  </w:num>
  <w:num w:numId="7" w16cid:durableId="1089038825">
    <w:abstractNumId w:val="7"/>
  </w:num>
  <w:num w:numId="8" w16cid:durableId="1107772925">
    <w:abstractNumId w:val="20"/>
  </w:num>
  <w:num w:numId="9" w16cid:durableId="1979409808">
    <w:abstractNumId w:val="6"/>
  </w:num>
  <w:num w:numId="10" w16cid:durableId="79067175">
    <w:abstractNumId w:val="5"/>
  </w:num>
  <w:num w:numId="11" w16cid:durableId="1233083089">
    <w:abstractNumId w:val="10"/>
  </w:num>
  <w:num w:numId="12" w16cid:durableId="718940987">
    <w:abstractNumId w:val="12"/>
  </w:num>
  <w:num w:numId="13" w16cid:durableId="470905367">
    <w:abstractNumId w:val="1"/>
  </w:num>
  <w:num w:numId="14" w16cid:durableId="1595481700">
    <w:abstractNumId w:val="9"/>
  </w:num>
  <w:num w:numId="15" w16cid:durableId="961613990">
    <w:abstractNumId w:val="3"/>
  </w:num>
  <w:num w:numId="16" w16cid:durableId="1401244113">
    <w:abstractNumId w:val="13"/>
  </w:num>
  <w:num w:numId="17" w16cid:durableId="2013600326">
    <w:abstractNumId w:val="8"/>
  </w:num>
  <w:num w:numId="18" w16cid:durableId="416245190">
    <w:abstractNumId w:val="21"/>
  </w:num>
  <w:num w:numId="19" w16cid:durableId="210531805">
    <w:abstractNumId w:val="14"/>
  </w:num>
  <w:num w:numId="20" w16cid:durableId="603851136">
    <w:abstractNumId w:val="4"/>
  </w:num>
  <w:num w:numId="21" w16cid:durableId="1148592998">
    <w:abstractNumId w:val="15"/>
  </w:num>
  <w:num w:numId="22" w16cid:durableId="80027207">
    <w:abstractNumId w:val="18"/>
  </w:num>
  <w:num w:numId="23" w16cid:durableId="63529226">
    <w:abstractNumId w:val="11"/>
  </w:num>
  <w:num w:numId="24" w16cid:durableId="1863591193">
    <w:abstractNumId w:val="16"/>
  </w:num>
  <w:num w:numId="25" w16cid:durableId="89346865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78"/>
    <w:rsid w:val="00015387"/>
    <w:rsid w:val="00053370"/>
    <w:rsid w:val="000A36E1"/>
    <w:rsid w:val="00142847"/>
    <w:rsid w:val="00197C26"/>
    <w:rsid w:val="00317643"/>
    <w:rsid w:val="003603D8"/>
    <w:rsid w:val="006A0DF6"/>
    <w:rsid w:val="006C3A4C"/>
    <w:rsid w:val="008B2199"/>
    <w:rsid w:val="00B64E78"/>
    <w:rsid w:val="00B96F07"/>
    <w:rsid w:val="00C81F45"/>
    <w:rsid w:val="00D95122"/>
    <w:rsid w:val="00DA46A9"/>
    <w:rsid w:val="00DE07DE"/>
    <w:rsid w:val="00EE6B29"/>
    <w:rsid w:val="00F31A8D"/>
    <w:rsid w:val="00F701F0"/>
    <w:rsid w:val="00F94D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453B"/>
  <w15:chartTrackingRefBased/>
  <w15:docId w15:val="{F84AE46A-3A62-49BD-A8A6-354D182F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pPr>
      <w:ind w:left="1296"/>
    </w:pPr>
  </w:style>
  <w:style w:type="numbering" w:customStyle="1" w:styleId="Brezseznama6">
    <w:name w:val="Brez seznama6"/>
    <w:next w:val="Sraonra"/>
    <w:uiPriority w:val="99"/>
    <w:semiHidden/>
    <w:unhideWhenUsed/>
  </w:style>
  <w:style w:type="paragraph" w:customStyle="1" w:styleId="Betarp1">
    <w:name w:val="Be tarpų1"/>
    <w:qFormat/>
    <w:rPr>
      <w:sz w:val="22"/>
      <w:szCs w:val="22"/>
      <w:lang w:val="en-US" w:eastAsia="en-US"/>
    </w:rPr>
  </w:style>
  <w:style w:type="character" w:customStyle="1" w:styleId="Neapdorotaspaminjimas1">
    <w:name w:val="Neapdorotas paminėjimas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12031833">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3B00-B764-4F43-8D3E-262FB253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58033</Words>
  <Characters>33080</Characters>
  <Application>Microsoft Office Word</Application>
  <DocSecurity>0</DocSecurity>
  <Lines>275</Lines>
  <Paragraphs>181</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90932</CharactersWithSpaces>
  <SharedDoc>false</SharedDoc>
  <HLinks>
    <vt:vector size="42" baseType="variant">
      <vt:variant>
        <vt:i4>7077950</vt:i4>
      </vt:variant>
      <vt:variant>
        <vt:i4>45</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2026-02-17T13:18:00Z</dcterms:created>
  <dcterms:modified xsi:type="dcterms:W3CDTF">2026-02-17T13:18:00Z</dcterms:modified>
</cp:coreProperties>
</file>