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3FFC5" w14:textId="77777777" w:rsidR="00F17A0C" w:rsidRPr="00ED69D1" w:rsidRDefault="00F17A0C" w:rsidP="00CE4C3C">
      <w:pPr>
        <w:tabs>
          <w:tab w:val="left" w:pos="567"/>
        </w:tabs>
        <w:spacing w:line="240" w:lineRule="auto"/>
        <w:rPr>
          <w:rFonts w:ascii="Times New Roman" w:hAnsi="Times New Roman"/>
        </w:rPr>
      </w:pPr>
    </w:p>
    <w:p w14:paraId="7EE80B3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2704524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6BD4E792"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61C4C951"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556C1D3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2FAA8DD2"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3D0F70E7"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146B2FE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6F1A610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620A1446"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37B8B8A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4490450B"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6DB58C30"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68CFFB6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0DED9DA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6FC6D33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39A17E88"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037FFF00"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60666370"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5301A19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00A213C0"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64DC6F0F"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779D8922" w14:textId="77777777" w:rsidR="00F17A0C" w:rsidRPr="00CE4C3C" w:rsidRDefault="00F17A0C" w:rsidP="00CE4C3C">
      <w:pPr>
        <w:tabs>
          <w:tab w:val="left" w:pos="567"/>
          <w:tab w:val="left" w:pos="3686"/>
        </w:tabs>
        <w:spacing w:line="240" w:lineRule="auto"/>
        <w:jc w:val="center"/>
        <w:rPr>
          <w:rFonts w:ascii="Times New Roman" w:eastAsia="Times New Roman" w:hAnsi="Times New Roman" w:cs="Times New Roman"/>
          <w:lang w:eastAsia="lt-LT"/>
        </w:rPr>
      </w:pPr>
      <w:r w:rsidRPr="00CE4C3C">
        <w:rPr>
          <w:rFonts w:ascii="Times New Roman" w:eastAsia="Times New Roman" w:hAnsi="Times New Roman" w:cs="Times New Roman"/>
          <w:b/>
          <w:lang w:eastAsia="lt-LT"/>
        </w:rPr>
        <w:t>I PRIEDAS</w:t>
      </w:r>
    </w:p>
    <w:p w14:paraId="71A2DE3A" w14:textId="77777777" w:rsidR="00F17A0C" w:rsidRPr="00CE4C3C" w:rsidRDefault="00F17A0C" w:rsidP="00CE4C3C">
      <w:pPr>
        <w:tabs>
          <w:tab w:val="left" w:pos="567"/>
          <w:tab w:val="left" w:pos="3686"/>
        </w:tabs>
        <w:spacing w:line="240" w:lineRule="auto"/>
        <w:jc w:val="center"/>
        <w:rPr>
          <w:rFonts w:ascii="Times New Roman" w:eastAsia="Times New Roman" w:hAnsi="Times New Roman" w:cs="Times New Roman"/>
          <w:lang w:eastAsia="lt-LT"/>
        </w:rPr>
      </w:pPr>
    </w:p>
    <w:p w14:paraId="10344119" w14:textId="77777777" w:rsidR="00F17A0C" w:rsidRPr="00CE4C3C" w:rsidRDefault="00F17A0C" w:rsidP="00CE4C3C">
      <w:pPr>
        <w:tabs>
          <w:tab w:val="left" w:pos="3686"/>
        </w:tabs>
        <w:spacing w:line="240" w:lineRule="auto"/>
        <w:jc w:val="center"/>
        <w:outlineLvl w:val="0"/>
        <w:rPr>
          <w:rFonts w:ascii="Times New Roman" w:eastAsia="Times New Roman" w:hAnsi="Times New Roman" w:cs="Times New Roman"/>
          <w:b/>
        </w:rPr>
      </w:pPr>
      <w:r w:rsidRPr="00CE4C3C">
        <w:rPr>
          <w:rFonts w:ascii="Times New Roman" w:eastAsia="Times New Roman" w:hAnsi="Times New Roman" w:cs="Times New Roman"/>
          <w:b/>
        </w:rPr>
        <w:t>PREPARATO CHARAKTERISTIKŲ SANTRAUKA</w:t>
      </w:r>
    </w:p>
    <w:p w14:paraId="3FB21075" w14:textId="77777777" w:rsidR="00F17A0C" w:rsidRPr="00CE4C3C" w:rsidRDefault="00F17A0C" w:rsidP="00CE4C3C">
      <w:pPr>
        <w:keepNext/>
        <w:numPr>
          <w:ilvl w:val="0"/>
          <w:numId w:val="10"/>
        </w:numPr>
        <w:tabs>
          <w:tab w:val="left" w:pos="567"/>
        </w:tabs>
        <w:suppressAutoHyphen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rPr>
        <w:br w:type="page"/>
      </w:r>
      <w:r w:rsidRPr="00CE4C3C">
        <w:rPr>
          <w:rFonts w:ascii="Times New Roman" w:eastAsia="Times New Roman" w:hAnsi="Times New Roman" w:cs="Times New Roman"/>
          <w:b/>
          <w:lang w:eastAsia="lt-LT" w:bidi="lt-LT"/>
        </w:rPr>
        <w:lastRenderedPageBreak/>
        <w:t>VAISTINIO PREPARATO PAVADINIMAS</w:t>
      </w:r>
    </w:p>
    <w:p w14:paraId="2D2E3112" w14:textId="77777777" w:rsidR="00F17A0C" w:rsidRPr="00CE4C3C" w:rsidRDefault="00F17A0C" w:rsidP="00CE4C3C">
      <w:pPr>
        <w:keepNext/>
        <w:tabs>
          <w:tab w:val="left" w:pos="567"/>
        </w:tabs>
        <w:spacing w:line="240" w:lineRule="auto"/>
        <w:rPr>
          <w:rFonts w:ascii="Times New Roman" w:eastAsia="Times New Roman" w:hAnsi="Times New Roman" w:cs="Times New Roman"/>
          <w:iCs/>
          <w:lang w:eastAsia="lt-LT" w:bidi="lt-LT"/>
        </w:rPr>
      </w:pPr>
    </w:p>
    <w:p w14:paraId="601D4DD6" w14:textId="77777777" w:rsidR="00F17A0C" w:rsidRPr="00CE4C3C" w:rsidRDefault="005F5F39" w:rsidP="00CE4C3C">
      <w:pPr>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Klertis</w:t>
      </w:r>
      <w:r w:rsidR="00F17A0C" w:rsidRPr="00CE4C3C">
        <w:rPr>
          <w:rFonts w:ascii="Times New Roman" w:eastAsia="Times New Roman" w:hAnsi="Times New Roman" w:cs="Times New Roman"/>
          <w:lang w:eastAsia="lt-LT"/>
        </w:rPr>
        <w:t xml:space="preserve"> 12,5 mg kietosios kapsulės </w:t>
      </w:r>
      <w:bookmarkStart w:id="0" w:name="_GoBack"/>
      <w:bookmarkEnd w:id="0"/>
    </w:p>
    <w:p w14:paraId="5F4003D3" w14:textId="77777777" w:rsidR="00F17A0C" w:rsidRPr="00CE4C3C" w:rsidRDefault="005F5F39" w:rsidP="00CE4C3C">
      <w:pPr>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Klertis</w:t>
      </w:r>
      <w:r w:rsidR="00F17A0C" w:rsidRPr="00CE4C3C">
        <w:rPr>
          <w:rFonts w:ascii="Times New Roman" w:eastAsia="Times New Roman" w:hAnsi="Times New Roman" w:cs="Times New Roman"/>
          <w:lang w:eastAsia="lt-LT"/>
        </w:rPr>
        <w:t xml:space="preserve"> 25 mg kietosios kapsulės </w:t>
      </w:r>
    </w:p>
    <w:p w14:paraId="35DFA3DF" w14:textId="77777777" w:rsidR="00F17A0C" w:rsidRPr="00CE4C3C" w:rsidRDefault="005F5F39" w:rsidP="00CE4C3C">
      <w:pPr>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Klertis</w:t>
      </w:r>
      <w:r w:rsidR="00F17A0C" w:rsidRPr="00CE4C3C">
        <w:rPr>
          <w:rFonts w:ascii="Times New Roman" w:eastAsia="Times New Roman" w:hAnsi="Times New Roman" w:cs="Times New Roman"/>
          <w:lang w:eastAsia="lt-LT"/>
        </w:rPr>
        <w:t xml:space="preserve"> 50 mg kietosios kapsulės </w:t>
      </w:r>
    </w:p>
    <w:p w14:paraId="5F9E8344" w14:textId="77777777" w:rsidR="00F17A0C" w:rsidRPr="00CE4C3C" w:rsidRDefault="00F17A0C" w:rsidP="00CE4C3C">
      <w:pPr>
        <w:spacing w:line="240" w:lineRule="auto"/>
        <w:rPr>
          <w:rFonts w:ascii="Times New Roman" w:eastAsia="Times New Roman" w:hAnsi="Times New Roman" w:cs="Times New Roman"/>
          <w:lang w:eastAsia="lt-LT"/>
        </w:rPr>
      </w:pPr>
    </w:p>
    <w:p w14:paraId="5F1EBF10" w14:textId="77777777" w:rsidR="00F17A0C" w:rsidRPr="00CE4C3C" w:rsidRDefault="00F17A0C" w:rsidP="00CE4C3C">
      <w:pPr>
        <w:spacing w:line="240" w:lineRule="auto"/>
        <w:rPr>
          <w:rFonts w:ascii="Times New Roman" w:eastAsia="Calibri" w:hAnsi="Times New Roman" w:cs="Times New Roman"/>
        </w:rPr>
      </w:pPr>
    </w:p>
    <w:p w14:paraId="3994B037" w14:textId="77777777" w:rsidR="00F17A0C" w:rsidRPr="00CE4C3C" w:rsidRDefault="00F17A0C" w:rsidP="00CE4C3C">
      <w:pPr>
        <w:keepNext/>
        <w:suppressAutoHyphens/>
        <w:spacing w:line="240" w:lineRule="auto"/>
        <w:ind w:left="567" w:hanging="567"/>
        <w:rPr>
          <w:rFonts w:ascii="Times New Roman" w:eastAsia="Times New Roman" w:hAnsi="Times New Roman" w:cs="Times New Roman"/>
          <w:lang w:eastAsia="lt-LT" w:bidi="lt-LT"/>
        </w:rPr>
      </w:pPr>
      <w:r w:rsidRPr="00CE4C3C">
        <w:rPr>
          <w:rFonts w:ascii="Times New Roman" w:eastAsia="Times New Roman" w:hAnsi="Times New Roman" w:cs="Times New Roman"/>
          <w:b/>
          <w:lang w:eastAsia="lt-LT" w:bidi="lt-LT"/>
        </w:rPr>
        <w:t>2.</w:t>
      </w:r>
      <w:r w:rsidRPr="00CE4C3C">
        <w:rPr>
          <w:rFonts w:ascii="Times New Roman" w:eastAsia="Times New Roman" w:hAnsi="Times New Roman" w:cs="Times New Roman"/>
          <w:b/>
          <w:lang w:eastAsia="lt-LT" w:bidi="lt-LT"/>
        </w:rPr>
        <w:tab/>
        <w:t>KOKYBINĖ IR KIEKYBINĖ SUDĖTIS</w:t>
      </w:r>
    </w:p>
    <w:p w14:paraId="1838FAEF" w14:textId="77777777" w:rsidR="00F17A0C" w:rsidRPr="00CE4C3C" w:rsidRDefault="00F17A0C" w:rsidP="00CE4C3C">
      <w:pPr>
        <w:keepNext/>
        <w:tabs>
          <w:tab w:val="left" w:pos="567"/>
        </w:tabs>
        <w:spacing w:line="240" w:lineRule="auto"/>
        <w:rPr>
          <w:rFonts w:ascii="Times New Roman" w:eastAsia="Times New Roman" w:hAnsi="Times New Roman" w:cs="Times New Roman"/>
          <w:iCs/>
          <w:lang w:eastAsia="lt-LT" w:bidi="lt-LT"/>
        </w:rPr>
      </w:pPr>
    </w:p>
    <w:p w14:paraId="5CFF6B34" w14:textId="77777777" w:rsidR="00F17A0C" w:rsidRPr="00CE4C3C" w:rsidRDefault="005F5F39"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Klertis</w:t>
      </w:r>
      <w:r w:rsidR="00F17A0C" w:rsidRPr="00CE4C3C">
        <w:rPr>
          <w:rFonts w:ascii="Times New Roman" w:eastAsia="Calibri" w:hAnsi="Times New Roman" w:cs="Times New Roman"/>
          <w:u w:val="single"/>
        </w:rPr>
        <w:t xml:space="preserve"> 12,5 mg kietosios kapsulės </w:t>
      </w:r>
    </w:p>
    <w:p w14:paraId="4DC09590"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Kiekvienoje </w:t>
      </w:r>
      <w:r w:rsidR="00537E9F" w:rsidRPr="00CE4C3C">
        <w:rPr>
          <w:rFonts w:ascii="Times New Roman" w:eastAsia="Calibri" w:hAnsi="Times New Roman" w:cs="Times New Roman"/>
        </w:rPr>
        <w:t xml:space="preserve">kietojoje </w:t>
      </w:r>
      <w:r w:rsidRPr="00CE4C3C">
        <w:rPr>
          <w:rFonts w:ascii="Times New Roman" w:eastAsia="Calibri" w:hAnsi="Times New Roman" w:cs="Times New Roman"/>
        </w:rPr>
        <w:t xml:space="preserve">kapsulėje yra </w:t>
      </w:r>
      <w:proofErr w:type="spellStart"/>
      <w:r w:rsidRPr="00CE4C3C">
        <w:rPr>
          <w:rFonts w:ascii="Times New Roman" w:eastAsia="Calibri" w:hAnsi="Times New Roman" w:cs="Times New Roman"/>
        </w:rPr>
        <w:t>sunitinibo</w:t>
      </w:r>
      <w:proofErr w:type="spellEnd"/>
      <w:r w:rsidR="000417F6" w:rsidRPr="00CE4C3C">
        <w:rPr>
          <w:rFonts w:ascii="Times New Roman" w:eastAsia="Calibri" w:hAnsi="Times New Roman" w:cs="Times New Roman"/>
        </w:rPr>
        <w:t xml:space="preserve"> </w:t>
      </w:r>
      <w:proofErr w:type="spellStart"/>
      <w:r w:rsidR="000417F6" w:rsidRPr="00CE4C3C">
        <w:rPr>
          <w:rFonts w:ascii="Times New Roman" w:eastAsia="Calibri" w:hAnsi="Times New Roman" w:cs="Times New Roman"/>
        </w:rPr>
        <w:t>ciklamato</w:t>
      </w:r>
      <w:proofErr w:type="spellEnd"/>
      <w:r w:rsidR="000417F6" w:rsidRPr="00CE4C3C">
        <w:rPr>
          <w:rFonts w:ascii="Times New Roman" w:eastAsia="Calibri" w:hAnsi="Times New Roman" w:cs="Times New Roman"/>
        </w:rPr>
        <w:t>, atitinkančio 12,5</w:t>
      </w:r>
      <w:r w:rsidR="000A04BF" w:rsidRPr="00CE4C3C">
        <w:rPr>
          <w:rFonts w:ascii="Times New Roman" w:eastAsia="Calibri" w:hAnsi="Times New Roman" w:cs="Times New Roman"/>
        </w:rPr>
        <w:t> </w:t>
      </w:r>
      <w:r w:rsidR="000417F6" w:rsidRPr="00CE4C3C">
        <w:rPr>
          <w:rFonts w:ascii="Times New Roman" w:eastAsia="Calibri" w:hAnsi="Times New Roman" w:cs="Times New Roman"/>
        </w:rPr>
        <w:t xml:space="preserve">mg </w:t>
      </w:r>
      <w:proofErr w:type="spellStart"/>
      <w:r w:rsidR="000417F6" w:rsidRPr="00CE4C3C">
        <w:rPr>
          <w:rFonts w:ascii="Times New Roman" w:eastAsia="Calibri" w:hAnsi="Times New Roman" w:cs="Times New Roman"/>
        </w:rPr>
        <w:t>sunitinibo</w:t>
      </w:r>
      <w:proofErr w:type="spellEnd"/>
      <w:r w:rsidRPr="00CE4C3C">
        <w:rPr>
          <w:rFonts w:ascii="Times New Roman" w:eastAsia="Calibri" w:hAnsi="Times New Roman" w:cs="Times New Roman"/>
        </w:rPr>
        <w:t>.</w:t>
      </w:r>
    </w:p>
    <w:p w14:paraId="70368FD3" w14:textId="77777777" w:rsidR="00F17A0C" w:rsidRPr="00CE4C3C" w:rsidRDefault="00F17A0C" w:rsidP="00CE4C3C">
      <w:pPr>
        <w:spacing w:line="240" w:lineRule="auto"/>
        <w:rPr>
          <w:rFonts w:ascii="Times New Roman" w:eastAsia="Calibri" w:hAnsi="Times New Roman" w:cs="Times New Roman"/>
          <w:u w:val="single"/>
        </w:rPr>
      </w:pPr>
    </w:p>
    <w:p w14:paraId="78387BAC" w14:textId="77777777" w:rsidR="00F17A0C" w:rsidRPr="00CE4C3C" w:rsidRDefault="005F5F39"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Klertis</w:t>
      </w:r>
      <w:r w:rsidR="00F17A0C" w:rsidRPr="00CE4C3C">
        <w:rPr>
          <w:rFonts w:ascii="Times New Roman" w:eastAsia="Calibri" w:hAnsi="Times New Roman" w:cs="Times New Roman"/>
          <w:u w:val="single"/>
        </w:rPr>
        <w:t xml:space="preserve"> 25 mg kietosios kapsulės </w:t>
      </w:r>
    </w:p>
    <w:p w14:paraId="29ED7696"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Kiekvienoje </w:t>
      </w:r>
      <w:r w:rsidR="00537E9F" w:rsidRPr="00CE4C3C">
        <w:rPr>
          <w:rFonts w:ascii="Times New Roman" w:eastAsia="Calibri" w:hAnsi="Times New Roman" w:cs="Times New Roman"/>
        </w:rPr>
        <w:t xml:space="preserve">kietojoje </w:t>
      </w:r>
      <w:r w:rsidRPr="00CE4C3C">
        <w:rPr>
          <w:rFonts w:ascii="Times New Roman" w:eastAsia="Calibri" w:hAnsi="Times New Roman" w:cs="Times New Roman"/>
        </w:rPr>
        <w:t xml:space="preserve">kapsulėje yra </w:t>
      </w:r>
      <w:proofErr w:type="spellStart"/>
      <w:r w:rsidRPr="00CE4C3C">
        <w:rPr>
          <w:rFonts w:ascii="Times New Roman" w:eastAsia="Calibri" w:hAnsi="Times New Roman" w:cs="Times New Roman"/>
        </w:rPr>
        <w:t>sunitinibo</w:t>
      </w:r>
      <w:proofErr w:type="spellEnd"/>
      <w:r w:rsidR="000A04BF" w:rsidRPr="00CE4C3C">
        <w:rPr>
          <w:rFonts w:ascii="Times New Roman" w:eastAsia="Calibri" w:hAnsi="Times New Roman" w:cs="Times New Roman"/>
        </w:rPr>
        <w:t xml:space="preserve"> </w:t>
      </w:r>
      <w:proofErr w:type="spellStart"/>
      <w:r w:rsidR="000A04BF" w:rsidRPr="00CE4C3C">
        <w:rPr>
          <w:rFonts w:ascii="Times New Roman" w:eastAsia="Calibri" w:hAnsi="Times New Roman" w:cs="Times New Roman"/>
        </w:rPr>
        <w:t>ciklamato</w:t>
      </w:r>
      <w:proofErr w:type="spellEnd"/>
      <w:r w:rsidR="000A04BF" w:rsidRPr="00CE4C3C">
        <w:rPr>
          <w:rFonts w:ascii="Times New Roman" w:eastAsia="Calibri" w:hAnsi="Times New Roman" w:cs="Times New Roman"/>
        </w:rPr>
        <w:t xml:space="preserve">, atitinkančio 25 mg </w:t>
      </w:r>
      <w:proofErr w:type="spellStart"/>
      <w:r w:rsidR="000A04BF" w:rsidRPr="00CE4C3C">
        <w:rPr>
          <w:rFonts w:ascii="Times New Roman" w:eastAsia="Calibri" w:hAnsi="Times New Roman" w:cs="Times New Roman"/>
        </w:rPr>
        <w:t>sunitinibo</w:t>
      </w:r>
      <w:proofErr w:type="spellEnd"/>
      <w:r w:rsidRPr="00CE4C3C">
        <w:rPr>
          <w:rFonts w:ascii="Times New Roman" w:eastAsia="Calibri" w:hAnsi="Times New Roman" w:cs="Times New Roman"/>
        </w:rPr>
        <w:t>.</w:t>
      </w:r>
    </w:p>
    <w:p w14:paraId="15EB3123" w14:textId="77777777" w:rsidR="00F17A0C" w:rsidRPr="00CE4C3C" w:rsidRDefault="00F17A0C" w:rsidP="00CE4C3C">
      <w:pPr>
        <w:spacing w:line="240" w:lineRule="auto"/>
        <w:rPr>
          <w:rFonts w:ascii="Times New Roman" w:eastAsia="Calibri" w:hAnsi="Times New Roman" w:cs="Times New Roman"/>
        </w:rPr>
      </w:pPr>
    </w:p>
    <w:p w14:paraId="7AC8BA9E" w14:textId="77777777" w:rsidR="00F17A0C" w:rsidRPr="00CE4C3C" w:rsidRDefault="005F5F39"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Klertis</w:t>
      </w:r>
      <w:r w:rsidR="00F17A0C" w:rsidRPr="00CE4C3C">
        <w:rPr>
          <w:rFonts w:ascii="Times New Roman" w:eastAsia="Calibri" w:hAnsi="Times New Roman" w:cs="Times New Roman"/>
          <w:u w:val="single"/>
        </w:rPr>
        <w:t xml:space="preserve"> 50 mg kietosios kapsulės </w:t>
      </w:r>
    </w:p>
    <w:p w14:paraId="01AC345E"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Kiekvienoje </w:t>
      </w:r>
      <w:r w:rsidR="00537E9F" w:rsidRPr="00CE4C3C">
        <w:rPr>
          <w:rFonts w:ascii="Times New Roman" w:eastAsia="Calibri" w:hAnsi="Times New Roman" w:cs="Times New Roman"/>
        </w:rPr>
        <w:t xml:space="preserve">kietojoje </w:t>
      </w:r>
      <w:r w:rsidRPr="00CE4C3C">
        <w:rPr>
          <w:rFonts w:ascii="Times New Roman" w:eastAsia="Calibri" w:hAnsi="Times New Roman" w:cs="Times New Roman"/>
        </w:rPr>
        <w:t xml:space="preserve">kapsulėje yra </w:t>
      </w:r>
      <w:proofErr w:type="spellStart"/>
      <w:r w:rsidRPr="00CE4C3C">
        <w:rPr>
          <w:rFonts w:ascii="Times New Roman" w:eastAsia="Calibri" w:hAnsi="Times New Roman" w:cs="Times New Roman"/>
        </w:rPr>
        <w:t>sunitinibo</w:t>
      </w:r>
      <w:proofErr w:type="spellEnd"/>
      <w:r w:rsidR="000A04BF" w:rsidRPr="00CE4C3C">
        <w:rPr>
          <w:rFonts w:ascii="Times New Roman" w:eastAsia="Calibri" w:hAnsi="Times New Roman" w:cs="Times New Roman"/>
        </w:rPr>
        <w:t xml:space="preserve"> </w:t>
      </w:r>
      <w:proofErr w:type="spellStart"/>
      <w:r w:rsidR="000A04BF" w:rsidRPr="00CE4C3C">
        <w:rPr>
          <w:rFonts w:ascii="Times New Roman" w:eastAsia="Calibri" w:hAnsi="Times New Roman" w:cs="Times New Roman"/>
        </w:rPr>
        <w:t>ciklamato</w:t>
      </w:r>
      <w:proofErr w:type="spellEnd"/>
      <w:r w:rsidR="000A04BF" w:rsidRPr="00CE4C3C">
        <w:rPr>
          <w:rFonts w:ascii="Times New Roman" w:eastAsia="Calibri" w:hAnsi="Times New Roman" w:cs="Times New Roman"/>
        </w:rPr>
        <w:t xml:space="preserve">, atitinkančio 50 mg </w:t>
      </w:r>
      <w:proofErr w:type="spellStart"/>
      <w:r w:rsidR="000A04BF" w:rsidRPr="00CE4C3C">
        <w:rPr>
          <w:rFonts w:ascii="Times New Roman" w:eastAsia="Calibri" w:hAnsi="Times New Roman" w:cs="Times New Roman"/>
        </w:rPr>
        <w:t>sunitinibo</w:t>
      </w:r>
      <w:proofErr w:type="spellEnd"/>
      <w:r w:rsidRPr="00CE4C3C">
        <w:rPr>
          <w:rFonts w:ascii="Times New Roman" w:eastAsia="Calibri" w:hAnsi="Times New Roman" w:cs="Times New Roman"/>
        </w:rPr>
        <w:t>.</w:t>
      </w:r>
    </w:p>
    <w:p w14:paraId="46619C17" w14:textId="77777777" w:rsidR="00F17A0C" w:rsidRPr="00CE4C3C" w:rsidRDefault="00F17A0C" w:rsidP="00CE4C3C">
      <w:pPr>
        <w:tabs>
          <w:tab w:val="left" w:pos="567"/>
        </w:tabs>
        <w:spacing w:line="240" w:lineRule="auto"/>
        <w:outlineLvl w:val="0"/>
        <w:rPr>
          <w:rFonts w:ascii="Times New Roman" w:eastAsia="Times New Roman" w:hAnsi="Times New Roman" w:cs="Times New Roman"/>
          <w:lang w:eastAsia="lt-LT" w:bidi="lt-LT"/>
        </w:rPr>
      </w:pPr>
    </w:p>
    <w:p w14:paraId="29AE0310" w14:textId="77777777" w:rsidR="00F17A0C" w:rsidRPr="00CE4C3C" w:rsidRDefault="00F17A0C" w:rsidP="00CE4C3C">
      <w:pPr>
        <w:tabs>
          <w:tab w:val="left" w:pos="567"/>
        </w:tabs>
        <w:spacing w:line="240" w:lineRule="auto"/>
        <w:outlineLvl w:val="0"/>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Visos pagalbinės medžiagos išvardytos 6.1 skyriuje.</w:t>
      </w:r>
    </w:p>
    <w:p w14:paraId="13B84C17"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204BC89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165A8E6A" w14:textId="77777777" w:rsidR="00F17A0C" w:rsidRPr="00CE4C3C" w:rsidRDefault="00F17A0C" w:rsidP="00CE4C3C">
      <w:pPr>
        <w:keepNext/>
        <w:suppressAutoHyphens/>
        <w:spacing w:line="240" w:lineRule="auto"/>
        <w:ind w:left="567" w:hanging="567"/>
        <w:rPr>
          <w:rFonts w:ascii="Times New Roman" w:eastAsia="Times New Roman" w:hAnsi="Times New Roman" w:cs="Times New Roman"/>
          <w:caps/>
          <w:lang w:eastAsia="lt-LT" w:bidi="lt-LT"/>
        </w:rPr>
      </w:pPr>
      <w:r w:rsidRPr="00CE4C3C">
        <w:rPr>
          <w:rFonts w:ascii="Times New Roman" w:eastAsia="Times New Roman" w:hAnsi="Times New Roman" w:cs="Times New Roman"/>
          <w:b/>
          <w:lang w:eastAsia="lt-LT" w:bidi="lt-LT"/>
        </w:rPr>
        <w:t>3.</w:t>
      </w:r>
      <w:r w:rsidRPr="00CE4C3C">
        <w:rPr>
          <w:rFonts w:ascii="Times New Roman" w:eastAsia="Times New Roman" w:hAnsi="Times New Roman" w:cs="Times New Roman"/>
          <w:b/>
          <w:lang w:eastAsia="lt-LT" w:bidi="lt-LT"/>
        </w:rPr>
        <w:tab/>
        <w:t>FARMACINĖ FORMA</w:t>
      </w:r>
    </w:p>
    <w:p w14:paraId="2B163846" w14:textId="77777777" w:rsidR="00F17A0C" w:rsidRPr="00CE4C3C" w:rsidRDefault="00F17A0C" w:rsidP="00CE4C3C">
      <w:pPr>
        <w:keepNext/>
        <w:tabs>
          <w:tab w:val="left" w:pos="567"/>
        </w:tabs>
        <w:spacing w:line="240" w:lineRule="auto"/>
        <w:rPr>
          <w:rFonts w:ascii="Times New Roman" w:eastAsia="Times New Roman" w:hAnsi="Times New Roman" w:cs="Times New Roman"/>
          <w:lang w:eastAsia="lt-LT" w:bidi="lt-LT"/>
        </w:rPr>
      </w:pPr>
    </w:p>
    <w:p w14:paraId="0E799F03" w14:textId="4A1A2C6F"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Kietoji kapsulė </w:t>
      </w:r>
    </w:p>
    <w:p w14:paraId="6AD5F7CD" w14:textId="77777777" w:rsidR="00F17A0C" w:rsidRPr="00CE4C3C" w:rsidRDefault="00F17A0C" w:rsidP="00CE4C3C">
      <w:pPr>
        <w:spacing w:line="240" w:lineRule="auto"/>
        <w:rPr>
          <w:rFonts w:ascii="Times New Roman" w:eastAsia="Calibri" w:hAnsi="Times New Roman" w:cs="Times New Roman"/>
          <w:u w:val="single"/>
        </w:rPr>
      </w:pPr>
    </w:p>
    <w:p w14:paraId="2D9058C7" w14:textId="77777777" w:rsidR="00F17A0C" w:rsidRPr="00CE4C3C" w:rsidRDefault="005F5F39"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Klertis</w:t>
      </w:r>
      <w:r w:rsidR="00F17A0C" w:rsidRPr="00CE4C3C">
        <w:rPr>
          <w:rFonts w:ascii="Times New Roman" w:eastAsia="Calibri" w:hAnsi="Times New Roman" w:cs="Times New Roman"/>
          <w:u w:val="single"/>
        </w:rPr>
        <w:t xml:space="preserve"> 12,5 mg kietosios kapsulės</w:t>
      </w:r>
    </w:p>
    <w:p w14:paraId="15AA93F3" w14:textId="77777777" w:rsidR="000417F6" w:rsidRPr="00CE4C3C" w:rsidRDefault="000417F6" w:rsidP="00CE4C3C">
      <w:pPr>
        <w:tabs>
          <w:tab w:val="left" w:pos="1296"/>
        </w:tabs>
        <w:spacing w:line="240" w:lineRule="auto"/>
        <w:rPr>
          <w:rFonts w:ascii="Times New Roman" w:eastAsia="Calibri" w:hAnsi="Times New Roman" w:cs="Times New Roman"/>
        </w:rPr>
      </w:pPr>
      <w:r w:rsidRPr="00CE4C3C">
        <w:rPr>
          <w:rFonts w:ascii="Times New Roman" w:eastAsia="Calibri" w:hAnsi="Times New Roman" w:cs="Times New Roman"/>
        </w:rPr>
        <w:t xml:space="preserve">Nežymėta savaime užsidaranti </w:t>
      </w:r>
      <w:proofErr w:type="spellStart"/>
      <w:r w:rsidRPr="00CE4C3C">
        <w:rPr>
          <w:rFonts w:ascii="Times New Roman" w:eastAsia="Calibri" w:hAnsi="Times New Roman" w:cs="Times New Roman"/>
          <w:i/>
          <w:iCs/>
        </w:rPr>
        <w:t>Coni</w:t>
      </w:r>
      <w:proofErr w:type="spellEnd"/>
      <w:r w:rsidRPr="00CE4C3C">
        <w:rPr>
          <w:rFonts w:ascii="Times New Roman" w:eastAsia="Calibri" w:hAnsi="Times New Roman" w:cs="Times New Roman"/>
          <w:i/>
          <w:iCs/>
        </w:rPr>
        <w:t xml:space="preserve"> </w:t>
      </w:r>
      <w:proofErr w:type="spellStart"/>
      <w:r w:rsidRPr="00CE4C3C">
        <w:rPr>
          <w:rFonts w:ascii="Times New Roman" w:eastAsia="Calibri" w:hAnsi="Times New Roman" w:cs="Times New Roman"/>
          <w:i/>
          <w:iCs/>
        </w:rPr>
        <w:t>Snap</w:t>
      </w:r>
      <w:proofErr w:type="spellEnd"/>
      <w:r w:rsidRPr="00CE4C3C">
        <w:rPr>
          <w:rFonts w:ascii="Times New Roman" w:eastAsia="Calibri" w:hAnsi="Times New Roman" w:cs="Times New Roman"/>
        </w:rPr>
        <w:t xml:space="preserve"> tipo 3 dydžio kietoji želatininė kapsulė. Dangtelis yra nepermatomas, vidutinio intensyvumo oranžinės spalvos, korpusas yra nepermatomas, ryškiai geltonos spalvos, kapsulėje yra oranžinės spalvos granulių. Kapsulės ilgis apie 15,9</w:t>
      </w:r>
      <w:r w:rsidR="000A04BF" w:rsidRPr="00CE4C3C">
        <w:rPr>
          <w:rFonts w:ascii="Times New Roman" w:eastAsia="Calibri" w:hAnsi="Times New Roman" w:cs="Times New Roman"/>
        </w:rPr>
        <w:t> </w:t>
      </w:r>
      <w:r w:rsidRPr="00CE4C3C">
        <w:rPr>
          <w:rFonts w:ascii="Times New Roman" w:eastAsia="Calibri" w:hAnsi="Times New Roman" w:cs="Times New Roman"/>
        </w:rPr>
        <w:t>mm.</w:t>
      </w:r>
    </w:p>
    <w:p w14:paraId="4BFA99F5" w14:textId="77777777" w:rsidR="00F17A0C" w:rsidRPr="00CE4C3C" w:rsidRDefault="00F17A0C" w:rsidP="00CE4C3C">
      <w:pPr>
        <w:spacing w:line="240" w:lineRule="auto"/>
        <w:rPr>
          <w:rFonts w:ascii="Times New Roman" w:eastAsia="Calibri" w:hAnsi="Times New Roman" w:cs="Times New Roman"/>
          <w:u w:val="single"/>
        </w:rPr>
      </w:pPr>
    </w:p>
    <w:p w14:paraId="67F12D2F" w14:textId="77777777" w:rsidR="00F17A0C" w:rsidRPr="00CE4C3C" w:rsidRDefault="005F5F39"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Klertis</w:t>
      </w:r>
      <w:r w:rsidR="00F17A0C" w:rsidRPr="00CE4C3C">
        <w:rPr>
          <w:rFonts w:ascii="Times New Roman" w:eastAsia="Calibri" w:hAnsi="Times New Roman" w:cs="Times New Roman"/>
          <w:u w:val="single"/>
        </w:rPr>
        <w:t xml:space="preserve"> 25 mg kietosios kapsulės </w:t>
      </w:r>
    </w:p>
    <w:p w14:paraId="2A5F5478" w14:textId="25D74092" w:rsidR="000417F6" w:rsidRPr="00CE4C3C" w:rsidRDefault="000417F6" w:rsidP="00CE4C3C">
      <w:pPr>
        <w:tabs>
          <w:tab w:val="left" w:pos="1296"/>
        </w:tabs>
        <w:spacing w:line="240" w:lineRule="auto"/>
        <w:rPr>
          <w:rFonts w:ascii="Times New Roman" w:eastAsia="Calibri" w:hAnsi="Times New Roman" w:cs="Times New Roman"/>
        </w:rPr>
      </w:pPr>
      <w:r w:rsidRPr="00CE4C3C">
        <w:rPr>
          <w:rFonts w:ascii="Times New Roman" w:eastAsia="Calibri" w:hAnsi="Times New Roman" w:cs="Times New Roman"/>
        </w:rPr>
        <w:t xml:space="preserve">Nežymėta savaime užsidaranti </w:t>
      </w:r>
      <w:proofErr w:type="spellStart"/>
      <w:r w:rsidRPr="00CE4C3C">
        <w:rPr>
          <w:rFonts w:ascii="Times New Roman" w:eastAsia="Calibri" w:hAnsi="Times New Roman" w:cs="Times New Roman"/>
          <w:i/>
          <w:iCs/>
        </w:rPr>
        <w:t>Coni</w:t>
      </w:r>
      <w:proofErr w:type="spellEnd"/>
      <w:r w:rsidRPr="00CE4C3C">
        <w:rPr>
          <w:rFonts w:ascii="Times New Roman" w:eastAsia="Calibri" w:hAnsi="Times New Roman" w:cs="Times New Roman"/>
          <w:i/>
          <w:iCs/>
        </w:rPr>
        <w:t xml:space="preserve"> </w:t>
      </w:r>
      <w:proofErr w:type="spellStart"/>
      <w:r w:rsidRPr="00CE4C3C">
        <w:rPr>
          <w:rFonts w:ascii="Times New Roman" w:eastAsia="Calibri" w:hAnsi="Times New Roman" w:cs="Times New Roman"/>
          <w:i/>
          <w:iCs/>
        </w:rPr>
        <w:t>Snap</w:t>
      </w:r>
      <w:proofErr w:type="spellEnd"/>
      <w:r w:rsidRPr="00CE4C3C">
        <w:rPr>
          <w:rFonts w:ascii="Times New Roman" w:eastAsia="Calibri" w:hAnsi="Times New Roman" w:cs="Times New Roman"/>
        </w:rPr>
        <w:t xml:space="preserve"> tipo 2 dydžio kietoji želatininė kapsulė. Dangtelis yra nepermatomas, vidutinio intensyvumo oranžinės spalvos, korpusas yra </w:t>
      </w:r>
      <w:r w:rsidR="00307EFB">
        <w:rPr>
          <w:rFonts w:ascii="Times New Roman" w:eastAsia="Calibri" w:hAnsi="Times New Roman" w:cs="Times New Roman"/>
        </w:rPr>
        <w:t xml:space="preserve">alyvuogių </w:t>
      </w:r>
      <w:r w:rsidRPr="00CE4C3C">
        <w:rPr>
          <w:rFonts w:ascii="Times New Roman" w:eastAsia="Calibri" w:hAnsi="Times New Roman" w:cs="Times New Roman"/>
        </w:rPr>
        <w:t>žal</w:t>
      </w:r>
      <w:r w:rsidR="00307EFB">
        <w:rPr>
          <w:rFonts w:ascii="Times New Roman" w:eastAsia="Calibri" w:hAnsi="Times New Roman" w:cs="Times New Roman"/>
        </w:rPr>
        <w:t>umo</w:t>
      </w:r>
      <w:r w:rsidRPr="00CE4C3C">
        <w:rPr>
          <w:rFonts w:ascii="Times New Roman" w:eastAsia="Calibri" w:hAnsi="Times New Roman" w:cs="Times New Roman"/>
        </w:rPr>
        <w:t xml:space="preserve"> spalvos, kapsulėje yra oranžinės spalvos granulių.</w:t>
      </w:r>
      <w:r w:rsidR="000A04BF" w:rsidRPr="00CE4C3C">
        <w:rPr>
          <w:rFonts w:ascii="Times New Roman" w:eastAsia="Calibri" w:hAnsi="Times New Roman" w:cs="Times New Roman"/>
        </w:rPr>
        <w:t xml:space="preserve"> Kapsulės ilgis apie 18 mm</w:t>
      </w:r>
      <w:r w:rsidR="00A86F40" w:rsidRPr="00CE4C3C">
        <w:rPr>
          <w:rFonts w:ascii="Times New Roman" w:eastAsia="Calibri" w:hAnsi="Times New Roman" w:cs="Times New Roman"/>
        </w:rPr>
        <w:t>.</w:t>
      </w:r>
    </w:p>
    <w:p w14:paraId="263844C1" w14:textId="77777777" w:rsidR="00F17A0C" w:rsidRPr="00CE4C3C" w:rsidRDefault="00F17A0C" w:rsidP="00CE4C3C">
      <w:pPr>
        <w:spacing w:line="240" w:lineRule="auto"/>
        <w:rPr>
          <w:rFonts w:ascii="Times New Roman" w:eastAsia="Calibri" w:hAnsi="Times New Roman" w:cs="Times New Roman"/>
          <w:u w:val="single"/>
        </w:rPr>
      </w:pPr>
    </w:p>
    <w:p w14:paraId="57B26CB0" w14:textId="77777777" w:rsidR="00F17A0C" w:rsidRPr="00CE4C3C" w:rsidRDefault="005F5F39"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Klertis</w:t>
      </w:r>
      <w:r w:rsidR="00F17A0C" w:rsidRPr="00CE4C3C">
        <w:rPr>
          <w:rFonts w:ascii="Times New Roman" w:eastAsia="Calibri" w:hAnsi="Times New Roman" w:cs="Times New Roman"/>
          <w:u w:val="single"/>
        </w:rPr>
        <w:t xml:space="preserve"> 50 mg kietosios kapsulės</w:t>
      </w:r>
    </w:p>
    <w:p w14:paraId="73008E33" w14:textId="77777777" w:rsidR="000417F6" w:rsidRPr="00CE4C3C" w:rsidRDefault="000417F6" w:rsidP="00CE4C3C">
      <w:pPr>
        <w:tabs>
          <w:tab w:val="left" w:pos="1296"/>
        </w:tabs>
        <w:spacing w:line="240" w:lineRule="auto"/>
        <w:rPr>
          <w:rFonts w:ascii="Times New Roman" w:eastAsia="Calibri" w:hAnsi="Times New Roman" w:cs="Times New Roman"/>
        </w:rPr>
      </w:pPr>
      <w:r w:rsidRPr="00CE4C3C">
        <w:rPr>
          <w:rFonts w:ascii="Times New Roman" w:eastAsia="Calibri" w:hAnsi="Times New Roman" w:cs="Times New Roman"/>
        </w:rPr>
        <w:t xml:space="preserve">Nežymėta savaime užsidaranti </w:t>
      </w:r>
      <w:proofErr w:type="spellStart"/>
      <w:r w:rsidRPr="00CE4C3C">
        <w:rPr>
          <w:rFonts w:ascii="Times New Roman" w:eastAsia="Calibri" w:hAnsi="Times New Roman" w:cs="Times New Roman"/>
          <w:i/>
          <w:iCs/>
        </w:rPr>
        <w:t>Coni</w:t>
      </w:r>
      <w:proofErr w:type="spellEnd"/>
      <w:r w:rsidRPr="00CE4C3C">
        <w:rPr>
          <w:rFonts w:ascii="Times New Roman" w:eastAsia="Calibri" w:hAnsi="Times New Roman" w:cs="Times New Roman"/>
          <w:i/>
          <w:iCs/>
        </w:rPr>
        <w:t xml:space="preserve"> </w:t>
      </w:r>
      <w:proofErr w:type="spellStart"/>
      <w:r w:rsidRPr="00CE4C3C">
        <w:rPr>
          <w:rFonts w:ascii="Times New Roman" w:eastAsia="Calibri" w:hAnsi="Times New Roman" w:cs="Times New Roman"/>
          <w:i/>
          <w:iCs/>
        </w:rPr>
        <w:t>Snap</w:t>
      </w:r>
      <w:proofErr w:type="spellEnd"/>
      <w:r w:rsidRPr="00CE4C3C">
        <w:rPr>
          <w:rFonts w:ascii="Times New Roman" w:eastAsia="Calibri" w:hAnsi="Times New Roman" w:cs="Times New Roman"/>
        </w:rPr>
        <w:t xml:space="preserve"> tipo 0 dydžio kietoji želatininė kapsulė. Dangtelis yra nepermatomas, vidutinio intensyvumo oranžinės spalvos, korpusas yra nepermatomas, vidutinio intensyvumo oranžinės spalvos, kapsulėje yra oranžinės spalvos granulių.</w:t>
      </w:r>
      <w:r w:rsidR="000A04BF" w:rsidRPr="00CE4C3C">
        <w:rPr>
          <w:rFonts w:ascii="Times New Roman" w:eastAsia="Calibri" w:hAnsi="Times New Roman" w:cs="Times New Roman"/>
        </w:rPr>
        <w:t xml:space="preserve"> Kapsulės ilgis apie 21,7 mm</w:t>
      </w:r>
      <w:r w:rsidR="00A86F40" w:rsidRPr="00CE4C3C">
        <w:rPr>
          <w:rFonts w:ascii="Times New Roman" w:eastAsia="Calibri" w:hAnsi="Times New Roman" w:cs="Times New Roman"/>
        </w:rPr>
        <w:t>.</w:t>
      </w:r>
    </w:p>
    <w:p w14:paraId="775C3ACD" w14:textId="77777777" w:rsidR="00F17A0C" w:rsidRPr="00CE4C3C" w:rsidRDefault="00F17A0C" w:rsidP="00CE4C3C">
      <w:pPr>
        <w:spacing w:line="240" w:lineRule="auto"/>
        <w:rPr>
          <w:rFonts w:ascii="Times New Roman" w:eastAsia="Calibri" w:hAnsi="Times New Roman" w:cs="Times New Roman"/>
          <w:u w:val="single"/>
        </w:rPr>
      </w:pPr>
    </w:p>
    <w:p w14:paraId="2848C97A" w14:textId="77777777" w:rsidR="00F17A0C" w:rsidRPr="00CE4C3C" w:rsidRDefault="00F17A0C" w:rsidP="00CE4C3C">
      <w:pPr>
        <w:spacing w:line="240" w:lineRule="auto"/>
        <w:rPr>
          <w:rFonts w:ascii="Times New Roman" w:eastAsia="Calibri" w:hAnsi="Times New Roman" w:cs="Times New Roman"/>
        </w:rPr>
      </w:pPr>
    </w:p>
    <w:p w14:paraId="0B6622AB" w14:textId="77777777" w:rsidR="00F17A0C" w:rsidRPr="00CE4C3C" w:rsidRDefault="00F17A0C" w:rsidP="00CE4C3C">
      <w:pPr>
        <w:keepNext/>
        <w:tabs>
          <w:tab w:val="left" w:pos="567"/>
        </w:tabs>
        <w:suppressAutoHyphens/>
        <w:spacing w:line="240" w:lineRule="auto"/>
        <w:rPr>
          <w:rFonts w:ascii="Times New Roman" w:eastAsia="Times New Roman" w:hAnsi="Times New Roman" w:cs="Times New Roman"/>
          <w:caps/>
          <w:lang w:eastAsia="lt-LT" w:bidi="lt-LT"/>
        </w:rPr>
      </w:pPr>
      <w:r w:rsidRPr="00CE4C3C">
        <w:rPr>
          <w:rFonts w:ascii="Times New Roman" w:eastAsia="Times New Roman" w:hAnsi="Times New Roman" w:cs="Times New Roman"/>
          <w:b/>
          <w:lang w:eastAsia="lt-LT" w:bidi="lt-LT"/>
        </w:rPr>
        <w:t>4.</w:t>
      </w:r>
      <w:r w:rsidRPr="00CE4C3C">
        <w:rPr>
          <w:rFonts w:ascii="Times New Roman" w:eastAsia="Times New Roman" w:hAnsi="Times New Roman" w:cs="Times New Roman"/>
          <w:b/>
          <w:lang w:eastAsia="lt-LT" w:bidi="lt-LT"/>
        </w:rPr>
        <w:tab/>
        <w:t>KLINIKINĖ INFORMACIJA</w:t>
      </w:r>
    </w:p>
    <w:p w14:paraId="684CA953" w14:textId="77777777" w:rsidR="00F17A0C" w:rsidRPr="00CE4C3C" w:rsidRDefault="00F17A0C" w:rsidP="00CE4C3C">
      <w:pPr>
        <w:keepNext/>
        <w:tabs>
          <w:tab w:val="left" w:pos="567"/>
        </w:tabs>
        <w:spacing w:line="240" w:lineRule="auto"/>
        <w:rPr>
          <w:rFonts w:ascii="Times New Roman" w:eastAsia="Times New Roman" w:hAnsi="Times New Roman" w:cs="Times New Roman"/>
          <w:lang w:eastAsia="lt-LT" w:bidi="lt-LT"/>
        </w:rPr>
      </w:pPr>
    </w:p>
    <w:p w14:paraId="6008BFA0" w14:textId="77777777" w:rsidR="00F17A0C" w:rsidRPr="00CE4C3C" w:rsidRDefault="00F17A0C" w:rsidP="00CE4C3C">
      <w:pPr>
        <w:keepNext/>
        <w:tabs>
          <w:tab w:val="left" w:pos="567"/>
        </w:tabs>
        <w:spacing w:line="240" w:lineRule="auto"/>
        <w:outlineLvl w:val="0"/>
        <w:rPr>
          <w:rFonts w:ascii="Times New Roman" w:eastAsia="Times New Roman" w:hAnsi="Times New Roman" w:cs="Times New Roman"/>
          <w:lang w:eastAsia="lt-LT" w:bidi="lt-LT"/>
        </w:rPr>
      </w:pPr>
      <w:r w:rsidRPr="00CE4C3C">
        <w:rPr>
          <w:rFonts w:ascii="Times New Roman" w:eastAsia="Times New Roman" w:hAnsi="Times New Roman" w:cs="Times New Roman"/>
          <w:b/>
          <w:lang w:eastAsia="lt-LT" w:bidi="lt-LT"/>
        </w:rPr>
        <w:t>4.1</w:t>
      </w:r>
      <w:r w:rsidRPr="00CE4C3C">
        <w:rPr>
          <w:rFonts w:ascii="Times New Roman" w:eastAsia="Times New Roman" w:hAnsi="Times New Roman" w:cs="Times New Roman"/>
          <w:b/>
          <w:lang w:eastAsia="lt-LT" w:bidi="lt-LT"/>
        </w:rPr>
        <w:tab/>
        <w:t>Terapinės indikacijos</w:t>
      </w:r>
    </w:p>
    <w:p w14:paraId="4AAC3B3C" w14:textId="77777777" w:rsidR="00F17A0C" w:rsidRPr="00CE4C3C" w:rsidRDefault="00F17A0C" w:rsidP="00CE4C3C">
      <w:pPr>
        <w:keepNext/>
        <w:tabs>
          <w:tab w:val="left" w:pos="567"/>
        </w:tabs>
        <w:spacing w:line="240" w:lineRule="auto"/>
        <w:rPr>
          <w:rFonts w:ascii="Times New Roman" w:eastAsia="Times New Roman" w:hAnsi="Times New Roman" w:cs="Times New Roman"/>
          <w:lang w:eastAsia="lt-LT" w:bidi="lt-LT"/>
        </w:rPr>
      </w:pPr>
    </w:p>
    <w:p w14:paraId="4C694C08" w14:textId="77777777" w:rsidR="00F17A0C" w:rsidRPr="00CE4C3C" w:rsidRDefault="00F17A0C" w:rsidP="00CE4C3C">
      <w:pPr>
        <w:spacing w:line="240" w:lineRule="auto"/>
        <w:rPr>
          <w:rFonts w:ascii="Times New Roman" w:eastAsia="Calibri" w:hAnsi="Times New Roman" w:cs="Times New Roman"/>
          <w:u w:val="single"/>
        </w:rPr>
      </w:pPr>
      <w:proofErr w:type="spellStart"/>
      <w:r w:rsidRPr="00CE4C3C">
        <w:rPr>
          <w:rFonts w:ascii="Times New Roman" w:eastAsia="Calibri" w:hAnsi="Times New Roman" w:cs="Times New Roman"/>
          <w:u w:val="single"/>
        </w:rPr>
        <w:t>Gastrointestinalinis</w:t>
      </w:r>
      <w:proofErr w:type="spellEnd"/>
      <w:r w:rsidRPr="00CE4C3C">
        <w:rPr>
          <w:rFonts w:ascii="Times New Roman" w:eastAsia="Calibri" w:hAnsi="Times New Roman" w:cs="Times New Roman"/>
          <w:u w:val="single"/>
        </w:rPr>
        <w:t xml:space="preserve"> </w:t>
      </w:r>
      <w:proofErr w:type="spellStart"/>
      <w:r w:rsidRPr="00CE4C3C">
        <w:rPr>
          <w:rFonts w:ascii="Times New Roman" w:eastAsia="Calibri" w:hAnsi="Times New Roman" w:cs="Times New Roman"/>
          <w:u w:val="single"/>
        </w:rPr>
        <w:t>stromos</w:t>
      </w:r>
      <w:proofErr w:type="spellEnd"/>
      <w:r w:rsidRPr="00CE4C3C">
        <w:rPr>
          <w:rFonts w:ascii="Times New Roman" w:eastAsia="Calibri" w:hAnsi="Times New Roman" w:cs="Times New Roman"/>
          <w:u w:val="single"/>
        </w:rPr>
        <w:t xml:space="preserve"> navikas (</w:t>
      </w:r>
      <w:r w:rsidRPr="004E44DA">
        <w:rPr>
          <w:rFonts w:ascii="Times New Roman" w:eastAsia="Calibri" w:hAnsi="Times New Roman" w:cs="Times New Roman"/>
          <w:i/>
          <w:u w:val="single"/>
        </w:rPr>
        <w:t>GIST</w:t>
      </w:r>
      <w:r w:rsidRPr="00CE4C3C">
        <w:rPr>
          <w:rFonts w:ascii="Times New Roman" w:eastAsia="Calibri" w:hAnsi="Times New Roman" w:cs="Times New Roman"/>
          <w:u w:val="single"/>
        </w:rPr>
        <w:t xml:space="preserve">) </w:t>
      </w:r>
    </w:p>
    <w:p w14:paraId="7E96A392" w14:textId="77777777" w:rsidR="00F17A0C" w:rsidRPr="00CE4C3C" w:rsidRDefault="005F5F39" w:rsidP="00CE4C3C">
      <w:pPr>
        <w:spacing w:line="240" w:lineRule="auto"/>
        <w:rPr>
          <w:rFonts w:ascii="Times New Roman" w:eastAsia="Calibri" w:hAnsi="Times New Roman" w:cs="Times New Roman"/>
        </w:rPr>
      </w:pPr>
      <w:r w:rsidRPr="00CE4C3C">
        <w:rPr>
          <w:rFonts w:ascii="Times New Roman" w:eastAsia="Calibri" w:hAnsi="Times New Roman" w:cs="Times New Roman"/>
        </w:rPr>
        <w:t>Klertis</w:t>
      </w:r>
      <w:r w:rsidR="00F17A0C" w:rsidRPr="00CE4C3C">
        <w:rPr>
          <w:rFonts w:ascii="Times New Roman" w:eastAsia="Calibri" w:hAnsi="Times New Roman" w:cs="Times New Roman"/>
        </w:rPr>
        <w:t xml:space="preserve"> skirtas suaugusiųjų neoperuotino ir (arba) </w:t>
      </w:r>
      <w:proofErr w:type="spellStart"/>
      <w:r w:rsidR="00F17A0C" w:rsidRPr="00CE4C3C">
        <w:rPr>
          <w:rFonts w:ascii="Times New Roman" w:eastAsia="Calibri" w:hAnsi="Times New Roman" w:cs="Times New Roman"/>
        </w:rPr>
        <w:t>metastazavusio</w:t>
      </w:r>
      <w:proofErr w:type="spellEnd"/>
      <w:r w:rsidR="00F17A0C" w:rsidRPr="00CE4C3C">
        <w:rPr>
          <w:rFonts w:ascii="Times New Roman" w:eastAsia="Calibri" w:hAnsi="Times New Roman" w:cs="Times New Roman"/>
        </w:rPr>
        <w:t xml:space="preserve"> piktybinio </w:t>
      </w:r>
      <w:proofErr w:type="spellStart"/>
      <w:r w:rsidR="00F17A0C" w:rsidRPr="00CE4C3C">
        <w:rPr>
          <w:rFonts w:ascii="Times New Roman" w:eastAsia="Calibri" w:hAnsi="Times New Roman" w:cs="Times New Roman"/>
        </w:rPr>
        <w:t>gastrointestinalinio</w:t>
      </w:r>
      <w:proofErr w:type="spellEnd"/>
      <w:r w:rsidR="00F17A0C" w:rsidRPr="00CE4C3C">
        <w:rPr>
          <w:rFonts w:ascii="Times New Roman" w:eastAsia="Calibri" w:hAnsi="Times New Roman" w:cs="Times New Roman"/>
        </w:rPr>
        <w:t xml:space="preserve"> </w:t>
      </w:r>
      <w:proofErr w:type="spellStart"/>
      <w:r w:rsidR="00F17A0C" w:rsidRPr="00CE4C3C">
        <w:rPr>
          <w:rFonts w:ascii="Times New Roman" w:eastAsia="Calibri" w:hAnsi="Times New Roman" w:cs="Times New Roman"/>
        </w:rPr>
        <w:t>stromos</w:t>
      </w:r>
      <w:proofErr w:type="spellEnd"/>
      <w:r w:rsidR="00F17A0C" w:rsidRPr="00CE4C3C">
        <w:rPr>
          <w:rFonts w:ascii="Times New Roman" w:eastAsia="Calibri" w:hAnsi="Times New Roman" w:cs="Times New Roman"/>
        </w:rPr>
        <w:t xml:space="preserve"> naviko (</w:t>
      </w:r>
      <w:r w:rsidR="004C3B5C">
        <w:rPr>
          <w:rFonts w:ascii="Times New Roman" w:eastAsia="Calibri" w:hAnsi="Times New Roman" w:cs="Times New Roman"/>
        </w:rPr>
        <w:t xml:space="preserve">angl. </w:t>
      </w:r>
      <w:proofErr w:type="spellStart"/>
      <w:r w:rsidR="004C3B5C" w:rsidRPr="004E44DA">
        <w:rPr>
          <w:rFonts w:ascii="Times New Roman" w:eastAsia="Times New Roman" w:hAnsi="Times New Roman" w:cs="Times New Roman"/>
          <w:i/>
        </w:rPr>
        <w:t>gastrointestinal</w:t>
      </w:r>
      <w:proofErr w:type="spellEnd"/>
      <w:r w:rsidR="004C3B5C" w:rsidRPr="004E44DA">
        <w:rPr>
          <w:rFonts w:ascii="Times New Roman" w:eastAsia="Times New Roman" w:hAnsi="Times New Roman" w:cs="Times New Roman"/>
          <w:i/>
        </w:rPr>
        <w:t xml:space="preserve"> </w:t>
      </w:r>
      <w:proofErr w:type="spellStart"/>
      <w:r w:rsidR="004C3B5C" w:rsidRPr="004E44DA">
        <w:rPr>
          <w:rFonts w:ascii="Times New Roman" w:eastAsia="Times New Roman" w:hAnsi="Times New Roman" w:cs="Times New Roman"/>
          <w:i/>
        </w:rPr>
        <w:t>stromal</w:t>
      </w:r>
      <w:proofErr w:type="spellEnd"/>
      <w:r w:rsidR="004C3B5C" w:rsidRPr="004E44DA">
        <w:rPr>
          <w:rFonts w:ascii="Times New Roman" w:eastAsia="Times New Roman" w:hAnsi="Times New Roman" w:cs="Times New Roman"/>
          <w:i/>
        </w:rPr>
        <w:t xml:space="preserve"> </w:t>
      </w:r>
      <w:proofErr w:type="spellStart"/>
      <w:r w:rsidR="004C3B5C" w:rsidRPr="004E44DA">
        <w:rPr>
          <w:rFonts w:ascii="Times New Roman" w:eastAsia="Times New Roman" w:hAnsi="Times New Roman" w:cs="Times New Roman"/>
          <w:i/>
        </w:rPr>
        <w:t>tumour</w:t>
      </w:r>
      <w:proofErr w:type="spellEnd"/>
      <w:r w:rsidR="004C3B5C" w:rsidRPr="004E44DA">
        <w:rPr>
          <w:rFonts w:ascii="Times New Roman" w:eastAsia="Times New Roman" w:hAnsi="Times New Roman" w:cs="Times New Roman"/>
        </w:rPr>
        <w:t xml:space="preserve">, </w:t>
      </w:r>
      <w:r w:rsidR="00F17A0C" w:rsidRPr="004E44DA">
        <w:rPr>
          <w:rFonts w:ascii="Times New Roman" w:eastAsia="Calibri" w:hAnsi="Times New Roman" w:cs="Times New Roman"/>
          <w:i/>
        </w:rPr>
        <w:t>GIST</w:t>
      </w:r>
      <w:r w:rsidR="00F17A0C" w:rsidRPr="00CE4C3C">
        <w:rPr>
          <w:rFonts w:ascii="Times New Roman" w:eastAsia="Calibri" w:hAnsi="Times New Roman" w:cs="Times New Roman"/>
        </w:rPr>
        <w:t xml:space="preserve">) gydymui, kai gydymas </w:t>
      </w:r>
      <w:proofErr w:type="spellStart"/>
      <w:r w:rsidR="00F17A0C" w:rsidRPr="00CE4C3C">
        <w:rPr>
          <w:rFonts w:ascii="Times New Roman" w:eastAsia="Calibri" w:hAnsi="Times New Roman" w:cs="Times New Roman"/>
        </w:rPr>
        <w:t>imatinibu</w:t>
      </w:r>
      <w:proofErr w:type="spellEnd"/>
      <w:r w:rsidR="00F17A0C" w:rsidRPr="00CE4C3C">
        <w:rPr>
          <w:rFonts w:ascii="Times New Roman" w:eastAsia="Calibri" w:hAnsi="Times New Roman" w:cs="Times New Roman"/>
        </w:rPr>
        <w:t xml:space="preserve"> buvo nesėkmingas dėl atsparumo ar netoleravimo.</w:t>
      </w:r>
    </w:p>
    <w:p w14:paraId="740E21FB" w14:textId="77777777" w:rsidR="00F17A0C" w:rsidRPr="00CE4C3C" w:rsidRDefault="00F17A0C" w:rsidP="00CE4C3C">
      <w:pPr>
        <w:spacing w:line="240" w:lineRule="auto"/>
        <w:rPr>
          <w:rFonts w:ascii="Times New Roman" w:eastAsia="Calibri" w:hAnsi="Times New Roman" w:cs="Times New Roman"/>
        </w:rPr>
      </w:pPr>
    </w:p>
    <w:p w14:paraId="5D3A8375" w14:textId="77777777" w:rsidR="00F17A0C" w:rsidRPr="00CE4C3C" w:rsidRDefault="00F17A0C" w:rsidP="00CE4C3C">
      <w:pPr>
        <w:spacing w:line="240" w:lineRule="auto"/>
        <w:rPr>
          <w:rFonts w:ascii="Times New Roman" w:eastAsia="Calibri" w:hAnsi="Times New Roman" w:cs="Times New Roman"/>
          <w:u w:val="single"/>
        </w:rPr>
      </w:pPr>
      <w:proofErr w:type="spellStart"/>
      <w:r w:rsidRPr="00CE4C3C">
        <w:rPr>
          <w:rFonts w:ascii="Times New Roman" w:eastAsia="Calibri" w:hAnsi="Times New Roman" w:cs="Times New Roman"/>
          <w:u w:val="single"/>
        </w:rPr>
        <w:t>Metastazavusi</w:t>
      </w:r>
      <w:proofErr w:type="spellEnd"/>
      <w:r w:rsidRPr="00CE4C3C">
        <w:rPr>
          <w:rFonts w:ascii="Times New Roman" w:eastAsia="Calibri" w:hAnsi="Times New Roman" w:cs="Times New Roman"/>
          <w:u w:val="single"/>
        </w:rPr>
        <w:t xml:space="preserve"> inkstų ląstelių </w:t>
      </w:r>
      <w:proofErr w:type="spellStart"/>
      <w:r w:rsidRPr="00CE4C3C">
        <w:rPr>
          <w:rFonts w:ascii="Times New Roman" w:eastAsia="Calibri" w:hAnsi="Times New Roman" w:cs="Times New Roman"/>
          <w:u w:val="single"/>
        </w:rPr>
        <w:t>karcinoma</w:t>
      </w:r>
      <w:proofErr w:type="spellEnd"/>
      <w:r w:rsidRPr="00CE4C3C">
        <w:rPr>
          <w:rFonts w:ascii="Times New Roman" w:eastAsia="Calibri" w:hAnsi="Times New Roman" w:cs="Times New Roman"/>
          <w:u w:val="single"/>
        </w:rPr>
        <w:t xml:space="preserve"> (MILK) </w:t>
      </w:r>
    </w:p>
    <w:p w14:paraId="28D20149" w14:textId="77777777" w:rsidR="00F17A0C" w:rsidRPr="00CE4C3C" w:rsidRDefault="005F5F39" w:rsidP="00CE4C3C">
      <w:pPr>
        <w:spacing w:line="240" w:lineRule="auto"/>
        <w:rPr>
          <w:rFonts w:ascii="Times New Roman" w:eastAsia="Calibri" w:hAnsi="Times New Roman" w:cs="Times New Roman"/>
        </w:rPr>
      </w:pPr>
      <w:r w:rsidRPr="00CE4C3C">
        <w:rPr>
          <w:rFonts w:ascii="Times New Roman" w:eastAsia="Calibri" w:hAnsi="Times New Roman" w:cs="Times New Roman"/>
        </w:rPr>
        <w:t>Klertis</w:t>
      </w:r>
      <w:r w:rsidR="00F17A0C" w:rsidRPr="00CE4C3C">
        <w:rPr>
          <w:rFonts w:ascii="Times New Roman" w:eastAsia="Calibri" w:hAnsi="Times New Roman" w:cs="Times New Roman"/>
        </w:rPr>
        <w:t xml:space="preserve"> skirtas suaugusiųjų išplitusios ir (arba) </w:t>
      </w:r>
      <w:proofErr w:type="spellStart"/>
      <w:r w:rsidR="00F17A0C" w:rsidRPr="00CE4C3C">
        <w:rPr>
          <w:rFonts w:ascii="Times New Roman" w:eastAsia="Calibri" w:hAnsi="Times New Roman" w:cs="Times New Roman"/>
        </w:rPr>
        <w:t>metastazavusios</w:t>
      </w:r>
      <w:proofErr w:type="spellEnd"/>
      <w:r w:rsidR="00F17A0C" w:rsidRPr="00CE4C3C">
        <w:rPr>
          <w:rFonts w:ascii="Times New Roman" w:eastAsia="Calibri" w:hAnsi="Times New Roman" w:cs="Times New Roman"/>
        </w:rPr>
        <w:t xml:space="preserve"> inkstų ląstelių </w:t>
      </w:r>
      <w:proofErr w:type="spellStart"/>
      <w:r w:rsidR="00F17A0C" w:rsidRPr="00CE4C3C">
        <w:rPr>
          <w:rFonts w:ascii="Times New Roman" w:eastAsia="Calibri" w:hAnsi="Times New Roman" w:cs="Times New Roman"/>
        </w:rPr>
        <w:t>karcinomos</w:t>
      </w:r>
      <w:proofErr w:type="spellEnd"/>
      <w:r w:rsidR="00F17A0C" w:rsidRPr="00CE4C3C">
        <w:rPr>
          <w:rFonts w:ascii="Times New Roman" w:eastAsia="Calibri" w:hAnsi="Times New Roman" w:cs="Times New Roman"/>
        </w:rPr>
        <w:t xml:space="preserve"> (MILK) gydymui.</w:t>
      </w:r>
    </w:p>
    <w:p w14:paraId="1B8828EF" w14:textId="77777777" w:rsidR="00F17A0C" w:rsidRPr="00CE4C3C" w:rsidRDefault="00F17A0C" w:rsidP="00CE4C3C">
      <w:pPr>
        <w:tabs>
          <w:tab w:val="left" w:pos="567"/>
        </w:tabs>
        <w:spacing w:line="240" w:lineRule="auto"/>
        <w:rPr>
          <w:rFonts w:ascii="Times New Roman" w:eastAsia="Calibri" w:hAnsi="Times New Roman" w:cs="Times New Roman"/>
        </w:rPr>
      </w:pPr>
    </w:p>
    <w:p w14:paraId="51972361" w14:textId="77777777" w:rsidR="00F17A0C" w:rsidRPr="00CE4C3C" w:rsidRDefault="00F17A0C" w:rsidP="00CE4C3C">
      <w:pPr>
        <w:tabs>
          <w:tab w:val="left" w:pos="567"/>
        </w:tabs>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 xml:space="preserve">Kasos </w:t>
      </w:r>
      <w:proofErr w:type="spellStart"/>
      <w:r w:rsidRPr="00CE4C3C">
        <w:rPr>
          <w:rFonts w:ascii="Times New Roman" w:eastAsia="Calibri" w:hAnsi="Times New Roman" w:cs="Times New Roman"/>
          <w:u w:val="single"/>
        </w:rPr>
        <w:t>neuroendokrininiai</w:t>
      </w:r>
      <w:proofErr w:type="spellEnd"/>
      <w:r w:rsidRPr="00CE4C3C">
        <w:rPr>
          <w:rFonts w:ascii="Times New Roman" w:eastAsia="Calibri" w:hAnsi="Times New Roman" w:cs="Times New Roman"/>
          <w:u w:val="single"/>
        </w:rPr>
        <w:t xml:space="preserve"> navikai (</w:t>
      </w:r>
      <w:proofErr w:type="spellStart"/>
      <w:r w:rsidRPr="00CE4C3C">
        <w:rPr>
          <w:rFonts w:ascii="Times New Roman" w:eastAsia="Calibri" w:hAnsi="Times New Roman" w:cs="Times New Roman"/>
          <w:u w:val="single"/>
        </w:rPr>
        <w:t>kNEN</w:t>
      </w:r>
      <w:proofErr w:type="spellEnd"/>
      <w:r w:rsidRPr="00CE4C3C">
        <w:rPr>
          <w:rFonts w:ascii="Times New Roman" w:eastAsia="Calibri" w:hAnsi="Times New Roman" w:cs="Times New Roman"/>
          <w:u w:val="single"/>
        </w:rPr>
        <w:t xml:space="preserve">) </w:t>
      </w:r>
    </w:p>
    <w:p w14:paraId="2E350FD0" w14:textId="77777777" w:rsidR="00F17A0C" w:rsidRPr="00CE4C3C" w:rsidRDefault="005F5F39" w:rsidP="00CE4C3C">
      <w:pPr>
        <w:tabs>
          <w:tab w:val="left" w:pos="567"/>
        </w:tabs>
        <w:spacing w:line="240" w:lineRule="auto"/>
        <w:rPr>
          <w:rFonts w:ascii="Times New Roman" w:eastAsia="Calibri" w:hAnsi="Times New Roman" w:cs="Times New Roman"/>
        </w:rPr>
      </w:pPr>
      <w:r w:rsidRPr="00CE4C3C">
        <w:rPr>
          <w:rFonts w:ascii="Times New Roman" w:eastAsia="Calibri" w:hAnsi="Times New Roman" w:cs="Times New Roman"/>
        </w:rPr>
        <w:lastRenderedPageBreak/>
        <w:t>Klertis</w:t>
      </w:r>
      <w:r w:rsidR="00F17A0C" w:rsidRPr="00CE4C3C">
        <w:rPr>
          <w:rFonts w:ascii="Times New Roman" w:eastAsia="Calibri" w:hAnsi="Times New Roman" w:cs="Times New Roman"/>
        </w:rPr>
        <w:t xml:space="preserve"> skirtas suaugusiųjų neoperuotinų arba </w:t>
      </w:r>
      <w:proofErr w:type="spellStart"/>
      <w:r w:rsidR="00F17A0C" w:rsidRPr="00CE4C3C">
        <w:rPr>
          <w:rFonts w:ascii="Times New Roman" w:eastAsia="Calibri" w:hAnsi="Times New Roman" w:cs="Times New Roman"/>
        </w:rPr>
        <w:t>metastazavusių</w:t>
      </w:r>
      <w:proofErr w:type="spellEnd"/>
      <w:r w:rsidR="00F17A0C" w:rsidRPr="00CE4C3C">
        <w:rPr>
          <w:rFonts w:ascii="Times New Roman" w:eastAsia="Calibri" w:hAnsi="Times New Roman" w:cs="Times New Roman"/>
        </w:rPr>
        <w:t xml:space="preserve">, gerai diferencijuotų kasos </w:t>
      </w:r>
      <w:proofErr w:type="spellStart"/>
      <w:r w:rsidR="00F17A0C" w:rsidRPr="00CE4C3C">
        <w:rPr>
          <w:rFonts w:ascii="Times New Roman" w:eastAsia="Calibri" w:hAnsi="Times New Roman" w:cs="Times New Roman"/>
        </w:rPr>
        <w:t>neuroendokrininių</w:t>
      </w:r>
      <w:proofErr w:type="spellEnd"/>
      <w:r w:rsidR="00F17A0C" w:rsidRPr="00CE4C3C">
        <w:rPr>
          <w:rFonts w:ascii="Times New Roman" w:eastAsia="Calibri" w:hAnsi="Times New Roman" w:cs="Times New Roman"/>
        </w:rPr>
        <w:t xml:space="preserve"> navikų (</w:t>
      </w:r>
      <w:proofErr w:type="spellStart"/>
      <w:r w:rsidR="00F17A0C" w:rsidRPr="00CE4C3C">
        <w:rPr>
          <w:rFonts w:ascii="Times New Roman" w:eastAsia="Calibri" w:hAnsi="Times New Roman" w:cs="Times New Roman"/>
        </w:rPr>
        <w:t>kNEN</w:t>
      </w:r>
      <w:proofErr w:type="spellEnd"/>
      <w:r w:rsidR="00F17A0C" w:rsidRPr="00CE4C3C">
        <w:rPr>
          <w:rFonts w:ascii="Times New Roman" w:eastAsia="Calibri" w:hAnsi="Times New Roman" w:cs="Times New Roman"/>
        </w:rPr>
        <w:t>) gydymui, kai liga progresuoja.</w:t>
      </w:r>
    </w:p>
    <w:p w14:paraId="44AC74A8" w14:textId="77777777" w:rsidR="00F17A0C" w:rsidRPr="00CE4C3C" w:rsidRDefault="00F17A0C" w:rsidP="00CE4C3C">
      <w:pPr>
        <w:tabs>
          <w:tab w:val="left" w:pos="567"/>
        </w:tabs>
        <w:spacing w:line="240" w:lineRule="auto"/>
        <w:rPr>
          <w:rFonts w:ascii="Times New Roman" w:eastAsia="Calibri" w:hAnsi="Times New Roman" w:cs="Times New Roman"/>
        </w:rPr>
      </w:pPr>
    </w:p>
    <w:p w14:paraId="27041F8F" w14:textId="77777777" w:rsidR="00F17A0C" w:rsidRPr="00CE4C3C" w:rsidRDefault="00F17A0C" w:rsidP="00CE4C3C">
      <w:pPr>
        <w:keepNext/>
        <w:spacing w:line="240" w:lineRule="auto"/>
        <w:ind w:left="567" w:hanging="567"/>
        <w:outlineLvl w:val="0"/>
        <w:rPr>
          <w:rFonts w:ascii="Times New Roman" w:eastAsia="Times New Roman" w:hAnsi="Times New Roman" w:cs="Times New Roman"/>
          <w:b/>
          <w:lang w:eastAsia="lt-LT" w:bidi="lt-LT"/>
        </w:rPr>
      </w:pPr>
      <w:r w:rsidRPr="00CE4C3C">
        <w:rPr>
          <w:rFonts w:ascii="Times New Roman" w:eastAsia="Times New Roman" w:hAnsi="Times New Roman" w:cs="Times New Roman"/>
          <w:b/>
          <w:lang w:eastAsia="lt-LT" w:bidi="lt-LT"/>
        </w:rPr>
        <w:t>4.2</w:t>
      </w:r>
      <w:r w:rsidRPr="00CE4C3C">
        <w:rPr>
          <w:rFonts w:ascii="Times New Roman" w:eastAsia="Times New Roman" w:hAnsi="Times New Roman" w:cs="Times New Roman"/>
          <w:b/>
          <w:lang w:eastAsia="lt-LT" w:bidi="lt-LT"/>
        </w:rPr>
        <w:tab/>
        <w:t>Dozavimas ir vartojimo metodas</w:t>
      </w:r>
    </w:p>
    <w:p w14:paraId="643B7236" w14:textId="77777777" w:rsidR="00F17A0C" w:rsidRPr="00CE4C3C" w:rsidRDefault="00F17A0C" w:rsidP="00CE4C3C">
      <w:pPr>
        <w:keepNext/>
        <w:tabs>
          <w:tab w:val="left" w:pos="567"/>
        </w:tabs>
        <w:spacing w:line="240" w:lineRule="auto"/>
        <w:rPr>
          <w:rFonts w:ascii="Times New Roman" w:eastAsia="Times New Roman" w:hAnsi="Times New Roman" w:cs="Times New Roman"/>
          <w:lang w:eastAsia="lt-LT" w:bidi="lt-LT"/>
        </w:rPr>
      </w:pPr>
    </w:p>
    <w:p w14:paraId="57996379"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Gydymą sunitinibu turi pradėti gydytojas, turintis gydymo vaistiniais preparatais nuo vėžio patirties.</w:t>
      </w:r>
    </w:p>
    <w:p w14:paraId="3289FB57" w14:textId="77777777" w:rsidR="00F17A0C" w:rsidRPr="00CE4C3C" w:rsidRDefault="00F17A0C" w:rsidP="00CE4C3C">
      <w:pPr>
        <w:keepNext/>
        <w:tabs>
          <w:tab w:val="left" w:pos="567"/>
        </w:tabs>
        <w:spacing w:line="240" w:lineRule="auto"/>
        <w:rPr>
          <w:rFonts w:ascii="Times New Roman" w:eastAsia="Times New Roman" w:hAnsi="Times New Roman" w:cs="Times New Roman"/>
          <w:u w:val="single"/>
          <w:lang w:eastAsia="lt-LT" w:bidi="lt-LT"/>
        </w:rPr>
      </w:pPr>
    </w:p>
    <w:p w14:paraId="727BFF09" w14:textId="77777777" w:rsidR="00F17A0C" w:rsidRPr="00CE4C3C" w:rsidRDefault="00F17A0C" w:rsidP="00CE4C3C">
      <w:pPr>
        <w:keepNext/>
        <w:tabs>
          <w:tab w:val="left" w:pos="567"/>
        </w:tabs>
        <w:spacing w:line="240" w:lineRule="auto"/>
        <w:rPr>
          <w:rFonts w:ascii="Times New Roman" w:eastAsia="Times New Roman" w:hAnsi="Times New Roman" w:cs="Times New Roman"/>
          <w:u w:val="single"/>
          <w:lang w:eastAsia="lt-LT" w:bidi="lt-LT"/>
        </w:rPr>
      </w:pPr>
      <w:r w:rsidRPr="00CE4C3C">
        <w:rPr>
          <w:rFonts w:ascii="Times New Roman" w:eastAsia="Times New Roman" w:hAnsi="Times New Roman" w:cs="Times New Roman"/>
          <w:u w:val="single"/>
          <w:lang w:eastAsia="lt-LT" w:bidi="lt-LT"/>
        </w:rPr>
        <w:t>Dozavimas</w:t>
      </w:r>
    </w:p>
    <w:p w14:paraId="19F3F295"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GIST ir MILK atvejais rekomenduojama </w:t>
      </w:r>
      <w:r w:rsidR="005F5F39" w:rsidRPr="00CE4C3C">
        <w:rPr>
          <w:rFonts w:ascii="Times New Roman" w:eastAsia="Calibri" w:hAnsi="Times New Roman" w:cs="Times New Roman"/>
        </w:rPr>
        <w:t>Klertis</w:t>
      </w:r>
      <w:r w:rsidRPr="00CE4C3C">
        <w:rPr>
          <w:rFonts w:ascii="Times New Roman" w:eastAsia="Calibri" w:hAnsi="Times New Roman" w:cs="Times New Roman"/>
        </w:rPr>
        <w:t xml:space="preserve"> dozė yra 50 mg, kurią reikia vartoti per burną kartą per parą 4 savaites iš eilės, po to daryti dviejų savaičių pertrauką (4/2 planas), kad susidarytų pilnas 6 savaičių ciklas.</w:t>
      </w:r>
    </w:p>
    <w:p w14:paraId="3EAE10C6" w14:textId="77777777" w:rsidR="00F17A0C" w:rsidRPr="00CE4C3C" w:rsidRDefault="00F17A0C" w:rsidP="00CE4C3C">
      <w:pPr>
        <w:spacing w:line="240" w:lineRule="auto"/>
        <w:rPr>
          <w:rFonts w:ascii="Times New Roman" w:eastAsia="Calibri" w:hAnsi="Times New Roman" w:cs="Times New Roman"/>
        </w:rPr>
      </w:pPr>
    </w:p>
    <w:p w14:paraId="36C6632F"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Gydant </w:t>
      </w:r>
      <w:proofErr w:type="spellStart"/>
      <w:r w:rsidRPr="00CE4C3C">
        <w:rPr>
          <w:rFonts w:ascii="Times New Roman" w:eastAsia="Calibri" w:hAnsi="Times New Roman" w:cs="Times New Roman"/>
        </w:rPr>
        <w:t>kNEN</w:t>
      </w:r>
      <w:proofErr w:type="spellEnd"/>
      <w:r w:rsidRPr="00CE4C3C">
        <w:rPr>
          <w:rFonts w:ascii="Times New Roman" w:eastAsia="Calibri" w:hAnsi="Times New Roman" w:cs="Times New Roman"/>
        </w:rPr>
        <w:t xml:space="preserve">, rekomenduojama </w:t>
      </w:r>
      <w:r w:rsidR="005F5F39" w:rsidRPr="00CE4C3C">
        <w:rPr>
          <w:rFonts w:ascii="Times New Roman" w:eastAsia="Calibri" w:hAnsi="Times New Roman" w:cs="Times New Roman"/>
        </w:rPr>
        <w:t>Klertis</w:t>
      </w:r>
      <w:r w:rsidRPr="00CE4C3C">
        <w:rPr>
          <w:rFonts w:ascii="Times New Roman" w:eastAsia="Calibri" w:hAnsi="Times New Roman" w:cs="Times New Roman"/>
        </w:rPr>
        <w:t xml:space="preserve"> dozė</w:t>
      </w:r>
      <w:r w:rsidRPr="00CE4C3C">
        <w:rPr>
          <w:rFonts w:ascii="Times New Roman" w:eastAsia="Times New Roman" w:hAnsi="Times New Roman" w:cs="Times New Roman"/>
          <w:lang w:eastAsia="lt-LT" w:bidi="lt-LT"/>
        </w:rPr>
        <w:t xml:space="preserve"> </w:t>
      </w:r>
      <w:r w:rsidRPr="00CE4C3C">
        <w:rPr>
          <w:rFonts w:ascii="Times New Roman" w:eastAsia="Calibri" w:hAnsi="Times New Roman" w:cs="Times New Roman"/>
        </w:rPr>
        <w:t>yra 37,5 mg, kurią reikia vartoti per burną vieną kartą per parą, nedarant planuotos pertraukos.</w:t>
      </w:r>
    </w:p>
    <w:p w14:paraId="73D7C116" w14:textId="77777777" w:rsidR="00F17A0C" w:rsidRPr="00CE4C3C" w:rsidRDefault="00F17A0C" w:rsidP="00CE4C3C">
      <w:pPr>
        <w:spacing w:line="240" w:lineRule="auto"/>
        <w:rPr>
          <w:rFonts w:ascii="Times New Roman" w:eastAsia="Calibri" w:hAnsi="Times New Roman" w:cs="Times New Roman"/>
        </w:rPr>
      </w:pPr>
    </w:p>
    <w:p w14:paraId="37175FFB" w14:textId="77777777" w:rsidR="00F17A0C" w:rsidRPr="00CE4C3C" w:rsidRDefault="00F17A0C" w:rsidP="00CE4C3C">
      <w:pPr>
        <w:spacing w:line="240" w:lineRule="auto"/>
        <w:rPr>
          <w:rFonts w:ascii="Times New Roman" w:eastAsia="Calibri" w:hAnsi="Times New Roman" w:cs="Times New Roman"/>
          <w:i/>
          <w:u w:val="single"/>
        </w:rPr>
      </w:pPr>
      <w:r w:rsidRPr="00CE4C3C">
        <w:rPr>
          <w:rFonts w:ascii="Times New Roman" w:eastAsia="Calibri" w:hAnsi="Times New Roman" w:cs="Times New Roman"/>
          <w:i/>
          <w:u w:val="single"/>
        </w:rPr>
        <w:t>Dozės koregavimai</w:t>
      </w:r>
    </w:p>
    <w:p w14:paraId="16C9E4BF" w14:textId="77777777" w:rsidR="00F17A0C" w:rsidRPr="00CE4C3C" w:rsidRDefault="00F17A0C" w:rsidP="00CE4C3C">
      <w:pPr>
        <w:spacing w:line="240" w:lineRule="auto"/>
        <w:rPr>
          <w:rFonts w:ascii="Times New Roman" w:eastAsia="Calibri" w:hAnsi="Times New Roman" w:cs="Times New Roman"/>
        </w:rPr>
      </w:pPr>
    </w:p>
    <w:p w14:paraId="5A592E94" w14:textId="77777777" w:rsidR="00F17A0C" w:rsidRPr="00CE4C3C" w:rsidRDefault="00F17A0C" w:rsidP="00CE4C3C">
      <w:pPr>
        <w:spacing w:line="240" w:lineRule="auto"/>
        <w:rPr>
          <w:rFonts w:ascii="Times New Roman" w:eastAsia="Calibri" w:hAnsi="Times New Roman" w:cs="Times New Roman"/>
          <w:i/>
        </w:rPr>
      </w:pPr>
      <w:r w:rsidRPr="00CE4C3C">
        <w:rPr>
          <w:rFonts w:ascii="Times New Roman" w:eastAsia="Calibri" w:hAnsi="Times New Roman" w:cs="Times New Roman"/>
          <w:i/>
        </w:rPr>
        <w:t xml:space="preserve">Saugumas ir toleravimas </w:t>
      </w:r>
    </w:p>
    <w:p w14:paraId="2A5CD0A3"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Gydant GIST ir MILK gali būti taikomas dozės modifikavimas 12,5 mg intervalais remiantis individualiu saugumu ir toleravimu. Paros dozė negali būti didesnė kaip 75 mg arba mažesnė kaip 25 mg per parą.</w:t>
      </w:r>
    </w:p>
    <w:p w14:paraId="45BCD422" w14:textId="77777777" w:rsidR="00F17A0C" w:rsidRPr="00CE4C3C" w:rsidRDefault="00F17A0C" w:rsidP="00CE4C3C">
      <w:pPr>
        <w:spacing w:line="240" w:lineRule="auto"/>
        <w:rPr>
          <w:rFonts w:ascii="Times New Roman" w:eastAsia="Calibri" w:hAnsi="Times New Roman" w:cs="Times New Roman"/>
        </w:rPr>
      </w:pPr>
    </w:p>
    <w:p w14:paraId="7822EACC"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Gydant </w:t>
      </w:r>
      <w:proofErr w:type="spellStart"/>
      <w:r w:rsidRPr="00CE4C3C">
        <w:rPr>
          <w:rFonts w:ascii="Times New Roman" w:eastAsia="Calibri" w:hAnsi="Times New Roman" w:cs="Times New Roman"/>
        </w:rPr>
        <w:t>kNEN</w:t>
      </w:r>
      <w:proofErr w:type="spellEnd"/>
      <w:r w:rsidRPr="00CE4C3C">
        <w:rPr>
          <w:rFonts w:ascii="Times New Roman" w:eastAsia="Calibri" w:hAnsi="Times New Roman" w:cs="Times New Roman"/>
        </w:rPr>
        <w:t xml:space="preserve"> gali būti taikomas dozės modifikavimas 12,5 mg intervalais remiantis individualiu saugumu ir toleravimu. Didžiausia dozė, kuri buvo vartota III fazės </w:t>
      </w:r>
      <w:proofErr w:type="spellStart"/>
      <w:r w:rsidRPr="00CE4C3C">
        <w:rPr>
          <w:rFonts w:ascii="Times New Roman" w:eastAsia="Calibri" w:hAnsi="Times New Roman" w:cs="Times New Roman"/>
        </w:rPr>
        <w:t>kNET</w:t>
      </w:r>
      <w:proofErr w:type="spellEnd"/>
      <w:r w:rsidRPr="00CE4C3C">
        <w:rPr>
          <w:rFonts w:ascii="Times New Roman" w:eastAsia="Calibri" w:hAnsi="Times New Roman" w:cs="Times New Roman"/>
        </w:rPr>
        <w:t xml:space="preserve"> tyrimo metu, buvo 50 mg per parą.</w:t>
      </w:r>
    </w:p>
    <w:p w14:paraId="6E969B21" w14:textId="77777777" w:rsidR="00F17A0C" w:rsidRPr="00CE4C3C" w:rsidRDefault="00F17A0C" w:rsidP="00CE4C3C">
      <w:pPr>
        <w:spacing w:line="240" w:lineRule="auto"/>
        <w:rPr>
          <w:rFonts w:ascii="Times New Roman" w:eastAsia="Calibri" w:hAnsi="Times New Roman" w:cs="Times New Roman"/>
        </w:rPr>
      </w:pPr>
    </w:p>
    <w:p w14:paraId="22CA271E"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Gali prireikti dozavimo pertraukimų remiantis individualiu saugumu ir toleravimu.</w:t>
      </w:r>
    </w:p>
    <w:p w14:paraId="404B738E" w14:textId="77777777" w:rsidR="00F17A0C" w:rsidRPr="00CE4C3C" w:rsidRDefault="00F17A0C" w:rsidP="00CE4C3C">
      <w:pPr>
        <w:spacing w:line="240" w:lineRule="auto"/>
        <w:rPr>
          <w:rFonts w:ascii="Times New Roman" w:eastAsia="Calibri" w:hAnsi="Times New Roman" w:cs="Times New Roman"/>
          <w:i/>
        </w:rPr>
      </w:pPr>
    </w:p>
    <w:p w14:paraId="299CD745" w14:textId="77777777" w:rsidR="00F17A0C" w:rsidRPr="00CE4C3C" w:rsidRDefault="00F17A0C" w:rsidP="00CE4C3C">
      <w:pPr>
        <w:spacing w:line="240" w:lineRule="auto"/>
        <w:rPr>
          <w:rFonts w:ascii="Times New Roman" w:eastAsia="Calibri" w:hAnsi="Times New Roman" w:cs="Times New Roman"/>
          <w:i/>
        </w:rPr>
      </w:pPr>
      <w:r w:rsidRPr="00CE4C3C">
        <w:rPr>
          <w:rFonts w:ascii="Times New Roman" w:eastAsia="Calibri" w:hAnsi="Times New Roman" w:cs="Times New Roman"/>
          <w:i/>
        </w:rPr>
        <w:t>CYP3A4 inhibitoriai/</w:t>
      </w:r>
      <w:proofErr w:type="spellStart"/>
      <w:r w:rsidRPr="00CE4C3C">
        <w:rPr>
          <w:rFonts w:ascii="Times New Roman" w:eastAsia="Calibri" w:hAnsi="Times New Roman" w:cs="Times New Roman"/>
          <w:i/>
        </w:rPr>
        <w:t>induktoriai</w:t>
      </w:r>
      <w:proofErr w:type="spellEnd"/>
      <w:r w:rsidRPr="00CE4C3C">
        <w:rPr>
          <w:rFonts w:ascii="Times New Roman" w:eastAsia="Calibri" w:hAnsi="Times New Roman" w:cs="Times New Roman"/>
          <w:i/>
        </w:rPr>
        <w:t xml:space="preserve"> </w:t>
      </w:r>
    </w:p>
    <w:p w14:paraId="00FB2CE4"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Sunitinibo negalima vartoti kartu su stipriais CYP3A4 </w:t>
      </w:r>
      <w:proofErr w:type="spellStart"/>
      <w:r w:rsidRPr="00CE4C3C">
        <w:rPr>
          <w:rFonts w:ascii="Times New Roman" w:eastAsia="Calibri" w:hAnsi="Times New Roman" w:cs="Times New Roman"/>
        </w:rPr>
        <w:t>induktoriais</w:t>
      </w:r>
      <w:proofErr w:type="spellEnd"/>
      <w:r w:rsidRPr="00CE4C3C">
        <w:rPr>
          <w:rFonts w:ascii="Times New Roman" w:eastAsia="Calibri" w:hAnsi="Times New Roman" w:cs="Times New Roman"/>
        </w:rPr>
        <w:t xml:space="preserve">, pavyzdžiui, </w:t>
      </w:r>
      <w:proofErr w:type="spellStart"/>
      <w:r w:rsidRPr="00CE4C3C">
        <w:rPr>
          <w:rFonts w:ascii="Times New Roman" w:eastAsia="Calibri" w:hAnsi="Times New Roman" w:cs="Times New Roman"/>
        </w:rPr>
        <w:t>rifampicinu</w:t>
      </w:r>
      <w:proofErr w:type="spellEnd"/>
      <w:r w:rsidRPr="00CE4C3C">
        <w:rPr>
          <w:rFonts w:ascii="Times New Roman" w:eastAsia="Calibri" w:hAnsi="Times New Roman" w:cs="Times New Roman"/>
        </w:rPr>
        <w:t xml:space="preserve"> (žr. 4.4 ir 4.5 skyrius). Jeigu tai neįmanoma, gali tekti palaipsniui didinti sunitinibo dozę intervalais po 12,5 mg (iki 87,5 mg per parą GIST ir MILK atvejais arba iki 62,5 mg per parą </w:t>
      </w:r>
      <w:proofErr w:type="spellStart"/>
      <w:r w:rsidRPr="00CE4C3C">
        <w:rPr>
          <w:rFonts w:ascii="Times New Roman" w:eastAsia="Calibri" w:hAnsi="Times New Roman" w:cs="Times New Roman"/>
        </w:rPr>
        <w:t>kNEN</w:t>
      </w:r>
      <w:proofErr w:type="spellEnd"/>
      <w:r w:rsidRPr="00CE4C3C">
        <w:rPr>
          <w:rFonts w:ascii="Times New Roman" w:eastAsia="Calibri" w:hAnsi="Times New Roman" w:cs="Times New Roman"/>
        </w:rPr>
        <w:t xml:space="preserve"> atveju) atidžiai stebint, kaip pacientas toleruoja tokį gydymą. </w:t>
      </w:r>
    </w:p>
    <w:p w14:paraId="3EF5CA7F" w14:textId="77777777" w:rsidR="00F17A0C" w:rsidRPr="00CE4C3C" w:rsidRDefault="00F17A0C" w:rsidP="00CE4C3C">
      <w:pPr>
        <w:spacing w:line="240" w:lineRule="auto"/>
        <w:rPr>
          <w:rFonts w:ascii="Times New Roman" w:eastAsia="Calibri" w:hAnsi="Times New Roman" w:cs="Times New Roman"/>
        </w:rPr>
      </w:pPr>
    </w:p>
    <w:p w14:paraId="76662F4B"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Sunitinibo negalima vartoti kartu su stipriais CYP3A4 inhibitoriais, pavyzdžiui, </w:t>
      </w:r>
      <w:proofErr w:type="spellStart"/>
      <w:r w:rsidRPr="00CE4C3C">
        <w:rPr>
          <w:rFonts w:ascii="Times New Roman" w:eastAsia="Calibri" w:hAnsi="Times New Roman" w:cs="Times New Roman"/>
        </w:rPr>
        <w:t>ketokonazolu</w:t>
      </w:r>
      <w:proofErr w:type="spellEnd"/>
      <w:r w:rsidRPr="00CE4C3C">
        <w:rPr>
          <w:rFonts w:ascii="Times New Roman" w:eastAsia="Calibri" w:hAnsi="Times New Roman" w:cs="Times New Roman"/>
        </w:rPr>
        <w:t xml:space="preserve"> (žr. 4.4 ir 4.5 skyrius). Jeigu minėtų vaistinių preparatų kartu vartoti būtina, atidžiai stebint, kaip pacientas toleruoja tokį gydymą, sunitinibo dozę gali tekti sumažinti GIST ir MILK atvejais iki mažiausios 37,5 mg per parą arba </w:t>
      </w:r>
      <w:proofErr w:type="spellStart"/>
      <w:r w:rsidRPr="00CE4C3C">
        <w:rPr>
          <w:rFonts w:ascii="Times New Roman" w:eastAsia="Calibri" w:hAnsi="Times New Roman" w:cs="Times New Roman"/>
        </w:rPr>
        <w:t>kNEN</w:t>
      </w:r>
      <w:proofErr w:type="spellEnd"/>
      <w:r w:rsidRPr="00CE4C3C">
        <w:rPr>
          <w:rFonts w:ascii="Times New Roman" w:eastAsia="Calibri" w:hAnsi="Times New Roman" w:cs="Times New Roman"/>
        </w:rPr>
        <w:t xml:space="preserve"> atveju iki 25 mg per parą. </w:t>
      </w:r>
    </w:p>
    <w:p w14:paraId="49314EA6" w14:textId="77777777" w:rsidR="00F17A0C" w:rsidRPr="00CE4C3C" w:rsidRDefault="00F17A0C" w:rsidP="00CE4C3C">
      <w:pPr>
        <w:spacing w:line="240" w:lineRule="auto"/>
        <w:rPr>
          <w:rFonts w:ascii="Times New Roman" w:eastAsia="Calibri" w:hAnsi="Times New Roman" w:cs="Times New Roman"/>
        </w:rPr>
      </w:pPr>
    </w:p>
    <w:p w14:paraId="03A320A2"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Turi būti apgalvotas alternatyvių kartu vartojamų vaistinių preparatų, kurių pajėgumas sužadinti ar slopinti CYP3A4 yra minimalus arba jo nėra, parinkimas.</w:t>
      </w:r>
    </w:p>
    <w:p w14:paraId="242790AA" w14:textId="77777777" w:rsidR="00F17A0C" w:rsidRPr="00CE4C3C" w:rsidRDefault="00F17A0C" w:rsidP="00CE4C3C">
      <w:pPr>
        <w:spacing w:line="240" w:lineRule="auto"/>
        <w:rPr>
          <w:rFonts w:ascii="Times New Roman" w:eastAsia="Calibri" w:hAnsi="Times New Roman" w:cs="Times New Roman"/>
        </w:rPr>
      </w:pPr>
    </w:p>
    <w:p w14:paraId="1CE58ADF" w14:textId="77777777" w:rsidR="00F17A0C" w:rsidRPr="00CE4C3C" w:rsidRDefault="00F17A0C"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Ypatingos populiacijos</w:t>
      </w:r>
    </w:p>
    <w:p w14:paraId="2D0D60EF" w14:textId="77777777" w:rsidR="00F17A0C" w:rsidRPr="00CE4C3C" w:rsidRDefault="00F17A0C" w:rsidP="00CE4C3C">
      <w:pPr>
        <w:spacing w:line="240" w:lineRule="auto"/>
        <w:rPr>
          <w:rFonts w:ascii="Times New Roman" w:eastAsia="Calibri" w:hAnsi="Times New Roman" w:cs="Times New Roman"/>
          <w:i/>
        </w:rPr>
      </w:pPr>
    </w:p>
    <w:p w14:paraId="754C7515" w14:textId="77777777" w:rsidR="00F17A0C" w:rsidRPr="00CE4C3C" w:rsidRDefault="00F17A0C" w:rsidP="00CE4C3C">
      <w:pPr>
        <w:spacing w:line="240" w:lineRule="auto"/>
        <w:rPr>
          <w:rFonts w:ascii="Times New Roman" w:eastAsia="Calibri" w:hAnsi="Times New Roman" w:cs="Times New Roman"/>
          <w:i/>
        </w:rPr>
      </w:pPr>
      <w:r w:rsidRPr="00CE4C3C">
        <w:rPr>
          <w:rFonts w:ascii="Times New Roman" w:eastAsia="Calibri" w:hAnsi="Times New Roman" w:cs="Times New Roman"/>
          <w:i/>
        </w:rPr>
        <w:t xml:space="preserve">Vaikų populiacija </w:t>
      </w:r>
    </w:p>
    <w:p w14:paraId="113492AE" w14:textId="69277F21" w:rsidR="00A25B8E" w:rsidRPr="00CE4C3C" w:rsidRDefault="005F5F39" w:rsidP="00CE4C3C">
      <w:pPr>
        <w:spacing w:line="240" w:lineRule="auto"/>
        <w:rPr>
          <w:rFonts w:ascii="Times New Roman" w:eastAsia="Calibri" w:hAnsi="Times New Roman" w:cs="Times New Roman"/>
        </w:rPr>
      </w:pPr>
      <w:r w:rsidRPr="00CE4C3C">
        <w:rPr>
          <w:rFonts w:ascii="Times New Roman" w:eastAsia="Calibri" w:hAnsi="Times New Roman" w:cs="Times New Roman"/>
        </w:rPr>
        <w:t>Klertis</w:t>
      </w:r>
      <w:r w:rsidR="00F17A0C" w:rsidRPr="00CE4C3C">
        <w:rPr>
          <w:rFonts w:ascii="Times New Roman" w:eastAsia="Calibri" w:hAnsi="Times New Roman" w:cs="Times New Roman"/>
        </w:rPr>
        <w:t xml:space="preserve"> saugumas ir veiksmingumas jaunesniems kaip 18</w:t>
      </w:r>
      <w:r w:rsidR="000C219B">
        <w:rPr>
          <w:rFonts w:ascii="Times New Roman" w:eastAsia="Calibri" w:hAnsi="Times New Roman" w:cs="Times New Roman"/>
        </w:rPr>
        <w:t> </w:t>
      </w:r>
      <w:r w:rsidR="00F17A0C" w:rsidRPr="00CE4C3C">
        <w:rPr>
          <w:rFonts w:ascii="Times New Roman" w:eastAsia="Calibri" w:hAnsi="Times New Roman" w:cs="Times New Roman"/>
        </w:rPr>
        <w:t xml:space="preserve">metų pacientams nenustatyti. </w:t>
      </w:r>
    </w:p>
    <w:p w14:paraId="28EBCDFE"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Šiuo metu turimi duomenys pateikiami 4.8, 5.1 ir 5.2 skyriuose, tačiau dozavimo rekomendacijų pateikti negalima.</w:t>
      </w:r>
    </w:p>
    <w:p w14:paraId="794A4643" w14:textId="77777777" w:rsidR="00F17A0C" w:rsidRPr="00CE4C3C" w:rsidRDefault="00F17A0C" w:rsidP="00CE4C3C">
      <w:pPr>
        <w:spacing w:line="240" w:lineRule="auto"/>
        <w:rPr>
          <w:rFonts w:ascii="Times New Roman" w:eastAsia="Calibri" w:hAnsi="Times New Roman" w:cs="Times New Roman"/>
        </w:rPr>
      </w:pPr>
    </w:p>
    <w:p w14:paraId="31767300" w14:textId="77777777" w:rsidR="00F17A0C" w:rsidRPr="00CE4C3C" w:rsidRDefault="00F17A0C" w:rsidP="00CE4C3C">
      <w:pPr>
        <w:spacing w:line="240" w:lineRule="auto"/>
        <w:rPr>
          <w:rFonts w:ascii="Times New Roman" w:eastAsia="Calibri" w:hAnsi="Times New Roman" w:cs="Times New Roman"/>
          <w:i/>
        </w:rPr>
      </w:pPr>
      <w:r w:rsidRPr="00CE4C3C">
        <w:rPr>
          <w:rFonts w:ascii="Times New Roman" w:eastAsia="Calibri" w:hAnsi="Times New Roman" w:cs="Times New Roman"/>
          <w:i/>
        </w:rPr>
        <w:t xml:space="preserve">Senyviems pacientams </w:t>
      </w:r>
    </w:p>
    <w:p w14:paraId="282687D1"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Apytikriai vienas trečdalis klinikiniuose tyrimuose dalyvavusių pacientų, kurie vartojo sunitinibo, buvo 65 metų ar vyresni. Nei saugumo, nei veiksmingumo reikšmingų skirtumų, gydant jaunesnius ir senesnius pacientus, nenustatyta.</w:t>
      </w:r>
    </w:p>
    <w:p w14:paraId="693514F8" w14:textId="77777777" w:rsidR="00F17A0C" w:rsidRPr="00CE4C3C" w:rsidRDefault="00F17A0C" w:rsidP="00CE4C3C">
      <w:pPr>
        <w:spacing w:line="240" w:lineRule="auto"/>
        <w:rPr>
          <w:rFonts w:ascii="Times New Roman" w:eastAsia="Calibri" w:hAnsi="Times New Roman" w:cs="Times New Roman"/>
        </w:rPr>
      </w:pPr>
    </w:p>
    <w:p w14:paraId="34726934" w14:textId="77777777" w:rsidR="00F17A0C" w:rsidRPr="00CE4C3C" w:rsidRDefault="00F17A0C" w:rsidP="00CE4C3C">
      <w:pPr>
        <w:spacing w:line="240" w:lineRule="auto"/>
        <w:rPr>
          <w:rFonts w:ascii="Times New Roman" w:eastAsia="Calibri" w:hAnsi="Times New Roman" w:cs="Times New Roman"/>
          <w:i/>
        </w:rPr>
      </w:pPr>
      <w:r w:rsidRPr="00CE4C3C">
        <w:rPr>
          <w:rFonts w:ascii="Times New Roman" w:eastAsia="Calibri" w:hAnsi="Times New Roman" w:cs="Times New Roman"/>
          <w:i/>
        </w:rPr>
        <w:t>Pacientams, kurių kepenų funkcija sutrikusi</w:t>
      </w:r>
    </w:p>
    <w:p w14:paraId="243AB414"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Skiriant sunitinibo vartoti pacientams, kuriems yra lengvas ar vidutinio sunkumo kepenų funkcijos sutrikimas (A ir B klasės pagal </w:t>
      </w:r>
      <w:proofErr w:type="spellStart"/>
      <w:r w:rsidRPr="00CE4C3C">
        <w:rPr>
          <w:rFonts w:ascii="Times New Roman" w:eastAsia="Calibri" w:hAnsi="Times New Roman" w:cs="Times New Roman"/>
          <w:i/>
        </w:rPr>
        <w:t>Child-Pugh</w:t>
      </w:r>
      <w:proofErr w:type="spellEnd"/>
      <w:r w:rsidRPr="00CE4C3C">
        <w:rPr>
          <w:rFonts w:ascii="Times New Roman" w:eastAsia="Calibri" w:hAnsi="Times New Roman" w:cs="Times New Roman"/>
        </w:rPr>
        <w:t xml:space="preserve">), pradinės dozės rekomenduojama nekeisti. Sunitinibo </w:t>
      </w:r>
      <w:r w:rsidRPr="00CE4C3C">
        <w:rPr>
          <w:rFonts w:ascii="Times New Roman" w:eastAsia="Calibri" w:hAnsi="Times New Roman" w:cs="Times New Roman"/>
        </w:rPr>
        <w:lastRenderedPageBreak/>
        <w:t xml:space="preserve">vartojimas pacientams, kuriems yra sunkus kepenų funkcijos sutrikimas (C klasės pagal </w:t>
      </w:r>
      <w:proofErr w:type="spellStart"/>
      <w:r w:rsidRPr="00CE4C3C">
        <w:rPr>
          <w:rFonts w:ascii="Times New Roman" w:eastAsia="Calibri" w:hAnsi="Times New Roman" w:cs="Times New Roman"/>
          <w:i/>
        </w:rPr>
        <w:t>Child-Pugh</w:t>
      </w:r>
      <w:proofErr w:type="spellEnd"/>
      <w:r w:rsidRPr="00CE4C3C">
        <w:rPr>
          <w:rFonts w:ascii="Times New Roman" w:eastAsia="Calibri" w:hAnsi="Times New Roman" w:cs="Times New Roman"/>
        </w:rPr>
        <w:t>), netirtas, todėl pacientams, kuriems yra sunkus kepenų funkcijos sutrikimas, vartoti sunitinibo rekomenduoti negalima (žr. 5.2 skyrių).</w:t>
      </w:r>
    </w:p>
    <w:p w14:paraId="7B1B21FA" w14:textId="77777777" w:rsidR="00A25B8E" w:rsidRPr="00CE4C3C" w:rsidRDefault="00A25B8E" w:rsidP="00CE4C3C">
      <w:pPr>
        <w:spacing w:line="240" w:lineRule="auto"/>
        <w:rPr>
          <w:rFonts w:ascii="Times New Roman" w:eastAsia="Calibri" w:hAnsi="Times New Roman" w:cs="Times New Roman"/>
        </w:rPr>
      </w:pPr>
    </w:p>
    <w:p w14:paraId="5AF3754C"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i/>
        </w:rPr>
        <w:t>Pacientams, kurių inkstų funkcija sutrikusi</w:t>
      </w:r>
    </w:p>
    <w:p w14:paraId="48E7B9A7"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Skiriant vartoti sunitinibo pacientams, kuriems yra inkstų funkcijos sutrikimas (nuo lengvo iki sunkaus) arba galutinės stadijos inkstų liga (GSIL), kuriems atliekamos hemodializės, pradinės dozės keisti nereikia. Vėliau dozės keitimas turi būti pagrįstas individualiu saugumu ir toleravimu (žr.5.2</w:t>
      </w:r>
      <w:r w:rsidR="00A25B8E" w:rsidRPr="00CE4C3C">
        <w:rPr>
          <w:rFonts w:ascii="Times New Roman" w:eastAsia="Calibri" w:hAnsi="Times New Roman" w:cs="Times New Roman"/>
        </w:rPr>
        <w:t> </w:t>
      </w:r>
      <w:r w:rsidRPr="00CE4C3C">
        <w:rPr>
          <w:rFonts w:ascii="Times New Roman" w:eastAsia="Calibri" w:hAnsi="Times New Roman" w:cs="Times New Roman"/>
        </w:rPr>
        <w:t>skyrių).</w:t>
      </w:r>
    </w:p>
    <w:p w14:paraId="7CCA1BB9" w14:textId="77777777" w:rsidR="00F17A0C" w:rsidRPr="00CE4C3C" w:rsidRDefault="00F17A0C" w:rsidP="00CE4C3C">
      <w:pPr>
        <w:spacing w:line="240" w:lineRule="auto"/>
        <w:rPr>
          <w:rFonts w:ascii="Times New Roman" w:eastAsia="Calibri" w:hAnsi="Times New Roman" w:cs="Times New Roman"/>
        </w:rPr>
      </w:pPr>
    </w:p>
    <w:p w14:paraId="70968329" w14:textId="77777777" w:rsidR="00F17A0C" w:rsidRPr="00CE4C3C" w:rsidRDefault="00F17A0C"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 xml:space="preserve">Vartojimo metodas </w:t>
      </w:r>
    </w:p>
    <w:p w14:paraId="5932BEF1" w14:textId="77777777" w:rsidR="005C3769" w:rsidRPr="00CE4C3C" w:rsidRDefault="005C3769" w:rsidP="00CE4C3C">
      <w:pPr>
        <w:spacing w:line="240" w:lineRule="auto"/>
        <w:rPr>
          <w:rFonts w:ascii="Times New Roman" w:eastAsia="Calibri" w:hAnsi="Times New Roman" w:cs="Times New Roman"/>
        </w:rPr>
      </w:pPr>
      <w:r w:rsidRPr="00CE4C3C">
        <w:rPr>
          <w:rFonts w:ascii="Times New Roman" w:eastAsia="Calibri" w:hAnsi="Times New Roman" w:cs="Times New Roman"/>
        </w:rPr>
        <w:t>V</w:t>
      </w:r>
      <w:r w:rsidR="00F17A0C" w:rsidRPr="00CE4C3C">
        <w:rPr>
          <w:rFonts w:ascii="Times New Roman" w:eastAsia="Calibri" w:hAnsi="Times New Roman" w:cs="Times New Roman"/>
        </w:rPr>
        <w:t>artoti per burną.</w:t>
      </w:r>
    </w:p>
    <w:p w14:paraId="0AD417EB" w14:textId="77777777" w:rsidR="00F17A0C" w:rsidRPr="00CE4C3C" w:rsidRDefault="008313CB" w:rsidP="00CE4C3C">
      <w:pPr>
        <w:spacing w:line="240" w:lineRule="auto"/>
        <w:rPr>
          <w:rFonts w:ascii="Times New Roman" w:eastAsia="Calibri" w:hAnsi="Times New Roman" w:cs="Times New Roman"/>
        </w:rPr>
      </w:pPr>
      <w:r w:rsidRPr="00CE4C3C">
        <w:rPr>
          <w:rFonts w:ascii="Times New Roman" w:eastAsia="Calibri" w:hAnsi="Times New Roman" w:cs="Times New Roman"/>
        </w:rPr>
        <w:t>Sunitinibo</w:t>
      </w:r>
      <w:r w:rsidR="00F17A0C" w:rsidRPr="00CE4C3C">
        <w:rPr>
          <w:rFonts w:ascii="Times New Roman" w:eastAsia="Calibri" w:hAnsi="Times New Roman" w:cs="Times New Roman"/>
        </w:rPr>
        <w:t xml:space="preserve"> galima vartoti valgio metu arba nevalgius. </w:t>
      </w:r>
    </w:p>
    <w:p w14:paraId="05A64939" w14:textId="77777777" w:rsidR="00F17A0C" w:rsidRPr="00CE4C3C" w:rsidRDefault="00F17A0C" w:rsidP="00CE4C3C">
      <w:pPr>
        <w:spacing w:line="240" w:lineRule="auto"/>
        <w:rPr>
          <w:rFonts w:ascii="Times New Roman" w:eastAsia="Calibri" w:hAnsi="Times New Roman" w:cs="Times New Roman"/>
        </w:rPr>
      </w:pPr>
    </w:p>
    <w:p w14:paraId="5753C1AF"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Praleidus dozę, pacientas turi nevartoti papildomos dozės. Pacientas turi išgerti paskirtą įprastinę dozę kitą dieną.</w:t>
      </w:r>
    </w:p>
    <w:p w14:paraId="433A3655" w14:textId="77777777" w:rsidR="00F17A0C" w:rsidRPr="00CE4C3C" w:rsidRDefault="00F17A0C" w:rsidP="00CE4C3C">
      <w:pPr>
        <w:spacing w:line="240" w:lineRule="auto"/>
        <w:rPr>
          <w:rFonts w:ascii="Times New Roman" w:eastAsia="Calibri" w:hAnsi="Times New Roman" w:cs="Times New Roman"/>
        </w:rPr>
      </w:pPr>
    </w:p>
    <w:p w14:paraId="2B4339F7" w14:textId="77777777" w:rsidR="00F17A0C" w:rsidRPr="00CE4C3C" w:rsidRDefault="00F17A0C" w:rsidP="00CE4C3C">
      <w:pPr>
        <w:spacing w:line="240" w:lineRule="auto"/>
        <w:ind w:left="567" w:hanging="567"/>
        <w:rPr>
          <w:rFonts w:ascii="Times New Roman" w:eastAsia="Calibri" w:hAnsi="Times New Roman" w:cs="Times New Roman"/>
        </w:rPr>
      </w:pPr>
      <w:r w:rsidRPr="00CE4C3C">
        <w:rPr>
          <w:rFonts w:ascii="Times New Roman" w:eastAsia="Times New Roman" w:hAnsi="Times New Roman" w:cs="Times New Roman"/>
          <w:b/>
          <w:lang w:eastAsia="lt-LT" w:bidi="lt-LT"/>
        </w:rPr>
        <w:t>4.3</w:t>
      </w:r>
      <w:r w:rsidRPr="00CE4C3C">
        <w:rPr>
          <w:rFonts w:ascii="Times New Roman" w:eastAsia="Times New Roman" w:hAnsi="Times New Roman" w:cs="Times New Roman"/>
          <w:b/>
          <w:lang w:eastAsia="lt-LT" w:bidi="lt-LT"/>
        </w:rPr>
        <w:tab/>
        <w:t>Kontraindikacijos</w:t>
      </w:r>
      <w:r w:rsidRPr="00CE4C3C">
        <w:rPr>
          <w:rFonts w:ascii="Times New Roman" w:eastAsia="Calibri" w:hAnsi="Times New Roman" w:cs="Times New Roman"/>
        </w:rPr>
        <w:t xml:space="preserve"> </w:t>
      </w:r>
    </w:p>
    <w:p w14:paraId="4D137F76" w14:textId="77777777" w:rsidR="00F17A0C" w:rsidRPr="00CE4C3C" w:rsidRDefault="00F17A0C" w:rsidP="00CE4C3C">
      <w:pPr>
        <w:spacing w:line="240" w:lineRule="auto"/>
        <w:rPr>
          <w:rFonts w:ascii="Times New Roman" w:eastAsia="Calibri" w:hAnsi="Times New Roman" w:cs="Times New Roman"/>
        </w:rPr>
      </w:pPr>
    </w:p>
    <w:p w14:paraId="000DBDB1"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Padidėjęs jautrumas veikliajai medžiagai arba bet kuriai 6.1 skyriuje nurodytai pagalbinei medžiagai. </w:t>
      </w:r>
    </w:p>
    <w:p w14:paraId="2A32F16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7F6344BE" w14:textId="77777777" w:rsidR="00F17A0C" w:rsidRPr="00CE4C3C" w:rsidRDefault="00F17A0C" w:rsidP="00CE4C3C">
      <w:pPr>
        <w:keepNext/>
        <w:tabs>
          <w:tab w:val="left" w:pos="567"/>
        </w:tabs>
        <w:spacing w:line="240" w:lineRule="auto"/>
        <w:ind w:left="567" w:hanging="567"/>
        <w:outlineLvl w:val="0"/>
        <w:rPr>
          <w:rFonts w:ascii="Times New Roman" w:eastAsia="Times New Roman" w:hAnsi="Times New Roman" w:cs="Times New Roman"/>
          <w:b/>
          <w:lang w:eastAsia="lt-LT" w:bidi="lt-LT"/>
        </w:rPr>
      </w:pPr>
      <w:r w:rsidRPr="00CE4C3C">
        <w:rPr>
          <w:rFonts w:ascii="Times New Roman" w:eastAsia="Calibri" w:hAnsi="Times New Roman" w:cs="Times New Roman"/>
          <w:b/>
        </w:rPr>
        <w:t>4.4</w:t>
      </w:r>
      <w:r w:rsidRPr="00CE4C3C">
        <w:rPr>
          <w:rFonts w:ascii="Times New Roman" w:eastAsia="Calibri" w:hAnsi="Times New Roman" w:cs="Times New Roman"/>
        </w:rPr>
        <w:tab/>
      </w:r>
      <w:r w:rsidRPr="00CE4C3C">
        <w:rPr>
          <w:rFonts w:ascii="Times New Roman" w:eastAsia="Times New Roman" w:hAnsi="Times New Roman" w:cs="Times New Roman"/>
          <w:b/>
          <w:lang w:eastAsia="lt-LT" w:bidi="lt-LT"/>
        </w:rPr>
        <w:t>Specialūs įspėjimai ir atsargumo priemonės</w:t>
      </w:r>
    </w:p>
    <w:p w14:paraId="1E513C70" w14:textId="77777777" w:rsidR="00F17A0C" w:rsidRPr="00CE4C3C" w:rsidRDefault="00F17A0C" w:rsidP="00CE4C3C">
      <w:pPr>
        <w:spacing w:line="240" w:lineRule="auto"/>
        <w:rPr>
          <w:rFonts w:ascii="Times New Roman" w:eastAsia="Calibri" w:hAnsi="Times New Roman" w:cs="Times New Roman"/>
        </w:rPr>
      </w:pPr>
    </w:p>
    <w:p w14:paraId="2D8861A4" w14:textId="2B4508E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Šio vaistinio preparato turi būti vengiama vartoti kartu su stipriais CYP3A4 </w:t>
      </w:r>
      <w:proofErr w:type="spellStart"/>
      <w:r w:rsidRPr="00CE4C3C">
        <w:rPr>
          <w:rFonts w:ascii="Times New Roman" w:eastAsia="Calibri" w:hAnsi="Times New Roman" w:cs="Times New Roman"/>
        </w:rPr>
        <w:t>induktoriais</w:t>
      </w:r>
      <w:proofErr w:type="spellEnd"/>
      <w:r w:rsidRPr="00CE4C3C">
        <w:rPr>
          <w:rFonts w:ascii="Times New Roman" w:eastAsia="Calibri" w:hAnsi="Times New Roman" w:cs="Times New Roman"/>
        </w:rPr>
        <w:t>, nes gali sumažėti sunitinibo koncentracija plazmoje (žr. 4.2 ir 4.5</w:t>
      </w:r>
      <w:r w:rsidR="001779FF">
        <w:rPr>
          <w:rFonts w:ascii="Times New Roman" w:eastAsia="Calibri" w:hAnsi="Times New Roman" w:cs="Times New Roman"/>
        </w:rPr>
        <w:t> </w:t>
      </w:r>
      <w:r w:rsidRPr="00CE4C3C">
        <w:rPr>
          <w:rFonts w:ascii="Times New Roman" w:eastAsia="Calibri" w:hAnsi="Times New Roman" w:cs="Times New Roman"/>
        </w:rPr>
        <w:t>skyrius).</w:t>
      </w:r>
    </w:p>
    <w:p w14:paraId="641698F5" w14:textId="77777777" w:rsidR="00F17A0C" w:rsidRPr="00CE4C3C" w:rsidRDefault="00F17A0C" w:rsidP="00CE4C3C">
      <w:pPr>
        <w:spacing w:line="240" w:lineRule="auto"/>
        <w:rPr>
          <w:rFonts w:ascii="Times New Roman" w:eastAsia="Calibri" w:hAnsi="Times New Roman" w:cs="Times New Roman"/>
        </w:rPr>
      </w:pPr>
    </w:p>
    <w:p w14:paraId="51F6DAAD" w14:textId="12735FAF"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Šio vaistinio preparato reikia vengti vartoti kartu su stipriais CYP3A4 inhibitoriais, nes gali padidėti sunitinibo koncentracija plazmoje (žr. 4.2 ir 4.5</w:t>
      </w:r>
      <w:r w:rsidR="001779FF">
        <w:rPr>
          <w:rFonts w:ascii="Times New Roman" w:eastAsia="Calibri" w:hAnsi="Times New Roman" w:cs="Times New Roman"/>
        </w:rPr>
        <w:t> </w:t>
      </w:r>
      <w:r w:rsidRPr="00CE4C3C">
        <w:rPr>
          <w:rFonts w:ascii="Times New Roman" w:eastAsia="Calibri" w:hAnsi="Times New Roman" w:cs="Times New Roman"/>
        </w:rPr>
        <w:t>skyrius).</w:t>
      </w:r>
    </w:p>
    <w:p w14:paraId="062FF95D" w14:textId="77777777" w:rsidR="00F17A0C" w:rsidRPr="00CE4C3C" w:rsidRDefault="00F17A0C" w:rsidP="00CE4C3C">
      <w:pPr>
        <w:spacing w:line="240" w:lineRule="auto"/>
        <w:rPr>
          <w:rFonts w:ascii="Times New Roman" w:eastAsia="Calibri" w:hAnsi="Times New Roman" w:cs="Times New Roman"/>
          <w:u w:val="single"/>
        </w:rPr>
      </w:pPr>
    </w:p>
    <w:p w14:paraId="797E2871" w14:textId="77777777" w:rsidR="00F17A0C" w:rsidRPr="00CE4C3C" w:rsidRDefault="00F17A0C"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Odos ir poodinio audinio sutrikimai</w:t>
      </w:r>
    </w:p>
    <w:p w14:paraId="77E27813"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Pacientus reikia informuoti, kad gydymo sunitinibu metu gali pasireikšti plaukų ar odos </w:t>
      </w:r>
      <w:proofErr w:type="spellStart"/>
      <w:r w:rsidRPr="00CE4C3C">
        <w:rPr>
          <w:rFonts w:ascii="Times New Roman" w:eastAsia="Calibri" w:hAnsi="Times New Roman" w:cs="Times New Roman"/>
        </w:rPr>
        <w:t>depigmentacija</w:t>
      </w:r>
      <w:proofErr w:type="spellEnd"/>
      <w:r w:rsidRPr="00CE4C3C">
        <w:rPr>
          <w:rFonts w:ascii="Times New Roman" w:eastAsia="Calibri" w:hAnsi="Times New Roman" w:cs="Times New Roman"/>
        </w:rPr>
        <w:t>. Galimi kiti poveikia</w:t>
      </w:r>
      <w:r w:rsidR="005C3769" w:rsidRPr="00CE4C3C">
        <w:rPr>
          <w:rFonts w:ascii="Times New Roman" w:eastAsia="Calibri" w:hAnsi="Times New Roman" w:cs="Times New Roman"/>
        </w:rPr>
        <w:t>i</w:t>
      </w:r>
      <w:r w:rsidRPr="00CE4C3C">
        <w:rPr>
          <w:rFonts w:ascii="Times New Roman" w:eastAsia="Calibri" w:hAnsi="Times New Roman" w:cs="Times New Roman"/>
        </w:rPr>
        <w:t xml:space="preserve"> odai bei poodiniam audiniui yra odos sausmė, sustorėjimas arba trūkinėjimas, pūslės, arba delnų ir pėdų išbėrimas.</w:t>
      </w:r>
    </w:p>
    <w:p w14:paraId="46256903" w14:textId="77777777" w:rsidR="00F17A0C" w:rsidRPr="00CE4C3C" w:rsidRDefault="00F17A0C" w:rsidP="00CE4C3C">
      <w:pPr>
        <w:spacing w:line="240" w:lineRule="auto"/>
        <w:rPr>
          <w:rFonts w:ascii="Times New Roman" w:eastAsia="Calibri" w:hAnsi="Times New Roman" w:cs="Times New Roman"/>
        </w:rPr>
      </w:pPr>
    </w:p>
    <w:p w14:paraId="243A7886"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Minėtos reakcijos nesikaupia, paprastai jos būna laikinos ir dažniausiai gydymo dėl jų nutraukti neprireikė. Gauta pranešimų apie gangreninės </w:t>
      </w:r>
      <w:proofErr w:type="spellStart"/>
      <w:r w:rsidRPr="00CE4C3C">
        <w:rPr>
          <w:rFonts w:ascii="Times New Roman" w:eastAsia="Calibri" w:hAnsi="Times New Roman" w:cs="Times New Roman"/>
        </w:rPr>
        <w:t>piodermos</w:t>
      </w:r>
      <w:proofErr w:type="spellEnd"/>
      <w:r w:rsidRPr="00CE4C3C">
        <w:rPr>
          <w:rFonts w:ascii="Times New Roman" w:eastAsia="Calibri" w:hAnsi="Times New Roman" w:cs="Times New Roman"/>
        </w:rPr>
        <w:t xml:space="preserve">, kuri paprastai yra laikina ir išnyksta, nutraukus sunitinibo vartojimą, atvejus. Buvo pranešta apie sunkias odos reakcijas, įskaitant daugiaformės </w:t>
      </w:r>
      <w:proofErr w:type="spellStart"/>
      <w:r w:rsidRPr="00CE4C3C">
        <w:rPr>
          <w:rFonts w:ascii="Times New Roman" w:eastAsia="Calibri" w:hAnsi="Times New Roman" w:cs="Times New Roman"/>
        </w:rPr>
        <w:t>eritemos</w:t>
      </w:r>
      <w:proofErr w:type="spellEnd"/>
      <w:r w:rsidRPr="00CE4C3C">
        <w:rPr>
          <w:rFonts w:ascii="Times New Roman" w:eastAsia="Calibri" w:hAnsi="Times New Roman" w:cs="Times New Roman"/>
        </w:rPr>
        <w:t xml:space="preserve"> (DE) atvejus ir atvejus, verčiančius galvoti apie </w:t>
      </w:r>
      <w:proofErr w:type="spellStart"/>
      <w:r w:rsidRPr="00CE4C3C">
        <w:rPr>
          <w:rFonts w:ascii="Times New Roman" w:eastAsia="Calibri" w:hAnsi="Times New Roman" w:cs="Times New Roman"/>
        </w:rPr>
        <w:t>Stivenso</w:t>
      </w:r>
      <w:proofErr w:type="spellEnd"/>
      <w:r w:rsidRPr="00CE4C3C">
        <w:rPr>
          <w:rFonts w:ascii="Times New Roman" w:eastAsia="Calibri" w:hAnsi="Times New Roman" w:cs="Times New Roman"/>
        </w:rPr>
        <w:t>-Džonsono (</w:t>
      </w:r>
      <w:proofErr w:type="spellStart"/>
      <w:r w:rsidRPr="00CE4C3C">
        <w:rPr>
          <w:rFonts w:ascii="Times New Roman" w:eastAsia="Calibri" w:hAnsi="Times New Roman" w:cs="Times New Roman"/>
          <w:i/>
        </w:rPr>
        <w:t>Stevens-Johnson</w:t>
      </w:r>
      <w:proofErr w:type="spellEnd"/>
      <w:r w:rsidRPr="00CE4C3C">
        <w:rPr>
          <w:rFonts w:ascii="Times New Roman" w:eastAsia="Calibri" w:hAnsi="Times New Roman" w:cs="Times New Roman"/>
        </w:rPr>
        <w:t xml:space="preserve">) sindromą (SJS) bei toksinę epidermio </w:t>
      </w:r>
      <w:proofErr w:type="spellStart"/>
      <w:r w:rsidRPr="00CE4C3C">
        <w:rPr>
          <w:rFonts w:ascii="Times New Roman" w:eastAsia="Calibri" w:hAnsi="Times New Roman" w:cs="Times New Roman"/>
        </w:rPr>
        <w:t>nekrolizę</w:t>
      </w:r>
      <w:proofErr w:type="spellEnd"/>
      <w:r w:rsidRPr="00CE4C3C">
        <w:rPr>
          <w:rFonts w:ascii="Times New Roman" w:eastAsia="Calibri" w:hAnsi="Times New Roman" w:cs="Times New Roman"/>
        </w:rPr>
        <w:t xml:space="preserve"> (TEN); kai kurie iš jų buvo mirtini. Jeigu pasireiškia SJS, TEN arba DE požymiai ar simptomai (pvz.: progresuojantis odos išbėrimas, kuris dažnai pasireiškia kartu su pūslėmis arba gleivinės pažeidimu), gydymą sunitinibu reikia nutraukti. Patvirtinus SJS arba TEN diagnozę, gydymo atnaujinti negalima. Kai kuriais atvejais, kai buvo įtarta DE, pacientai toleravo gydymo sunitinibu atnaujinimą mažesne doze po to, kai reakcija išnyko. Kai kurie iš šių pacientų taip pat kartu buvo gydyti kortikosteroidais arba </w:t>
      </w:r>
      <w:proofErr w:type="spellStart"/>
      <w:r w:rsidRPr="00CE4C3C">
        <w:rPr>
          <w:rFonts w:ascii="Times New Roman" w:eastAsia="Calibri" w:hAnsi="Times New Roman" w:cs="Times New Roman"/>
        </w:rPr>
        <w:t>antihistamininiais</w:t>
      </w:r>
      <w:proofErr w:type="spellEnd"/>
      <w:r w:rsidRPr="00CE4C3C">
        <w:rPr>
          <w:rFonts w:ascii="Times New Roman" w:eastAsia="Calibri" w:hAnsi="Times New Roman" w:cs="Times New Roman"/>
        </w:rPr>
        <w:t xml:space="preserve"> vaistiniais preparatais (žr. 4.8 skyrių).</w:t>
      </w:r>
    </w:p>
    <w:p w14:paraId="722E7DC0" w14:textId="77777777" w:rsidR="00F17A0C" w:rsidRPr="00CE4C3C" w:rsidRDefault="00F17A0C" w:rsidP="00CE4C3C">
      <w:pPr>
        <w:spacing w:line="240" w:lineRule="auto"/>
        <w:rPr>
          <w:rFonts w:ascii="Times New Roman" w:eastAsia="Calibri" w:hAnsi="Times New Roman" w:cs="Times New Roman"/>
          <w:u w:val="single"/>
        </w:rPr>
      </w:pPr>
    </w:p>
    <w:p w14:paraId="7C9B1D1E" w14:textId="77777777" w:rsidR="00F17A0C" w:rsidRPr="00CE4C3C" w:rsidRDefault="00F17A0C"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 xml:space="preserve">Kraujavimas ir kraujavimas iš naviko </w:t>
      </w:r>
    </w:p>
    <w:p w14:paraId="65B8F72A"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Klinikinių sunitinibo tyrimų ir po vaistinio preparato pate</w:t>
      </w:r>
      <w:r w:rsidR="001779FF">
        <w:rPr>
          <w:rFonts w:ascii="Times New Roman" w:eastAsia="Times New Roman" w:hAnsi="Times New Roman" w:cs="Times New Roman"/>
          <w:lang w:eastAsia="lt-LT"/>
        </w:rPr>
        <w:t>i</w:t>
      </w:r>
      <w:r w:rsidRPr="00CE4C3C">
        <w:rPr>
          <w:rFonts w:ascii="Times New Roman" w:eastAsia="Times New Roman" w:hAnsi="Times New Roman" w:cs="Times New Roman"/>
          <w:lang w:eastAsia="lt-LT"/>
        </w:rPr>
        <w:t>kimo į rinką stebėjimo metu nustatyta kraujavimo atvejų, kartais mirtinų, įskaitant kraujavimą iš virškinimo trakto, kvėpavimo organų, šlapimo takų ir į smegenis (žr. 4.8 skyrių).</w:t>
      </w:r>
    </w:p>
    <w:p w14:paraId="03EEFC6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02567FDF" w14:textId="6F2A8746"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Įprastas kraujavimo reiškinių įvertinimas turi apimti bendrą kraujo tyrimą ir </w:t>
      </w:r>
      <w:r w:rsidR="001779FF">
        <w:rPr>
          <w:rFonts w:ascii="Times New Roman" w:eastAsia="Calibri" w:hAnsi="Times New Roman" w:cs="Times New Roman"/>
        </w:rPr>
        <w:t>medicininę apžiūrą</w:t>
      </w:r>
      <w:r w:rsidRPr="00CE4C3C">
        <w:rPr>
          <w:rFonts w:ascii="Times New Roman" w:eastAsia="Calibri" w:hAnsi="Times New Roman" w:cs="Times New Roman"/>
        </w:rPr>
        <w:t>.</w:t>
      </w:r>
    </w:p>
    <w:p w14:paraId="4B74502C" w14:textId="77777777" w:rsidR="00F17A0C" w:rsidRPr="00CE4C3C" w:rsidRDefault="00F17A0C" w:rsidP="00CE4C3C">
      <w:pPr>
        <w:spacing w:line="240" w:lineRule="auto"/>
        <w:rPr>
          <w:rFonts w:ascii="Times New Roman" w:eastAsia="Calibri" w:hAnsi="Times New Roman" w:cs="Times New Roman"/>
        </w:rPr>
      </w:pPr>
    </w:p>
    <w:p w14:paraId="483490BC"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Apytikriai pusei </w:t>
      </w:r>
      <w:proofErr w:type="spellStart"/>
      <w:r w:rsidRPr="00CE4C3C">
        <w:rPr>
          <w:rFonts w:ascii="Times New Roman" w:eastAsia="Calibri" w:hAnsi="Times New Roman" w:cs="Times New Roman"/>
        </w:rPr>
        <w:t>solidiniais</w:t>
      </w:r>
      <w:proofErr w:type="spellEnd"/>
      <w:r w:rsidRPr="00CE4C3C">
        <w:rPr>
          <w:rFonts w:ascii="Times New Roman" w:eastAsia="Calibri" w:hAnsi="Times New Roman" w:cs="Times New Roman"/>
        </w:rPr>
        <w:t xml:space="preserve"> navikais sirgusių pacientų, patyrusių kraujavimo sutrikimų, kraujavimas iš nosies buvo dažniausia nepageidaujama reakcija. Kai kurie šių kraujavimo iš nosies atvejai buvo sunkūs, bet labai retai mirtini. </w:t>
      </w:r>
    </w:p>
    <w:p w14:paraId="23A16A98" w14:textId="77777777" w:rsidR="00F17A0C" w:rsidRPr="00CE4C3C" w:rsidRDefault="00F17A0C" w:rsidP="00CE4C3C">
      <w:pPr>
        <w:spacing w:line="240" w:lineRule="auto"/>
        <w:rPr>
          <w:rFonts w:ascii="Times New Roman" w:eastAsia="Calibri" w:hAnsi="Times New Roman" w:cs="Times New Roman"/>
        </w:rPr>
      </w:pPr>
    </w:p>
    <w:p w14:paraId="02830B16"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lastRenderedPageBreak/>
        <w:t>Buvo pranešta apie kraujavimo iš naviko reiškinius, kartais susijusius su naviko nekroze, kai kurie kraujavimo reiškiniai buvo mirtini.</w:t>
      </w:r>
    </w:p>
    <w:p w14:paraId="784CF181" w14:textId="77777777" w:rsidR="00F17A0C" w:rsidRPr="00CE4C3C" w:rsidRDefault="00F17A0C" w:rsidP="00CE4C3C">
      <w:pPr>
        <w:spacing w:line="240" w:lineRule="auto"/>
        <w:rPr>
          <w:rFonts w:ascii="Times New Roman" w:eastAsia="Calibri" w:hAnsi="Times New Roman" w:cs="Times New Roman"/>
        </w:rPr>
      </w:pPr>
    </w:p>
    <w:p w14:paraId="3AD9C9A4"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Kraujavimas iš naviko gali prasidėti staiga, o plaučių naviko atveju būti sunkus ir sukelti gyvybei pavojingą skrepliavimą krauju ar kraujavimą iš plaučių. Kraujavimo iš plaučių atvejai, kai kurie iš jų buvo mirtini, buvo nustatyti klinikinių tyrimų metu ir po vaistinio preparato pate</w:t>
      </w:r>
      <w:r w:rsidR="001779FF">
        <w:rPr>
          <w:rFonts w:ascii="Times New Roman" w:eastAsia="Calibri" w:hAnsi="Times New Roman" w:cs="Times New Roman"/>
        </w:rPr>
        <w:t>i</w:t>
      </w:r>
      <w:r w:rsidRPr="00CE4C3C">
        <w:rPr>
          <w:rFonts w:ascii="Times New Roman" w:eastAsia="Calibri" w:hAnsi="Times New Roman" w:cs="Times New Roman"/>
        </w:rPr>
        <w:t xml:space="preserve">kimo į rinką buvo pranešta apie tokius atvejus pacientams, gydytiems sunitinibu nuo MILK, GIST ir plaučių vėžio. </w:t>
      </w:r>
      <w:r w:rsidR="005F5F39" w:rsidRPr="00CE4C3C">
        <w:rPr>
          <w:rFonts w:ascii="Times New Roman" w:eastAsia="Calibri" w:hAnsi="Times New Roman" w:cs="Times New Roman"/>
        </w:rPr>
        <w:t>Klertis</w:t>
      </w:r>
      <w:r w:rsidRPr="00CE4C3C">
        <w:rPr>
          <w:rFonts w:ascii="Times New Roman" w:eastAsia="Calibri" w:hAnsi="Times New Roman" w:cs="Times New Roman"/>
        </w:rPr>
        <w:t xml:space="preserve"> nėra įteisintas plaučių vėžio gydymui. </w:t>
      </w:r>
    </w:p>
    <w:p w14:paraId="50197903" w14:textId="77777777" w:rsidR="00F17A0C" w:rsidRPr="00CE4C3C" w:rsidRDefault="00F17A0C" w:rsidP="00CE4C3C">
      <w:pPr>
        <w:spacing w:line="240" w:lineRule="auto"/>
        <w:rPr>
          <w:rFonts w:ascii="Times New Roman" w:eastAsia="Calibri" w:hAnsi="Times New Roman" w:cs="Times New Roman"/>
        </w:rPr>
      </w:pPr>
    </w:p>
    <w:p w14:paraId="7C443929" w14:textId="139A420A"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Pacientai, kuriems kartu taikomas gydymas antikoaguliantais (pvz.: </w:t>
      </w:r>
      <w:proofErr w:type="spellStart"/>
      <w:r w:rsidRPr="00CE4C3C">
        <w:rPr>
          <w:rFonts w:ascii="Times New Roman" w:eastAsia="Calibri" w:hAnsi="Times New Roman" w:cs="Times New Roman"/>
        </w:rPr>
        <w:t>varfarinu</w:t>
      </w:r>
      <w:proofErr w:type="spellEnd"/>
      <w:r w:rsidRPr="00CE4C3C">
        <w:rPr>
          <w:rFonts w:ascii="Times New Roman" w:eastAsia="Calibri" w:hAnsi="Times New Roman" w:cs="Times New Roman"/>
        </w:rPr>
        <w:t xml:space="preserve">, </w:t>
      </w:r>
      <w:proofErr w:type="spellStart"/>
      <w:r w:rsidRPr="00CE4C3C">
        <w:rPr>
          <w:rFonts w:ascii="Times New Roman" w:eastAsia="Calibri" w:hAnsi="Times New Roman" w:cs="Times New Roman"/>
        </w:rPr>
        <w:t>acenokumaroliu</w:t>
      </w:r>
      <w:proofErr w:type="spellEnd"/>
      <w:r w:rsidRPr="00CE4C3C">
        <w:rPr>
          <w:rFonts w:ascii="Times New Roman" w:eastAsia="Calibri" w:hAnsi="Times New Roman" w:cs="Times New Roman"/>
        </w:rPr>
        <w:t>), gali būti periodiškai stebimi pagal bendro kraujo tyrimo (</w:t>
      </w:r>
      <w:r w:rsidR="001779FF">
        <w:rPr>
          <w:rFonts w:ascii="Times New Roman" w:eastAsia="Calibri" w:hAnsi="Times New Roman" w:cs="Times New Roman"/>
        </w:rPr>
        <w:t>trombocitų</w:t>
      </w:r>
      <w:r w:rsidRPr="00CE4C3C">
        <w:rPr>
          <w:rFonts w:ascii="Times New Roman" w:eastAsia="Calibri" w:hAnsi="Times New Roman" w:cs="Times New Roman"/>
        </w:rPr>
        <w:t xml:space="preserve">), krešėjimo faktorių </w:t>
      </w:r>
      <w:r w:rsidR="007F3479" w:rsidRPr="00CE4C3C">
        <w:rPr>
          <w:rFonts w:ascii="Times New Roman" w:eastAsia="Calibri" w:hAnsi="Times New Roman" w:cs="Times New Roman"/>
        </w:rPr>
        <w:t>–</w:t>
      </w:r>
      <w:r w:rsidRPr="00CE4C3C">
        <w:rPr>
          <w:rFonts w:ascii="Times New Roman" w:eastAsia="Calibri" w:hAnsi="Times New Roman" w:cs="Times New Roman"/>
        </w:rPr>
        <w:t xml:space="preserve"> </w:t>
      </w:r>
      <w:proofErr w:type="spellStart"/>
      <w:r w:rsidRPr="00CE4C3C">
        <w:rPr>
          <w:rFonts w:ascii="Times New Roman" w:eastAsia="Calibri" w:hAnsi="Times New Roman" w:cs="Times New Roman"/>
        </w:rPr>
        <w:t>protrombino</w:t>
      </w:r>
      <w:proofErr w:type="spellEnd"/>
      <w:r w:rsidRPr="00CE4C3C">
        <w:rPr>
          <w:rFonts w:ascii="Times New Roman" w:eastAsia="Calibri" w:hAnsi="Times New Roman" w:cs="Times New Roman"/>
        </w:rPr>
        <w:t xml:space="preserve"> laiko</w:t>
      </w:r>
      <w:r w:rsidR="001779FF">
        <w:rPr>
          <w:rFonts w:ascii="Times New Roman" w:eastAsia="Calibri" w:hAnsi="Times New Roman" w:cs="Times New Roman"/>
        </w:rPr>
        <w:t> </w:t>
      </w:r>
      <w:r w:rsidRPr="00CE4C3C">
        <w:rPr>
          <w:rFonts w:ascii="Times New Roman" w:eastAsia="Calibri" w:hAnsi="Times New Roman" w:cs="Times New Roman"/>
        </w:rPr>
        <w:t>/</w:t>
      </w:r>
      <w:r w:rsidR="001779FF">
        <w:rPr>
          <w:rFonts w:ascii="Times New Roman" w:eastAsia="Calibri" w:hAnsi="Times New Roman" w:cs="Times New Roman"/>
        </w:rPr>
        <w:t> </w:t>
      </w:r>
      <w:r w:rsidRPr="00CE4C3C">
        <w:rPr>
          <w:rFonts w:ascii="Times New Roman" w:eastAsia="Calibri" w:hAnsi="Times New Roman" w:cs="Times New Roman"/>
        </w:rPr>
        <w:t>tarptautinio normalizuoto santykio (PL</w:t>
      </w:r>
      <w:r w:rsidR="001779FF">
        <w:rPr>
          <w:rFonts w:ascii="Times New Roman" w:eastAsia="Calibri" w:hAnsi="Times New Roman" w:cs="Times New Roman"/>
        </w:rPr>
        <w:t> </w:t>
      </w:r>
      <w:r w:rsidRPr="00CE4C3C">
        <w:rPr>
          <w:rFonts w:ascii="Times New Roman" w:eastAsia="Calibri" w:hAnsi="Times New Roman" w:cs="Times New Roman"/>
        </w:rPr>
        <w:t>/</w:t>
      </w:r>
      <w:r w:rsidR="001779FF">
        <w:rPr>
          <w:rFonts w:ascii="Times New Roman" w:eastAsia="Calibri" w:hAnsi="Times New Roman" w:cs="Times New Roman"/>
        </w:rPr>
        <w:t> </w:t>
      </w:r>
      <w:r w:rsidRPr="00CE4C3C">
        <w:rPr>
          <w:rFonts w:ascii="Times New Roman" w:eastAsia="Calibri" w:hAnsi="Times New Roman" w:cs="Times New Roman"/>
        </w:rPr>
        <w:t xml:space="preserve">TNS) bei gydytojo patikrinimų duomenis. </w:t>
      </w:r>
    </w:p>
    <w:p w14:paraId="6051C843" w14:textId="77777777" w:rsidR="00F17A0C" w:rsidRPr="00CE4C3C" w:rsidRDefault="00F17A0C" w:rsidP="00CE4C3C">
      <w:pPr>
        <w:spacing w:line="240" w:lineRule="auto"/>
        <w:rPr>
          <w:rFonts w:ascii="Times New Roman" w:eastAsia="Calibri" w:hAnsi="Times New Roman" w:cs="Times New Roman"/>
          <w:u w:val="single"/>
        </w:rPr>
      </w:pPr>
    </w:p>
    <w:p w14:paraId="3C7CA19C" w14:textId="77777777" w:rsidR="00F17A0C" w:rsidRPr="00CE4C3C" w:rsidRDefault="00F17A0C"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 xml:space="preserve">Virškinimo trakto sutrikimai </w:t>
      </w:r>
    </w:p>
    <w:p w14:paraId="1450AD66"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Dažniausiai pasireiškusios virškinimo trakto nepageidaujamos reakcijos buvo viduriavimas, pykinimas arba vėmimas, pilvo skausmas, dispepsija ir stomatitas bei burnos skausmas. Buvo taip pat pranešta ir apie </w:t>
      </w:r>
      <w:proofErr w:type="spellStart"/>
      <w:r w:rsidRPr="00CE4C3C">
        <w:rPr>
          <w:rFonts w:ascii="Times New Roman" w:eastAsia="Calibri" w:hAnsi="Times New Roman" w:cs="Times New Roman"/>
        </w:rPr>
        <w:t>ezofagito</w:t>
      </w:r>
      <w:proofErr w:type="spellEnd"/>
      <w:r w:rsidRPr="00CE4C3C">
        <w:rPr>
          <w:rFonts w:ascii="Times New Roman" w:eastAsia="Calibri" w:hAnsi="Times New Roman" w:cs="Times New Roman"/>
        </w:rPr>
        <w:t xml:space="preserve"> atvejus (žr. 4.8 skyrių).</w:t>
      </w:r>
    </w:p>
    <w:p w14:paraId="7618DFB8" w14:textId="77777777" w:rsidR="00F17A0C" w:rsidRPr="00CE4C3C" w:rsidRDefault="00F17A0C" w:rsidP="00CE4C3C">
      <w:pPr>
        <w:spacing w:line="240" w:lineRule="auto"/>
        <w:rPr>
          <w:rFonts w:ascii="Times New Roman" w:eastAsia="Calibri" w:hAnsi="Times New Roman" w:cs="Times New Roman"/>
        </w:rPr>
      </w:pPr>
    </w:p>
    <w:p w14:paraId="334B827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Nepageidaujamos virškinimo trakto reakcijos gydomos pagalbinėmis priemonėmis, įskaitant vaistinius preparatus, kurie pasižymi vėmimą, viduriavimą ar rūgštingumą slopinančiomis savybėmis.</w:t>
      </w:r>
    </w:p>
    <w:p w14:paraId="72D9DDEF" w14:textId="77777777" w:rsidR="00F17A0C" w:rsidRPr="00CE4C3C" w:rsidRDefault="00F17A0C" w:rsidP="00CE4C3C">
      <w:pPr>
        <w:spacing w:line="240" w:lineRule="auto"/>
        <w:rPr>
          <w:rFonts w:ascii="Times New Roman" w:eastAsia="Calibri" w:hAnsi="Times New Roman" w:cs="Times New Roman"/>
        </w:rPr>
      </w:pPr>
    </w:p>
    <w:p w14:paraId="2B240293" w14:textId="1FE43966"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Gauta pranešimų apie sunkius, kartais mirtinus virškinimo trakto sutrikimus, įskaitant virškinimo trakto </w:t>
      </w:r>
      <w:r w:rsidR="001779FF">
        <w:rPr>
          <w:rFonts w:ascii="Times New Roman" w:eastAsia="Calibri" w:hAnsi="Times New Roman" w:cs="Times New Roman"/>
        </w:rPr>
        <w:t>perforaciją</w:t>
      </w:r>
      <w:r w:rsidRPr="00CE4C3C">
        <w:rPr>
          <w:rFonts w:ascii="Times New Roman" w:eastAsia="Calibri" w:hAnsi="Times New Roman" w:cs="Times New Roman"/>
        </w:rPr>
        <w:t xml:space="preserve">, sunitinibu gydytiems pacientams, sergantiems piktybinėmis pilvo organų ligomis. </w:t>
      </w:r>
    </w:p>
    <w:p w14:paraId="1F8398D9" w14:textId="77777777" w:rsidR="00F17A0C" w:rsidRPr="00CE4C3C" w:rsidRDefault="00F17A0C" w:rsidP="00CE4C3C">
      <w:pPr>
        <w:spacing w:line="240" w:lineRule="auto"/>
        <w:rPr>
          <w:rFonts w:ascii="Times New Roman" w:eastAsia="Calibri" w:hAnsi="Times New Roman" w:cs="Times New Roman"/>
        </w:rPr>
      </w:pPr>
    </w:p>
    <w:p w14:paraId="168B6F56" w14:textId="77777777" w:rsidR="00F17A0C" w:rsidRPr="00CE4C3C" w:rsidRDefault="00F17A0C"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 xml:space="preserve">Hipertenzija </w:t>
      </w:r>
    </w:p>
    <w:p w14:paraId="7E3AFA0C"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Gauta pranešimų apie hipertenziją, įskaitant sunkią hipertenziją (</w:t>
      </w:r>
      <w:proofErr w:type="spellStart"/>
      <w:r w:rsidRPr="00CE4C3C">
        <w:rPr>
          <w:rFonts w:ascii="Times New Roman" w:eastAsia="Calibri" w:hAnsi="Times New Roman" w:cs="Times New Roman"/>
        </w:rPr>
        <w:t>sistolinis</w:t>
      </w:r>
      <w:proofErr w:type="spellEnd"/>
      <w:r w:rsidRPr="00CE4C3C">
        <w:rPr>
          <w:rFonts w:ascii="Times New Roman" w:eastAsia="Calibri" w:hAnsi="Times New Roman" w:cs="Times New Roman"/>
        </w:rPr>
        <w:t xml:space="preserve"> kraujo spaudimas</w:t>
      </w:r>
      <w:r w:rsidR="007F3479" w:rsidRPr="00CE4C3C">
        <w:rPr>
          <w:rFonts w:ascii="Times New Roman" w:eastAsia="Calibri" w:hAnsi="Times New Roman" w:cs="Times New Roman"/>
        </w:rPr>
        <w:t> </w:t>
      </w:r>
      <w:r w:rsidRPr="00CE4C3C">
        <w:rPr>
          <w:rFonts w:ascii="Times New Roman" w:eastAsia="Calibri" w:hAnsi="Times New Roman" w:cs="Times New Roman"/>
        </w:rPr>
        <w:t>&gt;200 mm </w:t>
      </w:r>
      <w:proofErr w:type="spellStart"/>
      <w:r w:rsidRPr="00CE4C3C">
        <w:rPr>
          <w:rFonts w:ascii="Times New Roman" w:eastAsia="Calibri" w:hAnsi="Times New Roman" w:cs="Times New Roman"/>
        </w:rPr>
        <w:t>Hg</w:t>
      </w:r>
      <w:proofErr w:type="spellEnd"/>
      <w:r w:rsidRPr="00CE4C3C">
        <w:rPr>
          <w:rFonts w:ascii="Times New Roman" w:eastAsia="Calibri" w:hAnsi="Times New Roman" w:cs="Times New Roman"/>
        </w:rPr>
        <w:t xml:space="preserve"> arba </w:t>
      </w:r>
      <w:proofErr w:type="spellStart"/>
      <w:r w:rsidRPr="00CE4C3C">
        <w:rPr>
          <w:rFonts w:ascii="Times New Roman" w:eastAsia="Calibri" w:hAnsi="Times New Roman" w:cs="Times New Roman"/>
        </w:rPr>
        <w:t>diastolinis</w:t>
      </w:r>
      <w:proofErr w:type="spellEnd"/>
      <w:r w:rsidRPr="00CE4C3C">
        <w:rPr>
          <w:rFonts w:ascii="Times New Roman" w:eastAsia="Calibri" w:hAnsi="Times New Roman" w:cs="Times New Roman"/>
        </w:rPr>
        <w:t xml:space="preserve"> 110 mm </w:t>
      </w:r>
      <w:proofErr w:type="spellStart"/>
      <w:r w:rsidRPr="00CE4C3C">
        <w:rPr>
          <w:rFonts w:ascii="Times New Roman" w:eastAsia="Calibri" w:hAnsi="Times New Roman" w:cs="Times New Roman"/>
        </w:rPr>
        <w:t>Hg</w:t>
      </w:r>
      <w:proofErr w:type="spellEnd"/>
      <w:r w:rsidRPr="00CE4C3C">
        <w:rPr>
          <w:rFonts w:ascii="Times New Roman" w:eastAsia="Calibri" w:hAnsi="Times New Roman" w:cs="Times New Roman"/>
        </w:rPr>
        <w:t>), susijusią su sunitinibo vartojimu. Pacientai turi būti patikrinti dėl hipertenzijos ir tinkamai kontroliuojami.</w:t>
      </w:r>
    </w:p>
    <w:p w14:paraId="3797AD53"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Jeigu hipertenzija sunki ir jos sureguliuoti vaistiniais preparatais nepavyksta, rekomenduojama laikinai gydymą nutraukti. Gydymą galima atnaujinti tik tada, kai hipertenzija tinkamai kontroliuojama (žr. 4.8 skyrių).</w:t>
      </w:r>
    </w:p>
    <w:p w14:paraId="50E11282" w14:textId="77777777" w:rsidR="00F17A0C" w:rsidRPr="00CE4C3C" w:rsidRDefault="00F17A0C" w:rsidP="00CE4C3C">
      <w:pPr>
        <w:spacing w:line="240" w:lineRule="auto"/>
        <w:rPr>
          <w:rFonts w:ascii="Times New Roman" w:eastAsia="Calibri" w:hAnsi="Times New Roman" w:cs="Times New Roman"/>
        </w:rPr>
      </w:pPr>
    </w:p>
    <w:p w14:paraId="658FD865" w14:textId="77777777" w:rsidR="00F17A0C" w:rsidRPr="00CE4C3C" w:rsidRDefault="00F17A0C"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Kraujodaros sutrikimai</w:t>
      </w:r>
    </w:p>
    <w:p w14:paraId="5A6D8C5B" w14:textId="2E4979EE"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Buvo praneštas apie bendrojo </w:t>
      </w:r>
      <w:proofErr w:type="spellStart"/>
      <w:r w:rsidRPr="00CE4C3C">
        <w:rPr>
          <w:rFonts w:ascii="Times New Roman" w:eastAsia="Calibri" w:hAnsi="Times New Roman" w:cs="Times New Roman"/>
        </w:rPr>
        <w:t>neutrofilų</w:t>
      </w:r>
      <w:proofErr w:type="spellEnd"/>
      <w:r w:rsidRPr="00CE4C3C">
        <w:rPr>
          <w:rFonts w:ascii="Times New Roman" w:eastAsia="Calibri" w:hAnsi="Times New Roman" w:cs="Times New Roman"/>
        </w:rPr>
        <w:t xml:space="preserve"> </w:t>
      </w:r>
      <w:r w:rsidR="00290353">
        <w:rPr>
          <w:rFonts w:ascii="Times New Roman" w:eastAsia="Calibri" w:hAnsi="Times New Roman" w:cs="Times New Roman"/>
        </w:rPr>
        <w:t>skaičiaus</w:t>
      </w:r>
      <w:r w:rsidRPr="00CE4C3C">
        <w:rPr>
          <w:rFonts w:ascii="Times New Roman" w:eastAsia="Calibri" w:hAnsi="Times New Roman" w:cs="Times New Roman"/>
        </w:rPr>
        <w:t xml:space="preserve"> ir trombocitų </w:t>
      </w:r>
      <w:r w:rsidR="00290353">
        <w:rPr>
          <w:rFonts w:ascii="Times New Roman" w:eastAsia="Calibri" w:hAnsi="Times New Roman" w:cs="Times New Roman"/>
        </w:rPr>
        <w:t>skaičiaus</w:t>
      </w:r>
      <w:r w:rsidRPr="00CE4C3C">
        <w:rPr>
          <w:rFonts w:ascii="Times New Roman" w:eastAsia="Calibri" w:hAnsi="Times New Roman" w:cs="Times New Roman"/>
        </w:rPr>
        <w:t xml:space="preserve"> sumažėjimą, susijusį su sunitinibo vartojimu (žr. 4.8 skyrių). Minėtų reiškinių nedaugėjo, paprastai jie buvo laikini ir dažniausiai gydymo dėl jų nutraukti neprireikė. Trečios fazės tyrimų duomenimis, nei vienas šių reiškinių nebuvo mirtinas, bet po vaistinio preparato pate</w:t>
      </w:r>
      <w:r w:rsidR="00290353">
        <w:rPr>
          <w:rFonts w:ascii="Times New Roman" w:eastAsia="Calibri" w:hAnsi="Times New Roman" w:cs="Times New Roman"/>
        </w:rPr>
        <w:t>i</w:t>
      </w:r>
      <w:r w:rsidRPr="00CE4C3C">
        <w:rPr>
          <w:rFonts w:ascii="Times New Roman" w:eastAsia="Calibri" w:hAnsi="Times New Roman" w:cs="Times New Roman"/>
        </w:rPr>
        <w:t xml:space="preserve">kimo į rinką retais atvejais pasireiškė mirtinų kraujodaros sutrikimų, įskaitant kraujavimą, susijusį su </w:t>
      </w:r>
      <w:proofErr w:type="spellStart"/>
      <w:r w:rsidRPr="00CE4C3C">
        <w:rPr>
          <w:rFonts w:ascii="Times New Roman" w:eastAsia="Calibri" w:hAnsi="Times New Roman" w:cs="Times New Roman"/>
        </w:rPr>
        <w:t>trombocitopenija</w:t>
      </w:r>
      <w:proofErr w:type="spellEnd"/>
      <w:r w:rsidRPr="00CE4C3C">
        <w:rPr>
          <w:rFonts w:ascii="Times New Roman" w:eastAsia="Calibri" w:hAnsi="Times New Roman" w:cs="Times New Roman"/>
        </w:rPr>
        <w:t xml:space="preserve">, ir su </w:t>
      </w:r>
      <w:proofErr w:type="spellStart"/>
      <w:r w:rsidRPr="00CE4C3C">
        <w:rPr>
          <w:rFonts w:ascii="Times New Roman" w:eastAsia="Calibri" w:hAnsi="Times New Roman" w:cs="Times New Roman"/>
        </w:rPr>
        <w:t>neutropenija</w:t>
      </w:r>
      <w:proofErr w:type="spellEnd"/>
      <w:r w:rsidRPr="00CE4C3C">
        <w:rPr>
          <w:rFonts w:ascii="Times New Roman" w:eastAsia="Calibri" w:hAnsi="Times New Roman" w:cs="Times New Roman"/>
        </w:rPr>
        <w:t xml:space="preserve"> susijusias infekcijas.</w:t>
      </w:r>
    </w:p>
    <w:p w14:paraId="37AE6DF4"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Gydymo sunitinibu pradžioje, taip pat ir vėliau pasireiškė anemija. </w:t>
      </w:r>
    </w:p>
    <w:p w14:paraId="39BCFCE3"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Pradedant kiekvieną gydymo sunitinibu ciklą, pacientams būtina atlikti bendrą kraujo tyrimą (žr. 4.8</w:t>
      </w:r>
      <w:r w:rsidR="007F3479" w:rsidRPr="00CE4C3C">
        <w:rPr>
          <w:rFonts w:ascii="Times New Roman" w:eastAsia="Calibri" w:hAnsi="Times New Roman" w:cs="Times New Roman"/>
        </w:rPr>
        <w:t> </w:t>
      </w:r>
      <w:r w:rsidRPr="00CE4C3C">
        <w:rPr>
          <w:rFonts w:ascii="Times New Roman" w:eastAsia="Calibri" w:hAnsi="Times New Roman" w:cs="Times New Roman"/>
        </w:rPr>
        <w:t>skyrių).</w:t>
      </w:r>
    </w:p>
    <w:p w14:paraId="223E62BD" w14:textId="77777777" w:rsidR="00F17A0C" w:rsidRPr="00CE4C3C" w:rsidRDefault="00F17A0C" w:rsidP="00CE4C3C">
      <w:pPr>
        <w:spacing w:line="240" w:lineRule="auto"/>
        <w:rPr>
          <w:rFonts w:ascii="Times New Roman" w:eastAsia="Calibri" w:hAnsi="Times New Roman" w:cs="Times New Roman"/>
        </w:rPr>
      </w:pPr>
    </w:p>
    <w:p w14:paraId="4E5EB112" w14:textId="77777777" w:rsidR="00F17A0C" w:rsidRPr="00CE4C3C" w:rsidRDefault="00F17A0C"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Širdies sutrikimai</w:t>
      </w:r>
    </w:p>
    <w:p w14:paraId="21BBD329"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Buvo pranešta, kad sunitinibu gydytiems pacientams pasireiškė širdies ir kraujagyslių reiškinių, įskaitant širdies nepakankamumą, kardiomiopatiją, kairiojo skilvelio išstūmimo frakcijos sumažėjimą žemiau nuo apatinės normos ribos, </w:t>
      </w:r>
      <w:proofErr w:type="spellStart"/>
      <w:r w:rsidRPr="00CE4C3C">
        <w:rPr>
          <w:rFonts w:ascii="Times New Roman" w:eastAsia="Calibri" w:hAnsi="Times New Roman" w:cs="Times New Roman"/>
        </w:rPr>
        <w:t>miokarditą</w:t>
      </w:r>
      <w:proofErr w:type="spellEnd"/>
      <w:r w:rsidRPr="00CE4C3C">
        <w:rPr>
          <w:rFonts w:ascii="Times New Roman" w:eastAsia="Calibri" w:hAnsi="Times New Roman" w:cs="Times New Roman"/>
        </w:rPr>
        <w:t>, miokardo išemiją ir miokardo infarktą, kai kurie iš jų buvo mirtini. Šie duomenys rodo, kad sunitinibas didina kardiomiopatijos riziką. Ypatingų papildomų sunitinibo sukeltos kardiomiopatijos rizikos veiksnių, kitokių nei specifinis vaistinio preparato poveikis, gydytiems pacientams nenustatyta. Pacientams, kuriems yra šių reiškinių pasireiškimo rizika arba kuriems jų buvo pasireiškę anksčiau, sunitinibo reikia vartoti atsargiai (žr. 4.8 skyrių).</w:t>
      </w:r>
    </w:p>
    <w:p w14:paraId="3DA09AA5" w14:textId="77777777" w:rsidR="00F17A0C" w:rsidRPr="00CE4C3C" w:rsidRDefault="00F17A0C" w:rsidP="00CE4C3C">
      <w:pPr>
        <w:spacing w:line="240" w:lineRule="auto"/>
        <w:rPr>
          <w:rFonts w:ascii="Times New Roman" w:eastAsia="Calibri" w:hAnsi="Times New Roman" w:cs="Times New Roman"/>
        </w:rPr>
      </w:pPr>
    </w:p>
    <w:p w14:paraId="5559821C" w14:textId="53D75E66"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Į visus klinikinius sunitinibo tyrimus nebuvo įtraukti pacientai, kuriems per 12</w:t>
      </w:r>
      <w:r w:rsidR="00290353">
        <w:rPr>
          <w:rFonts w:ascii="Times New Roman" w:eastAsia="Calibri" w:hAnsi="Times New Roman" w:cs="Times New Roman"/>
        </w:rPr>
        <w:t> </w:t>
      </w:r>
      <w:r w:rsidRPr="00CE4C3C">
        <w:rPr>
          <w:rFonts w:ascii="Times New Roman" w:eastAsia="Calibri" w:hAnsi="Times New Roman" w:cs="Times New Roman"/>
        </w:rPr>
        <w:t xml:space="preserve">mėnesių prieš pradedant gydyti sunitinibu buvo širdies funkcijos sutrikimų, pavyzdžiui, patirtas miokardo infarktas (įskaitant sunkią ar nestabiliąją krūtinės anginą), atlikta vainikinių ar periferinių arterijų </w:t>
      </w:r>
      <w:proofErr w:type="spellStart"/>
      <w:r w:rsidRPr="00CE4C3C">
        <w:rPr>
          <w:rFonts w:ascii="Times New Roman" w:eastAsia="Calibri" w:hAnsi="Times New Roman" w:cs="Times New Roman"/>
        </w:rPr>
        <w:t>nuosrūvio</w:t>
      </w:r>
      <w:proofErr w:type="spellEnd"/>
      <w:r w:rsidRPr="00CE4C3C">
        <w:rPr>
          <w:rFonts w:ascii="Times New Roman" w:eastAsia="Calibri" w:hAnsi="Times New Roman" w:cs="Times New Roman"/>
        </w:rPr>
        <w:t xml:space="preserve"> operacija, pasireiškė </w:t>
      </w:r>
      <w:proofErr w:type="spellStart"/>
      <w:r w:rsidRPr="00CE4C3C">
        <w:rPr>
          <w:rFonts w:ascii="Times New Roman" w:eastAsia="Calibri" w:hAnsi="Times New Roman" w:cs="Times New Roman"/>
        </w:rPr>
        <w:t>stazinio</w:t>
      </w:r>
      <w:proofErr w:type="spellEnd"/>
      <w:r w:rsidRPr="00CE4C3C">
        <w:rPr>
          <w:rFonts w:ascii="Times New Roman" w:eastAsia="Calibri" w:hAnsi="Times New Roman" w:cs="Times New Roman"/>
        </w:rPr>
        <w:t xml:space="preserve"> širdies nepakankamumo (SŠN) simptomų, smegenų kraujotakos sutrikimas ar praeinantis smegenų išemijos priepuolis, plaučių embolija. Nežinoma, ar pacientams, </w:t>
      </w:r>
      <w:r w:rsidRPr="00CE4C3C">
        <w:rPr>
          <w:rFonts w:ascii="Times New Roman" w:eastAsia="Calibri" w:hAnsi="Times New Roman" w:cs="Times New Roman"/>
        </w:rPr>
        <w:lastRenderedPageBreak/>
        <w:t>kuriems kartu yra minėtų ligų, gali būti didesnė su sunitinibo vartojimu susijusio kairiojo skilvelio funkcijos sutrikimo rizika.</w:t>
      </w:r>
    </w:p>
    <w:p w14:paraId="65E141AA"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0DA0FA4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Gydytojams patariama apsvarstyti, ar šią riziką nusveria galima sunitinibo nauda. Sunitinibo vartojimo laikotarpiu reikia atidžiai stebėti, ar pacientams, ypač tokiems, kuriems yra širdies funkcijos sutrikimo rizikos veiksnių ir (arba) anksčiau yra buvusi išeminė širdies liga, neatsiranda klinikinių stazinio širdies nepakankamumo (SŠN) požymių ir simptomų. Prieš pradedant gydymą ir reguliariai gydymo metu sunitinibo vartojantiems pacientams turi būti apgalvotas KSIF įvertinimas. Pacientams, kuriems nėra širdies funkcijos sutrikimo rizikos veiksnių, turi būti apgalvotas išstūmimo frakcijos įvertinimas prieš pradedant gydymą.</w:t>
      </w:r>
    </w:p>
    <w:p w14:paraId="73ADBE91"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6B74C5E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Pasireiškus SŠN klinikinių simptomų rekomenduojama nutraukti sunitinibo vartojimą. Jeigu nėra SŠN klinikinių požymių nėra, bet išstūmimo frakcija mažesnė nei 50 % ir sumažėjusi daugiau nei 20 %, palyginti su buvusia prieš gydymą, sunitinibo vartojimą reikia pertraukti ir (arba) sumažinti dozę.</w:t>
      </w:r>
    </w:p>
    <w:p w14:paraId="79D8E0E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10389107"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QT intervalo pailgėjimas</w:t>
      </w:r>
    </w:p>
    <w:p w14:paraId="6520794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Sunitinibo veikiamiems pacientams buvo nustatytas QT intervalo pailgėjimas ir </w:t>
      </w:r>
      <w:proofErr w:type="spellStart"/>
      <w:r w:rsidRPr="00CE4C3C">
        <w:rPr>
          <w:rFonts w:ascii="Times New Roman" w:eastAsia="Times New Roman" w:hAnsi="Times New Roman" w:cs="Times New Roman"/>
          <w:i/>
          <w:lang w:eastAsia="lt-LT"/>
        </w:rPr>
        <w:t>torsade</w:t>
      </w:r>
      <w:proofErr w:type="spellEnd"/>
      <w:r w:rsidRPr="00CE4C3C">
        <w:rPr>
          <w:rFonts w:ascii="Times New Roman" w:eastAsia="Times New Roman" w:hAnsi="Times New Roman" w:cs="Times New Roman"/>
          <w:i/>
          <w:lang w:eastAsia="lt-LT"/>
        </w:rPr>
        <w:t xml:space="preserve"> de </w:t>
      </w:r>
      <w:proofErr w:type="spellStart"/>
      <w:r w:rsidRPr="00CE4C3C">
        <w:rPr>
          <w:rFonts w:ascii="Times New Roman" w:eastAsia="Times New Roman" w:hAnsi="Times New Roman" w:cs="Times New Roman"/>
          <w:i/>
          <w:lang w:eastAsia="lt-LT"/>
        </w:rPr>
        <w:t>pointes</w:t>
      </w:r>
      <w:proofErr w:type="spellEnd"/>
      <w:r w:rsidRPr="00CE4C3C">
        <w:rPr>
          <w:rFonts w:ascii="Times New Roman" w:eastAsia="Times New Roman" w:hAnsi="Times New Roman" w:cs="Times New Roman"/>
          <w:lang w:eastAsia="lt-LT"/>
        </w:rPr>
        <w:t xml:space="preserve">. Dėl QT intervalo pailgėjimo gali padidėti </w:t>
      </w:r>
      <w:proofErr w:type="spellStart"/>
      <w:r w:rsidRPr="00CE4C3C">
        <w:rPr>
          <w:rFonts w:ascii="Times New Roman" w:eastAsia="Times New Roman" w:hAnsi="Times New Roman" w:cs="Times New Roman"/>
          <w:lang w:eastAsia="lt-LT"/>
        </w:rPr>
        <w:t>skilvelinių</w:t>
      </w:r>
      <w:proofErr w:type="spellEnd"/>
      <w:r w:rsidRPr="00CE4C3C">
        <w:rPr>
          <w:rFonts w:ascii="Times New Roman" w:eastAsia="Times New Roman" w:hAnsi="Times New Roman" w:cs="Times New Roman"/>
          <w:lang w:eastAsia="lt-LT"/>
        </w:rPr>
        <w:t xml:space="preserve"> aritmijų, įskaitant </w:t>
      </w:r>
      <w:proofErr w:type="spellStart"/>
      <w:r w:rsidRPr="00CE4C3C">
        <w:rPr>
          <w:rFonts w:ascii="Times New Roman" w:eastAsia="Times New Roman" w:hAnsi="Times New Roman" w:cs="Times New Roman"/>
          <w:i/>
          <w:lang w:eastAsia="lt-LT"/>
        </w:rPr>
        <w:t>torsade</w:t>
      </w:r>
      <w:proofErr w:type="spellEnd"/>
      <w:r w:rsidRPr="00CE4C3C">
        <w:rPr>
          <w:rFonts w:ascii="Times New Roman" w:eastAsia="Times New Roman" w:hAnsi="Times New Roman" w:cs="Times New Roman"/>
          <w:i/>
          <w:lang w:eastAsia="lt-LT"/>
        </w:rPr>
        <w:t xml:space="preserve"> de </w:t>
      </w:r>
      <w:proofErr w:type="spellStart"/>
      <w:r w:rsidRPr="00CE4C3C">
        <w:rPr>
          <w:rFonts w:ascii="Times New Roman" w:eastAsia="Times New Roman" w:hAnsi="Times New Roman" w:cs="Times New Roman"/>
          <w:i/>
          <w:lang w:eastAsia="lt-LT"/>
        </w:rPr>
        <w:t>pointes</w:t>
      </w:r>
      <w:proofErr w:type="spellEnd"/>
      <w:r w:rsidRPr="00CE4C3C">
        <w:rPr>
          <w:rFonts w:ascii="Times New Roman" w:eastAsia="Times New Roman" w:hAnsi="Times New Roman" w:cs="Times New Roman"/>
          <w:lang w:eastAsia="lt-LT"/>
        </w:rPr>
        <w:t xml:space="preserve">, rizika. </w:t>
      </w:r>
    </w:p>
    <w:p w14:paraId="29DA9548"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419DACD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Sunitinibo turi būti vartojama atsarg</w:t>
      </w:r>
      <w:r w:rsidR="007F3479" w:rsidRPr="00CE4C3C">
        <w:rPr>
          <w:rFonts w:ascii="Times New Roman" w:eastAsia="Times New Roman" w:hAnsi="Times New Roman" w:cs="Times New Roman"/>
          <w:lang w:eastAsia="lt-LT"/>
        </w:rPr>
        <w:t>i</w:t>
      </w:r>
      <w:r w:rsidRPr="00CE4C3C">
        <w:rPr>
          <w:rFonts w:ascii="Times New Roman" w:eastAsia="Times New Roman" w:hAnsi="Times New Roman" w:cs="Times New Roman"/>
          <w:lang w:eastAsia="lt-LT"/>
        </w:rPr>
        <w:t>ai pacientams, kuriems anksčia</w:t>
      </w:r>
      <w:r w:rsidR="007F3479" w:rsidRPr="00CE4C3C">
        <w:rPr>
          <w:rFonts w:ascii="Times New Roman" w:eastAsia="Times New Roman" w:hAnsi="Times New Roman" w:cs="Times New Roman"/>
          <w:lang w:eastAsia="lt-LT"/>
        </w:rPr>
        <w:t>u</w:t>
      </w:r>
      <w:r w:rsidRPr="00CE4C3C">
        <w:rPr>
          <w:rFonts w:ascii="Times New Roman" w:eastAsia="Times New Roman" w:hAnsi="Times New Roman" w:cs="Times New Roman"/>
          <w:lang w:eastAsia="lt-LT"/>
        </w:rPr>
        <w:t xml:space="preserve"> buvo pailgėjęs QT intervalas, pacientams, kurie vartoja </w:t>
      </w:r>
      <w:proofErr w:type="spellStart"/>
      <w:r w:rsidRPr="00CE4C3C">
        <w:rPr>
          <w:rFonts w:ascii="Times New Roman" w:eastAsia="Times New Roman" w:hAnsi="Times New Roman" w:cs="Times New Roman"/>
          <w:lang w:eastAsia="lt-LT"/>
        </w:rPr>
        <w:t>antiaritminių</w:t>
      </w:r>
      <w:proofErr w:type="spellEnd"/>
      <w:r w:rsidRPr="00CE4C3C">
        <w:rPr>
          <w:rFonts w:ascii="Times New Roman" w:eastAsia="Times New Roman" w:hAnsi="Times New Roman" w:cs="Times New Roman"/>
          <w:lang w:eastAsia="lt-LT"/>
        </w:rPr>
        <w:t xml:space="preserve"> vaistinių preparat</w:t>
      </w:r>
      <w:r w:rsidR="004C6B19" w:rsidRPr="00CE4C3C">
        <w:rPr>
          <w:rFonts w:ascii="Times New Roman" w:eastAsia="Times New Roman" w:hAnsi="Times New Roman" w:cs="Times New Roman"/>
          <w:lang w:eastAsia="lt-LT"/>
        </w:rPr>
        <w:t>ų</w:t>
      </w:r>
      <w:r w:rsidRPr="00CE4C3C">
        <w:rPr>
          <w:rFonts w:ascii="Times New Roman" w:eastAsia="Times New Roman" w:hAnsi="Times New Roman" w:cs="Times New Roman"/>
          <w:lang w:eastAsia="lt-LT"/>
        </w:rPr>
        <w:t xml:space="preserve"> arba vaistinių preparatų, galinčių ilginti QT intervalą arba pacientams, kuriems iš anksčiau yra reikšminga širdies liga, bradikardija ar sutrikusi elektrolitų pusiausvyra. Turi būti ribojama sunitinibo vartojimas kartu su stipriais CYP3A4 inhibitoriais, nes gali padidėti sunitinibo koncentracija plazmoje (žr. 4.2, 4.5 ir 4.8 skyrius).</w:t>
      </w:r>
    </w:p>
    <w:p w14:paraId="58FDA5F3"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15D44B4C"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Venų tromboembolijos reiškiniai</w:t>
      </w:r>
      <w:r w:rsidR="004C6B19" w:rsidRPr="00CE4C3C">
        <w:rPr>
          <w:rFonts w:ascii="Times New Roman" w:eastAsia="Times New Roman" w:hAnsi="Times New Roman" w:cs="Times New Roman"/>
          <w:u w:val="single"/>
          <w:lang w:eastAsia="lt-LT"/>
        </w:rPr>
        <w:t xml:space="preserve"> (VTE)</w:t>
      </w:r>
    </w:p>
    <w:p w14:paraId="0C596B4B"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Buvo praneštas apie su gydymu susijusius venų tromboembolijos reiškinius, įskaitant giliųjų venų trombozę ir plaučių emboliją, sunitinibo vartojusiems pacientams (žr. 4.8 skyrių). Po vaistinio preparato pateikimo į rinką nustatyta mirtimi pasibaigusių plaučių embolijos atvejų.</w:t>
      </w:r>
    </w:p>
    <w:p w14:paraId="5D75D710"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0CC87135"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Arterijų tromboembolijos reiškiniai</w:t>
      </w:r>
      <w:r w:rsidR="004C6B19" w:rsidRPr="00CE4C3C">
        <w:rPr>
          <w:rFonts w:ascii="Times New Roman" w:eastAsia="Times New Roman" w:hAnsi="Times New Roman" w:cs="Times New Roman"/>
          <w:u w:val="single"/>
          <w:lang w:eastAsia="lt-LT"/>
        </w:rPr>
        <w:t xml:space="preserve"> (ATE)</w:t>
      </w:r>
    </w:p>
    <w:p w14:paraId="00ABC36B" w14:textId="30D9F9E1"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Gauta pranešimų apie arterijų tromboembolijos reiškinius, kartais pasibaigusius mirtimi sunitinibu gydytiems pacientams. Dažniausi reiškiniai buvo </w:t>
      </w:r>
      <w:proofErr w:type="spellStart"/>
      <w:r w:rsidRPr="00CE4C3C">
        <w:rPr>
          <w:rFonts w:ascii="Times New Roman" w:eastAsia="Times New Roman" w:hAnsi="Times New Roman" w:cs="Times New Roman"/>
          <w:lang w:eastAsia="lt-LT"/>
        </w:rPr>
        <w:t>cerebrovaskulinis</w:t>
      </w:r>
      <w:proofErr w:type="spellEnd"/>
      <w:r w:rsidRPr="00CE4C3C">
        <w:rPr>
          <w:rFonts w:ascii="Times New Roman" w:eastAsia="Times New Roman" w:hAnsi="Times New Roman" w:cs="Times New Roman"/>
          <w:lang w:eastAsia="lt-LT"/>
        </w:rPr>
        <w:t xml:space="preserve"> priepuolis, praeinantis smegenų išemijos priepuolis ir smegenų infarktas. Be pagrindinės piktybinės ligos ir 65</w:t>
      </w:r>
      <w:r w:rsidR="00290353">
        <w:rPr>
          <w:rFonts w:ascii="Times New Roman" w:eastAsia="Times New Roman" w:hAnsi="Times New Roman" w:cs="Times New Roman"/>
          <w:lang w:eastAsia="lt-LT"/>
        </w:rPr>
        <w:t> </w:t>
      </w:r>
      <w:r w:rsidRPr="00CE4C3C">
        <w:rPr>
          <w:rFonts w:ascii="Times New Roman" w:eastAsia="Times New Roman" w:hAnsi="Times New Roman" w:cs="Times New Roman"/>
          <w:lang w:eastAsia="lt-LT"/>
        </w:rPr>
        <w:t xml:space="preserve">metų arba vyresni, su ATE susiję rizikos veiksniai yra hipertenzija, cukrinis diabetas ir anksčiau buvusi </w:t>
      </w:r>
      <w:proofErr w:type="spellStart"/>
      <w:r w:rsidRPr="00CE4C3C">
        <w:rPr>
          <w:rFonts w:ascii="Times New Roman" w:eastAsia="Times New Roman" w:hAnsi="Times New Roman" w:cs="Times New Roman"/>
          <w:lang w:eastAsia="lt-LT"/>
        </w:rPr>
        <w:t>tromboembolinė</w:t>
      </w:r>
      <w:proofErr w:type="spellEnd"/>
      <w:r w:rsidRPr="00CE4C3C">
        <w:rPr>
          <w:rFonts w:ascii="Times New Roman" w:eastAsia="Times New Roman" w:hAnsi="Times New Roman" w:cs="Times New Roman"/>
          <w:lang w:eastAsia="lt-LT"/>
        </w:rPr>
        <w:t xml:space="preserve"> liga.</w:t>
      </w:r>
    </w:p>
    <w:p w14:paraId="5874861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0948C5E6"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 xml:space="preserve">Aneurizmos ir arterijų </w:t>
      </w:r>
      <w:proofErr w:type="spellStart"/>
      <w:r w:rsidRPr="00CE4C3C">
        <w:rPr>
          <w:rFonts w:ascii="Times New Roman" w:eastAsia="Times New Roman" w:hAnsi="Times New Roman" w:cs="Times New Roman"/>
          <w:u w:val="single"/>
          <w:lang w:eastAsia="lt-LT"/>
        </w:rPr>
        <w:t>disekacijos</w:t>
      </w:r>
      <w:proofErr w:type="spellEnd"/>
    </w:p>
    <w:p w14:paraId="47DCC792"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Calibri" w:hAnsi="Times New Roman" w:cs="Times New Roman"/>
        </w:rPr>
        <w:t xml:space="preserve">Kraujagyslių </w:t>
      </w:r>
      <w:proofErr w:type="spellStart"/>
      <w:r w:rsidRPr="00CE4C3C">
        <w:rPr>
          <w:rFonts w:ascii="Times New Roman" w:eastAsia="Calibri" w:hAnsi="Times New Roman" w:cs="Times New Roman"/>
        </w:rPr>
        <w:t>endotelio</w:t>
      </w:r>
      <w:proofErr w:type="spellEnd"/>
      <w:r w:rsidRPr="00CE4C3C">
        <w:rPr>
          <w:rFonts w:ascii="Times New Roman" w:eastAsia="Calibri" w:hAnsi="Times New Roman" w:cs="Times New Roman"/>
        </w:rPr>
        <w:t xml:space="preserve"> augimo faktoriaus (</w:t>
      </w:r>
      <w:r w:rsidRPr="00CE4C3C">
        <w:rPr>
          <w:rFonts w:ascii="Times New Roman" w:eastAsia="Times New Roman" w:hAnsi="Times New Roman" w:cs="Times New Roman"/>
          <w:lang w:eastAsia="lt-LT"/>
        </w:rPr>
        <w:t xml:space="preserve">KEAF) reakcijų sekos inhibitorių vartojimas gali paskatinti aneurizmų ir (arba) arterijos </w:t>
      </w:r>
      <w:proofErr w:type="spellStart"/>
      <w:r w:rsidRPr="00CE4C3C">
        <w:rPr>
          <w:rFonts w:ascii="Times New Roman" w:eastAsia="Times New Roman" w:hAnsi="Times New Roman" w:cs="Times New Roman"/>
          <w:lang w:eastAsia="lt-LT"/>
        </w:rPr>
        <w:t>disekacijų</w:t>
      </w:r>
      <w:proofErr w:type="spellEnd"/>
      <w:r w:rsidRPr="00CE4C3C">
        <w:rPr>
          <w:rFonts w:ascii="Times New Roman" w:eastAsia="Times New Roman" w:hAnsi="Times New Roman" w:cs="Times New Roman"/>
          <w:lang w:eastAsia="lt-LT"/>
        </w:rPr>
        <w:t xml:space="preserve"> vystymąsi pacientams, kuriems diagnozuota arba nediagnozuota hipertenzija. Prieš pradedant gydyti </w:t>
      </w:r>
      <w:r w:rsidR="005F5F39" w:rsidRPr="00CE4C3C">
        <w:rPr>
          <w:rFonts w:ascii="Times New Roman" w:eastAsia="Times New Roman" w:hAnsi="Times New Roman" w:cs="Times New Roman"/>
          <w:lang w:eastAsia="lt-LT"/>
        </w:rPr>
        <w:t>Klertis</w:t>
      </w:r>
      <w:r w:rsidRPr="00CE4C3C">
        <w:rPr>
          <w:rFonts w:ascii="Times New Roman" w:eastAsia="Times New Roman" w:hAnsi="Times New Roman" w:cs="Times New Roman"/>
          <w:lang w:eastAsia="lt-LT"/>
        </w:rPr>
        <w:t xml:space="preserve">, reikia atidžiai įvertinti šią riziką pacientams, kuriems nustatyta tokių rizikos veiksnių, kaip hipertenzija arba anksčiau nustatyta aortos aneurizma. </w:t>
      </w:r>
    </w:p>
    <w:p w14:paraId="7BE0FCA9"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p>
    <w:p w14:paraId="0149CA52"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 xml:space="preserve">Trombinė </w:t>
      </w:r>
      <w:proofErr w:type="spellStart"/>
      <w:r w:rsidRPr="00CE4C3C">
        <w:rPr>
          <w:rFonts w:ascii="Times New Roman" w:eastAsia="Times New Roman" w:hAnsi="Times New Roman" w:cs="Times New Roman"/>
          <w:u w:val="single"/>
          <w:lang w:eastAsia="lt-LT"/>
        </w:rPr>
        <w:t>mikroangiopatija</w:t>
      </w:r>
      <w:proofErr w:type="spellEnd"/>
      <w:r w:rsidRPr="00CE4C3C">
        <w:rPr>
          <w:rFonts w:ascii="Times New Roman" w:eastAsia="Times New Roman" w:hAnsi="Times New Roman" w:cs="Times New Roman"/>
          <w:u w:val="single"/>
          <w:lang w:eastAsia="lt-LT"/>
        </w:rPr>
        <w:t xml:space="preserve"> (TMA)</w:t>
      </w:r>
    </w:p>
    <w:p w14:paraId="06E36710"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Pasireiškus hemolizinei anemijai, </w:t>
      </w:r>
      <w:proofErr w:type="spellStart"/>
      <w:r w:rsidRPr="00CE4C3C">
        <w:rPr>
          <w:rFonts w:ascii="Times New Roman" w:eastAsia="Times New Roman" w:hAnsi="Times New Roman" w:cs="Times New Roman"/>
          <w:lang w:eastAsia="lt-LT"/>
        </w:rPr>
        <w:t>trombocitopenijai</w:t>
      </w:r>
      <w:proofErr w:type="spellEnd"/>
      <w:r w:rsidRPr="00CE4C3C">
        <w:rPr>
          <w:rFonts w:ascii="Times New Roman" w:eastAsia="Times New Roman" w:hAnsi="Times New Roman" w:cs="Times New Roman"/>
          <w:lang w:eastAsia="lt-LT"/>
        </w:rPr>
        <w:t>, nuovargiui, nepastoviai neurologinei būsenai, inkstų</w:t>
      </w:r>
      <w:r w:rsidR="00290353">
        <w:rPr>
          <w:rFonts w:ascii="Times New Roman" w:eastAsia="Times New Roman" w:hAnsi="Times New Roman" w:cs="Times New Roman"/>
          <w:lang w:eastAsia="lt-LT"/>
        </w:rPr>
        <w:t xml:space="preserve"> funkcijos</w:t>
      </w:r>
      <w:r w:rsidRPr="00CE4C3C">
        <w:rPr>
          <w:rFonts w:ascii="Times New Roman" w:eastAsia="Times New Roman" w:hAnsi="Times New Roman" w:cs="Times New Roman"/>
          <w:lang w:eastAsia="lt-LT"/>
        </w:rPr>
        <w:t xml:space="preserve"> sutrikimui ir karščiavimui, turi būti apsvarstyta TMA, įskaitant trombinę </w:t>
      </w:r>
      <w:proofErr w:type="spellStart"/>
      <w:r w:rsidRPr="00CE4C3C">
        <w:rPr>
          <w:rFonts w:ascii="Times New Roman" w:eastAsia="Times New Roman" w:hAnsi="Times New Roman" w:cs="Times New Roman"/>
          <w:lang w:eastAsia="lt-LT"/>
        </w:rPr>
        <w:t>trombocitopeninę</w:t>
      </w:r>
      <w:proofErr w:type="spellEnd"/>
      <w:r w:rsidRPr="00CE4C3C">
        <w:rPr>
          <w:rFonts w:ascii="Times New Roman" w:eastAsia="Times New Roman" w:hAnsi="Times New Roman" w:cs="Times New Roman"/>
          <w:lang w:eastAsia="lt-LT"/>
        </w:rPr>
        <w:t xml:space="preserve"> purpurą (TTP) ir hemolizinį </w:t>
      </w:r>
      <w:proofErr w:type="spellStart"/>
      <w:r w:rsidRPr="00CE4C3C">
        <w:rPr>
          <w:rFonts w:ascii="Times New Roman" w:eastAsia="Times New Roman" w:hAnsi="Times New Roman" w:cs="Times New Roman"/>
          <w:lang w:eastAsia="lt-LT"/>
        </w:rPr>
        <w:t>ureminį</w:t>
      </w:r>
      <w:proofErr w:type="spellEnd"/>
      <w:r w:rsidRPr="00CE4C3C">
        <w:rPr>
          <w:rFonts w:ascii="Times New Roman" w:eastAsia="Times New Roman" w:hAnsi="Times New Roman" w:cs="Times New Roman"/>
          <w:lang w:eastAsia="lt-LT"/>
        </w:rPr>
        <w:t xml:space="preserve"> sindromą (HUS), kurie kartais sukelia inkstų nepakankamumą ar mirtį, diagnozė. Pacientams, kuriems pasireiškia TMA, turi būti nutrauktas sunitinibo vartojimas ir reikalingas neatidėliotina gydymas. Nutraukus vartojimą, TMA reiškiniai išnyko (žr. 4.8 skyrių).</w:t>
      </w:r>
    </w:p>
    <w:p w14:paraId="5CF577E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50069D65"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Skydliaukės funkcijos sutrikimas</w:t>
      </w:r>
    </w:p>
    <w:p w14:paraId="28D10934" w14:textId="3553F951"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Prieš pradedant gydymą, rekomenduojama visiems pacientams atlikti laboratorinius skydliaukės funkcijos tyrimus. Pacientams, kuriems jau yra </w:t>
      </w:r>
      <w:proofErr w:type="spellStart"/>
      <w:r w:rsidRPr="00CE4C3C">
        <w:rPr>
          <w:rFonts w:ascii="Times New Roman" w:eastAsia="Times New Roman" w:hAnsi="Times New Roman" w:cs="Times New Roman"/>
          <w:lang w:eastAsia="lt-LT"/>
        </w:rPr>
        <w:t>hipotirozė</w:t>
      </w:r>
      <w:proofErr w:type="spellEnd"/>
      <w:r w:rsidRPr="00CE4C3C">
        <w:rPr>
          <w:rFonts w:ascii="Times New Roman" w:eastAsia="Times New Roman" w:hAnsi="Times New Roman" w:cs="Times New Roman"/>
          <w:lang w:eastAsia="lt-LT"/>
        </w:rPr>
        <w:t xml:space="preserve"> arba </w:t>
      </w:r>
      <w:proofErr w:type="spellStart"/>
      <w:r w:rsidRPr="00CE4C3C">
        <w:rPr>
          <w:rFonts w:ascii="Times New Roman" w:eastAsia="Times New Roman" w:hAnsi="Times New Roman" w:cs="Times New Roman"/>
          <w:lang w:eastAsia="lt-LT"/>
        </w:rPr>
        <w:t>hipertirozė</w:t>
      </w:r>
      <w:proofErr w:type="spellEnd"/>
      <w:r w:rsidRPr="00CE4C3C">
        <w:rPr>
          <w:rFonts w:ascii="Times New Roman" w:eastAsia="Times New Roman" w:hAnsi="Times New Roman" w:cs="Times New Roman"/>
          <w:lang w:eastAsia="lt-LT"/>
        </w:rPr>
        <w:t>, prieš pradedant gydyti sunitinibu, reikia skirti medicinos praktikoje įprastą šių ligų gydymą. Gydymo sunitinibu metu kas 3</w:t>
      </w:r>
      <w:r w:rsidR="00290353">
        <w:rPr>
          <w:rFonts w:ascii="Times New Roman" w:eastAsia="Times New Roman" w:hAnsi="Times New Roman" w:cs="Times New Roman"/>
          <w:lang w:eastAsia="lt-LT"/>
        </w:rPr>
        <w:t> </w:t>
      </w:r>
      <w:r w:rsidRPr="00CE4C3C">
        <w:rPr>
          <w:rFonts w:ascii="Times New Roman" w:eastAsia="Times New Roman" w:hAnsi="Times New Roman" w:cs="Times New Roman"/>
          <w:lang w:eastAsia="lt-LT"/>
        </w:rPr>
        <w:t xml:space="preserve">mėnesius reikia įvertinti skydliaukės funkciją. Be to, pacientus gydymo metu reikia atidžiai stebėti ir </w:t>
      </w:r>
      <w:r w:rsidRPr="00CE4C3C">
        <w:rPr>
          <w:rFonts w:ascii="Times New Roman" w:eastAsia="Times New Roman" w:hAnsi="Times New Roman" w:cs="Times New Roman"/>
          <w:lang w:eastAsia="lt-LT"/>
        </w:rPr>
        <w:lastRenderedPageBreak/>
        <w:t>pacientams, kuriems atsiranda kokių nors skydliaukės funkcijos sutrikimą rodančių požymių ir (arba) simptomų, jeigu kliniškai reikalinga, reikia atlikti laboratorinius skydliaukės funkcijos tyrimus. Pacientams, kuriems paaiškėja skydliaukės funkcijos sutrikimas, reikia taikyti medicinos praktikoje įprastą gydymą.</w:t>
      </w:r>
    </w:p>
    <w:p w14:paraId="765ADDB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16F9914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Calibri" w:hAnsi="Times New Roman" w:cs="Times New Roman"/>
        </w:rPr>
        <w:t xml:space="preserve">Gydymo </w:t>
      </w:r>
      <w:proofErr w:type="spellStart"/>
      <w:r w:rsidRPr="00CE4C3C">
        <w:rPr>
          <w:rFonts w:ascii="Times New Roman" w:eastAsia="Calibri" w:hAnsi="Times New Roman" w:cs="Times New Roman"/>
        </w:rPr>
        <w:t>sunitinibu</w:t>
      </w:r>
      <w:proofErr w:type="spellEnd"/>
      <w:r w:rsidRPr="00CE4C3C">
        <w:rPr>
          <w:rFonts w:ascii="Times New Roman" w:eastAsia="Calibri" w:hAnsi="Times New Roman" w:cs="Times New Roman"/>
        </w:rPr>
        <w:t xml:space="preserve"> metu pastebėta </w:t>
      </w:r>
      <w:proofErr w:type="spellStart"/>
      <w:r w:rsidRPr="00CE4C3C">
        <w:rPr>
          <w:rFonts w:ascii="Times New Roman" w:eastAsia="Calibri" w:hAnsi="Times New Roman" w:cs="Times New Roman"/>
        </w:rPr>
        <w:t>hipotirozė</w:t>
      </w:r>
      <w:proofErr w:type="spellEnd"/>
      <w:r w:rsidRPr="00CE4C3C">
        <w:rPr>
          <w:rFonts w:ascii="Times New Roman" w:eastAsia="Calibri" w:hAnsi="Times New Roman" w:cs="Times New Roman"/>
        </w:rPr>
        <w:t xml:space="preserve">, pasireiškusi gydymo pradžioje, tai pat ir vėliau </w:t>
      </w:r>
      <w:r w:rsidRPr="00CE4C3C">
        <w:rPr>
          <w:rFonts w:ascii="Times New Roman" w:eastAsia="Times New Roman" w:hAnsi="Times New Roman" w:cs="Times New Roman"/>
          <w:lang w:eastAsia="lt-LT"/>
        </w:rPr>
        <w:t>(žr. 4.8</w:t>
      </w:r>
      <w:r w:rsidR="0042322B" w:rsidRPr="00CE4C3C">
        <w:rPr>
          <w:rFonts w:ascii="Times New Roman" w:eastAsia="Times New Roman" w:hAnsi="Times New Roman" w:cs="Times New Roman"/>
          <w:lang w:eastAsia="lt-LT"/>
        </w:rPr>
        <w:t> </w:t>
      </w:r>
      <w:r w:rsidRPr="00CE4C3C">
        <w:rPr>
          <w:rFonts w:ascii="Times New Roman" w:eastAsia="Times New Roman" w:hAnsi="Times New Roman" w:cs="Times New Roman"/>
          <w:lang w:eastAsia="lt-LT"/>
        </w:rPr>
        <w:t>skyrių).</w:t>
      </w:r>
    </w:p>
    <w:p w14:paraId="7F47F157"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0602838E"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Pankreatitas</w:t>
      </w:r>
    </w:p>
    <w:p w14:paraId="297D9642"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Sunitinibo vartojusiems pacientams, kuriems buvo įvairių </w:t>
      </w:r>
      <w:proofErr w:type="spellStart"/>
      <w:r w:rsidRPr="00CE4C3C">
        <w:rPr>
          <w:rFonts w:ascii="Times New Roman" w:eastAsia="Times New Roman" w:hAnsi="Times New Roman" w:cs="Times New Roman"/>
          <w:lang w:eastAsia="lt-LT"/>
        </w:rPr>
        <w:t>solidinių</w:t>
      </w:r>
      <w:proofErr w:type="spellEnd"/>
      <w:r w:rsidRPr="00CE4C3C">
        <w:rPr>
          <w:rFonts w:ascii="Times New Roman" w:eastAsia="Times New Roman" w:hAnsi="Times New Roman" w:cs="Times New Roman"/>
          <w:lang w:eastAsia="lt-LT"/>
        </w:rPr>
        <w:t xml:space="preserve"> navikų, nustatytas lipazės ir </w:t>
      </w:r>
      <w:proofErr w:type="spellStart"/>
      <w:r w:rsidRPr="00CE4C3C">
        <w:rPr>
          <w:rFonts w:ascii="Times New Roman" w:eastAsia="Times New Roman" w:hAnsi="Times New Roman" w:cs="Times New Roman"/>
          <w:lang w:eastAsia="lt-LT"/>
        </w:rPr>
        <w:t>amilazės</w:t>
      </w:r>
      <w:proofErr w:type="spellEnd"/>
      <w:r w:rsidRPr="00CE4C3C">
        <w:rPr>
          <w:rFonts w:ascii="Times New Roman" w:eastAsia="Times New Roman" w:hAnsi="Times New Roman" w:cs="Times New Roman"/>
          <w:lang w:eastAsia="lt-LT"/>
        </w:rPr>
        <w:t xml:space="preserve"> aktyvumo padidėjimas. Asmenims, kuriems buvo įvairių </w:t>
      </w:r>
      <w:proofErr w:type="spellStart"/>
      <w:r w:rsidRPr="00CE4C3C">
        <w:rPr>
          <w:rFonts w:ascii="Times New Roman" w:eastAsia="Times New Roman" w:hAnsi="Times New Roman" w:cs="Times New Roman"/>
          <w:lang w:eastAsia="lt-LT"/>
        </w:rPr>
        <w:t>solidinių</w:t>
      </w:r>
      <w:proofErr w:type="spellEnd"/>
      <w:r w:rsidRPr="00CE4C3C">
        <w:rPr>
          <w:rFonts w:ascii="Times New Roman" w:eastAsia="Times New Roman" w:hAnsi="Times New Roman" w:cs="Times New Roman"/>
          <w:lang w:eastAsia="lt-LT"/>
        </w:rPr>
        <w:t xml:space="preserve"> navikų, lipazės aktyvumas padidėjo laikinai, pankreatito požymių ir simptomų beveik nebuvo (žr. 4.8 skyrių).</w:t>
      </w:r>
    </w:p>
    <w:p w14:paraId="51FA3A3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07993551"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Gauta pranešimų apie sunkius kasos reiškinius, kai kurie iš jų pasibaigė mirtimi. Jeigu atsiranda pankreatito simptomų, pacientui turi būti nutrauktas sunitinibo vartojimas ir taikomas reikiamas palaikomasis gydymas.</w:t>
      </w:r>
    </w:p>
    <w:p w14:paraId="1B9F214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42CC1A6D"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proofErr w:type="spellStart"/>
      <w:r w:rsidRPr="00CE4C3C">
        <w:rPr>
          <w:rFonts w:ascii="Times New Roman" w:eastAsia="Times New Roman" w:hAnsi="Times New Roman" w:cs="Times New Roman"/>
          <w:u w:val="single"/>
          <w:lang w:eastAsia="lt-LT"/>
        </w:rPr>
        <w:t>Hepatotoksinis</w:t>
      </w:r>
      <w:proofErr w:type="spellEnd"/>
      <w:r w:rsidRPr="00CE4C3C">
        <w:rPr>
          <w:rFonts w:ascii="Times New Roman" w:eastAsia="Times New Roman" w:hAnsi="Times New Roman" w:cs="Times New Roman"/>
          <w:u w:val="single"/>
          <w:lang w:eastAsia="lt-LT"/>
        </w:rPr>
        <w:t xml:space="preserve"> poveikis</w:t>
      </w:r>
    </w:p>
    <w:p w14:paraId="2B1E9094" w14:textId="71906FD4"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Sunitinibu gydytiems pacientams pasireiškė </w:t>
      </w:r>
      <w:proofErr w:type="spellStart"/>
      <w:r w:rsidRPr="00CE4C3C">
        <w:rPr>
          <w:rFonts w:ascii="Times New Roman" w:eastAsia="Times New Roman" w:hAnsi="Times New Roman" w:cs="Times New Roman"/>
          <w:lang w:eastAsia="lt-LT"/>
        </w:rPr>
        <w:t>hepatotoksinis</w:t>
      </w:r>
      <w:proofErr w:type="spellEnd"/>
      <w:r w:rsidRPr="00CE4C3C">
        <w:rPr>
          <w:rFonts w:ascii="Times New Roman" w:eastAsia="Times New Roman" w:hAnsi="Times New Roman" w:cs="Times New Roman"/>
          <w:lang w:eastAsia="lt-LT"/>
        </w:rPr>
        <w:t xml:space="preserve"> poveikis. Mažiau kaip 1 % sunitinibu gydytų pacientų, kuriems buvo </w:t>
      </w:r>
      <w:proofErr w:type="spellStart"/>
      <w:r w:rsidRPr="00CE4C3C">
        <w:rPr>
          <w:rFonts w:ascii="Times New Roman" w:eastAsia="Times New Roman" w:hAnsi="Times New Roman" w:cs="Times New Roman"/>
          <w:lang w:eastAsia="lt-LT"/>
        </w:rPr>
        <w:t>solidinių</w:t>
      </w:r>
      <w:proofErr w:type="spellEnd"/>
      <w:r w:rsidRPr="00CE4C3C">
        <w:rPr>
          <w:rFonts w:ascii="Times New Roman" w:eastAsia="Times New Roman" w:hAnsi="Times New Roman" w:cs="Times New Roman"/>
          <w:lang w:eastAsia="lt-LT"/>
        </w:rPr>
        <w:t xml:space="preserve"> navikų, pastebėtas kepenų funkcijos nepakankamumas, kurio keli atvejai pasibaigė mirtimi. Prieš pradedant gydymą, kiekvieno gydymo ciklo metu ir jeigu kliniškai reikalinga, reikia stebėti kepenų funkcijos tyrimų rodmenis (</w:t>
      </w:r>
      <w:proofErr w:type="spellStart"/>
      <w:r w:rsidRPr="00CE4C3C">
        <w:rPr>
          <w:rFonts w:ascii="Times New Roman" w:eastAsia="Times New Roman" w:hAnsi="Times New Roman" w:cs="Times New Roman"/>
          <w:lang w:eastAsia="lt-LT"/>
        </w:rPr>
        <w:t>alanino</w:t>
      </w:r>
      <w:proofErr w:type="spellEnd"/>
      <w:r w:rsidRPr="00CE4C3C">
        <w:rPr>
          <w:rFonts w:ascii="Times New Roman" w:eastAsia="Times New Roman" w:hAnsi="Times New Roman" w:cs="Times New Roman"/>
          <w:lang w:eastAsia="lt-LT"/>
        </w:rPr>
        <w:t xml:space="preserve"> </w:t>
      </w:r>
      <w:proofErr w:type="spellStart"/>
      <w:r w:rsidRPr="00CE4C3C">
        <w:rPr>
          <w:rFonts w:ascii="Times New Roman" w:eastAsia="Times New Roman" w:hAnsi="Times New Roman" w:cs="Times New Roman"/>
          <w:lang w:eastAsia="lt-LT"/>
        </w:rPr>
        <w:t>transaminazės</w:t>
      </w:r>
      <w:proofErr w:type="spellEnd"/>
      <w:r w:rsidRPr="00CE4C3C">
        <w:rPr>
          <w:rFonts w:ascii="Times New Roman" w:eastAsia="Times New Roman" w:hAnsi="Times New Roman" w:cs="Times New Roman"/>
          <w:lang w:eastAsia="lt-LT"/>
        </w:rPr>
        <w:t xml:space="preserve"> [ALT] ir </w:t>
      </w:r>
      <w:proofErr w:type="spellStart"/>
      <w:r w:rsidRPr="00CE4C3C">
        <w:rPr>
          <w:rFonts w:ascii="Times New Roman" w:eastAsia="Times New Roman" w:hAnsi="Times New Roman" w:cs="Times New Roman"/>
          <w:lang w:eastAsia="lt-LT"/>
        </w:rPr>
        <w:t>aspartato</w:t>
      </w:r>
      <w:proofErr w:type="spellEnd"/>
      <w:r w:rsidRPr="00CE4C3C">
        <w:rPr>
          <w:rFonts w:ascii="Times New Roman" w:eastAsia="Times New Roman" w:hAnsi="Times New Roman" w:cs="Times New Roman"/>
          <w:lang w:eastAsia="lt-LT"/>
        </w:rPr>
        <w:t xml:space="preserve"> </w:t>
      </w:r>
      <w:proofErr w:type="spellStart"/>
      <w:r w:rsidRPr="00CE4C3C">
        <w:rPr>
          <w:rFonts w:ascii="Times New Roman" w:eastAsia="Times New Roman" w:hAnsi="Times New Roman" w:cs="Times New Roman"/>
          <w:lang w:eastAsia="lt-LT"/>
        </w:rPr>
        <w:t>transaminazės</w:t>
      </w:r>
      <w:proofErr w:type="spellEnd"/>
      <w:r w:rsidRPr="00CE4C3C">
        <w:rPr>
          <w:rFonts w:ascii="Times New Roman" w:eastAsia="Times New Roman" w:hAnsi="Times New Roman" w:cs="Times New Roman"/>
          <w:lang w:eastAsia="lt-LT"/>
        </w:rPr>
        <w:t xml:space="preserve"> [AST] aktyvumą bei </w:t>
      </w:r>
      <w:proofErr w:type="spellStart"/>
      <w:r w:rsidRPr="00CE4C3C">
        <w:rPr>
          <w:rFonts w:ascii="Times New Roman" w:eastAsia="Times New Roman" w:hAnsi="Times New Roman" w:cs="Times New Roman"/>
          <w:lang w:eastAsia="lt-LT"/>
        </w:rPr>
        <w:t>bilirubino</w:t>
      </w:r>
      <w:proofErr w:type="spellEnd"/>
      <w:r w:rsidRPr="00CE4C3C">
        <w:rPr>
          <w:rFonts w:ascii="Times New Roman" w:eastAsia="Times New Roman" w:hAnsi="Times New Roman" w:cs="Times New Roman"/>
          <w:lang w:eastAsia="lt-LT"/>
        </w:rPr>
        <w:t xml:space="preserve"> </w:t>
      </w:r>
      <w:r w:rsidR="00290353">
        <w:rPr>
          <w:rFonts w:ascii="Times New Roman" w:eastAsia="Times New Roman" w:hAnsi="Times New Roman" w:cs="Times New Roman"/>
          <w:lang w:eastAsia="lt-LT"/>
        </w:rPr>
        <w:t>koncentraciją</w:t>
      </w:r>
      <w:r w:rsidRPr="00CE4C3C">
        <w:rPr>
          <w:rFonts w:ascii="Times New Roman" w:eastAsia="Times New Roman" w:hAnsi="Times New Roman" w:cs="Times New Roman"/>
          <w:lang w:eastAsia="lt-LT"/>
        </w:rPr>
        <w:t>). Jeigu pasireiškia kepenų funkcijos nepakankamumo simptomų, pacientui turi būti nutrauktas sunitinibo vartojimas ir taikomas reikiamas palaikomasis gydymas (žr. 4.8 skyrių).</w:t>
      </w:r>
    </w:p>
    <w:p w14:paraId="4E9D547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04BDEC6B"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Inkstų funkcija</w:t>
      </w:r>
    </w:p>
    <w:p w14:paraId="0523652B"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Gauta pranešimų apie inkstų funkcijos sutrikimą, inkstų nepakankamumą ir (arba) ūminį inkstų nepakankamumą, kurio keli atvejai pasibaigė mirtimi (žr. 4.8 skyrių).</w:t>
      </w:r>
    </w:p>
    <w:p w14:paraId="39ECE11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4F84DBB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Be pagrindinės ligos – inkstų ląstelių karcinomos (ILK), su inkstų funkcijos sutrikimu ar nepakankamumu susiję rizikos veiksniai </w:t>
      </w:r>
      <w:proofErr w:type="spellStart"/>
      <w:r w:rsidRPr="00CE4C3C">
        <w:rPr>
          <w:rFonts w:ascii="Times New Roman" w:eastAsia="Times New Roman" w:hAnsi="Times New Roman" w:cs="Times New Roman"/>
          <w:lang w:eastAsia="lt-LT"/>
        </w:rPr>
        <w:t>sunitinibą</w:t>
      </w:r>
      <w:proofErr w:type="spellEnd"/>
      <w:r w:rsidRPr="00CE4C3C">
        <w:rPr>
          <w:rFonts w:ascii="Times New Roman" w:eastAsia="Times New Roman" w:hAnsi="Times New Roman" w:cs="Times New Roman"/>
          <w:lang w:eastAsia="lt-LT"/>
        </w:rPr>
        <w:t xml:space="preserve"> vartojantiems pacientams buvo senyvas amžius, cukrinis diabetas, esamas inkstų funkcijos sutrikimas, širdies nepakankamumas, hipertenzija, sepsis, </w:t>
      </w:r>
      <w:proofErr w:type="spellStart"/>
      <w:r w:rsidRPr="00CE4C3C">
        <w:rPr>
          <w:rFonts w:ascii="Times New Roman" w:eastAsia="Times New Roman" w:hAnsi="Times New Roman" w:cs="Times New Roman"/>
          <w:lang w:eastAsia="lt-LT"/>
        </w:rPr>
        <w:t>dehidracija</w:t>
      </w:r>
      <w:proofErr w:type="spellEnd"/>
      <w:r w:rsidR="0042322B" w:rsidRPr="00CE4C3C">
        <w:rPr>
          <w:rFonts w:ascii="Times New Roman" w:eastAsia="Times New Roman" w:hAnsi="Times New Roman" w:cs="Times New Roman"/>
          <w:lang w:eastAsia="lt-LT"/>
        </w:rPr>
        <w:t xml:space="preserve"> </w:t>
      </w:r>
      <w:r w:rsidRPr="00CE4C3C">
        <w:rPr>
          <w:rFonts w:ascii="Times New Roman" w:eastAsia="Times New Roman" w:hAnsi="Times New Roman" w:cs="Times New Roman"/>
          <w:lang w:eastAsia="lt-LT"/>
        </w:rPr>
        <w:t>/</w:t>
      </w:r>
      <w:r w:rsidR="0042322B" w:rsidRPr="00CE4C3C">
        <w:rPr>
          <w:rFonts w:ascii="Times New Roman" w:eastAsia="Times New Roman" w:hAnsi="Times New Roman" w:cs="Times New Roman"/>
          <w:lang w:eastAsia="lt-LT"/>
        </w:rPr>
        <w:t xml:space="preserve"> </w:t>
      </w:r>
      <w:proofErr w:type="spellStart"/>
      <w:r w:rsidRPr="00CE4C3C">
        <w:rPr>
          <w:rFonts w:ascii="Times New Roman" w:eastAsia="Times New Roman" w:hAnsi="Times New Roman" w:cs="Times New Roman"/>
          <w:lang w:eastAsia="lt-LT"/>
        </w:rPr>
        <w:t>hipovolemija</w:t>
      </w:r>
      <w:proofErr w:type="spellEnd"/>
      <w:r w:rsidRPr="00CE4C3C">
        <w:rPr>
          <w:rFonts w:ascii="Times New Roman" w:eastAsia="Times New Roman" w:hAnsi="Times New Roman" w:cs="Times New Roman"/>
          <w:lang w:eastAsia="lt-LT"/>
        </w:rPr>
        <w:t xml:space="preserve"> ir </w:t>
      </w:r>
      <w:proofErr w:type="spellStart"/>
      <w:r w:rsidRPr="00CE4C3C">
        <w:rPr>
          <w:rFonts w:ascii="Times New Roman" w:eastAsia="Times New Roman" w:hAnsi="Times New Roman" w:cs="Times New Roman"/>
          <w:lang w:eastAsia="lt-LT"/>
        </w:rPr>
        <w:t>rabdomiolizė</w:t>
      </w:r>
      <w:proofErr w:type="spellEnd"/>
      <w:r w:rsidRPr="00CE4C3C">
        <w:rPr>
          <w:rFonts w:ascii="Times New Roman" w:eastAsia="Times New Roman" w:hAnsi="Times New Roman" w:cs="Times New Roman"/>
          <w:lang w:eastAsia="lt-LT"/>
        </w:rPr>
        <w:t>.</w:t>
      </w:r>
    </w:p>
    <w:p w14:paraId="36EEE96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067DFFE6"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Ilgalaikio pacientų, kuriems yra vidutinio sunkumo ar sunki </w:t>
      </w:r>
      <w:proofErr w:type="spellStart"/>
      <w:r w:rsidRPr="00CE4C3C">
        <w:rPr>
          <w:rFonts w:ascii="Times New Roman" w:eastAsia="Times New Roman" w:hAnsi="Times New Roman" w:cs="Times New Roman"/>
          <w:lang w:eastAsia="lt-LT"/>
        </w:rPr>
        <w:t>proteinurija</w:t>
      </w:r>
      <w:proofErr w:type="spellEnd"/>
      <w:r w:rsidRPr="00CE4C3C">
        <w:rPr>
          <w:rFonts w:ascii="Times New Roman" w:eastAsia="Times New Roman" w:hAnsi="Times New Roman" w:cs="Times New Roman"/>
          <w:lang w:eastAsia="lt-LT"/>
        </w:rPr>
        <w:t xml:space="preserve">, gydymo </w:t>
      </w:r>
      <w:proofErr w:type="spellStart"/>
      <w:r w:rsidRPr="00CE4C3C">
        <w:rPr>
          <w:rFonts w:ascii="Times New Roman" w:eastAsia="Times New Roman" w:hAnsi="Times New Roman" w:cs="Times New Roman"/>
          <w:lang w:eastAsia="lt-LT"/>
        </w:rPr>
        <w:t>sunitinibu</w:t>
      </w:r>
      <w:proofErr w:type="spellEnd"/>
      <w:r w:rsidRPr="00CE4C3C">
        <w:rPr>
          <w:rFonts w:ascii="Times New Roman" w:eastAsia="Times New Roman" w:hAnsi="Times New Roman" w:cs="Times New Roman"/>
          <w:lang w:eastAsia="lt-LT"/>
        </w:rPr>
        <w:t xml:space="preserve"> saugumas metodiškai neįvertintas.</w:t>
      </w:r>
    </w:p>
    <w:p w14:paraId="2ACED35A"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5B8EF16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Nustatyta </w:t>
      </w:r>
      <w:proofErr w:type="spellStart"/>
      <w:r w:rsidRPr="00CE4C3C">
        <w:rPr>
          <w:rFonts w:ascii="Times New Roman" w:eastAsia="Times New Roman" w:hAnsi="Times New Roman" w:cs="Times New Roman"/>
          <w:lang w:eastAsia="lt-LT"/>
        </w:rPr>
        <w:t>proteinurijos</w:t>
      </w:r>
      <w:proofErr w:type="spellEnd"/>
      <w:r w:rsidRPr="00CE4C3C">
        <w:rPr>
          <w:rFonts w:ascii="Times New Roman" w:eastAsia="Times New Roman" w:hAnsi="Times New Roman" w:cs="Times New Roman"/>
          <w:lang w:eastAsia="lt-LT"/>
        </w:rPr>
        <w:t xml:space="preserve"> ir retų </w:t>
      </w:r>
      <w:proofErr w:type="spellStart"/>
      <w:r w:rsidRPr="00CE4C3C">
        <w:rPr>
          <w:rFonts w:ascii="Times New Roman" w:eastAsia="Times New Roman" w:hAnsi="Times New Roman" w:cs="Times New Roman"/>
          <w:lang w:eastAsia="lt-LT"/>
        </w:rPr>
        <w:t>nefrozinio</w:t>
      </w:r>
      <w:proofErr w:type="spellEnd"/>
      <w:r w:rsidRPr="00CE4C3C">
        <w:rPr>
          <w:rFonts w:ascii="Times New Roman" w:eastAsia="Times New Roman" w:hAnsi="Times New Roman" w:cs="Times New Roman"/>
          <w:lang w:eastAsia="lt-LT"/>
        </w:rPr>
        <w:t xml:space="preserve"> sindromo atvejų. Prieš pradedant gydymą, rekomenduojama atlikti šlapimo tyrimus ir pacientai turi būti stebimi dėl </w:t>
      </w:r>
      <w:proofErr w:type="spellStart"/>
      <w:r w:rsidRPr="00CE4C3C">
        <w:rPr>
          <w:rFonts w:ascii="Times New Roman" w:eastAsia="Times New Roman" w:hAnsi="Times New Roman" w:cs="Times New Roman"/>
          <w:lang w:eastAsia="lt-LT"/>
        </w:rPr>
        <w:t>proteinurijos</w:t>
      </w:r>
      <w:proofErr w:type="spellEnd"/>
      <w:r w:rsidRPr="00CE4C3C">
        <w:rPr>
          <w:rFonts w:ascii="Times New Roman" w:eastAsia="Times New Roman" w:hAnsi="Times New Roman" w:cs="Times New Roman"/>
          <w:lang w:eastAsia="lt-LT"/>
        </w:rPr>
        <w:t xml:space="preserve"> pasireiškimo ar pasunkėjimo.</w:t>
      </w:r>
    </w:p>
    <w:p w14:paraId="15CF976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Pacientams, kuriems pasireiškia </w:t>
      </w:r>
      <w:proofErr w:type="spellStart"/>
      <w:r w:rsidRPr="00CE4C3C">
        <w:rPr>
          <w:rFonts w:ascii="Times New Roman" w:eastAsia="Times New Roman" w:hAnsi="Times New Roman" w:cs="Times New Roman"/>
          <w:lang w:eastAsia="lt-LT"/>
        </w:rPr>
        <w:t>nefrozinis</w:t>
      </w:r>
      <w:proofErr w:type="spellEnd"/>
      <w:r w:rsidRPr="00CE4C3C">
        <w:rPr>
          <w:rFonts w:ascii="Times New Roman" w:eastAsia="Times New Roman" w:hAnsi="Times New Roman" w:cs="Times New Roman"/>
          <w:lang w:eastAsia="lt-LT"/>
        </w:rPr>
        <w:t xml:space="preserve"> sindromas, </w:t>
      </w:r>
      <w:proofErr w:type="spellStart"/>
      <w:r w:rsidRPr="00CE4C3C">
        <w:rPr>
          <w:rFonts w:ascii="Times New Roman" w:eastAsia="Times New Roman" w:hAnsi="Times New Roman" w:cs="Times New Roman"/>
          <w:lang w:eastAsia="lt-LT"/>
        </w:rPr>
        <w:t>sunitinibo</w:t>
      </w:r>
      <w:proofErr w:type="spellEnd"/>
      <w:r w:rsidRPr="00CE4C3C">
        <w:rPr>
          <w:rFonts w:ascii="Times New Roman" w:eastAsia="Times New Roman" w:hAnsi="Times New Roman" w:cs="Times New Roman"/>
          <w:lang w:eastAsia="lt-LT"/>
        </w:rPr>
        <w:t xml:space="preserve"> vartojimą reikia nutraukti.</w:t>
      </w:r>
    </w:p>
    <w:p w14:paraId="57EFC027"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23AB766E"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Fistulė</w:t>
      </w:r>
    </w:p>
    <w:p w14:paraId="03EB20C6"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Jeigu formuojasi fistulė, gydymą sunitinibu reikia pertraukti. Duomenų apie užsitęsusį sunitinibo vartojimą pacientams, kuriems yra fistulė, yra nedaug (žr. 4.8 skyrių).</w:t>
      </w:r>
    </w:p>
    <w:p w14:paraId="6E54F1F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4BD4819A"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Žaizdos gijimo sutrikimas</w:t>
      </w:r>
    </w:p>
    <w:p w14:paraId="327CD32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Pranešta apie žaizdos gijimo sutrikimo gydant sunitinibu atvejus.</w:t>
      </w:r>
    </w:p>
    <w:p w14:paraId="79BE443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134B7D73"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Oficialių klinikinių sunitinibo poveikio žaizdos gijimui tyrimų neatlikta. Dėl atsargumo, prieš svarbias chirurgines operacijas gydymą sunitinibu rekomenduojama laikinai pertraukti. Klinikinė patirtis, susijusi su gydymo atnaujinimu po svarbios chirurginės operacijos, yra nedidelė. Todėl sprendimą atnaujinti gydymą sunitinibu po svarbios chirurginės intervencijos reikia priimti, atsižvelgiant į sveikimą po operacijos.</w:t>
      </w:r>
    </w:p>
    <w:p w14:paraId="5218504F"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09CDD4FF"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 xml:space="preserve">Žandikaulio </w:t>
      </w:r>
      <w:proofErr w:type="spellStart"/>
      <w:r w:rsidRPr="00CE4C3C">
        <w:rPr>
          <w:rFonts w:ascii="Times New Roman" w:eastAsia="Times New Roman" w:hAnsi="Times New Roman" w:cs="Times New Roman"/>
          <w:u w:val="single"/>
          <w:lang w:eastAsia="lt-LT"/>
        </w:rPr>
        <w:t>osteonekrozė</w:t>
      </w:r>
      <w:proofErr w:type="spellEnd"/>
      <w:r w:rsidRPr="00CE4C3C">
        <w:rPr>
          <w:rFonts w:ascii="Times New Roman" w:eastAsia="Times New Roman" w:hAnsi="Times New Roman" w:cs="Times New Roman"/>
          <w:u w:val="single"/>
          <w:lang w:eastAsia="lt-LT"/>
        </w:rPr>
        <w:t xml:space="preserve"> (ŽON)</w:t>
      </w:r>
    </w:p>
    <w:p w14:paraId="3870FC80"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lastRenderedPageBreak/>
        <w:t xml:space="preserve">Pranešta apie ŽON atvejus sunitinibu gydytiems pacientams. Dauguma atvejų pasireiškė pacientams, kurie anksčiau arba kartu buvo gydyti į veną leidžiamais </w:t>
      </w:r>
      <w:proofErr w:type="spellStart"/>
      <w:r w:rsidRPr="00CE4C3C">
        <w:rPr>
          <w:rFonts w:ascii="Times New Roman" w:eastAsia="Times New Roman" w:hAnsi="Times New Roman" w:cs="Times New Roman"/>
          <w:lang w:eastAsia="lt-LT"/>
        </w:rPr>
        <w:t>bisfosfonatais</w:t>
      </w:r>
      <w:proofErr w:type="spellEnd"/>
      <w:r w:rsidRPr="00CE4C3C">
        <w:rPr>
          <w:rFonts w:ascii="Times New Roman" w:eastAsia="Times New Roman" w:hAnsi="Times New Roman" w:cs="Times New Roman"/>
          <w:lang w:eastAsia="lt-LT"/>
        </w:rPr>
        <w:t xml:space="preserve">, kuriems ŽON yra pripažinta rizika. Todėl jeigu sunitinibo ir į veną leidžiamų </w:t>
      </w:r>
      <w:proofErr w:type="spellStart"/>
      <w:r w:rsidRPr="00CE4C3C">
        <w:rPr>
          <w:rFonts w:ascii="Times New Roman" w:eastAsia="Times New Roman" w:hAnsi="Times New Roman" w:cs="Times New Roman"/>
          <w:lang w:eastAsia="lt-LT"/>
        </w:rPr>
        <w:t>bisfosfonatų</w:t>
      </w:r>
      <w:proofErr w:type="spellEnd"/>
      <w:r w:rsidRPr="00CE4C3C">
        <w:rPr>
          <w:rFonts w:ascii="Times New Roman" w:eastAsia="Times New Roman" w:hAnsi="Times New Roman" w:cs="Times New Roman"/>
          <w:lang w:eastAsia="lt-LT"/>
        </w:rPr>
        <w:t xml:space="preserve"> vartojama arba kartu, arba nuosekliai, reikalinga laikytis atsargumo.</w:t>
      </w:r>
    </w:p>
    <w:p w14:paraId="61938760"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73BD55A6"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Invazinės odontologinės procedūros taip pat yra pripažintas rizikos veiksnys. Prieš gydymą sunitinibu turi būti apgalvotas dantų patikrinimas ir atitinkamų odontologinių profilaktikos priemonių taikymas. Pacientams, kurie anksčiau arba šiuo metu gydomi į veną leidžiamais </w:t>
      </w:r>
      <w:proofErr w:type="spellStart"/>
      <w:r w:rsidRPr="00CE4C3C">
        <w:rPr>
          <w:rFonts w:ascii="Times New Roman" w:eastAsia="Times New Roman" w:hAnsi="Times New Roman" w:cs="Times New Roman"/>
          <w:lang w:eastAsia="lt-LT"/>
        </w:rPr>
        <w:t>bisfosfonatais</w:t>
      </w:r>
      <w:proofErr w:type="spellEnd"/>
      <w:r w:rsidRPr="00CE4C3C">
        <w:rPr>
          <w:rFonts w:ascii="Times New Roman" w:eastAsia="Times New Roman" w:hAnsi="Times New Roman" w:cs="Times New Roman"/>
          <w:lang w:eastAsia="lt-LT"/>
        </w:rPr>
        <w:t>, jeigu įmanoma, reikia vengti invazinių odontologinių procedūrų (žr. 4.8 skyrių).</w:t>
      </w:r>
    </w:p>
    <w:p w14:paraId="418BB119"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2715E639"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Padidėjęs jautrumas</w:t>
      </w:r>
      <w:r w:rsidR="0023708D" w:rsidRPr="00CE4C3C">
        <w:rPr>
          <w:rFonts w:ascii="Times New Roman" w:eastAsia="Times New Roman" w:hAnsi="Times New Roman" w:cs="Times New Roman"/>
          <w:u w:val="single"/>
          <w:lang w:eastAsia="lt-LT"/>
        </w:rPr>
        <w:t xml:space="preserve"> </w:t>
      </w:r>
      <w:r w:rsidRPr="00CE4C3C">
        <w:rPr>
          <w:rFonts w:ascii="Times New Roman" w:eastAsia="Times New Roman" w:hAnsi="Times New Roman" w:cs="Times New Roman"/>
          <w:u w:val="single"/>
          <w:lang w:eastAsia="lt-LT"/>
        </w:rPr>
        <w:t>/</w:t>
      </w:r>
      <w:r w:rsidR="0023708D" w:rsidRPr="00CE4C3C">
        <w:rPr>
          <w:rFonts w:ascii="Times New Roman" w:eastAsia="Times New Roman" w:hAnsi="Times New Roman" w:cs="Times New Roman"/>
          <w:u w:val="single"/>
          <w:lang w:eastAsia="lt-LT"/>
        </w:rPr>
        <w:t xml:space="preserve"> </w:t>
      </w:r>
      <w:r w:rsidRPr="00CE4C3C">
        <w:rPr>
          <w:rFonts w:ascii="Times New Roman" w:eastAsia="Times New Roman" w:hAnsi="Times New Roman" w:cs="Times New Roman"/>
          <w:u w:val="single"/>
          <w:lang w:eastAsia="lt-LT"/>
        </w:rPr>
        <w:t>angioneurozinė edema</w:t>
      </w:r>
    </w:p>
    <w:p w14:paraId="0E2DDFE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Jeigu dėl padidėjusio jautrumo pasireiškia angioneurozinė edema, gydymas sunitinibu turi būti pertrauktas ir skirtas įprastas palaikomasis gydymas (žr. 4.8 skyrių).</w:t>
      </w:r>
    </w:p>
    <w:p w14:paraId="10F2F6B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53F05A05" w14:textId="77777777" w:rsidR="00F17A0C" w:rsidRPr="00CE4C3C" w:rsidRDefault="00F17A0C"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Traukuliai</w:t>
      </w:r>
    </w:p>
    <w:p w14:paraId="46BA55D8"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Klinikinių sunitinibo tyrimų metu ir po vaistinio preparato pate</w:t>
      </w:r>
      <w:r w:rsidR="00EF7AD1">
        <w:rPr>
          <w:rFonts w:ascii="Times New Roman" w:eastAsia="Calibri" w:hAnsi="Times New Roman" w:cs="Times New Roman"/>
        </w:rPr>
        <w:t>i</w:t>
      </w:r>
      <w:r w:rsidRPr="00CE4C3C">
        <w:rPr>
          <w:rFonts w:ascii="Times New Roman" w:eastAsia="Calibri" w:hAnsi="Times New Roman" w:cs="Times New Roman"/>
        </w:rPr>
        <w:t xml:space="preserve">kimo į rinką gauta pranešimų apie traukulius. Pacientams, kuriems yra traukulių ir požymių (simptomų), atitinkančių laikiną užpakalinės </w:t>
      </w:r>
      <w:proofErr w:type="spellStart"/>
      <w:r w:rsidRPr="00CE4C3C">
        <w:rPr>
          <w:rFonts w:ascii="Times New Roman" w:eastAsia="Calibri" w:hAnsi="Times New Roman" w:cs="Times New Roman"/>
        </w:rPr>
        <w:t>leukoencefalopatijos</w:t>
      </w:r>
      <w:proofErr w:type="spellEnd"/>
      <w:r w:rsidRPr="00CE4C3C">
        <w:rPr>
          <w:rFonts w:ascii="Times New Roman" w:eastAsia="Calibri" w:hAnsi="Times New Roman" w:cs="Times New Roman"/>
        </w:rPr>
        <w:t xml:space="preserve"> sindromą (LULS), tokių, kaip hipertenzija, galvos skausmas, budrumo susilpnėjimas, psichikos sutrikimas ir regėjimo netekimas, įskaitant žievinį aklumą, turi būti taikomas neatidėliotinas gydymas, įskaitant hipertenzijos suvaldymą. Rekomenduojama laikinai pristabdyti sunitinibo vartojimą. Tokiai būklei praėjus, gydytojo nuožiūra gydymą galima atnaujinti.</w:t>
      </w:r>
    </w:p>
    <w:p w14:paraId="757C2C1D" w14:textId="77777777" w:rsidR="00F17A0C" w:rsidRPr="00CE4C3C" w:rsidRDefault="00F17A0C" w:rsidP="00CE4C3C">
      <w:pPr>
        <w:spacing w:line="240" w:lineRule="auto"/>
        <w:rPr>
          <w:rFonts w:ascii="Times New Roman" w:eastAsia="Calibri" w:hAnsi="Times New Roman" w:cs="Times New Roman"/>
          <w:u w:val="single"/>
        </w:rPr>
      </w:pPr>
    </w:p>
    <w:p w14:paraId="37B53CE9" w14:textId="77777777" w:rsidR="00F17A0C" w:rsidRPr="00CE4C3C" w:rsidRDefault="00F17A0C"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 xml:space="preserve">Naviko </w:t>
      </w:r>
      <w:proofErr w:type="spellStart"/>
      <w:r w:rsidRPr="00CE4C3C">
        <w:rPr>
          <w:rFonts w:ascii="Times New Roman" w:eastAsia="Calibri" w:hAnsi="Times New Roman" w:cs="Times New Roman"/>
          <w:u w:val="single"/>
        </w:rPr>
        <w:t>lizės</w:t>
      </w:r>
      <w:proofErr w:type="spellEnd"/>
      <w:r w:rsidRPr="00CE4C3C">
        <w:rPr>
          <w:rFonts w:ascii="Times New Roman" w:eastAsia="Calibri" w:hAnsi="Times New Roman" w:cs="Times New Roman"/>
          <w:u w:val="single"/>
        </w:rPr>
        <w:t xml:space="preserve"> sindromas (NLS)</w:t>
      </w:r>
    </w:p>
    <w:p w14:paraId="3EEE9188"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Klinikinių tyrimų metu ir po vaistinio preparato registracijos retai gauta pranešimų apie NLS atvejus (keli iš jų iš jų buvo mirtini) sunitinibu gydytiems pacientams. NLS rizikos veiksniai yra labai išvešėjęs navikas, iš anksčiau esantis lėtinis inkstų nepakankamumas, </w:t>
      </w:r>
      <w:proofErr w:type="spellStart"/>
      <w:r w:rsidRPr="00CE4C3C">
        <w:rPr>
          <w:rFonts w:ascii="Times New Roman" w:eastAsia="Calibri" w:hAnsi="Times New Roman" w:cs="Times New Roman"/>
        </w:rPr>
        <w:t>oligurija</w:t>
      </w:r>
      <w:proofErr w:type="spellEnd"/>
      <w:r w:rsidRPr="00CE4C3C">
        <w:rPr>
          <w:rFonts w:ascii="Times New Roman" w:eastAsia="Calibri" w:hAnsi="Times New Roman" w:cs="Times New Roman"/>
        </w:rPr>
        <w:t xml:space="preserve">, </w:t>
      </w:r>
      <w:proofErr w:type="spellStart"/>
      <w:r w:rsidRPr="00CE4C3C">
        <w:rPr>
          <w:rFonts w:ascii="Times New Roman" w:eastAsia="Calibri" w:hAnsi="Times New Roman" w:cs="Times New Roman"/>
        </w:rPr>
        <w:t>dehidracija</w:t>
      </w:r>
      <w:proofErr w:type="spellEnd"/>
      <w:r w:rsidRPr="00CE4C3C">
        <w:rPr>
          <w:rFonts w:ascii="Times New Roman" w:eastAsia="Calibri" w:hAnsi="Times New Roman" w:cs="Times New Roman"/>
        </w:rPr>
        <w:t xml:space="preserve">, </w:t>
      </w:r>
      <w:proofErr w:type="spellStart"/>
      <w:r w:rsidRPr="00CE4C3C">
        <w:rPr>
          <w:rFonts w:ascii="Times New Roman" w:eastAsia="Calibri" w:hAnsi="Times New Roman" w:cs="Times New Roman"/>
        </w:rPr>
        <w:t>hipotenzija</w:t>
      </w:r>
      <w:proofErr w:type="spellEnd"/>
      <w:r w:rsidRPr="00CE4C3C">
        <w:rPr>
          <w:rFonts w:ascii="Times New Roman" w:eastAsia="Calibri" w:hAnsi="Times New Roman" w:cs="Times New Roman"/>
        </w:rPr>
        <w:t xml:space="preserve"> ir rūgščios reakcijos šlapimas. Tokius pacientus reikia atidžiai stebėti ir gydyti, jeigu yra klinikinių indikacijų, bei apsvarstyti, ar nereikia profilaktiškai skirti skysčių.</w:t>
      </w:r>
    </w:p>
    <w:p w14:paraId="6151F4E8"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202D54B4"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Infekcinės ligos</w:t>
      </w:r>
    </w:p>
    <w:p w14:paraId="061750DD" w14:textId="4D1F0094"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Buvo pranešta apie sunkias infekcines ligas su </w:t>
      </w:r>
      <w:proofErr w:type="spellStart"/>
      <w:r w:rsidRPr="00CE4C3C">
        <w:rPr>
          <w:rFonts w:ascii="Times New Roman" w:eastAsia="Times New Roman" w:hAnsi="Times New Roman" w:cs="Times New Roman"/>
          <w:lang w:eastAsia="lt-LT"/>
        </w:rPr>
        <w:t>neutropenija</w:t>
      </w:r>
      <w:proofErr w:type="spellEnd"/>
      <w:r w:rsidRPr="00CE4C3C">
        <w:rPr>
          <w:rFonts w:ascii="Times New Roman" w:eastAsia="Times New Roman" w:hAnsi="Times New Roman" w:cs="Times New Roman"/>
          <w:lang w:eastAsia="lt-LT"/>
        </w:rPr>
        <w:t xml:space="preserve"> arba be </w:t>
      </w:r>
      <w:proofErr w:type="spellStart"/>
      <w:r w:rsidRPr="00CE4C3C">
        <w:rPr>
          <w:rFonts w:ascii="Times New Roman" w:eastAsia="Times New Roman" w:hAnsi="Times New Roman" w:cs="Times New Roman"/>
          <w:lang w:eastAsia="lt-LT"/>
        </w:rPr>
        <w:t>neutropenijos</w:t>
      </w:r>
      <w:proofErr w:type="spellEnd"/>
      <w:r w:rsidRPr="00CE4C3C">
        <w:rPr>
          <w:rFonts w:ascii="Times New Roman" w:eastAsia="Times New Roman" w:hAnsi="Times New Roman" w:cs="Times New Roman"/>
          <w:lang w:eastAsia="lt-LT"/>
        </w:rPr>
        <w:t xml:space="preserve">, įskaitant keletą mirtimi pasibaigusių atvejų. Pranešta apie nedažnus </w:t>
      </w:r>
      <w:proofErr w:type="spellStart"/>
      <w:r w:rsidRPr="00CE4C3C">
        <w:rPr>
          <w:rFonts w:ascii="Times New Roman" w:eastAsia="Times New Roman" w:hAnsi="Times New Roman" w:cs="Times New Roman"/>
          <w:lang w:eastAsia="lt-LT"/>
        </w:rPr>
        <w:t>nekrozuojančio</w:t>
      </w:r>
      <w:proofErr w:type="spellEnd"/>
      <w:r w:rsidRPr="00CE4C3C">
        <w:rPr>
          <w:rFonts w:ascii="Times New Roman" w:eastAsia="Times New Roman" w:hAnsi="Times New Roman" w:cs="Times New Roman"/>
          <w:lang w:eastAsia="lt-LT"/>
        </w:rPr>
        <w:t xml:space="preserve"> </w:t>
      </w:r>
      <w:proofErr w:type="spellStart"/>
      <w:r w:rsidRPr="00CE4C3C">
        <w:rPr>
          <w:rFonts w:ascii="Times New Roman" w:eastAsia="Times New Roman" w:hAnsi="Times New Roman" w:cs="Times New Roman"/>
          <w:lang w:eastAsia="lt-LT"/>
        </w:rPr>
        <w:t>fascito</w:t>
      </w:r>
      <w:proofErr w:type="spellEnd"/>
      <w:r w:rsidRPr="00CE4C3C">
        <w:rPr>
          <w:rFonts w:ascii="Times New Roman" w:eastAsia="Times New Roman" w:hAnsi="Times New Roman" w:cs="Times New Roman"/>
          <w:lang w:eastAsia="lt-LT"/>
        </w:rPr>
        <w:t xml:space="preserve">, įskaitant </w:t>
      </w:r>
      <w:proofErr w:type="spellStart"/>
      <w:r w:rsidRPr="00CE4C3C">
        <w:rPr>
          <w:rFonts w:ascii="Times New Roman" w:eastAsia="Times New Roman" w:hAnsi="Times New Roman" w:cs="Times New Roman"/>
          <w:lang w:eastAsia="lt-LT"/>
        </w:rPr>
        <w:t>tarpvietės</w:t>
      </w:r>
      <w:proofErr w:type="spellEnd"/>
      <w:r w:rsidRPr="00CE4C3C">
        <w:rPr>
          <w:rFonts w:ascii="Times New Roman" w:eastAsia="Times New Roman" w:hAnsi="Times New Roman" w:cs="Times New Roman"/>
          <w:lang w:eastAsia="lt-LT"/>
        </w:rPr>
        <w:t xml:space="preserve"> </w:t>
      </w:r>
      <w:proofErr w:type="spellStart"/>
      <w:r w:rsidRPr="00CE4C3C">
        <w:rPr>
          <w:rFonts w:ascii="Times New Roman" w:eastAsia="Times New Roman" w:hAnsi="Times New Roman" w:cs="Times New Roman"/>
          <w:lang w:eastAsia="lt-LT"/>
        </w:rPr>
        <w:t>fascitą</w:t>
      </w:r>
      <w:proofErr w:type="spellEnd"/>
      <w:r w:rsidRPr="00CE4C3C">
        <w:rPr>
          <w:rFonts w:ascii="Times New Roman" w:eastAsia="Times New Roman" w:hAnsi="Times New Roman" w:cs="Times New Roman"/>
          <w:lang w:eastAsia="lt-LT"/>
        </w:rPr>
        <w:t xml:space="preserve">, retkarčiais pasibaigusio mirtimi, atvejus (žr. 4.8 skyrių). </w:t>
      </w:r>
    </w:p>
    <w:p w14:paraId="4785EF19"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7832707D" w14:textId="396606DB"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Pacientams, kuriems pasireiškia </w:t>
      </w:r>
      <w:proofErr w:type="spellStart"/>
      <w:r w:rsidRPr="00CE4C3C">
        <w:rPr>
          <w:rFonts w:ascii="Times New Roman" w:eastAsia="Times New Roman" w:hAnsi="Times New Roman" w:cs="Times New Roman"/>
          <w:lang w:eastAsia="lt-LT"/>
        </w:rPr>
        <w:t>nekrozuojantis</w:t>
      </w:r>
      <w:proofErr w:type="spellEnd"/>
      <w:r w:rsidRPr="00CE4C3C">
        <w:rPr>
          <w:rFonts w:ascii="Times New Roman" w:eastAsia="Times New Roman" w:hAnsi="Times New Roman" w:cs="Times New Roman"/>
          <w:lang w:eastAsia="lt-LT"/>
        </w:rPr>
        <w:t xml:space="preserve"> </w:t>
      </w:r>
      <w:proofErr w:type="spellStart"/>
      <w:r w:rsidRPr="00CE4C3C">
        <w:rPr>
          <w:rFonts w:ascii="Times New Roman" w:eastAsia="Times New Roman" w:hAnsi="Times New Roman" w:cs="Times New Roman"/>
          <w:lang w:eastAsia="lt-LT"/>
        </w:rPr>
        <w:t>fascitas</w:t>
      </w:r>
      <w:proofErr w:type="spellEnd"/>
      <w:r w:rsidRPr="00CE4C3C">
        <w:rPr>
          <w:rFonts w:ascii="Times New Roman" w:eastAsia="Times New Roman" w:hAnsi="Times New Roman" w:cs="Times New Roman"/>
          <w:lang w:eastAsia="lt-LT"/>
        </w:rPr>
        <w:t xml:space="preserve">, gydymą </w:t>
      </w:r>
      <w:proofErr w:type="spellStart"/>
      <w:r w:rsidRPr="00CE4C3C">
        <w:rPr>
          <w:rFonts w:ascii="Times New Roman" w:eastAsia="Times New Roman" w:hAnsi="Times New Roman" w:cs="Times New Roman"/>
          <w:lang w:eastAsia="lt-LT"/>
        </w:rPr>
        <w:t>sunitinibu</w:t>
      </w:r>
      <w:proofErr w:type="spellEnd"/>
      <w:r w:rsidRPr="00CE4C3C">
        <w:rPr>
          <w:rFonts w:ascii="Times New Roman" w:eastAsia="Times New Roman" w:hAnsi="Times New Roman" w:cs="Times New Roman"/>
          <w:lang w:eastAsia="lt-LT"/>
        </w:rPr>
        <w:t xml:space="preserve"> reikia nutraukti ir nedelsiant pradėti reikiamą gydymą.</w:t>
      </w:r>
    </w:p>
    <w:p w14:paraId="4212668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56F3C093"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Hipoglikemija</w:t>
      </w:r>
    </w:p>
    <w:p w14:paraId="602FB373" w14:textId="6DC7169A"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Gydant sunitinibu buvo gauta pranešimų apie sumažėjus</w:t>
      </w:r>
      <w:r w:rsidR="00EF7AD1">
        <w:rPr>
          <w:rFonts w:ascii="Times New Roman" w:eastAsia="Times New Roman" w:hAnsi="Times New Roman" w:cs="Times New Roman"/>
          <w:lang w:eastAsia="lt-LT"/>
        </w:rPr>
        <w:t>ią</w:t>
      </w:r>
      <w:r w:rsidRPr="00CE4C3C">
        <w:rPr>
          <w:rFonts w:ascii="Times New Roman" w:eastAsia="Times New Roman" w:hAnsi="Times New Roman" w:cs="Times New Roman"/>
          <w:lang w:eastAsia="lt-LT"/>
        </w:rPr>
        <w:t xml:space="preserve"> gliukozės </w:t>
      </w:r>
      <w:r w:rsidR="00EF7AD1">
        <w:rPr>
          <w:rFonts w:ascii="Times New Roman" w:eastAsia="Times New Roman" w:hAnsi="Times New Roman" w:cs="Times New Roman"/>
          <w:lang w:eastAsia="lt-LT"/>
        </w:rPr>
        <w:t>koncentraciją</w:t>
      </w:r>
      <w:r w:rsidRPr="00CE4C3C">
        <w:rPr>
          <w:rFonts w:ascii="Times New Roman" w:eastAsia="Times New Roman" w:hAnsi="Times New Roman" w:cs="Times New Roman"/>
          <w:lang w:eastAsia="lt-LT"/>
        </w:rPr>
        <w:t xml:space="preserve"> kraujyje, dėl kurio keliais atvejais pasireiškė klinikinių simptomų</w:t>
      </w:r>
      <w:r w:rsidR="00EF7AD1">
        <w:rPr>
          <w:rFonts w:ascii="Times New Roman" w:eastAsia="Times New Roman" w:hAnsi="Times New Roman" w:cs="Times New Roman"/>
          <w:lang w:eastAsia="lt-LT"/>
        </w:rPr>
        <w:t>,</w:t>
      </w:r>
      <w:r w:rsidRPr="00CE4C3C">
        <w:rPr>
          <w:rFonts w:ascii="Times New Roman" w:eastAsia="Times New Roman" w:hAnsi="Times New Roman" w:cs="Times New Roman"/>
          <w:lang w:eastAsia="lt-LT"/>
        </w:rPr>
        <w:t xml:space="preserve"> ir </w:t>
      </w:r>
      <w:r w:rsidR="00EF7AD1">
        <w:rPr>
          <w:rFonts w:ascii="Times New Roman" w:eastAsia="Times New Roman" w:hAnsi="Times New Roman" w:cs="Times New Roman"/>
          <w:lang w:eastAsia="lt-LT"/>
        </w:rPr>
        <w:t xml:space="preserve">hospitalizacijos </w:t>
      </w:r>
      <w:r w:rsidRPr="00CE4C3C">
        <w:rPr>
          <w:rFonts w:ascii="Times New Roman" w:eastAsia="Times New Roman" w:hAnsi="Times New Roman" w:cs="Times New Roman"/>
          <w:lang w:eastAsia="lt-LT"/>
        </w:rPr>
        <w:t>poreik</w:t>
      </w:r>
      <w:r w:rsidR="00EF7AD1">
        <w:rPr>
          <w:rFonts w:ascii="Times New Roman" w:eastAsia="Times New Roman" w:hAnsi="Times New Roman" w:cs="Times New Roman"/>
          <w:lang w:eastAsia="lt-LT"/>
        </w:rPr>
        <w:t>į</w:t>
      </w:r>
      <w:r w:rsidRPr="00CE4C3C">
        <w:rPr>
          <w:rFonts w:ascii="Times New Roman" w:eastAsia="Times New Roman" w:hAnsi="Times New Roman" w:cs="Times New Roman"/>
          <w:lang w:eastAsia="lt-LT"/>
        </w:rPr>
        <w:t xml:space="preserve"> dėl sąmonės </w:t>
      </w:r>
      <w:r w:rsidR="002A71F1">
        <w:rPr>
          <w:rFonts w:ascii="Times New Roman" w:eastAsia="Times New Roman" w:hAnsi="Times New Roman" w:cs="Times New Roman"/>
          <w:lang w:eastAsia="lt-LT"/>
        </w:rPr>
        <w:t>sutrikimo</w:t>
      </w:r>
      <w:r w:rsidRPr="00CE4C3C">
        <w:rPr>
          <w:rFonts w:ascii="Times New Roman" w:eastAsia="Times New Roman" w:hAnsi="Times New Roman" w:cs="Times New Roman"/>
          <w:lang w:eastAsia="lt-LT"/>
        </w:rPr>
        <w:t>.</w:t>
      </w:r>
    </w:p>
    <w:p w14:paraId="210419C5" w14:textId="09BB105A" w:rsidR="00F17A0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Simptominės hipoglikemijos atveju gydymą sunitinibu reikia laikinai pertraukti. Reikia reguliariai tikrinti cukriniu diabetu sergančių pacientų gliukozės </w:t>
      </w:r>
      <w:r w:rsidR="002A71F1">
        <w:rPr>
          <w:rFonts w:ascii="Times New Roman" w:eastAsia="Times New Roman" w:hAnsi="Times New Roman" w:cs="Times New Roman"/>
          <w:lang w:eastAsia="lt-LT"/>
        </w:rPr>
        <w:t>koncentraciją</w:t>
      </w:r>
      <w:r w:rsidRPr="00CE4C3C">
        <w:rPr>
          <w:rFonts w:ascii="Times New Roman" w:eastAsia="Times New Roman" w:hAnsi="Times New Roman" w:cs="Times New Roman"/>
          <w:lang w:eastAsia="lt-LT"/>
        </w:rPr>
        <w:t xml:space="preserve"> kraujyje, kad būtų galima įvertinti, ar siekiant sumažinti iki minimumo hipoglikemijos riziką nereikia koreguoti cukriniam diabetui gydyti skiriamo vaistinio preparato dozės (žr. 4.8 skyrių).</w:t>
      </w:r>
    </w:p>
    <w:p w14:paraId="7DDB3C09" w14:textId="77777777" w:rsidR="004F4091" w:rsidRDefault="004F4091" w:rsidP="00CE4C3C">
      <w:pPr>
        <w:tabs>
          <w:tab w:val="left" w:pos="567"/>
        </w:tabs>
        <w:spacing w:line="240" w:lineRule="auto"/>
        <w:rPr>
          <w:rFonts w:ascii="Times New Roman" w:eastAsia="Times New Roman" w:hAnsi="Times New Roman" w:cs="Times New Roman"/>
          <w:lang w:eastAsia="lt-LT"/>
        </w:rPr>
      </w:pPr>
    </w:p>
    <w:p w14:paraId="2E03D93A" w14:textId="77777777" w:rsidR="004F4091" w:rsidRDefault="004F4091" w:rsidP="00CE4C3C">
      <w:pPr>
        <w:tabs>
          <w:tab w:val="left" w:pos="567"/>
        </w:tabs>
        <w:spacing w:line="240" w:lineRule="auto"/>
        <w:rPr>
          <w:rFonts w:ascii="Times New Roman" w:eastAsia="Times New Roman" w:hAnsi="Times New Roman" w:cs="Times New Roman"/>
          <w:lang w:eastAsia="lt-LT"/>
        </w:rPr>
      </w:pPr>
      <w:proofErr w:type="spellStart"/>
      <w:r w:rsidRPr="004F4091">
        <w:rPr>
          <w:rFonts w:ascii="Times New Roman" w:eastAsia="Times New Roman" w:hAnsi="Times New Roman" w:cs="Times New Roman"/>
          <w:lang w:eastAsia="lt-LT"/>
        </w:rPr>
        <w:t>Hiperamoneminė</w:t>
      </w:r>
      <w:proofErr w:type="spellEnd"/>
      <w:r w:rsidRPr="004F4091">
        <w:rPr>
          <w:rFonts w:ascii="Times New Roman" w:eastAsia="Times New Roman" w:hAnsi="Times New Roman" w:cs="Times New Roman"/>
          <w:lang w:eastAsia="lt-LT"/>
        </w:rPr>
        <w:t xml:space="preserve"> </w:t>
      </w:r>
      <w:proofErr w:type="spellStart"/>
      <w:r w:rsidRPr="004F4091">
        <w:rPr>
          <w:rFonts w:ascii="Times New Roman" w:eastAsia="Times New Roman" w:hAnsi="Times New Roman" w:cs="Times New Roman"/>
          <w:lang w:eastAsia="lt-LT"/>
        </w:rPr>
        <w:t>encefalopatija</w:t>
      </w:r>
      <w:proofErr w:type="spellEnd"/>
    </w:p>
    <w:p w14:paraId="1037D501" w14:textId="49B17FF5" w:rsidR="004F4091" w:rsidRPr="00CE4C3C" w:rsidRDefault="004F4091" w:rsidP="00CE4C3C">
      <w:pPr>
        <w:tabs>
          <w:tab w:val="left" w:pos="567"/>
        </w:tabs>
        <w:spacing w:line="240" w:lineRule="auto"/>
        <w:rPr>
          <w:rFonts w:ascii="Times New Roman" w:eastAsia="Times New Roman" w:hAnsi="Times New Roman" w:cs="Times New Roman"/>
          <w:lang w:eastAsia="lt-LT"/>
        </w:rPr>
      </w:pPr>
      <w:r w:rsidRPr="004F4091">
        <w:rPr>
          <w:rFonts w:ascii="Times New Roman" w:eastAsia="Times New Roman" w:hAnsi="Times New Roman" w:cs="Times New Roman"/>
          <w:lang w:eastAsia="lt-LT"/>
        </w:rPr>
        <w:t>Vartojant sunitinib</w:t>
      </w:r>
      <w:r>
        <w:rPr>
          <w:rFonts w:ascii="Times New Roman" w:eastAsia="Times New Roman" w:hAnsi="Times New Roman" w:cs="Times New Roman"/>
          <w:lang w:eastAsia="lt-LT"/>
        </w:rPr>
        <w:t>o</w:t>
      </w:r>
      <w:r w:rsidRPr="004F4091">
        <w:rPr>
          <w:rFonts w:ascii="Times New Roman" w:eastAsia="Times New Roman" w:hAnsi="Times New Roman" w:cs="Times New Roman"/>
          <w:lang w:eastAsia="lt-LT"/>
        </w:rPr>
        <w:t xml:space="preserve"> pasireiškė hiperamoneminė encefalopatija (žr. 4.8 skyrių). Pacientams, kuriems ima reikštis nepaaiškinama letargija ar psichikos būklės pokyčiai, reikia nustatyti amoniako koncentraciją kraujyje ir pradėti tinkamą klinikinį gydymą.</w:t>
      </w:r>
    </w:p>
    <w:p w14:paraId="355D6FF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5C9DF315" w14:textId="77777777" w:rsidR="00F17A0C" w:rsidRPr="00CE4C3C" w:rsidRDefault="00F17A0C" w:rsidP="00CE4C3C">
      <w:pPr>
        <w:tabs>
          <w:tab w:val="left" w:pos="567"/>
        </w:tabs>
        <w:spacing w:line="240" w:lineRule="auto"/>
        <w:rPr>
          <w:rFonts w:ascii="Times New Roman" w:eastAsia="Times New Roman" w:hAnsi="Times New Roman" w:cs="Times New Roman"/>
          <w:i/>
          <w:u w:val="single"/>
          <w:lang w:eastAsia="lt-LT"/>
        </w:rPr>
      </w:pPr>
      <w:r w:rsidRPr="00CE4C3C">
        <w:rPr>
          <w:rFonts w:ascii="Times New Roman" w:eastAsia="Times New Roman" w:hAnsi="Times New Roman" w:cs="Times New Roman"/>
          <w:i/>
          <w:u w:val="single"/>
          <w:lang w:eastAsia="lt-LT"/>
        </w:rPr>
        <w:t>Natris</w:t>
      </w:r>
    </w:p>
    <w:p w14:paraId="328352FB"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Šio vaistinio preparato vienoje kietojoje kapsulėje yra mažiau kaip 1 </w:t>
      </w:r>
      <w:proofErr w:type="spellStart"/>
      <w:r w:rsidRPr="00CE4C3C">
        <w:rPr>
          <w:rFonts w:ascii="Times New Roman" w:eastAsia="Times New Roman" w:hAnsi="Times New Roman" w:cs="Times New Roman"/>
          <w:lang w:eastAsia="lt-LT"/>
        </w:rPr>
        <w:t>mmol</w:t>
      </w:r>
      <w:proofErr w:type="spellEnd"/>
      <w:r w:rsidRPr="00CE4C3C">
        <w:rPr>
          <w:rFonts w:ascii="Times New Roman" w:eastAsia="Times New Roman" w:hAnsi="Times New Roman" w:cs="Times New Roman"/>
          <w:lang w:eastAsia="lt-LT"/>
        </w:rPr>
        <w:t xml:space="preserve"> (23 mg) natrio, t.</w:t>
      </w:r>
      <w:r w:rsidR="0023708D" w:rsidRPr="00CE4C3C">
        <w:rPr>
          <w:rFonts w:ascii="Times New Roman" w:eastAsia="Times New Roman" w:hAnsi="Times New Roman" w:cs="Times New Roman"/>
          <w:lang w:eastAsia="lt-LT"/>
        </w:rPr>
        <w:t xml:space="preserve"> </w:t>
      </w:r>
      <w:r w:rsidRPr="00CE4C3C">
        <w:rPr>
          <w:rFonts w:ascii="Times New Roman" w:eastAsia="Times New Roman" w:hAnsi="Times New Roman" w:cs="Times New Roman"/>
          <w:lang w:eastAsia="lt-LT"/>
        </w:rPr>
        <w:t>y. jis beveik neturi reikšmės.</w:t>
      </w:r>
    </w:p>
    <w:p w14:paraId="731345AA"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45648CD5" w14:textId="77777777" w:rsidR="00F17A0C" w:rsidRPr="00CE4C3C" w:rsidRDefault="00F17A0C" w:rsidP="00CE4C3C">
      <w:pPr>
        <w:tabs>
          <w:tab w:val="left" w:pos="567"/>
        </w:tabs>
        <w:spacing w:line="240" w:lineRule="auto"/>
        <w:ind w:left="567" w:hanging="567"/>
        <w:rPr>
          <w:rFonts w:ascii="Times New Roman" w:eastAsia="Times New Roman" w:hAnsi="Times New Roman" w:cs="Times New Roman"/>
          <w:lang w:eastAsia="lt-LT"/>
        </w:rPr>
      </w:pPr>
      <w:r w:rsidRPr="00CE4C3C">
        <w:rPr>
          <w:rFonts w:ascii="Times New Roman" w:eastAsia="Times New Roman" w:hAnsi="Times New Roman" w:cs="Times New Roman"/>
          <w:b/>
          <w:lang w:eastAsia="lt-LT"/>
        </w:rPr>
        <w:t>4.5</w:t>
      </w:r>
      <w:r w:rsidRPr="00CE4C3C">
        <w:rPr>
          <w:rFonts w:ascii="Times New Roman" w:eastAsia="Times New Roman" w:hAnsi="Times New Roman" w:cs="Times New Roman"/>
          <w:b/>
          <w:lang w:eastAsia="lt-LT"/>
        </w:rPr>
        <w:tab/>
        <w:t>Sąveika su kitais vaistiniais preparatais ir kitokia sąveika</w:t>
      </w:r>
    </w:p>
    <w:p w14:paraId="3D7BADC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4CC79D4A"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Sąveikos tyrimai atlikti tik suaugusiesiems.</w:t>
      </w:r>
    </w:p>
    <w:p w14:paraId="20E9F77A"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4AC7C3C2"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Vaistiniai preparatai, galintys didinti sunitinibo koncentracijas plazmoje</w:t>
      </w:r>
    </w:p>
    <w:p w14:paraId="6CADCB68" w14:textId="77777777" w:rsidR="00F17A0C" w:rsidRPr="00CE4C3C" w:rsidRDefault="00F17A0C" w:rsidP="00CE4C3C">
      <w:pPr>
        <w:tabs>
          <w:tab w:val="left" w:pos="567"/>
        </w:tabs>
        <w:spacing w:line="240" w:lineRule="auto"/>
        <w:rPr>
          <w:rFonts w:ascii="Times New Roman" w:eastAsia="Times New Roman" w:hAnsi="Times New Roman" w:cs="Times New Roman"/>
          <w:i/>
          <w:lang w:eastAsia="lt-LT"/>
        </w:rPr>
      </w:pPr>
    </w:p>
    <w:p w14:paraId="62613E21" w14:textId="77777777" w:rsidR="00F17A0C" w:rsidRPr="00CE4C3C" w:rsidRDefault="00F17A0C" w:rsidP="00CE4C3C">
      <w:pPr>
        <w:tabs>
          <w:tab w:val="left" w:pos="567"/>
        </w:tabs>
        <w:spacing w:line="240" w:lineRule="auto"/>
        <w:rPr>
          <w:rFonts w:ascii="Times New Roman" w:eastAsia="Times New Roman" w:hAnsi="Times New Roman" w:cs="Times New Roman"/>
          <w:i/>
          <w:lang w:eastAsia="lt-LT"/>
        </w:rPr>
      </w:pPr>
      <w:r w:rsidRPr="00CE4C3C">
        <w:rPr>
          <w:rFonts w:ascii="Times New Roman" w:eastAsia="Times New Roman" w:hAnsi="Times New Roman" w:cs="Times New Roman"/>
          <w:i/>
          <w:lang w:eastAsia="lt-LT"/>
        </w:rPr>
        <w:t>CYP3A4 inhibitorių poveikis</w:t>
      </w:r>
    </w:p>
    <w:p w14:paraId="479960D0"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Vienkartinę sunitinibo dozę kartu su stipriu CYP3A4 inhibitoriumi </w:t>
      </w:r>
      <w:proofErr w:type="spellStart"/>
      <w:r w:rsidRPr="00CE4C3C">
        <w:rPr>
          <w:rFonts w:ascii="Times New Roman" w:eastAsia="Times New Roman" w:hAnsi="Times New Roman" w:cs="Times New Roman"/>
          <w:lang w:eastAsia="lt-LT"/>
        </w:rPr>
        <w:t>ketokonazolu</w:t>
      </w:r>
      <w:proofErr w:type="spellEnd"/>
      <w:r w:rsidRPr="00CE4C3C">
        <w:rPr>
          <w:rFonts w:ascii="Times New Roman" w:eastAsia="Times New Roman" w:hAnsi="Times New Roman" w:cs="Times New Roman"/>
          <w:lang w:eastAsia="lt-LT"/>
        </w:rPr>
        <w:t xml:space="preserve"> išgėrusių sveikų savanorių organizme jungtinė [sunitinibo ir pagrindinio metabolito] maksimali koncentracija (</w:t>
      </w:r>
      <w:proofErr w:type="spellStart"/>
      <w:r w:rsidRPr="00CE4C3C">
        <w:rPr>
          <w:rFonts w:ascii="Times New Roman" w:eastAsia="Times New Roman" w:hAnsi="Times New Roman" w:cs="Times New Roman"/>
          <w:lang w:eastAsia="lt-LT"/>
        </w:rPr>
        <w:t>C</w:t>
      </w:r>
      <w:r w:rsidRPr="00CE4C3C">
        <w:rPr>
          <w:rFonts w:ascii="Times New Roman" w:eastAsia="Times New Roman" w:hAnsi="Times New Roman" w:cs="Times New Roman"/>
          <w:vertAlign w:val="subscript"/>
          <w:lang w:eastAsia="lt-LT"/>
        </w:rPr>
        <w:t>max</w:t>
      </w:r>
      <w:proofErr w:type="spellEnd"/>
      <w:r w:rsidRPr="00CE4C3C">
        <w:rPr>
          <w:rFonts w:ascii="Times New Roman" w:eastAsia="Times New Roman" w:hAnsi="Times New Roman" w:cs="Times New Roman"/>
          <w:lang w:eastAsia="lt-LT"/>
        </w:rPr>
        <w:t>) ir plotas po kreive (AUC</w:t>
      </w:r>
      <w:r w:rsidRPr="00CE4C3C">
        <w:rPr>
          <w:rFonts w:ascii="Times New Roman" w:eastAsia="Times New Roman" w:hAnsi="Times New Roman" w:cs="Times New Roman"/>
          <w:vertAlign w:val="subscript"/>
          <w:lang w:eastAsia="lt-LT"/>
        </w:rPr>
        <w:t>0-∞</w:t>
      </w:r>
      <w:r w:rsidRPr="00CE4C3C">
        <w:rPr>
          <w:rFonts w:ascii="Times New Roman" w:eastAsia="Times New Roman" w:hAnsi="Times New Roman" w:cs="Times New Roman"/>
          <w:lang w:eastAsia="lt-LT"/>
        </w:rPr>
        <w:t>) padidėjo atitinkamai 49 % ir 51 %.</w:t>
      </w:r>
    </w:p>
    <w:p w14:paraId="6223E9D2"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16CE0A76"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Sunitinibo vartojant kartu su stipriais CYP3A4 inhibitoriais (pvz.: </w:t>
      </w:r>
      <w:proofErr w:type="spellStart"/>
      <w:r w:rsidRPr="00CE4C3C">
        <w:rPr>
          <w:rFonts w:ascii="Times New Roman" w:eastAsia="Times New Roman" w:hAnsi="Times New Roman" w:cs="Times New Roman"/>
          <w:lang w:eastAsia="lt-LT"/>
        </w:rPr>
        <w:t>ritonaviru</w:t>
      </w:r>
      <w:proofErr w:type="spellEnd"/>
      <w:r w:rsidRPr="00CE4C3C">
        <w:rPr>
          <w:rFonts w:ascii="Times New Roman" w:eastAsia="Times New Roman" w:hAnsi="Times New Roman" w:cs="Times New Roman"/>
          <w:lang w:eastAsia="lt-LT"/>
        </w:rPr>
        <w:t xml:space="preserve">, </w:t>
      </w:r>
      <w:proofErr w:type="spellStart"/>
      <w:r w:rsidRPr="00CE4C3C">
        <w:rPr>
          <w:rFonts w:ascii="Times New Roman" w:eastAsia="Times New Roman" w:hAnsi="Times New Roman" w:cs="Times New Roman"/>
          <w:lang w:eastAsia="lt-LT"/>
        </w:rPr>
        <w:t>itrakonazolu</w:t>
      </w:r>
      <w:proofErr w:type="spellEnd"/>
      <w:r w:rsidRPr="00CE4C3C">
        <w:rPr>
          <w:rFonts w:ascii="Times New Roman" w:eastAsia="Times New Roman" w:hAnsi="Times New Roman" w:cs="Times New Roman"/>
          <w:lang w:eastAsia="lt-LT"/>
        </w:rPr>
        <w:t xml:space="preserve">, </w:t>
      </w:r>
      <w:proofErr w:type="spellStart"/>
      <w:r w:rsidRPr="00CE4C3C">
        <w:rPr>
          <w:rFonts w:ascii="Times New Roman" w:eastAsia="Times New Roman" w:hAnsi="Times New Roman" w:cs="Times New Roman"/>
          <w:lang w:eastAsia="lt-LT"/>
        </w:rPr>
        <w:t>eritromicinu</w:t>
      </w:r>
      <w:proofErr w:type="spellEnd"/>
      <w:r w:rsidRPr="00CE4C3C">
        <w:rPr>
          <w:rFonts w:ascii="Times New Roman" w:eastAsia="Times New Roman" w:hAnsi="Times New Roman" w:cs="Times New Roman"/>
          <w:lang w:eastAsia="lt-LT"/>
        </w:rPr>
        <w:t xml:space="preserve">, </w:t>
      </w:r>
      <w:proofErr w:type="spellStart"/>
      <w:r w:rsidRPr="00CE4C3C">
        <w:rPr>
          <w:rFonts w:ascii="Times New Roman" w:eastAsia="Times New Roman" w:hAnsi="Times New Roman" w:cs="Times New Roman"/>
          <w:lang w:eastAsia="lt-LT"/>
        </w:rPr>
        <w:t>klaritromicinu</w:t>
      </w:r>
      <w:proofErr w:type="spellEnd"/>
      <w:r w:rsidRPr="00CE4C3C">
        <w:rPr>
          <w:rFonts w:ascii="Times New Roman" w:eastAsia="Times New Roman" w:hAnsi="Times New Roman" w:cs="Times New Roman"/>
          <w:lang w:eastAsia="lt-LT"/>
        </w:rPr>
        <w:t>, greipfrutų sultimis) sunitinibo koncentracijos gali padidėti.</w:t>
      </w:r>
    </w:p>
    <w:p w14:paraId="79741D4A"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7694AA92"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Todėl vaistinio preparato vartoti kartu su CYP3A4 </w:t>
      </w:r>
      <w:proofErr w:type="spellStart"/>
      <w:r w:rsidRPr="00CE4C3C">
        <w:rPr>
          <w:rFonts w:ascii="Times New Roman" w:eastAsia="Times New Roman" w:hAnsi="Times New Roman" w:cs="Times New Roman"/>
          <w:lang w:eastAsia="lt-LT"/>
        </w:rPr>
        <w:t>izofermentų</w:t>
      </w:r>
      <w:proofErr w:type="spellEnd"/>
      <w:r w:rsidRPr="00CE4C3C">
        <w:rPr>
          <w:rFonts w:ascii="Times New Roman" w:eastAsia="Times New Roman" w:hAnsi="Times New Roman" w:cs="Times New Roman"/>
          <w:lang w:eastAsia="lt-LT"/>
        </w:rPr>
        <w:t xml:space="preserve"> inhibitoriais turi būti vengiama arba turi būti apgalvotas alternatyvių kartu vartojamų vaistinių preparatų, kurie neslopina arba gali tik minimaliai slopinti CYP3A4, parinkimas.</w:t>
      </w:r>
    </w:p>
    <w:p w14:paraId="4060ABA2"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57A544C9"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Jeigu tai neįmanoma, remiantis atidžiu toleravimo stebėjimu gali reikėti sumažinti </w:t>
      </w:r>
      <w:r w:rsidR="005F5F39" w:rsidRPr="00CE4C3C">
        <w:rPr>
          <w:rFonts w:ascii="Times New Roman" w:eastAsia="Times New Roman" w:hAnsi="Times New Roman" w:cs="Times New Roman"/>
          <w:lang w:eastAsia="lt-LT"/>
        </w:rPr>
        <w:t>Klertis</w:t>
      </w:r>
      <w:r w:rsidRPr="00CE4C3C">
        <w:rPr>
          <w:rFonts w:ascii="Times New Roman" w:eastAsia="Times New Roman" w:hAnsi="Times New Roman" w:cs="Times New Roman"/>
          <w:lang w:eastAsia="lt-LT"/>
        </w:rPr>
        <w:t xml:space="preserve"> paros dozę iki mažiausios 37,5 mg dozės GIST ir MILK atvejais arba iki 25 mg – </w:t>
      </w:r>
      <w:proofErr w:type="spellStart"/>
      <w:r w:rsidRPr="00CE4C3C">
        <w:rPr>
          <w:rFonts w:ascii="Times New Roman" w:eastAsia="Times New Roman" w:hAnsi="Times New Roman" w:cs="Times New Roman"/>
          <w:lang w:eastAsia="lt-LT"/>
        </w:rPr>
        <w:t>kNEN</w:t>
      </w:r>
      <w:proofErr w:type="spellEnd"/>
      <w:r w:rsidRPr="00CE4C3C">
        <w:rPr>
          <w:rFonts w:ascii="Times New Roman" w:eastAsia="Times New Roman" w:hAnsi="Times New Roman" w:cs="Times New Roman"/>
          <w:lang w:eastAsia="lt-LT"/>
        </w:rPr>
        <w:t xml:space="preserve"> atveju (žr. 4.2 skyrių).</w:t>
      </w:r>
    </w:p>
    <w:p w14:paraId="7A4CB22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6B5C5C69" w14:textId="77777777" w:rsidR="00F17A0C" w:rsidRPr="00CE4C3C" w:rsidRDefault="00F17A0C" w:rsidP="00CE4C3C">
      <w:pPr>
        <w:tabs>
          <w:tab w:val="left" w:pos="567"/>
        </w:tabs>
        <w:spacing w:line="240" w:lineRule="auto"/>
        <w:rPr>
          <w:rFonts w:ascii="Times New Roman" w:eastAsia="Times New Roman" w:hAnsi="Times New Roman" w:cs="Times New Roman"/>
          <w:i/>
          <w:lang w:eastAsia="lt-LT"/>
        </w:rPr>
      </w:pPr>
      <w:r w:rsidRPr="00CE4C3C">
        <w:rPr>
          <w:rFonts w:ascii="Times New Roman" w:eastAsia="Times New Roman" w:hAnsi="Times New Roman" w:cs="Times New Roman"/>
          <w:i/>
          <w:lang w:eastAsia="lt-LT"/>
        </w:rPr>
        <w:t>Krūties vėžio atsparumo baltymo (KVAB) inhibitorių poveikis</w:t>
      </w:r>
    </w:p>
    <w:p w14:paraId="51520FEB"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Klinikinių duomenų apie sunitinibo ir KVAB inhibitorių sąveiką nepakanka, todėl sunitinibo ir kitų KVAB inhibitorių sąveikos galimybė negali būti paneigta (žr. 5.2 skyrių).</w:t>
      </w:r>
    </w:p>
    <w:p w14:paraId="54399A3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40DEF744"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Vaistiniai preparatai, galintys mažinti sunitinibo koncentracijas plazmoje</w:t>
      </w:r>
    </w:p>
    <w:p w14:paraId="44C0D521" w14:textId="77777777" w:rsidR="00F17A0C" w:rsidRPr="00CE4C3C" w:rsidRDefault="00F17A0C" w:rsidP="00CE4C3C">
      <w:pPr>
        <w:tabs>
          <w:tab w:val="left" w:pos="567"/>
        </w:tabs>
        <w:spacing w:line="240" w:lineRule="auto"/>
        <w:rPr>
          <w:rFonts w:ascii="Times New Roman" w:eastAsia="Times New Roman" w:hAnsi="Times New Roman" w:cs="Times New Roman"/>
          <w:i/>
          <w:lang w:eastAsia="lt-LT"/>
        </w:rPr>
      </w:pPr>
    </w:p>
    <w:p w14:paraId="34BD1C45" w14:textId="77777777" w:rsidR="00F17A0C" w:rsidRPr="00CE4C3C" w:rsidRDefault="00F17A0C" w:rsidP="00CE4C3C">
      <w:pPr>
        <w:tabs>
          <w:tab w:val="left" w:pos="567"/>
        </w:tabs>
        <w:spacing w:line="240" w:lineRule="auto"/>
        <w:rPr>
          <w:rFonts w:ascii="Times New Roman" w:eastAsia="Times New Roman" w:hAnsi="Times New Roman" w:cs="Times New Roman"/>
          <w:i/>
          <w:lang w:eastAsia="lt-LT"/>
        </w:rPr>
      </w:pPr>
      <w:r w:rsidRPr="00CE4C3C">
        <w:rPr>
          <w:rFonts w:ascii="Times New Roman" w:eastAsia="Times New Roman" w:hAnsi="Times New Roman" w:cs="Times New Roman"/>
          <w:i/>
          <w:lang w:eastAsia="lt-LT"/>
        </w:rPr>
        <w:t xml:space="preserve">CYP3A4 </w:t>
      </w:r>
      <w:proofErr w:type="spellStart"/>
      <w:r w:rsidRPr="00CE4C3C">
        <w:rPr>
          <w:rFonts w:ascii="Times New Roman" w:eastAsia="Times New Roman" w:hAnsi="Times New Roman" w:cs="Times New Roman"/>
          <w:i/>
          <w:lang w:eastAsia="lt-LT"/>
        </w:rPr>
        <w:t>induktorių</w:t>
      </w:r>
      <w:proofErr w:type="spellEnd"/>
      <w:r w:rsidRPr="00CE4C3C">
        <w:rPr>
          <w:rFonts w:ascii="Times New Roman" w:eastAsia="Times New Roman" w:hAnsi="Times New Roman" w:cs="Times New Roman"/>
          <w:i/>
          <w:lang w:eastAsia="lt-LT"/>
        </w:rPr>
        <w:t xml:space="preserve"> poveikis</w:t>
      </w:r>
    </w:p>
    <w:p w14:paraId="55F24F4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Vienkartinę sunitinibo dozę kartu su stipriu CYP3A4 </w:t>
      </w:r>
      <w:proofErr w:type="spellStart"/>
      <w:r w:rsidRPr="00CE4C3C">
        <w:rPr>
          <w:rFonts w:ascii="Times New Roman" w:eastAsia="Times New Roman" w:hAnsi="Times New Roman" w:cs="Times New Roman"/>
          <w:lang w:eastAsia="lt-LT"/>
        </w:rPr>
        <w:t>induktoriumi</w:t>
      </w:r>
      <w:proofErr w:type="spellEnd"/>
      <w:r w:rsidRPr="00CE4C3C">
        <w:rPr>
          <w:rFonts w:ascii="Times New Roman" w:eastAsia="Times New Roman" w:hAnsi="Times New Roman" w:cs="Times New Roman"/>
          <w:lang w:eastAsia="lt-LT"/>
        </w:rPr>
        <w:t xml:space="preserve"> </w:t>
      </w:r>
      <w:proofErr w:type="spellStart"/>
      <w:r w:rsidRPr="00CE4C3C">
        <w:rPr>
          <w:rFonts w:ascii="Times New Roman" w:eastAsia="Times New Roman" w:hAnsi="Times New Roman" w:cs="Times New Roman"/>
          <w:lang w:eastAsia="lt-LT"/>
        </w:rPr>
        <w:t>rifampicinu</w:t>
      </w:r>
      <w:proofErr w:type="spellEnd"/>
      <w:r w:rsidRPr="00CE4C3C">
        <w:rPr>
          <w:rFonts w:ascii="Times New Roman" w:eastAsia="Times New Roman" w:hAnsi="Times New Roman" w:cs="Times New Roman"/>
          <w:lang w:eastAsia="lt-LT"/>
        </w:rPr>
        <w:t xml:space="preserve"> išgėrusių sveikų savanorių organizme jungtinė [sunitinibo ir pagrindinio metabolito] maksimali koncentracija (</w:t>
      </w:r>
      <w:proofErr w:type="spellStart"/>
      <w:r w:rsidRPr="00CE4C3C">
        <w:rPr>
          <w:rFonts w:ascii="Times New Roman" w:eastAsia="Times New Roman" w:hAnsi="Times New Roman" w:cs="Times New Roman"/>
          <w:lang w:eastAsia="lt-LT"/>
        </w:rPr>
        <w:t>C</w:t>
      </w:r>
      <w:r w:rsidRPr="00CE4C3C">
        <w:rPr>
          <w:rFonts w:ascii="Times New Roman" w:eastAsia="Times New Roman" w:hAnsi="Times New Roman" w:cs="Times New Roman"/>
          <w:vertAlign w:val="subscript"/>
          <w:lang w:eastAsia="lt-LT"/>
        </w:rPr>
        <w:t>max</w:t>
      </w:r>
      <w:proofErr w:type="spellEnd"/>
      <w:r w:rsidRPr="00CE4C3C">
        <w:rPr>
          <w:rFonts w:ascii="Times New Roman" w:eastAsia="Times New Roman" w:hAnsi="Times New Roman" w:cs="Times New Roman"/>
          <w:lang w:eastAsia="lt-LT"/>
        </w:rPr>
        <w:t>) ir plotas po koncentracijos ir laiko kreive (AUC</w:t>
      </w:r>
      <w:r w:rsidRPr="00CE4C3C">
        <w:rPr>
          <w:rFonts w:ascii="Times New Roman" w:eastAsia="Times New Roman" w:hAnsi="Times New Roman" w:cs="Times New Roman"/>
          <w:vertAlign w:val="subscript"/>
          <w:lang w:eastAsia="lt-LT"/>
        </w:rPr>
        <w:t>0-∞</w:t>
      </w:r>
      <w:r w:rsidRPr="00CE4C3C">
        <w:rPr>
          <w:rFonts w:ascii="Times New Roman" w:eastAsia="Times New Roman" w:hAnsi="Times New Roman" w:cs="Times New Roman"/>
          <w:lang w:eastAsia="lt-LT"/>
        </w:rPr>
        <w:t>) sumažėjo atitinkamai 23 % ir 46 %.</w:t>
      </w:r>
    </w:p>
    <w:p w14:paraId="4BD7D97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32BF7EE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roofErr w:type="spellStart"/>
      <w:r w:rsidRPr="00CE4C3C">
        <w:rPr>
          <w:rFonts w:ascii="Times New Roman" w:eastAsia="Times New Roman" w:hAnsi="Times New Roman" w:cs="Times New Roman"/>
          <w:lang w:eastAsia="lt-LT"/>
        </w:rPr>
        <w:t>Sunitinibą</w:t>
      </w:r>
      <w:proofErr w:type="spellEnd"/>
      <w:r w:rsidRPr="00CE4C3C">
        <w:rPr>
          <w:rFonts w:ascii="Times New Roman" w:eastAsia="Times New Roman" w:hAnsi="Times New Roman" w:cs="Times New Roman"/>
          <w:lang w:eastAsia="lt-LT"/>
        </w:rPr>
        <w:t xml:space="preserve"> vartojant kartu su stipriais CYP3A4 </w:t>
      </w:r>
      <w:proofErr w:type="spellStart"/>
      <w:r w:rsidRPr="00CE4C3C">
        <w:rPr>
          <w:rFonts w:ascii="Times New Roman" w:eastAsia="Times New Roman" w:hAnsi="Times New Roman" w:cs="Times New Roman"/>
          <w:lang w:eastAsia="lt-LT"/>
        </w:rPr>
        <w:t>induktoriais</w:t>
      </w:r>
      <w:proofErr w:type="spellEnd"/>
      <w:r w:rsidRPr="00CE4C3C">
        <w:rPr>
          <w:rFonts w:ascii="Times New Roman" w:eastAsia="Times New Roman" w:hAnsi="Times New Roman" w:cs="Times New Roman"/>
          <w:lang w:eastAsia="lt-LT"/>
        </w:rPr>
        <w:t xml:space="preserve"> (pvz.: </w:t>
      </w:r>
      <w:proofErr w:type="spellStart"/>
      <w:r w:rsidRPr="00CE4C3C">
        <w:rPr>
          <w:rFonts w:ascii="Times New Roman" w:eastAsia="Times New Roman" w:hAnsi="Times New Roman" w:cs="Times New Roman"/>
          <w:lang w:eastAsia="lt-LT"/>
        </w:rPr>
        <w:t>deksametazonu</w:t>
      </w:r>
      <w:proofErr w:type="spellEnd"/>
      <w:r w:rsidRPr="00CE4C3C">
        <w:rPr>
          <w:rFonts w:ascii="Times New Roman" w:eastAsia="Times New Roman" w:hAnsi="Times New Roman" w:cs="Times New Roman"/>
          <w:lang w:eastAsia="lt-LT"/>
        </w:rPr>
        <w:t xml:space="preserve">, </w:t>
      </w:r>
      <w:proofErr w:type="spellStart"/>
      <w:r w:rsidRPr="00CE4C3C">
        <w:rPr>
          <w:rFonts w:ascii="Times New Roman" w:eastAsia="Times New Roman" w:hAnsi="Times New Roman" w:cs="Times New Roman"/>
          <w:lang w:eastAsia="lt-LT"/>
        </w:rPr>
        <w:t>fenitoinu</w:t>
      </w:r>
      <w:proofErr w:type="spellEnd"/>
      <w:r w:rsidRPr="00CE4C3C">
        <w:rPr>
          <w:rFonts w:ascii="Times New Roman" w:eastAsia="Times New Roman" w:hAnsi="Times New Roman" w:cs="Times New Roman"/>
          <w:lang w:eastAsia="lt-LT"/>
        </w:rPr>
        <w:t xml:space="preserve">, </w:t>
      </w:r>
      <w:proofErr w:type="spellStart"/>
      <w:r w:rsidRPr="00CE4C3C">
        <w:rPr>
          <w:rFonts w:ascii="Times New Roman" w:eastAsia="Times New Roman" w:hAnsi="Times New Roman" w:cs="Times New Roman"/>
          <w:lang w:eastAsia="lt-LT"/>
        </w:rPr>
        <w:t>karbamazepinu</w:t>
      </w:r>
      <w:proofErr w:type="spellEnd"/>
      <w:r w:rsidRPr="00CE4C3C">
        <w:rPr>
          <w:rFonts w:ascii="Times New Roman" w:eastAsia="Times New Roman" w:hAnsi="Times New Roman" w:cs="Times New Roman"/>
          <w:lang w:eastAsia="lt-LT"/>
        </w:rPr>
        <w:t xml:space="preserve">, </w:t>
      </w:r>
      <w:proofErr w:type="spellStart"/>
      <w:r w:rsidRPr="00CE4C3C">
        <w:rPr>
          <w:rFonts w:ascii="Times New Roman" w:eastAsia="Times New Roman" w:hAnsi="Times New Roman" w:cs="Times New Roman"/>
          <w:lang w:eastAsia="lt-LT"/>
        </w:rPr>
        <w:t>rifampicinu</w:t>
      </w:r>
      <w:proofErr w:type="spellEnd"/>
      <w:r w:rsidRPr="00CE4C3C">
        <w:rPr>
          <w:rFonts w:ascii="Times New Roman" w:eastAsia="Times New Roman" w:hAnsi="Times New Roman" w:cs="Times New Roman"/>
          <w:lang w:eastAsia="lt-LT"/>
        </w:rPr>
        <w:t xml:space="preserve">, </w:t>
      </w:r>
      <w:proofErr w:type="spellStart"/>
      <w:r w:rsidRPr="00CE4C3C">
        <w:rPr>
          <w:rFonts w:ascii="Times New Roman" w:eastAsia="Times New Roman" w:hAnsi="Times New Roman" w:cs="Times New Roman"/>
          <w:lang w:eastAsia="lt-LT"/>
        </w:rPr>
        <w:t>fenobarbitaliu</w:t>
      </w:r>
      <w:proofErr w:type="spellEnd"/>
      <w:r w:rsidRPr="00CE4C3C">
        <w:rPr>
          <w:rFonts w:ascii="Times New Roman" w:eastAsia="Times New Roman" w:hAnsi="Times New Roman" w:cs="Times New Roman"/>
          <w:lang w:eastAsia="lt-LT"/>
        </w:rPr>
        <w:t xml:space="preserve"> ar augaliniais preparatais, kurių sudėtyje yra jonažolių (</w:t>
      </w:r>
      <w:proofErr w:type="spellStart"/>
      <w:r w:rsidRPr="00CE4C3C">
        <w:rPr>
          <w:rFonts w:ascii="Times New Roman" w:eastAsia="Times New Roman" w:hAnsi="Times New Roman" w:cs="Times New Roman"/>
          <w:i/>
          <w:lang w:eastAsia="lt-LT"/>
        </w:rPr>
        <w:t>Hypericum</w:t>
      </w:r>
      <w:proofErr w:type="spellEnd"/>
      <w:r w:rsidRPr="00CE4C3C">
        <w:rPr>
          <w:rFonts w:ascii="Times New Roman" w:eastAsia="Times New Roman" w:hAnsi="Times New Roman" w:cs="Times New Roman"/>
          <w:i/>
          <w:lang w:eastAsia="lt-LT"/>
        </w:rPr>
        <w:t xml:space="preserve"> </w:t>
      </w:r>
      <w:proofErr w:type="spellStart"/>
      <w:r w:rsidRPr="00CE4C3C">
        <w:rPr>
          <w:rFonts w:ascii="Times New Roman" w:eastAsia="Times New Roman" w:hAnsi="Times New Roman" w:cs="Times New Roman"/>
          <w:i/>
          <w:lang w:eastAsia="lt-LT"/>
        </w:rPr>
        <w:t>perforatum</w:t>
      </w:r>
      <w:proofErr w:type="spellEnd"/>
      <w:r w:rsidRPr="00CE4C3C">
        <w:rPr>
          <w:rFonts w:ascii="Times New Roman" w:eastAsia="Times New Roman" w:hAnsi="Times New Roman" w:cs="Times New Roman"/>
          <w:lang w:eastAsia="lt-LT"/>
        </w:rPr>
        <w:t xml:space="preserve">), </w:t>
      </w:r>
      <w:proofErr w:type="spellStart"/>
      <w:r w:rsidRPr="00CE4C3C">
        <w:rPr>
          <w:rFonts w:ascii="Times New Roman" w:eastAsia="Times New Roman" w:hAnsi="Times New Roman" w:cs="Times New Roman"/>
          <w:lang w:eastAsia="lt-LT"/>
        </w:rPr>
        <w:t>sunitinibo</w:t>
      </w:r>
      <w:proofErr w:type="spellEnd"/>
      <w:r w:rsidRPr="00CE4C3C">
        <w:rPr>
          <w:rFonts w:ascii="Times New Roman" w:eastAsia="Times New Roman" w:hAnsi="Times New Roman" w:cs="Times New Roman"/>
          <w:lang w:eastAsia="lt-LT"/>
        </w:rPr>
        <w:t xml:space="preserve"> koncentracija gali sumažėti. Taigi, vaistinio preparato vartoti kartu su CYP3A4 </w:t>
      </w:r>
      <w:proofErr w:type="spellStart"/>
      <w:r w:rsidRPr="00CE4C3C">
        <w:rPr>
          <w:rFonts w:ascii="Times New Roman" w:eastAsia="Times New Roman" w:hAnsi="Times New Roman" w:cs="Times New Roman"/>
          <w:lang w:eastAsia="lt-LT"/>
        </w:rPr>
        <w:t>induktoriais</w:t>
      </w:r>
      <w:proofErr w:type="spellEnd"/>
      <w:r w:rsidRPr="00CE4C3C">
        <w:rPr>
          <w:rFonts w:ascii="Times New Roman" w:eastAsia="Times New Roman" w:hAnsi="Times New Roman" w:cs="Times New Roman"/>
          <w:lang w:eastAsia="lt-LT"/>
        </w:rPr>
        <w:t xml:space="preserve"> turi būti vengiama arba būtina apgalvoti alternatyvių kartu vartojamų vaistinių preparatų, kurie neindukuoja arba gali tik minimaliai indukuoti CYP3A4, parinkimą. Jeigu tai neįmanoma, remiantis atidžiu toleravimo stebėjimu</w:t>
      </w:r>
      <w:r w:rsidR="0023708D" w:rsidRPr="00CE4C3C">
        <w:rPr>
          <w:rFonts w:ascii="Times New Roman" w:eastAsia="Times New Roman" w:hAnsi="Times New Roman" w:cs="Times New Roman"/>
          <w:lang w:eastAsia="lt-LT"/>
        </w:rPr>
        <w:t>,</w:t>
      </w:r>
      <w:r w:rsidRPr="00CE4C3C">
        <w:rPr>
          <w:rFonts w:ascii="Times New Roman" w:eastAsia="Times New Roman" w:hAnsi="Times New Roman" w:cs="Times New Roman"/>
          <w:lang w:eastAsia="lt-LT"/>
        </w:rPr>
        <w:t xml:space="preserve"> </w:t>
      </w:r>
      <w:r w:rsidR="0023708D" w:rsidRPr="00CE4C3C">
        <w:rPr>
          <w:rFonts w:ascii="Times New Roman" w:eastAsia="Times New Roman" w:hAnsi="Times New Roman" w:cs="Times New Roman"/>
          <w:lang w:eastAsia="lt-LT"/>
        </w:rPr>
        <w:t>sunitinibo</w:t>
      </w:r>
      <w:r w:rsidRPr="00CE4C3C">
        <w:rPr>
          <w:rFonts w:ascii="Times New Roman" w:eastAsia="Times New Roman" w:hAnsi="Times New Roman" w:cs="Times New Roman"/>
          <w:lang w:eastAsia="lt-LT"/>
        </w:rPr>
        <w:t xml:space="preserve"> dozę gali reikėti didinti po 12,5 mg (iki didžiausios 87,5 mg paros dozės GIST ir MILK atvejais arba iki 62,5 mg – </w:t>
      </w:r>
      <w:proofErr w:type="spellStart"/>
      <w:r w:rsidRPr="00CE4C3C">
        <w:rPr>
          <w:rFonts w:ascii="Times New Roman" w:eastAsia="Times New Roman" w:hAnsi="Times New Roman" w:cs="Times New Roman"/>
          <w:lang w:eastAsia="lt-LT"/>
        </w:rPr>
        <w:t>kNEN</w:t>
      </w:r>
      <w:proofErr w:type="spellEnd"/>
      <w:r w:rsidRPr="00CE4C3C">
        <w:rPr>
          <w:rFonts w:ascii="Times New Roman" w:eastAsia="Times New Roman" w:hAnsi="Times New Roman" w:cs="Times New Roman"/>
          <w:lang w:eastAsia="lt-LT"/>
        </w:rPr>
        <w:t xml:space="preserve"> atveju) (žr. 4.2</w:t>
      </w:r>
      <w:r w:rsidR="0023708D" w:rsidRPr="00CE4C3C">
        <w:rPr>
          <w:rFonts w:ascii="Times New Roman" w:eastAsia="Times New Roman" w:hAnsi="Times New Roman" w:cs="Times New Roman"/>
          <w:lang w:eastAsia="lt-LT"/>
        </w:rPr>
        <w:t> </w:t>
      </w:r>
      <w:r w:rsidRPr="00CE4C3C">
        <w:rPr>
          <w:rFonts w:ascii="Times New Roman" w:eastAsia="Times New Roman" w:hAnsi="Times New Roman" w:cs="Times New Roman"/>
          <w:lang w:eastAsia="lt-LT"/>
        </w:rPr>
        <w:t>skyrių).</w:t>
      </w:r>
    </w:p>
    <w:p w14:paraId="7775473A"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693A62F2" w14:textId="77777777" w:rsidR="00F17A0C" w:rsidRPr="00CE4C3C" w:rsidRDefault="00F17A0C" w:rsidP="00CE4C3C">
      <w:pPr>
        <w:tabs>
          <w:tab w:val="left" w:pos="567"/>
        </w:tabs>
        <w:spacing w:line="240" w:lineRule="auto"/>
        <w:ind w:left="567" w:hanging="567"/>
        <w:rPr>
          <w:rFonts w:ascii="Times New Roman" w:eastAsia="Times New Roman" w:hAnsi="Times New Roman" w:cs="Times New Roman"/>
          <w:lang w:eastAsia="lt-LT"/>
        </w:rPr>
      </w:pPr>
      <w:r w:rsidRPr="00CE4C3C">
        <w:rPr>
          <w:rFonts w:ascii="Times New Roman" w:eastAsia="Times New Roman" w:hAnsi="Times New Roman" w:cs="Times New Roman"/>
          <w:b/>
          <w:lang w:eastAsia="lt-LT"/>
        </w:rPr>
        <w:t>4.6</w:t>
      </w:r>
      <w:r w:rsidRPr="00CE4C3C">
        <w:rPr>
          <w:rFonts w:ascii="Times New Roman" w:eastAsia="Times New Roman" w:hAnsi="Times New Roman" w:cs="Times New Roman"/>
          <w:b/>
          <w:lang w:eastAsia="lt-LT"/>
        </w:rPr>
        <w:tab/>
        <w:t>Vaisingumas, nėštumo ir žindymo laikotarpis</w:t>
      </w:r>
    </w:p>
    <w:p w14:paraId="7FF2C6E3"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1FC4DEAA"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 xml:space="preserve">Vyrų ir moterų kontracepcija </w:t>
      </w:r>
    </w:p>
    <w:p w14:paraId="5E9EDE52" w14:textId="686F10A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Vaisingo</w:t>
      </w:r>
      <w:r w:rsidR="002A71F1">
        <w:rPr>
          <w:rFonts w:ascii="Times New Roman" w:eastAsia="Times New Roman" w:hAnsi="Times New Roman" w:cs="Times New Roman"/>
          <w:lang w:eastAsia="lt-LT"/>
        </w:rPr>
        <w:t>ms</w:t>
      </w:r>
      <w:r w:rsidRPr="00CE4C3C">
        <w:rPr>
          <w:rFonts w:ascii="Times New Roman" w:eastAsia="Times New Roman" w:hAnsi="Times New Roman" w:cs="Times New Roman"/>
          <w:lang w:eastAsia="lt-LT"/>
        </w:rPr>
        <w:t xml:space="preserve"> moteris būtina įspėti, kad gydymo sunitinibu laikotarpiu reikia naudoti veiksmingą kontracepcijos metodą ir vengti pastojimo.</w:t>
      </w:r>
    </w:p>
    <w:p w14:paraId="0FC3E35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68F4EAC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u w:val="single"/>
          <w:lang w:eastAsia="lt-LT"/>
        </w:rPr>
        <w:t>Nėštumas</w:t>
      </w:r>
    </w:p>
    <w:p w14:paraId="16E099C9"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Sunitinibo vartojimo nėščioms moterims tyrimų neatlikta. Su gyvūnais atlikti tyrimai parodė toksinį poveikį reprodukcijai, įskaitant vaisiaus formavimosi ydas (žr. 5.3 skyrių). Nėščiosios ir nenaudojančios veiksmingo kontracepcijos metodo moterys </w:t>
      </w:r>
      <w:r w:rsidR="00207950" w:rsidRPr="00CE4C3C">
        <w:rPr>
          <w:rFonts w:ascii="Times New Roman" w:eastAsia="Times New Roman" w:hAnsi="Times New Roman" w:cs="Times New Roman"/>
          <w:lang w:eastAsia="lt-LT"/>
        </w:rPr>
        <w:t>sunitinibo</w:t>
      </w:r>
      <w:r w:rsidRPr="00CE4C3C">
        <w:rPr>
          <w:rFonts w:ascii="Times New Roman" w:eastAsia="Times New Roman" w:hAnsi="Times New Roman" w:cs="Times New Roman"/>
          <w:lang w:eastAsia="lt-LT"/>
        </w:rPr>
        <w:t xml:space="preserve"> tur</w:t>
      </w:r>
      <w:r w:rsidR="00207950" w:rsidRPr="00CE4C3C">
        <w:rPr>
          <w:rFonts w:ascii="Times New Roman" w:eastAsia="Times New Roman" w:hAnsi="Times New Roman" w:cs="Times New Roman"/>
          <w:lang w:eastAsia="lt-LT"/>
        </w:rPr>
        <w:t>ėtų</w:t>
      </w:r>
      <w:r w:rsidRPr="00CE4C3C">
        <w:rPr>
          <w:rFonts w:ascii="Times New Roman" w:eastAsia="Times New Roman" w:hAnsi="Times New Roman" w:cs="Times New Roman"/>
          <w:lang w:eastAsia="lt-LT"/>
        </w:rPr>
        <w:t xml:space="preserve"> nevartoti, nebent galima nauda pateisina galimą riziką vaisiui. Jeigu sunitinibo vartojama nėštumo metu arba sunitinibu gydoma pacientė pastojo, ji turi būti informuota apie galimą pavojų vaisiui.</w:t>
      </w:r>
    </w:p>
    <w:p w14:paraId="4178694B"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436C41B4"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Žindymas</w:t>
      </w:r>
    </w:p>
    <w:p w14:paraId="2B217FF7" w14:textId="22538912"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Sunitinibas ir (arba) jo metabolitai  išs</w:t>
      </w:r>
      <w:r w:rsidR="002A71F1">
        <w:rPr>
          <w:rFonts w:ascii="Times New Roman" w:eastAsia="Times New Roman" w:hAnsi="Times New Roman" w:cs="Times New Roman"/>
          <w:lang w:eastAsia="lt-LT"/>
        </w:rPr>
        <w:t>is</w:t>
      </w:r>
      <w:r w:rsidRPr="00CE4C3C">
        <w:rPr>
          <w:rFonts w:ascii="Times New Roman" w:eastAsia="Times New Roman" w:hAnsi="Times New Roman" w:cs="Times New Roman"/>
          <w:lang w:eastAsia="lt-LT"/>
        </w:rPr>
        <w:t>kiria į žiurkės pieną. Ar sunitinibo ir jo pagrindinio veikliojo metabolito patenka į moters pieną, nežinoma. Kadangi veikliosios medžiagos paprastai išs</w:t>
      </w:r>
      <w:r w:rsidR="002A71F1">
        <w:rPr>
          <w:rFonts w:ascii="Times New Roman" w:eastAsia="Times New Roman" w:hAnsi="Times New Roman" w:cs="Times New Roman"/>
          <w:lang w:eastAsia="lt-LT"/>
        </w:rPr>
        <w:t>is</w:t>
      </w:r>
      <w:r w:rsidRPr="00CE4C3C">
        <w:rPr>
          <w:rFonts w:ascii="Times New Roman" w:eastAsia="Times New Roman" w:hAnsi="Times New Roman" w:cs="Times New Roman"/>
          <w:lang w:eastAsia="lt-LT"/>
        </w:rPr>
        <w:t>kiria į moters pieną ir kadangi galimos sunkios nepageidaujamos reakcijos žindomam kūdikiui, moterys turi nežindyti, kol vartoja sunitinibo.</w:t>
      </w:r>
    </w:p>
    <w:p w14:paraId="3F36FDF3"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3BB9173D"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lastRenderedPageBreak/>
        <w:t>Vaisingumas</w:t>
      </w:r>
    </w:p>
    <w:p w14:paraId="46BD4F5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Remiantis ikiklinikinių tyrimų duomenimis, sunitinibu gydomų vyrų ir moterų vaisingumas gali sutrikti (žr. 5.3 skyrių).</w:t>
      </w:r>
    </w:p>
    <w:p w14:paraId="6799575A"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00B911FC" w14:textId="77777777" w:rsidR="00F17A0C" w:rsidRPr="00CE4C3C" w:rsidRDefault="00F17A0C" w:rsidP="00CE4C3C">
      <w:pPr>
        <w:tabs>
          <w:tab w:val="left" w:pos="567"/>
        </w:tabs>
        <w:spacing w:line="240" w:lineRule="auto"/>
        <w:ind w:left="567" w:hanging="567"/>
        <w:rPr>
          <w:rFonts w:ascii="Times New Roman" w:eastAsia="Times New Roman" w:hAnsi="Times New Roman" w:cs="Times New Roman"/>
          <w:lang w:eastAsia="lt-LT"/>
        </w:rPr>
      </w:pPr>
      <w:r w:rsidRPr="00CE4C3C">
        <w:rPr>
          <w:rFonts w:ascii="Times New Roman" w:eastAsia="Times New Roman" w:hAnsi="Times New Roman" w:cs="Times New Roman"/>
          <w:b/>
          <w:lang w:eastAsia="lt-LT"/>
        </w:rPr>
        <w:t>4.7</w:t>
      </w:r>
      <w:r w:rsidRPr="00CE4C3C">
        <w:rPr>
          <w:rFonts w:ascii="Times New Roman" w:eastAsia="Times New Roman" w:hAnsi="Times New Roman" w:cs="Times New Roman"/>
          <w:b/>
          <w:lang w:eastAsia="lt-LT"/>
        </w:rPr>
        <w:tab/>
        <w:t>Poveikis gebėjimui vairuoti ir valdyti mechanizmus</w:t>
      </w:r>
    </w:p>
    <w:p w14:paraId="56F38E71"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58AC7119" w14:textId="79BE3BCC" w:rsidR="00F17A0C" w:rsidRPr="00CE4C3C" w:rsidRDefault="005F5F39"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Klertis</w:t>
      </w:r>
      <w:r w:rsidR="00F17A0C" w:rsidRPr="00CE4C3C">
        <w:rPr>
          <w:rFonts w:ascii="Times New Roman" w:eastAsia="Times New Roman" w:hAnsi="Times New Roman" w:cs="Times New Roman"/>
          <w:lang w:eastAsia="lt-LT"/>
        </w:rPr>
        <w:t xml:space="preserve"> gebėjimą vairuoti ir valdyti mechanizmus veikia silpnai. Pacientai turi būti informuoti</w:t>
      </w:r>
      <w:r w:rsidR="00207950" w:rsidRPr="00CE4C3C">
        <w:rPr>
          <w:rFonts w:ascii="Times New Roman" w:eastAsia="Times New Roman" w:hAnsi="Times New Roman" w:cs="Times New Roman"/>
          <w:lang w:eastAsia="lt-LT"/>
        </w:rPr>
        <w:t>,</w:t>
      </w:r>
      <w:r w:rsidR="00F17A0C" w:rsidRPr="00CE4C3C">
        <w:rPr>
          <w:rFonts w:ascii="Times New Roman" w:eastAsia="Times New Roman" w:hAnsi="Times New Roman" w:cs="Times New Roman"/>
          <w:lang w:eastAsia="lt-LT"/>
        </w:rPr>
        <w:t xml:space="preserve"> kad gydymo sunitinibu metu </w:t>
      </w:r>
      <w:r w:rsidR="00944B6F">
        <w:rPr>
          <w:rFonts w:ascii="Times New Roman" w:eastAsia="Times New Roman" w:hAnsi="Times New Roman" w:cs="Times New Roman"/>
          <w:lang w:eastAsia="lt-LT"/>
        </w:rPr>
        <w:t xml:space="preserve">gali </w:t>
      </w:r>
      <w:r w:rsidR="002A71F1">
        <w:rPr>
          <w:rFonts w:ascii="Times New Roman" w:eastAsia="Times New Roman" w:hAnsi="Times New Roman" w:cs="Times New Roman"/>
          <w:lang w:eastAsia="lt-LT"/>
        </w:rPr>
        <w:t>jausti svaigulį</w:t>
      </w:r>
      <w:r w:rsidR="00F17A0C" w:rsidRPr="00CE4C3C">
        <w:rPr>
          <w:rFonts w:ascii="Times New Roman" w:eastAsia="Times New Roman" w:hAnsi="Times New Roman" w:cs="Times New Roman"/>
          <w:lang w:eastAsia="lt-LT"/>
        </w:rPr>
        <w:t xml:space="preserve">. </w:t>
      </w:r>
    </w:p>
    <w:p w14:paraId="6A7BAE89"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25E3B189" w14:textId="77777777" w:rsidR="00F17A0C" w:rsidRPr="00CE4C3C" w:rsidRDefault="00F17A0C" w:rsidP="00CE4C3C">
      <w:pPr>
        <w:tabs>
          <w:tab w:val="left" w:pos="567"/>
        </w:tabs>
        <w:spacing w:line="240" w:lineRule="auto"/>
        <w:rPr>
          <w:rFonts w:ascii="Times New Roman" w:eastAsia="Times New Roman" w:hAnsi="Times New Roman" w:cs="Times New Roman"/>
          <w:b/>
          <w:lang w:eastAsia="lt-LT"/>
        </w:rPr>
      </w:pPr>
      <w:r w:rsidRPr="00CE4C3C">
        <w:rPr>
          <w:rFonts w:ascii="Times New Roman" w:eastAsia="Times New Roman" w:hAnsi="Times New Roman" w:cs="Times New Roman"/>
          <w:b/>
          <w:lang w:eastAsia="lt-LT"/>
        </w:rPr>
        <w:t>4.8</w:t>
      </w:r>
      <w:r w:rsidRPr="00CE4C3C">
        <w:rPr>
          <w:rFonts w:ascii="Times New Roman" w:eastAsia="Times New Roman" w:hAnsi="Times New Roman" w:cs="Times New Roman"/>
          <w:b/>
          <w:lang w:eastAsia="lt-LT"/>
        </w:rPr>
        <w:tab/>
        <w:t>Nepageidaujamas poveikis</w:t>
      </w:r>
    </w:p>
    <w:p w14:paraId="2B1EA099"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rPr>
      </w:pPr>
    </w:p>
    <w:p w14:paraId="5103E087"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 xml:space="preserve">Saugumo duomenų santrauka </w:t>
      </w:r>
    </w:p>
    <w:p w14:paraId="1CC977CF"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Sunkiausios su sunitinibo vartojimu susijusios nepageidaujamos reakcijos, kartais mirtinos, buvo inkstų nepakankamumas, širdies nepakankamumas, plaučių embolija, virškinimo trakto perforacija ir kraujavimai (pvz., kraujavimas iš kvėpavimo takų, virškinimo trakto, naviko, šlapimo takų ir į smegenis). Dažniausios bet kurio sunkumo nepageidaujamos reakcijos (pacientų ,sergančių ILK, GIST ir </w:t>
      </w:r>
      <w:proofErr w:type="spellStart"/>
      <w:r w:rsidRPr="00CE4C3C">
        <w:rPr>
          <w:rFonts w:ascii="Times New Roman" w:eastAsia="Times New Roman" w:hAnsi="Times New Roman" w:cs="Times New Roman"/>
          <w:lang w:eastAsia="lt-LT"/>
        </w:rPr>
        <w:t>kNEN</w:t>
      </w:r>
      <w:proofErr w:type="spellEnd"/>
      <w:r w:rsidRPr="00CE4C3C">
        <w:rPr>
          <w:rFonts w:ascii="Times New Roman" w:eastAsia="Times New Roman" w:hAnsi="Times New Roman" w:cs="Times New Roman"/>
          <w:lang w:eastAsia="lt-LT"/>
        </w:rPr>
        <w:t xml:space="preserve"> registracijos tyrimų duomenimis) buvo apetito sumažėjimas, skonio pojūčio sutrikimas, hipertenzija, nuovargis, virškinimo trakto sutrikimai (pvz.: viduriavimas, pykinimas, stomatitas, dispepsija ir vėmimas), odos spalvos pokyčiai bei delnų ir padų </w:t>
      </w:r>
      <w:proofErr w:type="spellStart"/>
      <w:r w:rsidRPr="00CE4C3C">
        <w:rPr>
          <w:rFonts w:ascii="Times New Roman" w:eastAsia="Times New Roman" w:hAnsi="Times New Roman" w:cs="Times New Roman"/>
          <w:lang w:eastAsia="lt-LT"/>
        </w:rPr>
        <w:t>eritrodizestezijos</w:t>
      </w:r>
      <w:proofErr w:type="spellEnd"/>
      <w:r w:rsidRPr="00CE4C3C">
        <w:rPr>
          <w:rFonts w:ascii="Times New Roman" w:eastAsia="Times New Roman" w:hAnsi="Times New Roman" w:cs="Times New Roman"/>
          <w:lang w:eastAsia="lt-LT"/>
        </w:rPr>
        <w:t xml:space="preserve"> sindromas. Šie simptomai gali silpnėti tęsiant gydymą. Gydymo metu gali pasireikšti </w:t>
      </w:r>
      <w:proofErr w:type="spellStart"/>
      <w:r w:rsidRPr="00CE4C3C">
        <w:rPr>
          <w:rFonts w:ascii="Times New Roman" w:eastAsia="Times New Roman" w:hAnsi="Times New Roman" w:cs="Times New Roman"/>
          <w:lang w:eastAsia="lt-LT"/>
        </w:rPr>
        <w:t>hipotirozė</w:t>
      </w:r>
      <w:proofErr w:type="spellEnd"/>
      <w:r w:rsidRPr="00CE4C3C">
        <w:rPr>
          <w:rFonts w:ascii="Times New Roman" w:eastAsia="Times New Roman" w:hAnsi="Times New Roman" w:cs="Times New Roman"/>
          <w:lang w:eastAsia="lt-LT"/>
        </w:rPr>
        <w:t xml:space="preserve">. Vieni iš dažniausių nepageidaujamų reakcijų į vaistinį preparatą yra kraujodaros sutrikimai (pvz. </w:t>
      </w:r>
      <w:proofErr w:type="spellStart"/>
      <w:r w:rsidRPr="00CE4C3C">
        <w:rPr>
          <w:rFonts w:ascii="Times New Roman" w:eastAsia="Times New Roman" w:hAnsi="Times New Roman" w:cs="Times New Roman"/>
          <w:lang w:eastAsia="lt-LT"/>
        </w:rPr>
        <w:t>neutropenija</w:t>
      </w:r>
      <w:proofErr w:type="spellEnd"/>
      <w:r w:rsidRPr="00CE4C3C">
        <w:rPr>
          <w:rFonts w:ascii="Times New Roman" w:eastAsia="Times New Roman" w:hAnsi="Times New Roman" w:cs="Times New Roman"/>
          <w:lang w:eastAsia="lt-LT"/>
        </w:rPr>
        <w:t xml:space="preserve">, </w:t>
      </w:r>
      <w:proofErr w:type="spellStart"/>
      <w:r w:rsidRPr="00CE4C3C">
        <w:rPr>
          <w:rFonts w:ascii="Times New Roman" w:eastAsia="Times New Roman" w:hAnsi="Times New Roman" w:cs="Times New Roman"/>
          <w:lang w:eastAsia="lt-LT"/>
        </w:rPr>
        <w:t>trombocitopenija</w:t>
      </w:r>
      <w:proofErr w:type="spellEnd"/>
      <w:r w:rsidRPr="00CE4C3C">
        <w:rPr>
          <w:rFonts w:ascii="Times New Roman" w:eastAsia="Times New Roman" w:hAnsi="Times New Roman" w:cs="Times New Roman"/>
          <w:lang w:eastAsia="lt-LT"/>
        </w:rPr>
        <w:t xml:space="preserve"> ir anemija).</w:t>
      </w:r>
    </w:p>
    <w:p w14:paraId="7805EEBA"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rPr>
      </w:pPr>
    </w:p>
    <w:p w14:paraId="16A44E0F"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Mirtini reiškiniai, kitokie nei išvardyti anksčiau 4.4 skyriuje arba toliau 4.8 skyriuje, kurie laikomi galimai susiję su sunitinibu, buvo šie: daugelio organų sistemų funkcijos nepakankamumas, </w:t>
      </w:r>
      <w:proofErr w:type="spellStart"/>
      <w:r w:rsidRPr="00CE4C3C">
        <w:rPr>
          <w:rFonts w:ascii="Times New Roman" w:eastAsia="Times New Roman" w:hAnsi="Times New Roman" w:cs="Times New Roman"/>
          <w:lang w:eastAsia="lt-LT"/>
        </w:rPr>
        <w:t>diseminuota</w:t>
      </w:r>
      <w:proofErr w:type="spellEnd"/>
      <w:r w:rsidRPr="00CE4C3C">
        <w:rPr>
          <w:rFonts w:ascii="Times New Roman" w:eastAsia="Times New Roman" w:hAnsi="Times New Roman" w:cs="Times New Roman"/>
          <w:lang w:eastAsia="lt-LT"/>
        </w:rPr>
        <w:t xml:space="preserve"> </w:t>
      </w:r>
      <w:proofErr w:type="spellStart"/>
      <w:r w:rsidRPr="00CE4C3C">
        <w:rPr>
          <w:rFonts w:ascii="Times New Roman" w:eastAsia="Times New Roman" w:hAnsi="Times New Roman" w:cs="Times New Roman"/>
          <w:lang w:eastAsia="lt-LT"/>
        </w:rPr>
        <w:t>intravaskulinė</w:t>
      </w:r>
      <w:proofErr w:type="spellEnd"/>
      <w:r w:rsidRPr="00CE4C3C">
        <w:rPr>
          <w:rFonts w:ascii="Times New Roman" w:eastAsia="Times New Roman" w:hAnsi="Times New Roman" w:cs="Times New Roman"/>
          <w:lang w:eastAsia="lt-LT"/>
        </w:rPr>
        <w:t xml:space="preserve"> </w:t>
      </w:r>
      <w:proofErr w:type="spellStart"/>
      <w:r w:rsidRPr="00CE4C3C">
        <w:rPr>
          <w:rFonts w:ascii="Times New Roman" w:eastAsia="Times New Roman" w:hAnsi="Times New Roman" w:cs="Times New Roman"/>
          <w:lang w:eastAsia="lt-LT"/>
        </w:rPr>
        <w:t>koaguliacija</w:t>
      </w:r>
      <w:proofErr w:type="spellEnd"/>
      <w:r w:rsidR="00AD140F" w:rsidRPr="00CE4C3C">
        <w:rPr>
          <w:rFonts w:ascii="Times New Roman" w:eastAsia="Times New Roman" w:hAnsi="Times New Roman" w:cs="Times New Roman"/>
          <w:lang w:eastAsia="lt-LT"/>
        </w:rPr>
        <w:t xml:space="preserve"> (DIK)</w:t>
      </w:r>
      <w:r w:rsidRPr="00CE4C3C">
        <w:rPr>
          <w:rFonts w:ascii="Times New Roman" w:eastAsia="Times New Roman" w:hAnsi="Times New Roman" w:cs="Times New Roman"/>
          <w:lang w:eastAsia="lt-LT"/>
        </w:rPr>
        <w:t xml:space="preserve">, kraujavimas į pilvaplėvės ertmę, antinksčių nepakankamumas, </w:t>
      </w:r>
      <w:proofErr w:type="spellStart"/>
      <w:r w:rsidRPr="00CE4C3C">
        <w:rPr>
          <w:rFonts w:ascii="Times New Roman" w:eastAsia="Times New Roman" w:hAnsi="Times New Roman" w:cs="Times New Roman"/>
          <w:lang w:eastAsia="lt-LT"/>
        </w:rPr>
        <w:t>pneumotoraksas</w:t>
      </w:r>
      <w:proofErr w:type="spellEnd"/>
      <w:r w:rsidRPr="00CE4C3C">
        <w:rPr>
          <w:rFonts w:ascii="Times New Roman" w:eastAsia="Times New Roman" w:hAnsi="Times New Roman" w:cs="Times New Roman"/>
          <w:lang w:eastAsia="lt-LT"/>
        </w:rPr>
        <w:t>, šokas ir staigi mirtis.</w:t>
      </w:r>
    </w:p>
    <w:p w14:paraId="38534BEC"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rPr>
      </w:pPr>
    </w:p>
    <w:p w14:paraId="6E947898"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u w:val="single"/>
          <w:lang w:eastAsia="lt-LT"/>
        </w:rPr>
      </w:pPr>
      <w:r w:rsidRPr="00CE4C3C">
        <w:rPr>
          <w:rFonts w:ascii="Times New Roman" w:eastAsia="Times New Roman" w:hAnsi="Times New Roman" w:cs="Times New Roman"/>
          <w:u w:val="single"/>
          <w:lang w:eastAsia="lt-LT"/>
        </w:rPr>
        <w:t>Nepageidaujamų reakcijų santrauka lentelėje</w:t>
      </w:r>
    </w:p>
    <w:p w14:paraId="50E35395" w14:textId="376320E8"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Toliau pagal organų sistemų klases, dažnumą ir sunkumo laipsnį Nacionalinio vėžio instituto įprastiniai nepageidaujamų reiškinių terminijos kriterijai [NVI-ĮNRTK]</w:t>
      </w:r>
      <w:r w:rsidR="002A71F1">
        <w:rPr>
          <w:rFonts w:ascii="Times New Roman" w:eastAsia="Times New Roman" w:hAnsi="Times New Roman" w:cs="Times New Roman"/>
          <w:lang w:eastAsia="lt-LT"/>
        </w:rPr>
        <w:t>,</w:t>
      </w:r>
      <w:r w:rsidRPr="00CE4C3C">
        <w:rPr>
          <w:rFonts w:ascii="Times New Roman" w:eastAsia="Times New Roman" w:hAnsi="Times New Roman" w:cs="Times New Roman"/>
          <w:lang w:eastAsia="lt-LT"/>
        </w:rPr>
        <w:t xml:space="preserve">angl. </w:t>
      </w:r>
      <w:proofErr w:type="spellStart"/>
      <w:r w:rsidRPr="00CE4C3C">
        <w:rPr>
          <w:rFonts w:ascii="Times New Roman" w:eastAsia="Times New Roman" w:hAnsi="Times New Roman" w:cs="Times New Roman"/>
          <w:i/>
          <w:lang w:eastAsia="lt-LT"/>
        </w:rPr>
        <w:t>National</w:t>
      </w:r>
      <w:proofErr w:type="spellEnd"/>
      <w:r w:rsidRPr="00CE4C3C">
        <w:rPr>
          <w:rFonts w:ascii="Times New Roman" w:eastAsia="Times New Roman" w:hAnsi="Times New Roman" w:cs="Times New Roman"/>
          <w:i/>
          <w:lang w:eastAsia="lt-LT"/>
        </w:rPr>
        <w:t xml:space="preserve"> </w:t>
      </w:r>
      <w:proofErr w:type="spellStart"/>
      <w:r w:rsidRPr="00CE4C3C">
        <w:rPr>
          <w:rFonts w:ascii="Times New Roman" w:eastAsia="Times New Roman" w:hAnsi="Times New Roman" w:cs="Times New Roman"/>
          <w:i/>
          <w:lang w:eastAsia="lt-LT"/>
        </w:rPr>
        <w:t>Cancer</w:t>
      </w:r>
      <w:proofErr w:type="spellEnd"/>
      <w:r w:rsidRPr="00CE4C3C">
        <w:rPr>
          <w:rFonts w:ascii="Times New Roman" w:eastAsia="Times New Roman" w:hAnsi="Times New Roman" w:cs="Times New Roman"/>
          <w:i/>
          <w:lang w:eastAsia="lt-LT"/>
        </w:rPr>
        <w:t xml:space="preserve"> Institute-</w:t>
      </w:r>
      <w:proofErr w:type="spellStart"/>
      <w:r w:rsidRPr="00CE4C3C">
        <w:rPr>
          <w:rFonts w:ascii="Times New Roman" w:eastAsia="Times New Roman" w:hAnsi="Times New Roman" w:cs="Times New Roman"/>
          <w:i/>
          <w:lang w:eastAsia="lt-LT"/>
        </w:rPr>
        <w:t>Common</w:t>
      </w:r>
      <w:proofErr w:type="spellEnd"/>
      <w:r w:rsidRPr="00CE4C3C">
        <w:rPr>
          <w:rFonts w:ascii="Times New Roman" w:eastAsia="Times New Roman" w:hAnsi="Times New Roman" w:cs="Times New Roman"/>
          <w:i/>
          <w:lang w:eastAsia="lt-LT"/>
        </w:rPr>
        <w:t xml:space="preserve"> </w:t>
      </w:r>
      <w:proofErr w:type="spellStart"/>
      <w:r w:rsidRPr="00CE4C3C">
        <w:rPr>
          <w:rFonts w:ascii="Times New Roman" w:eastAsia="Times New Roman" w:hAnsi="Times New Roman" w:cs="Times New Roman"/>
          <w:i/>
          <w:lang w:eastAsia="lt-LT"/>
        </w:rPr>
        <w:t>Terminology</w:t>
      </w:r>
      <w:proofErr w:type="spellEnd"/>
      <w:r w:rsidRPr="00CE4C3C">
        <w:rPr>
          <w:rFonts w:ascii="Times New Roman" w:eastAsia="Times New Roman" w:hAnsi="Times New Roman" w:cs="Times New Roman"/>
          <w:i/>
          <w:lang w:eastAsia="lt-LT"/>
        </w:rPr>
        <w:t xml:space="preserve"> </w:t>
      </w:r>
      <w:proofErr w:type="spellStart"/>
      <w:r w:rsidRPr="00CE4C3C">
        <w:rPr>
          <w:rFonts w:ascii="Times New Roman" w:eastAsia="Times New Roman" w:hAnsi="Times New Roman" w:cs="Times New Roman"/>
          <w:i/>
          <w:lang w:eastAsia="lt-LT"/>
        </w:rPr>
        <w:t>Criteria</w:t>
      </w:r>
      <w:proofErr w:type="spellEnd"/>
      <w:r w:rsidRPr="00CE4C3C">
        <w:rPr>
          <w:rFonts w:ascii="Times New Roman" w:eastAsia="Times New Roman" w:hAnsi="Times New Roman" w:cs="Times New Roman"/>
          <w:i/>
          <w:lang w:eastAsia="lt-LT"/>
        </w:rPr>
        <w:t xml:space="preserve"> </w:t>
      </w:r>
      <w:proofErr w:type="spellStart"/>
      <w:r w:rsidRPr="00CE4C3C">
        <w:rPr>
          <w:rFonts w:ascii="Times New Roman" w:eastAsia="Times New Roman" w:hAnsi="Times New Roman" w:cs="Times New Roman"/>
          <w:i/>
          <w:lang w:eastAsia="lt-LT"/>
        </w:rPr>
        <w:t>for</w:t>
      </w:r>
      <w:proofErr w:type="spellEnd"/>
      <w:r w:rsidRPr="00CE4C3C">
        <w:rPr>
          <w:rFonts w:ascii="Times New Roman" w:eastAsia="Times New Roman" w:hAnsi="Times New Roman" w:cs="Times New Roman"/>
          <w:i/>
          <w:lang w:eastAsia="lt-LT"/>
        </w:rPr>
        <w:t xml:space="preserve"> </w:t>
      </w:r>
      <w:proofErr w:type="spellStart"/>
      <w:r w:rsidRPr="00CE4C3C">
        <w:rPr>
          <w:rFonts w:ascii="Times New Roman" w:eastAsia="Times New Roman" w:hAnsi="Times New Roman" w:cs="Times New Roman"/>
          <w:i/>
          <w:lang w:eastAsia="lt-LT"/>
        </w:rPr>
        <w:t>Adverse</w:t>
      </w:r>
      <w:proofErr w:type="spellEnd"/>
      <w:r w:rsidRPr="00CE4C3C">
        <w:rPr>
          <w:rFonts w:ascii="Times New Roman" w:eastAsia="Times New Roman" w:hAnsi="Times New Roman" w:cs="Times New Roman"/>
          <w:i/>
          <w:lang w:eastAsia="lt-LT"/>
        </w:rPr>
        <w:t xml:space="preserve"> </w:t>
      </w:r>
      <w:proofErr w:type="spellStart"/>
      <w:r w:rsidRPr="00CE4C3C">
        <w:rPr>
          <w:rFonts w:ascii="Times New Roman" w:eastAsia="Times New Roman" w:hAnsi="Times New Roman" w:cs="Times New Roman"/>
          <w:i/>
          <w:lang w:eastAsia="lt-LT"/>
        </w:rPr>
        <w:t>Events</w:t>
      </w:r>
      <w:proofErr w:type="spellEnd"/>
      <w:r w:rsidRPr="00CE4C3C">
        <w:rPr>
          <w:rFonts w:ascii="Times New Roman" w:eastAsia="Times New Roman" w:hAnsi="Times New Roman" w:cs="Times New Roman"/>
          <w:lang w:eastAsia="lt-LT"/>
        </w:rPr>
        <w:t xml:space="preserve"> [NCI-CTCAE]</w:t>
      </w:r>
      <w:r w:rsidR="002A71F1">
        <w:rPr>
          <w:rFonts w:ascii="Times New Roman" w:eastAsia="Times New Roman" w:hAnsi="Times New Roman" w:cs="Times New Roman"/>
          <w:lang w:eastAsia="lt-LT"/>
        </w:rPr>
        <w:t>)</w:t>
      </w:r>
      <w:r w:rsidRPr="00CE4C3C">
        <w:rPr>
          <w:rFonts w:ascii="Times New Roman" w:eastAsia="Times New Roman" w:hAnsi="Times New Roman" w:cs="Times New Roman"/>
          <w:lang w:eastAsia="lt-LT"/>
        </w:rPr>
        <w:t xml:space="preserve"> išvardytos nepageidaujamos reakcijos, pasireiškusios VTSN, MILK ir </w:t>
      </w:r>
      <w:proofErr w:type="spellStart"/>
      <w:r w:rsidRPr="00CE4C3C">
        <w:rPr>
          <w:rFonts w:ascii="Times New Roman" w:eastAsia="Times New Roman" w:hAnsi="Times New Roman" w:cs="Times New Roman"/>
          <w:lang w:eastAsia="lt-LT"/>
        </w:rPr>
        <w:t>kNEN</w:t>
      </w:r>
      <w:proofErr w:type="spellEnd"/>
      <w:r w:rsidRPr="00CE4C3C">
        <w:rPr>
          <w:rFonts w:ascii="Times New Roman" w:eastAsia="Times New Roman" w:hAnsi="Times New Roman" w:cs="Times New Roman"/>
          <w:lang w:eastAsia="lt-LT"/>
        </w:rPr>
        <w:t xml:space="preserve"> sergantiems pacientams, remiantis 7115</w:t>
      </w:r>
      <w:r w:rsidR="002A71F1">
        <w:rPr>
          <w:rFonts w:ascii="Times New Roman" w:eastAsia="Times New Roman" w:hAnsi="Times New Roman" w:cs="Times New Roman"/>
          <w:lang w:eastAsia="lt-LT"/>
        </w:rPr>
        <w:t> </w:t>
      </w:r>
      <w:r w:rsidRPr="00CE4C3C">
        <w:rPr>
          <w:rFonts w:ascii="Times New Roman" w:eastAsia="Times New Roman" w:hAnsi="Times New Roman" w:cs="Times New Roman"/>
          <w:lang w:eastAsia="lt-LT"/>
        </w:rPr>
        <w:t>pacientų duomenimis. Taip pat įtrauktos nepageidaujamos reakcijos nustatytos klinikinių tyrimu metu, vaistin</w:t>
      </w:r>
      <w:r w:rsidR="002A71F1">
        <w:rPr>
          <w:rFonts w:ascii="Times New Roman" w:eastAsia="Times New Roman" w:hAnsi="Times New Roman" w:cs="Times New Roman"/>
          <w:lang w:eastAsia="lt-LT"/>
        </w:rPr>
        <w:t>į</w:t>
      </w:r>
      <w:r w:rsidRPr="00CE4C3C">
        <w:rPr>
          <w:rFonts w:ascii="Times New Roman" w:eastAsia="Times New Roman" w:hAnsi="Times New Roman" w:cs="Times New Roman"/>
          <w:lang w:eastAsia="lt-LT"/>
        </w:rPr>
        <w:t xml:space="preserve"> preparat</w:t>
      </w:r>
      <w:r w:rsidR="002A71F1">
        <w:rPr>
          <w:rFonts w:ascii="Times New Roman" w:eastAsia="Times New Roman" w:hAnsi="Times New Roman" w:cs="Times New Roman"/>
          <w:lang w:eastAsia="lt-LT"/>
        </w:rPr>
        <w:t>ą pateikus į rinką</w:t>
      </w:r>
      <w:r w:rsidRPr="00CE4C3C">
        <w:rPr>
          <w:rFonts w:ascii="Times New Roman" w:eastAsia="Times New Roman" w:hAnsi="Times New Roman" w:cs="Times New Roman"/>
          <w:lang w:eastAsia="lt-LT"/>
        </w:rPr>
        <w:t>. Kiekvienoje dažnio grupėje nepageidaujamas poveikis pateikiamas mažėjančio sunkumo tvarka.</w:t>
      </w:r>
    </w:p>
    <w:p w14:paraId="3C0A586A"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rPr>
      </w:pPr>
    </w:p>
    <w:p w14:paraId="73EEB9D0" w14:textId="77777777" w:rsidR="00F17A0C" w:rsidRPr="00CE4C3C" w:rsidRDefault="00F17A0C" w:rsidP="00CE4C3C">
      <w:pPr>
        <w:autoSpaceDE w:val="0"/>
        <w:autoSpaceDN w:val="0"/>
        <w:adjustRightInd w:val="0"/>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Nepageidaujamo poveikio dažnis apibūdinamas taip: labai dažnas (≥ 1/10), dažnas (nuo ≥ 1/100 iki &lt; 1/10), nedažnas (nuo ≥ 1/1 000 iki &lt; 1/100), retas (nuo ≥ 1/10000 iki &lt; 1/1000), labai retas &lt; 1/10000) ir nežinomas (negali būti apskaičiuotas pagal turimus duomenis).</w:t>
      </w:r>
    </w:p>
    <w:p w14:paraId="285B6291" w14:textId="77777777" w:rsidR="00F17A0C" w:rsidRPr="00CE4C3C" w:rsidRDefault="00F17A0C" w:rsidP="00CE4C3C">
      <w:pPr>
        <w:autoSpaceDE w:val="0"/>
        <w:autoSpaceDN w:val="0"/>
        <w:adjustRightInd w:val="0"/>
        <w:spacing w:line="240" w:lineRule="auto"/>
        <w:rPr>
          <w:rFonts w:ascii="Times New Roman" w:eastAsia="Times New Roman" w:hAnsi="Times New Roman" w:cs="Times New Roman"/>
          <w:lang w:eastAsia="lt-LT"/>
        </w:rPr>
      </w:pPr>
    </w:p>
    <w:p w14:paraId="54E10DD8" w14:textId="77777777" w:rsidR="00F17A0C" w:rsidRPr="00CE4C3C" w:rsidRDefault="00F17A0C" w:rsidP="00CE4C3C">
      <w:pPr>
        <w:autoSpaceDE w:val="0"/>
        <w:autoSpaceDN w:val="0"/>
        <w:adjustRightInd w:val="0"/>
        <w:spacing w:line="240" w:lineRule="auto"/>
        <w:rPr>
          <w:rFonts w:ascii="Times New Roman" w:eastAsia="Calibri" w:hAnsi="Times New Roman" w:cs="Times New Roman"/>
          <w:b/>
        </w:rPr>
      </w:pPr>
      <w:r w:rsidRPr="00CE4C3C">
        <w:rPr>
          <w:rFonts w:ascii="Times New Roman" w:eastAsia="Times New Roman" w:hAnsi="Times New Roman" w:cs="Times New Roman"/>
          <w:b/>
          <w:lang w:eastAsia="lt-LT"/>
        </w:rPr>
        <w:t>1 lentelė.</w:t>
      </w:r>
      <w:r w:rsidRPr="00CE4C3C">
        <w:rPr>
          <w:rFonts w:ascii="Times New Roman" w:eastAsia="Calibri" w:hAnsi="Times New Roman" w:cs="Times New Roman"/>
          <w:b/>
        </w:rPr>
        <w:t xml:space="preserve"> Nepageidaujamos reakcijos, apie kurias pranešta klinikinių tyrimų metu</w:t>
      </w:r>
    </w:p>
    <w:p w14:paraId="58DD0803" w14:textId="77777777" w:rsidR="00F17A0C" w:rsidRPr="00CE4C3C" w:rsidRDefault="00F17A0C" w:rsidP="00CE4C3C">
      <w:pPr>
        <w:autoSpaceDE w:val="0"/>
        <w:autoSpaceDN w:val="0"/>
        <w:adjustRightInd w:val="0"/>
        <w:spacing w:line="240" w:lineRule="auto"/>
        <w:rPr>
          <w:rFonts w:ascii="Times New Roman" w:eastAsia="Times New Roman" w:hAnsi="Times New Roman" w:cs="Times New Roman"/>
          <w:b/>
          <w:lang w:eastAsia="lt-LT"/>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620"/>
        <w:gridCol w:w="2070"/>
        <w:gridCol w:w="1897"/>
        <w:gridCol w:w="1701"/>
        <w:gridCol w:w="1172"/>
      </w:tblGrid>
      <w:tr w:rsidR="00F17A0C" w:rsidRPr="00CE4C3C" w14:paraId="77F773AE" w14:textId="77777777" w:rsidTr="002D191C">
        <w:tc>
          <w:tcPr>
            <w:tcW w:w="1638" w:type="dxa"/>
            <w:shd w:val="clear" w:color="auto" w:fill="auto"/>
            <w:vAlign w:val="center"/>
          </w:tcPr>
          <w:p w14:paraId="32892E30" w14:textId="77777777" w:rsidR="00F17A0C" w:rsidRPr="00CE4C3C" w:rsidRDefault="00F17A0C" w:rsidP="00CE4C3C">
            <w:pPr>
              <w:tabs>
                <w:tab w:val="left" w:pos="1276"/>
              </w:tabs>
              <w:spacing w:line="240" w:lineRule="auto"/>
              <w:jc w:val="center"/>
              <w:rPr>
                <w:rFonts w:ascii="Times New Roman" w:eastAsia="Times New Roman" w:hAnsi="Times New Roman" w:cs="Times New Roman"/>
              </w:rPr>
            </w:pPr>
            <w:r w:rsidRPr="00CE4C3C">
              <w:rPr>
                <w:rFonts w:ascii="Times New Roman" w:eastAsia="Times New Roman" w:hAnsi="Times New Roman" w:cs="Times New Roman"/>
                <w:b/>
                <w:bCs/>
              </w:rPr>
              <w:t>Organų sistemų klasė</w:t>
            </w:r>
          </w:p>
        </w:tc>
        <w:tc>
          <w:tcPr>
            <w:tcW w:w="1620" w:type="dxa"/>
            <w:shd w:val="clear" w:color="auto" w:fill="auto"/>
            <w:vAlign w:val="center"/>
          </w:tcPr>
          <w:p w14:paraId="53BDABC5" w14:textId="77777777" w:rsidR="00F17A0C" w:rsidRPr="00CE4C3C" w:rsidRDefault="00F17A0C" w:rsidP="00CE4C3C">
            <w:pPr>
              <w:widowControl w:val="0"/>
              <w:tabs>
                <w:tab w:val="left" w:pos="1451"/>
              </w:tabs>
              <w:autoSpaceDE w:val="0"/>
              <w:autoSpaceDN w:val="0"/>
              <w:adjustRightInd w:val="0"/>
              <w:spacing w:line="240" w:lineRule="auto"/>
              <w:ind w:left="31" w:right="-20"/>
              <w:jc w:val="center"/>
              <w:rPr>
                <w:rFonts w:ascii="Times New Roman" w:eastAsia="Times New Roman" w:hAnsi="Times New Roman" w:cs="Times New Roman"/>
              </w:rPr>
            </w:pPr>
            <w:r w:rsidRPr="00CE4C3C">
              <w:rPr>
                <w:rFonts w:ascii="Times New Roman" w:eastAsia="Times New Roman" w:hAnsi="Times New Roman" w:cs="Times New Roman"/>
                <w:b/>
                <w:bCs/>
              </w:rPr>
              <w:t>Labai dažnas</w:t>
            </w:r>
          </w:p>
          <w:p w14:paraId="2E739795" w14:textId="77777777" w:rsidR="00F17A0C" w:rsidRPr="00CE4C3C" w:rsidRDefault="00F17A0C" w:rsidP="00CE4C3C">
            <w:pPr>
              <w:widowControl w:val="0"/>
              <w:tabs>
                <w:tab w:val="left" w:pos="1451"/>
              </w:tabs>
              <w:autoSpaceDE w:val="0"/>
              <w:autoSpaceDN w:val="0"/>
              <w:adjustRightInd w:val="0"/>
              <w:spacing w:line="240" w:lineRule="auto"/>
              <w:ind w:left="31" w:right="-20"/>
              <w:jc w:val="center"/>
              <w:rPr>
                <w:rFonts w:ascii="Times New Roman" w:eastAsia="Times New Roman" w:hAnsi="Times New Roman" w:cs="Times New Roman"/>
              </w:rPr>
            </w:pPr>
          </w:p>
        </w:tc>
        <w:tc>
          <w:tcPr>
            <w:tcW w:w="2070" w:type="dxa"/>
            <w:shd w:val="clear" w:color="auto" w:fill="auto"/>
            <w:vAlign w:val="center"/>
          </w:tcPr>
          <w:p w14:paraId="238B0200" w14:textId="77777777" w:rsidR="00F17A0C" w:rsidRPr="00CE4C3C" w:rsidRDefault="00F17A0C" w:rsidP="00CE4C3C">
            <w:pPr>
              <w:widowControl w:val="0"/>
              <w:tabs>
                <w:tab w:val="left" w:pos="1451"/>
              </w:tabs>
              <w:autoSpaceDE w:val="0"/>
              <w:autoSpaceDN w:val="0"/>
              <w:adjustRightInd w:val="0"/>
              <w:spacing w:line="240" w:lineRule="auto"/>
              <w:ind w:left="37" w:right="-20"/>
              <w:jc w:val="center"/>
              <w:rPr>
                <w:rFonts w:ascii="Times New Roman" w:eastAsia="Times New Roman" w:hAnsi="Times New Roman" w:cs="Times New Roman"/>
              </w:rPr>
            </w:pPr>
            <w:r w:rsidRPr="00CE4C3C">
              <w:rPr>
                <w:rFonts w:ascii="Times New Roman" w:eastAsia="Times New Roman" w:hAnsi="Times New Roman" w:cs="Times New Roman"/>
                <w:b/>
                <w:bCs/>
                <w:w w:val="103"/>
              </w:rPr>
              <w:t>Dažnas</w:t>
            </w:r>
          </w:p>
          <w:p w14:paraId="26D88FCB" w14:textId="77777777" w:rsidR="00F17A0C" w:rsidRPr="00CE4C3C" w:rsidRDefault="00F17A0C" w:rsidP="00CE4C3C">
            <w:pPr>
              <w:widowControl w:val="0"/>
              <w:tabs>
                <w:tab w:val="left" w:pos="1451"/>
              </w:tabs>
              <w:autoSpaceDE w:val="0"/>
              <w:autoSpaceDN w:val="0"/>
              <w:adjustRightInd w:val="0"/>
              <w:spacing w:line="240" w:lineRule="auto"/>
              <w:ind w:left="37" w:right="-20"/>
              <w:jc w:val="center"/>
              <w:rPr>
                <w:rFonts w:ascii="Times New Roman" w:eastAsia="Times New Roman" w:hAnsi="Times New Roman" w:cs="Times New Roman"/>
              </w:rPr>
            </w:pPr>
          </w:p>
        </w:tc>
        <w:tc>
          <w:tcPr>
            <w:tcW w:w="1897" w:type="dxa"/>
            <w:shd w:val="clear" w:color="auto" w:fill="auto"/>
            <w:vAlign w:val="center"/>
          </w:tcPr>
          <w:p w14:paraId="5D1137C2" w14:textId="77777777" w:rsidR="00F17A0C" w:rsidRPr="00CE4C3C" w:rsidRDefault="00F17A0C" w:rsidP="00CE4C3C">
            <w:pPr>
              <w:widowControl w:val="0"/>
              <w:tabs>
                <w:tab w:val="left" w:pos="567"/>
              </w:tabs>
              <w:autoSpaceDE w:val="0"/>
              <w:autoSpaceDN w:val="0"/>
              <w:adjustRightInd w:val="0"/>
              <w:spacing w:line="240" w:lineRule="auto"/>
              <w:ind w:left="30" w:right="-20"/>
              <w:jc w:val="center"/>
              <w:rPr>
                <w:rFonts w:ascii="Times New Roman" w:eastAsia="Times New Roman" w:hAnsi="Times New Roman" w:cs="Times New Roman"/>
              </w:rPr>
            </w:pPr>
            <w:r w:rsidRPr="00CE4C3C">
              <w:rPr>
                <w:rFonts w:ascii="Times New Roman" w:eastAsia="Times New Roman" w:hAnsi="Times New Roman" w:cs="Times New Roman"/>
                <w:b/>
                <w:bCs/>
                <w:w w:val="103"/>
              </w:rPr>
              <w:t>Nedažnas</w:t>
            </w:r>
          </w:p>
          <w:p w14:paraId="78950595" w14:textId="77777777" w:rsidR="00F17A0C" w:rsidRPr="00CE4C3C" w:rsidRDefault="00F17A0C" w:rsidP="00CE4C3C">
            <w:pPr>
              <w:widowControl w:val="0"/>
              <w:tabs>
                <w:tab w:val="left" w:pos="567"/>
              </w:tabs>
              <w:autoSpaceDE w:val="0"/>
              <w:autoSpaceDN w:val="0"/>
              <w:adjustRightInd w:val="0"/>
              <w:spacing w:line="240" w:lineRule="auto"/>
              <w:ind w:left="30" w:right="-20"/>
              <w:jc w:val="center"/>
              <w:rPr>
                <w:rFonts w:ascii="Times New Roman" w:eastAsia="Times New Roman" w:hAnsi="Times New Roman" w:cs="Times New Roman"/>
              </w:rPr>
            </w:pPr>
          </w:p>
        </w:tc>
        <w:tc>
          <w:tcPr>
            <w:tcW w:w="1701" w:type="dxa"/>
            <w:shd w:val="clear" w:color="auto" w:fill="auto"/>
            <w:vAlign w:val="center"/>
          </w:tcPr>
          <w:p w14:paraId="08042BDB" w14:textId="77777777" w:rsidR="00F17A0C" w:rsidRPr="00CE4C3C" w:rsidRDefault="00F17A0C" w:rsidP="00CE4C3C">
            <w:pPr>
              <w:widowControl w:val="0"/>
              <w:tabs>
                <w:tab w:val="left" w:pos="567"/>
              </w:tabs>
              <w:autoSpaceDE w:val="0"/>
              <w:autoSpaceDN w:val="0"/>
              <w:adjustRightInd w:val="0"/>
              <w:spacing w:line="240" w:lineRule="auto"/>
              <w:ind w:left="28" w:right="-23"/>
              <w:jc w:val="center"/>
              <w:rPr>
                <w:rFonts w:ascii="Times New Roman" w:eastAsia="Times New Roman" w:hAnsi="Times New Roman" w:cs="Times New Roman"/>
              </w:rPr>
            </w:pPr>
            <w:r w:rsidRPr="00CE4C3C">
              <w:rPr>
                <w:rFonts w:ascii="Times New Roman" w:eastAsia="Times New Roman" w:hAnsi="Times New Roman" w:cs="Times New Roman"/>
                <w:b/>
                <w:bCs/>
                <w:w w:val="103"/>
              </w:rPr>
              <w:t>Retas</w:t>
            </w:r>
          </w:p>
          <w:p w14:paraId="23131474" w14:textId="77777777" w:rsidR="00F17A0C" w:rsidRPr="00CE4C3C" w:rsidRDefault="00F17A0C" w:rsidP="00CE4C3C">
            <w:pPr>
              <w:widowControl w:val="0"/>
              <w:tabs>
                <w:tab w:val="left" w:pos="567"/>
              </w:tabs>
              <w:autoSpaceDE w:val="0"/>
              <w:autoSpaceDN w:val="0"/>
              <w:adjustRightInd w:val="0"/>
              <w:spacing w:line="240" w:lineRule="auto"/>
              <w:ind w:left="31" w:right="-20"/>
              <w:jc w:val="center"/>
              <w:rPr>
                <w:rFonts w:ascii="Times New Roman" w:eastAsia="Times New Roman" w:hAnsi="Times New Roman" w:cs="Times New Roman"/>
              </w:rPr>
            </w:pPr>
          </w:p>
        </w:tc>
        <w:tc>
          <w:tcPr>
            <w:tcW w:w="1172" w:type="dxa"/>
          </w:tcPr>
          <w:p w14:paraId="2E0459D8" w14:textId="77777777" w:rsidR="00F17A0C" w:rsidRPr="00CE4C3C" w:rsidRDefault="00F17A0C" w:rsidP="00CE4C3C">
            <w:pPr>
              <w:widowControl w:val="0"/>
              <w:tabs>
                <w:tab w:val="left" w:pos="567"/>
              </w:tabs>
              <w:autoSpaceDE w:val="0"/>
              <w:autoSpaceDN w:val="0"/>
              <w:adjustRightInd w:val="0"/>
              <w:spacing w:line="240" w:lineRule="auto"/>
              <w:ind w:left="28" w:right="-23"/>
              <w:jc w:val="center"/>
              <w:rPr>
                <w:rFonts w:ascii="Times New Roman" w:eastAsia="Times New Roman" w:hAnsi="Times New Roman" w:cs="Times New Roman"/>
                <w:b/>
                <w:bCs/>
                <w:w w:val="103"/>
              </w:rPr>
            </w:pPr>
            <w:r w:rsidRPr="00CE4C3C">
              <w:rPr>
                <w:rFonts w:ascii="Times New Roman" w:eastAsia="Times New Roman" w:hAnsi="Times New Roman" w:cs="Times New Roman"/>
                <w:b/>
                <w:bCs/>
                <w:w w:val="103"/>
              </w:rPr>
              <w:t>Dažnis nežinomas</w:t>
            </w:r>
          </w:p>
        </w:tc>
      </w:tr>
      <w:tr w:rsidR="00F17A0C" w:rsidRPr="00CE4C3C" w14:paraId="53C1C237" w14:textId="77777777" w:rsidTr="002D191C">
        <w:tc>
          <w:tcPr>
            <w:tcW w:w="1638" w:type="dxa"/>
            <w:shd w:val="clear" w:color="auto" w:fill="auto"/>
          </w:tcPr>
          <w:p w14:paraId="6B1DCD99" w14:textId="77777777" w:rsidR="00F17A0C" w:rsidRPr="00CE4C3C" w:rsidRDefault="00F17A0C" w:rsidP="00CE4C3C">
            <w:pPr>
              <w:widowControl w:val="0"/>
              <w:tabs>
                <w:tab w:val="left" w:pos="1276"/>
                <w:tab w:val="left" w:pos="1310"/>
              </w:tabs>
              <w:autoSpaceDE w:val="0"/>
              <w:autoSpaceDN w:val="0"/>
              <w:adjustRightInd w:val="0"/>
              <w:spacing w:line="240" w:lineRule="auto"/>
              <w:ind w:left="31"/>
              <w:rPr>
                <w:rFonts w:ascii="Times New Roman" w:eastAsia="Times New Roman" w:hAnsi="Times New Roman" w:cs="Times New Roman"/>
              </w:rPr>
            </w:pPr>
            <w:r w:rsidRPr="00CE4C3C">
              <w:rPr>
                <w:rFonts w:ascii="Times New Roman" w:eastAsia="Times New Roman" w:hAnsi="Times New Roman" w:cs="Times New Roman"/>
                <w:b/>
                <w:bCs/>
              </w:rPr>
              <w:t>I</w:t>
            </w:r>
            <w:r w:rsidRPr="00CE4C3C">
              <w:rPr>
                <w:rFonts w:ascii="Times New Roman" w:eastAsia="Times New Roman" w:hAnsi="Times New Roman" w:cs="Times New Roman"/>
                <w:b/>
                <w:bCs/>
                <w:spacing w:val="-1"/>
              </w:rPr>
              <w:t>n</w:t>
            </w:r>
            <w:r w:rsidRPr="00CE4C3C">
              <w:rPr>
                <w:rFonts w:ascii="Times New Roman" w:eastAsia="Times New Roman" w:hAnsi="Times New Roman" w:cs="Times New Roman"/>
                <w:b/>
                <w:bCs/>
              </w:rPr>
              <w:t>fek</w:t>
            </w:r>
            <w:r w:rsidRPr="00CE4C3C">
              <w:rPr>
                <w:rFonts w:ascii="Times New Roman" w:eastAsia="Times New Roman" w:hAnsi="Times New Roman" w:cs="Times New Roman"/>
                <w:b/>
                <w:bCs/>
                <w:spacing w:val="-1"/>
              </w:rPr>
              <w:t>c</w:t>
            </w:r>
            <w:r w:rsidRPr="00CE4C3C">
              <w:rPr>
                <w:rFonts w:ascii="Times New Roman" w:eastAsia="Times New Roman" w:hAnsi="Times New Roman" w:cs="Times New Roman"/>
                <w:b/>
                <w:bCs/>
              </w:rPr>
              <w:t>ij</w:t>
            </w:r>
            <w:r w:rsidRPr="00CE4C3C">
              <w:rPr>
                <w:rFonts w:ascii="Times New Roman" w:eastAsia="Times New Roman" w:hAnsi="Times New Roman" w:cs="Times New Roman"/>
                <w:b/>
                <w:bCs/>
                <w:spacing w:val="-1"/>
              </w:rPr>
              <w:t>o</w:t>
            </w:r>
            <w:r w:rsidRPr="00CE4C3C">
              <w:rPr>
                <w:rFonts w:ascii="Times New Roman" w:eastAsia="Times New Roman" w:hAnsi="Times New Roman" w:cs="Times New Roman"/>
                <w:b/>
                <w:bCs/>
              </w:rPr>
              <w:t>s</w:t>
            </w:r>
            <w:r w:rsidRPr="00CE4C3C">
              <w:rPr>
                <w:rFonts w:ascii="Times New Roman" w:eastAsia="Times New Roman" w:hAnsi="Times New Roman" w:cs="Times New Roman"/>
                <w:b/>
                <w:bCs/>
                <w:spacing w:val="25"/>
              </w:rPr>
              <w:t xml:space="preserve"> ir</w:t>
            </w:r>
            <w:r w:rsidRPr="00CE4C3C">
              <w:rPr>
                <w:rFonts w:ascii="Times New Roman" w:eastAsia="Times New Roman" w:hAnsi="Times New Roman" w:cs="Times New Roman"/>
                <w:b/>
                <w:bCs/>
                <w:w w:val="103"/>
              </w:rPr>
              <w:t xml:space="preserve"> </w:t>
            </w:r>
            <w:proofErr w:type="spellStart"/>
            <w:r w:rsidRPr="00CE4C3C">
              <w:rPr>
                <w:rFonts w:ascii="Times New Roman" w:eastAsia="Times New Roman" w:hAnsi="Times New Roman" w:cs="Times New Roman"/>
                <w:b/>
                <w:bCs/>
                <w:w w:val="103"/>
              </w:rPr>
              <w:t>i</w:t>
            </w:r>
            <w:r w:rsidRPr="00CE4C3C">
              <w:rPr>
                <w:rFonts w:ascii="Times New Roman" w:eastAsia="Times New Roman" w:hAnsi="Times New Roman" w:cs="Times New Roman"/>
                <w:b/>
                <w:bCs/>
                <w:spacing w:val="-1"/>
                <w:w w:val="103"/>
              </w:rPr>
              <w:t>n</w:t>
            </w:r>
            <w:r w:rsidRPr="00CE4C3C">
              <w:rPr>
                <w:rFonts w:ascii="Times New Roman" w:eastAsia="Times New Roman" w:hAnsi="Times New Roman" w:cs="Times New Roman"/>
                <w:b/>
                <w:bCs/>
                <w:w w:val="103"/>
              </w:rPr>
              <w:t>fe</w:t>
            </w:r>
            <w:r w:rsidRPr="00CE4C3C">
              <w:rPr>
                <w:rFonts w:ascii="Times New Roman" w:eastAsia="Times New Roman" w:hAnsi="Times New Roman" w:cs="Times New Roman"/>
                <w:b/>
                <w:bCs/>
                <w:spacing w:val="-1"/>
                <w:w w:val="103"/>
              </w:rPr>
              <w:t>s</w:t>
            </w:r>
            <w:r w:rsidRPr="00CE4C3C">
              <w:rPr>
                <w:rFonts w:ascii="Times New Roman" w:eastAsia="Times New Roman" w:hAnsi="Times New Roman" w:cs="Times New Roman"/>
                <w:b/>
                <w:bCs/>
                <w:w w:val="103"/>
              </w:rPr>
              <w:t>t</w:t>
            </w:r>
            <w:r w:rsidRPr="00CE4C3C">
              <w:rPr>
                <w:rFonts w:ascii="Times New Roman" w:eastAsia="Times New Roman" w:hAnsi="Times New Roman" w:cs="Times New Roman"/>
                <w:b/>
                <w:bCs/>
                <w:spacing w:val="-1"/>
                <w:w w:val="103"/>
              </w:rPr>
              <w:t>acijos</w:t>
            </w:r>
            <w:proofErr w:type="spellEnd"/>
          </w:p>
        </w:tc>
        <w:tc>
          <w:tcPr>
            <w:tcW w:w="1620" w:type="dxa"/>
            <w:shd w:val="clear" w:color="auto" w:fill="auto"/>
          </w:tcPr>
          <w:p w14:paraId="71655C4B" w14:textId="77777777" w:rsidR="00F17A0C" w:rsidRPr="00CE4C3C" w:rsidRDefault="00F17A0C" w:rsidP="00CE4C3C">
            <w:pPr>
              <w:widowControl w:val="0"/>
              <w:tabs>
                <w:tab w:val="left" w:pos="1451"/>
              </w:tabs>
              <w:autoSpaceDE w:val="0"/>
              <w:autoSpaceDN w:val="0"/>
              <w:adjustRightInd w:val="0"/>
              <w:spacing w:line="240" w:lineRule="auto"/>
              <w:rPr>
                <w:rFonts w:ascii="Times New Roman" w:eastAsia="Times New Roman" w:hAnsi="Times New Roman" w:cs="Times New Roman"/>
              </w:rPr>
            </w:pPr>
          </w:p>
        </w:tc>
        <w:tc>
          <w:tcPr>
            <w:tcW w:w="2070" w:type="dxa"/>
            <w:shd w:val="clear" w:color="auto" w:fill="auto"/>
          </w:tcPr>
          <w:p w14:paraId="589290DF" w14:textId="77777777" w:rsidR="00207950"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Virusinės infekcinės </w:t>
            </w:r>
            <w:proofErr w:type="spellStart"/>
            <w:r w:rsidRPr="00CE4C3C">
              <w:rPr>
                <w:rFonts w:ascii="Times New Roman" w:eastAsia="Times New Roman" w:hAnsi="Times New Roman" w:cs="Times New Roman"/>
                <w:lang w:eastAsia="lt-LT" w:bidi="lt-LT"/>
              </w:rPr>
              <w:t>ligos</w:t>
            </w:r>
            <w:r w:rsidRPr="00CE4C3C">
              <w:rPr>
                <w:rFonts w:ascii="Times New Roman" w:eastAsia="Times New Roman" w:hAnsi="Times New Roman" w:cs="Times New Roman"/>
                <w:vertAlign w:val="superscript"/>
                <w:lang w:eastAsia="lt-LT" w:bidi="lt-LT"/>
              </w:rPr>
              <w:t>a</w:t>
            </w:r>
            <w:proofErr w:type="spellEnd"/>
          </w:p>
          <w:p w14:paraId="09CC9CF2"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Kvėpavimo takų infekcinės </w:t>
            </w:r>
            <w:proofErr w:type="spellStart"/>
            <w:r w:rsidRPr="00CE4C3C">
              <w:rPr>
                <w:rFonts w:ascii="Times New Roman" w:eastAsia="Times New Roman" w:hAnsi="Times New Roman" w:cs="Times New Roman"/>
                <w:lang w:eastAsia="lt-LT" w:bidi="lt-LT"/>
              </w:rPr>
              <w:t>ligos</w:t>
            </w:r>
            <w:r w:rsidRPr="00CE4C3C">
              <w:rPr>
                <w:rFonts w:ascii="Times New Roman" w:eastAsia="Times New Roman" w:hAnsi="Times New Roman" w:cs="Times New Roman"/>
                <w:vertAlign w:val="superscript"/>
                <w:lang w:eastAsia="lt-LT" w:bidi="lt-LT"/>
              </w:rPr>
              <w:t>b</w:t>
            </w:r>
            <w:proofErr w:type="spellEnd"/>
            <w:r w:rsidRPr="00CE4C3C">
              <w:rPr>
                <w:rFonts w:ascii="Times New Roman" w:eastAsia="Times New Roman" w:hAnsi="Times New Roman" w:cs="Times New Roman"/>
                <w:vertAlign w:val="superscript"/>
                <w:lang w:eastAsia="lt-LT" w:bidi="lt-LT"/>
              </w:rPr>
              <w:t>,</w:t>
            </w:r>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Abscesas</w:t>
            </w:r>
            <w:r w:rsidRPr="00CE4C3C">
              <w:rPr>
                <w:rFonts w:ascii="Times New Roman" w:eastAsia="Times New Roman" w:hAnsi="Times New Roman" w:cs="Times New Roman"/>
                <w:vertAlign w:val="superscript"/>
                <w:lang w:eastAsia="lt-LT" w:bidi="lt-LT"/>
              </w:rPr>
              <w:t>c</w:t>
            </w:r>
            <w:proofErr w:type="spellEnd"/>
            <w:r w:rsidRPr="00CE4C3C">
              <w:rPr>
                <w:rFonts w:ascii="Times New Roman" w:eastAsia="Times New Roman" w:hAnsi="Times New Roman" w:cs="Times New Roman"/>
                <w:vertAlign w:val="superscript"/>
                <w:lang w:eastAsia="lt-LT" w:bidi="lt-LT"/>
              </w:rPr>
              <w:t>,</w:t>
            </w:r>
            <w:r w:rsidRPr="00CE4C3C">
              <w:rPr>
                <w:rFonts w:ascii="Times New Roman" w:eastAsia="Times New Roman" w:hAnsi="Times New Roman" w:cs="Times New Roman"/>
                <w:lang w:eastAsia="lt-LT" w:bidi="lt-LT"/>
              </w:rPr>
              <w:t xml:space="preserve">* Grybelių sukeltos infekcinės </w:t>
            </w:r>
            <w:proofErr w:type="spellStart"/>
            <w:r w:rsidRPr="00CE4C3C">
              <w:rPr>
                <w:rFonts w:ascii="Times New Roman" w:eastAsia="Times New Roman" w:hAnsi="Times New Roman" w:cs="Times New Roman"/>
                <w:lang w:eastAsia="lt-LT" w:bidi="lt-LT"/>
              </w:rPr>
              <w:t>ligos</w:t>
            </w:r>
            <w:r w:rsidRPr="00CE4C3C">
              <w:rPr>
                <w:rFonts w:ascii="Times New Roman" w:eastAsia="Times New Roman" w:hAnsi="Times New Roman" w:cs="Times New Roman"/>
                <w:vertAlign w:val="superscript"/>
                <w:lang w:eastAsia="lt-LT" w:bidi="lt-LT"/>
              </w:rPr>
              <w:t>d</w:t>
            </w:r>
            <w:proofErr w:type="spellEnd"/>
            <w:r w:rsidRPr="00CE4C3C">
              <w:rPr>
                <w:rFonts w:ascii="Times New Roman" w:eastAsia="Times New Roman" w:hAnsi="Times New Roman" w:cs="Times New Roman"/>
                <w:lang w:eastAsia="lt-LT" w:bidi="lt-LT"/>
              </w:rPr>
              <w:t xml:space="preserve"> Šlapimo takų infekcinės ligos Odos infekcinės ligos</w:t>
            </w:r>
            <w:r w:rsidRPr="00CE4C3C">
              <w:rPr>
                <w:rFonts w:ascii="Times New Roman" w:eastAsia="Times New Roman" w:hAnsi="Times New Roman" w:cs="Times New Roman"/>
                <w:vertAlign w:val="superscript"/>
                <w:lang w:eastAsia="lt-LT" w:bidi="lt-LT"/>
              </w:rPr>
              <w:t>e</w:t>
            </w:r>
            <w:r w:rsidRPr="00CE4C3C">
              <w:rPr>
                <w:rFonts w:ascii="Times New Roman" w:eastAsia="Times New Roman" w:hAnsi="Times New Roman" w:cs="Times New Roman"/>
                <w:lang w:eastAsia="lt-LT" w:bidi="lt-LT"/>
              </w:rPr>
              <w:t xml:space="preserve"> </w:t>
            </w:r>
          </w:p>
          <w:p w14:paraId="09ADB2E7" w14:textId="77777777" w:rsidR="00F17A0C" w:rsidRPr="00CE4C3C" w:rsidRDefault="00F17A0C" w:rsidP="00CE4C3C">
            <w:pPr>
              <w:tabs>
                <w:tab w:val="left" w:pos="567"/>
              </w:tabs>
              <w:spacing w:line="240" w:lineRule="auto"/>
              <w:rPr>
                <w:rFonts w:ascii="Times New Roman" w:eastAsia="Times New Roman" w:hAnsi="Times New Roman" w:cs="Times New Roman"/>
              </w:rPr>
            </w:pPr>
            <w:proofErr w:type="spellStart"/>
            <w:r w:rsidRPr="00CE4C3C">
              <w:rPr>
                <w:rFonts w:ascii="Times New Roman" w:eastAsia="Times New Roman" w:hAnsi="Times New Roman" w:cs="Times New Roman"/>
                <w:lang w:eastAsia="lt-LT" w:bidi="lt-LT"/>
              </w:rPr>
              <w:lastRenderedPageBreak/>
              <w:t>Sepsis</w:t>
            </w:r>
            <w:r w:rsidRPr="00CE4C3C">
              <w:rPr>
                <w:rFonts w:ascii="Times New Roman" w:eastAsia="Times New Roman" w:hAnsi="Times New Roman" w:cs="Times New Roman"/>
                <w:vertAlign w:val="superscript"/>
                <w:lang w:eastAsia="lt-LT" w:bidi="lt-LT"/>
              </w:rPr>
              <w:t>f</w:t>
            </w:r>
            <w:proofErr w:type="spellEnd"/>
            <w:r w:rsidRPr="00CE4C3C">
              <w:rPr>
                <w:rFonts w:ascii="Times New Roman" w:eastAsia="Times New Roman" w:hAnsi="Times New Roman" w:cs="Times New Roman"/>
                <w:vertAlign w:val="superscript"/>
                <w:lang w:eastAsia="lt-LT" w:bidi="lt-LT"/>
              </w:rPr>
              <w:t>,</w:t>
            </w:r>
            <w:r w:rsidRPr="00CE4C3C">
              <w:rPr>
                <w:rFonts w:ascii="Times New Roman" w:eastAsia="Times New Roman" w:hAnsi="Times New Roman" w:cs="Times New Roman"/>
                <w:lang w:eastAsia="lt-LT" w:bidi="lt-LT"/>
              </w:rPr>
              <w:t>*</w:t>
            </w:r>
          </w:p>
        </w:tc>
        <w:tc>
          <w:tcPr>
            <w:tcW w:w="1897" w:type="dxa"/>
            <w:shd w:val="clear" w:color="auto" w:fill="auto"/>
          </w:tcPr>
          <w:p w14:paraId="67B50A3A" w14:textId="70F22577" w:rsidR="00F17A0C" w:rsidRPr="00CE4C3C" w:rsidRDefault="002A71F1"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lastRenderedPageBreak/>
              <w:t>Nekroz</w:t>
            </w:r>
            <w:r>
              <w:rPr>
                <w:rFonts w:ascii="Times New Roman" w:eastAsia="Times New Roman" w:hAnsi="Times New Roman" w:cs="Times New Roman"/>
                <w:lang w:eastAsia="lt-LT" w:bidi="lt-LT"/>
              </w:rPr>
              <w:t>uojantis</w:t>
            </w:r>
            <w:proofErr w:type="spellEnd"/>
            <w:r w:rsidRPr="00CE4C3C">
              <w:rPr>
                <w:rFonts w:ascii="Times New Roman" w:eastAsia="Times New Roman" w:hAnsi="Times New Roman" w:cs="Times New Roman"/>
                <w:lang w:eastAsia="lt-LT" w:bidi="lt-LT"/>
              </w:rPr>
              <w:t xml:space="preserve"> </w:t>
            </w:r>
            <w:proofErr w:type="spellStart"/>
            <w:r w:rsidR="00F17A0C" w:rsidRPr="00CE4C3C">
              <w:rPr>
                <w:rFonts w:ascii="Times New Roman" w:eastAsia="Times New Roman" w:hAnsi="Times New Roman" w:cs="Times New Roman"/>
                <w:lang w:eastAsia="lt-LT" w:bidi="lt-LT"/>
              </w:rPr>
              <w:t>fascitas</w:t>
            </w:r>
            <w:proofErr w:type="spellEnd"/>
            <w:r w:rsidR="00F17A0C" w:rsidRPr="00CE4C3C">
              <w:rPr>
                <w:rFonts w:ascii="Times New Roman" w:eastAsia="Times New Roman" w:hAnsi="Times New Roman" w:cs="Times New Roman"/>
                <w:lang w:eastAsia="lt-LT" w:bidi="lt-LT"/>
              </w:rPr>
              <w:t>*</w:t>
            </w:r>
          </w:p>
          <w:p w14:paraId="275649C2" w14:textId="77777777" w:rsidR="00F17A0C" w:rsidRPr="00CE4C3C"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rPr>
            </w:pPr>
            <w:r w:rsidRPr="00CE4C3C">
              <w:rPr>
                <w:rFonts w:ascii="Times New Roman" w:eastAsia="Times New Roman" w:hAnsi="Times New Roman" w:cs="Times New Roman"/>
                <w:lang w:eastAsia="lt-LT" w:bidi="lt-LT"/>
              </w:rPr>
              <w:t xml:space="preserve">Bakterijų sukeltos infekcinės </w:t>
            </w:r>
            <w:proofErr w:type="spellStart"/>
            <w:r w:rsidRPr="00CE4C3C">
              <w:rPr>
                <w:rFonts w:ascii="Times New Roman" w:eastAsia="Times New Roman" w:hAnsi="Times New Roman" w:cs="Times New Roman"/>
                <w:lang w:eastAsia="lt-LT" w:bidi="lt-LT"/>
              </w:rPr>
              <w:t>ligos</w:t>
            </w:r>
            <w:r w:rsidRPr="00CE4C3C">
              <w:rPr>
                <w:rFonts w:ascii="Times New Roman" w:eastAsia="Times New Roman" w:hAnsi="Times New Roman" w:cs="Times New Roman"/>
                <w:vertAlign w:val="superscript"/>
                <w:lang w:eastAsia="lt-LT" w:bidi="lt-LT"/>
              </w:rPr>
              <w:t>g</w:t>
            </w:r>
            <w:proofErr w:type="spellEnd"/>
            <w:r w:rsidRPr="00CE4C3C">
              <w:rPr>
                <w:rFonts w:ascii="Times New Roman" w:eastAsia="Times New Roman" w:hAnsi="Times New Roman" w:cs="Times New Roman"/>
                <w:w w:val="103"/>
              </w:rPr>
              <w:t xml:space="preserve"> </w:t>
            </w:r>
          </w:p>
        </w:tc>
        <w:tc>
          <w:tcPr>
            <w:tcW w:w="1701" w:type="dxa"/>
            <w:shd w:val="clear" w:color="auto" w:fill="auto"/>
          </w:tcPr>
          <w:p w14:paraId="34586687" w14:textId="77777777" w:rsidR="00F17A0C" w:rsidRPr="00CE4C3C" w:rsidRDefault="00F17A0C" w:rsidP="00CE4C3C">
            <w:pPr>
              <w:widowControl w:val="0"/>
              <w:tabs>
                <w:tab w:val="left" w:pos="567"/>
              </w:tabs>
              <w:autoSpaceDE w:val="0"/>
              <w:autoSpaceDN w:val="0"/>
              <w:adjustRightInd w:val="0"/>
              <w:spacing w:before="91" w:line="240" w:lineRule="auto"/>
              <w:ind w:left="31" w:right="270"/>
              <w:rPr>
                <w:rFonts w:ascii="Times New Roman" w:eastAsia="Times New Roman" w:hAnsi="Times New Roman" w:cs="Times New Roman"/>
              </w:rPr>
            </w:pPr>
          </w:p>
        </w:tc>
        <w:tc>
          <w:tcPr>
            <w:tcW w:w="1172" w:type="dxa"/>
          </w:tcPr>
          <w:p w14:paraId="3E6214B9" w14:textId="77777777" w:rsidR="00F17A0C" w:rsidRPr="00CE4C3C" w:rsidRDefault="00F17A0C" w:rsidP="00CE4C3C">
            <w:pPr>
              <w:widowControl w:val="0"/>
              <w:tabs>
                <w:tab w:val="left" w:pos="567"/>
              </w:tabs>
              <w:autoSpaceDE w:val="0"/>
              <w:autoSpaceDN w:val="0"/>
              <w:adjustRightInd w:val="0"/>
              <w:spacing w:before="91" w:line="240" w:lineRule="auto"/>
              <w:ind w:left="31" w:right="270"/>
              <w:rPr>
                <w:rFonts w:ascii="Times New Roman" w:eastAsia="Times New Roman" w:hAnsi="Times New Roman" w:cs="Times New Roman"/>
              </w:rPr>
            </w:pPr>
          </w:p>
        </w:tc>
      </w:tr>
      <w:tr w:rsidR="00F17A0C" w:rsidRPr="00CE4C3C" w14:paraId="6AAF9753" w14:textId="77777777" w:rsidTr="002D191C">
        <w:tc>
          <w:tcPr>
            <w:tcW w:w="1638" w:type="dxa"/>
            <w:shd w:val="clear" w:color="auto" w:fill="auto"/>
          </w:tcPr>
          <w:p w14:paraId="4B449CFC" w14:textId="77777777" w:rsidR="00F17A0C" w:rsidRPr="00CE4C3C" w:rsidRDefault="00F17A0C" w:rsidP="00CE4C3C">
            <w:pPr>
              <w:tabs>
                <w:tab w:val="left" w:pos="567"/>
              </w:tabs>
              <w:spacing w:line="240" w:lineRule="auto"/>
              <w:rPr>
                <w:rFonts w:ascii="Times New Roman" w:eastAsia="Times New Roman" w:hAnsi="Times New Roman" w:cs="Times New Roman"/>
                <w:b/>
              </w:rPr>
            </w:pPr>
            <w:r w:rsidRPr="00CE4C3C">
              <w:rPr>
                <w:rFonts w:ascii="Times New Roman" w:eastAsia="Times New Roman" w:hAnsi="Times New Roman" w:cs="Times New Roman"/>
                <w:b/>
                <w:lang w:eastAsia="lt-LT" w:bidi="lt-LT"/>
              </w:rPr>
              <w:t>Kraujo ir limfinės sistemos sutrikimai</w:t>
            </w:r>
          </w:p>
        </w:tc>
        <w:tc>
          <w:tcPr>
            <w:tcW w:w="1620" w:type="dxa"/>
            <w:shd w:val="clear" w:color="auto" w:fill="auto"/>
          </w:tcPr>
          <w:p w14:paraId="224743B2" w14:textId="77777777" w:rsidR="00F17A0C" w:rsidRPr="00CE4C3C"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w w:val="103"/>
              </w:rPr>
            </w:pPr>
            <w:proofErr w:type="spellStart"/>
            <w:r w:rsidRPr="00CE4C3C">
              <w:rPr>
                <w:rFonts w:ascii="Times New Roman" w:eastAsia="Times New Roman" w:hAnsi="Times New Roman" w:cs="Times New Roman"/>
                <w:w w:val="103"/>
              </w:rPr>
              <w:t>Neutropenija</w:t>
            </w:r>
            <w:proofErr w:type="spellEnd"/>
            <w:r w:rsidRPr="00CE4C3C">
              <w:rPr>
                <w:rFonts w:ascii="Times New Roman" w:eastAsia="Times New Roman" w:hAnsi="Times New Roman" w:cs="Times New Roman"/>
                <w:w w:val="103"/>
              </w:rPr>
              <w:t xml:space="preserve"> </w:t>
            </w:r>
            <w:proofErr w:type="spellStart"/>
            <w:r w:rsidRPr="00CE4C3C">
              <w:rPr>
                <w:rFonts w:ascii="Times New Roman" w:eastAsia="Times New Roman" w:hAnsi="Times New Roman" w:cs="Times New Roman"/>
                <w:w w:val="103"/>
              </w:rPr>
              <w:t>Trombocitope-nija</w:t>
            </w:r>
            <w:proofErr w:type="spellEnd"/>
          </w:p>
          <w:p w14:paraId="22FCB678" w14:textId="77777777" w:rsidR="00F17A0C" w:rsidRPr="00CE4C3C"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w w:val="103"/>
              </w:rPr>
            </w:pPr>
            <w:r w:rsidRPr="00CE4C3C">
              <w:rPr>
                <w:rFonts w:ascii="Times New Roman" w:eastAsia="Times New Roman" w:hAnsi="Times New Roman" w:cs="Times New Roman"/>
                <w:w w:val="103"/>
              </w:rPr>
              <w:t xml:space="preserve">Anemija </w:t>
            </w:r>
            <w:proofErr w:type="spellStart"/>
            <w:r w:rsidRPr="00CE4C3C">
              <w:rPr>
                <w:rFonts w:ascii="Times New Roman" w:eastAsia="Times New Roman" w:hAnsi="Times New Roman" w:cs="Times New Roman"/>
                <w:w w:val="103"/>
              </w:rPr>
              <w:t>Leukopenija</w:t>
            </w:r>
            <w:proofErr w:type="spellEnd"/>
          </w:p>
        </w:tc>
        <w:tc>
          <w:tcPr>
            <w:tcW w:w="2070" w:type="dxa"/>
            <w:shd w:val="clear" w:color="auto" w:fill="auto"/>
          </w:tcPr>
          <w:p w14:paraId="53F0D2EA" w14:textId="77777777" w:rsidR="00F17A0C" w:rsidRPr="00CE4C3C"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w w:val="103"/>
              </w:rPr>
            </w:pPr>
            <w:proofErr w:type="spellStart"/>
            <w:r w:rsidRPr="00CE4C3C">
              <w:rPr>
                <w:rFonts w:ascii="Times New Roman" w:eastAsia="Times New Roman" w:hAnsi="Times New Roman" w:cs="Times New Roman"/>
                <w:w w:val="103"/>
              </w:rPr>
              <w:t>Limfopenija</w:t>
            </w:r>
            <w:proofErr w:type="spellEnd"/>
          </w:p>
        </w:tc>
        <w:tc>
          <w:tcPr>
            <w:tcW w:w="1897" w:type="dxa"/>
            <w:shd w:val="clear" w:color="auto" w:fill="auto"/>
          </w:tcPr>
          <w:p w14:paraId="58D8331F" w14:textId="77777777" w:rsidR="00F17A0C" w:rsidRPr="00CE4C3C" w:rsidRDefault="00F17A0C" w:rsidP="00CE4C3C">
            <w:pPr>
              <w:widowControl w:val="0"/>
              <w:tabs>
                <w:tab w:val="left" w:pos="567"/>
                <w:tab w:val="left" w:pos="1627"/>
              </w:tabs>
              <w:autoSpaceDE w:val="0"/>
              <w:autoSpaceDN w:val="0"/>
              <w:adjustRightInd w:val="0"/>
              <w:spacing w:line="240" w:lineRule="auto"/>
              <w:ind w:left="31"/>
              <w:rPr>
                <w:rFonts w:ascii="Times New Roman" w:eastAsia="Times New Roman" w:hAnsi="Times New Roman" w:cs="Times New Roman"/>
                <w:w w:val="103"/>
              </w:rPr>
            </w:pPr>
            <w:proofErr w:type="spellStart"/>
            <w:r w:rsidRPr="00CE4C3C">
              <w:rPr>
                <w:rFonts w:ascii="Times New Roman" w:eastAsia="Times New Roman" w:hAnsi="Times New Roman" w:cs="Times New Roman"/>
                <w:w w:val="103"/>
              </w:rPr>
              <w:t>Pancitopenija</w:t>
            </w:r>
            <w:proofErr w:type="spellEnd"/>
          </w:p>
        </w:tc>
        <w:tc>
          <w:tcPr>
            <w:tcW w:w="1701" w:type="dxa"/>
            <w:shd w:val="clear" w:color="auto" w:fill="auto"/>
          </w:tcPr>
          <w:p w14:paraId="792E1D7A" w14:textId="77777777" w:rsidR="00F17A0C" w:rsidRPr="00CE4C3C" w:rsidRDefault="00F17A0C" w:rsidP="00CE4C3C">
            <w:pPr>
              <w:widowControl w:val="0"/>
              <w:tabs>
                <w:tab w:val="left" w:pos="1627"/>
                <w:tab w:val="left" w:pos="1735"/>
              </w:tabs>
              <w:autoSpaceDE w:val="0"/>
              <w:autoSpaceDN w:val="0"/>
              <w:adjustRightInd w:val="0"/>
              <w:spacing w:line="240" w:lineRule="auto"/>
              <w:ind w:hanging="14"/>
              <w:rPr>
                <w:rFonts w:ascii="Times New Roman" w:eastAsia="Times New Roman" w:hAnsi="Times New Roman" w:cs="Times New Roman"/>
                <w:w w:val="103"/>
              </w:rPr>
            </w:pPr>
            <w:r w:rsidRPr="00CE4C3C">
              <w:rPr>
                <w:rFonts w:ascii="Times New Roman" w:eastAsia="Times New Roman" w:hAnsi="Times New Roman" w:cs="Times New Roman"/>
                <w:lang w:eastAsia="lt-LT" w:bidi="lt-LT"/>
              </w:rPr>
              <w:t xml:space="preserve">Trombinė </w:t>
            </w:r>
            <w:proofErr w:type="spellStart"/>
            <w:r w:rsidRPr="00CE4C3C">
              <w:rPr>
                <w:rFonts w:ascii="Times New Roman" w:eastAsia="Times New Roman" w:hAnsi="Times New Roman" w:cs="Times New Roman"/>
                <w:lang w:eastAsia="lt-LT" w:bidi="lt-LT"/>
              </w:rPr>
              <w:t>mikroangiopa-tija</w:t>
            </w:r>
            <w:r w:rsidRPr="00CE4C3C">
              <w:rPr>
                <w:rFonts w:ascii="Times New Roman" w:eastAsia="Times New Roman" w:hAnsi="Times New Roman" w:cs="Times New Roman"/>
                <w:vertAlign w:val="superscript"/>
                <w:lang w:eastAsia="lt-LT" w:bidi="lt-LT"/>
              </w:rPr>
              <w:t>h</w:t>
            </w:r>
            <w:proofErr w:type="spellEnd"/>
            <w:r w:rsidRPr="00CE4C3C">
              <w:rPr>
                <w:rFonts w:ascii="Times New Roman" w:eastAsia="Times New Roman" w:hAnsi="Times New Roman" w:cs="Times New Roman"/>
                <w:lang w:eastAsia="lt-LT" w:bidi="lt-LT"/>
              </w:rPr>
              <w:t>,*</w:t>
            </w:r>
          </w:p>
        </w:tc>
        <w:tc>
          <w:tcPr>
            <w:tcW w:w="1172" w:type="dxa"/>
          </w:tcPr>
          <w:p w14:paraId="792DBCC4" w14:textId="77777777" w:rsidR="00F17A0C" w:rsidRPr="00CE4C3C" w:rsidRDefault="00F17A0C" w:rsidP="00CE4C3C">
            <w:pPr>
              <w:widowControl w:val="0"/>
              <w:tabs>
                <w:tab w:val="left" w:pos="1627"/>
                <w:tab w:val="left" w:pos="1735"/>
              </w:tabs>
              <w:autoSpaceDE w:val="0"/>
              <w:autoSpaceDN w:val="0"/>
              <w:adjustRightInd w:val="0"/>
              <w:spacing w:line="240" w:lineRule="auto"/>
              <w:ind w:left="31"/>
              <w:rPr>
                <w:rFonts w:ascii="Times New Roman" w:eastAsia="Times New Roman" w:hAnsi="Times New Roman" w:cs="Times New Roman"/>
                <w:lang w:eastAsia="lt-LT" w:bidi="lt-LT"/>
              </w:rPr>
            </w:pPr>
          </w:p>
        </w:tc>
      </w:tr>
      <w:tr w:rsidR="00F17A0C" w:rsidRPr="00CE4C3C" w14:paraId="202BBC71" w14:textId="77777777" w:rsidTr="002D191C">
        <w:tc>
          <w:tcPr>
            <w:tcW w:w="1638" w:type="dxa"/>
            <w:shd w:val="clear" w:color="auto" w:fill="auto"/>
          </w:tcPr>
          <w:p w14:paraId="6D4D292F" w14:textId="77777777" w:rsidR="00F17A0C" w:rsidRPr="00CE4C3C" w:rsidRDefault="00F17A0C" w:rsidP="00CE4C3C">
            <w:pPr>
              <w:widowControl w:val="0"/>
              <w:tabs>
                <w:tab w:val="left" w:pos="567"/>
              </w:tabs>
              <w:autoSpaceDE w:val="0"/>
              <w:autoSpaceDN w:val="0"/>
              <w:adjustRightInd w:val="0"/>
              <w:spacing w:line="240" w:lineRule="auto"/>
              <w:rPr>
                <w:rFonts w:ascii="Times New Roman" w:eastAsia="Times New Roman" w:hAnsi="Times New Roman" w:cs="Times New Roman"/>
                <w:b/>
              </w:rPr>
            </w:pPr>
            <w:r w:rsidRPr="00CE4C3C">
              <w:rPr>
                <w:rFonts w:ascii="Times New Roman" w:eastAsia="Times New Roman" w:hAnsi="Times New Roman" w:cs="Times New Roman"/>
                <w:b/>
                <w:lang w:eastAsia="lt-LT" w:bidi="lt-LT"/>
              </w:rPr>
              <w:t>Imuninės sistemos sutrikimai</w:t>
            </w:r>
          </w:p>
        </w:tc>
        <w:tc>
          <w:tcPr>
            <w:tcW w:w="1620" w:type="dxa"/>
            <w:shd w:val="clear" w:color="auto" w:fill="auto"/>
          </w:tcPr>
          <w:p w14:paraId="4431EEB4" w14:textId="77777777" w:rsidR="00F17A0C" w:rsidRPr="00CE4C3C" w:rsidRDefault="00F17A0C" w:rsidP="00CE4C3C">
            <w:pPr>
              <w:widowControl w:val="0"/>
              <w:tabs>
                <w:tab w:val="left" w:pos="1451"/>
              </w:tabs>
              <w:autoSpaceDE w:val="0"/>
              <w:autoSpaceDN w:val="0"/>
              <w:adjustRightInd w:val="0"/>
              <w:spacing w:line="240" w:lineRule="auto"/>
              <w:rPr>
                <w:rFonts w:ascii="Times New Roman" w:eastAsia="Times New Roman" w:hAnsi="Times New Roman" w:cs="Times New Roman"/>
              </w:rPr>
            </w:pPr>
          </w:p>
        </w:tc>
        <w:tc>
          <w:tcPr>
            <w:tcW w:w="2070" w:type="dxa"/>
            <w:shd w:val="clear" w:color="auto" w:fill="auto"/>
          </w:tcPr>
          <w:p w14:paraId="4A9F4855" w14:textId="77777777" w:rsidR="00F17A0C" w:rsidRPr="00CE4C3C" w:rsidRDefault="00F17A0C" w:rsidP="00CE4C3C">
            <w:pPr>
              <w:widowControl w:val="0"/>
              <w:tabs>
                <w:tab w:val="left" w:pos="1451"/>
              </w:tabs>
              <w:autoSpaceDE w:val="0"/>
              <w:autoSpaceDN w:val="0"/>
              <w:adjustRightInd w:val="0"/>
              <w:spacing w:line="240" w:lineRule="auto"/>
              <w:rPr>
                <w:rFonts w:ascii="Times New Roman" w:eastAsia="Times New Roman" w:hAnsi="Times New Roman" w:cs="Times New Roman"/>
              </w:rPr>
            </w:pPr>
          </w:p>
        </w:tc>
        <w:tc>
          <w:tcPr>
            <w:tcW w:w="1897" w:type="dxa"/>
            <w:shd w:val="clear" w:color="auto" w:fill="auto"/>
          </w:tcPr>
          <w:p w14:paraId="5BA6AFA8"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Padidėjęs jautrumas</w:t>
            </w:r>
          </w:p>
        </w:tc>
        <w:tc>
          <w:tcPr>
            <w:tcW w:w="1701" w:type="dxa"/>
            <w:shd w:val="clear" w:color="auto" w:fill="auto"/>
          </w:tcPr>
          <w:p w14:paraId="24ADA483" w14:textId="77777777" w:rsidR="00F17A0C" w:rsidRPr="00CE4C3C" w:rsidRDefault="00F17A0C" w:rsidP="00CE4C3C">
            <w:pPr>
              <w:widowControl w:val="0"/>
              <w:tabs>
                <w:tab w:val="left" w:pos="567"/>
              </w:tabs>
              <w:autoSpaceDE w:val="0"/>
              <w:autoSpaceDN w:val="0"/>
              <w:adjustRightInd w:val="0"/>
              <w:spacing w:line="240" w:lineRule="auto"/>
              <w:ind w:left="31" w:right="-20"/>
              <w:rPr>
                <w:rFonts w:ascii="Times New Roman" w:eastAsia="Times New Roman" w:hAnsi="Times New Roman" w:cs="Times New Roman"/>
              </w:rPr>
            </w:pPr>
            <w:r w:rsidRPr="00CE4C3C">
              <w:rPr>
                <w:rFonts w:ascii="Times New Roman" w:eastAsia="Times New Roman" w:hAnsi="Times New Roman" w:cs="Times New Roman"/>
                <w:lang w:eastAsia="lt-LT" w:bidi="lt-LT"/>
              </w:rPr>
              <w:t>Angioneurozinė edema</w:t>
            </w:r>
          </w:p>
        </w:tc>
        <w:tc>
          <w:tcPr>
            <w:tcW w:w="1172" w:type="dxa"/>
          </w:tcPr>
          <w:p w14:paraId="348CFF52" w14:textId="77777777" w:rsidR="00F17A0C" w:rsidRPr="00CE4C3C" w:rsidRDefault="00F17A0C" w:rsidP="00CE4C3C">
            <w:pPr>
              <w:widowControl w:val="0"/>
              <w:tabs>
                <w:tab w:val="left" w:pos="567"/>
              </w:tabs>
              <w:autoSpaceDE w:val="0"/>
              <w:autoSpaceDN w:val="0"/>
              <w:adjustRightInd w:val="0"/>
              <w:spacing w:line="240" w:lineRule="auto"/>
              <w:ind w:left="31" w:right="-20"/>
              <w:rPr>
                <w:rFonts w:ascii="Times New Roman" w:eastAsia="Times New Roman" w:hAnsi="Times New Roman" w:cs="Times New Roman"/>
                <w:lang w:eastAsia="lt-LT" w:bidi="lt-LT"/>
              </w:rPr>
            </w:pPr>
          </w:p>
        </w:tc>
      </w:tr>
      <w:tr w:rsidR="00F17A0C" w:rsidRPr="00CE4C3C" w14:paraId="38FF4A12" w14:textId="77777777" w:rsidTr="002D191C">
        <w:tc>
          <w:tcPr>
            <w:tcW w:w="1638" w:type="dxa"/>
            <w:shd w:val="clear" w:color="auto" w:fill="auto"/>
          </w:tcPr>
          <w:p w14:paraId="48E8F1C0" w14:textId="77777777" w:rsidR="00F17A0C" w:rsidRPr="00CE4C3C" w:rsidRDefault="00F17A0C" w:rsidP="00CE4C3C">
            <w:pPr>
              <w:tabs>
                <w:tab w:val="left" w:pos="567"/>
              </w:tabs>
              <w:spacing w:line="240" w:lineRule="auto"/>
              <w:rPr>
                <w:rFonts w:ascii="Times New Roman" w:eastAsia="Times New Roman" w:hAnsi="Times New Roman" w:cs="Times New Roman"/>
                <w:b/>
                <w:lang w:eastAsia="lt-LT" w:bidi="lt-LT"/>
              </w:rPr>
            </w:pPr>
            <w:r w:rsidRPr="00CE4C3C">
              <w:rPr>
                <w:rFonts w:ascii="Times New Roman" w:eastAsia="Times New Roman" w:hAnsi="Times New Roman" w:cs="Times New Roman"/>
                <w:b/>
                <w:lang w:eastAsia="lt-LT" w:bidi="lt-LT"/>
              </w:rPr>
              <w:t>Endokrininiai sutrikimai</w:t>
            </w:r>
          </w:p>
        </w:tc>
        <w:tc>
          <w:tcPr>
            <w:tcW w:w="1620" w:type="dxa"/>
            <w:shd w:val="clear" w:color="auto" w:fill="auto"/>
          </w:tcPr>
          <w:p w14:paraId="2B8F1D28" w14:textId="77777777" w:rsidR="00F17A0C" w:rsidRPr="00CE4C3C" w:rsidRDefault="00F17A0C" w:rsidP="00CE4C3C">
            <w:pPr>
              <w:widowControl w:val="0"/>
              <w:tabs>
                <w:tab w:val="left" w:pos="1451"/>
              </w:tabs>
              <w:autoSpaceDE w:val="0"/>
              <w:autoSpaceDN w:val="0"/>
              <w:adjustRightInd w:val="0"/>
              <w:spacing w:line="240" w:lineRule="auto"/>
              <w:ind w:left="31" w:right="-20"/>
              <w:rPr>
                <w:rFonts w:ascii="Times New Roman" w:eastAsia="Times New Roman" w:hAnsi="Times New Roman" w:cs="Times New Roman"/>
              </w:rPr>
            </w:pPr>
            <w:proofErr w:type="spellStart"/>
            <w:r w:rsidRPr="00CE4C3C">
              <w:rPr>
                <w:rFonts w:ascii="Times New Roman" w:eastAsia="Times New Roman" w:hAnsi="Times New Roman" w:cs="Times New Roman"/>
                <w:w w:val="103"/>
              </w:rPr>
              <w:t>Hi</w:t>
            </w:r>
            <w:r w:rsidRPr="00CE4C3C">
              <w:rPr>
                <w:rFonts w:ascii="Times New Roman" w:eastAsia="Times New Roman" w:hAnsi="Times New Roman" w:cs="Times New Roman"/>
                <w:spacing w:val="-1"/>
                <w:w w:val="103"/>
              </w:rPr>
              <w:t>p</w:t>
            </w:r>
            <w:r w:rsidRPr="00CE4C3C">
              <w:rPr>
                <w:rFonts w:ascii="Times New Roman" w:eastAsia="Times New Roman" w:hAnsi="Times New Roman" w:cs="Times New Roman"/>
                <w:w w:val="103"/>
              </w:rPr>
              <w:t>o</w:t>
            </w:r>
            <w:r w:rsidRPr="00CE4C3C">
              <w:rPr>
                <w:rFonts w:ascii="Times New Roman" w:eastAsia="Times New Roman" w:hAnsi="Times New Roman" w:cs="Times New Roman"/>
                <w:spacing w:val="-1"/>
                <w:w w:val="103"/>
              </w:rPr>
              <w:t>tirozė</w:t>
            </w:r>
            <w:proofErr w:type="spellEnd"/>
          </w:p>
        </w:tc>
        <w:tc>
          <w:tcPr>
            <w:tcW w:w="2070" w:type="dxa"/>
            <w:shd w:val="clear" w:color="auto" w:fill="auto"/>
          </w:tcPr>
          <w:p w14:paraId="2C5E492C" w14:textId="77777777" w:rsidR="00F17A0C" w:rsidRPr="00CE4C3C" w:rsidRDefault="00F17A0C" w:rsidP="00CE4C3C">
            <w:pPr>
              <w:widowControl w:val="0"/>
              <w:tabs>
                <w:tab w:val="left" w:pos="1451"/>
              </w:tabs>
              <w:autoSpaceDE w:val="0"/>
              <w:autoSpaceDN w:val="0"/>
              <w:adjustRightInd w:val="0"/>
              <w:spacing w:line="240" w:lineRule="auto"/>
              <w:rPr>
                <w:rFonts w:ascii="Times New Roman" w:eastAsia="Times New Roman" w:hAnsi="Times New Roman" w:cs="Times New Roman"/>
              </w:rPr>
            </w:pPr>
          </w:p>
        </w:tc>
        <w:tc>
          <w:tcPr>
            <w:tcW w:w="1897" w:type="dxa"/>
            <w:shd w:val="clear" w:color="auto" w:fill="auto"/>
          </w:tcPr>
          <w:p w14:paraId="3829D4F5" w14:textId="77777777" w:rsidR="00F17A0C" w:rsidRPr="00CE4C3C" w:rsidRDefault="00F17A0C" w:rsidP="00CE4C3C">
            <w:pPr>
              <w:widowControl w:val="0"/>
              <w:tabs>
                <w:tab w:val="left" w:pos="567"/>
              </w:tabs>
              <w:autoSpaceDE w:val="0"/>
              <w:autoSpaceDN w:val="0"/>
              <w:adjustRightInd w:val="0"/>
              <w:spacing w:line="240" w:lineRule="auto"/>
              <w:ind w:left="30" w:right="-20"/>
              <w:rPr>
                <w:rFonts w:ascii="Times New Roman" w:eastAsia="Times New Roman" w:hAnsi="Times New Roman" w:cs="Times New Roman"/>
              </w:rPr>
            </w:pPr>
            <w:proofErr w:type="spellStart"/>
            <w:r w:rsidRPr="00CE4C3C">
              <w:rPr>
                <w:rFonts w:ascii="Times New Roman" w:eastAsia="Times New Roman" w:hAnsi="Times New Roman" w:cs="Times New Roman"/>
                <w:w w:val="103"/>
              </w:rPr>
              <w:t>H</w:t>
            </w:r>
            <w:r w:rsidRPr="00CE4C3C">
              <w:rPr>
                <w:rFonts w:ascii="Times New Roman" w:eastAsia="Times New Roman" w:hAnsi="Times New Roman" w:cs="Times New Roman"/>
                <w:spacing w:val="-1"/>
                <w:w w:val="103"/>
              </w:rPr>
              <w:t>i</w:t>
            </w:r>
            <w:r w:rsidRPr="00CE4C3C">
              <w:rPr>
                <w:rFonts w:ascii="Times New Roman" w:eastAsia="Times New Roman" w:hAnsi="Times New Roman" w:cs="Times New Roman"/>
                <w:w w:val="103"/>
              </w:rPr>
              <w:t>p</w:t>
            </w:r>
            <w:r w:rsidRPr="00CE4C3C">
              <w:rPr>
                <w:rFonts w:ascii="Times New Roman" w:eastAsia="Times New Roman" w:hAnsi="Times New Roman" w:cs="Times New Roman"/>
                <w:spacing w:val="-1"/>
                <w:w w:val="103"/>
              </w:rPr>
              <w:t>e</w:t>
            </w:r>
            <w:r w:rsidRPr="00CE4C3C">
              <w:rPr>
                <w:rFonts w:ascii="Times New Roman" w:eastAsia="Times New Roman" w:hAnsi="Times New Roman" w:cs="Times New Roman"/>
                <w:w w:val="103"/>
              </w:rPr>
              <w:t>rtirozė</w:t>
            </w:r>
            <w:proofErr w:type="spellEnd"/>
          </w:p>
        </w:tc>
        <w:tc>
          <w:tcPr>
            <w:tcW w:w="1701" w:type="dxa"/>
            <w:shd w:val="clear" w:color="auto" w:fill="auto"/>
          </w:tcPr>
          <w:p w14:paraId="37DB88C8" w14:textId="77777777" w:rsidR="00F17A0C" w:rsidRPr="00CE4C3C" w:rsidRDefault="00F17A0C" w:rsidP="00CE4C3C">
            <w:pPr>
              <w:widowControl w:val="0"/>
              <w:tabs>
                <w:tab w:val="left" w:pos="567"/>
              </w:tabs>
              <w:autoSpaceDE w:val="0"/>
              <w:autoSpaceDN w:val="0"/>
              <w:adjustRightInd w:val="0"/>
              <w:spacing w:before="100" w:beforeAutospacing="1" w:line="240" w:lineRule="auto"/>
              <w:ind w:right="-23"/>
              <w:rPr>
                <w:rFonts w:ascii="Times New Roman" w:eastAsia="Times New Roman" w:hAnsi="Times New Roman" w:cs="Times New Roman"/>
              </w:rPr>
            </w:pPr>
            <w:proofErr w:type="spellStart"/>
            <w:r w:rsidRPr="00CE4C3C">
              <w:rPr>
                <w:rFonts w:ascii="Times New Roman" w:eastAsia="Times New Roman" w:hAnsi="Times New Roman" w:cs="Times New Roman"/>
                <w:w w:val="103"/>
              </w:rPr>
              <w:t>Tiroiditas</w:t>
            </w:r>
            <w:proofErr w:type="spellEnd"/>
          </w:p>
        </w:tc>
        <w:tc>
          <w:tcPr>
            <w:tcW w:w="1172" w:type="dxa"/>
          </w:tcPr>
          <w:p w14:paraId="7C1B28F5" w14:textId="77777777" w:rsidR="00F17A0C" w:rsidRPr="00CE4C3C" w:rsidRDefault="00F17A0C" w:rsidP="00CE4C3C">
            <w:pPr>
              <w:widowControl w:val="0"/>
              <w:tabs>
                <w:tab w:val="left" w:pos="567"/>
              </w:tabs>
              <w:autoSpaceDE w:val="0"/>
              <w:autoSpaceDN w:val="0"/>
              <w:adjustRightInd w:val="0"/>
              <w:spacing w:before="100" w:line="240" w:lineRule="auto"/>
              <w:ind w:left="32" w:right="-20"/>
              <w:rPr>
                <w:rFonts w:ascii="Times New Roman" w:eastAsia="Times New Roman" w:hAnsi="Times New Roman" w:cs="Times New Roman"/>
                <w:w w:val="103"/>
              </w:rPr>
            </w:pPr>
          </w:p>
        </w:tc>
      </w:tr>
      <w:tr w:rsidR="00F17A0C" w:rsidRPr="00CE4C3C" w14:paraId="66C2A99A" w14:textId="77777777" w:rsidTr="002D191C">
        <w:tc>
          <w:tcPr>
            <w:tcW w:w="1638" w:type="dxa"/>
            <w:shd w:val="clear" w:color="auto" w:fill="auto"/>
          </w:tcPr>
          <w:p w14:paraId="34C9732D" w14:textId="77777777" w:rsidR="00F17A0C" w:rsidRPr="00CE4C3C" w:rsidRDefault="00F17A0C" w:rsidP="00CE4C3C">
            <w:pPr>
              <w:tabs>
                <w:tab w:val="left" w:pos="567"/>
              </w:tabs>
              <w:spacing w:line="240" w:lineRule="auto"/>
              <w:rPr>
                <w:rFonts w:ascii="Times New Roman" w:eastAsia="Times New Roman" w:hAnsi="Times New Roman" w:cs="Times New Roman"/>
                <w:b/>
                <w:lang w:eastAsia="lt-LT" w:bidi="lt-LT"/>
              </w:rPr>
            </w:pPr>
            <w:r w:rsidRPr="00CE4C3C">
              <w:rPr>
                <w:rFonts w:ascii="Times New Roman" w:eastAsia="Times New Roman" w:hAnsi="Times New Roman" w:cs="Times New Roman"/>
                <w:b/>
                <w:lang w:eastAsia="lt-LT" w:bidi="lt-LT"/>
              </w:rPr>
              <w:t>Metabolizmo ir mitybos sutrikimai</w:t>
            </w:r>
          </w:p>
        </w:tc>
        <w:tc>
          <w:tcPr>
            <w:tcW w:w="1620" w:type="dxa"/>
            <w:shd w:val="clear" w:color="auto" w:fill="auto"/>
          </w:tcPr>
          <w:p w14:paraId="2F5448A2" w14:textId="77777777" w:rsidR="00F17A0C" w:rsidRPr="00CE4C3C" w:rsidRDefault="00F17A0C" w:rsidP="00CE4C3C">
            <w:pPr>
              <w:widowControl w:val="0"/>
              <w:tabs>
                <w:tab w:val="left" w:pos="1451"/>
              </w:tabs>
              <w:autoSpaceDE w:val="0"/>
              <w:autoSpaceDN w:val="0"/>
              <w:adjustRightInd w:val="0"/>
              <w:spacing w:line="240" w:lineRule="auto"/>
              <w:ind w:left="31" w:right="-20"/>
              <w:rPr>
                <w:rFonts w:ascii="Times New Roman" w:eastAsia="Times New Roman" w:hAnsi="Times New Roman" w:cs="Times New Roman"/>
              </w:rPr>
            </w:pPr>
            <w:r w:rsidRPr="00CE4C3C">
              <w:rPr>
                <w:rFonts w:ascii="Times New Roman" w:eastAsia="Times New Roman" w:hAnsi="Times New Roman" w:cs="Times New Roman"/>
                <w:w w:val="103"/>
              </w:rPr>
              <w:t xml:space="preserve">Apetito </w:t>
            </w:r>
            <w:proofErr w:type="spellStart"/>
            <w:r w:rsidRPr="00CE4C3C">
              <w:rPr>
                <w:rFonts w:ascii="Times New Roman" w:eastAsia="Times New Roman" w:hAnsi="Times New Roman" w:cs="Times New Roman"/>
                <w:w w:val="103"/>
              </w:rPr>
              <w:t>sumažėjimas</w:t>
            </w:r>
            <w:r w:rsidRPr="00CE4C3C">
              <w:rPr>
                <w:rFonts w:ascii="Times New Roman" w:eastAsia="Times New Roman" w:hAnsi="Times New Roman" w:cs="Times New Roman"/>
                <w:w w:val="103"/>
                <w:vertAlign w:val="superscript"/>
              </w:rPr>
              <w:t>i</w:t>
            </w:r>
            <w:proofErr w:type="spellEnd"/>
          </w:p>
        </w:tc>
        <w:tc>
          <w:tcPr>
            <w:tcW w:w="2070" w:type="dxa"/>
            <w:shd w:val="clear" w:color="auto" w:fill="auto"/>
          </w:tcPr>
          <w:p w14:paraId="4F734D09"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Dehidracija</w:t>
            </w:r>
            <w:proofErr w:type="spellEnd"/>
            <w:r w:rsidRPr="00CE4C3C">
              <w:rPr>
                <w:rFonts w:ascii="Times New Roman" w:eastAsia="Times New Roman" w:hAnsi="Times New Roman" w:cs="Times New Roman"/>
                <w:lang w:eastAsia="lt-LT" w:bidi="lt-LT"/>
              </w:rPr>
              <w:t xml:space="preserve"> Hipoglikemija</w:t>
            </w:r>
          </w:p>
        </w:tc>
        <w:tc>
          <w:tcPr>
            <w:tcW w:w="1897" w:type="dxa"/>
            <w:shd w:val="clear" w:color="auto" w:fill="auto"/>
          </w:tcPr>
          <w:p w14:paraId="155F387A" w14:textId="77777777" w:rsidR="00F17A0C" w:rsidRPr="00CE4C3C" w:rsidRDefault="00F17A0C" w:rsidP="00CE4C3C">
            <w:pPr>
              <w:widowControl w:val="0"/>
              <w:tabs>
                <w:tab w:val="left" w:pos="567"/>
              </w:tabs>
              <w:autoSpaceDE w:val="0"/>
              <w:autoSpaceDN w:val="0"/>
              <w:adjustRightInd w:val="0"/>
              <w:spacing w:line="240" w:lineRule="auto"/>
              <w:rPr>
                <w:rFonts w:ascii="Times New Roman" w:eastAsia="Times New Roman" w:hAnsi="Times New Roman" w:cs="Times New Roman"/>
              </w:rPr>
            </w:pPr>
          </w:p>
        </w:tc>
        <w:tc>
          <w:tcPr>
            <w:tcW w:w="1701" w:type="dxa"/>
            <w:shd w:val="clear" w:color="auto" w:fill="auto"/>
          </w:tcPr>
          <w:p w14:paraId="01064A82" w14:textId="77777777" w:rsidR="00F17A0C" w:rsidRPr="00CE4C3C" w:rsidRDefault="00F17A0C" w:rsidP="00CE4C3C">
            <w:pPr>
              <w:tabs>
                <w:tab w:val="left" w:pos="567"/>
              </w:tabs>
              <w:spacing w:line="240" w:lineRule="auto"/>
              <w:rPr>
                <w:rFonts w:ascii="Times New Roman" w:eastAsia="Times New Roman" w:hAnsi="Times New Roman" w:cs="Times New Roman"/>
              </w:rPr>
            </w:pPr>
            <w:r w:rsidRPr="00CE4C3C">
              <w:rPr>
                <w:rFonts w:ascii="Times New Roman" w:eastAsia="Times New Roman" w:hAnsi="Times New Roman" w:cs="Times New Roman"/>
                <w:lang w:eastAsia="lt-LT" w:bidi="lt-LT"/>
              </w:rPr>
              <w:t xml:space="preserve">Naviko </w:t>
            </w:r>
            <w:proofErr w:type="spellStart"/>
            <w:r w:rsidRPr="00CE4C3C">
              <w:rPr>
                <w:rFonts w:ascii="Times New Roman" w:eastAsia="Times New Roman" w:hAnsi="Times New Roman" w:cs="Times New Roman"/>
                <w:lang w:eastAsia="lt-LT" w:bidi="lt-LT"/>
              </w:rPr>
              <w:t>lizės</w:t>
            </w:r>
            <w:proofErr w:type="spellEnd"/>
            <w:r w:rsidRPr="00CE4C3C">
              <w:rPr>
                <w:rFonts w:ascii="Times New Roman" w:eastAsia="Times New Roman" w:hAnsi="Times New Roman" w:cs="Times New Roman"/>
                <w:lang w:eastAsia="lt-LT" w:bidi="lt-LT"/>
              </w:rPr>
              <w:t xml:space="preserve"> sindromas*</w:t>
            </w:r>
          </w:p>
        </w:tc>
        <w:tc>
          <w:tcPr>
            <w:tcW w:w="1172" w:type="dxa"/>
          </w:tcPr>
          <w:p w14:paraId="69651AD1"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tc>
      </w:tr>
      <w:tr w:rsidR="00F17A0C" w:rsidRPr="00CE4C3C" w14:paraId="7FAA2BF6" w14:textId="77777777" w:rsidTr="002D191C">
        <w:tc>
          <w:tcPr>
            <w:tcW w:w="1638" w:type="dxa"/>
            <w:shd w:val="clear" w:color="auto" w:fill="auto"/>
          </w:tcPr>
          <w:p w14:paraId="54F170E8" w14:textId="77777777" w:rsidR="00F17A0C" w:rsidRPr="00CE4C3C" w:rsidRDefault="00F17A0C" w:rsidP="00CE4C3C">
            <w:pPr>
              <w:widowControl w:val="0"/>
              <w:tabs>
                <w:tab w:val="left" w:pos="1276"/>
              </w:tabs>
              <w:autoSpaceDE w:val="0"/>
              <w:autoSpaceDN w:val="0"/>
              <w:adjustRightInd w:val="0"/>
              <w:spacing w:line="240" w:lineRule="auto"/>
              <w:ind w:left="31"/>
              <w:rPr>
                <w:rFonts w:ascii="Times New Roman" w:eastAsia="Times New Roman" w:hAnsi="Times New Roman" w:cs="Times New Roman"/>
              </w:rPr>
            </w:pPr>
            <w:r w:rsidRPr="00CE4C3C">
              <w:rPr>
                <w:rFonts w:ascii="Times New Roman" w:eastAsia="Times New Roman" w:hAnsi="Times New Roman" w:cs="Times New Roman"/>
                <w:b/>
                <w:bCs/>
                <w:spacing w:val="-1"/>
                <w:w w:val="103"/>
              </w:rPr>
              <w:t>Ps</w:t>
            </w:r>
            <w:r w:rsidRPr="00CE4C3C">
              <w:rPr>
                <w:rFonts w:ascii="Times New Roman" w:eastAsia="Times New Roman" w:hAnsi="Times New Roman" w:cs="Times New Roman"/>
                <w:b/>
                <w:bCs/>
                <w:w w:val="103"/>
              </w:rPr>
              <w:t>i</w:t>
            </w:r>
            <w:r w:rsidRPr="00CE4C3C">
              <w:rPr>
                <w:rFonts w:ascii="Times New Roman" w:eastAsia="Times New Roman" w:hAnsi="Times New Roman" w:cs="Times New Roman"/>
                <w:b/>
                <w:bCs/>
                <w:spacing w:val="-1"/>
                <w:w w:val="103"/>
              </w:rPr>
              <w:t>c</w:t>
            </w:r>
            <w:r w:rsidRPr="00CE4C3C">
              <w:rPr>
                <w:rFonts w:ascii="Times New Roman" w:eastAsia="Times New Roman" w:hAnsi="Times New Roman" w:cs="Times New Roman"/>
                <w:b/>
                <w:bCs/>
                <w:w w:val="103"/>
              </w:rPr>
              <w:t>hikos sutrikimai</w:t>
            </w:r>
          </w:p>
        </w:tc>
        <w:tc>
          <w:tcPr>
            <w:tcW w:w="1620" w:type="dxa"/>
            <w:shd w:val="clear" w:color="auto" w:fill="auto"/>
          </w:tcPr>
          <w:p w14:paraId="4D8546B4" w14:textId="77777777" w:rsidR="00F17A0C" w:rsidRPr="00CE4C3C" w:rsidRDefault="00F17A0C" w:rsidP="00CE4C3C">
            <w:pPr>
              <w:widowControl w:val="0"/>
              <w:tabs>
                <w:tab w:val="left" w:pos="1451"/>
              </w:tabs>
              <w:autoSpaceDE w:val="0"/>
              <w:autoSpaceDN w:val="0"/>
              <w:adjustRightInd w:val="0"/>
              <w:spacing w:line="240" w:lineRule="auto"/>
              <w:ind w:left="31" w:right="-20"/>
              <w:rPr>
                <w:rFonts w:ascii="Times New Roman" w:eastAsia="Times New Roman" w:hAnsi="Times New Roman" w:cs="Times New Roman"/>
              </w:rPr>
            </w:pPr>
            <w:r w:rsidRPr="00CE4C3C">
              <w:rPr>
                <w:rFonts w:ascii="Times New Roman" w:eastAsia="Times New Roman" w:hAnsi="Times New Roman" w:cs="Times New Roman"/>
                <w:lang w:eastAsia="lt-LT" w:bidi="lt-LT"/>
              </w:rPr>
              <w:t>Nemiga</w:t>
            </w:r>
          </w:p>
        </w:tc>
        <w:tc>
          <w:tcPr>
            <w:tcW w:w="2070" w:type="dxa"/>
            <w:shd w:val="clear" w:color="auto" w:fill="auto"/>
          </w:tcPr>
          <w:p w14:paraId="0CF639BE" w14:textId="77777777" w:rsidR="00F17A0C" w:rsidRPr="00CE4C3C" w:rsidRDefault="00F17A0C" w:rsidP="00CE4C3C">
            <w:pPr>
              <w:widowControl w:val="0"/>
              <w:tabs>
                <w:tab w:val="left" w:pos="1451"/>
              </w:tabs>
              <w:autoSpaceDE w:val="0"/>
              <w:autoSpaceDN w:val="0"/>
              <w:adjustRightInd w:val="0"/>
              <w:spacing w:line="240" w:lineRule="auto"/>
              <w:ind w:left="37" w:right="-20"/>
              <w:rPr>
                <w:rFonts w:ascii="Times New Roman" w:eastAsia="Times New Roman" w:hAnsi="Times New Roman" w:cs="Times New Roman"/>
              </w:rPr>
            </w:pPr>
            <w:r w:rsidRPr="00CE4C3C">
              <w:rPr>
                <w:rFonts w:ascii="Times New Roman" w:eastAsia="Times New Roman" w:hAnsi="Times New Roman" w:cs="Times New Roman"/>
                <w:lang w:eastAsia="lt-LT" w:bidi="lt-LT"/>
              </w:rPr>
              <w:t>Depresija</w:t>
            </w:r>
          </w:p>
        </w:tc>
        <w:tc>
          <w:tcPr>
            <w:tcW w:w="1897" w:type="dxa"/>
            <w:shd w:val="clear" w:color="auto" w:fill="auto"/>
          </w:tcPr>
          <w:p w14:paraId="5D11D309" w14:textId="77777777" w:rsidR="00F17A0C" w:rsidRPr="00CE4C3C" w:rsidRDefault="00F17A0C" w:rsidP="00CE4C3C">
            <w:pPr>
              <w:tabs>
                <w:tab w:val="left" w:pos="567"/>
              </w:tabs>
              <w:spacing w:line="240" w:lineRule="auto"/>
              <w:jc w:val="both"/>
              <w:rPr>
                <w:rFonts w:ascii="Times New Roman" w:eastAsia="Times New Roman" w:hAnsi="Times New Roman" w:cs="Times New Roman"/>
                <w:b/>
                <w:u w:val="single"/>
              </w:rPr>
            </w:pPr>
          </w:p>
        </w:tc>
        <w:tc>
          <w:tcPr>
            <w:tcW w:w="1701" w:type="dxa"/>
            <w:shd w:val="clear" w:color="auto" w:fill="auto"/>
          </w:tcPr>
          <w:p w14:paraId="0FD9F623" w14:textId="77777777" w:rsidR="00F17A0C" w:rsidRPr="00CE4C3C" w:rsidRDefault="00F17A0C" w:rsidP="00CE4C3C">
            <w:pPr>
              <w:tabs>
                <w:tab w:val="left" w:pos="567"/>
              </w:tabs>
              <w:spacing w:line="240" w:lineRule="auto"/>
              <w:jc w:val="both"/>
              <w:rPr>
                <w:rFonts w:ascii="Times New Roman" w:eastAsia="Times New Roman" w:hAnsi="Times New Roman" w:cs="Times New Roman"/>
                <w:b/>
                <w:u w:val="single"/>
              </w:rPr>
            </w:pPr>
          </w:p>
        </w:tc>
        <w:tc>
          <w:tcPr>
            <w:tcW w:w="1172" w:type="dxa"/>
          </w:tcPr>
          <w:p w14:paraId="37C4457A" w14:textId="77777777" w:rsidR="00F17A0C" w:rsidRPr="00CE4C3C" w:rsidRDefault="00F17A0C" w:rsidP="00CE4C3C">
            <w:pPr>
              <w:tabs>
                <w:tab w:val="left" w:pos="567"/>
              </w:tabs>
              <w:spacing w:line="240" w:lineRule="auto"/>
              <w:jc w:val="both"/>
              <w:rPr>
                <w:rFonts w:ascii="Times New Roman" w:eastAsia="Times New Roman" w:hAnsi="Times New Roman" w:cs="Times New Roman"/>
                <w:b/>
                <w:u w:val="single"/>
              </w:rPr>
            </w:pPr>
          </w:p>
        </w:tc>
      </w:tr>
      <w:tr w:rsidR="00F17A0C" w:rsidRPr="00CE4C3C" w14:paraId="68CF53E6" w14:textId="77777777" w:rsidTr="002D191C">
        <w:tc>
          <w:tcPr>
            <w:tcW w:w="1638" w:type="dxa"/>
            <w:shd w:val="clear" w:color="auto" w:fill="auto"/>
          </w:tcPr>
          <w:p w14:paraId="3E6589FB" w14:textId="77777777" w:rsidR="00F17A0C" w:rsidRPr="00CE4C3C" w:rsidRDefault="00F17A0C" w:rsidP="00CE4C3C">
            <w:pPr>
              <w:widowControl w:val="0"/>
              <w:tabs>
                <w:tab w:val="left" w:pos="1276"/>
              </w:tabs>
              <w:autoSpaceDE w:val="0"/>
              <w:autoSpaceDN w:val="0"/>
              <w:adjustRightInd w:val="0"/>
              <w:spacing w:line="240" w:lineRule="auto"/>
              <w:ind w:left="31"/>
              <w:rPr>
                <w:rFonts w:ascii="Times New Roman" w:eastAsia="Times New Roman" w:hAnsi="Times New Roman" w:cs="Times New Roman"/>
              </w:rPr>
            </w:pPr>
            <w:r w:rsidRPr="00CE4C3C">
              <w:rPr>
                <w:rFonts w:ascii="Times New Roman" w:eastAsia="Times New Roman" w:hAnsi="Times New Roman" w:cs="Times New Roman"/>
                <w:b/>
                <w:bCs/>
              </w:rPr>
              <w:t>N</w:t>
            </w:r>
            <w:r w:rsidRPr="00CE4C3C">
              <w:rPr>
                <w:rFonts w:ascii="Times New Roman" w:eastAsia="Times New Roman" w:hAnsi="Times New Roman" w:cs="Times New Roman"/>
                <w:b/>
                <w:bCs/>
                <w:spacing w:val="-1"/>
              </w:rPr>
              <w:t>e</w:t>
            </w:r>
            <w:r w:rsidRPr="00CE4C3C">
              <w:rPr>
                <w:rFonts w:ascii="Times New Roman" w:eastAsia="Times New Roman" w:hAnsi="Times New Roman" w:cs="Times New Roman"/>
                <w:b/>
                <w:bCs/>
              </w:rPr>
              <w:t>rvų</w:t>
            </w:r>
            <w:r w:rsidRPr="00CE4C3C">
              <w:rPr>
                <w:rFonts w:ascii="Times New Roman" w:eastAsia="Times New Roman" w:hAnsi="Times New Roman" w:cs="Times New Roman"/>
                <w:b/>
                <w:bCs/>
                <w:spacing w:val="21"/>
              </w:rPr>
              <w:t xml:space="preserve"> </w:t>
            </w:r>
            <w:r w:rsidRPr="00CE4C3C">
              <w:rPr>
                <w:rFonts w:ascii="Times New Roman" w:eastAsia="Times New Roman" w:hAnsi="Times New Roman" w:cs="Times New Roman"/>
                <w:b/>
                <w:bCs/>
                <w:w w:val="103"/>
              </w:rPr>
              <w:t>s</w:t>
            </w:r>
            <w:r w:rsidRPr="00CE4C3C">
              <w:rPr>
                <w:rFonts w:ascii="Times New Roman" w:eastAsia="Times New Roman" w:hAnsi="Times New Roman" w:cs="Times New Roman"/>
                <w:b/>
                <w:bCs/>
                <w:spacing w:val="-1"/>
                <w:w w:val="103"/>
              </w:rPr>
              <w:t>i</w:t>
            </w:r>
            <w:r w:rsidRPr="00CE4C3C">
              <w:rPr>
                <w:rFonts w:ascii="Times New Roman" w:eastAsia="Times New Roman" w:hAnsi="Times New Roman" w:cs="Times New Roman"/>
                <w:b/>
                <w:bCs/>
                <w:w w:val="103"/>
              </w:rPr>
              <w:t>st</w:t>
            </w:r>
            <w:r w:rsidRPr="00CE4C3C">
              <w:rPr>
                <w:rFonts w:ascii="Times New Roman" w:eastAsia="Times New Roman" w:hAnsi="Times New Roman" w:cs="Times New Roman"/>
                <w:b/>
                <w:bCs/>
                <w:spacing w:val="-1"/>
                <w:w w:val="103"/>
              </w:rPr>
              <w:t>e</w:t>
            </w:r>
            <w:r w:rsidRPr="00CE4C3C">
              <w:rPr>
                <w:rFonts w:ascii="Times New Roman" w:eastAsia="Times New Roman" w:hAnsi="Times New Roman" w:cs="Times New Roman"/>
                <w:b/>
                <w:bCs/>
                <w:w w:val="103"/>
              </w:rPr>
              <w:t>mos sutrikimai</w:t>
            </w:r>
          </w:p>
        </w:tc>
        <w:tc>
          <w:tcPr>
            <w:tcW w:w="1620" w:type="dxa"/>
            <w:shd w:val="clear" w:color="auto" w:fill="auto"/>
          </w:tcPr>
          <w:p w14:paraId="586B47B6"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Svaigulys </w:t>
            </w:r>
          </w:p>
          <w:p w14:paraId="26AAEFA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Galvos skausmas Skonio pojūčio </w:t>
            </w:r>
            <w:proofErr w:type="spellStart"/>
            <w:r w:rsidRPr="00CE4C3C">
              <w:rPr>
                <w:rFonts w:ascii="Times New Roman" w:eastAsia="Times New Roman" w:hAnsi="Times New Roman" w:cs="Times New Roman"/>
                <w:lang w:eastAsia="lt-LT" w:bidi="lt-LT"/>
              </w:rPr>
              <w:t>sutrikimas</w:t>
            </w:r>
            <w:r w:rsidRPr="00CE4C3C">
              <w:rPr>
                <w:rFonts w:ascii="Times New Roman" w:eastAsia="Times New Roman" w:hAnsi="Times New Roman" w:cs="Times New Roman"/>
                <w:vertAlign w:val="superscript"/>
                <w:lang w:eastAsia="lt-LT" w:bidi="lt-LT"/>
              </w:rPr>
              <w:t>j</w:t>
            </w:r>
            <w:proofErr w:type="spellEnd"/>
          </w:p>
        </w:tc>
        <w:tc>
          <w:tcPr>
            <w:tcW w:w="2070" w:type="dxa"/>
            <w:shd w:val="clear" w:color="auto" w:fill="auto"/>
          </w:tcPr>
          <w:p w14:paraId="06B9A288"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Periferinė neuropatija </w:t>
            </w:r>
            <w:proofErr w:type="spellStart"/>
            <w:r w:rsidRPr="00CE4C3C">
              <w:rPr>
                <w:rFonts w:ascii="Times New Roman" w:eastAsia="Times New Roman" w:hAnsi="Times New Roman" w:cs="Times New Roman"/>
                <w:lang w:eastAsia="lt-LT" w:bidi="lt-LT"/>
              </w:rPr>
              <w:t>Parestezija</w:t>
            </w:r>
            <w:proofErr w:type="spellEnd"/>
          </w:p>
          <w:p w14:paraId="1A9CF75A"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Hipestezija</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Hiperestezija</w:t>
            </w:r>
            <w:proofErr w:type="spellEnd"/>
          </w:p>
        </w:tc>
        <w:tc>
          <w:tcPr>
            <w:tcW w:w="1897" w:type="dxa"/>
            <w:shd w:val="clear" w:color="auto" w:fill="auto"/>
          </w:tcPr>
          <w:p w14:paraId="12C9F72A"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Cerebrinis kraujavimas* </w:t>
            </w:r>
            <w:proofErr w:type="spellStart"/>
            <w:r w:rsidRPr="00CE4C3C">
              <w:rPr>
                <w:rFonts w:ascii="Times New Roman" w:eastAsia="Times New Roman" w:hAnsi="Times New Roman" w:cs="Times New Roman"/>
                <w:lang w:eastAsia="lt-LT" w:bidi="lt-LT"/>
              </w:rPr>
              <w:t>Cerebrovaskulinis</w:t>
            </w:r>
            <w:proofErr w:type="spellEnd"/>
            <w:r w:rsidRPr="00CE4C3C">
              <w:rPr>
                <w:rFonts w:ascii="Times New Roman" w:eastAsia="Times New Roman" w:hAnsi="Times New Roman" w:cs="Times New Roman"/>
                <w:lang w:eastAsia="lt-LT" w:bidi="lt-LT"/>
              </w:rPr>
              <w:t xml:space="preserve"> priepuolis* Praeinantis smegenų išemijos priepuolis</w:t>
            </w:r>
          </w:p>
        </w:tc>
        <w:tc>
          <w:tcPr>
            <w:tcW w:w="1701" w:type="dxa"/>
            <w:shd w:val="clear" w:color="auto" w:fill="auto"/>
          </w:tcPr>
          <w:p w14:paraId="691BB3F6"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Laikinas užpakalinės </w:t>
            </w:r>
            <w:proofErr w:type="spellStart"/>
            <w:r w:rsidRPr="00CE4C3C">
              <w:rPr>
                <w:rFonts w:ascii="Times New Roman" w:eastAsia="Times New Roman" w:hAnsi="Times New Roman" w:cs="Times New Roman"/>
                <w:lang w:eastAsia="lt-LT" w:bidi="lt-LT"/>
              </w:rPr>
              <w:t>encefalopatijos</w:t>
            </w:r>
            <w:proofErr w:type="spellEnd"/>
            <w:r w:rsidRPr="00CE4C3C">
              <w:rPr>
                <w:rFonts w:ascii="Times New Roman" w:eastAsia="Times New Roman" w:hAnsi="Times New Roman" w:cs="Times New Roman"/>
                <w:lang w:eastAsia="lt-LT" w:bidi="lt-LT"/>
              </w:rPr>
              <w:t xml:space="preserve"> sindromas*</w:t>
            </w:r>
          </w:p>
        </w:tc>
        <w:tc>
          <w:tcPr>
            <w:tcW w:w="1172" w:type="dxa"/>
          </w:tcPr>
          <w:p w14:paraId="4135C525" w14:textId="77777777" w:rsidR="004F4091" w:rsidRDefault="004F4091" w:rsidP="004F4091">
            <w:pPr>
              <w:tabs>
                <w:tab w:val="left" w:pos="567"/>
              </w:tabs>
              <w:spacing w:line="240" w:lineRule="auto"/>
              <w:rPr>
                <w:rFonts w:ascii="Times New Roman" w:eastAsia="Times New Roman" w:hAnsi="Times New Roman" w:cs="Times New Roman"/>
                <w:lang w:eastAsia="lt-LT"/>
              </w:rPr>
            </w:pPr>
            <w:proofErr w:type="spellStart"/>
            <w:r w:rsidRPr="004F4091">
              <w:rPr>
                <w:rFonts w:ascii="Times New Roman" w:eastAsia="Times New Roman" w:hAnsi="Times New Roman" w:cs="Times New Roman"/>
                <w:lang w:eastAsia="lt-LT"/>
              </w:rPr>
              <w:t>Hiperamoneminė</w:t>
            </w:r>
            <w:proofErr w:type="spellEnd"/>
            <w:r w:rsidRPr="004F4091">
              <w:rPr>
                <w:rFonts w:ascii="Times New Roman" w:eastAsia="Times New Roman" w:hAnsi="Times New Roman" w:cs="Times New Roman"/>
                <w:lang w:eastAsia="lt-LT"/>
              </w:rPr>
              <w:t xml:space="preserve"> </w:t>
            </w:r>
            <w:proofErr w:type="spellStart"/>
            <w:r w:rsidRPr="004F4091">
              <w:rPr>
                <w:rFonts w:ascii="Times New Roman" w:eastAsia="Times New Roman" w:hAnsi="Times New Roman" w:cs="Times New Roman"/>
                <w:lang w:eastAsia="lt-LT"/>
              </w:rPr>
              <w:t>encefalopatija</w:t>
            </w:r>
            <w:proofErr w:type="spellEnd"/>
          </w:p>
          <w:p w14:paraId="66D3DCE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tc>
      </w:tr>
      <w:tr w:rsidR="00F17A0C" w:rsidRPr="00CE4C3C" w14:paraId="3C4AAD5D" w14:textId="77777777" w:rsidTr="002D191C">
        <w:tc>
          <w:tcPr>
            <w:tcW w:w="1638" w:type="dxa"/>
            <w:shd w:val="clear" w:color="auto" w:fill="auto"/>
          </w:tcPr>
          <w:p w14:paraId="74D29CA8" w14:textId="77777777" w:rsidR="00F17A0C" w:rsidRPr="00CE4C3C" w:rsidRDefault="00F17A0C" w:rsidP="00CE4C3C">
            <w:pPr>
              <w:tabs>
                <w:tab w:val="left" w:pos="567"/>
              </w:tabs>
              <w:spacing w:line="240" w:lineRule="auto"/>
              <w:rPr>
                <w:rFonts w:ascii="Times New Roman" w:eastAsia="Times New Roman" w:hAnsi="Times New Roman" w:cs="Times New Roman"/>
                <w:b/>
                <w:lang w:eastAsia="lt-LT" w:bidi="lt-LT"/>
              </w:rPr>
            </w:pPr>
            <w:r w:rsidRPr="00CE4C3C">
              <w:rPr>
                <w:rFonts w:ascii="Times New Roman" w:eastAsia="Times New Roman" w:hAnsi="Times New Roman" w:cs="Times New Roman"/>
                <w:b/>
                <w:lang w:eastAsia="lt-LT" w:bidi="lt-LT"/>
              </w:rPr>
              <w:t>Akių sutrikimai</w:t>
            </w:r>
          </w:p>
        </w:tc>
        <w:tc>
          <w:tcPr>
            <w:tcW w:w="1620" w:type="dxa"/>
            <w:shd w:val="clear" w:color="auto" w:fill="auto"/>
          </w:tcPr>
          <w:p w14:paraId="4ED0CDC5" w14:textId="77777777" w:rsidR="00F17A0C" w:rsidRPr="00CE4C3C" w:rsidRDefault="00F17A0C" w:rsidP="00CE4C3C">
            <w:pPr>
              <w:tabs>
                <w:tab w:val="left" w:pos="1451"/>
              </w:tabs>
              <w:spacing w:line="240" w:lineRule="auto"/>
              <w:rPr>
                <w:rFonts w:ascii="Times New Roman" w:eastAsia="Times New Roman" w:hAnsi="Times New Roman" w:cs="Times New Roman"/>
              </w:rPr>
            </w:pPr>
          </w:p>
        </w:tc>
        <w:tc>
          <w:tcPr>
            <w:tcW w:w="2070" w:type="dxa"/>
            <w:shd w:val="clear" w:color="auto" w:fill="auto"/>
          </w:tcPr>
          <w:p w14:paraId="3B72D868"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Periorbitalinė</w:t>
            </w:r>
            <w:proofErr w:type="spellEnd"/>
            <w:r w:rsidRPr="00CE4C3C">
              <w:rPr>
                <w:rFonts w:ascii="Times New Roman" w:eastAsia="Times New Roman" w:hAnsi="Times New Roman" w:cs="Times New Roman"/>
                <w:lang w:eastAsia="lt-LT" w:bidi="lt-LT"/>
              </w:rPr>
              <w:t xml:space="preserve"> edema</w:t>
            </w:r>
          </w:p>
          <w:p w14:paraId="3FE4DF7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Akių vokų edema Padidėjęs ašarojimas </w:t>
            </w:r>
          </w:p>
        </w:tc>
        <w:tc>
          <w:tcPr>
            <w:tcW w:w="1897" w:type="dxa"/>
            <w:shd w:val="clear" w:color="auto" w:fill="auto"/>
          </w:tcPr>
          <w:p w14:paraId="4A5D3E88" w14:textId="77777777" w:rsidR="00F17A0C" w:rsidRPr="00CE4C3C" w:rsidRDefault="00F17A0C" w:rsidP="00CE4C3C">
            <w:pPr>
              <w:tabs>
                <w:tab w:val="left" w:pos="567"/>
              </w:tabs>
              <w:spacing w:line="240" w:lineRule="auto"/>
              <w:jc w:val="both"/>
              <w:rPr>
                <w:rFonts w:ascii="Times New Roman" w:eastAsia="Times New Roman" w:hAnsi="Times New Roman" w:cs="Times New Roman"/>
                <w:b/>
                <w:u w:val="single"/>
              </w:rPr>
            </w:pPr>
          </w:p>
        </w:tc>
        <w:tc>
          <w:tcPr>
            <w:tcW w:w="1701" w:type="dxa"/>
            <w:shd w:val="clear" w:color="auto" w:fill="auto"/>
          </w:tcPr>
          <w:p w14:paraId="7634B5A1" w14:textId="77777777" w:rsidR="00F17A0C" w:rsidRPr="00CE4C3C" w:rsidRDefault="00F17A0C" w:rsidP="00CE4C3C">
            <w:pPr>
              <w:tabs>
                <w:tab w:val="left" w:pos="567"/>
              </w:tabs>
              <w:spacing w:line="240" w:lineRule="auto"/>
              <w:jc w:val="both"/>
              <w:rPr>
                <w:rFonts w:ascii="Times New Roman" w:eastAsia="Times New Roman" w:hAnsi="Times New Roman" w:cs="Times New Roman"/>
                <w:b/>
                <w:u w:val="single"/>
              </w:rPr>
            </w:pPr>
          </w:p>
        </w:tc>
        <w:tc>
          <w:tcPr>
            <w:tcW w:w="1172" w:type="dxa"/>
          </w:tcPr>
          <w:p w14:paraId="5F28D39A" w14:textId="77777777" w:rsidR="00F17A0C" w:rsidRPr="00CE4C3C" w:rsidRDefault="00F17A0C" w:rsidP="00CE4C3C">
            <w:pPr>
              <w:tabs>
                <w:tab w:val="left" w:pos="567"/>
              </w:tabs>
              <w:spacing w:line="240" w:lineRule="auto"/>
              <w:jc w:val="both"/>
              <w:rPr>
                <w:rFonts w:ascii="Times New Roman" w:eastAsia="Times New Roman" w:hAnsi="Times New Roman" w:cs="Times New Roman"/>
                <w:b/>
                <w:u w:val="single"/>
              </w:rPr>
            </w:pPr>
          </w:p>
        </w:tc>
      </w:tr>
      <w:tr w:rsidR="00F17A0C" w:rsidRPr="00CE4C3C" w14:paraId="2297264B" w14:textId="77777777" w:rsidTr="002D191C">
        <w:tc>
          <w:tcPr>
            <w:tcW w:w="1638" w:type="dxa"/>
            <w:shd w:val="clear" w:color="auto" w:fill="auto"/>
          </w:tcPr>
          <w:p w14:paraId="17E98A46" w14:textId="77777777" w:rsidR="00F17A0C" w:rsidRPr="00CE4C3C" w:rsidRDefault="00F17A0C" w:rsidP="00CE4C3C">
            <w:pPr>
              <w:tabs>
                <w:tab w:val="left" w:pos="567"/>
              </w:tabs>
              <w:spacing w:line="240" w:lineRule="auto"/>
              <w:rPr>
                <w:rFonts w:ascii="Times New Roman" w:eastAsia="Times New Roman" w:hAnsi="Times New Roman" w:cs="Times New Roman"/>
                <w:b/>
              </w:rPr>
            </w:pPr>
            <w:r w:rsidRPr="00CE4C3C">
              <w:rPr>
                <w:rFonts w:ascii="Times New Roman" w:eastAsia="Times New Roman" w:hAnsi="Times New Roman" w:cs="Times New Roman"/>
                <w:b/>
                <w:lang w:eastAsia="lt-LT" w:bidi="lt-LT"/>
              </w:rPr>
              <w:t>Širdies sutrikimai</w:t>
            </w:r>
          </w:p>
        </w:tc>
        <w:tc>
          <w:tcPr>
            <w:tcW w:w="1620" w:type="dxa"/>
            <w:shd w:val="clear" w:color="auto" w:fill="auto"/>
          </w:tcPr>
          <w:p w14:paraId="756A6FD3" w14:textId="77777777" w:rsidR="00F17A0C" w:rsidRPr="00CE4C3C" w:rsidRDefault="00F17A0C" w:rsidP="00CE4C3C">
            <w:pPr>
              <w:widowControl w:val="0"/>
              <w:tabs>
                <w:tab w:val="left" w:pos="1451"/>
              </w:tabs>
              <w:autoSpaceDE w:val="0"/>
              <w:autoSpaceDN w:val="0"/>
              <w:adjustRightInd w:val="0"/>
              <w:spacing w:line="240" w:lineRule="auto"/>
              <w:rPr>
                <w:rFonts w:ascii="Times New Roman" w:eastAsia="Times New Roman" w:hAnsi="Times New Roman" w:cs="Times New Roman"/>
              </w:rPr>
            </w:pPr>
          </w:p>
        </w:tc>
        <w:tc>
          <w:tcPr>
            <w:tcW w:w="2070" w:type="dxa"/>
            <w:shd w:val="clear" w:color="auto" w:fill="auto"/>
          </w:tcPr>
          <w:p w14:paraId="0F50EE09"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Miokardo </w:t>
            </w:r>
            <w:proofErr w:type="spellStart"/>
            <w:r w:rsidRPr="00CE4C3C">
              <w:rPr>
                <w:rFonts w:ascii="Times New Roman" w:eastAsia="Times New Roman" w:hAnsi="Times New Roman" w:cs="Times New Roman"/>
                <w:lang w:eastAsia="lt-LT" w:bidi="lt-LT"/>
              </w:rPr>
              <w:t>išemija</w:t>
            </w:r>
            <w:r w:rsidRPr="00CE4C3C">
              <w:rPr>
                <w:rFonts w:ascii="Times New Roman" w:eastAsia="Times New Roman" w:hAnsi="Times New Roman" w:cs="Times New Roman"/>
                <w:vertAlign w:val="superscript"/>
                <w:lang w:eastAsia="lt-LT" w:bidi="lt-LT"/>
              </w:rPr>
              <w:t>k</w:t>
            </w:r>
            <w:proofErr w:type="spellEnd"/>
            <w:r w:rsidRPr="00CE4C3C">
              <w:rPr>
                <w:rFonts w:ascii="Times New Roman" w:eastAsia="Times New Roman" w:hAnsi="Times New Roman" w:cs="Times New Roman"/>
                <w:vertAlign w:val="superscript"/>
                <w:lang w:eastAsia="lt-LT" w:bidi="lt-LT"/>
              </w:rPr>
              <w:t>,</w:t>
            </w:r>
            <w:r w:rsidRPr="00CE4C3C">
              <w:rPr>
                <w:rFonts w:ascii="Times New Roman" w:eastAsia="Times New Roman" w:hAnsi="Times New Roman" w:cs="Times New Roman"/>
                <w:lang w:eastAsia="lt-LT" w:bidi="lt-LT"/>
              </w:rPr>
              <w:t xml:space="preserve">* Sumažėjusi išstūmimo </w:t>
            </w:r>
            <w:proofErr w:type="spellStart"/>
            <w:r w:rsidRPr="00CE4C3C">
              <w:rPr>
                <w:rFonts w:ascii="Times New Roman" w:eastAsia="Times New Roman" w:hAnsi="Times New Roman" w:cs="Times New Roman"/>
                <w:lang w:eastAsia="lt-LT" w:bidi="lt-LT"/>
              </w:rPr>
              <w:t>frakcija</w:t>
            </w:r>
            <w:r w:rsidRPr="00CE4C3C">
              <w:rPr>
                <w:rFonts w:ascii="Times New Roman" w:eastAsia="Times New Roman" w:hAnsi="Times New Roman" w:cs="Times New Roman"/>
                <w:vertAlign w:val="superscript"/>
                <w:lang w:eastAsia="lt-LT" w:bidi="lt-LT"/>
              </w:rPr>
              <w:t>l</w:t>
            </w:r>
            <w:proofErr w:type="spellEnd"/>
          </w:p>
        </w:tc>
        <w:tc>
          <w:tcPr>
            <w:tcW w:w="1897" w:type="dxa"/>
            <w:shd w:val="clear" w:color="auto" w:fill="auto"/>
          </w:tcPr>
          <w:p w14:paraId="2EC896D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Stazinis</w:t>
            </w:r>
            <w:proofErr w:type="spellEnd"/>
            <w:r w:rsidRPr="00CE4C3C">
              <w:rPr>
                <w:rFonts w:ascii="Times New Roman" w:eastAsia="Times New Roman" w:hAnsi="Times New Roman" w:cs="Times New Roman"/>
                <w:lang w:eastAsia="lt-LT" w:bidi="lt-LT"/>
              </w:rPr>
              <w:t xml:space="preserve"> širdies nepakankamumas Miokardo </w:t>
            </w:r>
            <w:proofErr w:type="spellStart"/>
            <w:r w:rsidRPr="00CE4C3C">
              <w:rPr>
                <w:rFonts w:ascii="Times New Roman" w:eastAsia="Times New Roman" w:hAnsi="Times New Roman" w:cs="Times New Roman"/>
                <w:lang w:eastAsia="lt-LT" w:bidi="lt-LT"/>
              </w:rPr>
              <w:t>infarktas</w:t>
            </w:r>
            <w:r w:rsidRPr="00CE4C3C">
              <w:rPr>
                <w:rFonts w:ascii="Times New Roman" w:eastAsia="Times New Roman" w:hAnsi="Times New Roman" w:cs="Times New Roman"/>
                <w:vertAlign w:val="superscript"/>
                <w:lang w:eastAsia="lt-LT" w:bidi="lt-LT"/>
              </w:rPr>
              <w:t>m</w:t>
            </w:r>
            <w:proofErr w:type="spellEnd"/>
            <w:r w:rsidRPr="00CE4C3C">
              <w:rPr>
                <w:rFonts w:ascii="Times New Roman" w:eastAsia="Times New Roman" w:hAnsi="Times New Roman" w:cs="Times New Roman"/>
                <w:vertAlign w:val="superscript"/>
                <w:lang w:eastAsia="lt-LT" w:bidi="lt-LT"/>
              </w:rPr>
              <w:t>,</w:t>
            </w:r>
            <w:r w:rsidRPr="00CE4C3C">
              <w:rPr>
                <w:rFonts w:ascii="Times New Roman" w:eastAsia="Times New Roman" w:hAnsi="Times New Roman" w:cs="Times New Roman"/>
                <w:lang w:eastAsia="lt-LT" w:bidi="lt-LT"/>
              </w:rPr>
              <w:t xml:space="preserve">* </w:t>
            </w:r>
          </w:p>
          <w:p w14:paraId="604F0866"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Širdies nepakankamumas* Kardiomiopatija* Skystis perikardo ertmėje</w:t>
            </w:r>
          </w:p>
          <w:p w14:paraId="53021289" w14:textId="77777777" w:rsidR="00F17A0C" w:rsidRPr="00CE4C3C" w:rsidRDefault="00F17A0C" w:rsidP="00CE4C3C">
            <w:pPr>
              <w:tabs>
                <w:tab w:val="left" w:pos="567"/>
              </w:tabs>
              <w:spacing w:line="240" w:lineRule="auto"/>
              <w:rPr>
                <w:rFonts w:ascii="Times New Roman" w:eastAsia="Times New Roman" w:hAnsi="Times New Roman" w:cs="Times New Roman"/>
              </w:rPr>
            </w:pPr>
            <w:r w:rsidRPr="00CE4C3C">
              <w:rPr>
                <w:rFonts w:ascii="Times New Roman" w:eastAsia="Times New Roman" w:hAnsi="Times New Roman" w:cs="Times New Roman"/>
                <w:lang w:eastAsia="lt-LT" w:bidi="lt-LT"/>
              </w:rPr>
              <w:t xml:space="preserve">QT intervalo pailgėjimas </w:t>
            </w:r>
            <w:proofErr w:type="spellStart"/>
            <w:r w:rsidRPr="00CE4C3C">
              <w:rPr>
                <w:rFonts w:ascii="Times New Roman" w:eastAsia="Times New Roman" w:hAnsi="Times New Roman" w:cs="Times New Roman"/>
                <w:lang w:eastAsia="lt-LT" w:bidi="lt-LT"/>
              </w:rPr>
              <w:t>elektrokardiogra-moje</w:t>
            </w:r>
            <w:proofErr w:type="spellEnd"/>
          </w:p>
        </w:tc>
        <w:tc>
          <w:tcPr>
            <w:tcW w:w="1701" w:type="dxa"/>
            <w:shd w:val="clear" w:color="auto" w:fill="auto"/>
          </w:tcPr>
          <w:p w14:paraId="118DF7AD" w14:textId="77777777" w:rsidR="00AF1E2A"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Kairiojo skilvelio nepakankamumas* </w:t>
            </w:r>
          </w:p>
          <w:p w14:paraId="0E635C87"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i/>
                <w:lang w:eastAsia="lt-LT" w:bidi="lt-LT"/>
              </w:rPr>
              <w:t>Torsade</w:t>
            </w:r>
            <w:proofErr w:type="spellEnd"/>
            <w:r w:rsidRPr="00CE4C3C">
              <w:rPr>
                <w:rFonts w:ascii="Times New Roman" w:eastAsia="Times New Roman" w:hAnsi="Times New Roman" w:cs="Times New Roman"/>
                <w:i/>
                <w:lang w:eastAsia="lt-LT" w:bidi="lt-LT"/>
              </w:rPr>
              <w:t xml:space="preserve"> de </w:t>
            </w:r>
            <w:proofErr w:type="spellStart"/>
            <w:r w:rsidRPr="00CE4C3C">
              <w:rPr>
                <w:rFonts w:ascii="Times New Roman" w:eastAsia="Times New Roman" w:hAnsi="Times New Roman" w:cs="Times New Roman"/>
                <w:i/>
                <w:lang w:eastAsia="lt-LT" w:bidi="lt-LT"/>
              </w:rPr>
              <w:t>pointes</w:t>
            </w:r>
            <w:proofErr w:type="spellEnd"/>
          </w:p>
        </w:tc>
        <w:tc>
          <w:tcPr>
            <w:tcW w:w="1172" w:type="dxa"/>
          </w:tcPr>
          <w:p w14:paraId="14E14EC2"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tc>
      </w:tr>
      <w:tr w:rsidR="00F17A0C" w:rsidRPr="00CE4C3C" w14:paraId="1D78146D" w14:textId="77777777" w:rsidTr="002D191C">
        <w:tc>
          <w:tcPr>
            <w:tcW w:w="1638" w:type="dxa"/>
            <w:shd w:val="clear" w:color="auto" w:fill="auto"/>
          </w:tcPr>
          <w:p w14:paraId="1BA4DF78" w14:textId="77777777" w:rsidR="00F17A0C" w:rsidRPr="00CE4C3C" w:rsidRDefault="00F17A0C" w:rsidP="00CE4C3C">
            <w:pPr>
              <w:tabs>
                <w:tab w:val="left" w:pos="567"/>
              </w:tabs>
              <w:spacing w:line="240" w:lineRule="auto"/>
              <w:rPr>
                <w:rFonts w:ascii="Times New Roman" w:eastAsia="Times New Roman" w:hAnsi="Times New Roman" w:cs="Times New Roman"/>
                <w:b/>
                <w:lang w:eastAsia="lt-LT" w:bidi="lt-LT"/>
              </w:rPr>
            </w:pPr>
            <w:r w:rsidRPr="00CE4C3C">
              <w:rPr>
                <w:rFonts w:ascii="Times New Roman" w:eastAsia="Times New Roman" w:hAnsi="Times New Roman" w:cs="Times New Roman"/>
                <w:b/>
                <w:lang w:eastAsia="lt-LT" w:bidi="lt-LT"/>
              </w:rPr>
              <w:t>Kraujagyslių sutrikimai</w:t>
            </w:r>
          </w:p>
        </w:tc>
        <w:tc>
          <w:tcPr>
            <w:tcW w:w="1620" w:type="dxa"/>
            <w:shd w:val="clear" w:color="auto" w:fill="auto"/>
          </w:tcPr>
          <w:p w14:paraId="1F1DB85E" w14:textId="77777777" w:rsidR="00F17A0C" w:rsidRPr="00CE4C3C" w:rsidRDefault="00F17A0C" w:rsidP="00CE4C3C">
            <w:pPr>
              <w:widowControl w:val="0"/>
              <w:tabs>
                <w:tab w:val="left" w:pos="1451"/>
              </w:tabs>
              <w:autoSpaceDE w:val="0"/>
              <w:autoSpaceDN w:val="0"/>
              <w:adjustRightInd w:val="0"/>
              <w:spacing w:line="240" w:lineRule="auto"/>
              <w:ind w:left="31" w:right="-20"/>
              <w:rPr>
                <w:rFonts w:ascii="Times New Roman" w:eastAsia="Times New Roman" w:hAnsi="Times New Roman" w:cs="Times New Roman"/>
              </w:rPr>
            </w:pPr>
            <w:r w:rsidRPr="00CE4C3C">
              <w:rPr>
                <w:rFonts w:ascii="Times New Roman" w:eastAsia="Times New Roman" w:hAnsi="Times New Roman" w:cs="Times New Roman"/>
                <w:w w:val="103"/>
              </w:rPr>
              <w:t>Hi</w:t>
            </w:r>
            <w:r w:rsidRPr="00CE4C3C">
              <w:rPr>
                <w:rFonts w:ascii="Times New Roman" w:eastAsia="Times New Roman" w:hAnsi="Times New Roman" w:cs="Times New Roman"/>
                <w:spacing w:val="-1"/>
                <w:w w:val="103"/>
              </w:rPr>
              <w:t>p</w:t>
            </w:r>
            <w:r w:rsidRPr="00CE4C3C">
              <w:rPr>
                <w:rFonts w:ascii="Times New Roman" w:eastAsia="Times New Roman" w:hAnsi="Times New Roman" w:cs="Times New Roman"/>
                <w:w w:val="103"/>
              </w:rPr>
              <w:t>e</w:t>
            </w:r>
            <w:r w:rsidRPr="00CE4C3C">
              <w:rPr>
                <w:rFonts w:ascii="Times New Roman" w:eastAsia="Times New Roman" w:hAnsi="Times New Roman" w:cs="Times New Roman"/>
                <w:spacing w:val="-1"/>
                <w:w w:val="103"/>
              </w:rPr>
              <w:t>r</w:t>
            </w:r>
            <w:r w:rsidRPr="00CE4C3C">
              <w:rPr>
                <w:rFonts w:ascii="Times New Roman" w:eastAsia="Times New Roman" w:hAnsi="Times New Roman" w:cs="Times New Roman"/>
                <w:w w:val="103"/>
              </w:rPr>
              <w:t>te</w:t>
            </w:r>
            <w:r w:rsidRPr="00CE4C3C">
              <w:rPr>
                <w:rFonts w:ascii="Times New Roman" w:eastAsia="Times New Roman" w:hAnsi="Times New Roman" w:cs="Times New Roman"/>
                <w:spacing w:val="-1"/>
                <w:w w:val="103"/>
              </w:rPr>
              <w:t>nzija</w:t>
            </w:r>
          </w:p>
        </w:tc>
        <w:tc>
          <w:tcPr>
            <w:tcW w:w="2070" w:type="dxa"/>
            <w:shd w:val="clear" w:color="auto" w:fill="auto"/>
          </w:tcPr>
          <w:p w14:paraId="5236A359" w14:textId="77777777" w:rsidR="00F17A0C" w:rsidRPr="00CE4C3C"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w w:val="103"/>
              </w:rPr>
            </w:pPr>
            <w:r w:rsidRPr="00CE4C3C">
              <w:rPr>
                <w:rFonts w:ascii="Times New Roman" w:eastAsia="Times New Roman" w:hAnsi="Times New Roman" w:cs="Times New Roman"/>
                <w:w w:val="103"/>
              </w:rPr>
              <w:t>Giliųjų venų trombozė</w:t>
            </w:r>
          </w:p>
          <w:p w14:paraId="152565D3"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Karščio pylimas</w:t>
            </w:r>
          </w:p>
          <w:p w14:paraId="56C016FC" w14:textId="77777777" w:rsidR="00F17A0C" w:rsidRPr="00CE4C3C"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rPr>
            </w:pPr>
            <w:r w:rsidRPr="00CE4C3C">
              <w:rPr>
                <w:rFonts w:ascii="Times New Roman" w:eastAsia="Times New Roman" w:hAnsi="Times New Roman" w:cs="Times New Roman"/>
                <w:lang w:eastAsia="lt-LT"/>
              </w:rPr>
              <w:t>Kraujo samplūdis į veidą ir kaklą (paraudimas)</w:t>
            </w:r>
          </w:p>
        </w:tc>
        <w:tc>
          <w:tcPr>
            <w:tcW w:w="1897" w:type="dxa"/>
            <w:shd w:val="clear" w:color="auto" w:fill="auto"/>
          </w:tcPr>
          <w:p w14:paraId="223E9864" w14:textId="77777777" w:rsidR="00F17A0C" w:rsidRPr="00CE4C3C" w:rsidRDefault="00F17A0C" w:rsidP="00CE4C3C">
            <w:pPr>
              <w:widowControl w:val="0"/>
              <w:tabs>
                <w:tab w:val="left" w:pos="1451"/>
              </w:tabs>
              <w:autoSpaceDE w:val="0"/>
              <w:autoSpaceDN w:val="0"/>
              <w:adjustRightInd w:val="0"/>
              <w:spacing w:line="240" w:lineRule="auto"/>
              <w:ind w:left="37" w:right="-20"/>
              <w:rPr>
                <w:rFonts w:ascii="Times New Roman" w:eastAsia="Times New Roman" w:hAnsi="Times New Roman" w:cs="Times New Roman"/>
              </w:rPr>
            </w:pPr>
            <w:r w:rsidRPr="00CE4C3C">
              <w:rPr>
                <w:rFonts w:ascii="Times New Roman" w:eastAsia="Times New Roman" w:hAnsi="Times New Roman" w:cs="Times New Roman"/>
              </w:rPr>
              <w:t>Kraujavimas iš naviko*</w:t>
            </w:r>
          </w:p>
        </w:tc>
        <w:tc>
          <w:tcPr>
            <w:tcW w:w="1701" w:type="dxa"/>
            <w:shd w:val="clear" w:color="auto" w:fill="auto"/>
          </w:tcPr>
          <w:p w14:paraId="5668FBCF" w14:textId="77777777" w:rsidR="00F17A0C" w:rsidRPr="00CE4C3C"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w w:val="103"/>
              </w:rPr>
            </w:pPr>
          </w:p>
        </w:tc>
        <w:tc>
          <w:tcPr>
            <w:tcW w:w="1172" w:type="dxa"/>
          </w:tcPr>
          <w:p w14:paraId="149118FB" w14:textId="77777777" w:rsidR="00F17A0C" w:rsidRPr="00CE4C3C"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lang w:eastAsia="lt-LT"/>
              </w:rPr>
            </w:pPr>
            <w:proofErr w:type="spellStart"/>
            <w:r w:rsidRPr="00CE4C3C">
              <w:rPr>
                <w:rFonts w:ascii="Times New Roman" w:eastAsia="Times New Roman" w:hAnsi="Times New Roman" w:cs="Times New Roman"/>
                <w:lang w:eastAsia="lt-LT"/>
              </w:rPr>
              <w:t>Aneu</w:t>
            </w:r>
            <w:r w:rsidR="00AF1E2A" w:rsidRPr="00CE4C3C">
              <w:rPr>
                <w:rFonts w:ascii="Times New Roman" w:eastAsia="Times New Roman" w:hAnsi="Times New Roman" w:cs="Times New Roman"/>
                <w:lang w:eastAsia="lt-LT"/>
              </w:rPr>
              <w:t>-</w:t>
            </w:r>
            <w:r w:rsidRPr="00CE4C3C">
              <w:rPr>
                <w:rFonts w:ascii="Times New Roman" w:eastAsia="Times New Roman" w:hAnsi="Times New Roman" w:cs="Times New Roman"/>
                <w:lang w:eastAsia="lt-LT"/>
              </w:rPr>
              <w:t>rizmos</w:t>
            </w:r>
            <w:proofErr w:type="spellEnd"/>
            <w:r w:rsidRPr="00CE4C3C">
              <w:rPr>
                <w:rFonts w:ascii="Times New Roman" w:eastAsia="Times New Roman" w:hAnsi="Times New Roman" w:cs="Times New Roman"/>
                <w:lang w:eastAsia="lt-LT"/>
              </w:rPr>
              <w:t xml:space="preserve"> ir arterijų </w:t>
            </w:r>
            <w:proofErr w:type="spellStart"/>
            <w:r w:rsidRPr="00CE4C3C">
              <w:rPr>
                <w:rFonts w:ascii="Times New Roman" w:eastAsia="Times New Roman" w:hAnsi="Times New Roman" w:cs="Times New Roman"/>
                <w:lang w:eastAsia="lt-LT"/>
              </w:rPr>
              <w:t>disekaci</w:t>
            </w:r>
            <w:proofErr w:type="spellEnd"/>
            <w:r w:rsidR="00AF1E2A" w:rsidRPr="00CE4C3C">
              <w:rPr>
                <w:rFonts w:ascii="Times New Roman" w:eastAsia="Times New Roman" w:hAnsi="Times New Roman" w:cs="Times New Roman"/>
                <w:lang w:eastAsia="lt-LT"/>
              </w:rPr>
              <w:t>-</w:t>
            </w:r>
            <w:r w:rsidRPr="00CE4C3C">
              <w:rPr>
                <w:rFonts w:ascii="Times New Roman" w:eastAsia="Times New Roman" w:hAnsi="Times New Roman" w:cs="Times New Roman"/>
                <w:lang w:eastAsia="lt-LT"/>
              </w:rPr>
              <w:t>jos*</w:t>
            </w:r>
          </w:p>
        </w:tc>
      </w:tr>
      <w:tr w:rsidR="00F17A0C" w:rsidRPr="00CE4C3C" w14:paraId="5685B81E" w14:textId="77777777" w:rsidTr="002D191C">
        <w:tc>
          <w:tcPr>
            <w:tcW w:w="1638" w:type="dxa"/>
            <w:shd w:val="clear" w:color="auto" w:fill="auto"/>
          </w:tcPr>
          <w:p w14:paraId="22B458C4" w14:textId="77777777" w:rsidR="00F17A0C" w:rsidRPr="00CE4C3C" w:rsidRDefault="00F17A0C" w:rsidP="00CE4C3C">
            <w:pPr>
              <w:tabs>
                <w:tab w:val="left" w:pos="567"/>
              </w:tabs>
              <w:spacing w:line="240" w:lineRule="auto"/>
              <w:rPr>
                <w:rFonts w:ascii="Times New Roman" w:eastAsia="Times New Roman" w:hAnsi="Times New Roman" w:cs="Times New Roman"/>
                <w:b/>
                <w:lang w:eastAsia="lt-LT" w:bidi="lt-LT"/>
              </w:rPr>
            </w:pPr>
            <w:r w:rsidRPr="00CE4C3C">
              <w:rPr>
                <w:rFonts w:ascii="Times New Roman" w:eastAsia="Times New Roman" w:hAnsi="Times New Roman" w:cs="Times New Roman"/>
                <w:b/>
                <w:lang w:eastAsia="lt-LT" w:bidi="lt-LT"/>
              </w:rPr>
              <w:t>Kvėpavimo sistemos, krūtinės ląstos ir tarpuplaučio sutrikimai</w:t>
            </w:r>
          </w:p>
        </w:tc>
        <w:tc>
          <w:tcPr>
            <w:tcW w:w="1620" w:type="dxa"/>
            <w:shd w:val="clear" w:color="auto" w:fill="auto"/>
          </w:tcPr>
          <w:p w14:paraId="7BBE0F6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Dusulys Kraujavimas iš nosies </w:t>
            </w:r>
          </w:p>
          <w:p w14:paraId="45619EB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Kosulys</w:t>
            </w:r>
          </w:p>
        </w:tc>
        <w:tc>
          <w:tcPr>
            <w:tcW w:w="2070" w:type="dxa"/>
            <w:shd w:val="clear" w:color="auto" w:fill="auto"/>
          </w:tcPr>
          <w:p w14:paraId="4D1374AD" w14:textId="77777777" w:rsidR="00F17A0C" w:rsidRPr="00CE4C3C"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Plaučių embolija* Skystis pleuros ertmėje* Atsikosėjimas krauju </w:t>
            </w:r>
          </w:p>
          <w:p w14:paraId="7E6FFDA4" w14:textId="77777777" w:rsidR="00F17A0C" w:rsidRPr="00CE4C3C"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Dusulys dėl pernelyg didelės įtampos</w:t>
            </w:r>
          </w:p>
          <w:p w14:paraId="296272E4" w14:textId="77777777" w:rsidR="00F17A0C" w:rsidRPr="00CE4C3C"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Burnos ir ryklės </w:t>
            </w:r>
            <w:proofErr w:type="spellStart"/>
            <w:r w:rsidRPr="00CE4C3C">
              <w:rPr>
                <w:rFonts w:ascii="Times New Roman" w:eastAsia="Times New Roman" w:hAnsi="Times New Roman" w:cs="Times New Roman"/>
                <w:lang w:eastAsia="lt-LT" w:bidi="lt-LT"/>
              </w:rPr>
              <w:t>skausmas</w:t>
            </w:r>
            <w:r w:rsidRPr="00CE4C3C">
              <w:rPr>
                <w:rFonts w:ascii="Times New Roman" w:eastAsia="Times New Roman" w:hAnsi="Times New Roman" w:cs="Times New Roman"/>
                <w:vertAlign w:val="superscript"/>
                <w:lang w:eastAsia="lt-LT" w:bidi="lt-LT"/>
              </w:rPr>
              <w:t>n</w:t>
            </w:r>
            <w:proofErr w:type="spellEnd"/>
          </w:p>
          <w:p w14:paraId="40DE6779" w14:textId="77777777" w:rsidR="00F17A0C" w:rsidRPr="00CE4C3C"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Nosies užgulimas</w:t>
            </w:r>
          </w:p>
          <w:p w14:paraId="2F347436" w14:textId="77777777" w:rsidR="00F17A0C" w:rsidRPr="00CE4C3C"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rPr>
            </w:pPr>
            <w:r w:rsidRPr="00CE4C3C">
              <w:rPr>
                <w:rFonts w:ascii="Times New Roman" w:eastAsia="Times New Roman" w:hAnsi="Times New Roman" w:cs="Times New Roman"/>
                <w:lang w:eastAsia="lt-LT" w:bidi="lt-LT"/>
              </w:rPr>
              <w:lastRenderedPageBreak/>
              <w:t>Nosies sausumas</w:t>
            </w:r>
          </w:p>
        </w:tc>
        <w:tc>
          <w:tcPr>
            <w:tcW w:w="1897" w:type="dxa"/>
            <w:shd w:val="clear" w:color="auto" w:fill="auto"/>
          </w:tcPr>
          <w:p w14:paraId="0A5AFAA3" w14:textId="77777777" w:rsidR="00F17A0C" w:rsidRPr="00CE4C3C" w:rsidRDefault="00F17A0C" w:rsidP="00CE4C3C">
            <w:pPr>
              <w:widowControl w:val="0"/>
              <w:tabs>
                <w:tab w:val="left" w:pos="1451"/>
              </w:tabs>
              <w:autoSpaceDE w:val="0"/>
              <w:autoSpaceDN w:val="0"/>
              <w:adjustRightInd w:val="0"/>
              <w:spacing w:line="240" w:lineRule="auto"/>
              <w:ind w:left="37" w:right="-20"/>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lastRenderedPageBreak/>
              <w:t xml:space="preserve">Kraujavimas iš plaučių* </w:t>
            </w:r>
          </w:p>
          <w:p w14:paraId="5F4DE979" w14:textId="77777777" w:rsidR="00F17A0C" w:rsidRPr="00CE4C3C" w:rsidRDefault="00F17A0C" w:rsidP="00CE4C3C">
            <w:pPr>
              <w:widowControl w:val="0"/>
              <w:tabs>
                <w:tab w:val="left" w:pos="1451"/>
              </w:tabs>
              <w:autoSpaceDE w:val="0"/>
              <w:autoSpaceDN w:val="0"/>
              <w:adjustRightInd w:val="0"/>
              <w:spacing w:line="240" w:lineRule="auto"/>
              <w:ind w:left="37" w:right="-20"/>
              <w:rPr>
                <w:rFonts w:ascii="Times New Roman" w:eastAsia="Times New Roman" w:hAnsi="Times New Roman" w:cs="Times New Roman"/>
              </w:rPr>
            </w:pPr>
            <w:r w:rsidRPr="00CE4C3C">
              <w:rPr>
                <w:rFonts w:ascii="Times New Roman" w:eastAsia="Times New Roman" w:hAnsi="Times New Roman" w:cs="Times New Roman"/>
                <w:lang w:eastAsia="lt-LT" w:bidi="lt-LT"/>
              </w:rPr>
              <w:t>Kvėpavimo nepakankamumas*</w:t>
            </w:r>
          </w:p>
        </w:tc>
        <w:tc>
          <w:tcPr>
            <w:tcW w:w="1701" w:type="dxa"/>
            <w:shd w:val="clear" w:color="auto" w:fill="auto"/>
          </w:tcPr>
          <w:p w14:paraId="4B02B1E1" w14:textId="77777777" w:rsidR="00F17A0C" w:rsidRPr="00CE4C3C" w:rsidRDefault="00F17A0C" w:rsidP="00CE4C3C">
            <w:pPr>
              <w:tabs>
                <w:tab w:val="left" w:pos="1735"/>
              </w:tabs>
              <w:spacing w:line="240" w:lineRule="auto"/>
              <w:jc w:val="both"/>
              <w:rPr>
                <w:rFonts w:ascii="Times New Roman" w:eastAsia="Times New Roman" w:hAnsi="Times New Roman" w:cs="Times New Roman"/>
                <w:b/>
                <w:u w:val="single"/>
              </w:rPr>
            </w:pPr>
          </w:p>
        </w:tc>
        <w:tc>
          <w:tcPr>
            <w:tcW w:w="1172" w:type="dxa"/>
          </w:tcPr>
          <w:p w14:paraId="416EE64C" w14:textId="77777777" w:rsidR="00F17A0C" w:rsidRPr="00CE4C3C" w:rsidRDefault="00F17A0C" w:rsidP="00CE4C3C">
            <w:pPr>
              <w:tabs>
                <w:tab w:val="left" w:pos="1735"/>
              </w:tabs>
              <w:spacing w:line="240" w:lineRule="auto"/>
              <w:jc w:val="both"/>
              <w:rPr>
                <w:rFonts w:ascii="Times New Roman" w:eastAsia="Times New Roman" w:hAnsi="Times New Roman" w:cs="Times New Roman"/>
                <w:b/>
                <w:u w:val="single"/>
              </w:rPr>
            </w:pPr>
          </w:p>
        </w:tc>
      </w:tr>
      <w:tr w:rsidR="00F17A0C" w:rsidRPr="00CE4C3C" w14:paraId="4466D26C" w14:textId="77777777" w:rsidTr="002D191C">
        <w:tc>
          <w:tcPr>
            <w:tcW w:w="1638" w:type="dxa"/>
            <w:shd w:val="clear" w:color="auto" w:fill="auto"/>
          </w:tcPr>
          <w:p w14:paraId="62F52DD0" w14:textId="77777777" w:rsidR="00F17A0C" w:rsidRPr="00CE4C3C" w:rsidRDefault="00F17A0C" w:rsidP="00CE4C3C">
            <w:pPr>
              <w:tabs>
                <w:tab w:val="left" w:pos="567"/>
              </w:tabs>
              <w:spacing w:line="240" w:lineRule="auto"/>
              <w:rPr>
                <w:rFonts w:ascii="Times New Roman" w:eastAsia="Times New Roman" w:hAnsi="Times New Roman" w:cs="Times New Roman"/>
                <w:b/>
                <w:lang w:eastAsia="lt-LT" w:bidi="lt-LT"/>
              </w:rPr>
            </w:pPr>
            <w:r w:rsidRPr="00CE4C3C">
              <w:rPr>
                <w:rFonts w:ascii="Times New Roman" w:eastAsia="Times New Roman" w:hAnsi="Times New Roman" w:cs="Times New Roman"/>
                <w:b/>
                <w:lang w:eastAsia="lt-LT" w:bidi="lt-LT"/>
              </w:rPr>
              <w:t>Virškinimo trakto sutrikimai</w:t>
            </w:r>
          </w:p>
        </w:tc>
        <w:tc>
          <w:tcPr>
            <w:tcW w:w="1620" w:type="dxa"/>
            <w:shd w:val="clear" w:color="auto" w:fill="auto"/>
          </w:tcPr>
          <w:p w14:paraId="72EB795F"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Stomatitas</w:t>
            </w:r>
            <w:r w:rsidRPr="00CE4C3C">
              <w:rPr>
                <w:rFonts w:ascii="Times New Roman" w:eastAsia="Times New Roman" w:hAnsi="Times New Roman" w:cs="Times New Roman"/>
                <w:vertAlign w:val="superscript"/>
                <w:lang w:eastAsia="lt-LT" w:bidi="lt-LT"/>
              </w:rPr>
              <w:t>o</w:t>
            </w:r>
            <w:proofErr w:type="spellEnd"/>
            <w:r w:rsidRPr="00CE4C3C">
              <w:rPr>
                <w:rFonts w:ascii="Times New Roman" w:eastAsia="Times New Roman" w:hAnsi="Times New Roman" w:cs="Times New Roman"/>
                <w:lang w:eastAsia="lt-LT" w:bidi="lt-LT"/>
              </w:rPr>
              <w:t xml:space="preserve"> </w:t>
            </w:r>
          </w:p>
          <w:p w14:paraId="4E9C3888"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Pilvo </w:t>
            </w:r>
            <w:proofErr w:type="spellStart"/>
            <w:r w:rsidRPr="00CE4C3C">
              <w:rPr>
                <w:rFonts w:ascii="Times New Roman" w:eastAsia="Times New Roman" w:hAnsi="Times New Roman" w:cs="Times New Roman"/>
                <w:lang w:eastAsia="lt-LT" w:bidi="lt-LT"/>
              </w:rPr>
              <w:t>skausmas</w:t>
            </w:r>
            <w:r w:rsidRPr="00CE4C3C">
              <w:rPr>
                <w:rFonts w:ascii="Times New Roman" w:eastAsia="Times New Roman" w:hAnsi="Times New Roman" w:cs="Times New Roman"/>
                <w:vertAlign w:val="superscript"/>
                <w:lang w:eastAsia="lt-LT" w:bidi="lt-LT"/>
              </w:rPr>
              <w:t>p</w:t>
            </w:r>
            <w:proofErr w:type="spellEnd"/>
            <w:r w:rsidRPr="00CE4C3C">
              <w:rPr>
                <w:rFonts w:ascii="Times New Roman" w:eastAsia="Times New Roman" w:hAnsi="Times New Roman" w:cs="Times New Roman"/>
                <w:lang w:eastAsia="lt-LT" w:bidi="lt-LT"/>
              </w:rPr>
              <w:t xml:space="preserve"> Vėmimas Viduriavimas Dispepsija Pykinimas </w:t>
            </w:r>
          </w:p>
          <w:p w14:paraId="5A319F88" w14:textId="77777777" w:rsidR="00F17A0C" w:rsidRPr="00CE4C3C" w:rsidRDefault="00F17A0C" w:rsidP="00CE4C3C">
            <w:pPr>
              <w:tabs>
                <w:tab w:val="left" w:pos="567"/>
              </w:tabs>
              <w:spacing w:line="240" w:lineRule="auto"/>
              <w:rPr>
                <w:rFonts w:ascii="Times New Roman" w:eastAsia="Times New Roman" w:hAnsi="Times New Roman" w:cs="Times New Roman"/>
              </w:rPr>
            </w:pPr>
            <w:r w:rsidRPr="00CE4C3C">
              <w:rPr>
                <w:rFonts w:ascii="Times New Roman" w:eastAsia="Times New Roman" w:hAnsi="Times New Roman" w:cs="Times New Roman"/>
                <w:lang w:eastAsia="lt-LT" w:bidi="lt-LT"/>
              </w:rPr>
              <w:t>Vidurių užkietėjimas</w:t>
            </w:r>
          </w:p>
        </w:tc>
        <w:tc>
          <w:tcPr>
            <w:tcW w:w="2070" w:type="dxa"/>
            <w:shd w:val="clear" w:color="auto" w:fill="auto"/>
          </w:tcPr>
          <w:p w14:paraId="3CC2145A" w14:textId="77777777" w:rsidR="00F17A0C" w:rsidRPr="00CE4C3C"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Gastroezofaginio</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refliukso</w:t>
            </w:r>
            <w:proofErr w:type="spellEnd"/>
            <w:r w:rsidRPr="00CE4C3C">
              <w:rPr>
                <w:rFonts w:ascii="Times New Roman" w:eastAsia="Times New Roman" w:hAnsi="Times New Roman" w:cs="Times New Roman"/>
                <w:lang w:eastAsia="lt-LT" w:bidi="lt-LT"/>
              </w:rPr>
              <w:t xml:space="preserve"> liga </w:t>
            </w:r>
            <w:proofErr w:type="spellStart"/>
            <w:r w:rsidRPr="00CE4C3C">
              <w:rPr>
                <w:rFonts w:ascii="Times New Roman" w:eastAsia="Times New Roman" w:hAnsi="Times New Roman" w:cs="Times New Roman"/>
                <w:lang w:eastAsia="lt-LT" w:bidi="lt-LT"/>
              </w:rPr>
              <w:t>Disfagija</w:t>
            </w:r>
            <w:proofErr w:type="spellEnd"/>
          </w:p>
          <w:p w14:paraId="7C938267" w14:textId="77777777" w:rsidR="00F17A0C" w:rsidRPr="00CE4C3C"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Kraujavimas iš virškinimo trakto* </w:t>
            </w:r>
            <w:proofErr w:type="spellStart"/>
            <w:r w:rsidRPr="00CE4C3C">
              <w:rPr>
                <w:rFonts w:ascii="Times New Roman" w:eastAsia="Times New Roman" w:hAnsi="Times New Roman" w:cs="Times New Roman"/>
                <w:lang w:eastAsia="lt-LT" w:bidi="lt-LT"/>
              </w:rPr>
              <w:t>Ezofagitas</w:t>
            </w:r>
            <w:proofErr w:type="spellEnd"/>
            <w:r w:rsidRPr="00CE4C3C">
              <w:rPr>
                <w:rFonts w:ascii="Times New Roman" w:eastAsia="Times New Roman" w:hAnsi="Times New Roman" w:cs="Times New Roman"/>
                <w:lang w:eastAsia="lt-LT" w:bidi="lt-LT"/>
              </w:rPr>
              <w:t xml:space="preserve">* </w:t>
            </w:r>
          </w:p>
          <w:p w14:paraId="41FEB516" w14:textId="77777777" w:rsidR="00F17A0C" w:rsidRPr="00CE4C3C" w:rsidRDefault="00F17A0C" w:rsidP="00CE4C3C">
            <w:pPr>
              <w:widowControl w:val="0"/>
              <w:tabs>
                <w:tab w:val="left" w:pos="1627"/>
              </w:tabs>
              <w:autoSpaceDE w:val="0"/>
              <w:autoSpaceDN w:val="0"/>
              <w:adjustRightInd w:val="0"/>
              <w:spacing w:line="240" w:lineRule="auto"/>
              <w:ind w:left="31"/>
              <w:rPr>
                <w:rFonts w:ascii="Times New Roman" w:eastAsia="Times New Roman" w:hAnsi="Times New Roman" w:cs="Times New Roman"/>
                <w:w w:val="103"/>
              </w:rPr>
            </w:pPr>
            <w:r w:rsidRPr="00CE4C3C">
              <w:rPr>
                <w:rFonts w:ascii="Times New Roman" w:eastAsia="Times New Roman" w:hAnsi="Times New Roman" w:cs="Times New Roman"/>
                <w:lang w:eastAsia="lt-LT" w:bidi="lt-LT"/>
              </w:rPr>
              <w:t xml:space="preserve">Pilvo tempimas </w:t>
            </w:r>
          </w:p>
          <w:p w14:paraId="6375D6A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Diskomfortas pilvo srityje </w:t>
            </w:r>
          </w:p>
          <w:p w14:paraId="3AB866F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Kraujavimas iš tiesiosios žarnos Kraujavimas iš dantenų </w:t>
            </w:r>
          </w:p>
          <w:p w14:paraId="4F53B2BA"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Burnos išopėjimas </w:t>
            </w:r>
            <w:proofErr w:type="spellStart"/>
            <w:r w:rsidRPr="00CE4C3C">
              <w:rPr>
                <w:rFonts w:ascii="Times New Roman" w:eastAsia="Times New Roman" w:hAnsi="Times New Roman" w:cs="Times New Roman"/>
                <w:lang w:eastAsia="lt-LT" w:bidi="lt-LT"/>
              </w:rPr>
              <w:t>Proktalgija</w:t>
            </w:r>
            <w:proofErr w:type="spellEnd"/>
            <w:r w:rsidRPr="00CE4C3C">
              <w:rPr>
                <w:rFonts w:ascii="Times New Roman" w:eastAsia="Times New Roman" w:hAnsi="Times New Roman" w:cs="Times New Roman"/>
                <w:lang w:eastAsia="lt-LT" w:bidi="lt-LT"/>
              </w:rPr>
              <w:t xml:space="preserve"> </w:t>
            </w:r>
          </w:p>
          <w:p w14:paraId="58FC79F6"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Cheilitas</w:t>
            </w:r>
            <w:proofErr w:type="spellEnd"/>
            <w:r w:rsidRPr="00CE4C3C">
              <w:rPr>
                <w:rFonts w:ascii="Times New Roman" w:eastAsia="Times New Roman" w:hAnsi="Times New Roman" w:cs="Times New Roman"/>
                <w:lang w:eastAsia="lt-LT" w:bidi="lt-LT"/>
              </w:rPr>
              <w:t xml:space="preserve"> (lūpų gleivinės uždegimas) Hemorojus </w:t>
            </w:r>
          </w:p>
          <w:p w14:paraId="68DFBDE3"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Liežuvio skausmas </w:t>
            </w:r>
          </w:p>
          <w:p w14:paraId="6A84A067" w14:textId="77777777" w:rsidR="00F17A0C" w:rsidRPr="00CE4C3C" w:rsidRDefault="00F17A0C" w:rsidP="00CE4C3C">
            <w:pPr>
              <w:tabs>
                <w:tab w:val="left" w:pos="567"/>
              </w:tabs>
              <w:spacing w:line="240" w:lineRule="auto"/>
              <w:rPr>
                <w:rFonts w:ascii="Times New Roman" w:eastAsia="Times New Roman" w:hAnsi="Times New Roman" w:cs="Times New Roman"/>
              </w:rPr>
            </w:pPr>
            <w:r w:rsidRPr="00CE4C3C">
              <w:rPr>
                <w:rFonts w:ascii="Times New Roman" w:eastAsia="Times New Roman" w:hAnsi="Times New Roman" w:cs="Times New Roman"/>
                <w:lang w:eastAsia="lt-LT" w:bidi="lt-LT"/>
              </w:rPr>
              <w:t>Burnos skausmas Burnos džiūvimas Dujų kaupimasis virškinimo trakte Burnos diskomfortas Atsirūgimas</w:t>
            </w:r>
          </w:p>
        </w:tc>
        <w:tc>
          <w:tcPr>
            <w:tcW w:w="1897" w:type="dxa"/>
            <w:shd w:val="clear" w:color="auto" w:fill="auto"/>
          </w:tcPr>
          <w:p w14:paraId="7D0A81AE" w14:textId="17872043"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Virškinimo trakto </w:t>
            </w:r>
            <w:r w:rsidR="004C3B5C">
              <w:rPr>
                <w:rFonts w:ascii="Times New Roman" w:eastAsia="Times New Roman" w:hAnsi="Times New Roman" w:cs="Times New Roman"/>
                <w:vertAlign w:val="superscript"/>
                <w:lang w:eastAsia="lt-LT" w:bidi="lt-LT"/>
              </w:rPr>
              <w:t xml:space="preserve"> </w:t>
            </w:r>
            <w:proofErr w:type="spellStart"/>
            <w:r w:rsidR="004F139D">
              <w:rPr>
                <w:rFonts w:ascii="Times New Roman" w:eastAsia="Times New Roman" w:hAnsi="Times New Roman" w:cs="Times New Roman"/>
                <w:lang w:eastAsia="lt-LT" w:bidi="lt-LT"/>
              </w:rPr>
              <w:t>perforacija</w:t>
            </w:r>
            <w:r w:rsidR="004F139D" w:rsidRPr="00CE4C3C">
              <w:rPr>
                <w:rFonts w:ascii="Times New Roman" w:eastAsia="Times New Roman" w:hAnsi="Times New Roman" w:cs="Times New Roman"/>
                <w:vertAlign w:val="superscript"/>
                <w:lang w:eastAsia="lt-LT" w:bidi="lt-LT"/>
              </w:rPr>
              <w:t>q</w:t>
            </w:r>
            <w:proofErr w:type="spellEnd"/>
            <w:r w:rsidRPr="00CE4C3C">
              <w:rPr>
                <w:rFonts w:ascii="Times New Roman" w:eastAsia="Times New Roman" w:hAnsi="Times New Roman" w:cs="Times New Roman"/>
                <w:vertAlign w:val="superscript"/>
                <w:lang w:eastAsia="lt-LT" w:bidi="lt-LT"/>
              </w:rPr>
              <w:t>,</w:t>
            </w:r>
            <w:r w:rsidRPr="00CE4C3C">
              <w:rPr>
                <w:rFonts w:ascii="Times New Roman" w:eastAsia="Times New Roman" w:hAnsi="Times New Roman" w:cs="Times New Roman"/>
                <w:lang w:eastAsia="lt-LT" w:bidi="lt-LT"/>
              </w:rPr>
              <w:t xml:space="preserve">* Pankreatitas </w:t>
            </w:r>
          </w:p>
          <w:p w14:paraId="171DF07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Išangės fistulė</w:t>
            </w:r>
          </w:p>
          <w:p w14:paraId="729FC40C" w14:textId="77777777" w:rsidR="00F17A0C" w:rsidRPr="00CE4C3C" w:rsidRDefault="00F17A0C" w:rsidP="00CE4C3C">
            <w:pPr>
              <w:tabs>
                <w:tab w:val="left" w:pos="567"/>
              </w:tabs>
              <w:spacing w:line="240" w:lineRule="auto"/>
              <w:rPr>
                <w:rFonts w:ascii="Times New Roman" w:eastAsia="Times New Roman" w:hAnsi="Times New Roman" w:cs="Times New Roman"/>
              </w:rPr>
            </w:pPr>
            <w:r w:rsidRPr="00CE4C3C">
              <w:rPr>
                <w:rFonts w:ascii="Times New Roman" w:eastAsia="Times New Roman" w:hAnsi="Times New Roman" w:cs="Times New Roman"/>
                <w:lang w:eastAsia="lt-LT" w:bidi="lt-LT"/>
              </w:rPr>
              <w:t>Kolitas</w:t>
            </w:r>
          </w:p>
        </w:tc>
        <w:tc>
          <w:tcPr>
            <w:tcW w:w="1701" w:type="dxa"/>
            <w:shd w:val="clear" w:color="auto" w:fill="auto"/>
          </w:tcPr>
          <w:p w14:paraId="7630FBFD" w14:textId="77777777" w:rsidR="00F17A0C" w:rsidRPr="00CE4C3C" w:rsidRDefault="00F17A0C" w:rsidP="00CE4C3C">
            <w:pPr>
              <w:tabs>
                <w:tab w:val="left" w:pos="567"/>
              </w:tabs>
              <w:spacing w:line="240" w:lineRule="auto"/>
              <w:jc w:val="both"/>
              <w:rPr>
                <w:rFonts w:ascii="Times New Roman" w:eastAsia="Times New Roman" w:hAnsi="Times New Roman" w:cs="Times New Roman"/>
                <w:b/>
                <w:u w:val="single"/>
              </w:rPr>
            </w:pPr>
          </w:p>
        </w:tc>
        <w:tc>
          <w:tcPr>
            <w:tcW w:w="1172" w:type="dxa"/>
          </w:tcPr>
          <w:p w14:paraId="50400E06" w14:textId="77777777" w:rsidR="00F17A0C" w:rsidRPr="00CE4C3C" w:rsidRDefault="00F17A0C" w:rsidP="00CE4C3C">
            <w:pPr>
              <w:tabs>
                <w:tab w:val="left" w:pos="567"/>
              </w:tabs>
              <w:spacing w:line="240" w:lineRule="auto"/>
              <w:jc w:val="both"/>
              <w:rPr>
                <w:rFonts w:ascii="Times New Roman" w:eastAsia="Times New Roman" w:hAnsi="Times New Roman" w:cs="Times New Roman"/>
                <w:b/>
                <w:u w:val="single"/>
              </w:rPr>
            </w:pPr>
          </w:p>
        </w:tc>
      </w:tr>
      <w:tr w:rsidR="00F17A0C" w:rsidRPr="00CE4C3C" w14:paraId="6EFADA81" w14:textId="77777777" w:rsidTr="002D191C">
        <w:tc>
          <w:tcPr>
            <w:tcW w:w="1638" w:type="dxa"/>
            <w:shd w:val="clear" w:color="auto" w:fill="auto"/>
          </w:tcPr>
          <w:p w14:paraId="37A355B2" w14:textId="77777777" w:rsidR="00F17A0C" w:rsidRPr="00CE4C3C" w:rsidRDefault="00F17A0C" w:rsidP="00CE4C3C">
            <w:pPr>
              <w:tabs>
                <w:tab w:val="left" w:pos="567"/>
              </w:tabs>
              <w:spacing w:line="240" w:lineRule="auto"/>
              <w:rPr>
                <w:rFonts w:ascii="Times New Roman" w:eastAsia="Times New Roman" w:hAnsi="Times New Roman" w:cs="Times New Roman"/>
                <w:b/>
                <w:lang w:eastAsia="lt-LT" w:bidi="lt-LT"/>
              </w:rPr>
            </w:pPr>
            <w:r w:rsidRPr="00CE4C3C">
              <w:rPr>
                <w:rFonts w:ascii="Times New Roman" w:eastAsia="Times New Roman" w:hAnsi="Times New Roman" w:cs="Times New Roman"/>
                <w:b/>
                <w:lang w:eastAsia="lt-LT" w:bidi="lt-LT"/>
              </w:rPr>
              <w:t>Kepenų, tulžies pūslės ir latakų sutrikimai</w:t>
            </w:r>
          </w:p>
        </w:tc>
        <w:tc>
          <w:tcPr>
            <w:tcW w:w="1620" w:type="dxa"/>
            <w:shd w:val="clear" w:color="auto" w:fill="auto"/>
          </w:tcPr>
          <w:p w14:paraId="101B6D0D" w14:textId="77777777" w:rsidR="00F17A0C" w:rsidRPr="00CE4C3C" w:rsidRDefault="00F17A0C" w:rsidP="00CE4C3C">
            <w:pPr>
              <w:widowControl w:val="0"/>
              <w:tabs>
                <w:tab w:val="left" w:pos="1451"/>
              </w:tabs>
              <w:autoSpaceDE w:val="0"/>
              <w:autoSpaceDN w:val="0"/>
              <w:adjustRightInd w:val="0"/>
              <w:spacing w:line="240" w:lineRule="auto"/>
              <w:ind w:left="31" w:right="-20"/>
              <w:rPr>
                <w:rFonts w:ascii="Times New Roman" w:eastAsia="Times New Roman" w:hAnsi="Times New Roman" w:cs="Times New Roman"/>
                <w:w w:val="103"/>
              </w:rPr>
            </w:pPr>
          </w:p>
        </w:tc>
        <w:tc>
          <w:tcPr>
            <w:tcW w:w="2070" w:type="dxa"/>
            <w:shd w:val="clear" w:color="auto" w:fill="auto"/>
          </w:tcPr>
          <w:p w14:paraId="073347F8" w14:textId="77777777" w:rsidR="00F17A0C" w:rsidRPr="00CE4C3C" w:rsidRDefault="00F17A0C" w:rsidP="00CE4C3C">
            <w:pPr>
              <w:widowControl w:val="0"/>
              <w:tabs>
                <w:tab w:val="left" w:pos="1451"/>
              </w:tabs>
              <w:autoSpaceDE w:val="0"/>
              <w:autoSpaceDN w:val="0"/>
              <w:adjustRightInd w:val="0"/>
              <w:spacing w:line="240" w:lineRule="auto"/>
              <w:ind w:left="37" w:right="-20"/>
              <w:rPr>
                <w:rFonts w:ascii="Times New Roman" w:eastAsia="Times New Roman" w:hAnsi="Times New Roman" w:cs="Times New Roman"/>
                <w:w w:val="103"/>
              </w:rPr>
            </w:pPr>
          </w:p>
        </w:tc>
        <w:tc>
          <w:tcPr>
            <w:tcW w:w="1897" w:type="dxa"/>
            <w:shd w:val="clear" w:color="auto" w:fill="auto"/>
          </w:tcPr>
          <w:p w14:paraId="2BEA2F42" w14:textId="77777777" w:rsidR="00962D55" w:rsidRDefault="00F17A0C" w:rsidP="00CE4C3C">
            <w:pPr>
              <w:tabs>
                <w:tab w:val="left" w:pos="567"/>
              </w:tabs>
              <w:spacing w:line="240" w:lineRule="auto"/>
              <w:rPr>
                <w:rFonts w:ascii="Times New Roman" w:eastAsia="Times New Roman" w:hAnsi="Times New Roman" w:cs="Times New Roman"/>
                <w:sz w:val="20"/>
                <w:szCs w:val="20"/>
                <w:lang w:eastAsia="lt-LT" w:bidi="lt-LT"/>
              </w:rPr>
            </w:pPr>
            <w:r w:rsidRPr="00CE4C3C">
              <w:rPr>
                <w:rFonts w:ascii="Times New Roman" w:eastAsia="Times New Roman" w:hAnsi="Times New Roman" w:cs="Times New Roman"/>
                <w:lang w:eastAsia="lt-LT" w:bidi="lt-LT"/>
              </w:rPr>
              <w:t>Kepenų nepakanka</w:t>
            </w:r>
            <w:r w:rsidR="00962D55">
              <w:rPr>
                <w:rFonts w:ascii="Times New Roman" w:eastAsia="Times New Roman" w:hAnsi="Times New Roman" w:cs="Times New Roman"/>
                <w:lang w:eastAsia="lt-LT" w:bidi="lt-LT"/>
              </w:rPr>
              <w:t>-</w:t>
            </w:r>
            <w:proofErr w:type="spellStart"/>
            <w:r w:rsidRPr="00CE4C3C">
              <w:rPr>
                <w:rFonts w:ascii="Times New Roman" w:eastAsia="Times New Roman" w:hAnsi="Times New Roman" w:cs="Times New Roman"/>
                <w:lang w:eastAsia="lt-LT" w:bidi="lt-LT"/>
              </w:rPr>
              <w:t>mumas</w:t>
            </w:r>
            <w:proofErr w:type="spellEnd"/>
            <w:r w:rsidR="00962D55" w:rsidRPr="00962D55">
              <w:rPr>
                <w:rFonts w:ascii="Times New Roman" w:eastAsia="Times New Roman" w:hAnsi="Times New Roman" w:cs="Times New Roman"/>
                <w:lang w:eastAsia="lt-LT" w:bidi="lt-LT"/>
              </w:rPr>
              <w:t>*</w:t>
            </w:r>
          </w:p>
          <w:p w14:paraId="555CAA11" w14:textId="411DB65F"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Cholecistitas</w:t>
            </w:r>
            <w:r w:rsidRPr="00CE4C3C">
              <w:rPr>
                <w:rFonts w:ascii="Times New Roman" w:eastAsia="Times New Roman" w:hAnsi="Times New Roman" w:cs="Times New Roman"/>
                <w:vertAlign w:val="superscript"/>
                <w:lang w:eastAsia="lt-LT" w:bidi="lt-LT"/>
              </w:rPr>
              <w:t>s</w:t>
            </w:r>
            <w:proofErr w:type="spellEnd"/>
            <w:r w:rsidRPr="00CE4C3C">
              <w:rPr>
                <w:rFonts w:ascii="Times New Roman" w:eastAsia="Times New Roman" w:hAnsi="Times New Roman" w:cs="Times New Roman"/>
                <w:vertAlign w:val="superscript"/>
                <w:lang w:eastAsia="lt-LT" w:bidi="lt-LT"/>
              </w:rPr>
              <w:t>,</w:t>
            </w:r>
            <w:r w:rsidRPr="00CE4C3C">
              <w:rPr>
                <w:rFonts w:ascii="Times New Roman" w:eastAsia="Times New Roman" w:hAnsi="Times New Roman" w:cs="Times New Roman"/>
                <w:lang w:eastAsia="lt-LT" w:bidi="lt-LT"/>
              </w:rPr>
              <w:t>* Nenormali kepenų funkcija</w:t>
            </w:r>
          </w:p>
        </w:tc>
        <w:tc>
          <w:tcPr>
            <w:tcW w:w="1701" w:type="dxa"/>
            <w:shd w:val="clear" w:color="auto" w:fill="auto"/>
          </w:tcPr>
          <w:p w14:paraId="5EF5381F" w14:textId="77777777" w:rsidR="00F17A0C" w:rsidRPr="00CE4C3C" w:rsidRDefault="00F17A0C" w:rsidP="00CE4C3C">
            <w:pPr>
              <w:widowControl w:val="0"/>
              <w:tabs>
                <w:tab w:val="left" w:pos="567"/>
              </w:tabs>
              <w:autoSpaceDE w:val="0"/>
              <w:autoSpaceDN w:val="0"/>
              <w:adjustRightInd w:val="0"/>
              <w:spacing w:line="240" w:lineRule="auto"/>
              <w:ind w:right="-20"/>
              <w:rPr>
                <w:rFonts w:ascii="Times New Roman" w:eastAsia="Times New Roman" w:hAnsi="Times New Roman" w:cs="Times New Roman"/>
              </w:rPr>
            </w:pPr>
            <w:r w:rsidRPr="00CE4C3C">
              <w:rPr>
                <w:rFonts w:ascii="Times New Roman" w:eastAsia="Times New Roman" w:hAnsi="Times New Roman" w:cs="Times New Roman"/>
                <w:w w:val="103"/>
              </w:rPr>
              <w:t>Hepatitas</w:t>
            </w:r>
          </w:p>
        </w:tc>
        <w:tc>
          <w:tcPr>
            <w:tcW w:w="1172" w:type="dxa"/>
          </w:tcPr>
          <w:p w14:paraId="0076F753" w14:textId="77777777" w:rsidR="00F17A0C" w:rsidRPr="00CE4C3C" w:rsidRDefault="00F17A0C" w:rsidP="00CE4C3C">
            <w:pPr>
              <w:widowControl w:val="0"/>
              <w:tabs>
                <w:tab w:val="left" w:pos="567"/>
              </w:tabs>
              <w:autoSpaceDE w:val="0"/>
              <w:autoSpaceDN w:val="0"/>
              <w:adjustRightInd w:val="0"/>
              <w:spacing w:line="240" w:lineRule="auto"/>
              <w:ind w:right="-20"/>
              <w:rPr>
                <w:rFonts w:ascii="Times New Roman" w:eastAsia="Times New Roman" w:hAnsi="Times New Roman" w:cs="Times New Roman"/>
                <w:w w:val="103"/>
              </w:rPr>
            </w:pPr>
          </w:p>
        </w:tc>
      </w:tr>
      <w:tr w:rsidR="00F17A0C" w:rsidRPr="00CE4C3C" w14:paraId="28504DB7" w14:textId="77777777" w:rsidTr="002D191C">
        <w:tc>
          <w:tcPr>
            <w:tcW w:w="1638" w:type="dxa"/>
            <w:shd w:val="clear" w:color="auto" w:fill="auto"/>
          </w:tcPr>
          <w:p w14:paraId="289D7F47" w14:textId="77777777" w:rsidR="00F17A0C" w:rsidRPr="00CE4C3C" w:rsidRDefault="00F17A0C" w:rsidP="00CE4C3C">
            <w:pPr>
              <w:tabs>
                <w:tab w:val="left" w:pos="567"/>
              </w:tabs>
              <w:spacing w:line="240" w:lineRule="auto"/>
              <w:rPr>
                <w:rFonts w:ascii="Times New Roman" w:eastAsia="Times New Roman" w:hAnsi="Times New Roman" w:cs="Times New Roman"/>
                <w:b/>
                <w:lang w:eastAsia="lt-LT" w:bidi="lt-LT"/>
              </w:rPr>
            </w:pPr>
            <w:r w:rsidRPr="00CE4C3C">
              <w:rPr>
                <w:rFonts w:ascii="Times New Roman" w:eastAsia="Times New Roman" w:hAnsi="Times New Roman" w:cs="Times New Roman"/>
                <w:b/>
                <w:lang w:eastAsia="lt-LT" w:bidi="lt-LT"/>
              </w:rPr>
              <w:t>Odos ir poodinio audinio sutrikimai</w:t>
            </w:r>
          </w:p>
        </w:tc>
        <w:tc>
          <w:tcPr>
            <w:tcW w:w="1620" w:type="dxa"/>
            <w:shd w:val="clear" w:color="auto" w:fill="auto"/>
          </w:tcPr>
          <w:p w14:paraId="3D2881E9"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Odos spalvos </w:t>
            </w:r>
            <w:proofErr w:type="spellStart"/>
            <w:r w:rsidRPr="00CE4C3C">
              <w:rPr>
                <w:rFonts w:ascii="Times New Roman" w:eastAsia="Times New Roman" w:hAnsi="Times New Roman" w:cs="Times New Roman"/>
                <w:lang w:eastAsia="lt-LT" w:bidi="lt-LT"/>
              </w:rPr>
              <w:t>pokyčiai</w:t>
            </w:r>
            <w:r w:rsidR="00787AD0" w:rsidRPr="00CE4C3C">
              <w:rPr>
                <w:rFonts w:ascii="Times New Roman" w:eastAsia="Times New Roman" w:hAnsi="Times New Roman" w:cs="Times New Roman"/>
                <w:vertAlign w:val="superscript"/>
                <w:lang w:eastAsia="lt-LT" w:bidi="lt-LT"/>
              </w:rPr>
              <w:t>t</w:t>
            </w:r>
            <w:proofErr w:type="spellEnd"/>
          </w:p>
          <w:p w14:paraId="560CAD8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Delnų ir padų </w:t>
            </w:r>
            <w:proofErr w:type="spellStart"/>
            <w:r w:rsidRPr="00CE4C3C">
              <w:rPr>
                <w:rFonts w:ascii="Times New Roman" w:eastAsia="Times New Roman" w:hAnsi="Times New Roman" w:cs="Times New Roman"/>
                <w:lang w:eastAsia="lt-LT" w:bidi="lt-LT"/>
              </w:rPr>
              <w:t>eritrodizeste</w:t>
            </w:r>
            <w:r w:rsidR="00787AD0" w:rsidRPr="00CE4C3C">
              <w:rPr>
                <w:rFonts w:ascii="Times New Roman" w:eastAsia="Times New Roman" w:hAnsi="Times New Roman" w:cs="Times New Roman"/>
                <w:lang w:eastAsia="lt-LT" w:bidi="lt-LT"/>
              </w:rPr>
              <w:t>-</w:t>
            </w:r>
            <w:r w:rsidRPr="00CE4C3C">
              <w:rPr>
                <w:rFonts w:ascii="Times New Roman" w:eastAsia="Times New Roman" w:hAnsi="Times New Roman" w:cs="Times New Roman"/>
                <w:lang w:eastAsia="lt-LT" w:bidi="lt-LT"/>
              </w:rPr>
              <w:t>zijos</w:t>
            </w:r>
            <w:proofErr w:type="spellEnd"/>
            <w:r w:rsidRPr="00CE4C3C">
              <w:rPr>
                <w:rFonts w:ascii="Times New Roman" w:eastAsia="Times New Roman" w:hAnsi="Times New Roman" w:cs="Times New Roman"/>
                <w:lang w:eastAsia="lt-LT" w:bidi="lt-LT"/>
              </w:rPr>
              <w:t xml:space="preserve"> sindromas </w:t>
            </w:r>
          </w:p>
          <w:p w14:paraId="3F6AAEE6"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Išbėrimas</w:t>
            </w:r>
            <w:r w:rsidRPr="00CE4C3C">
              <w:rPr>
                <w:rFonts w:ascii="Times New Roman" w:eastAsia="Times New Roman" w:hAnsi="Times New Roman" w:cs="Times New Roman"/>
                <w:vertAlign w:val="superscript"/>
                <w:lang w:eastAsia="lt-LT" w:bidi="lt-LT"/>
              </w:rPr>
              <w:t>u</w:t>
            </w:r>
            <w:proofErr w:type="spellEnd"/>
          </w:p>
          <w:p w14:paraId="7AC47BA0"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Plaukų spalvos pokyčiai </w:t>
            </w:r>
          </w:p>
          <w:p w14:paraId="5EC7B3AA"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Odos sausmė</w:t>
            </w:r>
          </w:p>
        </w:tc>
        <w:tc>
          <w:tcPr>
            <w:tcW w:w="2070" w:type="dxa"/>
            <w:shd w:val="clear" w:color="auto" w:fill="auto"/>
          </w:tcPr>
          <w:p w14:paraId="2E447B6B"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Odos lupimasis </w:t>
            </w:r>
          </w:p>
          <w:p w14:paraId="143F789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Odos </w:t>
            </w:r>
            <w:proofErr w:type="spellStart"/>
            <w:r w:rsidRPr="00CE4C3C">
              <w:rPr>
                <w:rFonts w:ascii="Times New Roman" w:eastAsia="Times New Roman" w:hAnsi="Times New Roman" w:cs="Times New Roman"/>
                <w:lang w:eastAsia="lt-LT" w:bidi="lt-LT"/>
              </w:rPr>
              <w:t>reakcija</w:t>
            </w:r>
            <w:r w:rsidRPr="00CE4C3C">
              <w:rPr>
                <w:rFonts w:ascii="Times New Roman" w:eastAsia="Times New Roman" w:hAnsi="Times New Roman" w:cs="Times New Roman"/>
                <w:vertAlign w:val="superscript"/>
                <w:lang w:eastAsia="lt-LT" w:bidi="lt-LT"/>
              </w:rPr>
              <w:t>v</w:t>
            </w:r>
            <w:proofErr w:type="spellEnd"/>
            <w:r w:rsidRPr="00CE4C3C">
              <w:rPr>
                <w:rFonts w:ascii="Times New Roman" w:eastAsia="Times New Roman" w:hAnsi="Times New Roman" w:cs="Times New Roman"/>
                <w:lang w:eastAsia="lt-LT" w:bidi="lt-LT"/>
              </w:rPr>
              <w:t xml:space="preserve"> Egzema </w:t>
            </w:r>
          </w:p>
          <w:p w14:paraId="6202D01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Pūslės </w:t>
            </w:r>
          </w:p>
          <w:p w14:paraId="20F6C167"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Eritema </w:t>
            </w:r>
          </w:p>
          <w:p w14:paraId="3566503B"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Alopecija</w:t>
            </w:r>
            <w:proofErr w:type="spellEnd"/>
            <w:r w:rsidRPr="00CE4C3C">
              <w:rPr>
                <w:rFonts w:ascii="Times New Roman" w:eastAsia="Times New Roman" w:hAnsi="Times New Roman" w:cs="Times New Roman"/>
                <w:lang w:eastAsia="lt-LT" w:bidi="lt-LT"/>
              </w:rPr>
              <w:t xml:space="preserve"> </w:t>
            </w:r>
          </w:p>
          <w:p w14:paraId="3120A9A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Spuogai </w:t>
            </w:r>
            <w:r w:rsidR="004F139D">
              <w:rPr>
                <w:rFonts w:ascii="Times New Roman" w:eastAsia="Times New Roman" w:hAnsi="Times New Roman" w:cs="Times New Roman"/>
                <w:lang w:eastAsia="lt-LT" w:bidi="lt-LT"/>
              </w:rPr>
              <w:t>(</w:t>
            </w:r>
            <w:proofErr w:type="spellStart"/>
            <w:r w:rsidR="004F139D">
              <w:rPr>
                <w:rFonts w:ascii="Times New Roman" w:eastAsia="Times New Roman" w:hAnsi="Times New Roman" w:cs="Times New Roman"/>
                <w:lang w:eastAsia="lt-LT" w:bidi="lt-LT"/>
              </w:rPr>
              <w:t>Acne</w:t>
            </w:r>
            <w:proofErr w:type="spellEnd"/>
            <w:r w:rsidR="004F139D">
              <w:rPr>
                <w:rFonts w:ascii="Times New Roman" w:eastAsia="Times New Roman" w:hAnsi="Times New Roman" w:cs="Times New Roman"/>
                <w:lang w:eastAsia="lt-LT" w:bidi="lt-LT"/>
              </w:rPr>
              <w:t>)</w:t>
            </w:r>
          </w:p>
          <w:p w14:paraId="4D19F4D7"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Niežėjimas</w:t>
            </w:r>
          </w:p>
          <w:p w14:paraId="77D2AF46"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Odos pigmentacijos padidėjimas </w:t>
            </w:r>
          </w:p>
          <w:p w14:paraId="689B0218"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Odos pažeidimas </w:t>
            </w:r>
            <w:proofErr w:type="spellStart"/>
            <w:r w:rsidRPr="00CE4C3C">
              <w:rPr>
                <w:rFonts w:ascii="Times New Roman" w:eastAsia="Times New Roman" w:hAnsi="Times New Roman" w:cs="Times New Roman"/>
                <w:lang w:eastAsia="lt-LT" w:bidi="lt-LT"/>
              </w:rPr>
              <w:t>Hiperkeratozė</w:t>
            </w:r>
            <w:proofErr w:type="spellEnd"/>
            <w:r w:rsidRPr="00CE4C3C">
              <w:rPr>
                <w:rFonts w:ascii="Times New Roman" w:eastAsia="Times New Roman" w:hAnsi="Times New Roman" w:cs="Times New Roman"/>
                <w:lang w:eastAsia="lt-LT" w:bidi="lt-LT"/>
              </w:rPr>
              <w:t xml:space="preserve"> Dermatitas </w:t>
            </w:r>
          </w:p>
          <w:p w14:paraId="1DAC41B1"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Nagų </w:t>
            </w:r>
            <w:proofErr w:type="spellStart"/>
            <w:r w:rsidRPr="00CE4C3C">
              <w:rPr>
                <w:rFonts w:ascii="Times New Roman" w:eastAsia="Times New Roman" w:hAnsi="Times New Roman" w:cs="Times New Roman"/>
                <w:lang w:eastAsia="lt-LT" w:bidi="lt-LT"/>
              </w:rPr>
              <w:t>pažeidimas</w:t>
            </w:r>
            <w:r w:rsidRPr="00CE4C3C">
              <w:rPr>
                <w:rFonts w:ascii="Times New Roman" w:eastAsia="Times New Roman" w:hAnsi="Times New Roman" w:cs="Times New Roman"/>
                <w:vertAlign w:val="superscript"/>
                <w:lang w:eastAsia="lt-LT" w:bidi="lt-LT"/>
              </w:rPr>
              <w:t>w</w:t>
            </w:r>
            <w:proofErr w:type="spellEnd"/>
          </w:p>
        </w:tc>
        <w:tc>
          <w:tcPr>
            <w:tcW w:w="1897" w:type="dxa"/>
            <w:shd w:val="clear" w:color="auto" w:fill="auto"/>
          </w:tcPr>
          <w:p w14:paraId="7460D726" w14:textId="77777777" w:rsidR="00F17A0C" w:rsidRPr="00CE4C3C" w:rsidRDefault="00F17A0C" w:rsidP="00CE4C3C">
            <w:pPr>
              <w:widowControl w:val="0"/>
              <w:tabs>
                <w:tab w:val="left" w:pos="567"/>
              </w:tabs>
              <w:autoSpaceDE w:val="0"/>
              <w:autoSpaceDN w:val="0"/>
              <w:adjustRightInd w:val="0"/>
              <w:spacing w:line="240" w:lineRule="auto"/>
              <w:rPr>
                <w:rFonts w:ascii="Times New Roman" w:eastAsia="Times New Roman" w:hAnsi="Times New Roman" w:cs="Times New Roman"/>
              </w:rPr>
            </w:pPr>
          </w:p>
        </w:tc>
        <w:tc>
          <w:tcPr>
            <w:tcW w:w="1701" w:type="dxa"/>
            <w:shd w:val="clear" w:color="auto" w:fill="auto"/>
          </w:tcPr>
          <w:p w14:paraId="422AC152"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Daugiaformė eritema* </w:t>
            </w:r>
          </w:p>
          <w:p w14:paraId="7D472BA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Stivenso</w:t>
            </w:r>
            <w:proofErr w:type="spellEnd"/>
            <w:r w:rsidRPr="00CE4C3C">
              <w:rPr>
                <w:rFonts w:ascii="Times New Roman" w:eastAsia="Times New Roman" w:hAnsi="Times New Roman" w:cs="Times New Roman"/>
                <w:lang w:eastAsia="lt-LT" w:bidi="lt-LT"/>
              </w:rPr>
              <w:t>-Džonsono (</w:t>
            </w:r>
            <w:proofErr w:type="spellStart"/>
            <w:r w:rsidRPr="00CE4C3C">
              <w:rPr>
                <w:rFonts w:ascii="Times New Roman" w:eastAsia="Times New Roman" w:hAnsi="Times New Roman" w:cs="Times New Roman"/>
                <w:i/>
                <w:lang w:eastAsia="lt-LT" w:bidi="lt-LT"/>
              </w:rPr>
              <w:t>Stevens-Johnson</w:t>
            </w:r>
            <w:proofErr w:type="spellEnd"/>
            <w:r w:rsidRPr="00CE4C3C">
              <w:rPr>
                <w:rFonts w:ascii="Times New Roman" w:eastAsia="Times New Roman" w:hAnsi="Times New Roman" w:cs="Times New Roman"/>
                <w:lang w:eastAsia="lt-LT" w:bidi="lt-LT"/>
              </w:rPr>
              <w:t xml:space="preserve">) sindromas* Gangreninė </w:t>
            </w:r>
            <w:proofErr w:type="spellStart"/>
            <w:r w:rsidRPr="00CE4C3C">
              <w:rPr>
                <w:rFonts w:ascii="Times New Roman" w:eastAsia="Times New Roman" w:hAnsi="Times New Roman" w:cs="Times New Roman"/>
                <w:lang w:eastAsia="lt-LT" w:bidi="lt-LT"/>
              </w:rPr>
              <w:t>pioderma</w:t>
            </w:r>
            <w:proofErr w:type="spellEnd"/>
            <w:r w:rsidRPr="00CE4C3C">
              <w:rPr>
                <w:rFonts w:ascii="Times New Roman" w:eastAsia="Times New Roman" w:hAnsi="Times New Roman" w:cs="Times New Roman"/>
                <w:lang w:eastAsia="lt-LT" w:bidi="lt-LT"/>
              </w:rPr>
              <w:t xml:space="preserve"> </w:t>
            </w:r>
          </w:p>
          <w:p w14:paraId="2E62565F"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Toksinė epidermio </w:t>
            </w:r>
            <w:proofErr w:type="spellStart"/>
            <w:r w:rsidRPr="00CE4C3C">
              <w:rPr>
                <w:rFonts w:ascii="Times New Roman" w:eastAsia="Times New Roman" w:hAnsi="Times New Roman" w:cs="Times New Roman"/>
                <w:lang w:eastAsia="lt-LT" w:bidi="lt-LT"/>
              </w:rPr>
              <w:t>nekrolizė</w:t>
            </w:r>
            <w:proofErr w:type="spellEnd"/>
            <w:r w:rsidRPr="00CE4C3C">
              <w:rPr>
                <w:rFonts w:ascii="Times New Roman" w:eastAsia="Times New Roman" w:hAnsi="Times New Roman" w:cs="Times New Roman"/>
                <w:lang w:eastAsia="lt-LT" w:bidi="lt-LT"/>
              </w:rPr>
              <w:t>*</w:t>
            </w:r>
          </w:p>
        </w:tc>
        <w:tc>
          <w:tcPr>
            <w:tcW w:w="1172" w:type="dxa"/>
          </w:tcPr>
          <w:p w14:paraId="0D98570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tc>
      </w:tr>
      <w:tr w:rsidR="00F17A0C" w:rsidRPr="00CE4C3C" w14:paraId="7FD7A4B4" w14:textId="77777777" w:rsidTr="002D191C">
        <w:tc>
          <w:tcPr>
            <w:tcW w:w="1638" w:type="dxa"/>
            <w:shd w:val="clear" w:color="auto" w:fill="auto"/>
          </w:tcPr>
          <w:p w14:paraId="2BC21D9A" w14:textId="77777777" w:rsidR="00F17A0C" w:rsidRPr="00CE4C3C" w:rsidRDefault="00F17A0C" w:rsidP="00CE4C3C">
            <w:pPr>
              <w:widowControl w:val="0"/>
              <w:tabs>
                <w:tab w:val="left" w:pos="1276"/>
              </w:tabs>
              <w:autoSpaceDE w:val="0"/>
              <w:autoSpaceDN w:val="0"/>
              <w:adjustRightInd w:val="0"/>
              <w:spacing w:line="240" w:lineRule="auto"/>
              <w:ind w:left="31" w:right="87"/>
              <w:rPr>
                <w:rFonts w:ascii="Times New Roman" w:eastAsia="Times New Roman" w:hAnsi="Times New Roman" w:cs="Times New Roman"/>
                <w:b/>
              </w:rPr>
            </w:pPr>
            <w:r w:rsidRPr="00CE4C3C">
              <w:rPr>
                <w:rFonts w:ascii="Times New Roman" w:eastAsia="Times New Roman" w:hAnsi="Times New Roman" w:cs="Times New Roman"/>
                <w:b/>
                <w:lang w:eastAsia="lt-LT" w:bidi="lt-LT"/>
              </w:rPr>
              <w:t>Skeleto, raumenų ir jungiamojo audinio sutrikimai</w:t>
            </w:r>
          </w:p>
        </w:tc>
        <w:tc>
          <w:tcPr>
            <w:tcW w:w="1620" w:type="dxa"/>
            <w:shd w:val="clear" w:color="auto" w:fill="auto"/>
          </w:tcPr>
          <w:p w14:paraId="50F678A8"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Galūnių skausmas </w:t>
            </w:r>
            <w:proofErr w:type="spellStart"/>
            <w:r w:rsidRPr="00CE4C3C">
              <w:rPr>
                <w:rFonts w:ascii="Times New Roman" w:eastAsia="Times New Roman" w:hAnsi="Times New Roman" w:cs="Times New Roman"/>
                <w:lang w:eastAsia="lt-LT" w:bidi="lt-LT"/>
              </w:rPr>
              <w:t>Artralgija</w:t>
            </w:r>
            <w:proofErr w:type="spellEnd"/>
            <w:r w:rsidRPr="00CE4C3C">
              <w:rPr>
                <w:rFonts w:ascii="Times New Roman" w:eastAsia="Times New Roman" w:hAnsi="Times New Roman" w:cs="Times New Roman"/>
                <w:lang w:eastAsia="lt-LT" w:bidi="lt-LT"/>
              </w:rPr>
              <w:t xml:space="preserve"> </w:t>
            </w:r>
          </w:p>
          <w:p w14:paraId="1A7FAB76"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Nugaros skausmas</w:t>
            </w:r>
          </w:p>
        </w:tc>
        <w:tc>
          <w:tcPr>
            <w:tcW w:w="2070" w:type="dxa"/>
            <w:shd w:val="clear" w:color="auto" w:fill="auto"/>
          </w:tcPr>
          <w:p w14:paraId="2EE18CF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Skeleto ir raumenų skausmas </w:t>
            </w:r>
          </w:p>
          <w:p w14:paraId="1DE96A99"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Raumenų spazmai </w:t>
            </w:r>
          </w:p>
          <w:p w14:paraId="1EAB3006"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Mialgija</w:t>
            </w:r>
            <w:proofErr w:type="spellEnd"/>
            <w:r w:rsidRPr="00CE4C3C">
              <w:rPr>
                <w:rFonts w:ascii="Times New Roman" w:eastAsia="Times New Roman" w:hAnsi="Times New Roman" w:cs="Times New Roman"/>
                <w:lang w:eastAsia="lt-LT" w:bidi="lt-LT"/>
              </w:rPr>
              <w:t xml:space="preserve"> </w:t>
            </w:r>
          </w:p>
          <w:p w14:paraId="285E11C0"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Raumenų silpnumas</w:t>
            </w:r>
          </w:p>
        </w:tc>
        <w:tc>
          <w:tcPr>
            <w:tcW w:w="1897" w:type="dxa"/>
            <w:shd w:val="clear" w:color="auto" w:fill="auto"/>
          </w:tcPr>
          <w:p w14:paraId="3BDBB5B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Žandikaulio </w:t>
            </w:r>
            <w:proofErr w:type="spellStart"/>
            <w:r w:rsidRPr="00CE4C3C">
              <w:rPr>
                <w:rFonts w:ascii="Times New Roman" w:eastAsia="Times New Roman" w:hAnsi="Times New Roman" w:cs="Times New Roman"/>
                <w:lang w:eastAsia="lt-LT" w:bidi="lt-LT"/>
              </w:rPr>
              <w:t>osteonekrozė</w:t>
            </w:r>
            <w:proofErr w:type="spellEnd"/>
            <w:r w:rsidRPr="00CE4C3C">
              <w:rPr>
                <w:rFonts w:ascii="Times New Roman" w:eastAsia="Times New Roman" w:hAnsi="Times New Roman" w:cs="Times New Roman"/>
                <w:lang w:eastAsia="lt-LT" w:bidi="lt-LT"/>
              </w:rPr>
              <w:t xml:space="preserve"> Fistulė*</w:t>
            </w:r>
          </w:p>
        </w:tc>
        <w:tc>
          <w:tcPr>
            <w:tcW w:w="1701" w:type="dxa"/>
            <w:shd w:val="clear" w:color="auto" w:fill="auto"/>
          </w:tcPr>
          <w:p w14:paraId="76D7D5F8"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Rabdomiolizė</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Miopatija</w:t>
            </w:r>
            <w:proofErr w:type="spellEnd"/>
          </w:p>
        </w:tc>
        <w:tc>
          <w:tcPr>
            <w:tcW w:w="1172" w:type="dxa"/>
          </w:tcPr>
          <w:p w14:paraId="513881C8"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tc>
      </w:tr>
      <w:tr w:rsidR="00F17A0C" w:rsidRPr="00CE4C3C" w14:paraId="789014AB" w14:textId="77777777" w:rsidTr="002D191C">
        <w:tc>
          <w:tcPr>
            <w:tcW w:w="1638" w:type="dxa"/>
            <w:shd w:val="clear" w:color="auto" w:fill="auto"/>
          </w:tcPr>
          <w:p w14:paraId="0ED67F6F" w14:textId="77777777" w:rsidR="00F17A0C" w:rsidRPr="00CE4C3C" w:rsidRDefault="00F17A0C" w:rsidP="00CE4C3C">
            <w:pPr>
              <w:tabs>
                <w:tab w:val="left" w:pos="567"/>
              </w:tabs>
              <w:spacing w:line="240" w:lineRule="auto"/>
              <w:rPr>
                <w:rFonts w:ascii="Times New Roman" w:eastAsia="Times New Roman" w:hAnsi="Times New Roman" w:cs="Times New Roman"/>
                <w:b/>
                <w:lang w:eastAsia="lt-LT" w:bidi="lt-LT"/>
              </w:rPr>
            </w:pPr>
            <w:r w:rsidRPr="00CE4C3C">
              <w:rPr>
                <w:rFonts w:ascii="Times New Roman" w:eastAsia="Times New Roman" w:hAnsi="Times New Roman" w:cs="Times New Roman"/>
                <w:b/>
                <w:lang w:eastAsia="lt-LT" w:bidi="lt-LT"/>
              </w:rPr>
              <w:t>Inkstų ir šlapimo takų sutrikimai</w:t>
            </w:r>
          </w:p>
        </w:tc>
        <w:tc>
          <w:tcPr>
            <w:tcW w:w="1620" w:type="dxa"/>
            <w:shd w:val="clear" w:color="auto" w:fill="auto"/>
          </w:tcPr>
          <w:p w14:paraId="55E38A7B" w14:textId="77777777" w:rsidR="00F17A0C" w:rsidRPr="00CE4C3C" w:rsidRDefault="00F17A0C" w:rsidP="00CE4C3C">
            <w:pPr>
              <w:widowControl w:val="0"/>
              <w:tabs>
                <w:tab w:val="left" w:pos="1451"/>
              </w:tabs>
              <w:autoSpaceDE w:val="0"/>
              <w:autoSpaceDN w:val="0"/>
              <w:adjustRightInd w:val="0"/>
              <w:spacing w:line="240" w:lineRule="auto"/>
              <w:rPr>
                <w:rFonts w:ascii="Times New Roman" w:eastAsia="Times New Roman" w:hAnsi="Times New Roman" w:cs="Times New Roman"/>
              </w:rPr>
            </w:pPr>
          </w:p>
        </w:tc>
        <w:tc>
          <w:tcPr>
            <w:tcW w:w="2070" w:type="dxa"/>
            <w:shd w:val="clear" w:color="auto" w:fill="auto"/>
          </w:tcPr>
          <w:p w14:paraId="154483A0"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Inkstų nepakankamumas* Ūminis inkstų nepakankamumas* </w:t>
            </w:r>
            <w:r w:rsidRPr="00CE4C3C">
              <w:rPr>
                <w:rFonts w:ascii="Times New Roman" w:eastAsia="Times New Roman" w:hAnsi="Times New Roman" w:cs="Times New Roman"/>
                <w:lang w:eastAsia="lt-LT" w:bidi="lt-LT"/>
              </w:rPr>
              <w:lastRenderedPageBreak/>
              <w:t xml:space="preserve">Šlapimo spalvos pokytis </w:t>
            </w:r>
          </w:p>
          <w:p w14:paraId="007A5D08"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Proteinurija</w:t>
            </w:r>
            <w:proofErr w:type="spellEnd"/>
          </w:p>
        </w:tc>
        <w:tc>
          <w:tcPr>
            <w:tcW w:w="1897" w:type="dxa"/>
            <w:shd w:val="clear" w:color="auto" w:fill="auto"/>
          </w:tcPr>
          <w:p w14:paraId="714FAF7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lastRenderedPageBreak/>
              <w:t>Kraujavimas iš šlapimo takų</w:t>
            </w:r>
          </w:p>
        </w:tc>
        <w:tc>
          <w:tcPr>
            <w:tcW w:w="1701" w:type="dxa"/>
            <w:shd w:val="clear" w:color="auto" w:fill="auto"/>
          </w:tcPr>
          <w:p w14:paraId="190AF426"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Nefrozinis</w:t>
            </w:r>
            <w:proofErr w:type="spellEnd"/>
            <w:r w:rsidRPr="00CE4C3C">
              <w:rPr>
                <w:rFonts w:ascii="Times New Roman" w:eastAsia="Times New Roman" w:hAnsi="Times New Roman" w:cs="Times New Roman"/>
                <w:lang w:eastAsia="lt-LT" w:bidi="lt-LT"/>
              </w:rPr>
              <w:t xml:space="preserve"> sindromas</w:t>
            </w:r>
          </w:p>
        </w:tc>
        <w:tc>
          <w:tcPr>
            <w:tcW w:w="1172" w:type="dxa"/>
          </w:tcPr>
          <w:p w14:paraId="54451053"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tc>
      </w:tr>
      <w:tr w:rsidR="00F17A0C" w:rsidRPr="00CE4C3C" w14:paraId="1F6DCCDF" w14:textId="77777777" w:rsidTr="002D191C">
        <w:tc>
          <w:tcPr>
            <w:tcW w:w="1638" w:type="dxa"/>
            <w:shd w:val="clear" w:color="auto" w:fill="auto"/>
          </w:tcPr>
          <w:p w14:paraId="4A75E021" w14:textId="77777777" w:rsidR="00F17A0C" w:rsidRPr="00CE4C3C" w:rsidRDefault="00F17A0C" w:rsidP="00CE4C3C">
            <w:pPr>
              <w:tabs>
                <w:tab w:val="left" w:pos="567"/>
              </w:tabs>
              <w:spacing w:line="240" w:lineRule="auto"/>
              <w:rPr>
                <w:rFonts w:ascii="Times New Roman" w:eastAsia="Times New Roman" w:hAnsi="Times New Roman" w:cs="Times New Roman"/>
                <w:b/>
                <w:lang w:eastAsia="lt-LT" w:bidi="lt-LT"/>
              </w:rPr>
            </w:pPr>
            <w:r w:rsidRPr="00CE4C3C">
              <w:rPr>
                <w:rFonts w:ascii="Times New Roman" w:eastAsia="Times New Roman" w:hAnsi="Times New Roman" w:cs="Times New Roman"/>
                <w:b/>
                <w:lang w:eastAsia="lt-LT" w:bidi="lt-LT"/>
              </w:rPr>
              <w:t>Bendrieji sutrikimai ir vartojimo vietos pažeidimai</w:t>
            </w:r>
          </w:p>
        </w:tc>
        <w:tc>
          <w:tcPr>
            <w:tcW w:w="1620" w:type="dxa"/>
            <w:shd w:val="clear" w:color="auto" w:fill="auto"/>
          </w:tcPr>
          <w:p w14:paraId="27241D2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Gleivinės uždegimas </w:t>
            </w:r>
            <w:proofErr w:type="spellStart"/>
            <w:r w:rsidRPr="00CE4C3C">
              <w:rPr>
                <w:rFonts w:ascii="Times New Roman" w:eastAsia="Times New Roman" w:hAnsi="Times New Roman" w:cs="Times New Roman"/>
                <w:lang w:eastAsia="lt-LT" w:bidi="lt-LT"/>
              </w:rPr>
              <w:t>Nuovargis</w:t>
            </w:r>
            <w:r w:rsidRPr="00CE4C3C">
              <w:rPr>
                <w:rFonts w:ascii="Times New Roman" w:eastAsia="Times New Roman" w:hAnsi="Times New Roman" w:cs="Times New Roman"/>
                <w:vertAlign w:val="superscript"/>
                <w:lang w:eastAsia="lt-LT" w:bidi="lt-LT"/>
              </w:rPr>
              <w:t>x</w:t>
            </w:r>
            <w:proofErr w:type="spellEnd"/>
          </w:p>
          <w:p w14:paraId="2F7ECF09"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Edema</w:t>
            </w:r>
            <w:r w:rsidRPr="00CE4C3C">
              <w:rPr>
                <w:rFonts w:ascii="Times New Roman" w:eastAsia="Times New Roman" w:hAnsi="Times New Roman" w:cs="Times New Roman"/>
                <w:vertAlign w:val="superscript"/>
                <w:lang w:eastAsia="lt-LT" w:bidi="lt-LT"/>
              </w:rPr>
              <w:t>y</w:t>
            </w:r>
            <w:proofErr w:type="spellEnd"/>
            <w:r w:rsidRPr="00CE4C3C">
              <w:rPr>
                <w:rFonts w:ascii="Times New Roman" w:eastAsia="Times New Roman" w:hAnsi="Times New Roman" w:cs="Times New Roman"/>
                <w:lang w:eastAsia="lt-LT" w:bidi="lt-LT"/>
              </w:rPr>
              <w:t xml:space="preserve"> Karščiavimas</w:t>
            </w:r>
          </w:p>
        </w:tc>
        <w:tc>
          <w:tcPr>
            <w:tcW w:w="2070" w:type="dxa"/>
            <w:shd w:val="clear" w:color="auto" w:fill="auto"/>
          </w:tcPr>
          <w:p w14:paraId="2ED967C2"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Krūtinės skausmas </w:t>
            </w:r>
            <w:proofErr w:type="spellStart"/>
            <w:r w:rsidRPr="00CE4C3C">
              <w:rPr>
                <w:rFonts w:ascii="Times New Roman" w:eastAsia="Times New Roman" w:hAnsi="Times New Roman" w:cs="Times New Roman"/>
                <w:lang w:eastAsia="lt-LT" w:bidi="lt-LT"/>
              </w:rPr>
              <w:t>Skausmas</w:t>
            </w:r>
            <w:proofErr w:type="spellEnd"/>
            <w:r w:rsidRPr="00CE4C3C">
              <w:rPr>
                <w:rFonts w:ascii="Times New Roman" w:eastAsia="Times New Roman" w:hAnsi="Times New Roman" w:cs="Times New Roman"/>
                <w:lang w:eastAsia="lt-LT" w:bidi="lt-LT"/>
              </w:rPr>
              <w:t xml:space="preserve"> </w:t>
            </w:r>
          </w:p>
          <w:p w14:paraId="656E4EFF"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Į gripą panaši liga Šaltkrėtis</w:t>
            </w:r>
          </w:p>
        </w:tc>
        <w:tc>
          <w:tcPr>
            <w:tcW w:w="1897" w:type="dxa"/>
            <w:shd w:val="clear" w:color="auto" w:fill="auto"/>
          </w:tcPr>
          <w:p w14:paraId="53D97E7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Pablogėjęs gijimas</w:t>
            </w:r>
          </w:p>
        </w:tc>
        <w:tc>
          <w:tcPr>
            <w:tcW w:w="1701" w:type="dxa"/>
            <w:shd w:val="clear" w:color="auto" w:fill="auto"/>
          </w:tcPr>
          <w:p w14:paraId="59D4FE9B" w14:textId="77777777" w:rsidR="00F17A0C" w:rsidRPr="00CE4C3C" w:rsidRDefault="00F17A0C" w:rsidP="00CE4C3C">
            <w:pPr>
              <w:tabs>
                <w:tab w:val="left" w:pos="567"/>
              </w:tabs>
              <w:spacing w:line="240" w:lineRule="auto"/>
              <w:jc w:val="both"/>
              <w:rPr>
                <w:rFonts w:ascii="Times New Roman" w:eastAsia="Times New Roman" w:hAnsi="Times New Roman" w:cs="Times New Roman"/>
                <w:b/>
                <w:u w:val="single"/>
              </w:rPr>
            </w:pPr>
          </w:p>
        </w:tc>
        <w:tc>
          <w:tcPr>
            <w:tcW w:w="1172" w:type="dxa"/>
          </w:tcPr>
          <w:p w14:paraId="5B3871AC" w14:textId="77777777" w:rsidR="00F17A0C" w:rsidRPr="00CE4C3C" w:rsidRDefault="00F17A0C" w:rsidP="00CE4C3C">
            <w:pPr>
              <w:tabs>
                <w:tab w:val="left" w:pos="567"/>
              </w:tabs>
              <w:spacing w:line="240" w:lineRule="auto"/>
              <w:jc w:val="both"/>
              <w:rPr>
                <w:rFonts w:ascii="Times New Roman" w:eastAsia="Times New Roman" w:hAnsi="Times New Roman" w:cs="Times New Roman"/>
                <w:b/>
                <w:u w:val="single"/>
              </w:rPr>
            </w:pPr>
          </w:p>
        </w:tc>
      </w:tr>
      <w:tr w:rsidR="00F17A0C" w:rsidRPr="00CE4C3C" w14:paraId="1757669A" w14:textId="77777777" w:rsidTr="002D191C">
        <w:tc>
          <w:tcPr>
            <w:tcW w:w="1638" w:type="dxa"/>
            <w:shd w:val="clear" w:color="auto" w:fill="auto"/>
          </w:tcPr>
          <w:p w14:paraId="52594461" w14:textId="77777777" w:rsidR="00F17A0C" w:rsidRPr="00CE4C3C" w:rsidRDefault="00F17A0C" w:rsidP="00CE4C3C">
            <w:pPr>
              <w:widowControl w:val="0"/>
              <w:tabs>
                <w:tab w:val="left" w:pos="567"/>
              </w:tabs>
              <w:autoSpaceDE w:val="0"/>
              <w:autoSpaceDN w:val="0"/>
              <w:adjustRightInd w:val="0"/>
              <w:spacing w:line="240" w:lineRule="auto"/>
              <w:ind w:left="31" w:right="-20"/>
              <w:rPr>
                <w:rFonts w:ascii="Times New Roman" w:eastAsia="Times New Roman" w:hAnsi="Times New Roman" w:cs="Times New Roman"/>
                <w:b/>
              </w:rPr>
            </w:pPr>
            <w:r w:rsidRPr="00CE4C3C">
              <w:rPr>
                <w:rFonts w:ascii="Times New Roman" w:eastAsia="Times New Roman" w:hAnsi="Times New Roman" w:cs="Times New Roman"/>
                <w:b/>
                <w:lang w:eastAsia="lt-LT" w:bidi="lt-LT"/>
              </w:rPr>
              <w:t>Tyrimai</w:t>
            </w:r>
          </w:p>
        </w:tc>
        <w:tc>
          <w:tcPr>
            <w:tcW w:w="1620" w:type="dxa"/>
            <w:shd w:val="clear" w:color="auto" w:fill="auto"/>
          </w:tcPr>
          <w:p w14:paraId="45A10E03" w14:textId="77777777" w:rsidR="00F17A0C" w:rsidRPr="00CE4C3C" w:rsidRDefault="00F17A0C" w:rsidP="00CE4C3C">
            <w:pPr>
              <w:widowControl w:val="0"/>
              <w:tabs>
                <w:tab w:val="left" w:pos="1451"/>
              </w:tabs>
              <w:autoSpaceDE w:val="0"/>
              <w:autoSpaceDN w:val="0"/>
              <w:adjustRightInd w:val="0"/>
              <w:spacing w:line="240" w:lineRule="auto"/>
              <w:rPr>
                <w:rFonts w:ascii="Times New Roman" w:eastAsia="Times New Roman" w:hAnsi="Times New Roman" w:cs="Times New Roman"/>
              </w:rPr>
            </w:pPr>
          </w:p>
        </w:tc>
        <w:tc>
          <w:tcPr>
            <w:tcW w:w="2070" w:type="dxa"/>
            <w:shd w:val="clear" w:color="auto" w:fill="auto"/>
          </w:tcPr>
          <w:p w14:paraId="4EA35B96"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Kūno masės sumažėjimas </w:t>
            </w:r>
          </w:p>
          <w:p w14:paraId="6BFD62CE" w14:textId="35ED775E"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Baltųjų kraujo ląstelių </w:t>
            </w:r>
            <w:r w:rsidR="004F139D">
              <w:rPr>
                <w:rFonts w:ascii="Times New Roman" w:eastAsia="Times New Roman" w:hAnsi="Times New Roman" w:cs="Times New Roman"/>
                <w:lang w:eastAsia="lt-LT" w:bidi="lt-LT"/>
              </w:rPr>
              <w:t>skaičiaus</w:t>
            </w:r>
            <w:r w:rsidR="004F139D" w:rsidRPr="00CE4C3C">
              <w:rPr>
                <w:rFonts w:ascii="Times New Roman" w:eastAsia="Times New Roman" w:hAnsi="Times New Roman" w:cs="Times New Roman"/>
                <w:lang w:eastAsia="lt-LT" w:bidi="lt-LT"/>
              </w:rPr>
              <w:t xml:space="preserve"> </w:t>
            </w:r>
            <w:r w:rsidRPr="00CE4C3C">
              <w:rPr>
                <w:rFonts w:ascii="Times New Roman" w:eastAsia="Times New Roman" w:hAnsi="Times New Roman" w:cs="Times New Roman"/>
                <w:lang w:eastAsia="lt-LT" w:bidi="lt-LT"/>
              </w:rPr>
              <w:t>sumažėjimas Lipazės aktyvumo padidėjimas</w:t>
            </w:r>
          </w:p>
          <w:p w14:paraId="72C46674" w14:textId="7209207F"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Trombocitų </w:t>
            </w:r>
            <w:r w:rsidR="004F139D">
              <w:rPr>
                <w:rFonts w:ascii="Times New Roman" w:eastAsia="Times New Roman" w:hAnsi="Times New Roman" w:cs="Times New Roman"/>
                <w:lang w:eastAsia="lt-LT" w:bidi="lt-LT"/>
              </w:rPr>
              <w:t>skaičiaus</w:t>
            </w:r>
            <w:r w:rsidR="004F139D" w:rsidRPr="00CE4C3C">
              <w:rPr>
                <w:rFonts w:ascii="Times New Roman" w:eastAsia="Times New Roman" w:hAnsi="Times New Roman" w:cs="Times New Roman"/>
                <w:lang w:eastAsia="lt-LT" w:bidi="lt-LT"/>
              </w:rPr>
              <w:t xml:space="preserve"> </w:t>
            </w:r>
            <w:r w:rsidRPr="00CE4C3C">
              <w:rPr>
                <w:rFonts w:ascii="Times New Roman" w:eastAsia="Times New Roman" w:hAnsi="Times New Roman" w:cs="Times New Roman"/>
                <w:lang w:eastAsia="lt-LT" w:bidi="lt-LT"/>
              </w:rPr>
              <w:t xml:space="preserve">sumažėjimas Hemoglobino koncentracijos sumažėjimas </w:t>
            </w:r>
          </w:p>
          <w:p w14:paraId="739B6673"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Amilazės</w:t>
            </w:r>
            <w:proofErr w:type="spellEnd"/>
            <w:r w:rsidRPr="00CE4C3C">
              <w:rPr>
                <w:rFonts w:ascii="Times New Roman" w:eastAsia="Times New Roman" w:hAnsi="Times New Roman" w:cs="Times New Roman"/>
                <w:lang w:eastAsia="lt-LT" w:bidi="lt-LT"/>
              </w:rPr>
              <w:t xml:space="preserve"> aktyvumo </w:t>
            </w:r>
            <w:proofErr w:type="spellStart"/>
            <w:r w:rsidRPr="00CE4C3C">
              <w:rPr>
                <w:rFonts w:ascii="Times New Roman" w:eastAsia="Times New Roman" w:hAnsi="Times New Roman" w:cs="Times New Roman"/>
                <w:lang w:eastAsia="lt-LT" w:bidi="lt-LT"/>
              </w:rPr>
              <w:t>padidėjimas</w:t>
            </w:r>
            <w:r w:rsidRPr="00CE4C3C">
              <w:rPr>
                <w:rFonts w:ascii="Times New Roman" w:eastAsia="Times New Roman" w:hAnsi="Times New Roman" w:cs="Times New Roman"/>
                <w:vertAlign w:val="superscript"/>
                <w:lang w:eastAsia="lt-LT" w:bidi="lt-LT"/>
              </w:rPr>
              <w:t>z</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Aspartatamino-transferazės</w:t>
            </w:r>
            <w:proofErr w:type="spellEnd"/>
            <w:r w:rsidRPr="00CE4C3C">
              <w:rPr>
                <w:rFonts w:ascii="Times New Roman" w:eastAsia="Times New Roman" w:hAnsi="Times New Roman" w:cs="Times New Roman"/>
                <w:lang w:eastAsia="lt-LT" w:bidi="lt-LT"/>
              </w:rPr>
              <w:t xml:space="preserve"> aktyvumo padidėjimas </w:t>
            </w:r>
            <w:proofErr w:type="spellStart"/>
            <w:r w:rsidRPr="00CE4C3C">
              <w:rPr>
                <w:rFonts w:ascii="Times New Roman" w:eastAsia="Times New Roman" w:hAnsi="Times New Roman" w:cs="Times New Roman"/>
                <w:lang w:eastAsia="lt-LT" w:bidi="lt-LT"/>
              </w:rPr>
              <w:t>Alaninaminotransfe</w:t>
            </w:r>
            <w:r w:rsidR="0036398E" w:rsidRPr="00CE4C3C">
              <w:rPr>
                <w:rFonts w:ascii="Times New Roman" w:eastAsia="Times New Roman" w:hAnsi="Times New Roman" w:cs="Times New Roman"/>
                <w:lang w:eastAsia="lt-LT" w:bidi="lt-LT"/>
              </w:rPr>
              <w:t>-</w:t>
            </w:r>
            <w:r w:rsidRPr="00CE4C3C">
              <w:rPr>
                <w:rFonts w:ascii="Times New Roman" w:eastAsia="Times New Roman" w:hAnsi="Times New Roman" w:cs="Times New Roman"/>
                <w:lang w:eastAsia="lt-LT" w:bidi="lt-LT"/>
              </w:rPr>
              <w:t>razės</w:t>
            </w:r>
            <w:proofErr w:type="spellEnd"/>
            <w:r w:rsidRPr="00CE4C3C">
              <w:rPr>
                <w:rFonts w:ascii="Times New Roman" w:eastAsia="Times New Roman" w:hAnsi="Times New Roman" w:cs="Times New Roman"/>
                <w:lang w:eastAsia="lt-LT" w:bidi="lt-LT"/>
              </w:rPr>
              <w:t xml:space="preserve"> aktyvumo padidėjimas </w:t>
            </w:r>
            <w:proofErr w:type="spellStart"/>
            <w:r w:rsidRPr="00CE4C3C">
              <w:rPr>
                <w:rFonts w:ascii="Times New Roman" w:eastAsia="Times New Roman" w:hAnsi="Times New Roman" w:cs="Times New Roman"/>
                <w:lang w:eastAsia="lt-LT" w:bidi="lt-LT"/>
              </w:rPr>
              <w:t>Kreatinino</w:t>
            </w:r>
            <w:proofErr w:type="spellEnd"/>
            <w:r w:rsidRPr="00CE4C3C">
              <w:rPr>
                <w:rFonts w:ascii="Times New Roman" w:eastAsia="Times New Roman" w:hAnsi="Times New Roman" w:cs="Times New Roman"/>
                <w:lang w:eastAsia="lt-LT" w:bidi="lt-LT"/>
              </w:rPr>
              <w:t xml:space="preserve"> koncentracijos kraujyje padidėjimas Kraujospūdžio padidėjimas </w:t>
            </w:r>
          </w:p>
          <w:p w14:paraId="2BB642CA" w14:textId="63308FB0" w:rsidR="00F17A0C" w:rsidRPr="00CE4C3C" w:rsidRDefault="00F17A0C" w:rsidP="004F139D">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Šlapimo rūgšties </w:t>
            </w:r>
            <w:r w:rsidR="004F139D">
              <w:rPr>
                <w:rFonts w:ascii="Times New Roman" w:eastAsia="Times New Roman" w:hAnsi="Times New Roman" w:cs="Times New Roman"/>
                <w:lang w:eastAsia="lt-LT" w:bidi="lt-LT"/>
              </w:rPr>
              <w:t>koncentracijos</w:t>
            </w:r>
            <w:r w:rsidR="004F139D" w:rsidRPr="00CE4C3C">
              <w:rPr>
                <w:rFonts w:ascii="Times New Roman" w:eastAsia="Times New Roman" w:hAnsi="Times New Roman" w:cs="Times New Roman"/>
                <w:lang w:eastAsia="lt-LT" w:bidi="lt-LT"/>
              </w:rPr>
              <w:t xml:space="preserve"> </w:t>
            </w:r>
            <w:r w:rsidRPr="00CE4C3C">
              <w:rPr>
                <w:rFonts w:ascii="Times New Roman" w:eastAsia="Times New Roman" w:hAnsi="Times New Roman" w:cs="Times New Roman"/>
                <w:lang w:eastAsia="lt-LT" w:bidi="lt-LT"/>
              </w:rPr>
              <w:t>kraujyje padidėjimas</w:t>
            </w:r>
          </w:p>
        </w:tc>
        <w:tc>
          <w:tcPr>
            <w:tcW w:w="1897" w:type="dxa"/>
            <w:shd w:val="clear" w:color="auto" w:fill="auto"/>
          </w:tcPr>
          <w:p w14:paraId="0A2D0059"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Kreatinfosfokina-zės</w:t>
            </w:r>
            <w:proofErr w:type="spellEnd"/>
            <w:r w:rsidRPr="00CE4C3C">
              <w:rPr>
                <w:rFonts w:ascii="Times New Roman" w:eastAsia="Times New Roman" w:hAnsi="Times New Roman" w:cs="Times New Roman"/>
                <w:lang w:eastAsia="lt-LT" w:bidi="lt-LT"/>
              </w:rPr>
              <w:t xml:space="preserve"> aktyvumo padidėjimas</w:t>
            </w:r>
          </w:p>
          <w:p w14:paraId="7B731C50"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Skydliaukę stimuliuojančio hormono koncentracijos kraujyje padidėjimas </w:t>
            </w:r>
          </w:p>
        </w:tc>
        <w:tc>
          <w:tcPr>
            <w:tcW w:w="1701" w:type="dxa"/>
            <w:shd w:val="clear" w:color="auto" w:fill="auto"/>
          </w:tcPr>
          <w:p w14:paraId="0A121BEE" w14:textId="77777777" w:rsidR="00F17A0C" w:rsidRPr="00CE4C3C" w:rsidRDefault="00F17A0C" w:rsidP="00CE4C3C">
            <w:pPr>
              <w:tabs>
                <w:tab w:val="left" w:pos="567"/>
              </w:tabs>
              <w:spacing w:line="240" w:lineRule="auto"/>
              <w:jc w:val="both"/>
              <w:rPr>
                <w:rFonts w:ascii="Times New Roman" w:eastAsia="Times New Roman" w:hAnsi="Times New Roman" w:cs="Times New Roman"/>
                <w:b/>
                <w:u w:val="single"/>
              </w:rPr>
            </w:pPr>
          </w:p>
        </w:tc>
        <w:tc>
          <w:tcPr>
            <w:tcW w:w="1172" w:type="dxa"/>
          </w:tcPr>
          <w:p w14:paraId="73C63E78" w14:textId="77777777" w:rsidR="00F17A0C" w:rsidRPr="00CE4C3C" w:rsidRDefault="00F17A0C" w:rsidP="00CE4C3C">
            <w:pPr>
              <w:tabs>
                <w:tab w:val="left" w:pos="567"/>
              </w:tabs>
              <w:spacing w:line="240" w:lineRule="auto"/>
              <w:jc w:val="both"/>
              <w:rPr>
                <w:rFonts w:ascii="Times New Roman" w:eastAsia="Times New Roman" w:hAnsi="Times New Roman" w:cs="Times New Roman"/>
                <w:b/>
                <w:u w:val="single"/>
              </w:rPr>
            </w:pPr>
          </w:p>
        </w:tc>
      </w:tr>
    </w:tbl>
    <w:p w14:paraId="0F07CFBB" w14:textId="77777777" w:rsidR="00F17A0C" w:rsidRPr="00CE4C3C" w:rsidRDefault="00F17A0C" w:rsidP="00CE4C3C">
      <w:pPr>
        <w:autoSpaceDE w:val="0"/>
        <w:autoSpaceDN w:val="0"/>
        <w:adjustRightInd w:val="0"/>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Įskaitant mirtinus reiškinius</w:t>
      </w:r>
    </w:p>
    <w:p w14:paraId="39B8EBB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06386AF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Buvo apjungti šie terminai: </w:t>
      </w:r>
    </w:p>
    <w:p w14:paraId="3D6CF74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a</w:t>
      </w:r>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Nazofaringitas</w:t>
      </w:r>
      <w:proofErr w:type="spellEnd"/>
      <w:r w:rsidRPr="00CE4C3C">
        <w:rPr>
          <w:rFonts w:ascii="Times New Roman" w:eastAsia="Times New Roman" w:hAnsi="Times New Roman" w:cs="Times New Roman"/>
          <w:lang w:eastAsia="lt-LT" w:bidi="lt-LT"/>
        </w:rPr>
        <w:t xml:space="preserve"> ir burnos pūslelinė. </w:t>
      </w:r>
    </w:p>
    <w:p w14:paraId="18580FD4" w14:textId="77777777" w:rsidR="00F17A0C" w:rsidRPr="00CE4C3C" w:rsidRDefault="00F17A0C" w:rsidP="00CE4C3C">
      <w:pPr>
        <w:tabs>
          <w:tab w:val="left" w:pos="567"/>
        </w:tabs>
        <w:spacing w:line="240" w:lineRule="auto"/>
        <w:ind w:left="142" w:hanging="142"/>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b</w:t>
      </w:r>
      <w:r w:rsidRPr="00CE4C3C">
        <w:rPr>
          <w:rFonts w:ascii="Times New Roman" w:eastAsia="Times New Roman" w:hAnsi="Times New Roman" w:cs="Times New Roman"/>
          <w:lang w:eastAsia="lt-LT" w:bidi="lt-LT"/>
        </w:rPr>
        <w:t xml:space="preserve"> Bronchitas, apatinių kvėpavimo takų infekcinės ligos, pneumonija ir kvėpavimo takų infekcinės ligos. </w:t>
      </w:r>
    </w:p>
    <w:p w14:paraId="0563FD1A" w14:textId="77777777" w:rsidR="00F17A0C" w:rsidRPr="00CE4C3C" w:rsidRDefault="00F17A0C" w:rsidP="00CE4C3C">
      <w:pPr>
        <w:tabs>
          <w:tab w:val="left" w:pos="567"/>
        </w:tabs>
        <w:spacing w:line="240" w:lineRule="auto"/>
        <w:ind w:left="142" w:hanging="142"/>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c</w:t>
      </w:r>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Abscesas</w:t>
      </w:r>
      <w:proofErr w:type="spellEnd"/>
      <w:r w:rsidRPr="00CE4C3C">
        <w:rPr>
          <w:rFonts w:ascii="Times New Roman" w:eastAsia="Times New Roman" w:hAnsi="Times New Roman" w:cs="Times New Roman"/>
          <w:lang w:eastAsia="lt-LT" w:bidi="lt-LT"/>
        </w:rPr>
        <w:t xml:space="preserve">, galūnių </w:t>
      </w:r>
      <w:proofErr w:type="spellStart"/>
      <w:r w:rsidRPr="00CE4C3C">
        <w:rPr>
          <w:rFonts w:ascii="Times New Roman" w:eastAsia="Times New Roman" w:hAnsi="Times New Roman" w:cs="Times New Roman"/>
          <w:lang w:eastAsia="lt-LT" w:bidi="lt-LT"/>
        </w:rPr>
        <w:t>abscesas</w:t>
      </w:r>
      <w:proofErr w:type="spellEnd"/>
      <w:r w:rsidRPr="00CE4C3C">
        <w:rPr>
          <w:rFonts w:ascii="Times New Roman" w:eastAsia="Times New Roman" w:hAnsi="Times New Roman" w:cs="Times New Roman"/>
          <w:lang w:eastAsia="lt-LT" w:bidi="lt-LT"/>
        </w:rPr>
        <w:t xml:space="preserve">, išangės </w:t>
      </w:r>
      <w:proofErr w:type="spellStart"/>
      <w:r w:rsidRPr="00CE4C3C">
        <w:rPr>
          <w:rFonts w:ascii="Times New Roman" w:eastAsia="Times New Roman" w:hAnsi="Times New Roman" w:cs="Times New Roman"/>
          <w:lang w:eastAsia="lt-LT" w:bidi="lt-LT"/>
        </w:rPr>
        <w:t>abscesas</w:t>
      </w:r>
      <w:proofErr w:type="spellEnd"/>
      <w:r w:rsidRPr="00CE4C3C">
        <w:rPr>
          <w:rFonts w:ascii="Times New Roman" w:eastAsia="Times New Roman" w:hAnsi="Times New Roman" w:cs="Times New Roman"/>
          <w:lang w:eastAsia="lt-LT" w:bidi="lt-LT"/>
        </w:rPr>
        <w:t xml:space="preserve">, dantenų </w:t>
      </w:r>
      <w:proofErr w:type="spellStart"/>
      <w:r w:rsidRPr="00CE4C3C">
        <w:rPr>
          <w:rFonts w:ascii="Times New Roman" w:eastAsia="Times New Roman" w:hAnsi="Times New Roman" w:cs="Times New Roman"/>
          <w:lang w:eastAsia="lt-LT" w:bidi="lt-LT"/>
        </w:rPr>
        <w:t>abscesas</w:t>
      </w:r>
      <w:proofErr w:type="spellEnd"/>
      <w:r w:rsidRPr="00CE4C3C">
        <w:rPr>
          <w:rFonts w:ascii="Times New Roman" w:eastAsia="Times New Roman" w:hAnsi="Times New Roman" w:cs="Times New Roman"/>
          <w:lang w:eastAsia="lt-LT" w:bidi="lt-LT"/>
        </w:rPr>
        <w:t xml:space="preserve">, kepenų </w:t>
      </w:r>
      <w:proofErr w:type="spellStart"/>
      <w:r w:rsidRPr="00CE4C3C">
        <w:rPr>
          <w:rFonts w:ascii="Times New Roman" w:eastAsia="Times New Roman" w:hAnsi="Times New Roman" w:cs="Times New Roman"/>
          <w:lang w:eastAsia="lt-LT" w:bidi="lt-LT"/>
        </w:rPr>
        <w:t>abscesas</w:t>
      </w:r>
      <w:proofErr w:type="spellEnd"/>
      <w:r w:rsidRPr="00CE4C3C">
        <w:rPr>
          <w:rFonts w:ascii="Times New Roman" w:eastAsia="Times New Roman" w:hAnsi="Times New Roman" w:cs="Times New Roman"/>
          <w:lang w:eastAsia="lt-LT" w:bidi="lt-LT"/>
        </w:rPr>
        <w:t xml:space="preserve">, kasos </w:t>
      </w:r>
      <w:proofErr w:type="spellStart"/>
      <w:r w:rsidRPr="00CE4C3C">
        <w:rPr>
          <w:rFonts w:ascii="Times New Roman" w:eastAsia="Times New Roman" w:hAnsi="Times New Roman" w:cs="Times New Roman"/>
          <w:lang w:eastAsia="lt-LT" w:bidi="lt-LT"/>
        </w:rPr>
        <w:t>abscesas</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tarpvietės</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abscesas</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perirektinis</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abscesas</w:t>
      </w:r>
      <w:proofErr w:type="spellEnd"/>
      <w:r w:rsidRPr="00CE4C3C">
        <w:rPr>
          <w:rFonts w:ascii="Times New Roman" w:eastAsia="Times New Roman" w:hAnsi="Times New Roman" w:cs="Times New Roman"/>
          <w:lang w:eastAsia="lt-LT" w:bidi="lt-LT"/>
        </w:rPr>
        <w:t xml:space="preserve">, tiesiosios žarnos </w:t>
      </w:r>
      <w:proofErr w:type="spellStart"/>
      <w:r w:rsidRPr="00CE4C3C">
        <w:rPr>
          <w:rFonts w:ascii="Times New Roman" w:eastAsia="Times New Roman" w:hAnsi="Times New Roman" w:cs="Times New Roman"/>
          <w:lang w:eastAsia="lt-LT" w:bidi="lt-LT"/>
        </w:rPr>
        <w:t>abscesas</w:t>
      </w:r>
      <w:proofErr w:type="spellEnd"/>
      <w:r w:rsidRPr="00CE4C3C">
        <w:rPr>
          <w:rFonts w:ascii="Times New Roman" w:eastAsia="Times New Roman" w:hAnsi="Times New Roman" w:cs="Times New Roman"/>
          <w:lang w:eastAsia="lt-LT" w:bidi="lt-LT"/>
        </w:rPr>
        <w:t xml:space="preserve">, poodžio </w:t>
      </w:r>
      <w:proofErr w:type="spellStart"/>
      <w:r w:rsidRPr="00CE4C3C">
        <w:rPr>
          <w:rFonts w:ascii="Times New Roman" w:eastAsia="Times New Roman" w:hAnsi="Times New Roman" w:cs="Times New Roman"/>
          <w:lang w:eastAsia="lt-LT" w:bidi="lt-LT"/>
        </w:rPr>
        <w:t>abscesas</w:t>
      </w:r>
      <w:proofErr w:type="spellEnd"/>
      <w:r w:rsidRPr="00CE4C3C">
        <w:rPr>
          <w:rFonts w:ascii="Times New Roman" w:eastAsia="Times New Roman" w:hAnsi="Times New Roman" w:cs="Times New Roman"/>
          <w:lang w:eastAsia="lt-LT" w:bidi="lt-LT"/>
        </w:rPr>
        <w:t xml:space="preserve"> ir danties </w:t>
      </w:r>
      <w:proofErr w:type="spellStart"/>
      <w:r w:rsidRPr="00CE4C3C">
        <w:rPr>
          <w:rFonts w:ascii="Times New Roman" w:eastAsia="Times New Roman" w:hAnsi="Times New Roman" w:cs="Times New Roman"/>
          <w:lang w:eastAsia="lt-LT" w:bidi="lt-LT"/>
        </w:rPr>
        <w:t>abscesas</w:t>
      </w:r>
      <w:proofErr w:type="spellEnd"/>
      <w:r w:rsidRPr="00CE4C3C">
        <w:rPr>
          <w:rFonts w:ascii="Times New Roman" w:eastAsia="Times New Roman" w:hAnsi="Times New Roman" w:cs="Times New Roman"/>
          <w:lang w:eastAsia="lt-LT" w:bidi="lt-LT"/>
        </w:rPr>
        <w:t xml:space="preserve">. </w:t>
      </w:r>
    </w:p>
    <w:p w14:paraId="67F1940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d</w:t>
      </w:r>
      <w:r w:rsidRPr="00CE4C3C">
        <w:rPr>
          <w:rFonts w:ascii="Times New Roman" w:eastAsia="Times New Roman" w:hAnsi="Times New Roman" w:cs="Times New Roman"/>
          <w:lang w:eastAsia="lt-LT" w:bidi="lt-LT"/>
        </w:rPr>
        <w:t xml:space="preserve"> Stemplės </w:t>
      </w:r>
      <w:proofErr w:type="spellStart"/>
      <w:r w:rsidRPr="00CE4C3C">
        <w:rPr>
          <w:rFonts w:ascii="Times New Roman" w:eastAsia="Times New Roman" w:hAnsi="Times New Roman" w:cs="Times New Roman"/>
          <w:lang w:eastAsia="lt-LT" w:bidi="lt-LT"/>
        </w:rPr>
        <w:t>kandidozė</w:t>
      </w:r>
      <w:proofErr w:type="spellEnd"/>
      <w:r w:rsidRPr="00CE4C3C">
        <w:rPr>
          <w:rFonts w:ascii="Times New Roman" w:eastAsia="Times New Roman" w:hAnsi="Times New Roman" w:cs="Times New Roman"/>
          <w:lang w:eastAsia="lt-LT" w:bidi="lt-LT"/>
        </w:rPr>
        <w:t xml:space="preserve"> ir burnos </w:t>
      </w:r>
      <w:proofErr w:type="spellStart"/>
      <w:r w:rsidRPr="00CE4C3C">
        <w:rPr>
          <w:rFonts w:ascii="Times New Roman" w:eastAsia="Times New Roman" w:hAnsi="Times New Roman" w:cs="Times New Roman"/>
          <w:lang w:eastAsia="lt-LT" w:bidi="lt-LT"/>
        </w:rPr>
        <w:t>kandidozė</w:t>
      </w:r>
      <w:proofErr w:type="spellEnd"/>
      <w:r w:rsidRPr="00CE4C3C">
        <w:rPr>
          <w:rFonts w:ascii="Times New Roman" w:eastAsia="Times New Roman" w:hAnsi="Times New Roman" w:cs="Times New Roman"/>
          <w:lang w:eastAsia="lt-LT" w:bidi="lt-LT"/>
        </w:rPr>
        <w:t xml:space="preserve">. </w:t>
      </w:r>
    </w:p>
    <w:p w14:paraId="39C9AD1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e</w:t>
      </w:r>
      <w:r w:rsidRPr="00CE4C3C">
        <w:rPr>
          <w:rFonts w:ascii="Times New Roman" w:eastAsia="Times New Roman" w:hAnsi="Times New Roman" w:cs="Times New Roman"/>
          <w:lang w:eastAsia="lt-LT" w:bidi="lt-LT"/>
        </w:rPr>
        <w:t xml:space="preserve"> Celiulitas ir odos infekcinės ligos. </w:t>
      </w:r>
    </w:p>
    <w:p w14:paraId="0902E4B7"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f</w:t>
      </w:r>
      <w:r w:rsidRPr="00CE4C3C">
        <w:rPr>
          <w:rFonts w:ascii="Times New Roman" w:eastAsia="Times New Roman" w:hAnsi="Times New Roman" w:cs="Times New Roman"/>
          <w:lang w:eastAsia="lt-LT" w:bidi="lt-LT"/>
        </w:rPr>
        <w:t xml:space="preserve"> Sepsis ir </w:t>
      </w:r>
      <w:proofErr w:type="spellStart"/>
      <w:r w:rsidRPr="00CE4C3C">
        <w:rPr>
          <w:rFonts w:ascii="Times New Roman" w:eastAsia="Times New Roman" w:hAnsi="Times New Roman" w:cs="Times New Roman"/>
          <w:lang w:eastAsia="lt-LT" w:bidi="lt-LT"/>
        </w:rPr>
        <w:t>sepsinis</w:t>
      </w:r>
      <w:proofErr w:type="spellEnd"/>
      <w:r w:rsidRPr="00CE4C3C">
        <w:rPr>
          <w:rFonts w:ascii="Times New Roman" w:eastAsia="Times New Roman" w:hAnsi="Times New Roman" w:cs="Times New Roman"/>
          <w:lang w:eastAsia="lt-LT" w:bidi="lt-LT"/>
        </w:rPr>
        <w:t xml:space="preserve"> šokas. </w:t>
      </w:r>
    </w:p>
    <w:p w14:paraId="4F0CF647"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 xml:space="preserve">g </w:t>
      </w:r>
      <w:r w:rsidRPr="00CE4C3C">
        <w:rPr>
          <w:rFonts w:ascii="Times New Roman" w:eastAsia="Times New Roman" w:hAnsi="Times New Roman" w:cs="Times New Roman"/>
          <w:lang w:eastAsia="lt-LT" w:bidi="lt-LT"/>
        </w:rPr>
        <w:t xml:space="preserve">Pilvo srities </w:t>
      </w:r>
      <w:proofErr w:type="spellStart"/>
      <w:r w:rsidRPr="00CE4C3C">
        <w:rPr>
          <w:rFonts w:ascii="Times New Roman" w:eastAsia="Times New Roman" w:hAnsi="Times New Roman" w:cs="Times New Roman"/>
          <w:lang w:eastAsia="lt-LT" w:bidi="lt-LT"/>
        </w:rPr>
        <w:t>abscesas</w:t>
      </w:r>
      <w:proofErr w:type="spellEnd"/>
      <w:r w:rsidRPr="00CE4C3C">
        <w:rPr>
          <w:rFonts w:ascii="Times New Roman" w:eastAsia="Times New Roman" w:hAnsi="Times New Roman" w:cs="Times New Roman"/>
          <w:lang w:eastAsia="lt-LT" w:bidi="lt-LT"/>
        </w:rPr>
        <w:t xml:space="preserve">, pilvo sepsis, </w:t>
      </w:r>
      <w:proofErr w:type="spellStart"/>
      <w:r w:rsidRPr="00CE4C3C">
        <w:rPr>
          <w:rFonts w:ascii="Times New Roman" w:eastAsia="Times New Roman" w:hAnsi="Times New Roman" w:cs="Times New Roman"/>
          <w:lang w:eastAsia="lt-LT" w:bidi="lt-LT"/>
        </w:rPr>
        <w:t>divertikulitas</w:t>
      </w:r>
      <w:proofErr w:type="spellEnd"/>
      <w:r w:rsidRPr="00CE4C3C">
        <w:rPr>
          <w:rFonts w:ascii="Times New Roman" w:eastAsia="Times New Roman" w:hAnsi="Times New Roman" w:cs="Times New Roman"/>
          <w:lang w:eastAsia="lt-LT" w:bidi="lt-LT"/>
        </w:rPr>
        <w:t xml:space="preserve"> ir </w:t>
      </w:r>
      <w:proofErr w:type="spellStart"/>
      <w:r w:rsidRPr="00CE4C3C">
        <w:rPr>
          <w:rFonts w:ascii="Times New Roman" w:eastAsia="Times New Roman" w:hAnsi="Times New Roman" w:cs="Times New Roman"/>
          <w:lang w:eastAsia="lt-LT" w:bidi="lt-LT"/>
        </w:rPr>
        <w:t>osteomielitas</w:t>
      </w:r>
      <w:proofErr w:type="spellEnd"/>
      <w:r w:rsidRPr="00CE4C3C">
        <w:rPr>
          <w:rFonts w:ascii="Times New Roman" w:eastAsia="Times New Roman" w:hAnsi="Times New Roman" w:cs="Times New Roman"/>
          <w:lang w:eastAsia="lt-LT" w:bidi="lt-LT"/>
        </w:rPr>
        <w:t>.</w:t>
      </w:r>
    </w:p>
    <w:p w14:paraId="3F50EBAB"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h</w:t>
      </w:r>
      <w:r w:rsidRPr="00CE4C3C">
        <w:rPr>
          <w:rFonts w:ascii="Times New Roman" w:eastAsia="Times New Roman" w:hAnsi="Times New Roman" w:cs="Times New Roman"/>
          <w:lang w:eastAsia="lt-LT" w:bidi="lt-LT"/>
        </w:rPr>
        <w:t xml:space="preserve"> Trombinė </w:t>
      </w:r>
      <w:proofErr w:type="spellStart"/>
      <w:r w:rsidRPr="00CE4C3C">
        <w:rPr>
          <w:rFonts w:ascii="Times New Roman" w:eastAsia="Times New Roman" w:hAnsi="Times New Roman" w:cs="Times New Roman"/>
          <w:lang w:eastAsia="lt-LT" w:bidi="lt-LT"/>
        </w:rPr>
        <w:t>mikroangiopatija</w:t>
      </w:r>
      <w:proofErr w:type="spellEnd"/>
      <w:r w:rsidRPr="00CE4C3C">
        <w:rPr>
          <w:rFonts w:ascii="Times New Roman" w:eastAsia="Times New Roman" w:hAnsi="Times New Roman" w:cs="Times New Roman"/>
          <w:lang w:eastAsia="lt-LT" w:bidi="lt-LT"/>
        </w:rPr>
        <w:t xml:space="preserve">, trombinė </w:t>
      </w:r>
      <w:proofErr w:type="spellStart"/>
      <w:r w:rsidRPr="00CE4C3C">
        <w:rPr>
          <w:rFonts w:ascii="Times New Roman" w:eastAsia="Times New Roman" w:hAnsi="Times New Roman" w:cs="Times New Roman"/>
          <w:lang w:eastAsia="lt-LT" w:bidi="lt-LT"/>
        </w:rPr>
        <w:t>trombocitopeninė</w:t>
      </w:r>
      <w:proofErr w:type="spellEnd"/>
      <w:r w:rsidRPr="00CE4C3C">
        <w:rPr>
          <w:rFonts w:ascii="Times New Roman" w:eastAsia="Times New Roman" w:hAnsi="Times New Roman" w:cs="Times New Roman"/>
          <w:lang w:eastAsia="lt-LT" w:bidi="lt-LT"/>
        </w:rPr>
        <w:t xml:space="preserve"> purpura, hemolizinis </w:t>
      </w:r>
      <w:proofErr w:type="spellStart"/>
      <w:r w:rsidRPr="00CE4C3C">
        <w:rPr>
          <w:rFonts w:ascii="Times New Roman" w:eastAsia="Times New Roman" w:hAnsi="Times New Roman" w:cs="Times New Roman"/>
          <w:lang w:eastAsia="lt-LT" w:bidi="lt-LT"/>
        </w:rPr>
        <w:t>ureminis</w:t>
      </w:r>
      <w:proofErr w:type="spellEnd"/>
      <w:r w:rsidRPr="00CE4C3C">
        <w:rPr>
          <w:rFonts w:ascii="Times New Roman" w:eastAsia="Times New Roman" w:hAnsi="Times New Roman" w:cs="Times New Roman"/>
          <w:lang w:eastAsia="lt-LT" w:bidi="lt-LT"/>
        </w:rPr>
        <w:t xml:space="preserve"> sindromas. </w:t>
      </w:r>
    </w:p>
    <w:p w14:paraId="1E6DCBDA"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i</w:t>
      </w:r>
      <w:r w:rsidRPr="00CE4C3C">
        <w:rPr>
          <w:rFonts w:ascii="Times New Roman" w:eastAsia="Times New Roman" w:hAnsi="Times New Roman" w:cs="Times New Roman"/>
          <w:lang w:eastAsia="lt-LT" w:bidi="lt-LT"/>
        </w:rPr>
        <w:t xml:space="preserve"> Apetito sumažėjimas ir anoreksija. </w:t>
      </w:r>
    </w:p>
    <w:p w14:paraId="75321DAB"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j</w:t>
      </w:r>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Disgeuzija</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ageuzija</w:t>
      </w:r>
      <w:proofErr w:type="spellEnd"/>
      <w:r w:rsidRPr="00CE4C3C">
        <w:rPr>
          <w:rFonts w:ascii="Times New Roman" w:eastAsia="Times New Roman" w:hAnsi="Times New Roman" w:cs="Times New Roman"/>
          <w:lang w:eastAsia="lt-LT" w:bidi="lt-LT"/>
        </w:rPr>
        <w:t xml:space="preserve"> ir skonio pojūčio sutrikimai. </w:t>
      </w:r>
    </w:p>
    <w:p w14:paraId="1EA92129" w14:textId="77777777" w:rsidR="00F17A0C" w:rsidRPr="00CE4C3C" w:rsidRDefault="00F17A0C" w:rsidP="00CE4C3C">
      <w:pPr>
        <w:tabs>
          <w:tab w:val="left" w:pos="567"/>
        </w:tabs>
        <w:autoSpaceDE w:val="0"/>
        <w:autoSpaceDN w:val="0"/>
        <w:adjustRightInd w:val="0"/>
        <w:spacing w:line="240" w:lineRule="auto"/>
        <w:ind w:left="142" w:hanging="142"/>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k</w:t>
      </w:r>
      <w:r w:rsidRPr="00CE4C3C">
        <w:rPr>
          <w:rFonts w:ascii="Times New Roman" w:eastAsia="Times New Roman" w:hAnsi="Times New Roman" w:cs="Times New Roman"/>
          <w:lang w:eastAsia="lt-LT" w:bidi="lt-LT"/>
        </w:rPr>
        <w:t xml:space="preserve"> Ūminis vainikinių arterijų sindromas, krūtinės angina, nestabili krūtinės angina, vainikinių arterijų </w:t>
      </w:r>
      <w:proofErr w:type="spellStart"/>
      <w:r w:rsidRPr="00CE4C3C">
        <w:rPr>
          <w:rFonts w:ascii="Times New Roman" w:eastAsia="Times New Roman" w:hAnsi="Times New Roman" w:cs="Times New Roman"/>
          <w:lang w:eastAsia="lt-LT" w:bidi="lt-LT"/>
        </w:rPr>
        <w:t>okliuzija</w:t>
      </w:r>
      <w:proofErr w:type="spellEnd"/>
      <w:r w:rsidRPr="00CE4C3C">
        <w:rPr>
          <w:rFonts w:ascii="Times New Roman" w:eastAsia="Times New Roman" w:hAnsi="Times New Roman" w:cs="Times New Roman"/>
          <w:lang w:eastAsia="lt-LT" w:bidi="lt-LT"/>
        </w:rPr>
        <w:t xml:space="preserve">, miokardo išemija. </w:t>
      </w:r>
    </w:p>
    <w:p w14:paraId="5969D512"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l</w:t>
      </w:r>
      <w:r w:rsidRPr="00CE4C3C">
        <w:rPr>
          <w:rFonts w:ascii="Times New Roman" w:eastAsia="Times New Roman" w:hAnsi="Times New Roman" w:cs="Times New Roman"/>
          <w:lang w:eastAsia="lt-LT" w:bidi="lt-LT"/>
        </w:rPr>
        <w:t xml:space="preserve"> Sumažėjusi / nenormali išstūmimo frakcija. </w:t>
      </w:r>
    </w:p>
    <w:p w14:paraId="4C1FEFB3"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lastRenderedPageBreak/>
        <w:t>m</w:t>
      </w:r>
      <w:r w:rsidRPr="00CE4C3C">
        <w:rPr>
          <w:rFonts w:ascii="Times New Roman" w:eastAsia="Times New Roman" w:hAnsi="Times New Roman" w:cs="Times New Roman"/>
          <w:lang w:eastAsia="lt-LT" w:bidi="lt-LT"/>
        </w:rPr>
        <w:t xml:space="preserve"> Ūminis miokardo infarktas, miokardo infarktas, tylus miokardo infarktas. </w:t>
      </w:r>
    </w:p>
    <w:p w14:paraId="003B8FE8"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n</w:t>
      </w:r>
      <w:r w:rsidRPr="00CE4C3C">
        <w:rPr>
          <w:rFonts w:ascii="Times New Roman" w:eastAsia="Times New Roman" w:hAnsi="Times New Roman" w:cs="Times New Roman"/>
          <w:lang w:eastAsia="lt-LT" w:bidi="lt-LT"/>
        </w:rPr>
        <w:t xml:space="preserve"> Burnos ir ryklės bei gerklų skausmas. </w:t>
      </w:r>
    </w:p>
    <w:p w14:paraId="080C5DA6"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o</w:t>
      </w:r>
      <w:r w:rsidRPr="00CE4C3C">
        <w:rPr>
          <w:rFonts w:ascii="Times New Roman" w:eastAsia="Times New Roman" w:hAnsi="Times New Roman" w:cs="Times New Roman"/>
          <w:lang w:eastAsia="lt-LT" w:bidi="lt-LT"/>
        </w:rPr>
        <w:t xml:space="preserve"> Stomatitas ir </w:t>
      </w:r>
      <w:proofErr w:type="spellStart"/>
      <w:r w:rsidRPr="00CE4C3C">
        <w:rPr>
          <w:rFonts w:ascii="Times New Roman" w:eastAsia="Times New Roman" w:hAnsi="Times New Roman" w:cs="Times New Roman"/>
          <w:lang w:eastAsia="lt-LT" w:bidi="lt-LT"/>
        </w:rPr>
        <w:t>aftinis</w:t>
      </w:r>
      <w:proofErr w:type="spellEnd"/>
      <w:r w:rsidRPr="00CE4C3C">
        <w:rPr>
          <w:rFonts w:ascii="Times New Roman" w:eastAsia="Times New Roman" w:hAnsi="Times New Roman" w:cs="Times New Roman"/>
          <w:lang w:eastAsia="lt-LT" w:bidi="lt-LT"/>
        </w:rPr>
        <w:t xml:space="preserve"> stomatitas. </w:t>
      </w:r>
    </w:p>
    <w:p w14:paraId="5D715CC8"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p</w:t>
      </w:r>
      <w:r w:rsidRPr="00CE4C3C">
        <w:rPr>
          <w:rFonts w:ascii="Times New Roman" w:eastAsia="Times New Roman" w:hAnsi="Times New Roman" w:cs="Times New Roman"/>
          <w:lang w:eastAsia="lt-LT" w:bidi="lt-LT"/>
        </w:rPr>
        <w:t xml:space="preserve"> Pilvo skausmas, skausmas apatinėje pilvo dalyje ir skausmas viršutinėje pilvo dalyje. </w:t>
      </w:r>
    </w:p>
    <w:p w14:paraId="610144B4" w14:textId="59052DF9"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q</w:t>
      </w:r>
      <w:r w:rsidRPr="00CE4C3C">
        <w:rPr>
          <w:rFonts w:ascii="Times New Roman" w:eastAsia="Times New Roman" w:hAnsi="Times New Roman" w:cs="Times New Roman"/>
          <w:lang w:eastAsia="lt-LT" w:bidi="lt-LT"/>
        </w:rPr>
        <w:t xml:space="preserve"> Virškinimo trakto </w:t>
      </w:r>
      <w:r w:rsidR="004F139D">
        <w:rPr>
          <w:rFonts w:ascii="Times New Roman" w:eastAsia="Times New Roman" w:hAnsi="Times New Roman" w:cs="Times New Roman"/>
          <w:lang w:eastAsia="lt-LT" w:bidi="lt-LT"/>
        </w:rPr>
        <w:t>perforacija</w:t>
      </w:r>
      <w:r w:rsidR="004F139D" w:rsidRPr="00CE4C3C">
        <w:rPr>
          <w:rFonts w:ascii="Times New Roman" w:eastAsia="Times New Roman" w:hAnsi="Times New Roman" w:cs="Times New Roman"/>
          <w:lang w:eastAsia="lt-LT" w:bidi="lt-LT"/>
        </w:rPr>
        <w:t xml:space="preserve"> </w:t>
      </w:r>
      <w:r w:rsidRPr="00CE4C3C">
        <w:rPr>
          <w:rFonts w:ascii="Times New Roman" w:eastAsia="Times New Roman" w:hAnsi="Times New Roman" w:cs="Times New Roman"/>
          <w:lang w:eastAsia="lt-LT" w:bidi="lt-LT"/>
        </w:rPr>
        <w:t>ir žarnos prakiurimas.</w:t>
      </w:r>
    </w:p>
    <w:p w14:paraId="08B59911"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r</w:t>
      </w:r>
      <w:r w:rsidRPr="00CE4C3C">
        <w:rPr>
          <w:rFonts w:ascii="Times New Roman" w:eastAsia="Times New Roman" w:hAnsi="Times New Roman" w:cs="Times New Roman"/>
          <w:lang w:eastAsia="lt-LT" w:bidi="lt-LT"/>
        </w:rPr>
        <w:t xml:space="preserve"> Kolitas ir išeminis kolitas </w:t>
      </w:r>
    </w:p>
    <w:p w14:paraId="39BDD554"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s</w:t>
      </w:r>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Cholecistitas</w:t>
      </w:r>
      <w:proofErr w:type="spellEnd"/>
      <w:r w:rsidRPr="00CE4C3C">
        <w:rPr>
          <w:rFonts w:ascii="Times New Roman" w:eastAsia="Times New Roman" w:hAnsi="Times New Roman" w:cs="Times New Roman"/>
          <w:lang w:eastAsia="lt-LT" w:bidi="lt-LT"/>
        </w:rPr>
        <w:t xml:space="preserve"> ir </w:t>
      </w:r>
      <w:proofErr w:type="spellStart"/>
      <w:r w:rsidRPr="00CE4C3C">
        <w:rPr>
          <w:rFonts w:ascii="Times New Roman" w:eastAsia="Times New Roman" w:hAnsi="Times New Roman" w:cs="Times New Roman"/>
          <w:lang w:eastAsia="lt-LT" w:bidi="lt-LT"/>
        </w:rPr>
        <w:t>akalkuliozinis</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cholecistitas</w:t>
      </w:r>
      <w:proofErr w:type="spellEnd"/>
      <w:r w:rsidRPr="00CE4C3C">
        <w:rPr>
          <w:rFonts w:ascii="Times New Roman" w:eastAsia="Times New Roman" w:hAnsi="Times New Roman" w:cs="Times New Roman"/>
          <w:lang w:eastAsia="lt-LT" w:bidi="lt-LT"/>
        </w:rPr>
        <w:t xml:space="preserve">. </w:t>
      </w:r>
    </w:p>
    <w:p w14:paraId="42ADBB2D"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t</w:t>
      </w:r>
      <w:r w:rsidRPr="00CE4C3C">
        <w:rPr>
          <w:rFonts w:ascii="Times New Roman" w:eastAsia="Times New Roman" w:hAnsi="Times New Roman" w:cs="Times New Roman"/>
          <w:lang w:eastAsia="lt-LT" w:bidi="lt-LT"/>
        </w:rPr>
        <w:t xml:space="preserve"> Odos pageltimas, odos spalvos pokytis ir pigmentacijos sutrikimas. </w:t>
      </w:r>
    </w:p>
    <w:p w14:paraId="1DF28803" w14:textId="77777777" w:rsidR="00F17A0C" w:rsidRPr="00CE4C3C" w:rsidRDefault="00F17A0C" w:rsidP="00CE4C3C">
      <w:pPr>
        <w:tabs>
          <w:tab w:val="left" w:pos="567"/>
        </w:tabs>
        <w:autoSpaceDE w:val="0"/>
        <w:autoSpaceDN w:val="0"/>
        <w:adjustRightInd w:val="0"/>
        <w:spacing w:line="240" w:lineRule="auto"/>
        <w:ind w:left="142" w:hanging="142"/>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u</w:t>
      </w:r>
      <w:r w:rsidRPr="00CE4C3C">
        <w:rPr>
          <w:rFonts w:ascii="Times New Roman" w:eastAsia="Times New Roman" w:hAnsi="Times New Roman" w:cs="Times New Roman"/>
          <w:lang w:eastAsia="lt-LT" w:bidi="lt-LT"/>
        </w:rPr>
        <w:t xml:space="preserve"> Į psoriazę panašus dermatitas, </w:t>
      </w:r>
      <w:proofErr w:type="spellStart"/>
      <w:r w:rsidRPr="00CE4C3C">
        <w:rPr>
          <w:rFonts w:ascii="Times New Roman" w:eastAsia="Times New Roman" w:hAnsi="Times New Roman" w:cs="Times New Roman"/>
          <w:lang w:eastAsia="lt-LT" w:bidi="lt-LT"/>
        </w:rPr>
        <w:t>eksfoliacinis</w:t>
      </w:r>
      <w:proofErr w:type="spellEnd"/>
      <w:r w:rsidRPr="00CE4C3C">
        <w:rPr>
          <w:rFonts w:ascii="Times New Roman" w:eastAsia="Times New Roman" w:hAnsi="Times New Roman" w:cs="Times New Roman"/>
          <w:lang w:eastAsia="lt-LT" w:bidi="lt-LT"/>
        </w:rPr>
        <w:t xml:space="preserve"> išbėrimas, išbėrimas, </w:t>
      </w:r>
      <w:proofErr w:type="spellStart"/>
      <w:r w:rsidRPr="00CE4C3C">
        <w:rPr>
          <w:rFonts w:ascii="Times New Roman" w:eastAsia="Times New Roman" w:hAnsi="Times New Roman" w:cs="Times New Roman"/>
          <w:lang w:eastAsia="lt-LT" w:bidi="lt-LT"/>
        </w:rPr>
        <w:t>eriteminis</w:t>
      </w:r>
      <w:proofErr w:type="spellEnd"/>
      <w:r w:rsidRPr="00CE4C3C">
        <w:rPr>
          <w:rFonts w:ascii="Times New Roman" w:eastAsia="Times New Roman" w:hAnsi="Times New Roman" w:cs="Times New Roman"/>
          <w:lang w:eastAsia="lt-LT" w:bidi="lt-LT"/>
        </w:rPr>
        <w:t xml:space="preserve"> išbėrimas, folikulinis išbėrimas, išplitęs išbėrimas, </w:t>
      </w:r>
      <w:proofErr w:type="spellStart"/>
      <w:r w:rsidRPr="00CE4C3C">
        <w:rPr>
          <w:rFonts w:ascii="Times New Roman" w:eastAsia="Times New Roman" w:hAnsi="Times New Roman" w:cs="Times New Roman"/>
          <w:lang w:eastAsia="lt-LT" w:bidi="lt-LT"/>
        </w:rPr>
        <w:t>makulinis</w:t>
      </w:r>
      <w:proofErr w:type="spellEnd"/>
      <w:r w:rsidRPr="00CE4C3C">
        <w:rPr>
          <w:rFonts w:ascii="Times New Roman" w:eastAsia="Times New Roman" w:hAnsi="Times New Roman" w:cs="Times New Roman"/>
          <w:lang w:eastAsia="lt-LT" w:bidi="lt-LT"/>
        </w:rPr>
        <w:t xml:space="preserve"> išbėrimas, </w:t>
      </w:r>
      <w:proofErr w:type="spellStart"/>
      <w:r w:rsidRPr="00CE4C3C">
        <w:rPr>
          <w:rFonts w:ascii="Times New Roman" w:eastAsia="Times New Roman" w:hAnsi="Times New Roman" w:cs="Times New Roman"/>
          <w:lang w:eastAsia="lt-LT" w:bidi="lt-LT"/>
        </w:rPr>
        <w:t>makulopapulinis</w:t>
      </w:r>
      <w:proofErr w:type="spellEnd"/>
      <w:r w:rsidRPr="00CE4C3C">
        <w:rPr>
          <w:rFonts w:ascii="Times New Roman" w:eastAsia="Times New Roman" w:hAnsi="Times New Roman" w:cs="Times New Roman"/>
          <w:lang w:eastAsia="lt-LT" w:bidi="lt-LT"/>
        </w:rPr>
        <w:t xml:space="preserve"> išbėrimas, </w:t>
      </w:r>
      <w:proofErr w:type="spellStart"/>
      <w:r w:rsidRPr="00CE4C3C">
        <w:rPr>
          <w:rFonts w:ascii="Times New Roman" w:eastAsia="Times New Roman" w:hAnsi="Times New Roman" w:cs="Times New Roman"/>
          <w:lang w:eastAsia="lt-LT" w:bidi="lt-LT"/>
        </w:rPr>
        <w:t>papulinis</w:t>
      </w:r>
      <w:proofErr w:type="spellEnd"/>
      <w:r w:rsidRPr="00CE4C3C">
        <w:rPr>
          <w:rFonts w:ascii="Times New Roman" w:eastAsia="Times New Roman" w:hAnsi="Times New Roman" w:cs="Times New Roman"/>
          <w:lang w:eastAsia="lt-LT" w:bidi="lt-LT"/>
        </w:rPr>
        <w:t xml:space="preserve"> išbėrimas ir niežtintis išbėrimas. </w:t>
      </w:r>
    </w:p>
    <w:p w14:paraId="7C58ACAF"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v</w:t>
      </w:r>
      <w:r w:rsidRPr="00CE4C3C">
        <w:rPr>
          <w:rFonts w:ascii="Times New Roman" w:eastAsia="Times New Roman" w:hAnsi="Times New Roman" w:cs="Times New Roman"/>
          <w:lang w:eastAsia="lt-LT" w:bidi="lt-LT"/>
        </w:rPr>
        <w:t xml:space="preserve"> Odos reakcija ir odos sutrikimai. </w:t>
      </w:r>
    </w:p>
    <w:p w14:paraId="70E5AE5B"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u w:val="single"/>
          <w:lang w:eastAsia="lt-LT" w:bidi="lt-LT"/>
        </w:rPr>
      </w:pPr>
      <w:r w:rsidRPr="00CE4C3C">
        <w:rPr>
          <w:rFonts w:ascii="Times New Roman" w:eastAsia="Times New Roman" w:hAnsi="Times New Roman" w:cs="Times New Roman"/>
          <w:vertAlign w:val="superscript"/>
          <w:lang w:eastAsia="lt-LT" w:bidi="lt-LT"/>
        </w:rPr>
        <w:t>w</w:t>
      </w:r>
      <w:r w:rsidRPr="00CE4C3C">
        <w:rPr>
          <w:rFonts w:ascii="Times New Roman" w:eastAsia="Times New Roman" w:hAnsi="Times New Roman" w:cs="Times New Roman"/>
          <w:lang w:eastAsia="lt-LT" w:bidi="lt-LT"/>
        </w:rPr>
        <w:t xml:space="preserve"> Nagų sutrikimas ir spalvos pakitimai.</w:t>
      </w:r>
    </w:p>
    <w:p w14:paraId="365ED1C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x</w:t>
      </w:r>
      <w:r w:rsidRPr="00CE4C3C">
        <w:rPr>
          <w:rFonts w:ascii="Times New Roman" w:eastAsia="Times New Roman" w:hAnsi="Times New Roman" w:cs="Times New Roman"/>
          <w:lang w:eastAsia="lt-LT" w:bidi="lt-LT"/>
        </w:rPr>
        <w:t xml:space="preserve"> Nuovargis ir </w:t>
      </w:r>
      <w:proofErr w:type="spellStart"/>
      <w:r w:rsidRPr="00CE4C3C">
        <w:rPr>
          <w:rFonts w:ascii="Times New Roman" w:eastAsia="Times New Roman" w:hAnsi="Times New Roman" w:cs="Times New Roman"/>
          <w:lang w:eastAsia="lt-LT" w:bidi="lt-LT"/>
        </w:rPr>
        <w:t>astenija</w:t>
      </w:r>
      <w:proofErr w:type="spellEnd"/>
      <w:r w:rsidRPr="00CE4C3C">
        <w:rPr>
          <w:rFonts w:ascii="Times New Roman" w:eastAsia="Times New Roman" w:hAnsi="Times New Roman" w:cs="Times New Roman"/>
          <w:lang w:eastAsia="lt-LT" w:bidi="lt-LT"/>
        </w:rPr>
        <w:t xml:space="preserve">. </w:t>
      </w:r>
    </w:p>
    <w:p w14:paraId="6EA23E0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y</w:t>
      </w:r>
      <w:r w:rsidRPr="00CE4C3C">
        <w:rPr>
          <w:rFonts w:ascii="Times New Roman" w:eastAsia="Times New Roman" w:hAnsi="Times New Roman" w:cs="Times New Roman"/>
          <w:lang w:eastAsia="lt-LT" w:bidi="lt-LT"/>
        </w:rPr>
        <w:t xml:space="preserve"> Veido edema, edema ir periferinė edema. </w:t>
      </w:r>
    </w:p>
    <w:p w14:paraId="61321C48"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z</w:t>
      </w:r>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Amilazė</w:t>
      </w:r>
      <w:proofErr w:type="spellEnd"/>
      <w:r w:rsidRPr="00CE4C3C">
        <w:rPr>
          <w:rFonts w:ascii="Times New Roman" w:eastAsia="Times New Roman" w:hAnsi="Times New Roman" w:cs="Times New Roman"/>
          <w:lang w:eastAsia="lt-LT" w:bidi="lt-LT"/>
        </w:rPr>
        <w:t xml:space="preserve"> ir </w:t>
      </w:r>
      <w:proofErr w:type="spellStart"/>
      <w:r w:rsidRPr="00CE4C3C">
        <w:rPr>
          <w:rFonts w:ascii="Times New Roman" w:eastAsia="Times New Roman" w:hAnsi="Times New Roman" w:cs="Times New Roman"/>
          <w:lang w:eastAsia="lt-LT" w:bidi="lt-LT"/>
        </w:rPr>
        <w:t>amilazės</w:t>
      </w:r>
      <w:proofErr w:type="spellEnd"/>
      <w:r w:rsidRPr="00CE4C3C">
        <w:rPr>
          <w:rFonts w:ascii="Times New Roman" w:eastAsia="Times New Roman" w:hAnsi="Times New Roman" w:cs="Times New Roman"/>
          <w:lang w:eastAsia="lt-LT" w:bidi="lt-LT"/>
        </w:rPr>
        <w:t xml:space="preserve"> aktyvumo padidėjimas. </w:t>
      </w:r>
    </w:p>
    <w:p w14:paraId="5A73E7A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2B8B9271"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bidi="lt-LT"/>
        </w:rPr>
      </w:pPr>
      <w:r w:rsidRPr="00CE4C3C">
        <w:rPr>
          <w:rFonts w:ascii="Times New Roman" w:eastAsia="Times New Roman" w:hAnsi="Times New Roman" w:cs="Times New Roman"/>
          <w:u w:val="single"/>
          <w:lang w:eastAsia="lt-LT" w:bidi="lt-LT"/>
        </w:rPr>
        <w:t>Atrinktų nepageidaujamų reakcijų apibūdinimas</w:t>
      </w:r>
    </w:p>
    <w:p w14:paraId="247DD48A"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p>
    <w:p w14:paraId="0A4F83A9"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CE4C3C">
        <w:rPr>
          <w:rFonts w:ascii="Times New Roman" w:eastAsia="Times New Roman" w:hAnsi="Times New Roman" w:cs="Times New Roman"/>
          <w:i/>
          <w:lang w:eastAsia="lt-LT" w:bidi="lt-LT"/>
        </w:rPr>
        <w:t xml:space="preserve">Infekcijos ir </w:t>
      </w:r>
      <w:proofErr w:type="spellStart"/>
      <w:r w:rsidRPr="00CE4C3C">
        <w:rPr>
          <w:rFonts w:ascii="Times New Roman" w:eastAsia="Times New Roman" w:hAnsi="Times New Roman" w:cs="Times New Roman"/>
          <w:i/>
          <w:lang w:eastAsia="lt-LT" w:bidi="lt-LT"/>
        </w:rPr>
        <w:t>infestacijos</w:t>
      </w:r>
      <w:proofErr w:type="spellEnd"/>
      <w:r w:rsidRPr="00CE4C3C">
        <w:rPr>
          <w:rFonts w:ascii="Times New Roman" w:eastAsia="Times New Roman" w:hAnsi="Times New Roman" w:cs="Times New Roman"/>
          <w:i/>
          <w:lang w:eastAsia="lt-LT" w:bidi="lt-LT"/>
        </w:rPr>
        <w:t xml:space="preserve"> </w:t>
      </w:r>
    </w:p>
    <w:p w14:paraId="277A8F7C"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u w:val="single"/>
          <w:lang w:eastAsia="lt-LT" w:bidi="lt-LT"/>
        </w:rPr>
      </w:pPr>
      <w:r w:rsidRPr="00CE4C3C">
        <w:rPr>
          <w:rFonts w:ascii="Times New Roman" w:eastAsia="Times New Roman" w:hAnsi="Times New Roman" w:cs="Times New Roman"/>
          <w:lang w:eastAsia="lt-LT" w:bidi="lt-LT"/>
        </w:rPr>
        <w:t xml:space="preserve">Nustatyta sunkių infekcijos (pasireiškusios su </w:t>
      </w:r>
      <w:proofErr w:type="spellStart"/>
      <w:r w:rsidRPr="00CE4C3C">
        <w:rPr>
          <w:rFonts w:ascii="Times New Roman" w:eastAsia="Times New Roman" w:hAnsi="Times New Roman" w:cs="Times New Roman"/>
          <w:lang w:eastAsia="lt-LT" w:bidi="lt-LT"/>
        </w:rPr>
        <w:t>neutropenija</w:t>
      </w:r>
      <w:proofErr w:type="spellEnd"/>
      <w:r w:rsidRPr="00CE4C3C">
        <w:rPr>
          <w:rFonts w:ascii="Times New Roman" w:eastAsia="Times New Roman" w:hAnsi="Times New Roman" w:cs="Times New Roman"/>
          <w:lang w:eastAsia="lt-LT" w:bidi="lt-LT"/>
        </w:rPr>
        <w:t xml:space="preserve"> arba be jos) atvejų, įskaitant mirtinus atvejus. Buvo pranešta apie </w:t>
      </w:r>
      <w:proofErr w:type="spellStart"/>
      <w:r w:rsidRPr="00CE4C3C">
        <w:rPr>
          <w:rFonts w:ascii="Times New Roman" w:eastAsia="Times New Roman" w:hAnsi="Times New Roman" w:cs="Times New Roman"/>
          <w:lang w:eastAsia="lt-LT" w:bidi="lt-LT"/>
        </w:rPr>
        <w:t>nekrotizuojančio</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fascito</w:t>
      </w:r>
      <w:proofErr w:type="spellEnd"/>
      <w:r w:rsidRPr="00CE4C3C">
        <w:rPr>
          <w:rFonts w:ascii="Times New Roman" w:eastAsia="Times New Roman" w:hAnsi="Times New Roman" w:cs="Times New Roman"/>
          <w:lang w:eastAsia="lt-LT" w:bidi="lt-LT"/>
        </w:rPr>
        <w:t xml:space="preserve">, įskaitant </w:t>
      </w:r>
      <w:proofErr w:type="spellStart"/>
      <w:r w:rsidRPr="00CE4C3C">
        <w:rPr>
          <w:rFonts w:ascii="Times New Roman" w:eastAsia="Times New Roman" w:hAnsi="Times New Roman" w:cs="Times New Roman"/>
          <w:lang w:eastAsia="lt-LT" w:bidi="lt-LT"/>
        </w:rPr>
        <w:t>tarpvietės</w:t>
      </w:r>
      <w:proofErr w:type="spellEnd"/>
      <w:r w:rsidRPr="00CE4C3C">
        <w:rPr>
          <w:rFonts w:ascii="Times New Roman" w:eastAsia="Times New Roman" w:hAnsi="Times New Roman" w:cs="Times New Roman"/>
          <w:lang w:eastAsia="lt-LT" w:bidi="lt-LT"/>
        </w:rPr>
        <w:t>, atvejus, kurie retkarčiais pasibaigdavo mirtimi (taip pat žr. 4.4 skyrių).</w:t>
      </w:r>
    </w:p>
    <w:p w14:paraId="23DF5E8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4B39B8F5" w14:textId="77777777" w:rsidR="00F17A0C" w:rsidRPr="00CE4C3C" w:rsidRDefault="00F17A0C" w:rsidP="00CE4C3C">
      <w:pPr>
        <w:tabs>
          <w:tab w:val="left" w:pos="567"/>
        </w:tabs>
        <w:spacing w:line="240" w:lineRule="auto"/>
        <w:rPr>
          <w:rFonts w:ascii="Times New Roman" w:eastAsia="Times New Roman" w:hAnsi="Times New Roman" w:cs="Times New Roman"/>
          <w:i/>
          <w:lang w:eastAsia="lt-LT" w:bidi="lt-LT"/>
        </w:rPr>
      </w:pPr>
      <w:r w:rsidRPr="00CE4C3C">
        <w:rPr>
          <w:rFonts w:ascii="Times New Roman" w:eastAsia="Times New Roman" w:hAnsi="Times New Roman" w:cs="Times New Roman"/>
          <w:i/>
          <w:lang w:eastAsia="lt-LT" w:bidi="lt-LT"/>
        </w:rPr>
        <w:t xml:space="preserve">Kraujo ir limfinės sistemos sutrikimai </w:t>
      </w:r>
    </w:p>
    <w:p w14:paraId="00796207" w14:textId="3CD33E5F"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3 fazės klinikinių tyrimų duomenimis, 3 ir 4 sunkumo laipsnio bendrojo </w:t>
      </w:r>
      <w:proofErr w:type="spellStart"/>
      <w:r w:rsidRPr="00CE4C3C">
        <w:rPr>
          <w:rFonts w:ascii="Times New Roman" w:eastAsia="Times New Roman" w:hAnsi="Times New Roman" w:cs="Times New Roman"/>
          <w:lang w:eastAsia="lt-LT" w:bidi="lt-LT"/>
        </w:rPr>
        <w:t>neutrofilų</w:t>
      </w:r>
      <w:proofErr w:type="spellEnd"/>
      <w:r w:rsidRPr="00CE4C3C">
        <w:rPr>
          <w:rFonts w:ascii="Times New Roman" w:eastAsia="Times New Roman" w:hAnsi="Times New Roman" w:cs="Times New Roman"/>
          <w:lang w:eastAsia="lt-LT" w:bidi="lt-LT"/>
        </w:rPr>
        <w:t xml:space="preserve"> </w:t>
      </w:r>
      <w:r w:rsidR="004F139D">
        <w:rPr>
          <w:rFonts w:ascii="Times New Roman" w:eastAsia="Times New Roman" w:hAnsi="Times New Roman" w:cs="Times New Roman"/>
          <w:lang w:eastAsia="lt-LT" w:bidi="lt-LT"/>
        </w:rPr>
        <w:t xml:space="preserve">skaičiaus </w:t>
      </w:r>
      <w:r w:rsidRPr="00CE4C3C">
        <w:rPr>
          <w:rFonts w:ascii="Times New Roman" w:eastAsia="Times New Roman" w:hAnsi="Times New Roman" w:cs="Times New Roman"/>
          <w:lang w:eastAsia="lt-LT" w:bidi="lt-LT"/>
        </w:rPr>
        <w:t xml:space="preserve">sumažėjimas nustatytas atitinkamai 10 % ir 1,7 % GIST tyrime, 16 % ir 1,6 % MILK tyrime bei 13 % ir 2,4 % </w:t>
      </w:r>
      <w:proofErr w:type="spellStart"/>
      <w:r w:rsidRPr="00CE4C3C">
        <w:rPr>
          <w:rFonts w:ascii="Times New Roman" w:eastAsia="Times New Roman" w:hAnsi="Times New Roman" w:cs="Times New Roman"/>
          <w:lang w:eastAsia="lt-LT" w:bidi="lt-LT"/>
        </w:rPr>
        <w:t>kNEN</w:t>
      </w:r>
      <w:proofErr w:type="spellEnd"/>
      <w:r w:rsidRPr="00CE4C3C">
        <w:rPr>
          <w:rFonts w:ascii="Times New Roman" w:eastAsia="Times New Roman" w:hAnsi="Times New Roman" w:cs="Times New Roman"/>
          <w:lang w:eastAsia="lt-LT" w:bidi="lt-LT"/>
        </w:rPr>
        <w:t xml:space="preserve"> tyrime dalyvavusių pacientų. 3 fazės klinikinių tyrimų duomenimis, 3 ir 4 sunkumo laipsnio trombocitų </w:t>
      </w:r>
      <w:r w:rsidR="004F139D">
        <w:rPr>
          <w:rFonts w:ascii="Times New Roman" w:eastAsia="Times New Roman" w:hAnsi="Times New Roman" w:cs="Times New Roman"/>
          <w:lang w:eastAsia="lt-LT" w:bidi="lt-LT"/>
        </w:rPr>
        <w:t>skaičiaus</w:t>
      </w:r>
      <w:r w:rsidR="004F139D" w:rsidRPr="00CE4C3C">
        <w:rPr>
          <w:rFonts w:ascii="Times New Roman" w:eastAsia="Times New Roman" w:hAnsi="Times New Roman" w:cs="Times New Roman"/>
          <w:lang w:eastAsia="lt-LT" w:bidi="lt-LT"/>
        </w:rPr>
        <w:t xml:space="preserve"> </w:t>
      </w:r>
      <w:r w:rsidRPr="00CE4C3C">
        <w:rPr>
          <w:rFonts w:ascii="Times New Roman" w:eastAsia="Times New Roman" w:hAnsi="Times New Roman" w:cs="Times New Roman"/>
          <w:lang w:eastAsia="lt-LT" w:bidi="lt-LT"/>
        </w:rPr>
        <w:t xml:space="preserve">sumažėjimas nustatytas atitinkamai 3,7 % ir 0,4 % GIST tyrime, 8,2 % ir 1,1 % MILK tyrime bei 3,7 % ir 1,2 % </w:t>
      </w:r>
      <w:proofErr w:type="spellStart"/>
      <w:r w:rsidRPr="00CE4C3C">
        <w:rPr>
          <w:rFonts w:ascii="Times New Roman" w:eastAsia="Times New Roman" w:hAnsi="Times New Roman" w:cs="Times New Roman"/>
          <w:lang w:eastAsia="lt-LT" w:bidi="lt-LT"/>
        </w:rPr>
        <w:t>kNEN</w:t>
      </w:r>
      <w:proofErr w:type="spellEnd"/>
      <w:r w:rsidRPr="00CE4C3C">
        <w:rPr>
          <w:rFonts w:ascii="Times New Roman" w:eastAsia="Times New Roman" w:hAnsi="Times New Roman" w:cs="Times New Roman"/>
          <w:lang w:eastAsia="lt-LT" w:bidi="lt-LT"/>
        </w:rPr>
        <w:t xml:space="preserve"> tyrime dalyvavusių pacie</w:t>
      </w:r>
      <w:r w:rsidR="00AF0049" w:rsidRPr="00CE4C3C">
        <w:rPr>
          <w:rFonts w:ascii="Times New Roman" w:eastAsia="Times New Roman" w:hAnsi="Times New Roman" w:cs="Times New Roman"/>
          <w:lang w:eastAsia="lt-LT" w:bidi="lt-LT"/>
        </w:rPr>
        <w:t>n</w:t>
      </w:r>
      <w:r w:rsidRPr="00CE4C3C">
        <w:rPr>
          <w:rFonts w:ascii="Times New Roman" w:eastAsia="Times New Roman" w:hAnsi="Times New Roman" w:cs="Times New Roman"/>
          <w:lang w:eastAsia="lt-LT" w:bidi="lt-LT"/>
        </w:rPr>
        <w:t>tų (žr. 4.4 skyrių).</w:t>
      </w:r>
    </w:p>
    <w:p w14:paraId="4BB263E9"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15AFB26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3 fazės GIST tyrimo metu kraujavimas pasireiškė 18 % sunitinibo vartojusių pacientų, palyginti su 17 % pacientų, vartojusių placebą. Gydant anksčiau negydytą MILK, kraujavimas pasireiškė 39 % sunitinibo vartojusių pacientų, palyginti su 11% pacientų, kurie gydyti alfa interferonu (IFN-α). Septyniolikai (4,5 %) sunitinibo vartojusių pacientų, palyginti su 5 (1,7 %) pacientais, vartojusiais IFN-α, pasireiškė 3-iojo laipsnio ar sunkesni kraujavimo reiškiniai. Kraujavimas pasireiškė 26 % sunitinibo vartojusių pacientų, kuriems buvo </w:t>
      </w:r>
      <w:proofErr w:type="spellStart"/>
      <w:r w:rsidRPr="00CE4C3C">
        <w:rPr>
          <w:rFonts w:ascii="Times New Roman" w:eastAsia="Times New Roman" w:hAnsi="Times New Roman" w:cs="Times New Roman"/>
          <w:lang w:eastAsia="lt-LT" w:bidi="lt-LT"/>
        </w:rPr>
        <w:t>citokinams</w:t>
      </w:r>
      <w:proofErr w:type="spellEnd"/>
      <w:r w:rsidRPr="00CE4C3C">
        <w:rPr>
          <w:rFonts w:ascii="Times New Roman" w:eastAsia="Times New Roman" w:hAnsi="Times New Roman" w:cs="Times New Roman"/>
          <w:lang w:eastAsia="lt-LT" w:bidi="lt-LT"/>
        </w:rPr>
        <w:t xml:space="preserve"> atsparus MILK. Kraujavimo reiškiniai, išskyrus kraujavimą iš nosies, pasireiškė 21,7 % pacientų, vartojusių </w:t>
      </w:r>
      <w:proofErr w:type="spellStart"/>
      <w:r w:rsidRPr="00CE4C3C">
        <w:rPr>
          <w:rFonts w:ascii="Times New Roman" w:eastAsia="Times New Roman" w:hAnsi="Times New Roman" w:cs="Times New Roman"/>
          <w:lang w:eastAsia="lt-LT" w:bidi="lt-LT"/>
        </w:rPr>
        <w:t>sunitinibo</w:t>
      </w:r>
      <w:proofErr w:type="spellEnd"/>
      <w:r w:rsidRPr="00CE4C3C">
        <w:rPr>
          <w:rFonts w:ascii="Times New Roman" w:eastAsia="Times New Roman" w:hAnsi="Times New Roman" w:cs="Times New Roman"/>
          <w:lang w:eastAsia="lt-LT" w:bidi="lt-LT"/>
        </w:rPr>
        <w:t xml:space="preserve"> 3-sios fazės </w:t>
      </w:r>
      <w:proofErr w:type="spellStart"/>
      <w:r w:rsidRPr="00CE4C3C">
        <w:rPr>
          <w:rFonts w:ascii="Times New Roman" w:eastAsia="Times New Roman" w:hAnsi="Times New Roman" w:cs="Times New Roman"/>
          <w:lang w:eastAsia="lt-LT" w:bidi="lt-LT"/>
        </w:rPr>
        <w:t>kNEN</w:t>
      </w:r>
      <w:proofErr w:type="spellEnd"/>
      <w:r w:rsidRPr="00CE4C3C">
        <w:rPr>
          <w:rFonts w:ascii="Times New Roman" w:eastAsia="Times New Roman" w:hAnsi="Times New Roman" w:cs="Times New Roman"/>
          <w:lang w:eastAsia="lt-LT" w:bidi="lt-LT"/>
        </w:rPr>
        <w:t xml:space="preserve"> tyrimo metu, palyginti su 9,85 % pacientų, kurie vartojo placebo (žr. 4.4 skyrių).</w:t>
      </w:r>
    </w:p>
    <w:p w14:paraId="105C90D6"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4A2D0CA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Klinikinių tyrimų metu gauta pranešimų apie kraujavimą iš naviko maždaug 2 % pacientų, sergančių GIST. </w:t>
      </w:r>
    </w:p>
    <w:p w14:paraId="3D4C25C2"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2D51664F" w14:textId="77777777" w:rsidR="00F17A0C" w:rsidRPr="00CE4C3C" w:rsidRDefault="00F17A0C" w:rsidP="00CE4C3C">
      <w:pPr>
        <w:tabs>
          <w:tab w:val="left" w:pos="567"/>
        </w:tabs>
        <w:spacing w:line="240" w:lineRule="auto"/>
        <w:rPr>
          <w:rFonts w:ascii="Times New Roman" w:eastAsia="Times New Roman" w:hAnsi="Times New Roman" w:cs="Times New Roman"/>
          <w:i/>
          <w:lang w:eastAsia="lt-LT" w:bidi="lt-LT"/>
        </w:rPr>
      </w:pPr>
      <w:r w:rsidRPr="00CE4C3C">
        <w:rPr>
          <w:rFonts w:ascii="Times New Roman" w:eastAsia="Times New Roman" w:hAnsi="Times New Roman" w:cs="Times New Roman"/>
          <w:i/>
          <w:lang w:eastAsia="lt-LT" w:bidi="lt-LT"/>
        </w:rPr>
        <w:t xml:space="preserve">Imuninės sistemos sutrikimai </w:t>
      </w:r>
    </w:p>
    <w:p w14:paraId="26CEAE9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Gauta pranešimų apie padidėjusio jautrumo reakcijas, įskaitant </w:t>
      </w:r>
      <w:proofErr w:type="spellStart"/>
      <w:r w:rsidRPr="00CE4C3C">
        <w:rPr>
          <w:rFonts w:ascii="Times New Roman" w:eastAsia="Times New Roman" w:hAnsi="Times New Roman" w:cs="Times New Roman"/>
          <w:lang w:eastAsia="lt-LT" w:bidi="lt-LT"/>
        </w:rPr>
        <w:t>angioneurozinę</w:t>
      </w:r>
      <w:proofErr w:type="spellEnd"/>
      <w:r w:rsidRPr="00CE4C3C">
        <w:rPr>
          <w:rFonts w:ascii="Times New Roman" w:eastAsia="Times New Roman" w:hAnsi="Times New Roman" w:cs="Times New Roman"/>
          <w:lang w:eastAsia="lt-LT" w:bidi="lt-LT"/>
        </w:rPr>
        <w:t xml:space="preserve"> edemą (žr. 4.4 skyrių).</w:t>
      </w:r>
    </w:p>
    <w:p w14:paraId="620C4159"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0B33EE85"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CE4C3C">
        <w:rPr>
          <w:rFonts w:ascii="Times New Roman" w:eastAsia="Times New Roman" w:hAnsi="Times New Roman" w:cs="Times New Roman"/>
          <w:i/>
          <w:lang w:eastAsia="lt-LT" w:bidi="lt-LT"/>
        </w:rPr>
        <w:t>Endokrininiai sutrikimai</w:t>
      </w:r>
    </w:p>
    <w:p w14:paraId="6252091B"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Dviejų </w:t>
      </w:r>
      <w:proofErr w:type="spellStart"/>
      <w:r w:rsidRPr="00CE4C3C">
        <w:rPr>
          <w:rFonts w:ascii="Times New Roman" w:eastAsia="Times New Roman" w:hAnsi="Times New Roman" w:cs="Times New Roman"/>
          <w:lang w:eastAsia="lt-LT" w:bidi="lt-LT"/>
        </w:rPr>
        <w:t>citokinams</w:t>
      </w:r>
      <w:proofErr w:type="spellEnd"/>
      <w:r w:rsidRPr="00CE4C3C">
        <w:rPr>
          <w:rFonts w:ascii="Times New Roman" w:eastAsia="Times New Roman" w:hAnsi="Times New Roman" w:cs="Times New Roman"/>
          <w:lang w:eastAsia="lt-LT" w:bidi="lt-LT"/>
        </w:rPr>
        <w:t xml:space="preserve"> atsparaus MILK tyrimų metu 7 pacientams (4 %), vartojant sunitinibo, nustatyta nepageidaujama reakcija – </w:t>
      </w:r>
      <w:proofErr w:type="spellStart"/>
      <w:r w:rsidRPr="00CE4C3C">
        <w:rPr>
          <w:rFonts w:ascii="Times New Roman" w:eastAsia="Times New Roman" w:hAnsi="Times New Roman" w:cs="Times New Roman"/>
          <w:lang w:eastAsia="lt-LT" w:bidi="lt-LT"/>
        </w:rPr>
        <w:t>hipotirozė</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hipotirozė</w:t>
      </w:r>
      <w:proofErr w:type="spellEnd"/>
      <w:r w:rsidRPr="00CE4C3C">
        <w:rPr>
          <w:rFonts w:ascii="Times New Roman" w:eastAsia="Times New Roman" w:hAnsi="Times New Roman" w:cs="Times New Roman"/>
          <w:lang w:eastAsia="lt-LT" w:bidi="lt-LT"/>
        </w:rPr>
        <w:t xml:space="preserve"> nustatyta 61 (16 %) sunitinibo vartojusių anksčiau negydyto MILK tyrimo pacientų ir 3 (&lt; 1 %) pacientams IFN-α grupėje.</w:t>
      </w:r>
    </w:p>
    <w:p w14:paraId="003431C5"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6D6607B0"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Be to, 4 pacientams (2 %), sergantiems </w:t>
      </w:r>
      <w:proofErr w:type="spellStart"/>
      <w:r w:rsidRPr="00CE4C3C">
        <w:rPr>
          <w:rFonts w:ascii="Times New Roman" w:eastAsia="Times New Roman" w:hAnsi="Times New Roman" w:cs="Times New Roman"/>
          <w:lang w:eastAsia="lt-LT" w:bidi="lt-LT"/>
        </w:rPr>
        <w:t>citokinams</w:t>
      </w:r>
      <w:proofErr w:type="spellEnd"/>
      <w:r w:rsidRPr="00CE4C3C">
        <w:rPr>
          <w:rFonts w:ascii="Times New Roman" w:eastAsia="Times New Roman" w:hAnsi="Times New Roman" w:cs="Times New Roman"/>
          <w:lang w:eastAsia="lt-LT" w:bidi="lt-LT"/>
        </w:rPr>
        <w:t xml:space="preserve"> atspariu MILK, padaugėjo </w:t>
      </w:r>
      <w:proofErr w:type="spellStart"/>
      <w:r w:rsidRPr="00CE4C3C">
        <w:rPr>
          <w:rFonts w:ascii="Times New Roman" w:eastAsia="Times New Roman" w:hAnsi="Times New Roman" w:cs="Times New Roman"/>
          <w:lang w:eastAsia="lt-LT" w:bidi="lt-LT"/>
        </w:rPr>
        <w:t>tirotropinio</w:t>
      </w:r>
      <w:proofErr w:type="spellEnd"/>
      <w:r w:rsidRPr="00CE4C3C">
        <w:rPr>
          <w:rFonts w:ascii="Times New Roman" w:eastAsia="Times New Roman" w:hAnsi="Times New Roman" w:cs="Times New Roman"/>
          <w:lang w:eastAsia="lt-LT" w:bidi="lt-LT"/>
        </w:rPr>
        <w:t xml:space="preserve"> hormono (TSH). MILK tyrimų metu iš viso 7 % tiriamųjų klinikiniais simptomais pasireiškė arba laboratoriniais tyrimais buvo nustatyta </w:t>
      </w:r>
      <w:proofErr w:type="spellStart"/>
      <w:r w:rsidRPr="00CE4C3C">
        <w:rPr>
          <w:rFonts w:ascii="Times New Roman" w:eastAsia="Times New Roman" w:hAnsi="Times New Roman" w:cs="Times New Roman"/>
          <w:lang w:eastAsia="lt-LT" w:bidi="lt-LT"/>
        </w:rPr>
        <w:t>hipotirozė</w:t>
      </w:r>
      <w:proofErr w:type="spellEnd"/>
      <w:r w:rsidRPr="00CE4C3C">
        <w:rPr>
          <w:rFonts w:ascii="Times New Roman" w:eastAsia="Times New Roman" w:hAnsi="Times New Roman" w:cs="Times New Roman"/>
          <w:lang w:eastAsia="lt-LT" w:bidi="lt-LT"/>
        </w:rPr>
        <w:t xml:space="preserve">, kurią reikėjo nedelsiant gydyti. Įgyta </w:t>
      </w:r>
      <w:proofErr w:type="spellStart"/>
      <w:r w:rsidRPr="00CE4C3C">
        <w:rPr>
          <w:rFonts w:ascii="Times New Roman" w:eastAsia="Times New Roman" w:hAnsi="Times New Roman" w:cs="Times New Roman"/>
          <w:lang w:eastAsia="lt-LT" w:bidi="lt-LT"/>
        </w:rPr>
        <w:t>hipotirozė</w:t>
      </w:r>
      <w:proofErr w:type="spellEnd"/>
      <w:r w:rsidRPr="00CE4C3C">
        <w:rPr>
          <w:rFonts w:ascii="Times New Roman" w:eastAsia="Times New Roman" w:hAnsi="Times New Roman" w:cs="Times New Roman"/>
          <w:lang w:eastAsia="lt-LT" w:bidi="lt-LT"/>
        </w:rPr>
        <w:t xml:space="preserve"> pasireiškė 6,2 % VTSN sirgusių pacientų, kurie buvo gydomi sunitinibu, palyginti su 1 % placebo vartotojų. 3 fazės </w:t>
      </w:r>
      <w:proofErr w:type="spellStart"/>
      <w:r w:rsidRPr="00CE4C3C">
        <w:rPr>
          <w:rFonts w:ascii="Times New Roman" w:eastAsia="Times New Roman" w:hAnsi="Times New Roman" w:cs="Times New Roman"/>
          <w:lang w:eastAsia="lt-LT" w:bidi="lt-LT"/>
        </w:rPr>
        <w:t>kNEN</w:t>
      </w:r>
      <w:proofErr w:type="spellEnd"/>
      <w:r w:rsidRPr="00CE4C3C">
        <w:rPr>
          <w:rFonts w:ascii="Times New Roman" w:eastAsia="Times New Roman" w:hAnsi="Times New Roman" w:cs="Times New Roman"/>
          <w:lang w:eastAsia="lt-LT" w:bidi="lt-LT"/>
        </w:rPr>
        <w:t xml:space="preserve"> tyrimo metu </w:t>
      </w:r>
      <w:proofErr w:type="spellStart"/>
      <w:r w:rsidRPr="00CE4C3C">
        <w:rPr>
          <w:rFonts w:ascii="Times New Roman" w:eastAsia="Times New Roman" w:hAnsi="Times New Roman" w:cs="Times New Roman"/>
          <w:lang w:eastAsia="lt-LT" w:bidi="lt-LT"/>
        </w:rPr>
        <w:t>hipotirozė</w:t>
      </w:r>
      <w:proofErr w:type="spellEnd"/>
      <w:r w:rsidRPr="00CE4C3C">
        <w:rPr>
          <w:rFonts w:ascii="Times New Roman" w:eastAsia="Times New Roman" w:hAnsi="Times New Roman" w:cs="Times New Roman"/>
          <w:lang w:eastAsia="lt-LT" w:bidi="lt-LT"/>
        </w:rPr>
        <w:t xml:space="preserve"> pasireiškė 6 pacientams (7,2 %), vartojusiems sunitinibo, ir 1 pacientui (1,2 %), vartojusiam placebo.</w:t>
      </w:r>
    </w:p>
    <w:p w14:paraId="7E41E2D2"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40A7927E" w14:textId="70FF6410"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Skydliaukės funkcija buvo perspektyviai stebima 2 tyrimų, kuriuose dalyvavo krūties vėžiu sergantys pacientai, metu; sunitinibo vartojimas krūties vėžiui gydyti nėra įteisintas. Pirmojo tyrimo metu pranešta, kad </w:t>
      </w:r>
      <w:proofErr w:type="spellStart"/>
      <w:r w:rsidRPr="00CE4C3C">
        <w:rPr>
          <w:rFonts w:ascii="Times New Roman" w:eastAsia="Times New Roman" w:hAnsi="Times New Roman" w:cs="Times New Roman"/>
          <w:lang w:eastAsia="lt-LT" w:bidi="lt-LT"/>
        </w:rPr>
        <w:t>hipotirozė</w:t>
      </w:r>
      <w:proofErr w:type="spellEnd"/>
      <w:r w:rsidRPr="00CE4C3C">
        <w:rPr>
          <w:rFonts w:ascii="Times New Roman" w:eastAsia="Times New Roman" w:hAnsi="Times New Roman" w:cs="Times New Roman"/>
          <w:lang w:eastAsia="lt-LT" w:bidi="lt-LT"/>
        </w:rPr>
        <w:t xml:space="preserve"> pasireiškė 15 (13,6 %) sunitinibo grupės tiriamųjų ir 3 (2,9 %) standartinės priežiūros grupės tiriamiesiems. TSH </w:t>
      </w:r>
      <w:r w:rsidR="004F139D">
        <w:rPr>
          <w:rFonts w:ascii="Times New Roman" w:eastAsia="Times New Roman" w:hAnsi="Times New Roman" w:cs="Times New Roman"/>
          <w:lang w:eastAsia="lt-LT" w:bidi="lt-LT"/>
        </w:rPr>
        <w:t>koncentracijai</w:t>
      </w:r>
      <w:r w:rsidR="004F139D" w:rsidRPr="00CE4C3C">
        <w:rPr>
          <w:rFonts w:ascii="Times New Roman" w:eastAsia="Times New Roman" w:hAnsi="Times New Roman" w:cs="Times New Roman"/>
          <w:lang w:eastAsia="lt-LT" w:bidi="lt-LT"/>
        </w:rPr>
        <w:t xml:space="preserve"> </w:t>
      </w:r>
      <w:r w:rsidRPr="00CE4C3C">
        <w:rPr>
          <w:rFonts w:ascii="Times New Roman" w:eastAsia="Times New Roman" w:hAnsi="Times New Roman" w:cs="Times New Roman"/>
          <w:lang w:eastAsia="lt-LT" w:bidi="lt-LT"/>
        </w:rPr>
        <w:t xml:space="preserve">kraujyje pagal pranešimus padidėjo 1 pacientui (0,9 %), vartojusiam sunitinibo, ir nei vienam pacientui, kuriam buvo taikyta standartinė priežiūra. </w:t>
      </w:r>
      <w:proofErr w:type="spellStart"/>
      <w:r w:rsidRPr="00CE4C3C">
        <w:rPr>
          <w:rFonts w:ascii="Times New Roman" w:eastAsia="Times New Roman" w:hAnsi="Times New Roman" w:cs="Times New Roman"/>
          <w:lang w:eastAsia="lt-LT" w:bidi="lt-LT"/>
        </w:rPr>
        <w:t>Hipertirozė</w:t>
      </w:r>
      <w:proofErr w:type="spellEnd"/>
      <w:r w:rsidRPr="00CE4C3C">
        <w:rPr>
          <w:rFonts w:ascii="Times New Roman" w:eastAsia="Times New Roman" w:hAnsi="Times New Roman" w:cs="Times New Roman"/>
          <w:lang w:eastAsia="lt-LT" w:bidi="lt-LT"/>
        </w:rPr>
        <w:t xml:space="preserve"> pagal pranešimus nepasireiškė nei vienam sunitinibu gydytam pacientui, bet pasireiškė 1 pacientui (1,0 %), kuriam buvo taikyta standartinė priežiūra. Kito tyrimo metu pranešta, kad </w:t>
      </w:r>
      <w:proofErr w:type="spellStart"/>
      <w:r w:rsidRPr="00CE4C3C">
        <w:rPr>
          <w:rFonts w:ascii="Times New Roman" w:eastAsia="Times New Roman" w:hAnsi="Times New Roman" w:cs="Times New Roman"/>
          <w:lang w:eastAsia="lt-LT" w:bidi="lt-LT"/>
        </w:rPr>
        <w:t>hipotirozė</w:t>
      </w:r>
      <w:proofErr w:type="spellEnd"/>
      <w:r w:rsidRPr="00CE4C3C">
        <w:rPr>
          <w:rFonts w:ascii="Times New Roman" w:eastAsia="Times New Roman" w:hAnsi="Times New Roman" w:cs="Times New Roman"/>
          <w:lang w:eastAsia="lt-LT" w:bidi="lt-LT"/>
        </w:rPr>
        <w:t xml:space="preserve"> pasireiškė iš viso 31 pacientui (13 %), vartojusiam sunitinibo, ir 2 pacientams (0,8 %), vartojusiems kapecitabino. TSH </w:t>
      </w:r>
      <w:r w:rsidR="00AB5CE1">
        <w:rPr>
          <w:rFonts w:ascii="Times New Roman" w:eastAsia="Times New Roman" w:hAnsi="Times New Roman" w:cs="Times New Roman"/>
          <w:lang w:eastAsia="lt-LT" w:bidi="lt-LT"/>
        </w:rPr>
        <w:t>koncentracija</w:t>
      </w:r>
      <w:r w:rsidR="00AB5CE1" w:rsidRPr="00CE4C3C">
        <w:rPr>
          <w:rFonts w:ascii="Times New Roman" w:eastAsia="Times New Roman" w:hAnsi="Times New Roman" w:cs="Times New Roman"/>
          <w:lang w:eastAsia="lt-LT" w:bidi="lt-LT"/>
        </w:rPr>
        <w:t xml:space="preserve"> </w:t>
      </w:r>
      <w:r w:rsidRPr="00CE4C3C">
        <w:rPr>
          <w:rFonts w:ascii="Times New Roman" w:eastAsia="Times New Roman" w:hAnsi="Times New Roman" w:cs="Times New Roman"/>
          <w:lang w:eastAsia="lt-LT" w:bidi="lt-LT"/>
        </w:rPr>
        <w:t xml:space="preserve">kraujyje pagal pranešimus padidėjo 12 pacientų (5,0 %), vartojusių sunitinibo, ir nei vienam pacientui, vartojusiam kapecitabino. </w:t>
      </w:r>
    </w:p>
    <w:p w14:paraId="77ABBD84" w14:textId="33AED13E"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Hipertirozė</w:t>
      </w:r>
      <w:proofErr w:type="spellEnd"/>
      <w:r w:rsidRPr="00CE4C3C">
        <w:rPr>
          <w:rFonts w:ascii="Times New Roman" w:eastAsia="Times New Roman" w:hAnsi="Times New Roman" w:cs="Times New Roman"/>
          <w:lang w:eastAsia="lt-LT" w:bidi="lt-LT"/>
        </w:rPr>
        <w:t xml:space="preserve"> pagal pranešimus pasireiškė 4 pacientams (1,7 %), vartojusiems sunitinibo, ir nei vienam pacientui, vartojusiam kapecitabino. TSH </w:t>
      </w:r>
      <w:r w:rsidR="00AB5CE1">
        <w:rPr>
          <w:rFonts w:ascii="Times New Roman" w:eastAsia="Times New Roman" w:hAnsi="Times New Roman" w:cs="Times New Roman"/>
          <w:lang w:eastAsia="lt-LT" w:bidi="lt-LT"/>
        </w:rPr>
        <w:t>koncentracija</w:t>
      </w:r>
      <w:r w:rsidR="00AB5CE1" w:rsidRPr="00CE4C3C">
        <w:rPr>
          <w:rFonts w:ascii="Times New Roman" w:eastAsia="Times New Roman" w:hAnsi="Times New Roman" w:cs="Times New Roman"/>
          <w:lang w:eastAsia="lt-LT" w:bidi="lt-LT"/>
        </w:rPr>
        <w:t xml:space="preserve"> </w:t>
      </w:r>
      <w:r w:rsidRPr="00CE4C3C">
        <w:rPr>
          <w:rFonts w:ascii="Times New Roman" w:eastAsia="Times New Roman" w:hAnsi="Times New Roman" w:cs="Times New Roman"/>
          <w:lang w:eastAsia="lt-LT" w:bidi="lt-LT"/>
        </w:rPr>
        <w:t xml:space="preserve">kraujyje pagal pranešimus sumažėjo 3 pacientams (1,3 %), vartojusiems sunitinibo, ir nei vienam pacientui, vartojusiam kapecitabino. T4 </w:t>
      </w:r>
      <w:r w:rsidR="00AB5CE1">
        <w:rPr>
          <w:rFonts w:ascii="Times New Roman" w:eastAsia="Times New Roman" w:hAnsi="Times New Roman" w:cs="Times New Roman"/>
          <w:lang w:eastAsia="lt-LT" w:bidi="lt-LT"/>
        </w:rPr>
        <w:t>koncentracija</w:t>
      </w:r>
      <w:r w:rsidR="00AB5CE1" w:rsidRPr="00CE4C3C">
        <w:rPr>
          <w:rFonts w:ascii="Times New Roman" w:eastAsia="Times New Roman" w:hAnsi="Times New Roman" w:cs="Times New Roman"/>
          <w:lang w:eastAsia="lt-LT" w:bidi="lt-LT"/>
        </w:rPr>
        <w:t xml:space="preserve"> </w:t>
      </w:r>
      <w:r w:rsidRPr="00CE4C3C">
        <w:rPr>
          <w:rFonts w:ascii="Times New Roman" w:eastAsia="Times New Roman" w:hAnsi="Times New Roman" w:cs="Times New Roman"/>
          <w:lang w:eastAsia="lt-LT" w:bidi="lt-LT"/>
        </w:rPr>
        <w:t xml:space="preserve">kraujyje pagal pranešimus padidėjo 2 pacientams (0,8 %), vartojusiems sunitinibo, ir 1 pacientui (0,4 %), vartojusiam kapecitabino. T3 </w:t>
      </w:r>
      <w:r w:rsidR="00AB5CE1">
        <w:rPr>
          <w:rFonts w:ascii="Times New Roman" w:eastAsia="Times New Roman" w:hAnsi="Times New Roman" w:cs="Times New Roman"/>
          <w:lang w:eastAsia="lt-LT" w:bidi="lt-LT"/>
        </w:rPr>
        <w:t>koncentracija</w:t>
      </w:r>
      <w:r w:rsidRPr="00CE4C3C">
        <w:rPr>
          <w:rFonts w:ascii="Times New Roman" w:eastAsia="Times New Roman" w:hAnsi="Times New Roman" w:cs="Times New Roman"/>
          <w:lang w:eastAsia="lt-LT" w:bidi="lt-LT"/>
        </w:rPr>
        <w:t xml:space="preserve"> pagal pranešimus padidėjo 1 pacientui (0,8 %), vartojusiam sunitinibo, ir nei vienam pacientui, vartojusiam kapecitabino. Visi su skydliauke susiję reiškiniai, apie kuriuos buvo pranešta, buvo 1–2 sunkumo laipsnio (žr. 4.4 skyrių).</w:t>
      </w:r>
    </w:p>
    <w:p w14:paraId="129277AD"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1805F21B"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CE4C3C">
        <w:rPr>
          <w:rFonts w:ascii="Times New Roman" w:eastAsia="Times New Roman" w:hAnsi="Times New Roman" w:cs="Times New Roman"/>
          <w:i/>
          <w:lang w:eastAsia="lt-LT" w:bidi="lt-LT"/>
        </w:rPr>
        <w:t>Metabolizmo ir mitybos sutrikimai</w:t>
      </w:r>
    </w:p>
    <w:p w14:paraId="3725A983"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Buvo pranešta apie dažnesnius hipoglikemijos atvejus </w:t>
      </w:r>
      <w:proofErr w:type="spellStart"/>
      <w:r w:rsidRPr="00CE4C3C">
        <w:rPr>
          <w:rFonts w:ascii="Times New Roman" w:eastAsia="Times New Roman" w:hAnsi="Times New Roman" w:cs="Times New Roman"/>
          <w:lang w:eastAsia="lt-LT" w:bidi="lt-LT"/>
        </w:rPr>
        <w:t>kNEN</w:t>
      </w:r>
      <w:proofErr w:type="spellEnd"/>
      <w:r w:rsidRPr="00CE4C3C">
        <w:rPr>
          <w:rFonts w:ascii="Times New Roman" w:eastAsia="Times New Roman" w:hAnsi="Times New Roman" w:cs="Times New Roman"/>
          <w:lang w:eastAsia="lt-LT" w:bidi="lt-LT"/>
        </w:rPr>
        <w:t xml:space="preserve"> pacientams lyginant su MILK ir GIST.</w:t>
      </w:r>
    </w:p>
    <w:p w14:paraId="3AE4C6CE"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Vis dėlto laikoma, kad daugelis iš šių nepageidaujamų reiškinių, pastebėtų klinikinių tyrimu metu, nebuvo susiję su tiriamu gydymu. (žr. 4.4 skyrių).</w:t>
      </w:r>
    </w:p>
    <w:p w14:paraId="75AB99DC"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533A82A2"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CE4C3C">
        <w:rPr>
          <w:rFonts w:ascii="Times New Roman" w:eastAsia="Times New Roman" w:hAnsi="Times New Roman" w:cs="Times New Roman"/>
          <w:i/>
          <w:lang w:eastAsia="lt-LT" w:bidi="lt-LT"/>
        </w:rPr>
        <w:t>Nervų sistemos sutrikimai</w:t>
      </w:r>
    </w:p>
    <w:p w14:paraId="06B2687B" w14:textId="4D5DC1DB"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Sunitinibo klinikinių tyrimų metu ir vaistin</w:t>
      </w:r>
      <w:r w:rsidR="00AB5CE1">
        <w:rPr>
          <w:rFonts w:ascii="Times New Roman" w:eastAsia="Times New Roman" w:hAnsi="Times New Roman" w:cs="Times New Roman"/>
          <w:lang w:eastAsia="lt-LT" w:bidi="lt-LT"/>
        </w:rPr>
        <w:t>į</w:t>
      </w:r>
      <w:r w:rsidRPr="00CE4C3C">
        <w:rPr>
          <w:rFonts w:ascii="Times New Roman" w:eastAsia="Times New Roman" w:hAnsi="Times New Roman" w:cs="Times New Roman"/>
          <w:lang w:eastAsia="lt-LT" w:bidi="lt-LT"/>
        </w:rPr>
        <w:t xml:space="preserve"> preparat</w:t>
      </w:r>
      <w:r w:rsidR="00AB5CE1">
        <w:rPr>
          <w:rFonts w:ascii="Times New Roman" w:eastAsia="Times New Roman" w:hAnsi="Times New Roman" w:cs="Times New Roman"/>
          <w:lang w:eastAsia="lt-LT" w:bidi="lt-LT"/>
        </w:rPr>
        <w:t>ą</w:t>
      </w:r>
      <w:r w:rsidRPr="00CE4C3C">
        <w:rPr>
          <w:rFonts w:ascii="Times New Roman" w:eastAsia="Times New Roman" w:hAnsi="Times New Roman" w:cs="Times New Roman"/>
          <w:lang w:eastAsia="lt-LT" w:bidi="lt-LT"/>
        </w:rPr>
        <w:t xml:space="preserve"> pate</w:t>
      </w:r>
      <w:r w:rsidR="00AB5CE1">
        <w:rPr>
          <w:rFonts w:ascii="Times New Roman" w:eastAsia="Times New Roman" w:hAnsi="Times New Roman" w:cs="Times New Roman"/>
          <w:lang w:eastAsia="lt-LT" w:bidi="lt-LT"/>
        </w:rPr>
        <w:t>i</w:t>
      </w:r>
      <w:r w:rsidRPr="00CE4C3C">
        <w:rPr>
          <w:rFonts w:ascii="Times New Roman" w:eastAsia="Times New Roman" w:hAnsi="Times New Roman" w:cs="Times New Roman"/>
          <w:lang w:eastAsia="lt-LT" w:bidi="lt-LT"/>
        </w:rPr>
        <w:t>kus į rinką gauta keletas pranešimų (&lt;1 %), kai kurie iš jų pasibaigė mirtimi, apie tiriamiesiems pasireiškusius traukulius ir radiologinius LULS požymius. Traukulių pastebėta pacientams, kuriems buvo arba nebuvo metastazių galvos smegenyse požymių (žr. 4.4 skyrių).</w:t>
      </w:r>
    </w:p>
    <w:p w14:paraId="055EF22E"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267D8ABB"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CE4C3C">
        <w:rPr>
          <w:rFonts w:ascii="Times New Roman" w:eastAsia="Times New Roman" w:hAnsi="Times New Roman" w:cs="Times New Roman"/>
          <w:i/>
          <w:lang w:eastAsia="lt-LT" w:bidi="lt-LT"/>
        </w:rPr>
        <w:t>Širdies sutrikimai</w:t>
      </w:r>
    </w:p>
    <w:p w14:paraId="393FEE5E"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Klinikinių tyrimų duomenimis, maždaug 2 % sunitinibo vartojusių pacientų, sergančių GIST, 4 % pacientų, sergančių </w:t>
      </w:r>
      <w:proofErr w:type="spellStart"/>
      <w:r w:rsidRPr="00CE4C3C">
        <w:rPr>
          <w:rFonts w:ascii="Times New Roman" w:eastAsia="Times New Roman" w:hAnsi="Times New Roman" w:cs="Times New Roman"/>
          <w:lang w:eastAsia="lt-LT" w:bidi="lt-LT"/>
        </w:rPr>
        <w:t>citokinams</w:t>
      </w:r>
      <w:proofErr w:type="spellEnd"/>
      <w:r w:rsidRPr="00CE4C3C">
        <w:rPr>
          <w:rFonts w:ascii="Times New Roman" w:eastAsia="Times New Roman" w:hAnsi="Times New Roman" w:cs="Times New Roman"/>
          <w:lang w:eastAsia="lt-LT" w:bidi="lt-LT"/>
        </w:rPr>
        <w:t xml:space="preserve"> atspariu MILK, bei 2 % placebo vartojusių GIST pacientų kairiojo skilvelio išstūmimo frakcija (KSIF) sumažėjo ≥ 20 % ar daugiau nuo apatinės normos ribos. Šis KSIF sumažėjimas neprogresavo ir, gydymą tęsiant, dažnai pagerėdavo. Anksčiau negydyto MILK tyrimo duomenimis, 27 % pacientų, vartojusių sunitinibo, ir 15 % pacientų, kurie gydyti IFN-α, nustatyta mažesnė už apatinę normos ribą KSIF reikšmė. Dviem pacientams(&lt; 1 %), kurie vartojo sunitinibo, diagnozuotas SŠN.</w:t>
      </w:r>
    </w:p>
    <w:p w14:paraId="64A85C18" w14:textId="77777777" w:rsidR="00AF0049" w:rsidRPr="00CE4C3C" w:rsidRDefault="00AF0049"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29E1FDA8"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Iš pacientų, kuriems buvo GIST, 1,2 % sunitinibo vartojusių ir 1 % placebo vartojusių pacientų pasireiškė širdies nepakankamumas, </w:t>
      </w:r>
      <w:proofErr w:type="spellStart"/>
      <w:r w:rsidRPr="00CE4C3C">
        <w:rPr>
          <w:rFonts w:ascii="Times New Roman" w:eastAsia="Times New Roman" w:hAnsi="Times New Roman" w:cs="Times New Roman"/>
          <w:lang w:eastAsia="lt-LT" w:bidi="lt-LT"/>
        </w:rPr>
        <w:t>stazinis</w:t>
      </w:r>
      <w:proofErr w:type="spellEnd"/>
      <w:r w:rsidRPr="00CE4C3C">
        <w:rPr>
          <w:rFonts w:ascii="Times New Roman" w:eastAsia="Times New Roman" w:hAnsi="Times New Roman" w:cs="Times New Roman"/>
          <w:lang w:eastAsia="lt-LT" w:bidi="lt-LT"/>
        </w:rPr>
        <w:t xml:space="preserve"> širdies nepakankamumas ar kairiojo skilvelio funkcijos nepakankamumas. Patvirtinamojo 3 fazės GIST tyrimo (N = 312) duomenimis, su gydymu susijusių mirtinų širdies reakcijų pasireiškė 1 % pacientų kiekvienoje gydymo grupėje (t. y. sunitinibo ir placebo grupėse). 2 fazės tyrimo, kuriame dalyvavo </w:t>
      </w:r>
      <w:proofErr w:type="spellStart"/>
      <w:r w:rsidRPr="00CE4C3C">
        <w:rPr>
          <w:rFonts w:ascii="Times New Roman" w:eastAsia="Times New Roman" w:hAnsi="Times New Roman" w:cs="Times New Roman"/>
          <w:lang w:eastAsia="lt-LT" w:bidi="lt-LT"/>
        </w:rPr>
        <w:t>citokinams</w:t>
      </w:r>
      <w:proofErr w:type="spellEnd"/>
      <w:r w:rsidRPr="00CE4C3C">
        <w:rPr>
          <w:rFonts w:ascii="Times New Roman" w:eastAsia="Times New Roman" w:hAnsi="Times New Roman" w:cs="Times New Roman"/>
          <w:lang w:eastAsia="lt-LT" w:bidi="lt-LT"/>
        </w:rPr>
        <w:t xml:space="preserve"> atspariu MILK sergantys pacientai, duomenimis, 0,9 % pacientų pasireiškė su gydymu susijęs mirtinas miokardo infarktas; 3 fazės tyrimo, kuriame dalyvavo negydyti MILK pacientai, duomenimis, mirtinų širdies reiškinių pasireiškė 0,6 % pacientų, vartojusių IFN-α, ir 0 % pacientų sunitinibo grupėje. 3 fazės </w:t>
      </w:r>
      <w:proofErr w:type="spellStart"/>
      <w:r w:rsidRPr="00CE4C3C">
        <w:rPr>
          <w:rFonts w:ascii="Times New Roman" w:eastAsia="Times New Roman" w:hAnsi="Times New Roman" w:cs="Times New Roman"/>
          <w:lang w:eastAsia="lt-LT" w:bidi="lt-LT"/>
        </w:rPr>
        <w:t>kNEN</w:t>
      </w:r>
      <w:proofErr w:type="spellEnd"/>
      <w:r w:rsidRPr="00CE4C3C">
        <w:rPr>
          <w:rFonts w:ascii="Times New Roman" w:eastAsia="Times New Roman" w:hAnsi="Times New Roman" w:cs="Times New Roman"/>
          <w:lang w:eastAsia="lt-LT" w:bidi="lt-LT"/>
        </w:rPr>
        <w:t xml:space="preserve"> tyrimo duomenimis, 1 (1 %) pacientui, vartojusiam sunitinibo, pasireiškė su gydymu susijęs mirtinas širdies nepakankamumas.</w:t>
      </w:r>
    </w:p>
    <w:p w14:paraId="5DCCCFF3"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155286C8"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CE4C3C">
        <w:rPr>
          <w:rFonts w:ascii="Times New Roman" w:eastAsia="Times New Roman" w:hAnsi="Times New Roman" w:cs="Times New Roman"/>
          <w:i/>
          <w:lang w:eastAsia="lt-LT" w:bidi="lt-LT"/>
        </w:rPr>
        <w:t>Kraujagyslių sutrikimai</w:t>
      </w:r>
    </w:p>
    <w:p w14:paraId="1A09508B"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u w:val="single"/>
          <w:lang w:eastAsia="lt-LT" w:bidi="lt-LT"/>
        </w:rPr>
      </w:pPr>
      <w:r w:rsidRPr="00CE4C3C">
        <w:rPr>
          <w:rFonts w:ascii="Times New Roman" w:eastAsia="Times New Roman" w:hAnsi="Times New Roman" w:cs="Times New Roman"/>
          <w:u w:val="single"/>
          <w:lang w:eastAsia="lt-LT" w:bidi="lt-LT"/>
        </w:rPr>
        <w:t>Hipertenzija</w:t>
      </w:r>
    </w:p>
    <w:p w14:paraId="7263AC93" w14:textId="20E2CC4C"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Hipertenzija, apie kurią gauta pranešimų klinikinių tyrimų metu, buvo labai dažna nepageidaujama reakcija. Maždaug 2,7 % pacientų, kuriems pasireiškė hipertenzija, sunitinibo dozė buvo sumažinta arba laikinai nutrauktas jo vartojimas. Nė vienam šių pacientų sunitinibo vartojimas nenutrauktas visam laikui. 4,7 % pacientų, kuriems buvo </w:t>
      </w:r>
      <w:proofErr w:type="spellStart"/>
      <w:r w:rsidRPr="00CE4C3C">
        <w:rPr>
          <w:rFonts w:ascii="Times New Roman" w:eastAsia="Times New Roman" w:hAnsi="Times New Roman" w:cs="Times New Roman"/>
          <w:lang w:eastAsia="lt-LT" w:bidi="lt-LT"/>
        </w:rPr>
        <w:t>solidinių</w:t>
      </w:r>
      <w:proofErr w:type="spellEnd"/>
      <w:r w:rsidRPr="00CE4C3C">
        <w:rPr>
          <w:rFonts w:ascii="Times New Roman" w:eastAsia="Times New Roman" w:hAnsi="Times New Roman" w:cs="Times New Roman"/>
          <w:lang w:eastAsia="lt-LT" w:bidi="lt-LT"/>
        </w:rPr>
        <w:t xml:space="preserve"> navikų, hipertenzija buvo sunki (</w:t>
      </w:r>
      <w:proofErr w:type="spellStart"/>
      <w:r w:rsidRPr="00CE4C3C">
        <w:rPr>
          <w:rFonts w:ascii="Times New Roman" w:eastAsia="Times New Roman" w:hAnsi="Times New Roman" w:cs="Times New Roman"/>
          <w:lang w:eastAsia="lt-LT" w:bidi="lt-LT"/>
        </w:rPr>
        <w:t>sistolinis</w:t>
      </w:r>
      <w:proofErr w:type="spellEnd"/>
      <w:r w:rsidRPr="00CE4C3C">
        <w:rPr>
          <w:rFonts w:ascii="Times New Roman" w:eastAsia="Times New Roman" w:hAnsi="Times New Roman" w:cs="Times New Roman"/>
          <w:lang w:eastAsia="lt-LT" w:bidi="lt-LT"/>
        </w:rPr>
        <w:t xml:space="preserve"> kraujospūdis &gt;200 mm </w:t>
      </w:r>
      <w:proofErr w:type="spellStart"/>
      <w:r w:rsidRPr="00CE4C3C">
        <w:rPr>
          <w:rFonts w:ascii="Times New Roman" w:eastAsia="Times New Roman" w:hAnsi="Times New Roman" w:cs="Times New Roman"/>
          <w:lang w:eastAsia="lt-LT" w:bidi="lt-LT"/>
        </w:rPr>
        <w:t>Hg</w:t>
      </w:r>
      <w:proofErr w:type="spellEnd"/>
      <w:r w:rsidRPr="00CE4C3C">
        <w:rPr>
          <w:rFonts w:ascii="Times New Roman" w:eastAsia="Times New Roman" w:hAnsi="Times New Roman" w:cs="Times New Roman"/>
          <w:lang w:eastAsia="lt-LT" w:bidi="lt-LT"/>
        </w:rPr>
        <w:t xml:space="preserve"> arba </w:t>
      </w:r>
      <w:proofErr w:type="spellStart"/>
      <w:r w:rsidRPr="00CE4C3C">
        <w:rPr>
          <w:rFonts w:ascii="Times New Roman" w:eastAsia="Times New Roman" w:hAnsi="Times New Roman" w:cs="Times New Roman"/>
          <w:lang w:eastAsia="lt-LT" w:bidi="lt-LT"/>
        </w:rPr>
        <w:t>diastolinis</w:t>
      </w:r>
      <w:proofErr w:type="spellEnd"/>
      <w:r w:rsidRPr="00CE4C3C">
        <w:rPr>
          <w:rFonts w:ascii="Times New Roman" w:eastAsia="Times New Roman" w:hAnsi="Times New Roman" w:cs="Times New Roman"/>
          <w:lang w:eastAsia="lt-LT" w:bidi="lt-LT"/>
        </w:rPr>
        <w:t xml:space="preserve"> 110 mm </w:t>
      </w:r>
      <w:proofErr w:type="spellStart"/>
      <w:r w:rsidRPr="00CE4C3C">
        <w:rPr>
          <w:rFonts w:ascii="Times New Roman" w:eastAsia="Times New Roman" w:hAnsi="Times New Roman" w:cs="Times New Roman"/>
          <w:lang w:eastAsia="lt-LT" w:bidi="lt-LT"/>
        </w:rPr>
        <w:t>Hg</w:t>
      </w:r>
      <w:proofErr w:type="spellEnd"/>
      <w:r w:rsidRPr="00CE4C3C">
        <w:rPr>
          <w:rFonts w:ascii="Times New Roman" w:eastAsia="Times New Roman" w:hAnsi="Times New Roman" w:cs="Times New Roman"/>
          <w:lang w:eastAsia="lt-LT" w:bidi="lt-LT"/>
        </w:rPr>
        <w:t xml:space="preserve">). Hipertenzija pagal pranešimus pasireiškė </w:t>
      </w:r>
      <w:r w:rsidRPr="00CE4C3C">
        <w:rPr>
          <w:rFonts w:ascii="Times New Roman" w:eastAsia="Times New Roman" w:hAnsi="Times New Roman" w:cs="Times New Roman"/>
          <w:lang w:eastAsia="lt-LT" w:bidi="lt-LT"/>
        </w:rPr>
        <w:lastRenderedPageBreak/>
        <w:t xml:space="preserve">maždaug 33,9 % sunitinibo vartojančių anksčiau negydytų pacientų, sergančių MILK, palyginti su 3,6 % pacientų, vartojančių IFN-α. Pranešama, kad sunki hipertenzija pasireiškė 12 % anksčiau negydytų pacientų, vartojusių sunitinibo, ir &lt;1 % pacientų, vartojusių IFN-α. Pagal 3 fazės </w:t>
      </w:r>
      <w:proofErr w:type="spellStart"/>
      <w:r w:rsidRPr="00CE4C3C">
        <w:rPr>
          <w:rFonts w:ascii="Times New Roman" w:eastAsia="Times New Roman" w:hAnsi="Times New Roman" w:cs="Times New Roman"/>
          <w:lang w:eastAsia="lt-LT" w:bidi="lt-LT"/>
        </w:rPr>
        <w:t>kNEN</w:t>
      </w:r>
      <w:proofErr w:type="spellEnd"/>
      <w:r w:rsidRPr="00CE4C3C">
        <w:rPr>
          <w:rFonts w:ascii="Times New Roman" w:eastAsia="Times New Roman" w:hAnsi="Times New Roman" w:cs="Times New Roman"/>
          <w:lang w:eastAsia="lt-LT" w:bidi="lt-LT"/>
        </w:rPr>
        <w:t xml:space="preserve"> tyrimo pranešimus hipertenzija pasireiškė 26,5 % pacientų, vartojusių sunitinibo, palyginti su 4,9 % pacientų, vartojusių placebo. Pagal pranešimus sunki hipertenzija pasireiškė 10 % </w:t>
      </w:r>
      <w:proofErr w:type="spellStart"/>
      <w:r w:rsidRPr="00CE4C3C">
        <w:rPr>
          <w:rFonts w:ascii="Times New Roman" w:eastAsia="Times New Roman" w:hAnsi="Times New Roman" w:cs="Times New Roman"/>
          <w:lang w:eastAsia="lt-LT" w:bidi="lt-LT"/>
        </w:rPr>
        <w:t>kNEN</w:t>
      </w:r>
      <w:proofErr w:type="spellEnd"/>
      <w:r w:rsidRPr="00CE4C3C">
        <w:rPr>
          <w:rFonts w:ascii="Times New Roman" w:eastAsia="Times New Roman" w:hAnsi="Times New Roman" w:cs="Times New Roman"/>
          <w:lang w:eastAsia="lt-LT" w:bidi="lt-LT"/>
        </w:rPr>
        <w:t xml:space="preserve"> tyrime dalyvavusių pacientų, vartojusių sunitinibo, ir 3 % pacientų, vartojusių placebo.</w:t>
      </w:r>
    </w:p>
    <w:p w14:paraId="74E07990"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62A47462"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u w:val="single"/>
          <w:lang w:eastAsia="lt-LT" w:bidi="lt-LT"/>
        </w:rPr>
      </w:pPr>
      <w:r w:rsidRPr="00CE4C3C">
        <w:rPr>
          <w:rFonts w:ascii="Times New Roman" w:eastAsia="Times New Roman" w:hAnsi="Times New Roman" w:cs="Times New Roman"/>
          <w:u w:val="single"/>
          <w:lang w:eastAsia="lt-LT" w:bidi="lt-LT"/>
        </w:rPr>
        <w:t>Venų tromboembolijos reiškiniai</w:t>
      </w:r>
    </w:p>
    <w:p w14:paraId="5A11C32B"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Klinikinių tyrimų, įskaitant GIST ir ILK, metu vartojant sunitinibo, maždaug 1,0 % pacientų, kuriems buvo </w:t>
      </w:r>
      <w:proofErr w:type="spellStart"/>
      <w:r w:rsidRPr="00CE4C3C">
        <w:rPr>
          <w:rFonts w:ascii="Times New Roman" w:eastAsia="Times New Roman" w:hAnsi="Times New Roman" w:cs="Times New Roman"/>
          <w:lang w:eastAsia="lt-LT" w:bidi="lt-LT"/>
        </w:rPr>
        <w:t>solidinių</w:t>
      </w:r>
      <w:proofErr w:type="spellEnd"/>
      <w:r w:rsidRPr="00CE4C3C">
        <w:rPr>
          <w:rFonts w:ascii="Times New Roman" w:eastAsia="Times New Roman" w:hAnsi="Times New Roman" w:cs="Times New Roman"/>
          <w:lang w:eastAsia="lt-LT" w:bidi="lt-LT"/>
        </w:rPr>
        <w:t xml:space="preserve"> navikų, patyrė su gydymu susijusių venų tromboembolijos reiškinių.</w:t>
      </w:r>
    </w:p>
    <w:p w14:paraId="76793437"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22D51BE4"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3 fazės GIST tyrimo metu 7 </w:t>
      </w:r>
      <w:proofErr w:type="spellStart"/>
      <w:r w:rsidRPr="00CE4C3C">
        <w:rPr>
          <w:rFonts w:ascii="Times New Roman" w:eastAsia="Times New Roman" w:hAnsi="Times New Roman" w:cs="Times New Roman"/>
          <w:lang w:eastAsia="lt-LT" w:bidi="lt-LT"/>
        </w:rPr>
        <w:t>sunitinibą</w:t>
      </w:r>
      <w:proofErr w:type="spellEnd"/>
      <w:r w:rsidRPr="00CE4C3C">
        <w:rPr>
          <w:rFonts w:ascii="Times New Roman" w:eastAsia="Times New Roman" w:hAnsi="Times New Roman" w:cs="Times New Roman"/>
          <w:lang w:eastAsia="lt-LT" w:bidi="lt-LT"/>
        </w:rPr>
        <w:t xml:space="preserve"> vartoję pacientai (3 %) patyrė venų tromboembolijos reiškinių, jų nepatyrė nei vienas placebą vartojęs pacientas. 5 iš 7 nustatyta 3 laipsnio, o 2 pacientams – 1 arba 2 laipsnio giliųjų venų trombozė (GVT). Keturiems iš šių 7 GIST pacientų gydymas nutrauktas, pastebėjus pirmųjų GVT požymių.</w:t>
      </w:r>
    </w:p>
    <w:p w14:paraId="649BC1AF"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466237D5"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Trylikai (3 %) sunitinibo vartojusių anksčiau negydyto MILK 3 fazės tyrimo pacientų ir 4 (2 %) pacientams, dalyvavusiems 2 </w:t>
      </w:r>
      <w:proofErr w:type="spellStart"/>
      <w:r w:rsidRPr="00CE4C3C">
        <w:rPr>
          <w:rFonts w:ascii="Times New Roman" w:eastAsia="Times New Roman" w:hAnsi="Times New Roman" w:cs="Times New Roman"/>
          <w:lang w:eastAsia="lt-LT" w:bidi="lt-LT"/>
        </w:rPr>
        <w:t>citokinams</w:t>
      </w:r>
      <w:proofErr w:type="spellEnd"/>
      <w:r w:rsidRPr="00CE4C3C">
        <w:rPr>
          <w:rFonts w:ascii="Times New Roman" w:eastAsia="Times New Roman" w:hAnsi="Times New Roman" w:cs="Times New Roman"/>
          <w:lang w:eastAsia="lt-LT" w:bidi="lt-LT"/>
        </w:rPr>
        <w:t xml:space="preserve"> atsparaus MILK tyrimuose, nustatyta venų tromboembolijos reiškinių. Devyniems iš šių pacientų buvo plaučių embolija (1 pacientui 2-ojo, 8 pacientams – 4-ojo laipsnio) ir aštuoniems iš šių pacientų – GVT (1 pacientui –1-ojo, 2 pacientams – 2-ojo, 4 pacientams – 3-iojo ir 1 pacientui – 4-ojo laipsnio). Vienam pacientui, kuriam </w:t>
      </w:r>
      <w:proofErr w:type="spellStart"/>
      <w:r w:rsidRPr="00CE4C3C">
        <w:rPr>
          <w:rFonts w:ascii="Times New Roman" w:eastAsia="Times New Roman" w:hAnsi="Times New Roman" w:cs="Times New Roman"/>
          <w:lang w:eastAsia="lt-LT" w:bidi="lt-LT"/>
        </w:rPr>
        <w:t>citokinams</w:t>
      </w:r>
      <w:proofErr w:type="spellEnd"/>
      <w:r w:rsidRPr="00CE4C3C">
        <w:rPr>
          <w:rFonts w:ascii="Times New Roman" w:eastAsia="Times New Roman" w:hAnsi="Times New Roman" w:cs="Times New Roman"/>
          <w:lang w:eastAsia="lt-LT" w:bidi="lt-LT"/>
        </w:rPr>
        <w:t xml:space="preserve"> atsparaus MILK tyrimo metu buvo plaučių embolija,  reikėjo laikinai nutraukti dozavimą.</w:t>
      </w:r>
    </w:p>
    <w:p w14:paraId="4104B760"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6CFBC546"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Pagal negydyto MILK tyrimo pranešimus IFN-α vartojusiems 6 pacientams (2 %) pasireiškė venų tromboembolijos reiškinių; 1 pacientas (&lt;1 %) patyrė 3-iojo laipsnio GVT, o 5 pacientai (1 %) – plaučių emboliją; visi reiškiniai buvo 4-ojo laipsnio.</w:t>
      </w:r>
    </w:p>
    <w:p w14:paraId="11CC01BF"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5A6BC4D7"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Pagal 3 fazės </w:t>
      </w:r>
      <w:proofErr w:type="spellStart"/>
      <w:r w:rsidRPr="00CE4C3C">
        <w:rPr>
          <w:rFonts w:ascii="Times New Roman" w:eastAsia="Times New Roman" w:hAnsi="Times New Roman" w:cs="Times New Roman"/>
          <w:lang w:eastAsia="lt-LT" w:bidi="lt-LT"/>
        </w:rPr>
        <w:t>kNEN</w:t>
      </w:r>
      <w:proofErr w:type="spellEnd"/>
      <w:r w:rsidRPr="00CE4C3C">
        <w:rPr>
          <w:rFonts w:ascii="Times New Roman" w:eastAsia="Times New Roman" w:hAnsi="Times New Roman" w:cs="Times New Roman"/>
          <w:lang w:eastAsia="lt-LT" w:bidi="lt-LT"/>
        </w:rPr>
        <w:t xml:space="preserve"> tyrimo pranešimus, venų tromboembolijos reiškinių patyrė 1 sunitinibo grupės pacientas (1,2 %) ir 5 placebo grupės (6,1 %) pacientai. Dviem iš šių pacientų, vartojusių placebą, buvo GVT, 1 pacientui 2-ojo laipsnio ir 1 pacientui – 3-iojo laipsnio GVT.</w:t>
      </w:r>
    </w:p>
    <w:p w14:paraId="736B5EBE"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791E9BC7"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Registracijos GIST, MILK ir </w:t>
      </w:r>
      <w:proofErr w:type="spellStart"/>
      <w:r w:rsidRPr="00CE4C3C">
        <w:rPr>
          <w:rFonts w:ascii="Times New Roman" w:eastAsia="Times New Roman" w:hAnsi="Times New Roman" w:cs="Times New Roman"/>
          <w:lang w:eastAsia="lt-LT" w:bidi="lt-LT"/>
        </w:rPr>
        <w:t>kNEN</w:t>
      </w:r>
      <w:proofErr w:type="spellEnd"/>
      <w:r w:rsidRPr="00CE4C3C">
        <w:rPr>
          <w:rFonts w:ascii="Times New Roman" w:eastAsia="Times New Roman" w:hAnsi="Times New Roman" w:cs="Times New Roman"/>
          <w:lang w:eastAsia="lt-LT" w:bidi="lt-LT"/>
        </w:rPr>
        <w:t xml:space="preserve"> tyrimų duomenimis, mirtinų atvejų nebuvo. Mirtimi pasibaigusių reiškinių nustatyta </w:t>
      </w:r>
      <w:proofErr w:type="spellStart"/>
      <w:r w:rsidRPr="00CE4C3C">
        <w:rPr>
          <w:rFonts w:ascii="Times New Roman" w:eastAsia="Times New Roman" w:hAnsi="Times New Roman" w:cs="Times New Roman"/>
          <w:lang w:eastAsia="lt-LT" w:bidi="lt-LT"/>
        </w:rPr>
        <w:t>poregistracinio</w:t>
      </w:r>
      <w:proofErr w:type="spellEnd"/>
      <w:r w:rsidRPr="00CE4C3C">
        <w:rPr>
          <w:rFonts w:ascii="Times New Roman" w:eastAsia="Times New Roman" w:hAnsi="Times New Roman" w:cs="Times New Roman"/>
          <w:lang w:eastAsia="lt-LT" w:bidi="lt-LT"/>
        </w:rPr>
        <w:t xml:space="preserve"> stebėjimo metu.</w:t>
      </w:r>
    </w:p>
    <w:p w14:paraId="264B0BC5"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280F3C64"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Maždaug 3,1 % pacientų, sergančių GIST, ir maždaug 1,2 % pacientų, sergančių MILK, kurie vartojo sunitinibo 3 fazės klinikinių tyrimų metu, pasireiškė plaučių embolija. Pranešimų apie plaučių embolijos atvejus pacientams, sergantiems </w:t>
      </w:r>
      <w:proofErr w:type="spellStart"/>
      <w:r w:rsidRPr="00CE4C3C">
        <w:rPr>
          <w:rFonts w:ascii="Times New Roman" w:eastAsia="Times New Roman" w:hAnsi="Times New Roman" w:cs="Times New Roman"/>
          <w:lang w:eastAsia="lt-LT" w:bidi="lt-LT"/>
        </w:rPr>
        <w:t>kNEN</w:t>
      </w:r>
      <w:proofErr w:type="spellEnd"/>
      <w:r w:rsidRPr="00CE4C3C">
        <w:rPr>
          <w:rFonts w:ascii="Times New Roman" w:eastAsia="Times New Roman" w:hAnsi="Times New Roman" w:cs="Times New Roman"/>
          <w:lang w:eastAsia="lt-LT" w:bidi="lt-LT"/>
        </w:rPr>
        <w:t xml:space="preserve">, kurie vartojo </w:t>
      </w:r>
      <w:proofErr w:type="spellStart"/>
      <w:r w:rsidRPr="00CE4C3C">
        <w:rPr>
          <w:rFonts w:ascii="Times New Roman" w:eastAsia="Times New Roman" w:hAnsi="Times New Roman" w:cs="Times New Roman"/>
          <w:lang w:eastAsia="lt-LT" w:bidi="lt-LT"/>
        </w:rPr>
        <w:t>sunitinibo</w:t>
      </w:r>
      <w:proofErr w:type="spellEnd"/>
      <w:r w:rsidRPr="00CE4C3C">
        <w:rPr>
          <w:rFonts w:ascii="Times New Roman" w:eastAsia="Times New Roman" w:hAnsi="Times New Roman" w:cs="Times New Roman"/>
          <w:lang w:eastAsia="lt-LT" w:bidi="lt-LT"/>
        </w:rPr>
        <w:t xml:space="preserve"> 3 fazės tyrimo metu, negauta. </w:t>
      </w:r>
      <w:proofErr w:type="spellStart"/>
      <w:r w:rsidRPr="00CE4C3C">
        <w:rPr>
          <w:rFonts w:ascii="Times New Roman" w:eastAsia="Times New Roman" w:hAnsi="Times New Roman" w:cs="Times New Roman"/>
          <w:lang w:eastAsia="lt-LT" w:bidi="lt-LT"/>
        </w:rPr>
        <w:t>Poregistracinio</w:t>
      </w:r>
      <w:proofErr w:type="spellEnd"/>
      <w:r w:rsidRPr="00CE4C3C">
        <w:rPr>
          <w:rFonts w:ascii="Times New Roman" w:eastAsia="Times New Roman" w:hAnsi="Times New Roman" w:cs="Times New Roman"/>
          <w:lang w:eastAsia="lt-LT" w:bidi="lt-LT"/>
        </w:rPr>
        <w:t xml:space="preserve"> stebėjimo metu nustatyta retų mirtimi pasibaigusių atvejų.</w:t>
      </w:r>
    </w:p>
    <w:p w14:paraId="6B8C882A"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0950AA2C"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Pacientai, kurie per 12 mėnesių prieš tyrimą patyrė plaučių emboliją, nebuvo įtraukti į sunitinibo klinikinius tyrimus.</w:t>
      </w:r>
    </w:p>
    <w:p w14:paraId="769D17A6"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03A127F4"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Vartojant sunitinibo 3 fazės registracijos tyrimų metu, maždaug 17,8 % pacientų, kurie sirgo GIST, maždaug 26,7 % pacientų, kurie sirgo MILK, ir maždaug 12 % pacientų, kurie sirgo </w:t>
      </w:r>
      <w:proofErr w:type="spellStart"/>
      <w:r w:rsidRPr="00CE4C3C">
        <w:rPr>
          <w:rFonts w:ascii="Times New Roman" w:eastAsia="Times New Roman" w:hAnsi="Times New Roman" w:cs="Times New Roman"/>
          <w:lang w:eastAsia="lt-LT" w:bidi="lt-LT"/>
        </w:rPr>
        <w:t>kNEN</w:t>
      </w:r>
      <w:proofErr w:type="spellEnd"/>
      <w:r w:rsidRPr="00CE4C3C">
        <w:rPr>
          <w:rFonts w:ascii="Times New Roman" w:eastAsia="Times New Roman" w:hAnsi="Times New Roman" w:cs="Times New Roman"/>
          <w:lang w:eastAsia="lt-LT" w:bidi="lt-LT"/>
        </w:rPr>
        <w:t>, nustatyta plaučių reiškinių (t. y., dusulys, skystis pleuros ertmėje, plaučių embolija ar plaučių edema).</w:t>
      </w:r>
    </w:p>
    <w:p w14:paraId="58867DCD"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3A950A39"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Maždaug 22,2 % pacientų, kuriems buvo </w:t>
      </w:r>
      <w:proofErr w:type="spellStart"/>
      <w:r w:rsidRPr="00CE4C3C">
        <w:rPr>
          <w:rFonts w:ascii="Times New Roman" w:eastAsia="Times New Roman" w:hAnsi="Times New Roman" w:cs="Times New Roman"/>
          <w:lang w:eastAsia="lt-LT" w:bidi="lt-LT"/>
        </w:rPr>
        <w:t>solidinių</w:t>
      </w:r>
      <w:proofErr w:type="spellEnd"/>
      <w:r w:rsidRPr="00CE4C3C">
        <w:rPr>
          <w:rFonts w:ascii="Times New Roman" w:eastAsia="Times New Roman" w:hAnsi="Times New Roman" w:cs="Times New Roman"/>
          <w:lang w:eastAsia="lt-LT" w:bidi="lt-LT"/>
        </w:rPr>
        <w:t xml:space="preserve"> navikų, įskaitant GIST ir MILK, vartojant sunitinibo klinikinių tyrimų metu</w:t>
      </w:r>
      <w:r w:rsidR="00EC2F35" w:rsidRPr="00CE4C3C">
        <w:rPr>
          <w:rFonts w:ascii="Times New Roman" w:eastAsia="Times New Roman" w:hAnsi="Times New Roman" w:cs="Times New Roman"/>
          <w:lang w:eastAsia="lt-LT" w:bidi="lt-LT"/>
        </w:rPr>
        <w:t>,</w:t>
      </w:r>
      <w:r w:rsidRPr="00CE4C3C">
        <w:rPr>
          <w:rFonts w:ascii="Times New Roman" w:eastAsia="Times New Roman" w:hAnsi="Times New Roman" w:cs="Times New Roman"/>
          <w:lang w:eastAsia="lt-LT" w:bidi="lt-LT"/>
        </w:rPr>
        <w:t xml:space="preserve"> patyrė plaučių reiškinių.</w:t>
      </w:r>
    </w:p>
    <w:p w14:paraId="02B60401"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1BC43EEE"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CE4C3C">
        <w:rPr>
          <w:rFonts w:ascii="Times New Roman" w:eastAsia="Times New Roman" w:hAnsi="Times New Roman" w:cs="Times New Roman"/>
          <w:i/>
          <w:lang w:eastAsia="lt-LT" w:bidi="lt-LT"/>
        </w:rPr>
        <w:t>Virškinimo trakto sutrikimai</w:t>
      </w:r>
    </w:p>
    <w:p w14:paraId="52AEFC84"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Dėl GIST ir MILK sunitinibo vartojantiems pacientams nedažnai (&lt;1 %) pastebėtas pankreatitas. 3 fazės </w:t>
      </w:r>
      <w:proofErr w:type="spellStart"/>
      <w:r w:rsidRPr="00CE4C3C">
        <w:rPr>
          <w:rFonts w:ascii="Times New Roman" w:eastAsia="Times New Roman" w:hAnsi="Times New Roman" w:cs="Times New Roman"/>
          <w:lang w:eastAsia="lt-LT" w:bidi="lt-LT"/>
        </w:rPr>
        <w:t>kNEN</w:t>
      </w:r>
      <w:proofErr w:type="spellEnd"/>
      <w:r w:rsidRPr="00CE4C3C">
        <w:rPr>
          <w:rFonts w:ascii="Times New Roman" w:eastAsia="Times New Roman" w:hAnsi="Times New Roman" w:cs="Times New Roman"/>
          <w:lang w:eastAsia="lt-LT" w:bidi="lt-LT"/>
        </w:rPr>
        <w:t xml:space="preserve"> tyrimo metu apie su gydymu susijusio pankreatito atvejus nepranešta (žr. 4.4 skyrių).</w:t>
      </w:r>
    </w:p>
    <w:p w14:paraId="1E1A2C72"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6D27D8BE"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Mirtinas kraujavimas iš virškinimo trakto pagal pranešimus pasireiškė 0,98 % pacientų, vartojusių placebą GIST 3 fazės tyrimo metu.</w:t>
      </w:r>
    </w:p>
    <w:p w14:paraId="2CB2EE3B"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676A14FD"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CE4C3C">
        <w:rPr>
          <w:rFonts w:ascii="Times New Roman" w:eastAsia="Times New Roman" w:hAnsi="Times New Roman" w:cs="Times New Roman"/>
          <w:i/>
          <w:lang w:eastAsia="lt-LT" w:bidi="lt-LT"/>
        </w:rPr>
        <w:t>Kepenų, tulžies pūslės ir latakų sutrikimai</w:t>
      </w:r>
    </w:p>
    <w:p w14:paraId="6BB419A8"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lastRenderedPageBreak/>
        <w:t>Buvo pranešimų apie kepenų funkcijos sutrikimus, apimančius kepenų funkcijos tyrimų nenormalumus, hepatitą arba kepenų funkcijos nepakankamumą (žr. 4.4 skyrių).</w:t>
      </w:r>
    </w:p>
    <w:p w14:paraId="77492383"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4BE43E91"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i/>
          <w:lang w:eastAsia="lt-LT" w:bidi="lt-LT"/>
        </w:rPr>
        <w:t>Odos ir poodinio audinio sutrikimai</w:t>
      </w:r>
    </w:p>
    <w:p w14:paraId="0E4122C3"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Buvo pranešta apie gangreninės </w:t>
      </w:r>
      <w:proofErr w:type="spellStart"/>
      <w:r w:rsidRPr="00CE4C3C">
        <w:rPr>
          <w:rFonts w:ascii="Times New Roman" w:eastAsia="Times New Roman" w:hAnsi="Times New Roman" w:cs="Times New Roman"/>
          <w:lang w:eastAsia="lt-LT" w:bidi="lt-LT"/>
        </w:rPr>
        <w:t>piodermos</w:t>
      </w:r>
      <w:proofErr w:type="spellEnd"/>
      <w:r w:rsidRPr="00CE4C3C">
        <w:rPr>
          <w:rFonts w:ascii="Times New Roman" w:eastAsia="Times New Roman" w:hAnsi="Times New Roman" w:cs="Times New Roman"/>
          <w:lang w:eastAsia="lt-LT" w:bidi="lt-LT"/>
        </w:rPr>
        <w:t xml:space="preserve"> atvejus, kurie dažniausiai buvo laikini ir išnykdavo nutraukus sunitinibo vartojimą (taip pat žr. 4.4 skyrių).</w:t>
      </w:r>
    </w:p>
    <w:p w14:paraId="73DF3D65"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5643527D"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CE4C3C">
        <w:rPr>
          <w:rFonts w:ascii="Times New Roman" w:eastAsia="Times New Roman" w:hAnsi="Times New Roman" w:cs="Times New Roman"/>
          <w:i/>
          <w:lang w:eastAsia="lt-LT" w:bidi="lt-LT"/>
        </w:rPr>
        <w:t>Skeleto, raumenų ir jungiamojo audinio sutrikimai</w:t>
      </w:r>
    </w:p>
    <w:p w14:paraId="6FC0568E"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Buvo pranešta apie </w:t>
      </w:r>
      <w:proofErr w:type="spellStart"/>
      <w:r w:rsidRPr="00CE4C3C">
        <w:rPr>
          <w:rFonts w:ascii="Times New Roman" w:eastAsia="Times New Roman" w:hAnsi="Times New Roman" w:cs="Times New Roman"/>
          <w:lang w:eastAsia="lt-LT" w:bidi="lt-LT"/>
        </w:rPr>
        <w:t>miopatijos</w:t>
      </w:r>
      <w:proofErr w:type="spellEnd"/>
      <w:r w:rsidRPr="00CE4C3C">
        <w:rPr>
          <w:rFonts w:ascii="Times New Roman" w:eastAsia="Times New Roman" w:hAnsi="Times New Roman" w:cs="Times New Roman"/>
          <w:lang w:eastAsia="lt-LT" w:bidi="lt-LT"/>
        </w:rPr>
        <w:t xml:space="preserve"> ir (arba) </w:t>
      </w:r>
      <w:proofErr w:type="spellStart"/>
      <w:r w:rsidRPr="00CE4C3C">
        <w:rPr>
          <w:rFonts w:ascii="Times New Roman" w:eastAsia="Times New Roman" w:hAnsi="Times New Roman" w:cs="Times New Roman"/>
          <w:lang w:eastAsia="lt-LT" w:bidi="lt-LT"/>
        </w:rPr>
        <w:t>rabdomiolizės</w:t>
      </w:r>
      <w:proofErr w:type="spellEnd"/>
      <w:r w:rsidRPr="00CE4C3C">
        <w:rPr>
          <w:rFonts w:ascii="Times New Roman" w:eastAsia="Times New Roman" w:hAnsi="Times New Roman" w:cs="Times New Roman"/>
          <w:lang w:eastAsia="lt-LT" w:bidi="lt-LT"/>
        </w:rPr>
        <w:t>, kartais pasireikšdavusios kartu su ūminiu inkstų funkcijos nepakankamumu, atvejus. Pacientus, kuriems atsiranda toksinio poveikio raumenims požymių ar simptomų, turi būti taikomas medicininėje praktikoje įprastas gydymas (žr. 4.4 skyrių).</w:t>
      </w:r>
    </w:p>
    <w:p w14:paraId="40C57AED"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73099AF4"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Gauta pranešimų apie fistulės susiformavimo atvejus, kartais susijusius su naviko nekroze ar nykimu, kai kurie iš šių atvejų buvo mirtini (žr. 4.4 skyrių).</w:t>
      </w:r>
    </w:p>
    <w:p w14:paraId="528A8012"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26600F14"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Pranešta apie ŽON atvejus sunitinibu gydytiems pacientams. Dauguma jų pasireiškė pacientams, kuriems buvo nustatyta ŽON rizikos veiksnių, ypač į veną vartojamų </w:t>
      </w:r>
      <w:proofErr w:type="spellStart"/>
      <w:r w:rsidRPr="00CE4C3C">
        <w:rPr>
          <w:rFonts w:ascii="Times New Roman" w:eastAsia="Times New Roman" w:hAnsi="Times New Roman" w:cs="Times New Roman"/>
          <w:lang w:eastAsia="lt-LT" w:bidi="lt-LT"/>
        </w:rPr>
        <w:t>bisfosfonatų</w:t>
      </w:r>
      <w:proofErr w:type="spellEnd"/>
      <w:r w:rsidRPr="00CE4C3C">
        <w:rPr>
          <w:rFonts w:ascii="Times New Roman" w:eastAsia="Times New Roman" w:hAnsi="Times New Roman" w:cs="Times New Roman"/>
          <w:lang w:eastAsia="lt-LT" w:bidi="lt-LT"/>
        </w:rPr>
        <w:t xml:space="preserve"> ekspozicija ir (arba) anksčiau buvusi odontologinė liga, dėl kurios prireikė invazinių odontologinių procedūrų (taip pat žr. 4.4 skyrių).</w:t>
      </w:r>
    </w:p>
    <w:p w14:paraId="4E2F3241"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03A7C61A"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i/>
          <w:lang w:eastAsia="lt-LT" w:bidi="lt-LT"/>
        </w:rPr>
      </w:pPr>
      <w:r w:rsidRPr="00CE4C3C">
        <w:rPr>
          <w:rFonts w:ascii="Times New Roman" w:eastAsia="Times New Roman" w:hAnsi="Times New Roman" w:cs="Times New Roman"/>
          <w:i/>
          <w:lang w:eastAsia="lt-LT" w:bidi="lt-LT"/>
        </w:rPr>
        <w:t>Tyrimai</w:t>
      </w:r>
    </w:p>
    <w:p w14:paraId="566788CB"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Ikiklinikiniai</w:t>
      </w:r>
      <w:proofErr w:type="spellEnd"/>
      <w:r w:rsidRPr="00CE4C3C">
        <w:rPr>
          <w:rFonts w:ascii="Times New Roman" w:eastAsia="Times New Roman" w:hAnsi="Times New Roman" w:cs="Times New Roman"/>
          <w:lang w:eastAsia="lt-LT" w:bidi="lt-LT"/>
        </w:rPr>
        <w:t xml:space="preserve"> tyrimai (</w:t>
      </w:r>
      <w:proofErr w:type="spellStart"/>
      <w:r w:rsidRPr="00CE4C3C">
        <w:rPr>
          <w:rFonts w:ascii="Times New Roman" w:eastAsia="Times New Roman" w:hAnsi="Times New Roman" w:cs="Times New Roman"/>
          <w:i/>
          <w:lang w:eastAsia="lt-LT" w:bidi="lt-LT"/>
        </w:rPr>
        <w:t>in</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vitro</w:t>
      </w:r>
      <w:proofErr w:type="spellEnd"/>
      <w:r w:rsidRPr="00CE4C3C">
        <w:rPr>
          <w:rFonts w:ascii="Times New Roman" w:eastAsia="Times New Roman" w:hAnsi="Times New Roman" w:cs="Times New Roman"/>
          <w:i/>
          <w:lang w:eastAsia="lt-LT" w:bidi="lt-LT"/>
        </w:rPr>
        <w:t xml:space="preserve"> </w:t>
      </w:r>
      <w:r w:rsidRPr="00CE4C3C">
        <w:rPr>
          <w:rFonts w:ascii="Times New Roman" w:eastAsia="Times New Roman" w:hAnsi="Times New Roman" w:cs="Times New Roman"/>
          <w:lang w:eastAsia="lt-LT" w:bidi="lt-LT"/>
        </w:rPr>
        <w:t>ir</w:t>
      </w:r>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in</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vivo</w:t>
      </w:r>
      <w:proofErr w:type="spellEnd"/>
      <w:r w:rsidRPr="00CE4C3C">
        <w:rPr>
          <w:rFonts w:ascii="Times New Roman" w:eastAsia="Times New Roman" w:hAnsi="Times New Roman" w:cs="Times New Roman"/>
          <w:lang w:eastAsia="lt-LT" w:bidi="lt-LT"/>
        </w:rPr>
        <w:t xml:space="preserve">), kurių metu buvo vartojamos didesnės už rekomenduojamą žmogui dozės, parodė, kad sunitinibas gali slopinti širdies veikimo potencialo </w:t>
      </w:r>
      <w:proofErr w:type="spellStart"/>
      <w:r w:rsidRPr="00CE4C3C">
        <w:rPr>
          <w:rFonts w:ascii="Times New Roman" w:eastAsia="Times New Roman" w:hAnsi="Times New Roman" w:cs="Times New Roman"/>
          <w:lang w:eastAsia="lt-LT" w:bidi="lt-LT"/>
        </w:rPr>
        <w:t>repoliarizacijos</w:t>
      </w:r>
      <w:proofErr w:type="spellEnd"/>
      <w:r w:rsidRPr="00CE4C3C">
        <w:rPr>
          <w:rFonts w:ascii="Times New Roman" w:eastAsia="Times New Roman" w:hAnsi="Times New Roman" w:cs="Times New Roman"/>
          <w:lang w:eastAsia="lt-LT" w:bidi="lt-LT"/>
        </w:rPr>
        <w:t xml:space="preserve"> procesą (pvz., ilginti QT intervalą).</w:t>
      </w:r>
    </w:p>
    <w:p w14:paraId="5CF7BA2C"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26AE0F70"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Didesnis virš 500 </w:t>
      </w:r>
      <w:proofErr w:type="spellStart"/>
      <w:r w:rsidRPr="00CE4C3C">
        <w:rPr>
          <w:rFonts w:ascii="Times New Roman" w:eastAsia="Times New Roman" w:hAnsi="Times New Roman" w:cs="Times New Roman"/>
          <w:lang w:eastAsia="lt-LT" w:bidi="lt-LT"/>
        </w:rPr>
        <w:t>ms</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QTc</w:t>
      </w:r>
      <w:proofErr w:type="spellEnd"/>
      <w:r w:rsidRPr="00CE4C3C">
        <w:rPr>
          <w:rFonts w:ascii="Times New Roman" w:eastAsia="Times New Roman" w:hAnsi="Times New Roman" w:cs="Times New Roman"/>
          <w:lang w:eastAsia="lt-LT" w:bidi="lt-LT"/>
        </w:rPr>
        <w:t xml:space="preserve"> intervalo pailgėjimas pagal pranešimus pasireiškė 0,5 %, o didesnis kaip 60 </w:t>
      </w:r>
      <w:proofErr w:type="spellStart"/>
      <w:r w:rsidRPr="00CE4C3C">
        <w:rPr>
          <w:rFonts w:ascii="Times New Roman" w:eastAsia="Times New Roman" w:hAnsi="Times New Roman" w:cs="Times New Roman"/>
          <w:lang w:eastAsia="lt-LT" w:bidi="lt-LT"/>
        </w:rPr>
        <w:t>ms</w:t>
      </w:r>
      <w:proofErr w:type="spellEnd"/>
      <w:r w:rsidRPr="00CE4C3C">
        <w:rPr>
          <w:rFonts w:ascii="Times New Roman" w:eastAsia="Times New Roman" w:hAnsi="Times New Roman" w:cs="Times New Roman"/>
          <w:lang w:eastAsia="lt-LT" w:bidi="lt-LT"/>
        </w:rPr>
        <w:t xml:space="preserve"> pokytis, palyginti su buvusiu prieš pradedant gydymą, 1,1 % iš 450 pacientų, kuriems buvo </w:t>
      </w:r>
      <w:proofErr w:type="spellStart"/>
      <w:r w:rsidRPr="00CE4C3C">
        <w:rPr>
          <w:rFonts w:ascii="Times New Roman" w:eastAsia="Times New Roman" w:hAnsi="Times New Roman" w:cs="Times New Roman"/>
          <w:lang w:eastAsia="lt-LT" w:bidi="lt-LT"/>
        </w:rPr>
        <w:t>solidinių</w:t>
      </w:r>
      <w:proofErr w:type="spellEnd"/>
      <w:r w:rsidRPr="00CE4C3C">
        <w:rPr>
          <w:rFonts w:ascii="Times New Roman" w:eastAsia="Times New Roman" w:hAnsi="Times New Roman" w:cs="Times New Roman"/>
          <w:lang w:eastAsia="lt-LT" w:bidi="lt-LT"/>
        </w:rPr>
        <w:t xml:space="preserve"> navikų. Pripažinta, kad abiejų rodmenų pokyčiai gali būti reikšmingi. Maždaug du kartus didesnė sunitinibo koncentracija už tą, kuri būna vartojant gydomąją </w:t>
      </w:r>
      <w:proofErr w:type="spellStart"/>
      <w:r w:rsidRPr="00CE4C3C">
        <w:rPr>
          <w:rFonts w:ascii="Times New Roman" w:eastAsia="Times New Roman" w:hAnsi="Times New Roman" w:cs="Times New Roman"/>
          <w:lang w:eastAsia="lt-LT" w:bidi="lt-LT"/>
        </w:rPr>
        <w:t>sunitinibo</w:t>
      </w:r>
      <w:proofErr w:type="spellEnd"/>
      <w:r w:rsidRPr="00CE4C3C">
        <w:rPr>
          <w:rFonts w:ascii="Times New Roman" w:eastAsia="Times New Roman" w:hAnsi="Times New Roman" w:cs="Times New Roman"/>
          <w:lang w:eastAsia="lt-LT" w:bidi="lt-LT"/>
        </w:rPr>
        <w:t xml:space="preserve"> dozę, ilgina </w:t>
      </w:r>
      <w:proofErr w:type="spellStart"/>
      <w:r w:rsidRPr="00CE4C3C">
        <w:rPr>
          <w:rFonts w:ascii="Times New Roman" w:eastAsia="Times New Roman" w:hAnsi="Times New Roman" w:cs="Times New Roman"/>
          <w:lang w:eastAsia="lt-LT" w:bidi="lt-LT"/>
        </w:rPr>
        <w:t>QTcF</w:t>
      </w:r>
      <w:proofErr w:type="spellEnd"/>
      <w:r w:rsidRPr="00CE4C3C">
        <w:rPr>
          <w:rFonts w:ascii="Times New Roman" w:eastAsia="Times New Roman" w:hAnsi="Times New Roman" w:cs="Times New Roman"/>
          <w:lang w:eastAsia="lt-LT" w:bidi="lt-LT"/>
        </w:rPr>
        <w:t xml:space="preserve"> intervalą (QT intervalą, koreguotą pagal Frideriką).</w:t>
      </w:r>
    </w:p>
    <w:p w14:paraId="7E931346"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6B577198"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Atlikti QT (koreguoto) intervalo vertinimo tyrimai, kuriuose dalyvavo 24 pacientai, kurių amžius 20–87 metai, sergantys išplitusiu vėžiu. Šio tyrimo duomenys rodo, kad esant gydomajai koncentracijai (3-iąją parą) naudojant pradinės korekcijos per parą metodą bei didesnei nei gydomoji koncentracijai (9-ąją parą) naudojant abu pradinės korekcijos metodus, </w:t>
      </w:r>
      <w:proofErr w:type="spellStart"/>
      <w:r w:rsidRPr="00CE4C3C">
        <w:rPr>
          <w:rFonts w:ascii="Times New Roman" w:eastAsia="Times New Roman" w:hAnsi="Times New Roman" w:cs="Times New Roman"/>
          <w:lang w:eastAsia="lt-LT" w:bidi="lt-LT"/>
        </w:rPr>
        <w:t>sunitinibas</w:t>
      </w:r>
      <w:proofErr w:type="spellEnd"/>
      <w:r w:rsidRPr="00CE4C3C">
        <w:rPr>
          <w:rFonts w:ascii="Times New Roman" w:eastAsia="Times New Roman" w:hAnsi="Times New Roman" w:cs="Times New Roman"/>
          <w:lang w:eastAsia="lt-LT" w:bidi="lt-LT"/>
        </w:rPr>
        <w:t xml:space="preserve"> daro įtaką </w:t>
      </w:r>
      <w:proofErr w:type="spellStart"/>
      <w:r w:rsidRPr="00CE4C3C">
        <w:rPr>
          <w:rFonts w:ascii="Times New Roman" w:eastAsia="Times New Roman" w:hAnsi="Times New Roman" w:cs="Times New Roman"/>
          <w:lang w:eastAsia="lt-LT" w:bidi="lt-LT"/>
        </w:rPr>
        <w:t>QTc</w:t>
      </w:r>
      <w:proofErr w:type="spellEnd"/>
      <w:r w:rsidRPr="00CE4C3C">
        <w:rPr>
          <w:rFonts w:ascii="Times New Roman" w:eastAsia="Times New Roman" w:hAnsi="Times New Roman" w:cs="Times New Roman"/>
          <w:lang w:eastAsia="lt-LT" w:bidi="lt-LT"/>
        </w:rPr>
        <w:t xml:space="preserve"> intervalui (nustatytas vidutinis placebu koreguotas pokytis &gt; 10 </w:t>
      </w:r>
      <w:proofErr w:type="spellStart"/>
      <w:r w:rsidRPr="00CE4C3C">
        <w:rPr>
          <w:rFonts w:ascii="Times New Roman" w:eastAsia="Times New Roman" w:hAnsi="Times New Roman" w:cs="Times New Roman"/>
          <w:lang w:eastAsia="lt-LT" w:bidi="lt-LT"/>
        </w:rPr>
        <w:t>ms</w:t>
      </w:r>
      <w:proofErr w:type="spellEnd"/>
      <w:r w:rsidRPr="00CE4C3C">
        <w:rPr>
          <w:rFonts w:ascii="Times New Roman" w:eastAsia="Times New Roman" w:hAnsi="Times New Roman" w:cs="Times New Roman"/>
          <w:lang w:eastAsia="lt-LT" w:bidi="lt-LT"/>
        </w:rPr>
        <w:t xml:space="preserve">, 90 % </w:t>
      </w:r>
      <w:proofErr w:type="spellStart"/>
      <w:r w:rsidRPr="00CE4C3C">
        <w:rPr>
          <w:rFonts w:ascii="Times New Roman" w:eastAsia="Times New Roman" w:hAnsi="Times New Roman" w:cs="Times New Roman"/>
          <w:lang w:eastAsia="lt-LT" w:bidi="lt-LT"/>
        </w:rPr>
        <w:t>pasikliautinasis</w:t>
      </w:r>
      <w:proofErr w:type="spellEnd"/>
      <w:r w:rsidRPr="00CE4C3C">
        <w:rPr>
          <w:rFonts w:ascii="Times New Roman" w:eastAsia="Times New Roman" w:hAnsi="Times New Roman" w:cs="Times New Roman"/>
          <w:lang w:eastAsia="lt-LT" w:bidi="lt-LT"/>
        </w:rPr>
        <w:t xml:space="preserve"> intervalas [PI] viršutinė riba &gt;15 </w:t>
      </w:r>
      <w:proofErr w:type="spellStart"/>
      <w:r w:rsidRPr="00CE4C3C">
        <w:rPr>
          <w:rFonts w:ascii="Times New Roman" w:eastAsia="Times New Roman" w:hAnsi="Times New Roman" w:cs="Times New Roman"/>
          <w:lang w:eastAsia="lt-LT" w:bidi="lt-LT"/>
        </w:rPr>
        <w:t>ms</w:t>
      </w:r>
      <w:proofErr w:type="spellEnd"/>
      <w:r w:rsidRPr="00CE4C3C">
        <w:rPr>
          <w:rFonts w:ascii="Times New Roman" w:eastAsia="Times New Roman" w:hAnsi="Times New Roman" w:cs="Times New Roman"/>
          <w:lang w:eastAsia="lt-LT" w:bidi="lt-LT"/>
        </w:rPr>
        <w:t xml:space="preserve">). Nei vieno paciento </w:t>
      </w:r>
      <w:proofErr w:type="spellStart"/>
      <w:r w:rsidRPr="00CE4C3C">
        <w:rPr>
          <w:rFonts w:ascii="Times New Roman" w:eastAsia="Times New Roman" w:hAnsi="Times New Roman" w:cs="Times New Roman"/>
          <w:lang w:eastAsia="lt-LT" w:bidi="lt-LT"/>
        </w:rPr>
        <w:t>QTc</w:t>
      </w:r>
      <w:proofErr w:type="spellEnd"/>
      <w:r w:rsidRPr="00CE4C3C">
        <w:rPr>
          <w:rFonts w:ascii="Times New Roman" w:eastAsia="Times New Roman" w:hAnsi="Times New Roman" w:cs="Times New Roman"/>
          <w:lang w:eastAsia="lt-LT" w:bidi="lt-LT"/>
        </w:rPr>
        <w:t xml:space="preserve"> rodmuo nebuvo didesnis kaip 500 </w:t>
      </w:r>
      <w:proofErr w:type="spellStart"/>
      <w:r w:rsidRPr="00CE4C3C">
        <w:rPr>
          <w:rFonts w:ascii="Times New Roman" w:eastAsia="Times New Roman" w:hAnsi="Times New Roman" w:cs="Times New Roman"/>
          <w:lang w:eastAsia="lt-LT" w:bidi="lt-LT"/>
        </w:rPr>
        <w:t>ms</w:t>
      </w:r>
      <w:proofErr w:type="spellEnd"/>
      <w:r w:rsidRPr="00CE4C3C">
        <w:rPr>
          <w:rFonts w:ascii="Times New Roman" w:eastAsia="Times New Roman" w:hAnsi="Times New Roman" w:cs="Times New Roman"/>
          <w:lang w:eastAsia="lt-LT" w:bidi="lt-LT"/>
        </w:rPr>
        <w:t xml:space="preserve">. 3-iąją parą praėjus 24 valandoms po dozės suvartojimo (t. y. numatoma gydomoji koncentracija plazmoje po rekomenduojamos pradinės 50 mg dozės suvartojimo), naudojant pradinės korekcijos per parą metodą, poveikis </w:t>
      </w:r>
      <w:proofErr w:type="spellStart"/>
      <w:r w:rsidRPr="00CE4C3C">
        <w:rPr>
          <w:rFonts w:ascii="Times New Roman" w:eastAsia="Times New Roman" w:hAnsi="Times New Roman" w:cs="Times New Roman"/>
          <w:lang w:eastAsia="lt-LT" w:bidi="lt-LT"/>
        </w:rPr>
        <w:t>QTcF</w:t>
      </w:r>
      <w:proofErr w:type="spellEnd"/>
      <w:r w:rsidRPr="00CE4C3C">
        <w:rPr>
          <w:rFonts w:ascii="Times New Roman" w:eastAsia="Times New Roman" w:hAnsi="Times New Roman" w:cs="Times New Roman"/>
          <w:lang w:eastAsia="lt-LT" w:bidi="lt-LT"/>
        </w:rPr>
        <w:t xml:space="preserve"> pasireiškė, vis dėlto šio reiškinio klinikinė reikšmė neaiški.</w:t>
      </w:r>
    </w:p>
    <w:p w14:paraId="14ADB627"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6731B93A"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Taikant išsami</w:t>
      </w:r>
      <w:r w:rsidR="00EC2F35" w:rsidRPr="00CE4C3C">
        <w:rPr>
          <w:rFonts w:ascii="Times New Roman" w:eastAsia="Times New Roman" w:hAnsi="Times New Roman" w:cs="Times New Roman"/>
          <w:lang w:eastAsia="lt-LT" w:bidi="lt-LT"/>
        </w:rPr>
        <w:t>u</w:t>
      </w:r>
      <w:r w:rsidRPr="00CE4C3C">
        <w:rPr>
          <w:rFonts w:ascii="Times New Roman" w:eastAsia="Times New Roman" w:hAnsi="Times New Roman" w:cs="Times New Roman"/>
          <w:lang w:eastAsia="lt-LT" w:bidi="lt-LT"/>
        </w:rPr>
        <w:t xml:space="preserve">s serijinius EKG vertinimus, kai ekspozicija buvo gydomoji arba didesnė už gydomąją, </w:t>
      </w:r>
      <w:proofErr w:type="spellStart"/>
      <w:r w:rsidRPr="00CE4C3C">
        <w:rPr>
          <w:rFonts w:ascii="Times New Roman" w:eastAsia="Times New Roman" w:hAnsi="Times New Roman" w:cs="Times New Roman"/>
          <w:lang w:eastAsia="lt-LT" w:bidi="lt-LT"/>
        </w:rPr>
        <w:t>QTc</w:t>
      </w:r>
      <w:proofErr w:type="spellEnd"/>
      <w:r w:rsidRPr="00CE4C3C">
        <w:rPr>
          <w:rFonts w:ascii="Times New Roman" w:eastAsia="Times New Roman" w:hAnsi="Times New Roman" w:cs="Times New Roman"/>
          <w:lang w:eastAsia="lt-LT" w:bidi="lt-LT"/>
        </w:rPr>
        <w:t xml:space="preserve"> intervalo pailgėjimo, kuris būtų įvertintas kaip ,,sunkus“ (t. y. 3 ar didesnio laipsnio pagal bendrųjų nepageidaujamų reiškinių terminijos kriterijų [angl. </w:t>
      </w:r>
      <w:proofErr w:type="spellStart"/>
      <w:r w:rsidRPr="00CE4C3C">
        <w:rPr>
          <w:rFonts w:ascii="Times New Roman" w:eastAsia="Times New Roman" w:hAnsi="Times New Roman" w:cs="Times New Roman"/>
          <w:i/>
          <w:lang w:eastAsia="lt-LT" w:bidi="lt-LT"/>
        </w:rPr>
        <w:t>Common</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Terminology</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Criteria</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for</w:t>
      </w:r>
      <w:proofErr w:type="spellEnd"/>
      <w:r w:rsidRPr="00CE4C3C">
        <w:rPr>
          <w:rFonts w:ascii="Times New Roman" w:eastAsia="Times New Roman" w:hAnsi="Times New Roman" w:cs="Times New Roman"/>
          <w:i/>
          <w:lang w:eastAsia="lt-LT" w:bidi="lt-LT"/>
        </w:rPr>
        <w:t xml:space="preserve"> Averse </w:t>
      </w:r>
      <w:proofErr w:type="spellStart"/>
      <w:r w:rsidRPr="00CE4C3C">
        <w:rPr>
          <w:rFonts w:ascii="Times New Roman" w:eastAsia="Times New Roman" w:hAnsi="Times New Roman" w:cs="Times New Roman"/>
          <w:i/>
          <w:lang w:eastAsia="lt-LT" w:bidi="lt-LT"/>
        </w:rPr>
        <w:t>Events</w:t>
      </w:r>
      <w:proofErr w:type="spellEnd"/>
      <w:r w:rsidRPr="00CE4C3C">
        <w:rPr>
          <w:rFonts w:ascii="Times New Roman" w:eastAsia="Times New Roman" w:hAnsi="Times New Roman" w:cs="Times New Roman"/>
          <w:lang w:eastAsia="lt-LT" w:bidi="lt-LT"/>
        </w:rPr>
        <w:t>, CTCAE], 3.0 versiją) nenustatyta nei vienam vertinimui tinkamam arba numatytos gydyti (angl. ITT) populiacijos pacientui.</w:t>
      </w:r>
    </w:p>
    <w:p w14:paraId="799BD5B6"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6A6299AE"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Esant gydomajai koncentracijai plazmoje, didžiausias vidutinis </w:t>
      </w:r>
      <w:proofErr w:type="spellStart"/>
      <w:r w:rsidRPr="00CE4C3C">
        <w:rPr>
          <w:rFonts w:ascii="Times New Roman" w:eastAsia="Times New Roman" w:hAnsi="Times New Roman" w:cs="Times New Roman"/>
          <w:lang w:eastAsia="lt-LT" w:bidi="lt-LT"/>
        </w:rPr>
        <w:t>QTcF</w:t>
      </w:r>
      <w:proofErr w:type="spellEnd"/>
      <w:r w:rsidRPr="00CE4C3C">
        <w:rPr>
          <w:rFonts w:ascii="Times New Roman" w:eastAsia="Times New Roman" w:hAnsi="Times New Roman" w:cs="Times New Roman"/>
          <w:lang w:eastAsia="lt-LT" w:bidi="lt-LT"/>
        </w:rPr>
        <w:t xml:space="preserve"> intervalo (koreguoto pagal Frideriką) pokytis, palyginti su buvusiu prieš tyrimą, buvo 9 </w:t>
      </w:r>
      <w:proofErr w:type="spellStart"/>
      <w:r w:rsidRPr="00CE4C3C">
        <w:rPr>
          <w:rFonts w:ascii="Times New Roman" w:eastAsia="Times New Roman" w:hAnsi="Times New Roman" w:cs="Times New Roman"/>
          <w:lang w:eastAsia="lt-LT" w:bidi="lt-LT"/>
        </w:rPr>
        <w:t>ms</w:t>
      </w:r>
      <w:proofErr w:type="spellEnd"/>
      <w:r w:rsidRPr="00CE4C3C">
        <w:rPr>
          <w:rFonts w:ascii="Times New Roman" w:eastAsia="Times New Roman" w:hAnsi="Times New Roman" w:cs="Times New Roman"/>
          <w:lang w:eastAsia="lt-LT" w:bidi="lt-LT"/>
        </w:rPr>
        <w:t xml:space="preserve"> (90 % PI: 15,1 </w:t>
      </w:r>
      <w:proofErr w:type="spellStart"/>
      <w:r w:rsidRPr="00CE4C3C">
        <w:rPr>
          <w:rFonts w:ascii="Times New Roman" w:eastAsia="Times New Roman" w:hAnsi="Times New Roman" w:cs="Times New Roman"/>
          <w:lang w:eastAsia="lt-LT" w:bidi="lt-LT"/>
        </w:rPr>
        <w:t>ms</w:t>
      </w:r>
      <w:proofErr w:type="spellEnd"/>
      <w:r w:rsidRPr="00CE4C3C">
        <w:rPr>
          <w:rFonts w:ascii="Times New Roman" w:eastAsia="Times New Roman" w:hAnsi="Times New Roman" w:cs="Times New Roman"/>
          <w:lang w:eastAsia="lt-LT" w:bidi="lt-LT"/>
        </w:rPr>
        <w:t xml:space="preserve">). Esant maždaug 2 kartus didesnei už gydomąją koncentracijai, didžiausias </w:t>
      </w:r>
      <w:proofErr w:type="spellStart"/>
      <w:r w:rsidRPr="00CE4C3C">
        <w:rPr>
          <w:rFonts w:ascii="Times New Roman" w:eastAsia="Times New Roman" w:hAnsi="Times New Roman" w:cs="Times New Roman"/>
          <w:lang w:eastAsia="lt-LT" w:bidi="lt-LT"/>
        </w:rPr>
        <w:t>QTcF</w:t>
      </w:r>
      <w:proofErr w:type="spellEnd"/>
      <w:r w:rsidRPr="00CE4C3C">
        <w:rPr>
          <w:rFonts w:ascii="Times New Roman" w:eastAsia="Times New Roman" w:hAnsi="Times New Roman" w:cs="Times New Roman"/>
          <w:lang w:eastAsia="lt-LT" w:bidi="lt-LT"/>
        </w:rPr>
        <w:t xml:space="preserve"> intervalo pokytis, palyginti su buvusiu prieš tyrimą, buvo 15,4 </w:t>
      </w:r>
      <w:proofErr w:type="spellStart"/>
      <w:r w:rsidRPr="00CE4C3C">
        <w:rPr>
          <w:rFonts w:ascii="Times New Roman" w:eastAsia="Times New Roman" w:hAnsi="Times New Roman" w:cs="Times New Roman"/>
          <w:lang w:eastAsia="lt-LT" w:bidi="lt-LT"/>
        </w:rPr>
        <w:t>ms</w:t>
      </w:r>
      <w:proofErr w:type="spellEnd"/>
      <w:r w:rsidRPr="00CE4C3C">
        <w:rPr>
          <w:rFonts w:ascii="Times New Roman" w:eastAsia="Times New Roman" w:hAnsi="Times New Roman" w:cs="Times New Roman"/>
          <w:lang w:eastAsia="lt-LT" w:bidi="lt-LT"/>
        </w:rPr>
        <w:t xml:space="preserve"> (90 % PI: 22,4 </w:t>
      </w:r>
      <w:proofErr w:type="spellStart"/>
      <w:r w:rsidRPr="00CE4C3C">
        <w:rPr>
          <w:rFonts w:ascii="Times New Roman" w:eastAsia="Times New Roman" w:hAnsi="Times New Roman" w:cs="Times New Roman"/>
          <w:lang w:eastAsia="lt-LT" w:bidi="lt-LT"/>
        </w:rPr>
        <w:t>ms</w:t>
      </w:r>
      <w:proofErr w:type="spellEnd"/>
      <w:r w:rsidRPr="00CE4C3C">
        <w:rPr>
          <w:rFonts w:ascii="Times New Roman" w:eastAsia="Times New Roman" w:hAnsi="Times New Roman" w:cs="Times New Roman"/>
          <w:lang w:eastAsia="lt-LT" w:bidi="lt-LT"/>
        </w:rPr>
        <w:t xml:space="preserve">). Teigiamai kontrolei vartojant </w:t>
      </w:r>
      <w:proofErr w:type="spellStart"/>
      <w:r w:rsidRPr="00CE4C3C">
        <w:rPr>
          <w:rFonts w:ascii="Times New Roman" w:eastAsia="Times New Roman" w:hAnsi="Times New Roman" w:cs="Times New Roman"/>
          <w:lang w:eastAsia="lt-LT" w:bidi="lt-LT"/>
        </w:rPr>
        <w:t>moksifloksaciną</w:t>
      </w:r>
      <w:proofErr w:type="spellEnd"/>
      <w:r w:rsidRPr="00CE4C3C">
        <w:rPr>
          <w:rFonts w:ascii="Times New Roman" w:eastAsia="Times New Roman" w:hAnsi="Times New Roman" w:cs="Times New Roman"/>
          <w:lang w:eastAsia="lt-LT" w:bidi="lt-LT"/>
        </w:rPr>
        <w:t xml:space="preserve"> (400 mg), vidutinis didžiausias </w:t>
      </w:r>
      <w:proofErr w:type="spellStart"/>
      <w:r w:rsidRPr="00CE4C3C">
        <w:rPr>
          <w:rFonts w:ascii="Times New Roman" w:eastAsia="Times New Roman" w:hAnsi="Times New Roman" w:cs="Times New Roman"/>
          <w:lang w:eastAsia="lt-LT" w:bidi="lt-LT"/>
        </w:rPr>
        <w:t>QTcF</w:t>
      </w:r>
      <w:proofErr w:type="spellEnd"/>
      <w:r w:rsidRPr="00CE4C3C">
        <w:rPr>
          <w:rFonts w:ascii="Times New Roman" w:eastAsia="Times New Roman" w:hAnsi="Times New Roman" w:cs="Times New Roman"/>
          <w:lang w:eastAsia="lt-LT" w:bidi="lt-LT"/>
        </w:rPr>
        <w:t xml:space="preserve"> intervalo pokytis, palyginti su buvusiu prieš tyrimą, buvo 5,6 </w:t>
      </w:r>
      <w:proofErr w:type="spellStart"/>
      <w:r w:rsidRPr="00CE4C3C">
        <w:rPr>
          <w:rFonts w:ascii="Times New Roman" w:eastAsia="Times New Roman" w:hAnsi="Times New Roman" w:cs="Times New Roman"/>
          <w:lang w:eastAsia="lt-LT" w:bidi="lt-LT"/>
        </w:rPr>
        <w:t>ms</w:t>
      </w:r>
      <w:proofErr w:type="spellEnd"/>
      <w:r w:rsidRPr="00CE4C3C">
        <w:rPr>
          <w:rFonts w:ascii="Times New Roman" w:eastAsia="Times New Roman" w:hAnsi="Times New Roman" w:cs="Times New Roman"/>
          <w:lang w:eastAsia="lt-LT" w:bidi="lt-LT"/>
        </w:rPr>
        <w:t xml:space="preserve">. Nei vienam asmeniui nenustatyta didesnio kaip 2 laipsnio poveikio </w:t>
      </w:r>
      <w:proofErr w:type="spellStart"/>
      <w:r w:rsidRPr="00CE4C3C">
        <w:rPr>
          <w:rFonts w:ascii="Times New Roman" w:eastAsia="Times New Roman" w:hAnsi="Times New Roman" w:cs="Times New Roman"/>
          <w:lang w:eastAsia="lt-LT" w:bidi="lt-LT"/>
        </w:rPr>
        <w:t>QTc</w:t>
      </w:r>
      <w:proofErr w:type="spellEnd"/>
      <w:r w:rsidRPr="00CE4C3C">
        <w:rPr>
          <w:rFonts w:ascii="Times New Roman" w:eastAsia="Times New Roman" w:hAnsi="Times New Roman" w:cs="Times New Roman"/>
          <w:lang w:eastAsia="lt-LT" w:bidi="lt-LT"/>
        </w:rPr>
        <w:t xml:space="preserve"> intervalui (pagal CTCAE 3.0 versiją) (žr. 4.4 skyrių).</w:t>
      </w:r>
    </w:p>
    <w:p w14:paraId="63AE9E12"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3CF30E07"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u w:val="single"/>
          <w:lang w:eastAsia="lt-LT" w:bidi="lt-LT"/>
        </w:rPr>
      </w:pPr>
      <w:r w:rsidRPr="00CE4C3C">
        <w:rPr>
          <w:rFonts w:ascii="Times New Roman" w:eastAsia="Times New Roman" w:hAnsi="Times New Roman" w:cs="Times New Roman"/>
          <w:u w:val="single"/>
          <w:lang w:eastAsia="lt-LT" w:bidi="lt-LT"/>
        </w:rPr>
        <w:t>Ilgalaikis saugumas sergant MILK</w:t>
      </w:r>
    </w:p>
    <w:p w14:paraId="536DF530"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lastRenderedPageBreak/>
        <w:t xml:space="preserve">Ilgalaikis sunitinibo saugumas MILK sergantiems pacientams analizuotas pagal 9 baigtų klinikinių tyrimų, atliktų vaistinio preparato skiriant kaip pirmiausia pasirenkamo, </w:t>
      </w:r>
      <w:proofErr w:type="spellStart"/>
      <w:r w:rsidRPr="00CE4C3C">
        <w:rPr>
          <w:rFonts w:ascii="Times New Roman" w:eastAsia="Times New Roman" w:hAnsi="Times New Roman" w:cs="Times New Roman"/>
          <w:lang w:eastAsia="lt-LT" w:bidi="lt-LT"/>
        </w:rPr>
        <w:t>bevacizumabui</w:t>
      </w:r>
      <w:proofErr w:type="spellEnd"/>
      <w:r w:rsidRPr="00CE4C3C">
        <w:rPr>
          <w:rFonts w:ascii="Times New Roman" w:eastAsia="Times New Roman" w:hAnsi="Times New Roman" w:cs="Times New Roman"/>
          <w:lang w:eastAsia="lt-LT" w:bidi="lt-LT"/>
        </w:rPr>
        <w:t xml:space="preserve"> atsparios ir </w:t>
      </w:r>
      <w:proofErr w:type="spellStart"/>
      <w:r w:rsidRPr="00CE4C3C">
        <w:rPr>
          <w:rFonts w:ascii="Times New Roman" w:eastAsia="Times New Roman" w:hAnsi="Times New Roman" w:cs="Times New Roman"/>
          <w:lang w:eastAsia="lt-LT" w:bidi="lt-LT"/>
        </w:rPr>
        <w:t>citokinams</w:t>
      </w:r>
      <w:proofErr w:type="spellEnd"/>
      <w:r w:rsidRPr="00CE4C3C">
        <w:rPr>
          <w:rFonts w:ascii="Times New Roman" w:eastAsia="Times New Roman" w:hAnsi="Times New Roman" w:cs="Times New Roman"/>
          <w:lang w:eastAsia="lt-LT" w:bidi="lt-LT"/>
        </w:rPr>
        <w:t xml:space="preserve"> atsparios ligos atvejais, 5739 pacientams, iš kurių 807 (14 %) gydyti ≥2 metus ir iki 6 metų, duomenis. Dauguma su gydymu susijusių nepageidaujamų reiškinių (GSNR) 807 pacientams, sunitinibu gydytiems ilgą laiką, pirmą kartą pasireiškė per pirmuosius 6 mėnesius arba 1 metus, o su laiku jų dažnis išliko stabilus arba sumažėjo, išskyrus </w:t>
      </w:r>
      <w:proofErr w:type="spellStart"/>
      <w:r w:rsidRPr="00CE4C3C">
        <w:rPr>
          <w:rFonts w:ascii="Times New Roman" w:eastAsia="Times New Roman" w:hAnsi="Times New Roman" w:cs="Times New Roman"/>
          <w:lang w:eastAsia="lt-LT" w:bidi="lt-LT"/>
        </w:rPr>
        <w:t>hipotirozę</w:t>
      </w:r>
      <w:proofErr w:type="spellEnd"/>
      <w:r w:rsidRPr="00CE4C3C">
        <w:rPr>
          <w:rFonts w:ascii="Times New Roman" w:eastAsia="Times New Roman" w:hAnsi="Times New Roman" w:cs="Times New Roman"/>
          <w:lang w:eastAsia="lt-LT" w:bidi="lt-LT"/>
        </w:rPr>
        <w:t>, kuri su laiku pasireikšdavo dažniau ir visą 6 metų laikotarpį atsirasdavo naujų atvejų. Manoma, kad ilgalaikis gydymas sunitinibu nesusijęs su naujų rūšių GSNR.</w:t>
      </w:r>
    </w:p>
    <w:p w14:paraId="3C6419B0"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673A5A50"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u w:val="single"/>
          <w:lang w:eastAsia="lt-LT" w:bidi="lt-LT"/>
        </w:rPr>
      </w:pPr>
      <w:r w:rsidRPr="00CE4C3C">
        <w:rPr>
          <w:rFonts w:ascii="Times New Roman" w:eastAsia="Times New Roman" w:hAnsi="Times New Roman" w:cs="Times New Roman"/>
          <w:u w:val="single"/>
          <w:lang w:eastAsia="lt-LT" w:bidi="lt-LT"/>
        </w:rPr>
        <w:t>Vaikų populiacija</w:t>
      </w:r>
    </w:p>
    <w:p w14:paraId="44A7A60C"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Sunitinibo saugumo apibūdinimas pagrįstas 1 fazės dozės eskalavimo tyrimo, 2 fazės atvirojo tyrimo, 1/2 fazės vienos šakos tyrimo ir straipsnių duomenimis, kaip aprašyta toliau.</w:t>
      </w:r>
    </w:p>
    <w:p w14:paraId="6E9A0548"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25C97CB7" w14:textId="7E3EB545"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1 fazės per burną vartojamo sunitinibo dozės eskalavimo tyrime dalyvavo 35 pacientai, iš kurių 30 buvo pediatriniai pacientai (nuo 3 iki 17 metų) ir 5 jauni suaugę pacientai (nuo 18 iki 21 metų), kuriems buvo gydymui </w:t>
      </w:r>
      <w:proofErr w:type="spellStart"/>
      <w:r w:rsidRPr="00CE4C3C">
        <w:rPr>
          <w:rFonts w:ascii="Times New Roman" w:eastAsia="Times New Roman" w:hAnsi="Times New Roman" w:cs="Times New Roman"/>
          <w:lang w:eastAsia="lt-LT" w:bidi="lt-LT"/>
        </w:rPr>
        <w:t>rezistentiškų</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solidinių</w:t>
      </w:r>
      <w:proofErr w:type="spellEnd"/>
      <w:r w:rsidRPr="00CE4C3C">
        <w:rPr>
          <w:rFonts w:ascii="Times New Roman" w:eastAsia="Times New Roman" w:hAnsi="Times New Roman" w:cs="Times New Roman"/>
          <w:lang w:eastAsia="lt-LT" w:bidi="lt-LT"/>
        </w:rPr>
        <w:t xml:space="preserve"> navikų; daugumai šių pacientų pagrindinė diagnozė buvo galvos smegenų navikas. Visiems tyrimo dalyviams vaistinis preparatas sukėlė nepageidaujamų reakcijų, iš kurių dauguma buvo sunkios (≥3 toksiškumo laipsnio), įskaitant toksinį poveikį širdžiai. Dažniausios nepageidaujamos reakcijos buvo toksinis poveikis virškinimo traktui (VT), </w:t>
      </w:r>
      <w:proofErr w:type="spellStart"/>
      <w:r w:rsidRPr="00CE4C3C">
        <w:rPr>
          <w:rFonts w:ascii="Times New Roman" w:eastAsia="Times New Roman" w:hAnsi="Times New Roman" w:cs="Times New Roman"/>
          <w:lang w:eastAsia="lt-LT" w:bidi="lt-LT"/>
        </w:rPr>
        <w:t>neutropenija</w:t>
      </w:r>
      <w:proofErr w:type="spellEnd"/>
      <w:r w:rsidRPr="00CE4C3C">
        <w:rPr>
          <w:rFonts w:ascii="Times New Roman" w:eastAsia="Times New Roman" w:hAnsi="Times New Roman" w:cs="Times New Roman"/>
          <w:lang w:eastAsia="lt-LT" w:bidi="lt-LT"/>
        </w:rPr>
        <w:t xml:space="preserve">, nuovargis ir padidėjęs ALT aktyvumas. Nustatyta, kad nepageidaujamų reakcijų širdžiai rizika buvo didesnė pediatriniams pacientams, kuriems anksčiau taikytas širdies švitinimas arba gydymas </w:t>
      </w:r>
      <w:proofErr w:type="spellStart"/>
      <w:r w:rsidRPr="00CE4C3C">
        <w:rPr>
          <w:rFonts w:ascii="Times New Roman" w:eastAsia="Times New Roman" w:hAnsi="Times New Roman" w:cs="Times New Roman"/>
          <w:lang w:eastAsia="lt-LT" w:bidi="lt-LT"/>
        </w:rPr>
        <w:t>antraciklinais</w:t>
      </w:r>
      <w:proofErr w:type="spellEnd"/>
      <w:r w:rsidRPr="00CE4C3C">
        <w:rPr>
          <w:rFonts w:ascii="Times New Roman" w:eastAsia="Times New Roman" w:hAnsi="Times New Roman" w:cs="Times New Roman"/>
          <w:lang w:eastAsia="lt-LT" w:bidi="lt-LT"/>
        </w:rPr>
        <w:t xml:space="preserve">, palyginti su pediatriniais pacientais, kuriems toks gydymas netaikytas. Šiems pediatriniams pacientams, kuriems anksčiau netaikytas širdies švitinimas arba gydymas </w:t>
      </w:r>
      <w:proofErr w:type="spellStart"/>
      <w:r w:rsidRPr="00CE4C3C">
        <w:rPr>
          <w:rFonts w:ascii="Times New Roman" w:eastAsia="Times New Roman" w:hAnsi="Times New Roman" w:cs="Times New Roman"/>
          <w:lang w:eastAsia="lt-LT" w:bidi="lt-LT"/>
        </w:rPr>
        <w:t>antraciklinais</w:t>
      </w:r>
      <w:proofErr w:type="spellEnd"/>
      <w:r w:rsidRPr="00CE4C3C">
        <w:rPr>
          <w:rFonts w:ascii="Times New Roman" w:eastAsia="Times New Roman" w:hAnsi="Times New Roman" w:cs="Times New Roman"/>
          <w:lang w:eastAsia="lt-LT" w:bidi="lt-LT"/>
        </w:rPr>
        <w:t>, nustatyta didžiausia toleruojama dozė (MTD) (žr. 5.1 skyrių).</w:t>
      </w:r>
    </w:p>
    <w:p w14:paraId="3DC23F23"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5FFD0691" w14:textId="6086B328"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Atliktas 2 fazės atvirasis tyrimas, kuriame dalyvavo 29 pacientai, iš kurių 27 buvo </w:t>
      </w:r>
      <w:r w:rsidR="008C0224" w:rsidRPr="00CE4C3C">
        <w:rPr>
          <w:rFonts w:ascii="Times New Roman" w:eastAsia="Times New Roman" w:hAnsi="Times New Roman" w:cs="Times New Roman"/>
          <w:lang w:eastAsia="lt-LT" w:bidi="lt-LT"/>
        </w:rPr>
        <w:t>pediatriniai pacientai</w:t>
      </w:r>
      <w:r w:rsidRPr="00CE4C3C">
        <w:rPr>
          <w:rFonts w:ascii="Times New Roman" w:eastAsia="Times New Roman" w:hAnsi="Times New Roman" w:cs="Times New Roman"/>
          <w:lang w:eastAsia="lt-LT" w:bidi="lt-LT"/>
        </w:rPr>
        <w:t xml:space="preserve"> (nuo 3 iki 16 metų) ir 2 jauni suaugę (nuo 18 iki 19 metų) pacientai, sergantys atsinaujinusia / progresuojančia / gydymui </w:t>
      </w:r>
      <w:proofErr w:type="spellStart"/>
      <w:r w:rsidRPr="00CE4C3C">
        <w:rPr>
          <w:rFonts w:ascii="Times New Roman" w:eastAsia="Times New Roman" w:hAnsi="Times New Roman" w:cs="Times New Roman"/>
          <w:lang w:eastAsia="lt-LT" w:bidi="lt-LT"/>
        </w:rPr>
        <w:t>rezistentiška</w:t>
      </w:r>
      <w:proofErr w:type="spellEnd"/>
      <w:r w:rsidRPr="00CE4C3C">
        <w:rPr>
          <w:rFonts w:ascii="Times New Roman" w:eastAsia="Times New Roman" w:hAnsi="Times New Roman" w:cs="Times New Roman"/>
          <w:lang w:eastAsia="lt-LT" w:bidi="lt-LT"/>
        </w:rPr>
        <w:t xml:space="preserve"> didelio laipsnio </w:t>
      </w:r>
      <w:proofErr w:type="spellStart"/>
      <w:r w:rsidRPr="00CE4C3C">
        <w:rPr>
          <w:rFonts w:ascii="Times New Roman" w:eastAsia="Times New Roman" w:hAnsi="Times New Roman" w:cs="Times New Roman"/>
          <w:lang w:eastAsia="lt-LT" w:bidi="lt-LT"/>
        </w:rPr>
        <w:t>glioma</w:t>
      </w:r>
      <w:proofErr w:type="spellEnd"/>
      <w:r w:rsidRPr="00CE4C3C">
        <w:rPr>
          <w:rFonts w:ascii="Times New Roman" w:eastAsia="Times New Roman" w:hAnsi="Times New Roman" w:cs="Times New Roman"/>
          <w:lang w:eastAsia="lt-LT" w:bidi="lt-LT"/>
        </w:rPr>
        <w:t xml:space="preserve"> (DLG) arba </w:t>
      </w:r>
      <w:proofErr w:type="spellStart"/>
      <w:r w:rsidRPr="00CE4C3C">
        <w:rPr>
          <w:rFonts w:ascii="Times New Roman" w:eastAsia="Times New Roman" w:hAnsi="Times New Roman" w:cs="Times New Roman"/>
          <w:lang w:eastAsia="lt-LT" w:bidi="lt-LT"/>
        </w:rPr>
        <w:t>ependimoma</w:t>
      </w:r>
      <w:proofErr w:type="spellEnd"/>
      <w:r w:rsidRPr="00CE4C3C">
        <w:rPr>
          <w:rFonts w:ascii="Times New Roman" w:eastAsia="Times New Roman" w:hAnsi="Times New Roman" w:cs="Times New Roman"/>
          <w:lang w:eastAsia="lt-LT" w:bidi="lt-LT"/>
        </w:rPr>
        <w:t xml:space="preserve">. Nė vienoje grupėje nenustatyta 5 laipsnio nepageidaujamų reakcijų. Dažniausi (≥ 10 %) su gydymu susiję nepageidaujami reiškiniai buvo </w:t>
      </w:r>
      <w:proofErr w:type="spellStart"/>
      <w:r w:rsidRPr="00CE4C3C">
        <w:rPr>
          <w:rFonts w:ascii="Times New Roman" w:eastAsia="Times New Roman" w:hAnsi="Times New Roman" w:cs="Times New Roman"/>
          <w:lang w:eastAsia="lt-LT" w:bidi="lt-LT"/>
        </w:rPr>
        <w:t>neutrofilų</w:t>
      </w:r>
      <w:proofErr w:type="spellEnd"/>
      <w:r w:rsidRPr="00CE4C3C">
        <w:rPr>
          <w:rFonts w:ascii="Times New Roman" w:eastAsia="Times New Roman" w:hAnsi="Times New Roman" w:cs="Times New Roman"/>
          <w:lang w:eastAsia="lt-LT" w:bidi="lt-LT"/>
        </w:rPr>
        <w:t xml:space="preserve"> skaičiaus sumažėjimas (6 pacientams [20,7 %]) ir intrakranijinis kraujavimas (3 pacientams [10,3 %]).</w:t>
      </w:r>
    </w:p>
    <w:p w14:paraId="08F1D540"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408EB34B" w14:textId="0A00823E"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highlight w:val="yellow"/>
          <w:lang w:eastAsia="lt-LT" w:bidi="lt-LT"/>
        </w:rPr>
      </w:pPr>
      <w:r w:rsidRPr="00CE4C3C">
        <w:rPr>
          <w:rFonts w:ascii="Times New Roman" w:eastAsia="Times New Roman" w:hAnsi="Times New Roman" w:cs="Times New Roman"/>
          <w:lang w:eastAsia="lt-LT" w:bidi="lt-LT"/>
        </w:rPr>
        <w:t xml:space="preserve">Atliktas 1/2 fazės vienos grupės tyrimas, kuriame dalyvavo 6 </w:t>
      </w:r>
      <w:r w:rsidR="008C0224" w:rsidRPr="00CE4C3C">
        <w:rPr>
          <w:rFonts w:ascii="Times New Roman" w:eastAsia="Times New Roman" w:hAnsi="Times New Roman" w:cs="Times New Roman"/>
          <w:lang w:eastAsia="lt-LT" w:bidi="lt-LT"/>
        </w:rPr>
        <w:t>pediatriniai pacientai</w:t>
      </w:r>
      <w:r w:rsidRPr="00CE4C3C">
        <w:rPr>
          <w:rFonts w:ascii="Times New Roman" w:eastAsia="Times New Roman" w:hAnsi="Times New Roman" w:cs="Times New Roman"/>
          <w:lang w:eastAsia="lt-LT" w:bidi="lt-LT"/>
        </w:rPr>
        <w:t xml:space="preserve"> (nuo 13 iki 16 metų), sergantys pažengusiu neoperuo</w:t>
      </w:r>
      <w:r w:rsidR="00562251">
        <w:rPr>
          <w:rFonts w:ascii="Times New Roman" w:eastAsia="Times New Roman" w:hAnsi="Times New Roman" w:cs="Times New Roman"/>
          <w:lang w:eastAsia="lt-LT" w:bidi="lt-LT"/>
        </w:rPr>
        <w:t>tinu</w:t>
      </w:r>
      <w:r w:rsidRPr="00CE4C3C">
        <w:rPr>
          <w:rFonts w:ascii="Times New Roman" w:eastAsia="Times New Roman" w:hAnsi="Times New Roman" w:cs="Times New Roman"/>
          <w:lang w:eastAsia="lt-LT" w:bidi="lt-LT"/>
        </w:rPr>
        <w:t xml:space="preserve"> GIST. Dažniausios nepageidaujamos reakcijos į vaistinį preparatą buvo viduriavimas, pykinimas, leukocitų skaičiaus sumažėjimas, </w:t>
      </w:r>
      <w:proofErr w:type="spellStart"/>
      <w:r w:rsidRPr="00CE4C3C">
        <w:rPr>
          <w:rFonts w:ascii="Times New Roman" w:eastAsia="Times New Roman" w:hAnsi="Times New Roman" w:cs="Times New Roman"/>
          <w:lang w:eastAsia="lt-LT" w:bidi="lt-LT"/>
        </w:rPr>
        <w:t>neutropenija</w:t>
      </w:r>
      <w:proofErr w:type="spellEnd"/>
      <w:r w:rsidRPr="00CE4C3C">
        <w:rPr>
          <w:rFonts w:ascii="Times New Roman" w:eastAsia="Times New Roman" w:hAnsi="Times New Roman" w:cs="Times New Roman"/>
          <w:lang w:eastAsia="lt-LT" w:bidi="lt-LT"/>
        </w:rPr>
        <w:t xml:space="preserve"> ir galvos skausmas, kiekviena jų pasireiškė 3 pacientams (50,0 %), pagal sunkumą jos buvo 1 arba 2 laipsnio. Keturiems iš 6 pacientų (66,7 %) pasireiškė 3</w:t>
      </w:r>
      <w:r w:rsidR="008C0224" w:rsidRPr="00CE4C3C">
        <w:rPr>
          <w:rFonts w:ascii="Times New Roman" w:eastAsia="Times New Roman" w:hAnsi="Times New Roman" w:cs="Times New Roman"/>
          <w:lang w:eastAsia="lt-LT" w:bidi="lt-LT"/>
        </w:rPr>
        <w:t>–</w:t>
      </w:r>
      <w:r w:rsidRPr="00CE4C3C">
        <w:rPr>
          <w:rFonts w:ascii="Times New Roman" w:eastAsia="Times New Roman" w:hAnsi="Times New Roman" w:cs="Times New Roman"/>
          <w:lang w:eastAsia="lt-LT" w:bidi="lt-LT"/>
        </w:rPr>
        <w:t xml:space="preserve">4 laipsnio su gydymu susiję nepageidaujami reiškiniai (3 laipsnio </w:t>
      </w:r>
      <w:proofErr w:type="spellStart"/>
      <w:r w:rsidRPr="00CE4C3C">
        <w:rPr>
          <w:rFonts w:ascii="Times New Roman" w:eastAsia="Times New Roman" w:hAnsi="Times New Roman" w:cs="Times New Roman"/>
          <w:lang w:eastAsia="lt-LT" w:bidi="lt-LT"/>
        </w:rPr>
        <w:t>hipofosfatemija</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neutropenija</w:t>
      </w:r>
      <w:proofErr w:type="spellEnd"/>
      <w:r w:rsidRPr="00CE4C3C">
        <w:rPr>
          <w:rFonts w:ascii="Times New Roman" w:eastAsia="Times New Roman" w:hAnsi="Times New Roman" w:cs="Times New Roman"/>
          <w:lang w:eastAsia="lt-LT" w:bidi="lt-LT"/>
        </w:rPr>
        <w:t xml:space="preserve"> ir </w:t>
      </w:r>
      <w:proofErr w:type="spellStart"/>
      <w:r w:rsidRPr="00CE4C3C">
        <w:rPr>
          <w:rFonts w:ascii="Times New Roman" w:eastAsia="Times New Roman" w:hAnsi="Times New Roman" w:cs="Times New Roman"/>
          <w:lang w:eastAsia="lt-LT" w:bidi="lt-LT"/>
        </w:rPr>
        <w:t>trombocitopenija</w:t>
      </w:r>
      <w:proofErr w:type="spellEnd"/>
      <w:r w:rsidRPr="00CE4C3C">
        <w:rPr>
          <w:rFonts w:ascii="Times New Roman" w:eastAsia="Times New Roman" w:hAnsi="Times New Roman" w:cs="Times New Roman"/>
          <w:lang w:eastAsia="lt-LT" w:bidi="lt-LT"/>
        </w:rPr>
        <w:t xml:space="preserve">, kiekvieną jų atskirai patyrė po 1 pacientą, taip pat 1 pacientui pasireiškė 4 laipsnio </w:t>
      </w:r>
      <w:proofErr w:type="spellStart"/>
      <w:r w:rsidRPr="00CE4C3C">
        <w:rPr>
          <w:rFonts w:ascii="Times New Roman" w:eastAsia="Times New Roman" w:hAnsi="Times New Roman" w:cs="Times New Roman"/>
          <w:lang w:eastAsia="lt-LT" w:bidi="lt-LT"/>
        </w:rPr>
        <w:t>neutropenija</w:t>
      </w:r>
      <w:proofErr w:type="spellEnd"/>
      <w:r w:rsidRPr="00CE4C3C">
        <w:rPr>
          <w:rFonts w:ascii="Times New Roman" w:eastAsia="Times New Roman" w:hAnsi="Times New Roman" w:cs="Times New Roman"/>
          <w:lang w:eastAsia="lt-LT" w:bidi="lt-LT"/>
        </w:rPr>
        <w:t>). Tyrimo metu negauta pranešimų apie sunkius nepageidaujamus reiškinius (SNR) arba 5 laipsnio nepageidaujamas reakcijas į vaistinį preparatą. Saugumo apibūdinimas tiek klinikiniame tyrime, tiek straipsniuose buvo panašus į saugumo apibūdinimą suaugusiesiems.</w:t>
      </w:r>
    </w:p>
    <w:p w14:paraId="3D81232E"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1E2F7ADF" w14:textId="77777777" w:rsidR="00F17A0C" w:rsidRPr="00CE4C3C" w:rsidRDefault="00F17A0C" w:rsidP="00CE4C3C">
      <w:pPr>
        <w:tabs>
          <w:tab w:val="left" w:pos="567"/>
        </w:tabs>
        <w:autoSpaceDE w:val="0"/>
        <w:autoSpaceDN w:val="0"/>
        <w:adjustRightInd w:val="0"/>
        <w:spacing w:line="240" w:lineRule="auto"/>
        <w:jc w:val="both"/>
        <w:rPr>
          <w:rFonts w:ascii="Times New Roman" w:eastAsia="Times New Roman" w:hAnsi="Times New Roman" w:cs="Times New Roman"/>
          <w:snapToGrid w:val="0"/>
          <w:u w:val="single"/>
        </w:rPr>
      </w:pPr>
      <w:r w:rsidRPr="00CE4C3C">
        <w:rPr>
          <w:rFonts w:ascii="Times New Roman" w:eastAsia="Times New Roman" w:hAnsi="Times New Roman" w:cs="Times New Roman"/>
          <w:snapToGrid w:val="0"/>
          <w:u w:val="single"/>
        </w:rPr>
        <w:t>Pranešimas apie įtariamas nepageidaujamas reakcijas</w:t>
      </w:r>
    </w:p>
    <w:p w14:paraId="1D9B4FD2" w14:textId="7D73CC9D" w:rsidR="00F17A0C" w:rsidRPr="00CE4C3C" w:rsidRDefault="0033553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33553C">
        <w:rPr>
          <w:rFonts w:ascii="Times New Roman" w:eastAsia="Times New Roman" w:hAnsi="Times New Roman" w:cs="Times New Roman"/>
          <w:snapToGrid w:val="0"/>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6A51EDC0"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b/>
          <w:lang w:eastAsia="lt-LT" w:bidi="lt-LT"/>
        </w:rPr>
      </w:pPr>
      <w:r w:rsidRPr="00CE4C3C">
        <w:rPr>
          <w:rFonts w:ascii="Times New Roman" w:eastAsia="Times New Roman" w:hAnsi="Times New Roman" w:cs="Times New Roman"/>
          <w:b/>
          <w:lang w:eastAsia="lt-LT" w:bidi="lt-LT"/>
        </w:rPr>
        <w:t>4.9</w:t>
      </w:r>
      <w:r w:rsidRPr="00CE4C3C">
        <w:rPr>
          <w:rFonts w:ascii="Times New Roman" w:eastAsia="Times New Roman" w:hAnsi="Times New Roman" w:cs="Times New Roman"/>
          <w:b/>
          <w:lang w:eastAsia="lt-LT" w:bidi="lt-LT"/>
        </w:rPr>
        <w:tab/>
        <w:t xml:space="preserve"> Perdozavimas</w:t>
      </w:r>
    </w:p>
    <w:p w14:paraId="641ABD02"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70D1E2E5"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Perdozavus </w:t>
      </w:r>
      <w:r w:rsidR="008C0224" w:rsidRPr="00CE4C3C">
        <w:rPr>
          <w:rFonts w:ascii="Times New Roman" w:eastAsia="Times New Roman" w:hAnsi="Times New Roman" w:cs="Times New Roman"/>
          <w:lang w:eastAsia="lt-LT" w:bidi="lt-LT"/>
        </w:rPr>
        <w:t>sunitinibo</w:t>
      </w:r>
      <w:r w:rsidRPr="00CE4C3C">
        <w:rPr>
          <w:rFonts w:ascii="Times New Roman" w:eastAsia="Times New Roman" w:hAnsi="Times New Roman" w:cs="Times New Roman"/>
          <w:lang w:eastAsia="lt-LT" w:bidi="lt-LT"/>
        </w:rPr>
        <w:t>, specifinio priešnuodžio nėra, perdozavimo atveju turi būti taikomas bendros palaikomosios priemonės. Prireikus neabsorbuotą veikliąją medžiagą galima pašalinti sukėlus vėmimą arba plaunant skrandį. Pranešta apie perdozavimo atvejus; kai kurie atvejai buvo susiję su nepageidaujamomis reakcijomis, kurios atitiko žinomą sunitinibo apibūdinimą.</w:t>
      </w:r>
    </w:p>
    <w:p w14:paraId="3EFA5DFB"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p>
    <w:p w14:paraId="25F44A8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27DB65BF" w14:textId="77777777" w:rsidR="00F17A0C" w:rsidRPr="00CE4C3C" w:rsidRDefault="00F17A0C" w:rsidP="00CE4C3C">
      <w:pPr>
        <w:tabs>
          <w:tab w:val="left" w:pos="567"/>
        </w:tabs>
        <w:spacing w:line="240" w:lineRule="auto"/>
        <w:ind w:left="567" w:hanging="567"/>
        <w:rPr>
          <w:rFonts w:ascii="Times New Roman" w:eastAsia="Times New Roman" w:hAnsi="Times New Roman" w:cs="Times New Roman"/>
          <w:lang w:eastAsia="lt-LT"/>
        </w:rPr>
      </w:pPr>
      <w:r w:rsidRPr="00CE4C3C">
        <w:rPr>
          <w:rFonts w:ascii="Times New Roman" w:eastAsia="Times New Roman" w:hAnsi="Times New Roman" w:cs="Times New Roman"/>
          <w:b/>
          <w:lang w:eastAsia="lt-LT"/>
        </w:rPr>
        <w:lastRenderedPageBreak/>
        <w:t>5.</w:t>
      </w:r>
      <w:r w:rsidRPr="00CE4C3C">
        <w:rPr>
          <w:rFonts w:ascii="Times New Roman" w:eastAsia="Times New Roman" w:hAnsi="Times New Roman" w:cs="Times New Roman"/>
          <w:b/>
          <w:lang w:eastAsia="lt-LT"/>
        </w:rPr>
        <w:tab/>
        <w:t>FARMAKOLOGINĖS SAVYBĖS</w:t>
      </w:r>
    </w:p>
    <w:p w14:paraId="26DB2848"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40A5081B" w14:textId="77777777" w:rsidR="00F17A0C" w:rsidRPr="00CE4C3C" w:rsidRDefault="00F17A0C" w:rsidP="00CE4C3C">
      <w:pPr>
        <w:tabs>
          <w:tab w:val="left" w:pos="567"/>
        </w:tabs>
        <w:spacing w:line="240" w:lineRule="auto"/>
        <w:ind w:left="567" w:hanging="567"/>
        <w:rPr>
          <w:rFonts w:ascii="Times New Roman" w:eastAsia="Times New Roman" w:hAnsi="Times New Roman" w:cs="Times New Roman"/>
          <w:lang w:eastAsia="lt-LT"/>
        </w:rPr>
      </w:pPr>
      <w:r w:rsidRPr="00CE4C3C">
        <w:rPr>
          <w:rFonts w:ascii="Times New Roman" w:eastAsia="Times New Roman" w:hAnsi="Times New Roman" w:cs="Times New Roman"/>
          <w:b/>
          <w:lang w:eastAsia="lt-LT"/>
        </w:rPr>
        <w:t>5.1</w:t>
      </w:r>
      <w:r w:rsidRPr="00CE4C3C">
        <w:rPr>
          <w:rFonts w:ascii="Times New Roman" w:eastAsia="Times New Roman" w:hAnsi="Times New Roman" w:cs="Times New Roman"/>
          <w:b/>
          <w:lang w:eastAsia="lt-LT"/>
        </w:rPr>
        <w:tab/>
        <w:t>Farmakodinaminės savybės</w:t>
      </w:r>
    </w:p>
    <w:p w14:paraId="1634C542"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p>
    <w:p w14:paraId="01803977"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Farmakoterapinė</w:t>
      </w:r>
      <w:proofErr w:type="spellEnd"/>
      <w:r w:rsidRPr="00CE4C3C">
        <w:rPr>
          <w:rFonts w:ascii="Times New Roman" w:eastAsia="Times New Roman" w:hAnsi="Times New Roman" w:cs="Times New Roman"/>
          <w:lang w:eastAsia="lt-LT" w:bidi="lt-LT"/>
        </w:rPr>
        <w:t xml:space="preserve"> grupė – </w:t>
      </w:r>
      <w:proofErr w:type="spellStart"/>
      <w:r w:rsidRPr="00CE4C3C">
        <w:rPr>
          <w:rFonts w:ascii="Times New Roman" w:eastAsia="Times New Roman" w:hAnsi="Times New Roman" w:cs="Times New Roman"/>
          <w:lang w:eastAsia="lt-LT" w:bidi="lt-LT"/>
        </w:rPr>
        <w:t>antinavikiniai</w:t>
      </w:r>
      <w:proofErr w:type="spellEnd"/>
      <w:r w:rsidRPr="00CE4C3C">
        <w:rPr>
          <w:rFonts w:ascii="Times New Roman" w:eastAsia="Times New Roman" w:hAnsi="Times New Roman" w:cs="Times New Roman"/>
          <w:lang w:eastAsia="lt-LT" w:bidi="lt-LT"/>
        </w:rPr>
        <w:t xml:space="preserve"> vaistiniai preparatai, </w:t>
      </w:r>
      <w:proofErr w:type="spellStart"/>
      <w:r w:rsidRPr="00CE4C3C">
        <w:rPr>
          <w:rFonts w:ascii="Times New Roman" w:eastAsia="Times New Roman" w:hAnsi="Times New Roman" w:cs="Times New Roman"/>
          <w:lang w:eastAsia="lt-LT" w:bidi="lt-LT"/>
        </w:rPr>
        <w:t>proteinkinazės</w:t>
      </w:r>
      <w:proofErr w:type="spellEnd"/>
      <w:r w:rsidRPr="00CE4C3C">
        <w:rPr>
          <w:rFonts w:ascii="Times New Roman" w:eastAsia="Times New Roman" w:hAnsi="Times New Roman" w:cs="Times New Roman"/>
          <w:lang w:eastAsia="lt-LT" w:bidi="lt-LT"/>
        </w:rPr>
        <w:t xml:space="preserve"> inhibitoriai.</w:t>
      </w:r>
    </w:p>
    <w:p w14:paraId="2F293E75" w14:textId="72555BE0"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ATC kodas – L01</w:t>
      </w:r>
      <w:r w:rsidR="005265B0">
        <w:rPr>
          <w:rFonts w:ascii="Times New Roman" w:eastAsia="Times New Roman" w:hAnsi="Times New Roman" w:cs="Times New Roman"/>
          <w:lang w:eastAsia="lt-LT" w:bidi="lt-LT"/>
        </w:rPr>
        <w:t>EX01</w:t>
      </w:r>
      <w:r w:rsidRPr="00CE4C3C">
        <w:rPr>
          <w:rFonts w:ascii="Times New Roman" w:eastAsia="Times New Roman" w:hAnsi="Times New Roman" w:cs="Times New Roman"/>
          <w:lang w:eastAsia="lt-LT" w:bidi="lt-LT"/>
        </w:rPr>
        <w:t>.</w:t>
      </w:r>
    </w:p>
    <w:p w14:paraId="5C4DD922"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b/>
          <w:lang w:eastAsia="lt-LT" w:bidi="lt-LT"/>
        </w:rPr>
      </w:pPr>
    </w:p>
    <w:p w14:paraId="318FCF65"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u w:val="single"/>
          <w:lang w:eastAsia="lt-LT" w:bidi="lt-LT"/>
        </w:rPr>
        <w:t>Veikimo mechanizmas</w:t>
      </w:r>
    </w:p>
    <w:p w14:paraId="75143659" w14:textId="2D180E03" w:rsidR="00F17A0C" w:rsidRDefault="00F17A0C" w:rsidP="00CE4C3C">
      <w:pPr>
        <w:spacing w:line="240" w:lineRule="auto"/>
        <w:rPr>
          <w:rFonts w:ascii="Times New Roman" w:eastAsia="Calibri" w:hAnsi="Times New Roman" w:cs="Times New Roman"/>
        </w:rPr>
      </w:pPr>
      <w:proofErr w:type="spellStart"/>
      <w:r w:rsidRPr="00CE4C3C">
        <w:rPr>
          <w:rFonts w:ascii="Times New Roman" w:eastAsia="Calibri" w:hAnsi="Times New Roman" w:cs="Times New Roman"/>
        </w:rPr>
        <w:t>Sunitinibas</w:t>
      </w:r>
      <w:proofErr w:type="spellEnd"/>
      <w:r w:rsidRPr="00CE4C3C">
        <w:rPr>
          <w:rFonts w:ascii="Times New Roman" w:eastAsia="Calibri" w:hAnsi="Times New Roman" w:cs="Times New Roman"/>
        </w:rPr>
        <w:t xml:space="preserve"> slopina daugialypius </w:t>
      </w:r>
      <w:proofErr w:type="spellStart"/>
      <w:r w:rsidRPr="00CE4C3C">
        <w:rPr>
          <w:rFonts w:ascii="Times New Roman" w:eastAsia="Calibri" w:hAnsi="Times New Roman" w:cs="Times New Roman"/>
        </w:rPr>
        <w:t>tirozino</w:t>
      </w:r>
      <w:proofErr w:type="spellEnd"/>
      <w:r w:rsidRPr="00CE4C3C">
        <w:rPr>
          <w:rFonts w:ascii="Times New Roman" w:eastAsia="Calibri" w:hAnsi="Times New Roman" w:cs="Times New Roman"/>
        </w:rPr>
        <w:t xml:space="preserve"> </w:t>
      </w:r>
      <w:proofErr w:type="spellStart"/>
      <w:r w:rsidRPr="00CE4C3C">
        <w:rPr>
          <w:rFonts w:ascii="Times New Roman" w:eastAsia="Calibri" w:hAnsi="Times New Roman" w:cs="Times New Roman"/>
        </w:rPr>
        <w:t>kinazės</w:t>
      </w:r>
      <w:proofErr w:type="spellEnd"/>
      <w:r w:rsidRPr="00CE4C3C">
        <w:rPr>
          <w:rFonts w:ascii="Times New Roman" w:eastAsia="Calibri" w:hAnsi="Times New Roman" w:cs="Times New Roman"/>
        </w:rPr>
        <w:t xml:space="preserve"> receptorius (TKR), nuo kurių priklauso naviko augimas, </w:t>
      </w:r>
      <w:proofErr w:type="spellStart"/>
      <w:r w:rsidRPr="00CE4C3C">
        <w:rPr>
          <w:rFonts w:ascii="Times New Roman" w:eastAsia="Calibri" w:hAnsi="Times New Roman" w:cs="Times New Roman"/>
        </w:rPr>
        <w:t>neoangiogenezė</w:t>
      </w:r>
      <w:proofErr w:type="spellEnd"/>
      <w:r w:rsidRPr="00CE4C3C">
        <w:rPr>
          <w:rFonts w:ascii="Times New Roman" w:eastAsia="Calibri" w:hAnsi="Times New Roman" w:cs="Times New Roman"/>
        </w:rPr>
        <w:t xml:space="preserve"> ir vėžio </w:t>
      </w:r>
      <w:proofErr w:type="spellStart"/>
      <w:r w:rsidRPr="00CE4C3C">
        <w:rPr>
          <w:rFonts w:ascii="Times New Roman" w:eastAsia="Calibri" w:hAnsi="Times New Roman" w:cs="Times New Roman"/>
        </w:rPr>
        <w:t>metastazinis</w:t>
      </w:r>
      <w:proofErr w:type="spellEnd"/>
      <w:r w:rsidRPr="00CE4C3C">
        <w:rPr>
          <w:rFonts w:ascii="Times New Roman" w:eastAsia="Calibri" w:hAnsi="Times New Roman" w:cs="Times New Roman"/>
        </w:rPr>
        <w:t xml:space="preserve"> progresavimas. Sunitinibas slopina iš trombocitų kilusio augimo faktoriaus receptorius (</w:t>
      </w:r>
      <w:proofErr w:type="spellStart"/>
      <w:r w:rsidRPr="00CE4C3C">
        <w:rPr>
          <w:rFonts w:ascii="Times New Roman" w:eastAsia="Calibri" w:hAnsi="Times New Roman" w:cs="Times New Roman"/>
        </w:rPr>
        <w:t>TKAFRalfa</w:t>
      </w:r>
      <w:proofErr w:type="spellEnd"/>
      <w:r w:rsidRPr="00CE4C3C">
        <w:rPr>
          <w:rFonts w:ascii="Times New Roman" w:eastAsia="Calibri" w:hAnsi="Times New Roman" w:cs="Times New Roman"/>
        </w:rPr>
        <w:t xml:space="preserve"> ir </w:t>
      </w:r>
      <w:proofErr w:type="spellStart"/>
      <w:r w:rsidRPr="00CE4C3C">
        <w:rPr>
          <w:rFonts w:ascii="Times New Roman" w:eastAsia="Calibri" w:hAnsi="Times New Roman" w:cs="Times New Roman"/>
        </w:rPr>
        <w:t>TKAFRbeta</w:t>
      </w:r>
      <w:proofErr w:type="spellEnd"/>
      <w:r w:rsidRPr="00CE4C3C">
        <w:rPr>
          <w:rFonts w:ascii="Times New Roman" w:eastAsia="Calibri" w:hAnsi="Times New Roman" w:cs="Times New Roman"/>
        </w:rPr>
        <w:t xml:space="preserve">), kraujagyslių </w:t>
      </w:r>
      <w:proofErr w:type="spellStart"/>
      <w:r w:rsidRPr="00CE4C3C">
        <w:rPr>
          <w:rFonts w:ascii="Times New Roman" w:eastAsia="Calibri" w:hAnsi="Times New Roman" w:cs="Times New Roman"/>
        </w:rPr>
        <w:t>endotelio</w:t>
      </w:r>
      <w:proofErr w:type="spellEnd"/>
      <w:r w:rsidRPr="00CE4C3C">
        <w:rPr>
          <w:rFonts w:ascii="Times New Roman" w:eastAsia="Calibri" w:hAnsi="Times New Roman" w:cs="Times New Roman"/>
        </w:rPr>
        <w:t xml:space="preserve"> augimo faktoriaus receptorius (KEAFR1, KEAFR2 ir KEAFR3), kamieninių ląstelių faktoriaus (KLF) receptorių, į </w:t>
      </w:r>
      <w:proofErr w:type="spellStart"/>
      <w:r w:rsidRPr="00CE4C3C">
        <w:rPr>
          <w:rFonts w:ascii="Times New Roman" w:eastAsia="Calibri" w:hAnsi="Times New Roman" w:cs="Times New Roman"/>
        </w:rPr>
        <w:t>Fms</w:t>
      </w:r>
      <w:proofErr w:type="spellEnd"/>
      <w:r w:rsidRPr="00CE4C3C">
        <w:rPr>
          <w:rFonts w:ascii="Times New Roman" w:eastAsia="Calibri" w:hAnsi="Times New Roman" w:cs="Times New Roman"/>
        </w:rPr>
        <w:t xml:space="preserve"> panašią </w:t>
      </w:r>
      <w:proofErr w:type="spellStart"/>
      <w:r w:rsidRPr="00CE4C3C">
        <w:rPr>
          <w:rFonts w:ascii="Times New Roman" w:eastAsia="Calibri" w:hAnsi="Times New Roman" w:cs="Times New Roman"/>
        </w:rPr>
        <w:t>tirozino</w:t>
      </w:r>
      <w:proofErr w:type="spellEnd"/>
      <w:r w:rsidRPr="00CE4C3C">
        <w:rPr>
          <w:rFonts w:ascii="Times New Roman" w:eastAsia="Calibri" w:hAnsi="Times New Roman" w:cs="Times New Roman"/>
        </w:rPr>
        <w:t xml:space="preserve"> </w:t>
      </w:r>
      <w:proofErr w:type="spellStart"/>
      <w:r w:rsidRPr="00CE4C3C">
        <w:rPr>
          <w:rFonts w:ascii="Times New Roman" w:eastAsia="Calibri" w:hAnsi="Times New Roman" w:cs="Times New Roman"/>
        </w:rPr>
        <w:t>kinazę</w:t>
      </w:r>
      <w:proofErr w:type="spellEnd"/>
      <w:r w:rsidRPr="00CE4C3C">
        <w:rPr>
          <w:rFonts w:ascii="Times New Roman" w:eastAsia="Calibri" w:hAnsi="Times New Roman" w:cs="Times New Roman"/>
        </w:rPr>
        <w:t xml:space="preserve"> 3 (FPT3), kolonijas stimuliuojančio faktoriaus receptorių (KSF-1R) ir iš nervinio audinio </w:t>
      </w:r>
      <w:proofErr w:type="spellStart"/>
      <w:r w:rsidRPr="00CE4C3C">
        <w:rPr>
          <w:rFonts w:ascii="Times New Roman" w:eastAsia="Calibri" w:hAnsi="Times New Roman" w:cs="Times New Roman"/>
        </w:rPr>
        <w:t>glijos</w:t>
      </w:r>
      <w:proofErr w:type="spellEnd"/>
      <w:r w:rsidRPr="00CE4C3C">
        <w:rPr>
          <w:rFonts w:ascii="Times New Roman" w:eastAsia="Calibri" w:hAnsi="Times New Roman" w:cs="Times New Roman"/>
        </w:rPr>
        <w:t xml:space="preserve"> ląstelių kilusio </w:t>
      </w:r>
      <w:proofErr w:type="spellStart"/>
      <w:r w:rsidRPr="00CE4C3C">
        <w:rPr>
          <w:rFonts w:ascii="Times New Roman" w:eastAsia="Calibri" w:hAnsi="Times New Roman" w:cs="Times New Roman"/>
        </w:rPr>
        <w:t>neurotrofinio</w:t>
      </w:r>
      <w:proofErr w:type="spellEnd"/>
      <w:r w:rsidRPr="00CE4C3C">
        <w:rPr>
          <w:rFonts w:ascii="Times New Roman" w:eastAsia="Calibri" w:hAnsi="Times New Roman" w:cs="Times New Roman"/>
        </w:rPr>
        <w:t xml:space="preserve"> faktoriaus receptorių (RET). Biocheminiais ir ląstelių tyrimais nustatyta, kad svarbiausiojo metabolito savybės panašios į sunitinibo.</w:t>
      </w:r>
    </w:p>
    <w:p w14:paraId="0EDE41AA" w14:textId="77777777" w:rsidR="00944B6F" w:rsidRPr="00CE4C3C" w:rsidRDefault="00944B6F" w:rsidP="00CE4C3C">
      <w:pPr>
        <w:spacing w:line="240" w:lineRule="auto"/>
        <w:rPr>
          <w:rFonts w:ascii="Times New Roman" w:eastAsia="Calibri" w:hAnsi="Times New Roman" w:cs="Times New Roman"/>
        </w:rPr>
      </w:pPr>
    </w:p>
    <w:p w14:paraId="2375DA50" w14:textId="77777777" w:rsidR="00F17A0C" w:rsidRPr="00CE4C3C" w:rsidRDefault="00F17A0C" w:rsidP="00CE4C3C">
      <w:pPr>
        <w:tabs>
          <w:tab w:val="left" w:pos="567"/>
        </w:tabs>
        <w:autoSpaceDE w:val="0"/>
        <w:autoSpaceDN w:val="0"/>
        <w:adjustRightInd w:val="0"/>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u w:val="single"/>
          <w:lang w:eastAsia="lt-LT" w:bidi="lt-LT"/>
        </w:rPr>
        <w:t>Klinikinis veiksmingumas ir saugumas</w:t>
      </w:r>
    </w:p>
    <w:p w14:paraId="7B44EAC7" w14:textId="509137C6"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Atlikti gydymo sunitinibo saugumo ir veiksmingumo klinikiniai tyrimai gydant pacientus, kuriems buvo diagnozuotas </w:t>
      </w:r>
      <w:proofErr w:type="spellStart"/>
      <w:r w:rsidRPr="00CE4C3C">
        <w:rPr>
          <w:rFonts w:ascii="Times New Roman" w:eastAsia="Calibri" w:hAnsi="Times New Roman" w:cs="Times New Roman"/>
        </w:rPr>
        <w:t>imatinibui</w:t>
      </w:r>
      <w:proofErr w:type="spellEnd"/>
      <w:r w:rsidRPr="00CE4C3C">
        <w:rPr>
          <w:rFonts w:ascii="Times New Roman" w:eastAsia="Calibri" w:hAnsi="Times New Roman" w:cs="Times New Roman"/>
        </w:rPr>
        <w:t xml:space="preserve"> atsparus GIST (tai yra, liga progresavo gydant arba baigus gydymą </w:t>
      </w:r>
      <w:proofErr w:type="spellStart"/>
      <w:r w:rsidRPr="00CE4C3C">
        <w:rPr>
          <w:rFonts w:ascii="Times New Roman" w:eastAsia="Calibri" w:hAnsi="Times New Roman" w:cs="Times New Roman"/>
        </w:rPr>
        <w:t>imatinibu</w:t>
      </w:r>
      <w:proofErr w:type="spellEnd"/>
      <w:r w:rsidRPr="00CE4C3C">
        <w:rPr>
          <w:rFonts w:ascii="Times New Roman" w:eastAsia="Calibri" w:hAnsi="Times New Roman" w:cs="Times New Roman"/>
        </w:rPr>
        <w:t xml:space="preserve">) arba </w:t>
      </w:r>
      <w:proofErr w:type="spellStart"/>
      <w:r w:rsidRPr="00CE4C3C">
        <w:rPr>
          <w:rFonts w:ascii="Times New Roman" w:eastAsia="Calibri" w:hAnsi="Times New Roman" w:cs="Times New Roman"/>
        </w:rPr>
        <w:t>imatinibo</w:t>
      </w:r>
      <w:proofErr w:type="spellEnd"/>
      <w:r w:rsidRPr="00CE4C3C">
        <w:rPr>
          <w:rFonts w:ascii="Times New Roman" w:eastAsia="Calibri" w:hAnsi="Times New Roman" w:cs="Times New Roman"/>
        </w:rPr>
        <w:t xml:space="preserve"> netoleravusius pacientus (pvz., gydant </w:t>
      </w:r>
      <w:proofErr w:type="spellStart"/>
      <w:r w:rsidRPr="00CE4C3C">
        <w:rPr>
          <w:rFonts w:ascii="Times New Roman" w:eastAsia="Calibri" w:hAnsi="Times New Roman" w:cs="Times New Roman"/>
        </w:rPr>
        <w:t>imatinibu</w:t>
      </w:r>
      <w:proofErr w:type="spellEnd"/>
      <w:r w:rsidRPr="00CE4C3C">
        <w:rPr>
          <w:rFonts w:ascii="Times New Roman" w:eastAsia="Calibri" w:hAnsi="Times New Roman" w:cs="Times New Roman"/>
        </w:rPr>
        <w:t xml:space="preserve"> pasireiškė reikšmingas toksinis poveikis, taigi tęsti gydymo juo nebuvo galima), MILK sergančius ir pacientus, sergančius neoperuo</w:t>
      </w:r>
      <w:r w:rsidR="005F4DD0">
        <w:rPr>
          <w:rFonts w:ascii="Times New Roman" w:eastAsia="Calibri" w:hAnsi="Times New Roman" w:cs="Times New Roman"/>
        </w:rPr>
        <w:t>tinu</w:t>
      </w:r>
      <w:r w:rsidRPr="00CE4C3C">
        <w:rPr>
          <w:rFonts w:ascii="Times New Roman" w:eastAsia="Calibri" w:hAnsi="Times New Roman" w:cs="Times New Roman"/>
        </w:rPr>
        <w:t xml:space="preserve"> </w:t>
      </w:r>
      <w:proofErr w:type="spellStart"/>
      <w:r w:rsidRPr="00CE4C3C">
        <w:rPr>
          <w:rFonts w:ascii="Times New Roman" w:eastAsia="Calibri" w:hAnsi="Times New Roman" w:cs="Times New Roman"/>
        </w:rPr>
        <w:t>kNEN</w:t>
      </w:r>
      <w:proofErr w:type="spellEnd"/>
      <w:r w:rsidRPr="00CE4C3C">
        <w:rPr>
          <w:rFonts w:ascii="Times New Roman" w:eastAsia="Calibri" w:hAnsi="Times New Roman" w:cs="Times New Roman"/>
        </w:rPr>
        <w:t>.</w:t>
      </w:r>
    </w:p>
    <w:p w14:paraId="1DEFCB95" w14:textId="31AD177A"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Veiksmingumas nustatytas pagal GIST sergančių pacientų laik</w:t>
      </w:r>
      <w:r w:rsidR="00B91A3D">
        <w:rPr>
          <w:rFonts w:ascii="Times New Roman" w:eastAsia="Calibri" w:hAnsi="Times New Roman" w:cs="Times New Roman"/>
        </w:rPr>
        <w:t>ą</w:t>
      </w:r>
      <w:r w:rsidRPr="00CE4C3C">
        <w:rPr>
          <w:rFonts w:ascii="Times New Roman" w:eastAsia="Calibri" w:hAnsi="Times New Roman" w:cs="Times New Roman"/>
        </w:rPr>
        <w:t xml:space="preserve"> iki naviko progresavimo (L</w:t>
      </w:r>
      <w:r w:rsidR="005B56A9">
        <w:rPr>
          <w:rFonts w:ascii="Times New Roman" w:eastAsia="Calibri" w:hAnsi="Times New Roman" w:cs="Times New Roman"/>
        </w:rPr>
        <w:t>I</w:t>
      </w:r>
      <w:r w:rsidRPr="00CE4C3C">
        <w:rPr>
          <w:rFonts w:ascii="Times New Roman" w:eastAsia="Calibri" w:hAnsi="Times New Roman" w:cs="Times New Roman"/>
        </w:rPr>
        <w:t>NP</w:t>
      </w:r>
      <w:r w:rsidR="00B91A3D">
        <w:rPr>
          <w:rFonts w:ascii="Times New Roman" w:eastAsia="Calibri" w:hAnsi="Times New Roman" w:cs="Times New Roman"/>
        </w:rPr>
        <w:t>, angl</w:t>
      </w:r>
      <w:r w:rsidR="00B91A3D" w:rsidRPr="004E44DA">
        <w:rPr>
          <w:rFonts w:ascii="Times New Roman" w:eastAsia="Calibri" w:hAnsi="Times New Roman" w:cs="Times New Roman"/>
          <w:i/>
        </w:rPr>
        <w:t xml:space="preserve">. </w:t>
      </w:r>
      <w:bookmarkStart w:id="1" w:name="_Hlk15394296"/>
      <w:proofErr w:type="spellStart"/>
      <w:r w:rsidR="00B91A3D" w:rsidRPr="004E44DA">
        <w:rPr>
          <w:rFonts w:ascii="Times New Roman" w:eastAsia="Calibri" w:hAnsi="Times New Roman" w:cs="Times New Roman"/>
          <w:i/>
        </w:rPr>
        <w:t>time</w:t>
      </w:r>
      <w:proofErr w:type="spellEnd"/>
      <w:r w:rsidR="00B91A3D" w:rsidRPr="004E44DA">
        <w:rPr>
          <w:rFonts w:ascii="Times New Roman" w:eastAsia="Calibri" w:hAnsi="Times New Roman" w:cs="Times New Roman"/>
          <w:i/>
        </w:rPr>
        <w:t>-to-</w:t>
      </w:r>
      <w:proofErr w:type="spellStart"/>
      <w:r w:rsidR="00B91A3D" w:rsidRPr="004E44DA">
        <w:rPr>
          <w:rFonts w:ascii="Times New Roman" w:eastAsia="Calibri" w:hAnsi="Times New Roman" w:cs="Times New Roman"/>
          <w:i/>
        </w:rPr>
        <w:t>tumour</w:t>
      </w:r>
      <w:proofErr w:type="spellEnd"/>
      <w:r w:rsidR="00B91A3D" w:rsidRPr="004E44DA">
        <w:rPr>
          <w:rFonts w:ascii="Times New Roman" w:eastAsia="Calibri" w:hAnsi="Times New Roman" w:cs="Times New Roman"/>
          <w:i/>
        </w:rPr>
        <w:t xml:space="preserve"> </w:t>
      </w:r>
      <w:proofErr w:type="spellStart"/>
      <w:r w:rsidR="00B91A3D" w:rsidRPr="004E44DA">
        <w:rPr>
          <w:rFonts w:ascii="Times New Roman" w:eastAsia="Calibri" w:hAnsi="Times New Roman" w:cs="Times New Roman"/>
          <w:i/>
        </w:rPr>
        <w:t>progression</w:t>
      </w:r>
      <w:proofErr w:type="spellEnd"/>
      <w:r w:rsidR="00B91A3D" w:rsidRPr="004E44DA">
        <w:rPr>
          <w:rFonts w:ascii="Times New Roman" w:eastAsia="Calibri" w:hAnsi="Times New Roman" w:cs="Times New Roman"/>
          <w:i/>
        </w:rPr>
        <w:t xml:space="preserve"> </w:t>
      </w:r>
      <w:bookmarkEnd w:id="1"/>
      <w:r w:rsidR="00B91A3D" w:rsidRPr="004E44DA">
        <w:rPr>
          <w:rFonts w:ascii="Times New Roman" w:eastAsia="Calibri" w:hAnsi="Times New Roman" w:cs="Times New Roman"/>
          <w:i/>
        </w:rPr>
        <w:t>[TTP]</w:t>
      </w:r>
      <w:r w:rsidRPr="00B91A3D">
        <w:rPr>
          <w:rFonts w:ascii="Times New Roman" w:eastAsia="Calibri" w:hAnsi="Times New Roman" w:cs="Times New Roman"/>
        </w:rPr>
        <w:t>)</w:t>
      </w:r>
      <w:r w:rsidRPr="00CE4C3C">
        <w:rPr>
          <w:rFonts w:ascii="Times New Roman" w:eastAsia="Calibri" w:hAnsi="Times New Roman" w:cs="Times New Roman"/>
        </w:rPr>
        <w:t xml:space="preserve"> ir išgyven</w:t>
      </w:r>
      <w:r w:rsidR="00B91A3D">
        <w:rPr>
          <w:rFonts w:ascii="Times New Roman" w:eastAsia="Calibri" w:hAnsi="Times New Roman" w:cs="Times New Roman"/>
        </w:rPr>
        <w:t>amumo</w:t>
      </w:r>
      <w:r w:rsidRPr="00CE4C3C">
        <w:rPr>
          <w:rFonts w:ascii="Times New Roman" w:eastAsia="Calibri" w:hAnsi="Times New Roman" w:cs="Times New Roman"/>
        </w:rPr>
        <w:t xml:space="preserve"> pailgėjimą, anksčiau negydytų ir </w:t>
      </w:r>
      <w:proofErr w:type="spellStart"/>
      <w:r w:rsidRPr="00CE4C3C">
        <w:rPr>
          <w:rFonts w:ascii="Times New Roman" w:eastAsia="Calibri" w:hAnsi="Times New Roman" w:cs="Times New Roman"/>
        </w:rPr>
        <w:t>citokinams</w:t>
      </w:r>
      <w:proofErr w:type="spellEnd"/>
      <w:r w:rsidRPr="00CE4C3C">
        <w:rPr>
          <w:rFonts w:ascii="Times New Roman" w:eastAsia="Calibri" w:hAnsi="Times New Roman" w:cs="Times New Roman"/>
        </w:rPr>
        <w:t xml:space="preserve"> atspariu MILK sergančių pacientų </w:t>
      </w:r>
      <w:r w:rsidR="007E7E44">
        <w:rPr>
          <w:rFonts w:ascii="Times New Roman" w:eastAsia="Calibri" w:hAnsi="Times New Roman" w:cs="Times New Roman"/>
        </w:rPr>
        <w:t>išgyvenamumą be l</w:t>
      </w:r>
      <w:r w:rsidR="00B91A3D">
        <w:rPr>
          <w:rFonts w:ascii="Times New Roman" w:eastAsia="Calibri" w:hAnsi="Times New Roman" w:cs="Times New Roman"/>
        </w:rPr>
        <w:t>igos progresavimo (</w:t>
      </w:r>
      <w:r w:rsidR="007E7E44">
        <w:rPr>
          <w:rFonts w:ascii="Times New Roman" w:eastAsia="Calibri" w:hAnsi="Times New Roman" w:cs="Times New Roman"/>
        </w:rPr>
        <w:t>IB</w:t>
      </w:r>
      <w:r w:rsidR="00B91A3D">
        <w:rPr>
          <w:rFonts w:ascii="Times New Roman" w:eastAsia="Calibri" w:hAnsi="Times New Roman" w:cs="Times New Roman"/>
        </w:rPr>
        <w:t>LP, angl</w:t>
      </w:r>
      <w:r w:rsidR="00B91A3D" w:rsidRPr="004E44DA">
        <w:rPr>
          <w:rFonts w:ascii="Times New Roman" w:eastAsia="Calibri" w:hAnsi="Times New Roman" w:cs="Times New Roman"/>
          <w:i/>
        </w:rPr>
        <w:t xml:space="preserve">. </w:t>
      </w:r>
      <w:proofErr w:type="spellStart"/>
      <w:r w:rsidR="00B91A3D" w:rsidRPr="004E44DA">
        <w:rPr>
          <w:rFonts w:ascii="Times New Roman" w:eastAsia="Calibri" w:hAnsi="Times New Roman" w:cs="Times New Roman"/>
          <w:i/>
        </w:rPr>
        <w:t>progression-free</w:t>
      </w:r>
      <w:proofErr w:type="spellEnd"/>
      <w:r w:rsidR="00B91A3D" w:rsidRPr="004E44DA">
        <w:rPr>
          <w:rFonts w:ascii="Times New Roman" w:eastAsia="Calibri" w:hAnsi="Times New Roman" w:cs="Times New Roman"/>
          <w:i/>
        </w:rPr>
        <w:t xml:space="preserve"> </w:t>
      </w:r>
      <w:proofErr w:type="spellStart"/>
      <w:r w:rsidR="00B91A3D" w:rsidRPr="004E44DA">
        <w:rPr>
          <w:rFonts w:ascii="Times New Roman" w:eastAsia="Calibri" w:hAnsi="Times New Roman" w:cs="Times New Roman"/>
          <w:i/>
        </w:rPr>
        <w:t>survival</w:t>
      </w:r>
      <w:proofErr w:type="spellEnd"/>
      <w:r w:rsidR="00B91A3D" w:rsidRPr="004E44DA">
        <w:rPr>
          <w:rFonts w:ascii="Times New Roman" w:eastAsia="Calibri" w:hAnsi="Times New Roman" w:cs="Times New Roman"/>
          <w:i/>
        </w:rPr>
        <w:t xml:space="preserve"> [PFS]</w:t>
      </w:r>
      <w:r w:rsidR="00B91A3D" w:rsidRPr="00B91A3D">
        <w:rPr>
          <w:rFonts w:ascii="Times New Roman" w:eastAsia="Calibri" w:hAnsi="Times New Roman" w:cs="Times New Roman"/>
        </w:rPr>
        <w:t>)</w:t>
      </w:r>
      <w:r w:rsidRPr="00CE4C3C">
        <w:rPr>
          <w:rFonts w:ascii="Times New Roman" w:eastAsia="Calibri" w:hAnsi="Times New Roman" w:cs="Times New Roman"/>
        </w:rPr>
        <w:t xml:space="preserve"> ir objektyvaus atsako</w:t>
      </w:r>
      <w:r w:rsidR="005B56A9">
        <w:rPr>
          <w:rFonts w:ascii="Times New Roman" w:eastAsia="Calibri" w:hAnsi="Times New Roman" w:cs="Times New Roman"/>
        </w:rPr>
        <w:t xml:space="preserve"> dažnį (OAD, </w:t>
      </w:r>
      <w:r w:rsidR="005B56A9" w:rsidRPr="004E44DA">
        <w:rPr>
          <w:rFonts w:ascii="Times New Roman" w:eastAsia="Calibri" w:hAnsi="Times New Roman" w:cs="Times New Roman"/>
          <w:i/>
        </w:rPr>
        <w:t xml:space="preserve">angl. </w:t>
      </w:r>
      <w:proofErr w:type="spellStart"/>
      <w:r w:rsidR="005B56A9" w:rsidRPr="004E44DA">
        <w:rPr>
          <w:rFonts w:ascii="Times New Roman" w:eastAsia="Calibri" w:hAnsi="Times New Roman" w:cs="Times New Roman"/>
          <w:i/>
        </w:rPr>
        <w:t>objective</w:t>
      </w:r>
      <w:proofErr w:type="spellEnd"/>
      <w:r w:rsidR="005B56A9" w:rsidRPr="004E44DA">
        <w:rPr>
          <w:rFonts w:ascii="Times New Roman" w:eastAsia="Calibri" w:hAnsi="Times New Roman" w:cs="Times New Roman"/>
          <w:i/>
        </w:rPr>
        <w:t xml:space="preserve"> </w:t>
      </w:r>
      <w:proofErr w:type="spellStart"/>
      <w:r w:rsidR="005B56A9" w:rsidRPr="004E44DA">
        <w:rPr>
          <w:rFonts w:ascii="Times New Roman" w:eastAsia="Calibri" w:hAnsi="Times New Roman" w:cs="Times New Roman"/>
          <w:i/>
        </w:rPr>
        <w:t>response</w:t>
      </w:r>
      <w:proofErr w:type="spellEnd"/>
      <w:r w:rsidR="005B56A9" w:rsidRPr="004E44DA">
        <w:rPr>
          <w:rFonts w:ascii="Times New Roman" w:eastAsia="Calibri" w:hAnsi="Times New Roman" w:cs="Times New Roman"/>
          <w:i/>
        </w:rPr>
        <w:t xml:space="preserve"> </w:t>
      </w:r>
      <w:proofErr w:type="spellStart"/>
      <w:r w:rsidR="005B56A9" w:rsidRPr="004E44DA">
        <w:rPr>
          <w:rFonts w:ascii="Times New Roman" w:eastAsia="Calibri" w:hAnsi="Times New Roman" w:cs="Times New Roman"/>
          <w:i/>
        </w:rPr>
        <w:t>rates</w:t>
      </w:r>
      <w:proofErr w:type="spellEnd"/>
      <w:r w:rsidR="005B56A9" w:rsidRPr="004E44DA">
        <w:rPr>
          <w:rFonts w:ascii="Times New Roman" w:eastAsia="Calibri" w:hAnsi="Times New Roman" w:cs="Times New Roman"/>
          <w:i/>
        </w:rPr>
        <w:t xml:space="preserve"> [ORR]</w:t>
      </w:r>
      <w:r w:rsidR="005B56A9" w:rsidRPr="005B56A9">
        <w:rPr>
          <w:rFonts w:ascii="Times New Roman" w:eastAsia="Calibri" w:hAnsi="Times New Roman" w:cs="Times New Roman"/>
        </w:rPr>
        <w:t>)</w:t>
      </w:r>
      <w:r w:rsidRPr="00CE4C3C">
        <w:rPr>
          <w:rFonts w:ascii="Times New Roman" w:eastAsia="Calibri" w:hAnsi="Times New Roman" w:cs="Times New Roman"/>
        </w:rPr>
        <w:t xml:space="preserve"> į gydymą, bei </w:t>
      </w:r>
      <w:proofErr w:type="spellStart"/>
      <w:r w:rsidRPr="00CE4C3C">
        <w:rPr>
          <w:rFonts w:ascii="Times New Roman" w:eastAsia="Calibri" w:hAnsi="Times New Roman" w:cs="Times New Roman"/>
        </w:rPr>
        <w:t>kNEN</w:t>
      </w:r>
      <w:proofErr w:type="spellEnd"/>
      <w:r w:rsidRPr="00CE4C3C">
        <w:rPr>
          <w:rFonts w:ascii="Times New Roman" w:eastAsia="Calibri" w:hAnsi="Times New Roman" w:cs="Times New Roman"/>
        </w:rPr>
        <w:t xml:space="preserve"> sergančių pacientų </w:t>
      </w:r>
      <w:proofErr w:type="spellStart"/>
      <w:r w:rsidR="007E7E44">
        <w:rPr>
          <w:rFonts w:ascii="Times New Roman" w:eastAsia="Calibri" w:hAnsi="Times New Roman" w:cs="Times New Roman"/>
        </w:rPr>
        <w:t>išgyvenamumą</w:t>
      </w:r>
      <w:proofErr w:type="spellEnd"/>
      <w:r w:rsidR="007E7E44">
        <w:rPr>
          <w:rFonts w:ascii="Times New Roman" w:eastAsia="Calibri" w:hAnsi="Times New Roman" w:cs="Times New Roman"/>
        </w:rPr>
        <w:t xml:space="preserve"> be</w:t>
      </w:r>
      <w:r w:rsidR="005B56A9">
        <w:rPr>
          <w:rFonts w:ascii="Times New Roman" w:eastAsia="Calibri" w:hAnsi="Times New Roman" w:cs="Times New Roman"/>
        </w:rPr>
        <w:t xml:space="preserve"> ligos progresavimo.</w:t>
      </w:r>
    </w:p>
    <w:p w14:paraId="1361CD34" w14:textId="77777777" w:rsidR="005B56A9" w:rsidRDefault="005B56A9" w:rsidP="00CE4C3C">
      <w:pPr>
        <w:spacing w:line="240" w:lineRule="auto"/>
        <w:rPr>
          <w:rFonts w:ascii="Times New Roman" w:eastAsia="Calibri" w:hAnsi="Times New Roman" w:cs="Times New Roman"/>
          <w:i/>
        </w:rPr>
      </w:pPr>
    </w:p>
    <w:p w14:paraId="2A09EE9A" w14:textId="586A834D" w:rsidR="00F17A0C" w:rsidRPr="00CE4C3C" w:rsidRDefault="00F17A0C" w:rsidP="00CE4C3C">
      <w:pPr>
        <w:spacing w:line="240" w:lineRule="auto"/>
        <w:rPr>
          <w:rFonts w:ascii="Times New Roman" w:eastAsia="Calibri" w:hAnsi="Times New Roman" w:cs="Times New Roman"/>
          <w:i/>
        </w:rPr>
      </w:pPr>
      <w:proofErr w:type="spellStart"/>
      <w:r w:rsidRPr="00CE4C3C">
        <w:rPr>
          <w:rFonts w:ascii="Times New Roman" w:eastAsia="Calibri" w:hAnsi="Times New Roman" w:cs="Times New Roman"/>
          <w:i/>
        </w:rPr>
        <w:t>Gastr</w:t>
      </w:r>
      <w:r w:rsidR="005B56A9">
        <w:rPr>
          <w:rFonts w:ascii="Times New Roman" w:eastAsia="Calibri" w:hAnsi="Times New Roman" w:cs="Times New Roman"/>
          <w:i/>
        </w:rPr>
        <w:t>o</w:t>
      </w:r>
      <w:r w:rsidRPr="00CE4C3C">
        <w:rPr>
          <w:rFonts w:ascii="Times New Roman" w:eastAsia="Calibri" w:hAnsi="Times New Roman" w:cs="Times New Roman"/>
          <w:i/>
        </w:rPr>
        <w:t>intestinaliniai</w:t>
      </w:r>
      <w:proofErr w:type="spellEnd"/>
      <w:r w:rsidRPr="00CE4C3C">
        <w:rPr>
          <w:rFonts w:ascii="Times New Roman" w:eastAsia="Calibri" w:hAnsi="Times New Roman" w:cs="Times New Roman"/>
          <w:i/>
        </w:rPr>
        <w:t xml:space="preserve"> </w:t>
      </w:r>
      <w:proofErr w:type="spellStart"/>
      <w:r w:rsidRPr="00CE4C3C">
        <w:rPr>
          <w:rFonts w:ascii="Times New Roman" w:eastAsia="Calibri" w:hAnsi="Times New Roman" w:cs="Times New Roman"/>
          <w:i/>
        </w:rPr>
        <w:t>stromos</w:t>
      </w:r>
      <w:proofErr w:type="spellEnd"/>
      <w:r w:rsidRPr="00CE4C3C">
        <w:rPr>
          <w:rFonts w:ascii="Times New Roman" w:eastAsia="Calibri" w:hAnsi="Times New Roman" w:cs="Times New Roman"/>
          <w:i/>
        </w:rPr>
        <w:t xml:space="preserve"> navikai </w:t>
      </w:r>
      <w:r w:rsidR="005B56A9">
        <w:rPr>
          <w:rFonts w:ascii="Times New Roman" w:eastAsia="Calibri" w:hAnsi="Times New Roman" w:cs="Times New Roman"/>
          <w:i/>
        </w:rPr>
        <w:t>(GIST)</w:t>
      </w:r>
    </w:p>
    <w:p w14:paraId="5A1351F3" w14:textId="60FD0219"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Atliktas pradinis atviras</w:t>
      </w:r>
      <w:r w:rsidR="005B56A9">
        <w:rPr>
          <w:rFonts w:ascii="Times New Roman" w:eastAsia="Calibri" w:hAnsi="Times New Roman" w:cs="Times New Roman"/>
        </w:rPr>
        <w:t>,</w:t>
      </w:r>
      <w:r w:rsidRPr="00CE4C3C">
        <w:rPr>
          <w:rFonts w:ascii="Times New Roman" w:eastAsia="Calibri" w:hAnsi="Times New Roman" w:cs="Times New Roman"/>
        </w:rPr>
        <w:t xml:space="preserve"> dozės didinimo tyrimas su GIST sergančiais pacientais, kuriems gydymas </w:t>
      </w:r>
      <w:proofErr w:type="spellStart"/>
      <w:r w:rsidRPr="00CE4C3C">
        <w:rPr>
          <w:rFonts w:ascii="Times New Roman" w:eastAsia="Calibri" w:hAnsi="Times New Roman" w:cs="Times New Roman"/>
        </w:rPr>
        <w:t>imatinibu</w:t>
      </w:r>
      <w:proofErr w:type="spellEnd"/>
      <w:r w:rsidRPr="00CE4C3C">
        <w:rPr>
          <w:rFonts w:ascii="Times New Roman" w:eastAsia="Calibri" w:hAnsi="Times New Roman" w:cs="Times New Roman"/>
        </w:rPr>
        <w:t xml:space="preserve"> (didžiausios paros dozės mediana – 800 mg) buvo neveiksmingas dėl atsparumo arba netoleravimo. Pagal įvairius planus įvairiomis vaistinio preparato dozėmis gydyti 97 pacientai; 55</w:t>
      </w:r>
      <w:r w:rsidR="005B56A9">
        <w:rPr>
          <w:rFonts w:ascii="Times New Roman" w:eastAsia="Calibri" w:hAnsi="Times New Roman" w:cs="Times New Roman"/>
        </w:rPr>
        <w:t> </w:t>
      </w:r>
      <w:r w:rsidRPr="00CE4C3C">
        <w:rPr>
          <w:rFonts w:ascii="Times New Roman" w:eastAsia="Calibri" w:hAnsi="Times New Roman" w:cs="Times New Roman"/>
        </w:rPr>
        <w:t>pacientai pagal rekomenduojamą planą vartojo 50 mg sunitinibo dozę 4 savaites ir darė 2 savaičių pertrauką (4/2 planas).</w:t>
      </w:r>
    </w:p>
    <w:p w14:paraId="323BC679"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Šio tyrimo duomenimis, L</w:t>
      </w:r>
      <w:r w:rsidR="005B56A9">
        <w:rPr>
          <w:rFonts w:ascii="Times New Roman" w:eastAsia="Calibri" w:hAnsi="Times New Roman" w:cs="Times New Roman"/>
        </w:rPr>
        <w:t>I</w:t>
      </w:r>
      <w:r w:rsidRPr="00CE4C3C">
        <w:rPr>
          <w:rFonts w:ascii="Times New Roman" w:eastAsia="Calibri" w:hAnsi="Times New Roman" w:cs="Times New Roman"/>
        </w:rPr>
        <w:t>NP mediana buvo 34,0 savaitės (95 % PI: 22,0,46,0 savaitės).</w:t>
      </w:r>
    </w:p>
    <w:p w14:paraId="3A39D8B7" w14:textId="177B5E4B"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Trečios fazės atsitiktinių imčių dvigubai koduotame placebu kontroliuojamajame sunitinibo tyrime dalyvavo VTSN sergantys pacientai, kurie netoleravo gydymo </w:t>
      </w:r>
      <w:proofErr w:type="spellStart"/>
      <w:r w:rsidRPr="00CE4C3C">
        <w:rPr>
          <w:rFonts w:ascii="Times New Roman" w:eastAsia="Calibri" w:hAnsi="Times New Roman" w:cs="Times New Roman"/>
        </w:rPr>
        <w:t>imatinibu</w:t>
      </w:r>
      <w:proofErr w:type="spellEnd"/>
      <w:r w:rsidRPr="00CE4C3C">
        <w:rPr>
          <w:rFonts w:ascii="Times New Roman" w:eastAsia="Calibri" w:hAnsi="Times New Roman" w:cs="Times New Roman"/>
        </w:rPr>
        <w:t xml:space="preserve"> (didžiausios paros dozės mediana – 800 mg) arba gydant ar po gydymo juo liga progresavo. Šio tyrimo metu 312 pacientų atsitiktiniu būdu (2:1) suskirstyti į grupes gerti arba 50 mg sunitinibo dozę, arba placebą pagal 4/2 planą tol, kol bus nustatyta, kad liga progresuoja, arba iki pasitraukimo iš tyrimo dėl kitų priežasčių (207 ligoniai vartojo </w:t>
      </w:r>
      <w:proofErr w:type="spellStart"/>
      <w:r w:rsidRPr="00CE4C3C">
        <w:rPr>
          <w:rFonts w:ascii="Times New Roman" w:eastAsia="Calibri" w:hAnsi="Times New Roman" w:cs="Times New Roman"/>
        </w:rPr>
        <w:t>sunitinibą</w:t>
      </w:r>
      <w:proofErr w:type="spellEnd"/>
      <w:r w:rsidRPr="00CE4C3C">
        <w:rPr>
          <w:rFonts w:ascii="Times New Roman" w:eastAsia="Calibri" w:hAnsi="Times New Roman" w:cs="Times New Roman"/>
        </w:rPr>
        <w:t>, 105 -</w:t>
      </w:r>
      <w:proofErr w:type="spellStart"/>
      <w:r w:rsidRPr="00CE4C3C">
        <w:rPr>
          <w:rFonts w:ascii="Times New Roman" w:eastAsia="Calibri" w:hAnsi="Times New Roman" w:cs="Times New Roman"/>
        </w:rPr>
        <w:t>placebą</w:t>
      </w:r>
      <w:proofErr w:type="spellEnd"/>
      <w:r w:rsidRPr="00CE4C3C">
        <w:rPr>
          <w:rFonts w:ascii="Times New Roman" w:eastAsia="Calibri" w:hAnsi="Times New Roman" w:cs="Times New Roman"/>
        </w:rPr>
        <w:t>). Tyrimo pirminė veiksmingumo vertinamoji baigtis – laik</w:t>
      </w:r>
      <w:r w:rsidR="005B56A9">
        <w:rPr>
          <w:rFonts w:ascii="Times New Roman" w:eastAsia="Calibri" w:hAnsi="Times New Roman" w:cs="Times New Roman"/>
        </w:rPr>
        <w:t>as</w:t>
      </w:r>
      <w:r w:rsidRPr="00CE4C3C">
        <w:rPr>
          <w:rFonts w:ascii="Times New Roman" w:eastAsia="Calibri" w:hAnsi="Times New Roman" w:cs="Times New Roman"/>
        </w:rPr>
        <w:t xml:space="preserve"> iki naviko progresavimo (L</w:t>
      </w:r>
      <w:r w:rsidR="005B56A9">
        <w:rPr>
          <w:rFonts w:ascii="Times New Roman" w:eastAsia="Calibri" w:hAnsi="Times New Roman" w:cs="Times New Roman"/>
        </w:rPr>
        <w:t>I</w:t>
      </w:r>
      <w:r w:rsidRPr="00CE4C3C">
        <w:rPr>
          <w:rFonts w:ascii="Times New Roman" w:eastAsia="Calibri" w:hAnsi="Times New Roman" w:cs="Times New Roman"/>
        </w:rPr>
        <w:t>NP), t.</w:t>
      </w:r>
      <w:r w:rsidR="0058616C" w:rsidRPr="00CE4C3C">
        <w:rPr>
          <w:rFonts w:ascii="Times New Roman" w:eastAsia="Calibri" w:hAnsi="Times New Roman" w:cs="Times New Roman"/>
        </w:rPr>
        <w:t xml:space="preserve"> </w:t>
      </w:r>
      <w:r w:rsidRPr="00CE4C3C">
        <w:rPr>
          <w:rFonts w:ascii="Times New Roman" w:eastAsia="Calibri" w:hAnsi="Times New Roman" w:cs="Times New Roman"/>
        </w:rPr>
        <w:t>y. laik</w:t>
      </w:r>
      <w:r w:rsidR="005B56A9">
        <w:rPr>
          <w:rFonts w:ascii="Times New Roman" w:eastAsia="Calibri" w:hAnsi="Times New Roman" w:cs="Times New Roman"/>
        </w:rPr>
        <w:t>as</w:t>
      </w:r>
      <w:r w:rsidRPr="00CE4C3C">
        <w:rPr>
          <w:rFonts w:ascii="Times New Roman" w:eastAsia="Calibri" w:hAnsi="Times New Roman" w:cs="Times New Roman"/>
        </w:rPr>
        <w:t xml:space="preserve"> nuo suskirstymo į grupes iki pirmų naviko progresavimo objektyvių duomenų. Iš anksto numatytu išankstinės analizės laiku, vartojant </w:t>
      </w:r>
      <w:proofErr w:type="spellStart"/>
      <w:r w:rsidRPr="00CE4C3C">
        <w:rPr>
          <w:rFonts w:ascii="Times New Roman" w:eastAsia="Calibri" w:hAnsi="Times New Roman" w:cs="Times New Roman"/>
        </w:rPr>
        <w:t>sunitinibą</w:t>
      </w:r>
      <w:proofErr w:type="spellEnd"/>
      <w:r w:rsidRPr="00CE4C3C">
        <w:rPr>
          <w:rFonts w:ascii="Times New Roman" w:eastAsia="Calibri" w:hAnsi="Times New Roman" w:cs="Times New Roman"/>
        </w:rPr>
        <w:t>, L</w:t>
      </w:r>
      <w:r w:rsidR="005B56A9">
        <w:rPr>
          <w:rFonts w:ascii="Times New Roman" w:eastAsia="Calibri" w:hAnsi="Times New Roman" w:cs="Times New Roman"/>
        </w:rPr>
        <w:t>I</w:t>
      </w:r>
      <w:r w:rsidRPr="00CE4C3C">
        <w:rPr>
          <w:rFonts w:ascii="Times New Roman" w:eastAsia="Calibri" w:hAnsi="Times New Roman" w:cs="Times New Roman"/>
        </w:rPr>
        <w:t>NP mediana tyrėjo įvertinimu buvo 28,9 savaitės (95 % PI: 21,3,34,1 savaitės), o nepriklausomo recenzento duomenimis, 27,3savaitės (95 % PI: 16,0,32,1 savaitės). Tyrėjo įvertinimu, jis buvo statistiškai reikšmingai ilgesnis nei L</w:t>
      </w:r>
      <w:r w:rsidR="005B56A9">
        <w:rPr>
          <w:rFonts w:ascii="Times New Roman" w:eastAsia="Calibri" w:hAnsi="Times New Roman" w:cs="Times New Roman"/>
        </w:rPr>
        <w:t>I</w:t>
      </w:r>
      <w:r w:rsidRPr="00CE4C3C">
        <w:rPr>
          <w:rFonts w:ascii="Times New Roman" w:eastAsia="Calibri" w:hAnsi="Times New Roman" w:cs="Times New Roman"/>
        </w:rPr>
        <w:t xml:space="preserve">NP placebo grupėje </w:t>
      </w:r>
      <w:r w:rsidR="0058616C" w:rsidRPr="00CE4C3C">
        <w:rPr>
          <w:rFonts w:ascii="Times New Roman" w:eastAsia="Calibri" w:hAnsi="Times New Roman" w:cs="Times New Roman"/>
        </w:rPr>
        <w:t xml:space="preserve">– </w:t>
      </w:r>
      <w:r w:rsidRPr="00CE4C3C">
        <w:rPr>
          <w:rFonts w:ascii="Times New Roman" w:eastAsia="Calibri" w:hAnsi="Times New Roman" w:cs="Times New Roman"/>
        </w:rPr>
        <w:t xml:space="preserve">5,1 savaitės (95 % PI: 4,4,10,1 savaitės), o nepriklausomo recenzento duomenimis, 6,4 savaitės (95 % PI: 4,4,10,0 savaitės). Bendras išgyvenamumas (BI) buvo statistiškai reikšmingai geresnis sunitinibo grupėje (santykinė rizika [SR] 0,491 (95 % PI: 0,290,0,831)). Mirties rizika placebo grupėje buvo du kartus didesnė nei sunitinibo grupėje. </w:t>
      </w:r>
    </w:p>
    <w:p w14:paraId="583BA644" w14:textId="72DD1DEA"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Po tarpinės veiksmingumo ir saugumo analizės, remiantis nepriklausomos saugumo duomenų stebėjimo komisijos rekomendacijomis, </w:t>
      </w:r>
      <w:r w:rsidR="005B56A9">
        <w:rPr>
          <w:rFonts w:ascii="Times New Roman" w:eastAsia="Calibri" w:hAnsi="Times New Roman" w:cs="Times New Roman"/>
        </w:rPr>
        <w:t>koduota</w:t>
      </w:r>
      <w:r w:rsidRPr="00CE4C3C">
        <w:rPr>
          <w:rFonts w:ascii="Times New Roman" w:eastAsia="Calibri" w:hAnsi="Times New Roman" w:cs="Times New Roman"/>
        </w:rPr>
        <w:t xml:space="preserve"> tyrimo fazė buvo baigta ir tyrimas toliau tęsiamas atviru būdu, placebo grupės pacientams atvirai pasiūlius gydymą sunitinibu.</w:t>
      </w:r>
    </w:p>
    <w:p w14:paraId="03666AFB"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Atviros gydymo fazės tyrimo metu sunitinibo vartojo iš viso 255 pacientai, įskaitant 99 pacientus, kurie iš pradžių vartojo placebą.</w:t>
      </w:r>
    </w:p>
    <w:p w14:paraId="0B22BE5B"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lastRenderedPageBreak/>
        <w:t>Pirminės ir antrinės vertinamųjų baigčių atviros gydymo fazės tyrimo metu analizė vėl patvirtino rezultatus, kurie buvo gauti tarpinės analizės metu, ir yra pateikti toliau esančioje lentelėje.</w:t>
      </w:r>
    </w:p>
    <w:p w14:paraId="4EED721D" w14:textId="77777777" w:rsidR="00F17A0C" w:rsidRPr="00CE4C3C" w:rsidRDefault="00F17A0C" w:rsidP="00CE4C3C">
      <w:pPr>
        <w:spacing w:line="240" w:lineRule="auto"/>
        <w:ind w:left="851" w:hanging="851"/>
        <w:rPr>
          <w:rFonts w:ascii="Times New Roman" w:eastAsia="Calibri" w:hAnsi="Times New Roman" w:cs="Times New Roman"/>
          <w:b/>
        </w:rPr>
      </w:pPr>
      <w:r w:rsidRPr="00CE4C3C">
        <w:rPr>
          <w:rFonts w:ascii="Times New Roman" w:eastAsia="Calibri" w:hAnsi="Times New Roman" w:cs="Times New Roman"/>
          <w:b/>
        </w:rPr>
        <w:t xml:space="preserve">2 lentelė. Veiksmingumo vertinamųjų baigčių santrauka (numatytų gydyti pacientų populiacija) </w:t>
      </w:r>
    </w:p>
    <w:p w14:paraId="063FA033" w14:textId="77777777" w:rsidR="00F17A0C" w:rsidRPr="00CE4C3C" w:rsidRDefault="00F17A0C" w:rsidP="00CE4C3C">
      <w:pPr>
        <w:tabs>
          <w:tab w:val="left" w:pos="567"/>
        </w:tabs>
        <w:spacing w:line="240" w:lineRule="auto"/>
        <w:jc w:val="both"/>
        <w:rPr>
          <w:rFonts w:ascii="Times New Roman" w:eastAsia="Times New Roman" w:hAnsi="Times New Roman" w:cs="Times New Roman"/>
          <w:b/>
          <w:u w:val="single"/>
        </w:rPr>
      </w:pPr>
    </w:p>
    <w:tbl>
      <w:tblPr>
        <w:tblW w:w="9243" w:type="dxa"/>
        <w:tblInd w:w="93" w:type="dxa"/>
        <w:tblLook w:val="04A0" w:firstRow="1" w:lastRow="0" w:firstColumn="1" w:lastColumn="0" w:noHBand="0" w:noVBand="1"/>
      </w:tblPr>
      <w:tblGrid>
        <w:gridCol w:w="1603"/>
        <w:gridCol w:w="1647"/>
        <w:gridCol w:w="1614"/>
        <w:gridCol w:w="1984"/>
        <w:gridCol w:w="962"/>
        <w:gridCol w:w="1559"/>
      </w:tblGrid>
      <w:tr w:rsidR="00F17A0C" w:rsidRPr="00CE4C3C" w14:paraId="32EA43D1" w14:textId="77777777" w:rsidTr="000417F6">
        <w:trPr>
          <w:trHeight w:val="300"/>
        </w:trPr>
        <w:tc>
          <w:tcPr>
            <w:tcW w:w="160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51F179F3" w14:textId="77777777" w:rsidR="00F17A0C" w:rsidRPr="00CE4C3C" w:rsidRDefault="00F17A0C" w:rsidP="00CE4C3C">
            <w:pPr>
              <w:spacing w:line="240" w:lineRule="auto"/>
              <w:jc w:val="center"/>
              <w:rPr>
                <w:rFonts w:ascii="Times New Roman" w:eastAsia="Times New Roman" w:hAnsi="Times New Roman" w:cs="Times New Roman"/>
                <w:b/>
                <w:bCs/>
                <w:color w:val="000000"/>
                <w:lang w:eastAsia="en-GB"/>
              </w:rPr>
            </w:pPr>
            <w:r w:rsidRPr="00CE4C3C">
              <w:rPr>
                <w:rFonts w:ascii="Times New Roman" w:eastAsia="Times New Roman" w:hAnsi="Times New Roman" w:cs="Times New Roman"/>
                <w:b/>
                <w:bCs/>
                <w:color w:val="000000"/>
                <w:lang w:eastAsia="en-GB"/>
              </w:rPr>
              <w:t> </w:t>
            </w:r>
          </w:p>
        </w:tc>
        <w:tc>
          <w:tcPr>
            <w:tcW w:w="7640" w:type="dxa"/>
            <w:gridSpan w:val="5"/>
            <w:tcBorders>
              <w:top w:val="single" w:sz="4" w:space="0" w:color="auto"/>
              <w:left w:val="nil"/>
              <w:bottom w:val="single" w:sz="4" w:space="0" w:color="auto"/>
              <w:right w:val="single" w:sz="4" w:space="0" w:color="auto"/>
            </w:tcBorders>
            <w:shd w:val="clear" w:color="auto" w:fill="auto"/>
            <w:noWrap/>
            <w:vAlign w:val="bottom"/>
          </w:tcPr>
          <w:p w14:paraId="37E04CAC" w14:textId="27D17C77" w:rsidR="00F17A0C" w:rsidRPr="00CE4C3C" w:rsidRDefault="00F17A0C" w:rsidP="005B56A9">
            <w:pPr>
              <w:spacing w:line="240" w:lineRule="auto"/>
              <w:jc w:val="center"/>
              <w:rPr>
                <w:rFonts w:ascii="Times New Roman" w:eastAsia="Calibri" w:hAnsi="Times New Roman" w:cs="Times New Roman"/>
                <w:b/>
              </w:rPr>
            </w:pPr>
            <w:r w:rsidRPr="00CE4C3C">
              <w:rPr>
                <w:rFonts w:ascii="Times New Roman" w:eastAsia="Calibri" w:hAnsi="Times New Roman" w:cs="Times New Roman"/>
                <w:b/>
              </w:rPr>
              <w:t xml:space="preserve">Dvigubai </w:t>
            </w:r>
            <w:r w:rsidR="005B56A9">
              <w:rPr>
                <w:rFonts w:ascii="Times New Roman" w:eastAsia="Calibri" w:hAnsi="Times New Roman" w:cs="Times New Roman"/>
                <w:b/>
              </w:rPr>
              <w:t>koduotas</w:t>
            </w:r>
            <w:r w:rsidR="005B56A9" w:rsidRPr="00CE4C3C">
              <w:rPr>
                <w:rFonts w:ascii="Times New Roman" w:eastAsia="Calibri" w:hAnsi="Times New Roman" w:cs="Times New Roman"/>
                <w:b/>
              </w:rPr>
              <w:t xml:space="preserve"> </w:t>
            </w:r>
            <w:r w:rsidRPr="00CE4C3C">
              <w:rPr>
                <w:rFonts w:ascii="Times New Roman" w:eastAsia="Calibri" w:hAnsi="Times New Roman" w:cs="Times New Roman"/>
                <w:b/>
              </w:rPr>
              <w:t>gydymas</w:t>
            </w:r>
            <w:r w:rsidRPr="00CE4C3C">
              <w:rPr>
                <w:rFonts w:ascii="Times New Roman" w:eastAsia="Times New Roman" w:hAnsi="Times New Roman" w:cs="Times New Roman"/>
                <w:bCs/>
                <w:w w:val="101"/>
                <w:position w:val="8"/>
                <w:vertAlign w:val="superscript"/>
              </w:rPr>
              <w:t>a</w:t>
            </w:r>
          </w:p>
        </w:tc>
      </w:tr>
      <w:tr w:rsidR="00F17A0C" w:rsidRPr="00CE4C3C" w14:paraId="5FDEE47D" w14:textId="77777777" w:rsidTr="000417F6">
        <w:trPr>
          <w:trHeight w:val="465"/>
        </w:trPr>
        <w:tc>
          <w:tcPr>
            <w:tcW w:w="1603" w:type="dxa"/>
            <w:vMerge/>
            <w:tcBorders>
              <w:top w:val="single" w:sz="4" w:space="0" w:color="auto"/>
              <w:left w:val="single" w:sz="4" w:space="0" w:color="auto"/>
              <w:bottom w:val="single" w:sz="4" w:space="0" w:color="auto"/>
              <w:right w:val="single" w:sz="4" w:space="0" w:color="auto"/>
            </w:tcBorders>
            <w:vAlign w:val="center"/>
          </w:tcPr>
          <w:p w14:paraId="603880E4" w14:textId="77777777" w:rsidR="00F17A0C" w:rsidRPr="00CE4C3C" w:rsidRDefault="00F17A0C" w:rsidP="00CE4C3C">
            <w:pPr>
              <w:spacing w:line="240" w:lineRule="auto"/>
              <w:rPr>
                <w:rFonts w:ascii="Times New Roman" w:eastAsia="Times New Roman" w:hAnsi="Times New Roman" w:cs="Times New Roman"/>
                <w:b/>
                <w:bCs/>
                <w:color w:val="000000"/>
                <w:lang w:eastAsia="en-GB"/>
              </w:rPr>
            </w:pPr>
          </w:p>
        </w:tc>
        <w:tc>
          <w:tcPr>
            <w:tcW w:w="3261" w:type="dxa"/>
            <w:gridSpan w:val="2"/>
            <w:tcBorders>
              <w:top w:val="single" w:sz="4" w:space="0" w:color="auto"/>
              <w:left w:val="nil"/>
              <w:bottom w:val="single" w:sz="4" w:space="0" w:color="auto"/>
              <w:right w:val="single" w:sz="4" w:space="0" w:color="auto"/>
            </w:tcBorders>
            <w:shd w:val="clear" w:color="auto" w:fill="auto"/>
            <w:noWrap/>
            <w:vAlign w:val="bottom"/>
          </w:tcPr>
          <w:p w14:paraId="72B58E1B" w14:textId="77777777" w:rsidR="00F17A0C" w:rsidRPr="00CE4C3C" w:rsidRDefault="00F17A0C" w:rsidP="00CE4C3C">
            <w:pPr>
              <w:spacing w:line="240" w:lineRule="auto"/>
              <w:jc w:val="center"/>
              <w:rPr>
                <w:rFonts w:ascii="Times New Roman" w:eastAsia="Times New Roman" w:hAnsi="Times New Roman" w:cs="Times New Roman"/>
                <w:b/>
                <w:bCs/>
                <w:color w:val="000000"/>
                <w:lang w:eastAsia="en-GB"/>
              </w:rPr>
            </w:pPr>
            <w:r w:rsidRPr="00CE4C3C">
              <w:rPr>
                <w:rFonts w:ascii="Times New Roman" w:eastAsia="Times New Roman" w:hAnsi="Times New Roman" w:cs="Times New Roman"/>
                <w:b/>
                <w:bCs/>
                <w:color w:val="000000"/>
                <w:lang w:eastAsia="en-GB"/>
              </w:rPr>
              <w:t>Mediana (95 % PI)</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tcPr>
          <w:p w14:paraId="3A199580" w14:textId="77777777" w:rsidR="00F17A0C" w:rsidRPr="00CE4C3C" w:rsidRDefault="00F17A0C" w:rsidP="00CE4C3C">
            <w:pPr>
              <w:spacing w:line="240" w:lineRule="auto"/>
              <w:jc w:val="center"/>
              <w:rPr>
                <w:rFonts w:ascii="Times New Roman" w:eastAsia="Times New Roman" w:hAnsi="Times New Roman" w:cs="Times New Roman"/>
                <w:b/>
                <w:bCs/>
                <w:color w:val="000000"/>
                <w:lang w:eastAsia="en-GB"/>
              </w:rPr>
            </w:pPr>
            <w:r w:rsidRPr="00CE4C3C">
              <w:rPr>
                <w:rFonts w:ascii="Times New Roman" w:eastAsia="Calibri" w:hAnsi="Times New Roman" w:cs="Times New Roman"/>
                <w:b/>
              </w:rPr>
              <w:t>Rizikos santykis</w:t>
            </w:r>
          </w:p>
        </w:tc>
        <w:tc>
          <w:tcPr>
            <w:tcW w:w="1559" w:type="dxa"/>
            <w:vMerge w:val="restart"/>
            <w:tcBorders>
              <w:top w:val="nil"/>
              <w:left w:val="nil"/>
              <w:right w:val="single" w:sz="4" w:space="0" w:color="auto"/>
            </w:tcBorders>
            <w:shd w:val="clear" w:color="auto" w:fill="auto"/>
            <w:vAlign w:val="bottom"/>
          </w:tcPr>
          <w:p w14:paraId="0289145D" w14:textId="77777777" w:rsidR="00F17A0C" w:rsidRPr="00CE4C3C" w:rsidRDefault="00F17A0C" w:rsidP="00CE4C3C">
            <w:pPr>
              <w:spacing w:line="240" w:lineRule="auto"/>
              <w:jc w:val="center"/>
              <w:rPr>
                <w:rFonts w:ascii="Times New Roman" w:eastAsia="Times New Roman" w:hAnsi="Times New Roman" w:cs="Times New Roman"/>
                <w:b/>
                <w:bCs/>
                <w:color w:val="000000"/>
                <w:lang w:eastAsia="en-GB"/>
              </w:rPr>
            </w:pPr>
            <w:r w:rsidRPr="00CE4C3C">
              <w:rPr>
                <w:rFonts w:ascii="Times New Roman" w:eastAsia="Times New Roman" w:hAnsi="Times New Roman" w:cs="Times New Roman"/>
                <w:b/>
                <w:bCs/>
                <w:color w:val="000000"/>
                <w:lang w:eastAsia="en-GB"/>
              </w:rPr>
              <w:t>Placebo kryžminė gydymo grupė</w:t>
            </w:r>
            <w:r w:rsidRPr="00CE4C3C">
              <w:rPr>
                <w:rFonts w:ascii="Times New Roman" w:eastAsia="Times New Roman" w:hAnsi="Times New Roman" w:cs="Times New Roman"/>
                <w:w w:val="101"/>
                <w:position w:val="8"/>
                <w:vertAlign w:val="superscript"/>
              </w:rPr>
              <w:t>b</w:t>
            </w:r>
          </w:p>
        </w:tc>
      </w:tr>
      <w:tr w:rsidR="00F17A0C" w:rsidRPr="00CE4C3C" w14:paraId="56751106" w14:textId="77777777" w:rsidTr="00597B10">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04F06BCE" w14:textId="77777777" w:rsidR="00F17A0C" w:rsidRPr="00CE4C3C" w:rsidRDefault="00F17A0C" w:rsidP="00CE4C3C">
            <w:pPr>
              <w:spacing w:line="240" w:lineRule="auto"/>
              <w:rPr>
                <w:rFonts w:ascii="Times New Roman" w:eastAsia="Times New Roman" w:hAnsi="Times New Roman" w:cs="Times New Roman"/>
                <w:b/>
                <w:bCs/>
                <w:color w:val="000000"/>
                <w:lang w:eastAsia="en-GB"/>
              </w:rPr>
            </w:pPr>
            <w:r w:rsidRPr="00CE4C3C">
              <w:rPr>
                <w:rFonts w:ascii="Times New Roman" w:eastAsia="Times New Roman" w:hAnsi="Times New Roman" w:cs="Times New Roman"/>
                <w:b/>
                <w:bCs/>
                <w:color w:val="000000"/>
                <w:lang w:eastAsia="en-GB"/>
              </w:rPr>
              <w:t>Vertinamoji baigtis</w:t>
            </w:r>
          </w:p>
        </w:tc>
        <w:tc>
          <w:tcPr>
            <w:tcW w:w="1647" w:type="dxa"/>
            <w:tcBorders>
              <w:top w:val="nil"/>
              <w:left w:val="nil"/>
              <w:bottom w:val="single" w:sz="4" w:space="0" w:color="auto"/>
              <w:right w:val="single" w:sz="4" w:space="0" w:color="auto"/>
            </w:tcBorders>
            <w:shd w:val="clear" w:color="auto" w:fill="auto"/>
            <w:noWrap/>
            <w:vAlign w:val="bottom"/>
          </w:tcPr>
          <w:p w14:paraId="16646088" w14:textId="77777777" w:rsidR="00F17A0C" w:rsidRPr="00CE4C3C" w:rsidRDefault="00F17A0C" w:rsidP="00CE4C3C">
            <w:pPr>
              <w:spacing w:line="240" w:lineRule="auto"/>
              <w:jc w:val="center"/>
              <w:rPr>
                <w:rFonts w:ascii="Times New Roman" w:eastAsia="Times New Roman" w:hAnsi="Times New Roman" w:cs="Times New Roman"/>
                <w:b/>
                <w:bCs/>
                <w:color w:val="000000"/>
                <w:lang w:eastAsia="en-GB"/>
              </w:rPr>
            </w:pPr>
            <w:r w:rsidRPr="00CE4C3C">
              <w:rPr>
                <w:rFonts w:ascii="Times New Roman" w:eastAsia="Times New Roman" w:hAnsi="Times New Roman" w:cs="Times New Roman"/>
                <w:b/>
                <w:bCs/>
                <w:color w:val="000000"/>
                <w:lang w:eastAsia="en-GB"/>
              </w:rPr>
              <w:t>Sunitinibas</w:t>
            </w:r>
          </w:p>
        </w:tc>
        <w:tc>
          <w:tcPr>
            <w:tcW w:w="1614" w:type="dxa"/>
            <w:tcBorders>
              <w:top w:val="nil"/>
              <w:left w:val="nil"/>
              <w:bottom w:val="single" w:sz="4" w:space="0" w:color="auto"/>
              <w:right w:val="single" w:sz="4" w:space="0" w:color="auto"/>
            </w:tcBorders>
            <w:shd w:val="clear" w:color="auto" w:fill="auto"/>
            <w:noWrap/>
            <w:vAlign w:val="bottom"/>
          </w:tcPr>
          <w:p w14:paraId="23D7F8B5" w14:textId="77777777" w:rsidR="00F17A0C" w:rsidRPr="00CE4C3C" w:rsidRDefault="00F17A0C" w:rsidP="00CE4C3C">
            <w:pPr>
              <w:spacing w:line="240" w:lineRule="auto"/>
              <w:jc w:val="center"/>
              <w:rPr>
                <w:rFonts w:ascii="Times New Roman" w:eastAsia="Times New Roman" w:hAnsi="Times New Roman" w:cs="Times New Roman"/>
                <w:b/>
                <w:bCs/>
                <w:color w:val="000000"/>
                <w:lang w:eastAsia="en-GB"/>
              </w:rPr>
            </w:pPr>
            <w:r w:rsidRPr="00CE4C3C">
              <w:rPr>
                <w:rFonts w:ascii="Times New Roman" w:eastAsia="Times New Roman" w:hAnsi="Times New Roman" w:cs="Times New Roman"/>
                <w:b/>
                <w:bCs/>
                <w:color w:val="000000"/>
                <w:lang w:eastAsia="en-GB"/>
              </w:rPr>
              <w:t>Placebas</w:t>
            </w:r>
          </w:p>
        </w:tc>
        <w:tc>
          <w:tcPr>
            <w:tcW w:w="1984" w:type="dxa"/>
            <w:tcBorders>
              <w:top w:val="nil"/>
              <w:left w:val="nil"/>
              <w:bottom w:val="single" w:sz="4" w:space="0" w:color="auto"/>
              <w:right w:val="single" w:sz="4" w:space="0" w:color="auto"/>
            </w:tcBorders>
            <w:shd w:val="clear" w:color="auto" w:fill="auto"/>
            <w:noWrap/>
            <w:vAlign w:val="bottom"/>
          </w:tcPr>
          <w:p w14:paraId="2F6CED2E" w14:textId="77777777" w:rsidR="00F17A0C" w:rsidRPr="00CE4C3C" w:rsidRDefault="00F17A0C" w:rsidP="00CE4C3C">
            <w:pPr>
              <w:spacing w:line="240" w:lineRule="auto"/>
              <w:jc w:val="center"/>
              <w:rPr>
                <w:rFonts w:ascii="Times New Roman" w:eastAsia="Times New Roman" w:hAnsi="Times New Roman" w:cs="Times New Roman"/>
                <w:b/>
                <w:bCs/>
                <w:color w:val="000000"/>
                <w:lang w:eastAsia="en-GB"/>
              </w:rPr>
            </w:pPr>
            <w:r w:rsidRPr="00CE4C3C">
              <w:rPr>
                <w:rFonts w:ascii="Times New Roman" w:eastAsia="Times New Roman" w:hAnsi="Times New Roman" w:cs="Times New Roman"/>
                <w:b/>
                <w:bCs/>
                <w:color w:val="000000"/>
                <w:lang w:eastAsia="en-GB"/>
              </w:rPr>
              <w:t xml:space="preserve">(95 % </w:t>
            </w:r>
            <w:r w:rsidR="008E19A7" w:rsidRPr="00CE4C3C">
              <w:rPr>
                <w:rFonts w:ascii="Times New Roman" w:eastAsia="Times New Roman" w:hAnsi="Times New Roman" w:cs="Times New Roman"/>
                <w:b/>
                <w:bCs/>
                <w:color w:val="000000"/>
                <w:lang w:eastAsia="en-GB"/>
              </w:rPr>
              <w:t>P</w:t>
            </w:r>
            <w:r w:rsidRPr="00CE4C3C">
              <w:rPr>
                <w:rFonts w:ascii="Times New Roman" w:eastAsia="Times New Roman" w:hAnsi="Times New Roman" w:cs="Times New Roman"/>
                <w:b/>
                <w:bCs/>
                <w:color w:val="000000"/>
                <w:lang w:eastAsia="en-GB"/>
              </w:rPr>
              <w:t>I)</w:t>
            </w:r>
          </w:p>
        </w:tc>
        <w:tc>
          <w:tcPr>
            <w:tcW w:w="836" w:type="dxa"/>
            <w:tcBorders>
              <w:top w:val="nil"/>
              <w:left w:val="nil"/>
              <w:bottom w:val="single" w:sz="4" w:space="0" w:color="auto"/>
              <w:right w:val="single" w:sz="4" w:space="0" w:color="auto"/>
            </w:tcBorders>
            <w:shd w:val="clear" w:color="auto" w:fill="auto"/>
            <w:noWrap/>
            <w:vAlign w:val="bottom"/>
          </w:tcPr>
          <w:p w14:paraId="00D3C4BF" w14:textId="77777777" w:rsidR="00F17A0C" w:rsidRPr="00CE4C3C" w:rsidRDefault="00F17A0C" w:rsidP="00CE4C3C">
            <w:pPr>
              <w:spacing w:line="240" w:lineRule="auto"/>
              <w:jc w:val="center"/>
              <w:rPr>
                <w:rFonts w:ascii="Times New Roman" w:eastAsia="Times New Roman" w:hAnsi="Times New Roman" w:cs="Times New Roman"/>
                <w:b/>
                <w:bCs/>
                <w:color w:val="000000"/>
                <w:lang w:eastAsia="en-GB"/>
              </w:rPr>
            </w:pPr>
            <w:r w:rsidRPr="00CE4C3C">
              <w:rPr>
                <w:rFonts w:ascii="Times New Roman" w:eastAsia="Times New Roman" w:hAnsi="Times New Roman" w:cs="Times New Roman"/>
                <w:b/>
                <w:bCs/>
                <w:color w:val="000000"/>
                <w:lang w:eastAsia="en-GB"/>
              </w:rPr>
              <w:t>p reikšmė</w:t>
            </w:r>
          </w:p>
        </w:tc>
        <w:tc>
          <w:tcPr>
            <w:tcW w:w="1559" w:type="dxa"/>
            <w:vMerge/>
            <w:tcBorders>
              <w:left w:val="nil"/>
              <w:bottom w:val="single" w:sz="4" w:space="0" w:color="auto"/>
              <w:right w:val="single" w:sz="4" w:space="0" w:color="auto"/>
            </w:tcBorders>
            <w:shd w:val="clear" w:color="auto" w:fill="auto"/>
            <w:noWrap/>
            <w:vAlign w:val="bottom"/>
          </w:tcPr>
          <w:p w14:paraId="572F8E5B" w14:textId="77777777" w:rsidR="00F17A0C" w:rsidRPr="00CE4C3C" w:rsidRDefault="00F17A0C" w:rsidP="00CE4C3C">
            <w:pPr>
              <w:spacing w:line="240" w:lineRule="auto"/>
              <w:jc w:val="center"/>
              <w:rPr>
                <w:rFonts w:ascii="Times New Roman" w:eastAsia="Times New Roman" w:hAnsi="Times New Roman" w:cs="Times New Roman"/>
                <w:b/>
                <w:bCs/>
                <w:color w:val="000000"/>
                <w:lang w:eastAsia="en-GB"/>
              </w:rPr>
            </w:pPr>
          </w:p>
        </w:tc>
      </w:tr>
      <w:tr w:rsidR="00F17A0C" w:rsidRPr="00CE4C3C" w14:paraId="048529B7" w14:textId="77777777" w:rsidTr="00597B10">
        <w:trPr>
          <w:trHeight w:val="272"/>
        </w:trPr>
        <w:tc>
          <w:tcPr>
            <w:tcW w:w="1603" w:type="dxa"/>
            <w:tcBorders>
              <w:top w:val="single" w:sz="4" w:space="0" w:color="auto"/>
              <w:left w:val="single" w:sz="4" w:space="0" w:color="auto"/>
              <w:bottom w:val="single" w:sz="4" w:space="0" w:color="auto"/>
            </w:tcBorders>
            <w:shd w:val="clear" w:color="auto" w:fill="auto"/>
            <w:vAlign w:val="bottom"/>
          </w:tcPr>
          <w:p w14:paraId="641B01EC" w14:textId="77777777" w:rsidR="00F17A0C" w:rsidRPr="00CE4C3C" w:rsidRDefault="00F17A0C" w:rsidP="00CE4C3C">
            <w:pPr>
              <w:spacing w:line="240" w:lineRule="auto"/>
              <w:rPr>
                <w:rFonts w:ascii="Times New Roman" w:eastAsia="Times New Roman" w:hAnsi="Times New Roman" w:cs="Times New Roman"/>
                <w:b/>
                <w:bCs/>
                <w:color w:val="000000"/>
                <w:lang w:eastAsia="en-GB"/>
              </w:rPr>
            </w:pPr>
            <w:r w:rsidRPr="00CE4C3C">
              <w:rPr>
                <w:rFonts w:ascii="Times New Roman" w:eastAsia="Times New Roman" w:hAnsi="Times New Roman" w:cs="Times New Roman"/>
                <w:b/>
                <w:bCs/>
                <w:color w:val="000000"/>
                <w:lang w:eastAsia="en-GB"/>
              </w:rPr>
              <w:t>Pirminė</w:t>
            </w:r>
          </w:p>
        </w:tc>
        <w:tc>
          <w:tcPr>
            <w:tcW w:w="1647" w:type="dxa"/>
            <w:tcBorders>
              <w:top w:val="single" w:sz="4" w:space="0" w:color="auto"/>
              <w:bottom w:val="single" w:sz="4" w:space="0" w:color="auto"/>
            </w:tcBorders>
            <w:shd w:val="clear" w:color="auto" w:fill="auto"/>
            <w:noWrap/>
            <w:vAlign w:val="bottom"/>
          </w:tcPr>
          <w:p w14:paraId="7B25A667"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spacing w:val="-1"/>
                <w:lang w:eastAsia="en-GB"/>
              </w:rPr>
              <w:t> </w:t>
            </w:r>
          </w:p>
        </w:tc>
        <w:tc>
          <w:tcPr>
            <w:tcW w:w="1614" w:type="dxa"/>
            <w:tcBorders>
              <w:top w:val="single" w:sz="4" w:space="0" w:color="auto"/>
              <w:bottom w:val="single" w:sz="4" w:space="0" w:color="auto"/>
            </w:tcBorders>
            <w:shd w:val="clear" w:color="auto" w:fill="auto"/>
            <w:noWrap/>
            <w:vAlign w:val="bottom"/>
          </w:tcPr>
          <w:p w14:paraId="6E6DBE4B"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w:t>
            </w:r>
          </w:p>
        </w:tc>
        <w:tc>
          <w:tcPr>
            <w:tcW w:w="1984" w:type="dxa"/>
            <w:tcBorders>
              <w:top w:val="single" w:sz="4" w:space="0" w:color="auto"/>
              <w:bottom w:val="single" w:sz="4" w:space="0" w:color="auto"/>
            </w:tcBorders>
            <w:shd w:val="clear" w:color="auto" w:fill="auto"/>
            <w:noWrap/>
            <w:vAlign w:val="bottom"/>
          </w:tcPr>
          <w:p w14:paraId="032A2D46"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w:t>
            </w:r>
          </w:p>
        </w:tc>
        <w:tc>
          <w:tcPr>
            <w:tcW w:w="836" w:type="dxa"/>
            <w:tcBorders>
              <w:top w:val="single" w:sz="4" w:space="0" w:color="auto"/>
              <w:bottom w:val="single" w:sz="4" w:space="0" w:color="auto"/>
            </w:tcBorders>
            <w:shd w:val="clear" w:color="auto" w:fill="auto"/>
            <w:noWrap/>
            <w:vAlign w:val="bottom"/>
          </w:tcPr>
          <w:p w14:paraId="04178ACF"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w:t>
            </w:r>
          </w:p>
        </w:tc>
        <w:tc>
          <w:tcPr>
            <w:tcW w:w="1559" w:type="dxa"/>
            <w:tcBorders>
              <w:top w:val="single" w:sz="4" w:space="0" w:color="auto"/>
              <w:bottom w:val="single" w:sz="4" w:space="0" w:color="auto"/>
              <w:right w:val="single" w:sz="4" w:space="0" w:color="auto"/>
            </w:tcBorders>
            <w:shd w:val="clear" w:color="auto" w:fill="auto"/>
            <w:noWrap/>
            <w:vAlign w:val="bottom"/>
          </w:tcPr>
          <w:p w14:paraId="1634D968"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w w:val="103"/>
                <w:position w:val="-4"/>
                <w:lang w:eastAsia="en-GB"/>
              </w:rPr>
              <w:t> </w:t>
            </w:r>
          </w:p>
        </w:tc>
      </w:tr>
      <w:tr w:rsidR="00F17A0C" w:rsidRPr="00CE4C3C" w14:paraId="70EADA5B" w14:textId="77777777" w:rsidTr="00597B10">
        <w:trPr>
          <w:trHeight w:val="275"/>
        </w:trPr>
        <w:tc>
          <w:tcPr>
            <w:tcW w:w="1603" w:type="dxa"/>
            <w:tcBorders>
              <w:top w:val="single" w:sz="4" w:space="0" w:color="auto"/>
              <w:left w:val="single" w:sz="4" w:space="0" w:color="auto"/>
              <w:bottom w:val="single" w:sz="4" w:space="0" w:color="auto"/>
            </w:tcBorders>
            <w:shd w:val="clear" w:color="auto" w:fill="auto"/>
            <w:vAlign w:val="bottom"/>
          </w:tcPr>
          <w:p w14:paraId="039E0BE4" w14:textId="77777777" w:rsidR="00F17A0C" w:rsidRPr="00CE4C3C" w:rsidRDefault="00F17A0C" w:rsidP="00CE4C3C">
            <w:pPr>
              <w:spacing w:line="240" w:lineRule="auto"/>
              <w:rPr>
                <w:rFonts w:ascii="Times New Roman" w:eastAsia="Times New Roman" w:hAnsi="Times New Roman" w:cs="Times New Roman"/>
                <w:bCs/>
                <w:color w:val="000000"/>
                <w:lang w:eastAsia="en-GB"/>
              </w:rPr>
            </w:pPr>
            <w:r w:rsidRPr="00CE4C3C">
              <w:rPr>
                <w:rFonts w:ascii="Times New Roman" w:eastAsia="Times New Roman" w:hAnsi="Times New Roman" w:cs="Times New Roman"/>
                <w:bCs/>
                <w:color w:val="000000"/>
                <w:lang w:eastAsia="en-GB"/>
              </w:rPr>
              <w:t>L</w:t>
            </w:r>
            <w:r w:rsidR="008F0BB2">
              <w:rPr>
                <w:rFonts w:ascii="Times New Roman" w:eastAsia="Times New Roman" w:hAnsi="Times New Roman" w:cs="Times New Roman"/>
                <w:bCs/>
                <w:color w:val="000000"/>
                <w:lang w:eastAsia="en-GB"/>
              </w:rPr>
              <w:t>I</w:t>
            </w:r>
            <w:r w:rsidRPr="00CE4C3C">
              <w:rPr>
                <w:rFonts w:ascii="Times New Roman" w:eastAsia="Times New Roman" w:hAnsi="Times New Roman" w:cs="Times New Roman"/>
                <w:bCs/>
                <w:color w:val="000000"/>
                <w:lang w:eastAsia="en-GB"/>
              </w:rPr>
              <w:t>NP (savaitės)</w:t>
            </w:r>
          </w:p>
        </w:tc>
        <w:tc>
          <w:tcPr>
            <w:tcW w:w="1647" w:type="dxa"/>
            <w:tcBorders>
              <w:top w:val="single" w:sz="4" w:space="0" w:color="auto"/>
              <w:bottom w:val="single" w:sz="4" w:space="0" w:color="auto"/>
            </w:tcBorders>
            <w:shd w:val="clear" w:color="auto" w:fill="auto"/>
            <w:noWrap/>
            <w:vAlign w:val="bottom"/>
          </w:tcPr>
          <w:p w14:paraId="613AE0B6" w14:textId="77777777" w:rsidR="00F17A0C" w:rsidRPr="00CE4C3C" w:rsidRDefault="00F17A0C" w:rsidP="00CE4C3C">
            <w:pPr>
              <w:spacing w:line="240" w:lineRule="auto"/>
              <w:rPr>
                <w:rFonts w:ascii="Times New Roman" w:eastAsia="Times New Roman" w:hAnsi="Times New Roman" w:cs="Times New Roman"/>
                <w:color w:val="000000"/>
                <w:spacing w:val="-1"/>
                <w:lang w:eastAsia="en-GB"/>
              </w:rPr>
            </w:pPr>
          </w:p>
        </w:tc>
        <w:tc>
          <w:tcPr>
            <w:tcW w:w="1614" w:type="dxa"/>
            <w:tcBorders>
              <w:top w:val="single" w:sz="4" w:space="0" w:color="auto"/>
              <w:bottom w:val="single" w:sz="4" w:space="0" w:color="auto"/>
            </w:tcBorders>
            <w:shd w:val="clear" w:color="auto" w:fill="auto"/>
            <w:noWrap/>
            <w:vAlign w:val="bottom"/>
          </w:tcPr>
          <w:p w14:paraId="2ACB9520" w14:textId="77777777" w:rsidR="00F17A0C" w:rsidRPr="00CE4C3C" w:rsidRDefault="00F17A0C" w:rsidP="00CE4C3C">
            <w:pPr>
              <w:spacing w:line="240" w:lineRule="auto"/>
              <w:rPr>
                <w:rFonts w:ascii="Times New Roman" w:eastAsia="Times New Roman" w:hAnsi="Times New Roman" w:cs="Times New Roman"/>
                <w:color w:val="000000"/>
                <w:lang w:eastAsia="en-GB"/>
              </w:rPr>
            </w:pPr>
          </w:p>
        </w:tc>
        <w:tc>
          <w:tcPr>
            <w:tcW w:w="1984" w:type="dxa"/>
            <w:tcBorders>
              <w:top w:val="single" w:sz="4" w:space="0" w:color="auto"/>
              <w:bottom w:val="single" w:sz="4" w:space="0" w:color="auto"/>
            </w:tcBorders>
            <w:shd w:val="clear" w:color="auto" w:fill="auto"/>
            <w:noWrap/>
            <w:vAlign w:val="bottom"/>
          </w:tcPr>
          <w:p w14:paraId="5F24B71A" w14:textId="77777777" w:rsidR="00F17A0C" w:rsidRPr="00CE4C3C" w:rsidRDefault="00F17A0C" w:rsidP="00CE4C3C">
            <w:pPr>
              <w:spacing w:line="240" w:lineRule="auto"/>
              <w:rPr>
                <w:rFonts w:ascii="Times New Roman" w:eastAsia="Times New Roman" w:hAnsi="Times New Roman" w:cs="Times New Roman"/>
                <w:color w:val="000000"/>
                <w:lang w:eastAsia="en-GB"/>
              </w:rPr>
            </w:pPr>
          </w:p>
        </w:tc>
        <w:tc>
          <w:tcPr>
            <w:tcW w:w="836" w:type="dxa"/>
            <w:tcBorders>
              <w:top w:val="single" w:sz="4" w:space="0" w:color="auto"/>
              <w:bottom w:val="single" w:sz="4" w:space="0" w:color="auto"/>
            </w:tcBorders>
            <w:shd w:val="clear" w:color="auto" w:fill="auto"/>
            <w:noWrap/>
            <w:vAlign w:val="bottom"/>
          </w:tcPr>
          <w:p w14:paraId="1E914F6B" w14:textId="77777777" w:rsidR="00F17A0C" w:rsidRPr="00CE4C3C" w:rsidRDefault="00F17A0C" w:rsidP="00CE4C3C">
            <w:pPr>
              <w:spacing w:line="240" w:lineRule="auto"/>
              <w:rPr>
                <w:rFonts w:ascii="Times New Roman" w:eastAsia="Times New Roman" w:hAnsi="Times New Roman" w:cs="Times New Roman"/>
                <w:color w:val="000000"/>
                <w:lang w:eastAsia="en-GB"/>
              </w:rPr>
            </w:pPr>
          </w:p>
        </w:tc>
        <w:tc>
          <w:tcPr>
            <w:tcW w:w="1559" w:type="dxa"/>
            <w:tcBorders>
              <w:top w:val="single" w:sz="4" w:space="0" w:color="auto"/>
              <w:bottom w:val="single" w:sz="4" w:space="0" w:color="auto"/>
              <w:right w:val="single" w:sz="4" w:space="0" w:color="auto"/>
            </w:tcBorders>
            <w:shd w:val="clear" w:color="auto" w:fill="auto"/>
            <w:noWrap/>
            <w:vAlign w:val="bottom"/>
          </w:tcPr>
          <w:p w14:paraId="47A06FB9" w14:textId="77777777" w:rsidR="00F17A0C" w:rsidRPr="00CE4C3C" w:rsidRDefault="00F17A0C" w:rsidP="00CE4C3C">
            <w:pPr>
              <w:spacing w:line="240" w:lineRule="auto"/>
              <w:rPr>
                <w:rFonts w:ascii="Times New Roman" w:eastAsia="Times New Roman" w:hAnsi="Times New Roman" w:cs="Times New Roman"/>
                <w:color w:val="000000"/>
                <w:w w:val="103"/>
                <w:position w:val="-4"/>
                <w:lang w:eastAsia="en-GB"/>
              </w:rPr>
            </w:pPr>
          </w:p>
        </w:tc>
      </w:tr>
      <w:tr w:rsidR="00F17A0C" w:rsidRPr="00CE4C3C" w14:paraId="182F4860" w14:textId="77777777" w:rsidTr="00597B10">
        <w:trPr>
          <w:trHeight w:val="300"/>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7C034" w14:textId="77777777" w:rsidR="00F17A0C" w:rsidRPr="00CE4C3C" w:rsidRDefault="00F17A0C" w:rsidP="00CE4C3C">
            <w:pPr>
              <w:spacing w:line="240" w:lineRule="auto"/>
              <w:ind w:left="333"/>
              <w:rPr>
                <w:rFonts w:ascii="Times New Roman" w:eastAsia="Times New Roman" w:hAnsi="Times New Roman" w:cs="Times New Roman"/>
                <w:bCs/>
                <w:color w:val="000000"/>
                <w:lang w:eastAsia="en-GB"/>
              </w:rPr>
            </w:pPr>
            <w:r w:rsidRPr="00CE4C3C">
              <w:rPr>
                <w:rFonts w:ascii="Times New Roman" w:eastAsia="Times New Roman" w:hAnsi="Times New Roman" w:cs="Times New Roman"/>
                <w:bCs/>
                <w:color w:val="000000"/>
                <w:lang w:eastAsia="en-GB"/>
              </w:rPr>
              <w:t>Tarpinė</w:t>
            </w:r>
          </w:p>
        </w:tc>
        <w:tc>
          <w:tcPr>
            <w:tcW w:w="1647" w:type="dxa"/>
            <w:tcBorders>
              <w:top w:val="single" w:sz="4" w:space="0" w:color="auto"/>
              <w:left w:val="nil"/>
              <w:bottom w:val="single" w:sz="4" w:space="0" w:color="auto"/>
              <w:right w:val="single" w:sz="4" w:space="0" w:color="auto"/>
            </w:tcBorders>
            <w:shd w:val="clear" w:color="auto" w:fill="auto"/>
            <w:noWrap/>
            <w:vAlign w:val="bottom"/>
          </w:tcPr>
          <w:p w14:paraId="16258181" w14:textId="77777777" w:rsidR="008E19A7" w:rsidRPr="00CE4C3C" w:rsidRDefault="00F17A0C" w:rsidP="00CE4C3C">
            <w:pPr>
              <w:spacing w:line="240" w:lineRule="auto"/>
              <w:jc w:val="center"/>
              <w:rPr>
                <w:rFonts w:ascii="Times New Roman" w:eastAsia="Times New Roman" w:hAnsi="Times New Roman" w:cs="Times New Roman"/>
                <w:color w:val="000000"/>
                <w:spacing w:val="-1"/>
                <w:lang w:eastAsia="en-GB"/>
              </w:rPr>
            </w:pPr>
            <w:r w:rsidRPr="00CE4C3C">
              <w:rPr>
                <w:rFonts w:ascii="Times New Roman" w:eastAsia="Times New Roman" w:hAnsi="Times New Roman" w:cs="Times New Roman"/>
                <w:color w:val="000000"/>
                <w:spacing w:val="-1"/>
                <w:lang w:eastAsia="en-GB"/>
              </w:rPr>
              <w:t>27,3</w:t>
            </w:r>
          </w:p>
          <w:p w14:paraId="37E5FA05"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spacing w:val="-1"/>
                <w:lang w:eastAsia="en-GB"/>
              </w:rPr>
              <w:t>(16,0, 32,1)</w:t>
            </w:r>
          </w:p>
        </w:tc>
        <w:tc>
          <w:tcPr>
            <w:tcW w:w="1614" w:type="dxa"/>
            <w:tcBorders>
              <w:top w:val="single" w:sz="4" w:space="0" w:color="auto"/>
              <w:left w:val="nil"/>
              <w:bottom w:val="single" w:sz="4" w:space="0" w:color="auto"/>
              <w:right w:val="single" w:sz="4" w:space="0" w:color="auto"/>
            </w:tcBorders>
            <w:shd w:val="clear" w:color="auto" w:fill="auto"/>
            <w:noWrap/>
            <w:vAlign w:val="bottom"/>
          </w:tcPr>
          <w:p w14:paraId="0CB56896" w14:textId="77777777" w:rsidR="00F17A0C" w:rsidRPr="00CE4C3C" w:rsidRDefault="00F17A0C" w:rsidP="00CE4C3C">
            <w:pPr>
              <w:spacing w:line="240" w:lineRule="auto"/>
              <w:ind w:left="-108"/>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6,4 (4,4, 10,0)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267A0302" w14:textId="77777777" w:rsidR="008E19A7"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0,329</w:t>
            </w:r>
          </w:p>
          <w:p w14:paraId="31D22644"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xml:space="preserve"> (0,233, 0,466)</w:t>
            </w:r>
          </w:p>
        </w:tc>
        <w:tc>
          <w:tcPr>
            <w:tcW w:w="836" w:type="dxa"/>
            <w:tcBorders>
              <w:top w:val="single" w:sz="4" w:space="0" w:color="auto"/>
              <w:left w:val="nil"/>
              <w:bottom w:val="single" w:sz="4" w:space="0" w:color="auto"/>
              <w:right w:val="single" w:sz="4" w:space="0" w:color="auto"/>
            </w:tcBorders>
            <w:shd w:val="clear" w:color="auto" w:fill="auto"/>
            <w:noWrap/>
            <w:vAlign w:val="bottom"/>
          </w:tcPr>
          <w:p w14:paraId="6612BD91"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&lt;0,001</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7FF4CB9"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w:t>
            </w:r>
          </w:p>
        </w:tc>
      </w:tr>
      <w:tr w:rsidR="00F17A0C" w:rsidRPr="00CE4C3C" w14:paraId="7A730B0C" w14:textId="77777777" w:rsidTr="000417F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68F84564" w14:textId="77777777" w:rsidR="00F17A0C" w:rsidRPr="00CE4C3C" w:rsidRDefault="00F17A0C" w:rsidP="00CE4C3C">
            <w:pPr>
              <w:spacing w:line="240" w:lineRule="auto"/>
              <w:ind w:left="333"/>
              <w:rPr>
                <w:rFonts w:ascii="Times New Roman" w:eastAsia="Times New Roman" w:hAnsi="Times New Roman" w:cs="Times New Roman"/>
                <w:bCs/>
                <w:color w:val="000000"/>
                <w:lang w:eastAsia="en-GB"/>
              </w:rPr>
            </w:pPr>
            <w:r w:rsidRPr="00CE4C3C">
              <w:rPr>
                <w:rFonts w:ascii="Times New Roman" w:eastAsia="Times New Roman" w:hAnsi="Times New Roman" w:cs="Times New Roman"/>
                <w:bCs/>
                <w:color w:val="000000"/>
                <w:spacing w:val="-1"/>
                <w:lang w:eastAsia="en-GB"/>
              </w:rPr>
              <w:t>Galutinė</w:t>
            </w:r>
          </w:p>
        </w:tc>
        <w:tc>
          <w:tcPr>
            <w:tcW w:w="1647" w:type="dxa"/>
            <w:tcBorders>
              <w:top w:val="nil"/>
              <w:left w:val="nil"/>
              <w:bottom w:val="single" w:sz="4" w:space="0" w:color="auto"/>
              <w:right w:val="single" w:sz="4" w:space="0" w:color="auto"/>
            </w:tcBorders>
            <w:shd w:val="clear" w:color="auto" w:fill="auto"/>
            <w:noWrap/>
            <w:vAlign w:val="bottom"/>
          </w:tcPr>
          <w:p w14:paraId="178B0837" w14:textId="77777777" w:rsidR="008E19A7" w:rsidRPr="00CE4C3C" w:rsidRDefault="00F17A0C" w:rsidP="00CE4C3C">
            <w:pPr>
              <w:spacing w:line="240" w:lineRule="auto"/>
              <w:jc w:val="center"/>
              <w:rPr>
                <w:rFonts w:ascii="Times New Roman" w:eastAsia="Times New Roman" w:hAnsi="Times New Roman" w:cs="Times New Roman"/>
                <w:color w:val="000000"/>
                <w:spacing w:val="-1"/>
                <w:lang w:eastAsia="en-GB"/>
              </w:rPr>
            </w:pPr>
            <w:r w:rsidRPr="00CE4C3C">
              <w:rPr>
                <w:rFonts w:ascii="Times New Roman" w:eastAsia="Times New Roman" w:hAnsi="Times New Roman" w:cs="Times New Roman"/>
                <w:color w:val="000000"/>
                <w:spacing w:val="-1"/>
                <w:lang w:eastAsia="en-GB"/>
              </w:rPr>
              <w:t>26,6</w:t>
            </w:r>
          </w:p>
          <w:p w14:paraId="4BC6D543"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spacing w:val="-1"/>
                <w:lang w:eastAsia="en-GB"/>
              </w:rPr>
              <w:t>(16,0, 32,1)</w:t>
            </w:r>
          </w:p>
        </w:tc>
        <w:tc>
          <w:tcPr>
            <w:tcW w:w="1614" w:type="dxa"/>
            <w:tcBorders>
              <w:top w:val="nil"/>
              <w:left w:val="nil"/>
              <w:bottom w:val="single" w:sz="4" w:space="0" w:color="auto"/>
              <w:right w:val="single" w:sz="4" w:space="0" w:color="auto"/>
            </w:tcBorders>
            <w:shd w:val="clear" w:color="auto" w:fill="auto"/>
            <w:noWrap/>
            <w:vAlign w:val="bottom"/>
          </w:tcPr>
          <w:p w14:paraId="25F0366B" w14:textId="77777777" w:rsidR="00F17A0C" w:rsidRPr="00CE4C3C" w:rsidRDefault="00F17A0C" w:rsidP="00CE4C3C">
            <w:pPr>
              <w:spacing w:line="240" w:lineRule="auto"/>
              <w:ind w:hanging="108"/>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6,4 (4,4, 10,0 )</w:t>
            </w:r>
          </w:p>
        </w:tc>
        <w:tc>
          <w:tcPr>
            <w:tcW w:w="1984" w:type="dxa"/>
            <w:tcBorders>
              <w:top w:val="nil"/>
              <w:left w:val="nil"/>
              <w:bottom w:val="single" w:sz="4" w:space="0" w:color="auto"/>
              <w:right w:val="single" w:sz="4" w:space="0" w:color="auto"/>
            </w:tcBorders>
            <w:shd w:val="clear" w:color="auto" w:fill="auto"/>
            <w:noWrap/>
            <w:vAlign w:val="bottom"/>
          </w:tcPr>
          <w:p w14:paraId="0B6480DD" w14:textId="77777777" w:rsidR="008E19A7"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0,339</w:t>
            </w:r>
          </w:p>
          <w:p w14:paraId="29B05788"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xml:space="preserve"> (0,244, 0,472)</w:t>
            </w:r>
          </w:p>
        </w:tc>
        <w:tc>
          <w:tcPr>
            <w:tcW w:w="836" w:type="dxa"/>
            <w:tcBorders>
              <w:top w:val="nil"/>
              <w:left w:val="nil"/>
              <w:bottom w:val="single" w:sz="4" w:space="0" w:color="auto"/>
              <w:right w:val="single" w:sz="4" w:space="0" w:color="auto"/>
            </w:tcBorders>
            <w:shd w:val="clear" w:color="auto" w:fill="auto"/>
            <w:noWrap/>
            <w:vAlign w:val="bottom"/>
          </w:tcPr>
          <w:p w14:paraId="6D1ACD8D"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&lt;0,001</w:t>
            </w:r>
          </w:p>
        </w:tc>
        <w:tc>
          <w:tcPr>
            <w:tcW w:w="1559" w:type="dxa"/>
            <w:tcBorders>
              <w:top w:val="nil"/>
              <w:left w:val="nil"/>
              <w:bottom w:val="single" w:sz="4" w:space="0" w:color="auto"/>
              <w:right w:val="single" w:sz="4" w:space="0" w:color="auto"/>
            </w:tcBorders>
            <w:shd w:val="clear" w:color="auto" w:fill="auto"/>
            <w:noWrap/>
            <w:vAlign w:val="bottom"/>
          </w:tcPr>
          <w:p w14:paraId="384C8F90" w14:textId="77777777" w:rsidR="008E19A7"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10,4</w:t>
            </w:r>
          </w:p>
          <w:p w14:paraId="6C2C4C2B"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xml:space="preserve"> (4,3, 22,0)</w:t>
            </w:r>
          </w:p>
        </w:tc>
      </w:tr>
      <w:tr w:rsidR="00F17A0C" w:rsidRPr="00CE4C3C" w14:paraId="007031C7" w14:textId="77777777" w:rsidTr="00597B10">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2A7BCE43" w14:textId="77777777" w:rsidR="00F17A0C" w:rsidRPr="00CE4C3C" w:rsidRDefault="00F17A0C" w:rsidP="00CE4C3C">
            <w:pPr>
              <w:spacing w:line="240" w:lineRule="auto"/>
              <w:rPr>
                <w:rFonts w:ascii="Times New Roman" w:eastAsia="Times New Roman" w:hAnsi="Times New Roman" w:cs="Times New Roman"/>
                <w:b/>
                <w:bCs/>
                <w:color w:val="000000"/>
                <w:lang w:eastAsia="en-GB"/>
              </w:rPr>
            </w:pPr>
            <w:r w:rsidRPr="00CE4C3C">
              <w:rPr>
                <w:rFonts w:ascii="Times New Roman" w:eastAsia="Times New Roman" w:hAnsi="Times New Roman" w:cs="Times New Roman"/>
                <w:b/>
                <w:bCs/>
                <w:color w:val="000000"/>
                <w:lang w:eastAsia="en-GB"/>
              </w:rPr>
              <w:t>Antrinė</w:t>
            </w:r>
          </w:p>
        </w:tc>
        <w:tc>
          <w:tcPr>
            <w:tcW w:w="1647" w:type="dxa"/>
            <w:tcBorders>
              <w:top w:val="nil"/>
              <w:left w:val="nil"/>
              <w:bottom w:val="single" w:sz="4" w:space="0" w:color="auto"/>
              <w:right w:val="single" w:sz="4" w:space="0" w:color="auto"/>
            </w:tcBorders>
            <w:shd w:val="clear" w:color="auto" w:fill="auto"/>
            <w:noWrap/>
            <w:vAlign w:val="bottom"/>
          </w:tcPr>
          <w:p w14:paraId="6AA4A067"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w:t>
            </w:r>
          </w:p>
        </w:tc>
        <w:tc>
          <w:tcPr>
            <w:tcW w:w="1614" w:type="dxa"/>
            <w:tcBorders>
              <w:top w:val="nil"/>
              <w:left w:val="nil"/>
              <w:bottom w:val="single" w:sz="4" w:space="0" w:color="auto"/>
              <w:right w:val="single" w:sz="4" w:space="0" w:color="auto"/>
            </w:tcBorders>
            <w:shd w:val="clear" w:color="auto" w:fill="auto"/>
            <w:noWrap/>
            <w:vAlign w:val="bottom"/>
          </w:tcPr>
          <w:p w14:paraId="48AA74DF"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xml:space="preserve">  </w:t>
            </w:r>
          </w:p>
        </w:tc>
        <w:tc>
          <w:tcPr>
            <w:tcW w:w="1984" w:type="dxa"/>
            <w:tcBorders>
              <w:top w:val="nil"/>
              <w:left w:val="nil"/>
              <w:bottom w:val="single" w:sz="4" w:space="0" w:color="auto"/>
              <w:right w:val="single" w:sz="4" w:space="0" w:color="auto"/>
            </w:tcBorders>
            <w:shd w:val="clear" w:color="auto" w:fill="auto"/>
            <w:noWrap/>
            <w:vAlign w:val="bottom"/>
          </w:tcPr>
          <w:p w14:paraId="4E52669A"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w:t>
            </w:r>
          </w:p>
        </w:tc>
        <w:tc>
          <w:tcPr>
            <w:tcW w:w="836" w:type="dxa"/>
            <w:tcBorders>
              <w:top w:val="nil"/>
              <w:left w:val="nil"/>
              <w:bottom w:val="single" w:sz="4" w:space="0" w:color="auto"/>
              <w:right w:val="single" w:sz="4" w:space="0" w:color="auto"/>
            </w:tcBorders>
            <w:shd w:val="clear" w:color="auto" w:fill="auto"/>
            <w:noWrap/>
            <w:vAlign w:val="bottom"/>
          </w:tcPr>
          <w:p w14:paraId="4A3708BF"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w:t>
            </w:r>
          </w:p>
        </w:tc>
        <w:tc>
          <w:tcPr>
            <w:tcW w:w="1559" w:type="dxa"/>
            <w:tcBorders>
              <w:top w:val="nil"/>
              <w:left w:val="nil"/>
              <w:bottom w:val="single" w:sz="4" w:space="0" w:color="auto"/>
              <w:right w:val="single" w:sz="4" w:space="0" w:color="auto"/>
            </w:tcBorders>
            <w:shd w:val="clear" w:color="auto" w:fill="auto"/>
            <w:noWrap/>
            <w:vAlign w:val="bottom"/>
          </w:tcPr>
          <w:p w14:paraId="3C576952"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w:t>
            </w:r>
          </w:p>
        </w:tc>
      </w:tr>
      <w:tr w:rsidR="00F17A0C" w:rsidRPr="00CE4C3C" w14:paraId="32245AE5" w14:textId="77777777" w:rsidTr="00597B10">
        <w:trPr>
          <w:trHeight w:val="300"/>
        </w:trPr>
        <w:tc>
          <w:tcPr>
            <w:tcW w:w="1603" w:type="dxa"/>
            <w:tcBorders>
              <w:top w:val="single" w:sz="4" w:space="0" w:color="auto"/>
              <w:left w:val="single" w:sz="4" w:space="0" w:color="auto"/>
              <w:bottom w:val="single" w:sz="4" w:space="0" w:color="auto"/>
            </w:tcBorders>
            <w:shd w:val="clear" w:color="auto" w:fill="auto"/>
            <w:noWrap/>
            <w:vAlign w:val="bottom"/>
          </w:tcPr>
          <w:p w14:paraId="6B32619A" w14:textId="2AA0AEC8" w:rsidR="00F17A0C" w:rsidRPr="00CE4C3C" w:rsidRDefault="007E7E44" w:rsidP="008F0BB2">
            <w:pPr>
              <w:spacing w:line="240" w:lineRule="auto"/>
              <w:rPr>
                <w:rFonts w:ascii="Times New Roman" w:eastAsia="Times New Roman" w:hAnsi="Times New Roman" w:cs="Times New Roman"/>
                <w:bCs/>
                <w:color w:val="000000"/>
                <w:lang w:eastAsia="en-GB"/>
              </w:rPr>
            </w:pPr>
            <w:r>
              <w:rPr>
                <w:rFonts w:ascii="Times New Roman" w:eastAsia="Times New Roman" w:hAnsi="Times New Roman" w:cs="Times New Roman"/>
                <w:bCs/>
                <w:color w:val="000000"/>
                <w:lang w:eastAsia="en-GB"/>
              </w:rPr>
              <w:t>IB</w:t>
            </w:r>
            <w:r w:rsidR="008F0BB2">
              <w:rPr>
                <w:rFonts w:ascii="Times New Roman" w:eastAsia="Times New Roman" w:hAnsi="Times New Roman" w:cs="Times New Roman"/>
                <w:bCs/>
                <w:color w:val="000000"/>
                <w:lang w:eastAsia="en-GB"/>
              </w:rPr>
              <w:t>LP</w:t>
            </w:r>
            <w:r w:rsidR="00F17A0C" w:rsidRPr="00CE4C3C">
              <w:rPr>
                <w:rFonts w:ascii="Times New Roman" w:eastAsia="Times New Roman" w:hAnsi="Times New Roman" w:cs="Times New Roman"/>
                <w:bCs/>
                <w:color w:val="000000"/>
                <w:lang w:eastAsia="en-GB"/>
              </w:rPr>
              <w:t xml:space="preserve"> (savaitės)</w:t>
            </w:r>
            <w:r w:rsidR="00F17A0C" w:rsidRPr="00CE4C3C">
              <w:rPr>
                <w:rFonts w:ascii="Times New Roman" w:eastAsia="Times New Roman" w:hAnsi="Times New Roman" w:cs="Times New Roman"/>
                <w:w w:val="101"/>
                <w:position w:val="8"/>
                <w:vertAlign w:val="superscript"/>
              </w:rPr>
              <w:t>c</w:t>
            </w:r>
          </w:p>
        </w:tc>
        <w:tc>
          <w:tcPr>
            <w:tcW w:w="1647" w:type="dxa"/>
            <w:tcBorders>
              <w:top w:val="single" w:sz="4" w:space="0" w:color="auto"/>
              <w:bottom w:val="single" w:sz="4" w:space="0" w:color="auto"/>
            </w:tcBorders>
            <w:shd w:val="clear" w:color="auto" w:fill="auto"/>
            <w:noWrap/>
            <w:vAlign w:val="bottom"/>
          </w:tcPr>
          <w:p w14:paraId="06D747A3"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w:t>
            </w:r>
          </w:p>
        </w:tc>
        <w:tc>
          <w:tcPr>
            <w:tcW w:w="1614" w:type="dxa"/>
            <w:tcBorders>
              <w:top w:val="single" w:sz="4" w:space="0" w:color="auto"/>
              <w:bottom w:val="single" w:sz="4" w:space="0" w:color="auto"/>
            </w:tcBorders>
            <w:shd w:val="clear" w:color="auto" w:fill="auto"/>
            <w:noWrap/>
            <w:vAlign w:val="bottom"/>
          </w:tcPr>
          <w:p w14:paraId="0BE3EC72"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w:t>
            </w:r>
          </w:p>
        </w:tc>
        <w:tc>
          <w:tcPr>
            <w:tcW w:w="1984" w:type="dxa"/>
            <w:tcBorders>
              <w:top w:val="single" w:sz="4" w:space="0" w:color="auto"/>
              <w:bottom w:val="single" w:sz="4" w:space="0" w:color="auto"/>
            </w:tcBorders>
            <w:shd w:val="clear" w:color="auto" w:fill="auto"/>
            <w:noWrap/>
            <w:vAlign w:val="bottom"/>
          </w:tcPr>
          <w:p w14:paraId="41F275AE"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w w:val="103"/>
                <w:lang w:eastAsia="en-GB"/>
              </w:rPr>
              <w:t> </w:t>
            </w:r>
          </w:p>
        </w:tc>
        <w:tc>
          <w:tcPr>
            <w:tcW w:w="836" w:type="dxa"/>
            <w:tcBorders>
              <w:top w:val="single" w:sz="4" w:space="0" w:color="auto"/>
              <w:bottom w:val="single" w:sz="4" w:space="0" w:color="auto"/>
            </w:tcBorders>
            <w:shd w:val="clear" w:color="auto" w:fill="auto"/>
            <w:noWrap/>
            <w:vAlign w:val="bottom"/>
          </w:tcPr>
          <w:p w14:paraId="0D996AC2"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w:t>
            </w:r>
          </w:p>
        </w:tc>
        <w:tc>
          <w:tcPr>
            <w:tcW w:w="1559" w:type="dxa"/>
            <w:tcBorders>
              <w:top w:val="single" w:sz="4" w:space="0" w:color="auto"/>
              <w:bottom w:val="single" w:sz="4" w:space="0" w:color="auto"/>
              <w:right w:val="single" w:sz="4" w:space="0" w:color="auto"/>
            </w:tcBorders>
            <w:shd w:val="clear" w:color="auto" w:fill="auto"/>
            <w:noWrap/>
            <w:vAlign w:val="bottom"/>
          </w:tcPr>
          <w:p w14:paraId="51A14016"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w:t>
            </w:r>
          </w:p>
        </w:tc>
      </w:tr>
      <w:tr w:rsidR="00F17A0C" w:rsidRPr="00CE4C3C" w14:paraId="7FE6E857" w14:textId="77777777" w:rsidTr="00597B10">
        <w:trPr>
          <w:trHeight w:val="300"/>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FC0EF" w14:textId="77777777" w:rsidR="00F17A0C" w:rsidRPr="00CE4C3C" w:rsidRDefault="00F17A0C" w:rsidP="00CE4C3C">
            <w:pPr>
              <w:spacing w:line="240" w:lineRule="auto"/>
              <w:ind w:left="333"/>
              <w:rPr>
                <w:rFonts w:ascii="Times New Roman" w:eastAsia="Times New Roman" w:hAnsi="Times New Roman" w:cs="Times New Roman"/>
                <w:bCs/>
                <w:color w:val="000000"/>
                <w:lang w:eastAsia="en-GB"/>
              </w:rPr>
            </w:pPr>
            <w:r w:rsidRPr="00CE4C3C">
              <w:rPr>
                <w:rFonts w:ascii="Times New Roman" w:eastAsia="Times New Roman" w:hAnsi="Times New Roman" w:cs="Times New Roman"/>
                <w:bCs/>
                <w:color w:val="000000"/>
                <w:lang w:eastAsia="en-GB"/>
              </w:rPr>
              <w:t xml:space="preserve">Tarpinė </w:t>
            </w:r>
          </w:p>
        </w:tc>
        <w:tc>
          <w:tcPr>
            <w:tcW w:w="1647" w:type="dxa"/>
            <w:tcBorders>
              <w:top w:val="single" w:sz="4" w:space="0" w:color="auto"/>
              <w:left w:val="nil"/>
              <w:bottom w:val="single" w:sz="4" w:space="0" w:color="auto"/>
              <w:right w:val="single" w:sz="4" w:space="0" w:color="auto"/>
            </w:tcBorders>
            <w:shd w:val="clear" w:color="auto" w:fill="auto"/>
            <w:noWrap/>
            <w:vAlign w:val="bottom"/>
          </w:tcPr>
          <w:p w14:paraId="52595E13" w14:textId="77777777" w:rsidR="008E19A7"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24,1</w:t>
            </w:r>
          </w:p>
          <w:p w14:paraId="497AE328"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xml:space="preserve"> (11,1, 28,3)</w:t>
            </w:r>
          </w:p>
        </w:tc>
        <w:tc>
          <w:tcPr>
            <w:tcW w:w="1614" w:type="dxa"/>
            <w:tcBorders>
              <w:top w:val="single" w:sz="4" w:space="0" w:color="auto"/>
              <w:left w:val="nil"/>
              <w:bottom w:val="single" w:sz="4" w:space="0" w:color="auto"/>
              <w:right w:val="single" w:sz="4" w:space="0" w:color="auto"/>
            </w:tcBorders>
            <w:shd w:val="clear" w:color="auto" w:fill="auto"/>
            <w:noWrap/>
            <w:vAlign w:val="bottom"/>
          </w:tcPr>
          <w:p w14:paraId="0A6950B9"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6,0 (4,4, 9,9)</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054A7EDC" w14:textId="77777777" w:rsidR="008E19A7"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0,333</w:t>
            </w:r>
          </w:p>
          <w:p w14:paraId="15F17380"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xml:space="preserve"> (0,238, 0,467)</w:t>
            </w:r>
          </w:p>
        </w:tc>
        <w:tc>
          <w:tcPr>
            <w:tcW w:w="836" w:type="dxa"/>
            <w:tcBorders>
              <w:top w:val="single" w:sz="4" w:space="0" w:color="auto"/>
              <w:left w:val="nil"/>
              <w:bottom w:val="single" w:sz="4" w:space="0" w:color="auto"/>
              <w:right w:val="single" w:sz="4" w:space="0" w:color="auto"/>
            </w:tcBorders>
            <w:shd w:val="clear" w:color="auto" w:fill="auto"/>
            <w:noWrap/>
            <w:vAlign w:val="bottom"/>
          </w:tcPr>
          <w:p w14:paraId="6AE8A41A"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&lt;0,001</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9EC78E5"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w:t>
            </w:r>
          </w:p>
        </w:tc>
      </w:tr>
      <w:tr w:rsidR="00F17A0C" w:rsidRPr="00CE4C3C" w14:paraId="39F0A70F" w14:textId="77777777" w:rsidTr="008E19A7">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586C5B3F" w14:textId="77777777" w:rsidR="00F17A0C" w:rsidRPr="00CE4C3C" w:rsidRDefault="00F17A0C" w:rsidP="00CE4C3C">
            <w:pPr>
              <w:spacing w:line="240" w:lineRule="auto"/>
              <w:ind w:left="333"/>
              <w:rPr>
                <w:rFonts w:ascii="Times New Roman" w:eastAsia="Times New Roman" w:hAnsi="Times New Roman" w:cs="Times New Roman"/>
                <w:bCs/>
                <w:color w:val="000000"/>
                <w:lang w:eastAsia="en-GB"/>
              </w:rPr>
            </w:pPr>
            <w:r w:rsidRPr="00CE4C3C">
              <w:rPr>
                <w:rFonts w:ascii="Times New Roman" w:eastAsia="Times New Roman" w:hAnsi="Times New Roman" w:cs="Times New Roman"/>
                <w:bCs/>
                <w:color w:val="000000"/>
                <w:spacing w:val="-1"/>
                <w:lang w:eastAsia="en-GB"/>
              </w:rPr>
              <w:t xml:space="preserve">Galutinė </w:t>
            </w:r>
          </w:p>
        </w:tc>
        <w:tc>
          <w:tcPr>
            <w:tcW w:w="1647" w:type="dxa"/>
            <w:tcBorders>
              <w:top w:val="nil"/>
              <w:left w:val="nil"/>
              <w:bottom w:val="single" w:sz="4" w:space="0" w:color="auto"/>
              <w:right w:val="single" w:sz="4" w:space="0" w:color="auto"/>
            </w:tcBorders>
            <w:shd w:val="clear" w:color="auto" w:fill="auto"/>
            <w:noWrap/>
            <w:vAlign w:val="bottom"/>
          </w:tcPr>
          <w:p w14:paraId="4FF573A6" w14:textId="77777777" w:rsidR="008E19A7" w:rsidRPr="00CE4C3C" w:rsidRDefault="00F17A0C" w:rsidP="00CE4C3C">
            <w:pPr>
              <w:spacing w:line="240" w:lineRule="auto"/>
              <w:jc w:val="center"/>
              <w:rPr>
                <w:rFonts w:ascii="Times New Roman" w:eastAsia="Times New Roman" w:hAnsi="Times New Roman" w:cs="Times New Roman"/>
                <w:color w:val="000000"/>
                <w:spacing w:val="-1"/>
                <w:lang w:eastAsia="en-GB"/>
              </w:rPr>
            </w:pPr>
            <w:r w:rsidRPr="00CE4C3C">
              <w:rPr>
                <w:rFonts w:ascii="Times New Roman" w:eastAsia="Times New Roman" w:hAnsi="Times New Roman" w:cs="Times New Roman"/>
                <w:color w:val="000000"/>
                <w:spacing w:val="-1"/>
                <w:lang w:eastAsia="en-GB"/>
              </w:rPr>
              <w:t>22,9</w:t>
            </w:r>
          </w:p>
          <w:p w14:paraId="16629980"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spacing w:val="-1"/>
                <w:lang w:eastAsia="en-GB"/>
              </w:rPr>
              <w:t xml:space="preserve"> (10,9, 28,0)</w:t>
            </w:r>
          </w:p>
        </w:tc>
        <w:tc>
          <w:tcPr>
            <w:tcW w:w="1614" w:type="dxa"/>
            <w:tcBorders>
              <w:top w:val="nil"/>
              <w:left w:val="nil"/>
              <w:bottom w:val="single" w:sz="4" w:space="0" w:color="auto"/>
              <w:right w:val="single" w:sz="4" w:space="0" w:color="auto"/>
            </w:tcBorders>
            <w:shd w:val="clear" w:color="auto" w:fill="auto"/>
            <w:noWrap/>
            <w:vAlign w:val="bottom"/>
          </w:tcPr>
          <w:p w14:paraId="5FA77015"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6,0 (4,4, 9,7)</w:t>
            </w:r>
          </w:p>
        </w:tc>
        <w:tc>
          <w:tcPr>
            <w:tcW w:w="1984" w:type="dxa"/>
            <w:tcBorders>
              <w:top w:val="nil"/>
              <w:left w:val="nil"/>
              <w:bottom w:val="single" w:sz="4" w:space="0" w:color="auto"/>
              <w:right w:val="single" w:sz="4" w:space="0" w:color="auto"/>
            </w:tcBorders>
            <w:shd w:val="clear" w:color="auto" w:fill="auto"/>
            <w:noWrap/>
            <w:vAlign w:val="bottom"/>
          </w:tcPr>
          <w:p w14:paraId="3583B264" w14:textId="77777777" w:rsidR="008E19A7"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0,347</w:t>
            </w:r>
          </w:p>
          <w:p w14:paraId="185F7B3A"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xml:space="preserve"> (0,253, 0,475)</w:t>
            </w:r>
          </w:p>
        </w:tc>
        <w:tc>
          <w:tcPr>
            <w:tcW w:w="836" w:type="dxa"/>
            <w:tcBorders>
              <w:top w:val="nil"/>
              <w:left w:val="nil"/>
              <w:bottom w:val="single" w:sz="4" w:space="0" w:color="auto"/>
              <w:right w:val="single" w:sz="4" w:space="0" w:color="auto"/>
            </w:tcBorders>
            <w:shd w:val="clear" w:color="auto" w:fill="auto"/>
            <w:noWrap/>
            <w:vAlign w:val="bottom"/>
          </w:tcPr>
          <w:p w14:paraId="22070BD5"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&lt;0,001</w:t>
            </w:r>
          </w:p>
        </w:tc>
        <w:tc>
          <w:tcPr>
            <w:tcW w:w="1559" w:type="dxa"/>
            <w:tcBorders>
              <w:top w:val="nil"/>
              <w:left w:val="nil"/>
              <w:bottom w:val="single" w:sz="4" w:space="0" w:color="auto"/>
              <w:right w:val="single" w:sz="4" w:space="0" w:color="auto"/>
            </w:tcBorders>
            <w:shd w:val="clear" w:color="auto" w:fill="auto"/>
            <w:noWrap/>
            <w:vAlign w:val="bottom"/>
          </w:tcPr>
          <w:p w14:paraId="035DA0DB"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w:t>
            </w:r>
          </w:p>
        </w:tc>
      </w:tr>
      <w:tr w:rsidR="00F17A0C" w:rsidRPr="00CE4C3C" w14:paraId="4114CB03" w14:textId="77777777" w:rsidTr="008E19A7">
        <w:trPr>
          <w:trHeight w:val="300"/>
        </w:trPr>
        <w:tc>
          <w:tcPr>
            <w:tcW w:w="1603" w:type="dxa"/>
            <w:tcBorders>
              <w:top w:val="single" w:sz="4" w:space="0" w:color="auto"/>
              <w:left w:val="single" w:sz="4" w:space="0" w:color="auto"/>
              <w:bottom w:val="single" w:sz="4" w:space="0" w:color="auto"/>
            </w:tcBorders>
            <w:shd w:val="clear" w:color="auto" w:fill="auto"/>
            <w:noWrap/>
            <w:vAlign w:val="bottom"/>
          </w:tcPr>
          <w:p w14:paraId="6045B873" w14:textId="77777777" w:rsidR="00F17A0C" w:rsidRPr="00CE4C3C" w:rsidRDefault="00F17A0C" w:rsidP="00CE4C3C">
            <w:pPr>
              <w:spacing w:line="240" w:lineRule="auto"/>
              <w:rPr>
                <w:rFonts w:ascii="Times New Roman" w:eastAsia="Times New Roman" w:hAnsi="Times New Roman" w:cs="Times New Roman"/>
                <w:bCs/>
                <w:color w:val="000000"/>
                <w:lang w:eastAsia="en-GB"/>
              </w:rPr>
            </w:pPr>
            <w:r w:rsidRPr="00CE4C3C">
              <w:rPr>
                <w:rFonts w:ascii="Times New Roman" w:eastAsia="Times New Roman" w:hAnsi="Times New Roman" w:cs="Times New Roman"/>
                <w:bCs/>
                <w:color w:val="000000"/>
                <w:lang w:eastAsia="en-GB"/>
              </w:rPr>
              <w:t>OAD (%)</w:t>
            </w:r>
            <w:r w:rsidRPr="00CE4C3C">
              <w:rPr>
                <w:rFonts w:ascii="Times New Roman" w:eastAsia="Times New Roman" w:hAnsi="Times New Roman" w:cs="Times New Roman"/>
                <w:bCs/>
                <w:color w:val="000000"/>
                <w:vertAlign w:val="superscript"/>
                <w:lang w:eastAsia="en-GB"/>
              </w:rPr>
              <w:t>d</w:t>
            </w:r>
          </w:p>
        </w:tc>
        <w:tc>
          <w:tcPr>
            <w:tcW w:w="1647" w:type="dxa"/>
            <w:tcBorders>
              <w:top w:val="single" w:sz="4" w:space="0" w:color="auto"/>
              <w:bottom w:val="single" w:sz="4" w:space="0" w:color="auto"/>
            </w:tcBorders>
            <w:shd w:val="clear" w:color="auto" w:fill="auto"/>
            <w:noWrap/>
            <w:vAlign w:val="bottom"/>
          </w:tcPr>
          <w:p w14:paraId="6DC1F0FC" w14:textId="77777777" w:rsidR="00F17A0C" w:rsidRPr="00CE4C3C" w:rsidRDefault="00F17A0C" w:rsidP="00CE4C3C">
            <w:pPr>
              <w:spacing w:line="240" w:lineRule="auto"/>
              <w:rPr>
                <w:rFonts w:ascii="Times New Roman" w:eastAsia="Times New Roman" w:hAnsi="Times New Roman" w:cs="Times New Roman"/>
                <w:bCs/>
                <w:color w:val="000000"/>
                <w:lang w:eastAsia="en-GB"/>
              </w:rPr>
            </w:pPr>
            <w:r w:rsidRPr="00CE4C3C">
              <w:rPr>
                <w:rFonts w:ascii="Times New Roman" w:eastAsia="Times New Roman" w:hAnsi="Times New Roman" w:cs="Times New Roman"/>
                <w:bCs/>
                <w:color w:val="000000"/>
                <w:lang w:eastAsia="en-GB"/>
              </w:rPr>
              <w:t> </w:t>
            </w:r>
          </w:p>
        </w:tc>
        <w:tc>
          <w:tcPr>
            <w:tcW w:w="1614" w:type="dxa"/>
            <w:tcBorders>
              <w:top w:val="single" w:sz="4" w:space="0" w:color="auto"/>
              <w:bottom w:val="single" w:sz="4" w:space="0" w:color="auto"/>
            </w:tcBorders>
            <w:shd w:val="clear" w:color="auto" w:fill="auto"/>
            <w:noWrap/>
            <w:vAlign w:val="bottom"/>
          </w:tcPr>
          <w:p w14:paraId="4446F240" w14:textId="77777777" w:rsidR="00F17A0C" w:rsidRPr="00CE4C3C" w:rsidRDefault="00F17A0C" w:rsidP="00CE4C3C">
            <w:pPr>
              <w:spacing w:line="240" w:lineRule="auto"/>
              <w:rPr>
                <w:rFonts w:ascii="Times New Roman" w:eastAsia="Times New Roman" w:hAnsi="Times New Roman" w:cs="Times New Roman"/>
                <w:bCs/>
                <w:color w:val="000000"/>
                <w:lang w:eastAsia="en-GB"/>
              </w:rPr>
            </w:pPr>
            <w:r w:rsidRPr="00CE4C3C">
              <w:rPr>
                <w:rFonts w:ascii="Times New Roman" w:eastAsia="Times New Roman" w:hAnsi="Times New Roman" w:cs="Times New Roman"/>
                <w:bCs/>
                <w:color w:val="000000"/>
                <w:lang w:eastAsia="en-GB"/>
              </w:rPr>
              <w:t> </w:t>
            </w:r>
          </w:p>
        </w:tc>
        <w:tc>
          <w:tcPr>
            <w:tcW w:w="1984" w:type="dxa"/>
            <w:tcBorders>
              <w:top w:val="single" w:sz="4" w:space="0" w:color="auto"/>
              <w:bottom w:val="single" w:sz="4" w:space="0" w:color="auto"/>
            </w:tcBorders>
            <w:shd w:val="clear" w:color="auto" w:fill="auto"/>
            <w:noWrap/>
            <w:vAlign w:val="bottom"/>
          </w:tcPr>
          <w:p w14:paraId="70C86115" w14:textId="77777777" w:rsidR="00F17A0C" w:rsidRPr="00CE4C3C" w:rsidRDefault="00F17A0C" w:rsidP="00CE4C3C">
            <w:pPr>
              <w:spacing w:line="240" w:lineRule="auto"/>
              <w:rPr>
                <w:rFonts w:ascii="Times New Roman" w:eastAsia="Times New Roman" w:hAnsi="Times New Roman" w:cs="Times New Roman"/>
                <w:bCs/>
                <w:color w:val="000000"/>
                <w:lang w:eastAsia="en-GB"/>
              </w:rPr>
            </w:pPr>
            <w:r w:rsidRPr="00CE4C3C">
              <w:rPr>
                <w:rFonts w:ascii="Times New Roman" w:eastAsia="Times New Roman" w:hAnsi="Times New Roman" w:cs="Times New Roman"/>
                <w:bCs/>
                <w:color w:val="000000"/>
                <w:lang w:eastAsia="en-GB"/>
              </w:rPr>
              <w:t> </w:t>
            </w:r>
          </w:p>
        </w:tc>
        <w:tc>
          <w:tcPr>
            <w:tcW w:w="836" w:type="dxa"/>
            <w:tcBorders>
              <w:top w:val="single" w:sz="4" w:space="0" w:color="auto"/>
              <w:bottom w:val="single" w:sz="4" w:space="0" w:color="auto"/>
            </w:tcBorders>
            <w:shd w:val="clear" w:color="auto" w:fill="auto"/>
            <w:noWrap/>
            <w:vAlign w:val="bottom"/>
          </w:tcPr>
          <w:p w14:paraId="524148AE" w14:textId="77777777" w:rsidR="00F17A0C" w:rsidRPr="00CE4C3C" w:rsidRDefault="00F17A0C" w:rsidP="00CE4C3C">
            <w:pPr>
              <w:spacing w:line="240" w:lineRule="auto"/>
              <w:rPr>
                <w:rFonts w:ascii="Times New Roman" w:eastAsia="Times New Roman" w:hAnsi="Times New Roman" w:cs="Times New Roman"/>
                <w:bCs/>
                <w:color w:val="000000"/>
                <w:lang w:eastAsia="en-GB"/>
              </w:rPr>
            </w:pPr>
            <w:r w:rsidRPr="00CE4C3C">
              <w:rPr>
                <w:rFonts w:ascii="Times New Roman" w:eastAsia="Times New Roman" w:hAnsi="Times New Roman" w:cs="Times New Roman"/>
                <w:bCs/>
                <w:color w:val="000000"/>
                <w:lang w:eastAsia="en-GB"/>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D8E2456" w14:textId="77777777" w:rsidR="00F17A0C" w:rsidRPr="00CE4C3C" w:rsidRDefault="00F17A0C" w:rsidP="00CE4C3C">
            <w:pPr>
              <w:spacing w:line="240" w:lineRule="auto"/>
              <w:rPr>
                <w:rFonts w:ascii="Times New Roman" w:eastAsia="Times New Roman" w:hAnsi="Times New Roman" w:cs="Times New Roman"/>
                <w:bCs/>
                <w:color w:val="000000"/>
                <w:lang w:eastAsia="en-GB"/>
              </w:rPr>
            </w:pPr>
            <w:r w:rsidRPr="00CE4C3C">
              <w:rPr>
                <w:rFonts w:ascii="Times New Roman" w:eastAsia="Times New Roman" w:hAnsi="Times New Roman" w:cs="Times New Roman"/>
                <w:bCs/>
                <w:color w:val="000000"/>
                <w:lang w:eastAsia="en-GB"/>
              </w:rPr>
              <w:t> </w:t>
            </w:r>
          </w:p>
        </w:tc>
      </w:tr>
      <w:tr w:rsidR="00F17A0C" w:rsidRPr="00CE4C3C" w14:paraId="44B5185B" w14:textId="77777777" w:rsidTr="008E19A7">
        <w:trPr>
          <w:trHeight w:val="300"/>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D0EC6" w14:textId="77777777" w:rsidR="00F17A0C" w:rsidRPr="00CE4C3C" w:rsidRDefault="00F17A0C" w:rsidP="00CE4C3C">
            <w:pPr>
              <w:spacing w:line="240" w:lineRule="auto"/>
              <w:ind w:left="333"/>
              <w:rPr>
                <w:rFonts w:ascii="Times New Roman" w:eastAsia="Times New Roman" w:hAnsi="Times New Roman" w:cs="Times New Roman"/>
                <w:bCs/>
                <w:color w:val="000000"/>
                <w:lang w:eastAsia="en-GB"/>
              </w:rPr>
            </w:pPr>
            <w:r w:rsidRPr="00CE4C3C">
              <w:rPr>
                <w:rFonts w:ascii="Times New Roman" w:eastAsia="Times New Roman" w:hAnsi="Times New Roman" w:cs="Times New Roman"/>
                <w:bCs/>
                <w:color w:val="000000"/>
                <w:w w:val="103"/>
                <w:lang w:eastAsia="en-GB"/>
              </w:rPr>
              <w:t xml:space="preserve">Tarpinė </w:t>
            </w:r>
          </w:p>
        </w:tc>
        <w:tc>
          <w:tcPr>
            <w:tcW w:w="1647" w:type="dxa"/>
            <w:tcBorders>
              <w:top w:val="single" w:sz="4" w:space="0" w:color="auto"/>
              <w:left w:val="nil"/>
              <w:bottom w:val="single" w:sz="4" w:space="0" w:color="auto"/>
              <w:right w:val="single" w:sz="4" w:space="0" w:color="auto"/>
            </w:tcBorders>
            <w:shd w:val="clear" w:color="auto" w:fill="auto"/>
            <w:noWrap/>
            <w:vAlign w:val="bottom"/>
          </w:tcPr>
          <w:p w14:paraId="50ECB638"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6,8 (3,7, 11,1)</w:t>
            </w:r>
          </w:p>
        </w:tc>
        <w:tc>
          <w:tcPr>
            <w:tcW w:w="1614" w:type="dxa"/>
            <w:tcBorders>
              <w:top w:val="single" w:sz="4" w:space="0" w:color="auto"/>
              <w:left w:val="nil"/>
              <w:bottom w:val="single" w:sz="4" w:space="0" w:color="auto"/>
              <w:right w:val="single" w:sz="4" w:space="0" w:color="auto"/>
            </w:tcBorders>
            <w:shd w:val="clear" w:color="auto" w:fill="auto"/>
            <w:noWrap/>
            <w:vAlign w:val="bottom"/>
          </w:tcPr>
          <w:p w14:paraId="24175897"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0 (-)</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2EAE4EF5"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ND</w:t>
            </w:r>
          </w:p>
        </w:tc>
        <w:tc>
          <w:tcPr>
            <w:tcW w:w="836" w:type="dxa"/>
            <w:tcBorders>
              <w:top w:val="single" w:sz="4" w:space="0" w:color="auto"/>
              <w:left w:val="nil"/>
              <w:bottom w:val="single" w:sz="4" w:space="0" w:color="auto"/>
              <w:right w:val="single" w:sz="4" w:space="0" w:color="auto"/>
            </w:tcBorders>
            <w:shd w:val="clear" w:color="auto" w:fill="auto"/>
            <w:noWrap/>
            <w:vAlign w:val="bottom"/>
          </w:tcPr>
          <w:p w14:paraId="7017C606"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0,006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B14B6C9"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w:t>
            </w:r>
          </w:p>
        </w:tc>
      </w:tr>
      <w:tr w:rsidR="00F17A0C" w:rsidRPr="00CE4C3C" w14:paraId="6FFFB27D" w14:textId="77777777" w:rsidTr="008E19A7">
        <w:trPr>
          <w:trHeight w:val="300"/>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44501" w14:textId="77777777" w:rsidR="00F17A0C" w:rsidRPr="00CE4C3C" w:rsidRDefault="00F17A0C" w:rsidP="00CE4C3C">
            <w:pPr>
              <w:spacing w:line="240" w:lineRule="auto"/>
              <w:ind w:left="333"/>
              <w:rPr>
                <w:rFonts w:ascii="Times New Roman" w:eastAsia="Times New Roman" w:hAnsi="Times New Roman" w:cs="Times New Roman"/>
                <w:bCs/>
                <w:color w:val="000000"/>
                <w:lang w:eastAsia="en-GB"/>
              </w:rPr>
            </w:pPr>
            <w:r w:rsidRPr="00CE4C3C">
              <w:rPr>
                <w:rFonts w:ascii="Times New Roman" w:eastAsia="Times New Roman" w:hAnsi="Times New Roman" w:cs="Times New Roman"/>
                <w:bCs/>
                <w:color w:val="000000"/>
                <w:lang w:eastAsia="en-GB"/>
              </w:rPr>
              <w:t xml:space="preserve">Galutinė </w:t>
            </w:r>
          </w:p>
        </w:tc>
        <w:tc>
          <w:tcPr>
            <w:tcW w:w="1647" w:type="dxa"/>
            <w:tcBorders>
              <w:top w:val="single" w:sz="4" w:space="0" w:color="auto"/>
              <w:left w:val="nil"/>
              <w:bottom w:val="single" w:sz="4" w:space="0" w:color="auto"/>
              <w:right w:val="single" w:sz="4" w:space="0" w:color="auto"/>
            </w:tcBorders>
            <w:shd w:val="clear" w:color="auto" w:fill="auto"/>
            <w:noWrap/>
            <w:vAlign w:val="bottom"/>
          </w:tcPr>
          <w:p w14:paraId="7188316B"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6,6 (3,8, 10,5)</w:t>
            </w:r>
          </w:p>
        </w:tc>
        <w:tc>
          <w:tcPr>
            <w:tcW w:w="1614" w:type="dxa"/>
            <w:tcBorders>
              <w:top w:val="single" w:sz="4" w:space="0" w:color="auto"/>
              <w:left w:val="nil"/>
              <w:bottom w:val="single" w:sz="4" w:space="0" w:color="auto"/>
              <w:right w:val="single" w:sz="4" w:space="0" w:color="auto"/>
            </w:tcBorders>
            <w:shd w:val="clear" w:color="auto" w:fill="auto"/>
            <w:noWrap/>
            <w:vAlign w:val="bottom"/>
          </w:tcPr>
          <w:p w14:paraId="10DCD208"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0 (-)</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02722FA3"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ND</w:t>
            </w:r>
          </w:p>
        </w:tc>
        <w:tc>
          <w:tcPr>
            <w:tcW w:w="836" w:type="dxa"/>
            <w:tcBorders>
              <w:top w:val="single" w:sz="4" w:space="0" w:color="auto"/>
              <w:left w:val="nil"/>
              <w:bottom w:val="single" w:sz="4" w:space="0" w:color="auto"/>
              <w:right w:val="single" w:sz="4" w:space="0" w:color="auto"/>
            </w:tcBorders>
            <w:shd w:val="clear" w:color="auto" w:fill="auto"/>
            <w:noWrap/>
            <w:vAlign w:val="bottom"/>
          </w:tcPr>
          <w:p w14:paraId="719A3290"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0,004</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392C0EA"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10,1(5,0, 17,8)</w:t>
            </w:r>
          </w:p>
        </w:tc>
      </w:tr>
      <w:tr w:rsidR="00F17A0C" w:rsidRPr="00CE4C3C" w14:paraId="05610E5E" w14:textId="77777777" w:rsidTr="008E19A7">
        <w:trPr>
          <w:trHeight w:val="300"/>
        </w:trPr>
        <w:tc>
          <w:tcPr>
            <w:tcW w:w="1603" w:type="dxa"/>
            <w:tcBorders>
              <w:top w:val="single" w:sz="4" w:space="0" w:color="auto"/>
              <w:left w:val="single" w:sz="4" w:space="0" w:color="auto"/>
              <w:bottom w:val="single" w:sz="4" w:space="0" w:color="auto"/>
            </w:tcBorders>
            <w:shd w:val="clear" w:color="auto" w:fill="auto"/>
            <w:noWrap/>
            <w:vAlign w:val="bottom"/>
          </w:tcPr>
          <w:p w14:paraId="3F6F4B50" w14:textId="77777777" w:rsidR="00F17A0C" w:rsidRPr="00CE4C3C" w:rsidRDefault="00F17A0C" w:rsidP="00CE4C3C">
            <w:pPr>
              <w:spacing w:line="240" w:lineRule="auto"/>
              <w:rPr>
                <w:rFonts w:ascii="Times New Roman" w:eastAsia="Times New Roman" w:hAnsi="Times New Roman" w:cs="Times New Roman"/>
                <w:bCs/>
                <w:color w:val="000000"/>
                <w:lang w:eastAsia="en-GB"/>
              </w:rPr>
            </w:pPr>
            <w:r w:rsidRPr="00CE4C3C">
              <w:rPr>
                <w:rFonts w:ascii="Times New Roman" w:eastAsia="Times New Roman" w:hAnsi="Times New Roman" w:cs="Times New Roman"/>
                <w:bCs/>
                <w:color w:val="000000"/>
                <w:lang w:eastAsia="en-GB"/>
              </w:rPr>
              <w:t>BI (savaitės)</w:t>
            </w:r>
            <w:r w:rsidRPr="00CE4C3C">
              <w:rPr>
                <w:rFonts w:ascii="Times New Roman" w:eastAsia="Times New Roman" w:hAnsi="Times New Roman" w:cs="Times New Roman"/>
                <w:w w:val="101"/>
                <w:position w:val="8"/>
                <w:vertAlign w:val="superscript"/>
              </w:rPr>
              <w:t>e</w:t>
            </w:r>
          </w:p>
        </w:tc>
        <w:tc>
          <w:tcPr>
            <w:tcW w:w="1647" w:type="dxa"/>
            <w:tcBorders>
              <w:top w:val="single" w:sz="4" w:space="0" w:color="auto"/>
              <w:bottom w:val="single" w:sz="4" w:space="0" w:color="auto"/>
            </w:tcBorders>
            <w:shd w:val="clear" w:color="auto" w:fill="auto"/>
            <w:noWrap/>
            <w:vAlign w:val="bottom"/>
          </w:tcPr>
          <w:p w14:paraId="2BA9171A"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w:t>
            </w:r>
          </w:p>
        </w:tc>
        <w:tc>
          <w:tcPr>
            <w:tcW w:w="1614" w:type="dxa"/>
            <w:tcBorders>
              <w:top w:val="single" w:sz="4" w:space="0" w:color="auto"/>
              <w:bottom w:val="single" w:sz="4" w:space="0" w:color="auto"/>
            </w:tcBorders>
            <w:shd w:val="clear" w:color="auto" w:fill="auto"/>
            <w:noWrap/>
            <w:vAlign w:val="bottom"/>
          </w:tcPr>
          <w:p w14:paraId="10E80E86"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w:t>
            </w:r>
          </w:p>
        </w:tc>
        <w:tc>
          <w:tcPr>
            <w:tcW w:w="1984" w:type="dxa"/>
            <w:tcBorders>
              <w:top w:val="single" w:sz="4" w:space="0" w:color="auto"/>
              <w:bottom w:val="single" w:sz="4" w:space="0" w:color="auto"/>
            </w:tcBorders>
            <w:shd w:val="clear" w:color="auto" w:fill="auto"/>
            <w:noWrap/>
            <w:vAlign w:val="bottom"/>
          </w:tcPr>
          <w:p w14:paraId="3181E87F"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w:t>
            </w:r>
          </w:p>
        </w:tc>
        <w:tc>
          <w:tcPr>
            <w:tcW w:w="836" w:type="dxa"/>
            <w:tcBorders>
              <w:top w:val="single" w:sz="4" w:space="0" w:color="auto"/>
              <w:bottom w:val="single" w:sz="4" w:space="0" w:color="auto"/>
            </w:tcBorders>
            <w:shd w:val="clear" w:color="auto" w:fill="auto"/>
            <w:noWrap/>
            <w:vAlign w:val="bottom"/>
          </w:tcPr>
          <w:p w14:paraId="5FC1245B"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w:t>
            </w:r>
          </w:p>
        </w:tc>
        <w:tc>
          <w:tcPr>
            <w:tcW w:w="1559" w:type="dxa"/>
            <w:tcBorders>
              <w:top w:val="single" w:sz="4" w:space="0" w:color="auto"/>
              <w:bottom w:val="single" w:sz="4" w:space="0" w:color="auto"/>
              <w:right w:val="single" w:sz="4" w:space="0" w:color="auto"/>
            </w:tcBorders>
            <w:shd w:val="clear" w:color="auto" w:fill="auto"/>
            <w:noWrap/>
            <w:vAlign w:val="bottom"/>
          </w:tcPr>
          <w:p w14:paraId="0F9C9732"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w:t>
            </w:r>
          </w:p>
        </w:tc>
      </w:tr>
      <w:tr w:rsidR="00F17A0C" w:rsidRPr="00CE4C3C" w14:paraId="12383BF7" w14:textId="77777777" w:rsidTr="008E19A7">
        <w:trPr>
          <w:trHeight w:val="300"/>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0DE46" w14:textId="77777777" w:rsidR="00F17A0C" w:rsidRPr="00CE4C3C" w:rsidRDefault="00F17A0C" w:rsidP="00CE4C3C">
            <w:pPr>
              <w:spacing w:line="240" w:lineRule="auto"/>
              <w:ind w:left="191"/>
              <w:rPr>
                <w:rFonts w:ascii="Times New Roman" w:eastAsia="Times New Roman" w:hAnsi="Times New Roman" w:cs="Times New Roman"/>
                <w:bCs/>
                <w:iCs/>
                <w:color w:val="000000"/>
                <w:lang w:eastAsia="en-GB"/>
              </w:rPr>
            </w:pPr>
            <w:r w:rsidRPr="00CE4C3C">
              <w:rPr>
                <w:rFonts w:ascii="Times New Roman" w:eastAsia="Times New Roman" w:hAnsi="Times New Roman" w:cs="Times New Roman"/>
                <w:bCs/>
                <w:iCs/>
                <w:color w:val="000000"/>
                <w:lang w:eastAsia="en-GB"/>
              </w:rPr>
              <w:t>Tarpinė</w:t>
            </w:r>
          </w:p>
        </w:tc>
        <w:tc>
          <w:tcPr>
            <w:tcW w:w="1647" w:type="dxa"/>
            <w:tcBorders>
              <w:top w:val="single" w:sz="4" w:space="0" w:color="auto"/>
              <w:left w:val="nil"/>
              <w:bottom w:val="single" w:sz="4" w:space="0" w:color="auto"/>
              <w:right w:val="single" w:sz="4" w:space="0" w:color="auto"/>
            </w:tcBorders>
            <w:shd w:val="clear" w:color="auto" w:fill="auto"/>
            <w:noWrap/>
            <w:vAlign w:val="bottom"/>
          </w:tcPr>
          <w:p w14:paraId="400C1120"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w:t>
            </w:r>
          </w:p>
        </w:tc>
        <w:tc>
          <w:tcPr>
            <w:tcW w:w="1614" w:type="dxa"/>
            <w:tcBorders>
              <w:top w:val="single" w:sz="4" w:space="0" w:color="auto"/>
              <w:left w:val="nil"/>
              <w:bottom w:val="single" w:sz="4" w:space="0" w:color="auto"/>
              <w:right w:val="single" w:sz="4" w:space="0" w:color="auto"/>
            </w:tcBorders>
            <w:shd w:val="clear" w:color="auto" w:fill="auto"/>
            <w:noWrap/>
            <w:vAlign w:val="bottom"/>
          </w:tcPr>
          <w:p w14:paraId="29F9CF78"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F98F613"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0,491 (0,290-0,831)</w:t>
            </w:r>
          </w:p>
        </w:tc>
        <w:tc>
          <w:tcPr>
            <w:tcW w:w="836" w:type="dxa"/>
            <w:tcBorders>
              <w:top w:val="single" w:sz="4" w:space="0" w:color="auto"/>
              <w:left w:val="nil"/>
              <w:bottom w:val="single" w:sz="4" w:space="0" w:color="auto"/>
              <w:right w:val="single" w:sz="4" w:space="0" w:color="auto"/>
            </w:tcBorders>
            <w:shd w:val="clear" w:color="auto" w:fill="auto"/>
            <w:noWrap/>
            <w:vAlign w:val="bottom"/>
          </w:tcPr>
          <w:p w14:paraId="5A251BAE"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0,007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CA3C7E3"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w:t>
            </w:r>
          </w:p>
        </w:tc>
      </w:tr>
      <w:tr w:rsidR="00F17A0C" w:rsidRPr="00CE4C3C" w14:paraId="0E22D85D" w14:textId="77777777" w:rsidTr="000417F6">
        <w:trPr>
          <w:trHeight w:val="300"/>
        </w:trPr>
        <w:tc>
          <w:tcPr>
            <w:tcW w:w="1603" w:type="dxa"/>
            <w:tcBorders>
              <w:top w:val="nil"/>
              <w:left w:val="single" w:sz="4" w:space="0" w:color="auto"/>
              <w:bottom w:val="single" w:sz="4" w:space="0" w:color="auto"/>
              <w:right w:val="single" w:sz="4" w:space="0" w:color="auto"/>
            </w:tcBorders>
            <w:shd w:val="clear" w:color="auto" w:fill="auto"/>
            <w:noWrap/>
            <w:vAlign w:val="bottom"/>
          </w:tcPr>
          <w:p w14:paraId="126126CF" w14:textId="77777777" w:rsidR="00F17A0C" w:rsidRPr="00CE4C3C" w:rsidRDefault="00F17A0C" w:rsidP="00CE4C3C">
            <w:pPr>
              <w:spacing w:line="240" w:lineRule="auto"/>
              <w:ind w:left="191"/>
              <w:rPr>
                <w:rFonts w:ascii="Times New Roman" w:eastAsia="Times New Roman" w:hAnsi="Times New Roman" w:cs="Times New Roman"/>
                <w:bCs/>
                <w:iCs/>
                <w:color w:val="000000"/>
                <w:lang w:eastAsia="en-GB"/>
              </w:rPr>
            </w:pPr>
            <w:r w:rsidRPr="00CE4C3C">
              <w:rPr>
                <w:rFonts w:ascii="Times New Roman" w:eastAsia="Times New Roman" w:hAnsi="Times New Roman" w:cs="Times New Roman"/>
                <w:bCs/>
                <w:iCs/>
                <w:color w:val="000000"/>
                <w:lang w:eastAsia="en-GB"/>
              </w:rPr>
              <w:t xml:space="preserve">Galutinė </w:t>
            </w:r>
          </w:p>
        </w:tc>
        <w:tc>
          <w:tcPr>
            <w:tcW w:w="1647" w:type="dxa"/>
            <w:tcBorders>
              <w:top w:val="nil"/>
              <w:left w:val="nil"/>
              <w:bottom w:val="single" w:sz="4" w:space="0" w:color="auto"/>
              <w:right w:val="single" w:sz="4" w:space="0" w:color="auto"/>
            </w:tcBorders>
            <w:shd w:val="clear" w:color="auto" w:fill="auto"/>
            <w:noWrap/>
            <w:vAlign w:val="bottom"/>
          </w:tcPr>
          <w:p w14:paraId="341A8FE4" w14:textId="77777777" w:rsidR="008E19A7"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72,7</w:t>
            </w:r>
          </w:p>
          <w:p w14:paraId="7A0EFC9C"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xml:space="preserve"> (61,3, 83,0)</w:t>
            </w:r>
          </w:p>
        </w:tc>
        <w:tc>
          <w:tcPr>
            <w:tcW w:w="1614" w:type="dxa"/>
            <w:tcBorders>
              <w:top w:val="nil"/>
              <w:left w:val="nil"/>
              <w:bottom w:val="single" w:sz="4" w:space="0" w:color="auto"/>
              <w:right w:val="single" w:sz="4" w:space="0" w:color="auto"/>
            </w:tcBorders>
            <w:shd w:val="clear" w:color="auto" w:fill="auto"/>
            <w:noWrap/>
            <w:vAlign w:val="bottom"/>
          </w:tcPr>
          <w:p w14:paraId="2BFDE442" w14:textId="77777777" w:rsidR="008E19A7"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64,9</w:t>
            </w:r>
          </w:p>
          <w:p w14:paraId="462A8DEB"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xml:space="preserve"> (45,7, 96,0)</w:t>
            </w:r>
          </w:p>
        </w:tc>
        <w:tc>
          <w:tcPr>
            <w:tcW w:w="1984" w:type="dxa"/>
            <w:tcBorders>
              <w:top w:val="nil"/>
              <w:left w:val="nil"/>
              <w:bottom w:val="single" w:sz="4" w:space="0" w:color="auto"/>
              <w:right w:val="single" w:sz="4" w:space="0" w:color="auto"/>
            </w:tcBorders>
            <w:shd w:val="clear" w:color="auto" w:fill="auto"/>
            <w:noWrap/>
            <w:vAlign w:val="bottom"/>
          </w:tcPr>
          <w:p w14:paraId="69935752" w14:textId="77777777" w:rsidR="008E19A7"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0,876</w:t>
            </w:r>
          </w:p>
          <w:p w14:paraId="5489D4A8"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xml:space="preserve"> (0,679, 1,129)</w:t>
            </w:r>
          </w:p>
        </w:tc>
        <w:tc>
          <w:tcPr>
            <w:tcW w:w="836" w:type="dxa"/>
            <w:tcBorders>
              <w:top w:val="nil"/>
              <w:left w:val="nil"/>
              <w:bottom w:val="single" w:sz="4" w:space="0" w:color="auto"/>
              <w:right w:val="single" w:sz="4" w:space="0" w:color="auto"/>
            </w:tcBorders>
            <w:shd w:val="clear" w:color="auto" w:fill="auto"/>
            <w:noWrap/>
            <w:vAlign w:val="bottom"/>
          </w:tcPr>
          <w:p w14:paraId="46B01223"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0,306</w:t>
            </w:r>
          </w:p>
        </w:tc>
        <w:tc>
          <w:tcPr>
            <w:tcW w:w="1559" w:type="dxa"/>
            <w:tcBorders>
              <w:top w:val="nil"/>
              <w:left w:val="nil"/>
              <w:bottom w:val="single" w:sz="4" w:space="0" w:color="auto"/>
              <w:right w:val="single" w:sz="4" w:space="0" w:color="auto"/>
            </w:tcBorders>
            <w:shd w:val="clear" w:color="auto" w:fill="auto"/>
            <w:noWrap/>
            <w:vAlign w:val="bottom"/>
          </w:tcPr>
          <w:p w14:paraId="6BB4B223"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w:t>
            </w:r>
          </w:p>
        </w:tc>
      </w:tr>
    </w:tbl>
    <w:p w14:paraId="69D30DC6" w14:textId="29653D0B"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Santrumpos: PI = </w:t>
      </w:r>
      <w:proofErr w:type="spellStart"/>
      <w:r w:rsidRPr="00CE4C3C">
        <w:rPr>
          <w:rFonts w:ascii="Times New Roman" w:eastAsia="Calibri" w:hAnsi="Times New Roman" w:cs="Times New Roman"/>
        </w:rPr>
        <w:t>pasikliautinasis</w:t>
      </w:r>
      <w:proofErr w:type="spellEnd"/>
      <w:r w:rsidRPr="00CE4C3C">
        <w:rPr>
          <w:rFonts w:ascii="Times New Roman" w:eastAsia="Calibri" w:hAnsi="Times New Roman" w:cs="Times New Roman"/>
        </w:rPr>
        <w:t xml:space="preserve"> intervalas; ITT = numatyta gydyti populiacija; ND = nėra duomenų; OAD = objektyvaus atsako dažnis, BI = bendras išgyvenamumas; </w:t>
      </w:r>
      <w:bookmarkStart w:id="2" w:name="_Hlk69811271"/>
      <w:r w:rsidR="007E7E44">
        <w:rPr>
          <w:rFonts w:ascii="Times New Roman" w:eastAsia="Calibri" w:hAnsi="Times New Roman" w:cs="Times New Roman"/>
        </w:rPr>
        <w:t>IB</w:t>
      </w:r>
      <w:r w:rsidR="008F0BB2">
        <w:rPr>
          <w:rFonts w:ascii="Times New Roman" w:eastAsia="Calibri" w:hAnsi="Times New Roman" w:cs="Times New Roman"/>
        </w:rPr>
        <w:t>LP</w:t>
      </w:r>
      <w:bookmarkEnd w:id="2"/>
      <w:r w:rsidR="008F0BB2" w:rsidRPr="00CE4C3C">
        <w:rPr>
          <w:rFonts w:ascii="Times New Roman" w:eastAsia="Calibri" w:hAnsi="Times New Roman" w:cs="Times New Roman"/>
        </w:rPr>
        <w:t xml:space="preserve"> </w:t>
      </w:r>
      <w:r w:rsidRPr="00CE4C3C">
        <w:rPr>
          <w:rFonts w:ascii="Times New Roman" w:eastAsia="Calibri" w:hAnsi="Times New Roman" w:cs="Times New Roman"/>
        </w:rPr>
        <w:t xml:space="preserve">= </w:t>
      </w:r>
      <w:bookmarkStart w:id="3" w:name="_Hlk69811278"/>
      <w:r w:rsidRPr="00CE4C3C">
        <w:rPr>
          <w:rFonts w:ascii="Times New Roman" w:eastAsia="Calibri" w:hAnsi="Times New Roman" w:cs="Times New Roman"/>
        </w:rPr>
        <w:t>išgyvenamum</w:t>
      </w:r>
      <w:r w:rsidR="00937B2B">
        <w:rPr>
          <w:rFonts w:ascii="Times New Roman" w:eastAsia="Calibri" w:hAnsi="Times New Roman" w:cs="Times New Roman"/>
        </w:rPr>
        <w:t>as</w:t>
      </w:r>
      <w:r w:rsidR="007E7E44">
        <w:rPr>
          <w:rFonts w:ascii="Times New Roman" w:eastAsia="Calibri" w:hAnsi="Times New Roman" w:cs="Times New Roman"/>
        </w:rPr>
        <w:t xml:space="preserve"> be</w:t>
      </w:r>
      <w:r w:rsidR="008F0BB2">
        <w:rPr>
          <w:rFonts w:ascii="Times New Roman" w:eastAsia="Calibri" w:hAnsi="Times New Roman" w:cs="Times New Roman"/>
        </w:rPr>
        <w:t xml:space="preserve"> ligos</w:t>
      </w:r>
      <w:r w:rsidRPr="00CE4C3C">
        <w:rPr>
          <w:rFonts w:ascii="Times New Roman" w:eastAsia="Calibri" w:hAnsi="Times New Roman" w:cs="Times New Roman"/>
        </w:rPr>
        <w:t xml:space="preserve"> progresavimo</w:t>
      </w:r>
      <w:bookmarkEnd w:id="3"/>
      <w:r w:rsidRPr="00CE4C3C">
        <w:rPr>
          <w:rFonts w:ascii="Times New Roman" w:eastAsia="Calibri" w:hAnsi="Times New Roman" w:cs="Times New Roman"/>
        </w:rPr>
        <w:t>; L</w:t>
      </w:r>
      <w:r w:rsidR="00111CBF">
        <w:rPr>
          <w:rFonts w:ascii="Times New Roman" w:eastAsia="Calibri" w:hAnsi="Times New Roman" w:cs="Times New Roman"/>
        </w:rPr>
        <w:t>I</w:t>
      </w:r>
      <w:r w:rsidRPr="00CE4C3C">
        <w:rPr>
          <w:rFonts w:ascii="Times New Roman" w:eastAsia="Calibri" w:hAnsi="Times New Roman" w:cs="Times New Roman"/>
        </w:rPr>
        <w:t xml:space="preserve">NP = </w:t>
      </w:r>
      <w:bookmarkStart w:id="4" w:name="_Hlk69811345"/>
      <w:r w:rsidRPr="00CE4C3C">
        <w:rPr>
          <w:rFonts w:ascii="Times New Roman" w:eastAsia="Calibri" w:hAnsi="Times New Roman" w:cs="Times New Roman"/>
        </w:rPr>
        <w:t>laik</w:t>
      </w:r>
      <w:r w:rsidR="008F0BB2">
        <w:rPr>
          <w:rFonts w:ascii="Times New Roman" w:eastAsia="Calibri" w:hAnsi="Times New Roman" w:cs="Times New Roman"/>
        </w:rPr>
        <w:t>as</w:t>
      </w:r>
      <w:r w:rsidRPr="00CE4C3C">
        <w:rPr>
          <w:rFonts w:ascii="Times New Roman" w:eastAsia="Calibri" w:hAnsi="Times New Roman" w:cs="Times New Roman"/>
        </w:rPr>
        <w:t xml:space="preserve"> iki naviko progresavimo</w:t>
      </w:r>
      <w:bookmarkEnd w:id="4"/>
      <w:r w:rsidRPr="00CE4C3C">
        <w:rPr>
          <w:rFonts w:ascii="Times New Roman" w:eastAsia="Calibri" w:hAnsi="Times New Roman" w:cs="Times New Roman"/>
        </w:rPr>
        <w:t>.</w:t>
      </w:r>
    </w:p>
    <w:p w14:paraId="60C4424A" w14:textId="0C9A5343" w:rsidR="00F17A0C" w:rsidRPr="00CE4C3C" w:rsidRDefault="00F17A0C" w:rsidP="00CE4C3C">
      <w:pPr>
        <w:spacing w:line="240" w:lineRule="auto"/>
        <w:ind w:left="142"/>
        <w:rPr>
          <w:rFonts w:ascii="Times New Roman" w:eastAsia="Calibri" w:hAnsi="Times New Roman" w:cs="Times New Roman"/>
        </w:rPr>
      </w:pPr>
      <w:r w:rsidRPr="00CE4C3C">
        <w:rPr>
          <w:rFonts w:ascii="Times New Roman" w:eastAsia="Calibri" w:hAnsi="Times New Roman" w:cs="Times New Roman"/>
          <w:vertAlign w:val="superscript"/>
        </w:rPr>
        <w:t>a</w:t>
      </w:r>
      <w:r w:rsidRPr="00CE4C3C">
        <w:rPr>
          <w:rFonts w:ascii="Times New Roman" w:eastAsia="Calibri" w:hAnsi="Times New Roman" w:cs="Times New Roman"/>
        </w:rPr>
        <w:t xml:space="preserve"> Dvigubai </w:t>
      </w:r>
      <w:r w:rsidR="008F0BB2">
        <w:rPr>
          <w:rFonts w:ascii="Times New Roman" w:eastAsia="Calibri" w:hAnsi="Times New Roman" w:cs="Times New Roman"/>
        </w:rPr>
        <w:t>koduoto</w:t>
      </w:r>
      <w:r w:rsidRPr="00CE4C3C">
        <w:rPr>
          <w:rFonts w:ascii="Times New Roman" w:eastAsia="Calibri" w:hAnsi="Times New Roman" w:cs="Times New Roman"/>
        </w:rPr>
        <w:t xml:space="preserve"> gydymo fazės duomenys apie numatytų gydyti pacientų populiaciją, naudojant atitinkamus svarbiausius radiologinio tyrimo matavimus.</w:t>
      </w:r>
    </w:p>
    <w:p w14:paraId="642FF728" w14:textId="1778DFA6" w:rsidR="00F17A0C" w:rsidRPr="00CE4C3C" w:rsidRDefault="00F17A0C" w:rsidP="00CE4C3C">
      <w:pPr>
        <w:spacing w:line="240" w:lineRule="auto"/>
        <w:ind w:left="142"/>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 xml:space="preserve">b </w:t>
      </w:r>
      <w:r w:rsidRPr="00CE4C3C">
        <w:rPr>
          <w:rFonts w:ascii="Times New Roman" w:eastAsia="Times New Roman" w:hAnsi="Times New Roman" w:cs="Times New Roman"/>
          <w:lang w:eastAsia="lt-LT" w:bidi="lt-LT"/>
        </w:rPr>
        <w:t xml:space="preserve"> 99 tiriamųjų, kuriems užbaigus </w:t>
      </w:r>
      <w:r w:rsidR="008F0BB2">
        <w:rPr>
          <w:rFonts w:ascii="Times New Roman" w:eastAsia="Times New Roman" w:hAnsi="Times New Roman" w:cs="Times New Roman"/>
          <w:lang w:eastAsia="lt-LT" w:bidi="lt-LT"/>
        </w:rPr>
        <w:t>koduotą</w:t>
      </w:r>
      <w:r w:rsidR="008F0BB2" w:rsidRPr="00CE4C3C">
        <w:rPr>
          <w:rFonts w:ascii="Times New Roman" w:eastAsia="Times New Roman" w:hAnsi="Times New Roman" w:cs="Times New Roman"/>
          <w:lang w:eastAsia="lt-LT" w:bidi="lt-LT"/>
        </w:rPr>
        <w:t xml:space="preserve"> </w:t>
      </w:r>
      <w:r w:rsidRPr="00CE4C3C">
        <w:rPr>
          <w:rFonts w:ascii="Times New Roman" w:eastAsia="Times New Roman" w:hAnsi="Times New Roman" w:cs="Times New Roman"/>
          <w:lang w:eastAsia="lt-LT" w:bidi="lt-LT"/>
        </w:rPr>
        <w:t>tyrimo fazę, vietoj placebo buvo pradėtas atviras gydymas sunitinibu. Pradiniai rodmenys – rodmenys gydymo pakeitimo momentu, o veiksmingumo analizė pagrįsta tyrėjo vertinimu.</w:t>
      </w:r>
    </w:p>
    <w:p w14:paraId="1F29B76A" w14:textId="1328A086" w:rsidR="00F17A0C" w:rsidRPr="00CE4C3C" w:rsidRDefault="00F17A0C" w:rsidP="00CE4C3C">
      <w:pPr>
        <w:spacing w:line="240" w:lineRule="auto"/>
        <w:ind w:left="142"/>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c</w:t>
      </w:r>
      <w:r w:rsidRPr="00CE4C3C">
        <w:rPr>
          <w:rFonts w:ascii="Times New Roman" w:eastAsia="Times New Roman" w:hAnsi="Times New Roman" w:cs="Times New Roman"/>
          <w:lang w:eastAsia="lt-LT" w:bidi="lt-LT"/>
        </w:rPr>
        <w:t xml:space="preserve"> Tarpinės analizės </w:t>
      </w:r>
      <w:r w:rsidR="007E7E44">
        <w:rPr>
          <w:rFonts w:ascii="Times New Roman" w:eastAsia="Times New Roman" w:hAnsi="Times New Roman" w:cs="Times New Roman"/>
          <w:lang w:eastAsia="lt-LT" w:bidi="lt-LT"/>
        </w:rPr>
        <w:t>IB</w:t>
      </w:r>
      <w:r w:rsidR="008F0BB2">
        <w:rPr>
          <w:rFonts w:ascii="Times New Roman" w:eastAsia="Times New Roman" w:hAnsi="Times New Roman" w:cs="Times New Roman"/>
          <w:lang w:eastAsia="lt-LT" w:bidi="lt-LT"/>
        </w:rPr>
        <w:t>LP</w:t>
      </w:r>
      <w:r w:rsidR="008F0BB2" w:rsidRPr="00CE4C3C">
        <w:rPr>
          <w:rFonts w:ascii="Times New Roman" w:eastAsia="Times New Roman" w:hAnsi="Times New Roman" w:cs="Times New Roman"/>
          <w:lang w:eastAsia="lt-LT" w:bidi="lt-LT"/>
        </w:rPr>
        <w:t xml:space="preserve"> </w:t>
      </w:r>
      <w:r w:rsidRPr="00CE4C3C">
        <w:rPr>
          <w:rFonts w:ascii="Times New Roman" w:eastAsia="Times New Roman" w:hAnsi="Times New Roman" w:cs="Times New Roman"/>
          <w:lang w:eastAsia="lt-LT" w:bidi="lt-LT"/>
        </w:rPr>
        <w:t xml:space="preserve">rodmenys atnaujinti, remiantis originalių duomenų perskaičiavimais. </w:t>
      </w:r>
    </w:p>
    <w:p w14:paraId="1E6E16FB" w14:textId="77777777" w:rsidR="00F17A0C" w:rsidRPr="00CE4C3C" w:rsidRDefault="00F17A0C" w:rsidP="00CE4C3C">
      <w:pPr>
        <w:spacing w:line="240" w:lineRule="auto"/>
        <w:ind w:left="142"/>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d</w:t>
      </w:r>
      <w:r w:rsidRPr="00CE4C3C">
        <w:rPr>
          <w:rFonts w:ascii="Times New Roman" w:eastAsia="Times New Roman" w:hAnsi="Times New Roman" w:cs="Times New Roman"/>
          <w:lang w:eastAsia="lt-LT" w:bidi="lt-LT"/>
        </w:rPr>
        <w:t xml:space="preserve"> OAD rodmenys pateikti tiriamųjų, kuriems nustatytas atsakas (PI 95 %), dalimi procentais. </w:t>
      </w:r>
    </w:p>
    <w:p w14:paraId="00745AE0" w14:textId="77777777" w:rsidR="00F17A0C" w:rsidRPr="00CE4C3C" w:rsidRDefault="00F17A0C" w:rsidP="00CE4C3C">
      <w:pPr>
        <w:spacing w:line="240" w:lineRule="auto"/>
        <w:ind w:left="142"/>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e</w:t>
      </w:r>
      <w:r w:rsidRPr="00CE4C3C">
        <w:rPr>
          <w:rFonts w:ascii="Times New Roman" w:eastAsia="Times New Roman" w:hAnsi="Times New Roman" w:cs="Times New Roman"/>
          <w:lang w:eastAsia="lt-LT" w:bidi="lt-LT"/>
        </w:rPr>
        <w:t xml:space="preserve"> Mediana nepasiekta, nes rodmenys iki šiol nenustatyti. </w:t>
      </w:r>
    </w:p>
    <w:p w14:paraId="0ACF05FD" w14:textId="77777777" w:rsidR="00F17A0C" w:rsidRPr="00CE4C3C" w:rsidRDefault="00F17A0C" w:rsidP="00CE4C3C">
      <w:pPr>
        <w:spacing w:line="240" w:lineRule="auto"/>
        <w:rPr>
          <w:rFonts w:ascii="Times New Roman" w:eastAsia="Times New Roman" w:hAnsi="Times New Roman" w:cs="Times New Roman"/>
          <w:lang w:eastAsia="lt-LT" w:bidi="lt-LT"/>
        </w:rPr>
      </w:pPr>
    </w:p>
    <w:p w14:paraId="432580BF" w14:textId="77777777" w:rsidR="00F17A0C" w:rsidRPr="00CE4C3C" w:rsidRDefault="00F17A0C" w:rsidP="00CE4C3C">
      <w:pPr>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Numatytų gydyti pacientų BI mediana sunitinibo ir placebo grupėse buvo atitinkamai 72,7 savaitės ir 64,9 savaitės (RS 0,876, 95 % PI: 0,679,1,129, p=0,306). Šios analizės metu placebo grupei priskirti ir tie pacientai, kuriems atsitiktiniu būdu buvo paskirtas vartoti placebas, o vėliau atviru būdu buvo taikomas gydymas sunitinibu. </w:t>
      </w:r>
    </w:p>
    <w:p w14:paraId="10C8E975" w14:textId="77777777" w:rsidR="00F17A0C" w:rsidRPr="00CE4C3C" w:rsidRDefault="00F17A0C" w:rsidP="00CE4C3C">
      <w:pPr>
        <w:spacing w:line="240" w:lineRule="auto"/>
        <w:rPr>
          <w:rFonts w:ascii="Times New Roman" w:eastAsia="Times New Roman" w:hAnsi="Times New Roman" w:cs="Times New Roman"/>
          <w:i/>
          <w:lang w:eastAsia="lt-LT" w:bidi="lt-LT"/>
        </w:rPr>
      </w:pPr>
    </w:p>
    <w:p w14:paraId="06B0E302" w14:textId="77777777" w:rsidR="00F17A0C" w:rsidRPr="00CE4C3C" w:rsidRDefault="00F17A0C" w:rsidP="00CE4C3C">
      <w:pPr>
        <w:spacing w:line="240" w:lineRule="auto"/>
        <w:rPr>
          <w:rFonts w:ascii="Times New Roman" w:eastAsia="Times New Roman" w:hAnsi="Times New Roman" w:cs="Times New Roman"/>
          <w:i/>
          <w:lang w:eastAsia="lt-LT" w:bidi="lt-LT"/>
        </w:rPr>
      </w:pPr>
      <w:r w:rsidRPr="00CE4C3C">
        <w:rPr>
          <w:rFonts w:ascii="Times New Roman" w:eastAsia="Times New Roman" w:hAnsi="Times New Roman" w:cs="Times New Roman"/>
          <w:i/>
          <w:lang w:eastAsia="lt-LT" w:bidi="lt-LT"/>
        </w:rPr>
        <w:t xml:space="preserve">Anksčiau negydytas </w:t>
      </w:r>
      <w:proofErr w:type="spellStart"/>
      <w:r w:rsidRPr="00CE4C3C">
        <w:rPr>
          <w:rFonts w:ascii="Times New Roman" w:eastAsia="Times New Roman" w:hAnsi="Times New Roman" w:cs="Times New Roman"/>
          <w:i/>
          <w:lang w:eastAsia="lt-LT" w:bidi="lt-LT"/>
        </w:rPr>
        <w:t>metastazavęs</w:t>
      </w:r>
      <w:proofErr w:type="spellEnd"/>
      <w:r w:rsidRPr="00CE4C3C">
        <w:rPr>
          <w:rFonts w:ascii="Times New Roman" w:eastAsia="Times New Roman" w:hAnsi="Times New Roman" w:cs="Times New Roman"/>
          <w:i/>
          <w:lang w:eastAsia="lt-LT" w:bidi="lt-LT"/>
        </w:rPr>
        <w:t xml:space="preserve"> inkstų ląstelių vėžys </w:t>
      </w:r>
    </w:p>
    <w:p w14:paraId="4B016B5D" w14:textId="3F5D27DE" w:rsidR="00F17A0C" w:rsidRPr="00CE4C3C" w:rsidRDefault="00F17A0C" w:rsidP="00CE4C3C">
      <w:pPr>
        <w:spacing w:line="240" w:lineRule="auto"/>
        <w:rPr>
          <w:rFonts w:ascii="Times New Roman" w:eastAsia="Calibri" w:hAnsi="Times New Roman" w:cs="Times New Roman"/>
        </w:rPr>
      </w:pPr>
      <w:r w:rsidRPr="00CE4C3C">
        <w:rPr>
          <w:rFonts w:ascii="Times New Roman" w:eastAsia="Times New Roman" w:hAnsi="Times New Roman" w:cs="Times New Roman"/>
          <w:lang w:eastAsia="lt-LT" w:bidi="lt-LT"/>
        </w:rPr>
        <w:t xml:space="preserve">Atliktas III fazės klinikinis atsitiktinių imčių </w:t>
      </w:r>
      <w:proofErr w:type="spellStart"/>
      <w:r w:rsidRPr="00CE4C3C">
        <w:rPr>
          <w:rFonts w:ascii="Times New Roman" w:eastAsia="Times New Roman" w:hAnsi="Times New Roman" w:cs="Times New Roman"/>
          <w:lang w:eastAsia="lt-LT" w:bidi="lt-LT"/>
        </w:rPr>
        <w:t>daugiacentris</w:t>
      </w:r>
      <w:proofErr w:type="spellEnd"/>
      <w:r w:rsidRPr="00CE4C3C">
        <w:rPr>
          <w:rFonts w:ascii="Times New Roman" w:eastAsia="Times New Roman" w:hAnsi="Times New Roman" w:cs="Times New Roman"/>
          <w:lang w:eastAsia="lt-LT" w:bidi="lt-LT"/>
        </w:rPr>
        <w:t xml:space="preserve"> tarptautinis tyrimas, kurio metu buvo vertinamas pacientų, kurie sirgo anksčiau negydyta MILK, gydymo sunitinibu veiksmingumas ir saugumas, palyginti su gydymu interferonu IFN-α. Į grupes santykiu 1:1 buvo suskirstyti 750</w:t>
      </w:r>
      <w:r w:rsidR="007E7E44">
        <w:rPr>
          <w:rFonts w:ascii="Times New Roman" w:eastAsia="Times New Roman" w:hAnsi="Times New Roman" w:cs="Times New Roman"/>
          <w:lang w:eastAsia="lt-LT" w:bidi="lt-LT"/>
        </w:rPr>
        <w:t> </w:t>
      </w:r>
      <w:r w:rsidRPr="00CE4C3C">
        <w:rPr>
          <w:rFonts w:ascii="Times New Roman" w:eastAsia="Times New Roman" w:hAnsi="Times New Roman" w:cs="Times New Roman"/>
          <w:lang w:eastAsia="lt-LT" w:bidi="lt-LT"/>
        </w:rPr>
        <w:t xml:space="preserve">pacientų. Jiems buvo taikomi arba kartotiniai 6 </w:t>
      </w:r>
      <w:r w:rsidRPr="00CE4C3C">
        <w:rPr>
          <w:rFonts w:ascii="Times New Roman" w:eastAsia="Calibri" w:hAnsi="Times New Roman" w:cs="Times New Roman"/>
        </w:rPr>
        <w:t>savaičių gydymo sunitinibu kursai, kurių metu 4</w:t>
      </w:r>
      <w:r w:rsidR="007E7E44">
        <w:rPr>
          <w:rFonts w:ascii="Times New Roman" w:eastAsia="Calibri" w:hAnsi="Times New Roman" w:cs="Times New Roman"/>
        </w:rPr>
        <w:t> </w:t>
      </w:r>
      <w:r w:rsidRPr="00CE4C3C">
        <w:rPr>
          <w:rFonts w:ascii="Times New Roman" w:eastAsia="Calibri" w:hAnsi="Times New Roman" w:cs="Times New Roman"/>
        </w:rPr>
        <w:t xml:space="preserve">savaites pacientai gėrė po 50 mg vaistinio preparato per parą, po to buvo daroma 2 savaičių pertrauka (4/2 planas), arba IFN- α, kurio pirmą savaitę buvo suleidžiama po 3 milijonus vienetų (MV) </w:t>
      </w:r>
      <w:r w:rsidRPr="00CE4C3C">
        <w:rPr>
          <w:rFonts w:ascii="Times New Roman" w:eastAsia="Calibri" w:hAnsi="Times New Roman" w:cs="Times New Roman"/>
        </w:rPr>
        <w:lastRenderedPageBreak/>
        <w:t xml:space="preserve">po oda, antrą savaitę –po 6 MV, trečią savaitę – 9 MV, o po to kiekvieną savaitę 3 ne iš eilės einančias dienas. </w:t>
      </w:r>
    </w:p>
    <w:p w14:paraId="1080AC00" w14:textId="77777777" w:rsidR="00F17A0C" w:rsidRPr="00CE4C3C" w:rsidRDefault="00F17A0C" w:rsidP="00CE4C3C">
      <w:pPr>
        <w:spacing w:line="240" w:lineRule="auto"/>
        <w:rPr>
          <w:rFonts w:ascii="Times New Roman" w:eastAsia="Calibri" w:hAnsi="Times New Roman" w:cs="Times New Roman"/>
        </w:rPr>
      </w:pPr>
    </w:p>
    <w:p w14:paraId="33532DFA" w14:textId="708865FF"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Gydymas vidutiniškai truko 11,1 mėnesio (ribos: 0,4-46,1) gydymo sunitinibu grupėje ir 4,1 mėnesio (ribos: 0,1-45,6) gydymo IFN-α grupėje. Su gydymu susijusių sunkių nepageidaujamų reiškinių (SGSSNR) pasireiškė 23,7 % pacientų, vartojusių </w:t>
      </w:r>
      <w:proofErr w:type="spellStart"/>
      <w:r w:rsidRPr="00CE4C3C">
        <w:rPr>
          <w:rFonts w:ascii="Times New Roman" w:eastAsia="Calibri" w:hAnsi="Times New Roman" w:cs="Times New Roman"/>
        </w:rPr>
        <w:t>sunitinibą</w:t>
      </w:r>
      <w:proofErr w:type="spellEnd"/>
      <w:r w:rsidRPr="00CE4C3C">
        <w:rPr>
          <w:rFonts w:ascii="Times New Roman" w:eastAsia="Calibri" w:hAnsi="Times New Roman" w:cs="Times New Roman"/>
        </w:rPr>
        <w:t xml:space="preserve">, ir 6,9 % pacientų, vartojusių IFN-α. Vis dėlto gydymo nutraukimo dėl nepageidaujamų reiškinių dažnis sunitinibo grupėje buvo 20 %, vartojant IFN-α – 23 %. Dozavimą nutraukė 202 pacientai (54 %) sunitinibo ir 141 pacientas (39 %) IFN-α grupėje. Dozė buvo sumažinta 194 pacientams (52%) sunitinibo ir 98 pacientams (27 %) IFN-α grupėje. Pacientai buvo gydyti, kol liga ėmė progresuoti arba pasitraukė iš tyrimo. Pirminė veiksmingumo vertinamoji baigtis buvo išgyvenamumas </w:t>
      </w:r>
      <w:r w:rsidR="007E7E44">
        <w:rPr>
          <w:rFonts w:ascii="Times New Roman" w:eastAsia="Calibri" w:hAnsi="Times New Roman" w:cs="Times New Roman"/>
        </w:rPr>
        <w:t>be ligos</w:t>
      </w:r>
      <w:r w:rsidRPr="00CE4C3C">
        <w:rPr>
          <w:rFonts w:ascii="Times New Roman" w:eastAsia="Calibri" w:hAnsi="Times New Roman" w:cs="Times New Roman"/>
        </w:rPr>
        <w:t xml:space="preserve"> progresavimo (I</w:t>
      </w:r>
      <w:r w:rsidR="007E7E44">
        <w:rPr>
          <w:rFonts w:ascii="Times New Roman" w:eastAsia="Calibri" w:hAnsi="Times New Roman" w:cs="Times New Roman"/>
        </w:rPr>
        <w:t>BLP</w:t>
      </w:r>
      <w:r w:rsidRPr="00CE4C3C">
        <w:rPr>
          <w:rFonts w:ascii="Times New Roman" w:eastAsia="Calibri" w:hAnsi="Times New Roman" w:cs="Times New Roman"/>
        </w:rPr>
        <w:t>). Planinė tarpinė šio tyrimo analizė parodė statistiškai reikšmingą sunitinibo pranašumą, palyginti su IFN-α, vidutinis L</w:t>
      </w:r>
      <w:r w:rsidR="007E7E44">
        <w:rPr>
          <w:rFonts w:ascii="Times New Roman" w:eastAsia="Calibri" w:hAnsi="Times New Roman" w:cs="Times New Roman"/>
        </w:rPr>
        <w:t>I</w:t>
      </w:r>
      <w:r w:rsidRPr="00CE4C3C">
        <w:rPr>
          <w:rFonts w:ascii="Times New Roman" w:eastAsia="Calibri" w:hAnsi="Times New Roman" w:cs="Times New Roman"/>
        </w:rPr>
        <w:t>NP sunitinibo grupėje buvo 47,3 savaitės, palyginti su 22,0 savaitėmis IFN-α grupėje. Rizikos santykis – 0,415 (95 %PI: 0,320-0,539, p&lt;0,001). Antrinės vertinamosios baigtys buvo objektyvaus atsako dažnis (OAD), BI ir saugumas. Pagrindinis radiologinis įvertinimas buvo nutrauktas pasiekus pirminę vertinamąją baigtį. Galutinės analizės metu pagal tyrėjo duomenis nustatytas OAD sunitinibo grupėje buvo 46 % (95 % PI:41-51), o IFN-α grupėje 12,0 % (95 % PI: 9-16) (p&lt;0,001).</w:t>
      </w:r>
    </w:p>
    <w:p w14:paraId="1917AF95" w14:textId="77777777" w:rsidR="00F17A0C" w:rsidRPr="00CE4C3C" w:rsidRDefault="00F17A0C" w:rsidP="00CE4C3C">
      <w:pPr>
        <w:spacing w:line="240" w:lineRule="auto"/>
        <w:rPr>
          <w:rFonts w:ascii="Times New Roman" w:eastAsia="Calibri" w:hAnsi="Times New Roman" w:cs="Times New Roman"/>
        </w:rPr>
      </w:pPr>
    </w:p>
    <w:p w14:paraId="3CB79FDA"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Gydymas sunitinibu buvo susijęs su ilgesniu išgyvenamumu, palyginti su IFN-α. BI mediana sunitinibo grupėje buvo 114,6 savaičių (95 % PI: 100,1-142,9 savaitės), o IFN-α grupėje 94,9 savaitės (95 %PI:  77,7- 117,0 savaičių), rizikos santykis 0,821 (95 % PI: 0,673-1,001; p=0,0510 pagal nesluoksniuotąjį logaritminio rango kriterijų).  </w:t>
      </w:r>
    </w:p>
    <w:p w14:paraId="6B7C34ED" w14:textId="77777777" w:rsidR="00F17A0C" w:rsidRPr="00CE4C3C" w:rsidRDefault="00F17A0C" w:rsidP="00CE4C3C">
      <w:pPr>
        <w:spacing w:line="240" w:lineRule="auto"/>
        <w:rPr>
          <w:rFonts w:ascii="Times New Roman" w:eastAsia="Calibri" w:hAnsi="Times New Roman" w:cs="Times New Roman"/>
        </w:rPr>
      </w:pPr>
    </w:p>
    <w:p w14:paraId="170753EC" w14:textId="3BBDD5DB"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Bendrųjų I</w:t>
      </w:r>
      <w:r w:rsidR="007E7E44">
        <w:rPr>
          <w:rFonts w:ascii="Times New Roman" w:eastAsia="Calibri" w:hAnsi="Times New Roman" w:cs="Times New Roman"/>
        </w:rPr>
        <w:t>BL</w:t>
      </w:r>
      <w:r w:rsidRPr="00CE4C3C">
        <w:rPr>
          <w:rFonts w:ascii="Times New Roman" w:eastAsia="Calibri" w:hAnsi="Times New Roman" w:cs="Times New Roman"/>
        </w:rPr>
        <w:t xml:space="preserve">P ir BI, nustatytų numatytų gydyti pacientų populiacijoje (angl., </w:t>
      </w:r>
      <w:proofErr w:type="spellStart"/>
      <w:r w:rsidRPr="00CE4C3C">
        <w:rPr>
          <w:rFonts w:ascii="Times New Roman" w:eastAsia="Calibri" w:hAnsi="Times New Roman" w:cs="Times New Roman"/>
          <w:i/>
        </w:rPr>
        <w:t>intent</w:t>
      </w:r>
      <w:proofErr w:type="spellEnd"/>
      <w:r w:rsidRPr="00CE4C3C">
        <w:rPr>
          <w:rFonts w:ascii="Times New Roman" w:eastAsia="Calibri" w:hAnsi="Times New Roman" w:cs="Times New Roman"/>
          <w:i/>
        </w:rPr>
        <w:t>-to-</w:t>
      </w:r>
      <w:proofErr w:type="spellStart"/>
      <w:r w:rsidRPr="00CE4C3C">
        <w:rPr>
          <w:rFonts w:ascii="Times New Roman" w:eastAsia="Calibri" w:hAnsi="Times New Roman" w:cs="Times New Roman"/>
          <w:i/>
        </w:rPr>
        <w:t>treat</w:t>
      </w:r>
      <w:proofErr w:type="spellEnd"/>
      <w:r w:rsidRPr="00CE4C3C">
        <w:rPr>
          <w:rFonts w:ascii="Times New Roman" w:eastAsia="Calibri" w:hAnsi="Times New Roman" w:cs="Times New Roman"/>
          <w:i/>
        </w:rPr>
        <w:t xml:space="preserve">; </w:t>
      </w:r>
      <w:r w:rsidRPr="00CE4C3C">
        <w:rPr>
          <w:rFonts w:ascii="Times New Roman" w:eastAsia="Calibri" w:hAnsi="Times New Roman" w:cs="Times New Roman"/>
        </w:rPr>
        <w:t xml:space="preserve">ITT) pagal pagrindinį laboratorinį radiologinį įvertinimą, duomenų suvestinė pateikta toliau esančioje </w:t>
      </w:r>
      <w:r w:rsidR="00597B10" w:rsidRPr="00CE4C3C">
        <w:rPr>
          <w:rFonts w:ascii="Times New Roman" w:eastAsia="Calibri" w:hAnsi="Times New Roman" w:cs="Times New Roman"/>
        </w:rPr>
        <w:t>3</w:t>
      </w:r>
      <w:r w:rsidR="00CF4231" w:rsidRPr="00CE4C3C">
        <w:rPr>
          <w:rFonts w:ascii="Times New Roman" w:eastAsia="Calibri" w:hAnsi="Times New Roman" w:cs="Times New Roman"/>
        </w:rPr>
        <w:t> </w:t>
      </w:r>
      <w:r w:rsidRPr="00CE4C3C">
        <w:rPr>
          <w:rFonts w:ascii="Times New Roman" w:eastAsia="Calibri" w:hAnsi="Times New Roman" w:cs="Times New Roman"/>
        </w:rPr>
        <w:t xml:space="preserve">lentelėje. </w:t>
      </w:r>
    </w:p>
    <w:p w14:paraId="0F2B46E6" w14:textId="77777777" w:rsidR="00F17A0C" w:rsidRPr="00CE4C3C" w:rsidRDefault="00F17A0C" w:rsidP="00CE4C3C">
      <w:pPr>
        <w:spacing w:line="240" w:lineRule="auto"/>
        <w:rPr>
          <w:rFonts w:ascii="Times New Roman" w:eastAsia="Calibri" w:hAnsi="Times New Roman" w:cs="Times New Roman"/>
        </w:rPr>
      </w:pPr>
    </w:p>
    <w:p w14:paraId="0A4BA7F2" w14:textId="77777777" w:rsidR="00F17A0C" w:rsidRPr="00CE4C3C" w:rsidRDefault="00F17A0C" w:rsidP="00CE4C3C">
      <w:pPr>
        <w:spacing w:line="240" w:lineRule="auto"/>
        <w:ind w:left="851" w:hanging="851"/>
        <w:rPr>
          <w:rFonts w:ascii="Times New Roman" w:eastAsia="Calibri" w:hAnsi="Times New Roman" w:cs="Times New Roman"/>
          <w:b/>
        </w:rPr>
      </w:pPr>
      <w:r w:rsidRPr="00CE4C3C">
        <w:rPr>
          <w:rFonts w:ascii="Times New Roman" w:eastAsia="Calibri" w:hAnsi="Times New Roman" w:cs="Times New Roman"/>
          <w:b/>
        </w:rPr>
        <w:t xml:space="preserve">3 lentelė. Veiksmingumo vertinamųjų baigčių santrauka </w:t>
      </w:r>
      <w:r w:rsidRPr="00CE4C3C">
        <w:rPr>
          <w:rFonts w:ascii="Times New Roman" w:eastAsia="Times New Roman" w:hAnsi="Times New Roman" w:cs="Times New Roman"/>
          <w:b/>
          <w:lang w:eastAsia="lt-LT" w:bidi="lt-LT"/>
        </w:rPr>
        <w:t>anksčiau negydytos MILK</w:t>
      </w:r>
      <w:r w:rsidRPr="00CE4C3C">
        <w:rPr>
          <w:rFonts w:ascii="Times New Roman" w:eastAsia="Calibri" w:hAnsi="Times New Roman" w:cs="Times New Roman"/>
          <w:b/>
        </w:rPr>
        <w:t xml:space="preserve"> atveju (numatytų gydyti pacientų populiacija)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2226"/>
        <w:gridCol w:w="272"/>
        <w:gridCol w:w="2151"/>
      </w:tblGrid>
      <w:tr w:rsidR="00F17A0C" w:rsidRPr="00CE4C3C" w14:paraId="7EA5E0A8" w14:textId="77777777" w:rsidTr="000417F6">
        <w:tc>
          <w:tcPr>
            <w:tcW w:w="4412" w:type="dxa"/>
            <w:shd w:val="clear" w:color="auto" w:fill="auto"/>
            <w:vAlign w:val="center"/>
          </w:tcPr>
          <w:p w14:paraId="13769FD8" w14:textId="7CC213E3" w:rsidR="00F17A0C" w:rsidRPr="00CE4C3C" w:rsidRDefault="00F17A0C" w:rsidP="00CE4C3C">
            <w:pPr>
              <w:spacing w:line="240" w:lineRule="auto"/>
              <w:rPr>
                <w:rFonts w:ascii="Times New Roman" w:eastAsia="Times New Roman" w:hAnsi="Times New Roman" w:cs="Times New Roman"/>
                <w:b/>
                <w:bCs/>
                <w:color w:val="000000"/>
                <w:lang w:eastAsia="en-GB"/>
              </w:rPr>
            </w:pPr>
            <w:r w:rsidRPr="00CE4C3C">
              <w:rPr>
                <w:rFonts w:ascii="Times New Roman" w:eastAsia="Times New Roman" w:hAnsi="Times New Roman" w:cs="Times New Roman"/>
                <w:b/>
                <w:bCs/>
                <w:color w:val="000000"/>
                <w:lang w:eastAsia="en-GB"/>
              </w:rPr>
              <w:t xml:space="preserve">Išgyvenamumo be </w:t>
            </w:r>
            <w:r w:rsidR="009F0E8A">
              <w:rPr>
                <w:rFonts w:ascii="Times New Roman" w:eastAsia="Times New Roman" w:hAnsi="Times New Roman" w:cs="Times New Roman"/>
                <w:b/>
                <w:bCs/>
                <w:color w:val="000000"/>
                <w:lang w:eastAsia="en-GB"/>
              </w:rPr>
              <w:t>ligos</w:t>
            </w:r>
            <w:r w:rsidRPr="00CE4C3C">
              <w:rPr>
                <w:rFonts w:ascii="Times New Roman" w:eastAsia="Times New Roman" w:hAnsi="Times New Roman" w:cs="Times New Roman"/>
                <w:b/>
                <w:bCs/>
                <w:color w:val="000000"/>
                <w:lang w:eastAsia="en-GB"/>
              </w:rPr>
              <w:t xml:space="preserve"> progresavimo santrauka</w:t>
            </w:r>
          </w:p>
        </w:tc>
        <w:tc>
          <w:tcPr>
            <w:tcW w:w="2498" w:type="dxa"/>
            <w:gridSpan w:val="2"/>
            <w:shd w:val="clear" w:color="auto" w:fill="auto"/>
            <w:vAlign w:val="center"/>
          </w:tcPr>
          <w:p w14:paraId="48DEEC66" w14:textId="77777777" w:rsidR="00F17A0C" w:rsidRPr="00CE4C3C" w:rsidRDefault="00F17A0C" w:rsidP="00CE4C3C">
            <w:pPr>
              <w:spacing w:line="240" w:lineRule="auto"/>
              <w:jc w:val="center"/>
              <w:rPr>
                <w:rFonts w:ascii="Times New Roman" w:eastAsia="Times New Roman" w:hAnsi="Times New Roman" w:cs="Times New Roman"/>
                <w:b/>
                <w:bCs/>
                <w:color w:val="000000"/>
                <w:lang w:eastAsia="en-GB"/>
              </w:rPr>
            </w:pPr>
            <w:r w:rsidRPr="00CE4C3C">
              <w:rPr>
                <w:rFonts w:ascii="Times New Roman" w:eastAsia="Times New Roman" w:hAnsi="Times New Roman" w:cs="Times New Roman"/>
                <w:b/>
                <w:bCs/>
                <w:color w:val="000000"/>
                <w:lang w:eastAsia="en-GB"/>
              </w:rPr>
              <w:t>Sunitinibas (n=375)</w:t>
            </w:r>
          </w:p>
        </w:tc>
        <w:tc>
          <w:tcPr>
            <w:tcW w:w="2151" w:type="dxa"/>
            <w:shd w:val="clear" w:color="auto" w:fill="auto"/>
            <w:vAlign w:val="center"/>
          </w:tcPr>
          <w:p w14:paraId="2B1FD11C" w14:textId="77777777" w:rsidR="00F17A0C" w:rsidRPr="00CE4C3C" w:rsidRDefault="00F17A0C" w:rsidP="00CE4C3C">
            <w:pPr>
              <w:spacing w:line="240" w:lineRule="auto"/>
              <w:jc w:val="center"/>
              <w:rPr>
                <w:rFonts w:ascii="Times New Roman" w:eastAsia="Times New Roman" w:hAnsi="Times New Roman" w:cs="Times New Roman"/>
                <w:b/>
                <w:bCs/>
                <w:color w:val="000000"/>
                <w:lang w:eastAsia="en-GB"/>
              </w:rPr>
            </w:pPr>
            <w:r w:rsidRPr="00CE4C3C">
              <w:rPr>
                <w:rFonts w:ascii="Times New Roman" w:eastAsia="Times New Roman" w:hAnsi="Times New Roman" w:cs="Times New Roman"/>
                <w:b/>
                <w:bCs/>
                <w:color w:val="000000"/>
                <w:lang w:eastAsia="en-GB"/>
              </w:rPr>
              <w:t>IFN-α (n=375)</w:t>
            </w:r>
          </w:p>
        </w:tc>
      </w:tr>
      <w:tr w:rsidR="00F17A0C" w:rsidRPr="00CE4C3C" w14:paraId="3AF9CE1D" w14:textId="77777777" w:rsidTr="000417F6">
        <w:tc>
          <w:tcPr>
            <w:tcW w:w="4412" w:type="dxa"/>
            <w:shd w:val="clear" w:color="auto" w:fill="auto"/>
            <w:vAlign w:val="center"/>
          </w:tcPr>
          <w:p w14:paraId="3CA883CB"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Tiriamojo būklė negerėjo arba tiriamasis mirė [n (%)]</w:t>
            </w:r>
          </w:p>
        </w:tc>
        <w:tc>
          <w:tcPr>
            <w:tcW w:w="2498" w:type="dxa"/>
            <w:gridSpan w:val="2"/>
            <w:shd w:val="clear" w:color="auto" w:fill="auto"/>
            <w:vAlign w:val="center"/>
          </w:tcPr>
          <w:p w14:paraId="27D4D8D7"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161 (42,9)</w:t>
            </w:r>
          </w:p>
        </w:tc>
        <w:tc>
          <w:tcPr>
            <w:tcW w:w="2151" w:type="dxa"/>
            <w:shd w:val="clear" w:color="auto" w:fill="auto"/>
            <w:vAlign w:val="center"/>
          </w:tcPr>
          <w:p w14:paraId="2B8F7EA2"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176 (46,9)</w:t>
            </w:r>
          </w:p>
        </w:tc>
      </w:tr>
      <w:tr w:rsidR="00F17A0C" w:rsidRPr="00CE4C3C" w14:paraId="1AB6EB2C" w14:textId="77777777" w:rsidTr="000417F6">
        <w:tc>
          <w:tcPr>
            <w:tcW w:w="4412" w:type="dxa"/>
            <w:shd w:val="clear" w:color="auto" w:fill="auto"/>
            <w:vAlign w:val="center"/>
          </w:tcPr>
          <w:p w14:paraId="1C651065"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Tiriamajam nustatytas ligos progresavimas arba tiriamasis mirė [n (%)]</w:t>
            </w:r>
          </w:p>
        </w:tc>
        <w:tc>
          <w:tcPr>
            <w:tcW w:w="2498" w:type="dxa"/>
            <w:gridSpan w:val="2"/>
            <w:shd w:val="clear" w:color="auto" w:fill="auto"/>
            <w:vAlign w:val="center"/>
          </w:tcPr>
          <w:p w14:paraId="6C32AEB5"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214 (57,1)</w:t>
            </w:r>
          </w:p>
        </w:tc>
        <w:tc>
          <w:tcPr>
            <w:tcW w:w="2151" w:type="dxa"/>
            <w:shd w:val="clear" w:color="auto" w:fill="auto"/>
            <w:vAlign w:val="center"/>
          </w:tcPr>
          <w:p w14:paraId="6F65428C"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199 (53,1)</w:t>
            </w:r>
          </w:p>
        </w:tc>
      </w:tr>
      <w:tr w:rsidR="00F17A0C" w:rsidRPr="00CE4C3C" w14:paraId="2D0C0CBE" w14:textId="77777777" w:rsidTr="00CF4231">
        <w:tc>
          <w:tcPr>
            <w:tcW w:w="9061" w:type="dxa"/>
            <w:gridSpan w:val="4"/>
            <w:tcBorders>
              <w:bottom w:val="single" w:sz="4" w:space="0" w:color="auto"/>
            </w:tcBorders>
            <w:shd w:val="clear" w:color="auto" w:fill="auto"/>
            <w:vAlign w:val="center"/>
          </w:tcPr>
          <w:p w14:paraId="7668C9A1" w14:textId="3C81E9CB" w:rsidR="00F17A0C" w:rsidRPr="00CE4C3C" w:rsidRDefault="00F17A0C" w:rsidP="009F0E8A">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I</w:t>
            </w:r>
            <w:r w:rsidR="009F0E8A">
              <w:rPr>
                <w:rFonts w:ascii="Times New Roman" w:eastAsia="Times New Roman" w:hAnsi="Times New Roman" w:cs="Times New Roman"/>
                <w:color w:val="000000"/>
                <w:lang w:eastAsia="en-GB"/>
              </w:rPr>
              <w:t>BL</w:t>
            </w:r>
            <w:r w:rsidRPr="00CE4C3C">
              <w:rPr>
                <w:rFonts w:ascii="Times New Roman" w:eastAsia="Times New Roman" w:hAnsi="Times New Roman" w:cs="Times New Roman"/>
                <w:color w:val="000000"/>
                <w:lang w:eastAsia="en-GB"/>
              </w:rPr>
              <w:t>P (savaitės)</w:t>
            </w:r>
          </w:p>
        </w:tc>
      </w:tr>
      <w:tr w:rsidR="00F17A0C" w:rsidRPr="00CE4C3C" w14:paraId="5869C5BB" w14:textId="77777777" w:rsidTr="00CF4231">
        <w:tc>
          <w:tcPr>
            <w:tcW w:w="4412" w:type="dxa"/>
            <w:tcBorders>
              <w:top w:val="single" w:sz="4" w:space="0" w:color="auto"/>
              <w:left w:val="single" w:sz="4" w:space="0" w:color="auto"/>
              <w:bottom w:val="single" w:sz="4" w:space="0" w:color="auto"/>
              <w:right w:val="nil"/>
            </w:tcBorders>
            <w:shd w:val="clear" w:color="auto" w:fill="auto"/>
            <w:vAlign w:val="center"/>
          </w:tcPr>
          <w:p w14:paraId="42519430"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 xml:space="preserve">Kvartilis (95 % </w:t>
            </w:r>
            <w:r w:rsidR="00CF4231" w:rsidRPr="00CE4C3C">
              <w:rPr>
                <w:rFonts w:ascii="Times New Roman" w:eastAsia="Times New Roman" w:hAnsi="Times New Roman" w:cs="Times New Roman"/>
                <w:color w:val="000000"/>
                <w:lang w:eastAsia="en-GB"/>
              </w:rPr>
              <w:t>P</w:t>
            </w:r>
            <w:r w:rsidRPr="00CE4C3C">
              <w:rPr>
                <w:rFonts w:ascii="Times New Roman" w:eastAsia="Times New Roman" w:hAnsi="Times New Roman" w:cs="Times New Roman"/>
                <w:color w:val="000000"/>
                <w:lang w:eastAsia="en-GB"/>
              </w:rPr>
              <w:t>I)</w:t>
            </w:r>
          </w:p>
        </w:tc>
        <w:tc>
          <w:tcPr>
            <w:tcW w:w="2498" w:type="dxa"/>
            <w:gridSpan w:val="2"/>
            <w:tcBorders>
              <w:top w:val="single" w:sz="4" w:space="0" w:color="auto"/>
              <w:left w:val="nil"/>
              <w:bottom w:val="single" w:sz="4" w:space="0" w:color="auto"/>
              <w:right w:val="nil"/>
            </w:tcBorders>
            <w:shd w:val="clear" w:color="auto" w:fill="auto"/>
            <w:vAlign w:val="center"/>
          </w:tcPr>
          <w:p w14:paraId="4EAED3FF"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p>
        </w:tc>
        <w:tc>
          <w:tcPr>
            <w:tcW w:w="2151" w:type="dxa"/>
            <w:tcBorders>
              <w:top w:val="single" w:sz="4" w:space="0" w:color="auto"/>
              <w:left w:val="nil"/>
              <w:bottom w:val="single" w:sz="4" w:space="0" w:color="auto"/>
              <w:right w:val="single" w:sz="4" w:space="0" w:color="auto"/>
            </w:tcBorders>
            <w:shd w:val="clear" w:color="auto" w:fill="auto"/>
            <w:vAlign w:val="center"/>
          </w:tcPr>
          <w:p w14:paraId="2407C052"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p>
        </w:tc>
      </w:tr>
      <w:tr w:rsidR="00F17A0C" w:rsidRPr="00CE4C3C" w14:paraId="7152FFA6" w14:textId="77777777" w:rsidTr="00CF4231">
        <w:tc>
          <w:tcPr>
            <w:tcW w:w="4412" w:type="dxa"/>
            <w:tcBorders>
              <w:top w:val="single" w:sz="4" w:space="0" w:color="auto"/>
            </w:tcBorders>
            <w:shd w:val="clear" w:color="auto" w:fill="auto"/>
            <w:vAlign w:val="center"/>
          </w:tcPr>
          <w:p w14:paraId="6CD37CC2"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25 %</w:t>
            </w:r>
          </w:p>
        </w:tc>
        <w:tc>
          <w:tcPr>
            <w:tcW w:w="2498" w:type="dxa"/>
            <w:gridSpan w:val="2"/>
            <w:tcBorders>
              <w:top w:val="single" w:sz="4" w:space="0" w:color="auto"/>
            </w:tcBorders>
            <w:shd w:val="clear" w:color="auto" w:fill="auto"/>
            <w:vAlign w:val="center"/>
          </w:tcPr>
          <w:p w14:paraId="086618EA"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22,7 (18,0, 34,0)</w:t>
            </w:r>
          </w:p>
        </w:tc>
        <w:tc>
          <w:tcPr>
            <w:tcW w:w="2151" w:type="dxa"/>
            <w:tcBorders>
              <w:top w:val="single" w:sz="4" w:space="0" w:color="auto"/>
            </w:tcBorders>
            <w:shd w:val="clear" w:color="auto" w:fill="auto"/>
            <w:vAlign w:val="center"/>
          </w:tcPr>
          <w:p w14:paraId="4FD674FD"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10,0 (7,3, 10,3)</w:t>
            </w:r>
          </w:p>
        </w:tc>
      </w:tr>
      <w:tr w:rsidR="00F17A0C" w:rsidRPr="00CE4C3C" w14:paraId="08F48B0D" w14:textId="77777777" w:rsidTr="000417F6">
        <w:tc>
          <w:tcPr>
            <w:tcW w:w="4412" w:type="dxa"/>
            <w:shd w:val="clear" w:color="auto" w:fill="auto"/>
            <w:vAlign w:val="center"/>
          </w:tcPr>
          <w:p w14:paraId="1826792B"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50 %</w:t>
            </w:r>
          </w:p>
        </w:tc>
        <w:tc>
          <w:tcPr>
            <w:tcW w:w="2498" w:type="dxa"/>
            <w:gridSpan w:val="2"/>
            <w:shd w:val="clear" w:color="auto" w:fill="auto"/>
            <w:vAlign w:val="center"/>
          </w:tcPr>
          <w:p w14:paraId="170335D3"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48,3 (46,4, 58,3)</w:t>
            </w:r>
          </w:p>
        </w:tc>
        <w:tc>
          <w:tcPr>
            <w:tcW w:w="2151" w:type="dxa"/>
            <w:shd w:val="clear" w:color="auto" w:fill="auto"/>
            <w:vAlign w:val="center"/>
          </w:tcPr>
          <w:p w14:paraId="713492E7"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22,1 (17,1, 24,0)</w:t>
            </w:r>
          </w:p>
        </w:tc>
      </w:tr>
      <w:tr w:rsidR="00F17A0C" w:rsidRPr="00CE4C3C" w14:paraId="529BEE0A" w14:textId="77777777" w:rsidTr="000417F6">
        <w:tc>
          <w:tcPr>
            <w:tcW w:w="4412" w:type="dxa"/>
            <w:shd w:val="clear" w:color="auto" w:fill="auto"/>
            <w:vAlign w:val="center"/>
          </w:tcPr>
          <w:p w14:paraId="28873130"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75 %</w:t>
            </w:r>
          </w:p>
        </w:tc>
        <w:tc>
          <w:tcPr>
            <w:tcW w:w="2498" w:type="dxa"/>
            <w:gridSpan w:val="2"/>
            <w:shd w:val="clear" w:color="auto" w:fill="auto"/>
            <w:vAlign w:val="center"/>
          </w:tcPr>
          <w:p w14:paraId="6576D281"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84,3 (72,9, 95,1)</w:t>
            </w:r>
          </w:p>
        </w:tc>
        <w:tc>
          <w:tcPr>
            <w:tcW w:w="2151" w:type="dxa"/>
            <w:shd w:val="clear" w:color="auto" w:fill="auto"/>
            <w:vAlign w:val="center"/>
          </w:tcPr>
          <w:p w14:paraId="1A76976D"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58,1 (45,6, 82,1)</w:t>
            </w:r>
          </w:p>
        </w:tc>
      </w:tr>
      <w:tr w:rsidR="00F17A0C" w:rsidRPr="00CE4C3C" w14:paraId="1D5EAA41" w14:textId="77777777" w:rsidTr="000417F6">
        <w:tc>
          <w:tcPr>
            <w:tcW w:w="9061" w:type="dxa"/>
            <w:gridSpan w:val="4"/>
            <w:shd w:val="clear" w:color="auto" w:fill="auto"/>
            <w:vAlign w:val="center"/>
          </w:tcPr>
          <w:p w14:paraId="4307CD60"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Nesluoksniuotoji analizė</w:t>
            </w:r>
          </w:p>
        </w:tc>
      </w:tr>
      <w:tr w:rsidR="00F17A0C" w:rsidRPr="00CE4C3C" w14:paraId="7A0292A4" w14:textId="77777777" w:rsidTr="000417F6">
        <w:tc>
          <w:tcPr>
            <w:tcW w:w="4412" w:type="dxa"/>
            <w:shd w:val="clear" w:color="auto" w:fill="auto"/>
            <w:vAlign w:val="center"/>
          </w:tcPr>
          <w:p w14:paraId="53B632F0" w14:textId="77777777" w:rsidR="00CF4231"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Rizikos santykis (sunitinibas palyginti su</w:t>
            </w:r>
          </w:p>
          <w:p w14:paraId="0FCD0B4A"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IFN-α)</w:t>
            </w:r>
          </w:p>
        </w:tc>
        <w:tc>
          <w:tcPr>
            <w:tcW w:w="4649" w:type="dxa"/>
            <w:gridSpan w:val="3"/>
            <w:shd w:val="clear" w:color="auto" w:fill="auto"/>
            <w:vAlign w:val="center"/>
          </w:tcPr>
          <w:p w14:paraId="4836D127"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0,5268</w:t>
            </w:r>
          </w:p>
        </w:tc>
      </w:tr>
      <w:tr w:rsidR="00F17A0C" w:rsidRPr="00CE4C3C" w14:paraId="4AED150E" w14:textId="77777777" w:rsidTr="000417F6">
        <w:tc>
          <w:tcPr>
            <w:tcW w:w="4412" w:type="dxa"/>
            <w:shd w:val="clear" w:color="auto" w:fill="auto"/>
            <w:vAlign w:val="center"/>
          </w:tcPr>
          <w:p w14:paraId="4FC096BD"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Santykinės rizikos 95 % PI</w:t>
            </w:r>
          </w:p>
        </w:tc>
        <w:tc>
          <w:tcPr>
            <w:tcW w:w="4649" w:type="dxa"/>
            <w:gridSpan w:val="3"/>
            <w:shd w:val="clear" w:color="auto" w:fill="auto"/>
            <w:vAlign w:val="center"/>
          </w:tcPr>
          <w:p w14:paraId="2A639F90"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(0,4316, 0,6430)</w:t>
            </w:r>
          </w:p>
        </w:tc>
      </w:tr>
      <w:tr w:rsidR="00F17A0C" w:rsidRPr="00CE4C3C" w14:paraId="1D912D54" w14:textId="77777777" w:rsidTr="000417F6">
        <w:tc>
          <w:tcPr>
            <w:tcW w:w="4412" w:type="dxa"/>
            <w:shd w:val="clear" w:color="auto" w:fill="auto"/>
            <w:vAlign w:val="center"/>
          </w:tcPr>
          <w:p w14:paraId="044D8757" w14:textId="77777777" w:rsidR="00F17A0C" w:rsidRPr="00CE4C3C" w:rsidRDefault="00F17A0C" w:rsidP="00CE4C3C">
            <w:pPr>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p-</w:t>
            </w:r>
            <w:proofErr w:type="spellStart"/>
            <w:r w:rsidRPr="00CE4C3C">
              <w:rPr>
                <w:rFonts w:ascii="Times New Roman" w:eastAsia="Times New Roman" w:hAnsi="Times New Roman" w:cs="Times New Roman"/>
                <w:color w:val="000000"/>
                <w:lang w:eastAsia="en-GB"/>
              </w:rPr>
              <w:t>reikšmė</w:t>
            </w:r>
            <w:r w:rsidRPr="00CE4C3C">
              <w:rPr>
                <w:rFonts w:ascii="Times New Roman" w:eastAsia="Times New Roman" w:hAnsi="Times New Roman" w:cs="Times New Roman"/>
                <w:color w:val="000000"/>
                <w:vertAlign w:val="superscript"/>
                <w:lang w:eastAsia="en-GB"/>
              </w:rPr>
              <w:t>a</w:t>
            </w:r>
            <w:proofErr w:type="spellEnd"/>
          </w:p>
        </w:tc>
        <w:tc>
          <w:tcPr>
            <w:tcW w:w="4649" w:type="dxa"/>
            <w:gridSpan w:val="3"/>
            <w:shd w:val="clear" w:color="auto" w:fill="auto"/>
            <w:vAlign w:val="center"/>
          </w:tcPr>
          <w:p w14:paraId="2D4DD27F" w14:textId="77777777" w:rsidR="00F17A0C" w:rsidRPr="00CE4C3C" w:rsidRDefault="00F17A0C" w:rsidP="00CE4C3C">
            <w:pPr>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&lt;0,0001</w:t>
            </w:r>
          </w:p>
        </w:tc>
      </w:tr>
      <w:tr w:rsidR="00F17A0C" w:rsidRPr="00CE4C3C" w14:paraId="2CC11832" w14:textId="77777777" w:rsidTr="000417F6">
        <w:tc>
          <w:tcPr>
            <w:tcW w:w="9061" w:type="dxa"/>
            <w:gridSpan w:val="4"/>
            <w:shd w:val="clear" w:color="auto" w:fill="auto"/>
          </w:tcPr>
          <w:p w14:paraId="6584A52A" w14:textId="5EF2F42D" w:rsidR="00F17A0C" w:rsidRPr="00CE4C3C" w:rsidRDefault="00F17A0C" w:rsidP="00CE4C3C">
            <w:pPr>
              <w:tabs>
                <w:tab w:val="left" w:pos="567"/>
              </w:tabs>
              <w:spacing w:line="240" w:lineRule="auto"/>
              <w:rPr>
                <w:rFonts w:ascii="Times New Roman" w:eastAsia="Times New Roman" w:hAnsi="Times New Roman" w:cs="Times New Roman"/>
                <w:b/>
                <w:bCs/>
                <w:color w:val="000000"/>
                <w:lang w:eastAsia="en-GB"/>
              </w:rPr>
            </w:pPr>
            <w:r w:rsidRPr="00CE4C3C">
              <w:rPr>
                <w:rFonts w:ascii="Times New Roman" w:eastAsia="Times New Roman" w:hAnsi="Times New Roman" w:cs="Times New Roman"/>
                <w:b/>
                <w:bCs/>
                <w:color w:val="000000"/>
                <w:lang w:eastAsia="en-GB"/>
              </w:rPr>
              <w:t>Bendro išgyvenamumo santrauka</w:t>
            </w:r>
          </w:p>
        </w:tc>
      </w:tr>
      <w:tr w:rsidR="00F17A0C" w:rsidRPr="00CE4C3C" w14:paraId="3B12F671" w14:textId="77777777" w:rsidTr="000417F6">
        <w:tc>
          <w:tcPr>
            <w:tcW w:w="4412" w:type="dxa"/>
            <w:shd w:val="clear" w:color="auto" w:fill="auto"/>
          </w:tcPr>
          <w:p w14:paraId="06CA0B23" w14:textId="77777777" w:rsidR="00F17A0C" w:rsidRPr="00CE4C3C"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Tiriamieji, apie kurių mirtį nežinoma [n (%)]</w:t>
            </w:r>
          </w:p>
        </w:tc>
        <w:tc>
          <w:tcPr>
            <w:tcW w:w="2226" w:type="dxa"/>
            <w:shd w:val="clear" w:color="auto" w:fill="auto"/>
          </w:tcPr>
          <w:p w14:paraId="1019F072" w14:textId="77777777" w:rsidR="00F17A0C" w:rsidRPr="00CE4C3C"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185 (49,3)</w:t>
            </w:r>
          </w:p>
        </w:tc>
        <w:tc>
          <w:tcPr>
            <w:tcW w:w="2423" w:type="dxa"/>
            <w:gridSpan w:val="2"/>
            <w:shd w:val="clear" w:color="auto" w:fill="auto"/>
          </w:tcPr>
          <w:p w14:paraId="4E29F7C4" w14:textId="77777777" w:rsidR="00F17A0C" w:rsidRPr="00CE4C3C"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175 (46,7)</w:t>
            </w:r>
          </w:p>
        </w:tc>
      </w:tr>
      <w:tr w:rsidR="00F17A0C" w:rsidRPr="00CE4C3C" w14:paraId="5DF8E47C" w14:textId="77777777" w:rsidTr="00CF4231">
        <w:tc>
          <w:tcPr>
            <w:tcW w:w="4412" w:type="dxa"/>
            <w:tcBorders>
              <w:bottom w:val="single" w:sz="4" w:space="0" w:color="auto"/>
            </w:tcBorders>
            <w:shd w:val="clear" w:color="auto" w:fill="auto"/>
          </w:tcPr>
          <w:p w14:paraId="61851787" w14:textId="77777777" w:rsidR="00F17A0C" w:rsidRPr="00CE4C3C"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Tiriamieji, kurie mirė [n (%)]</w:t>
            </w:r>
          </w:p>
        </w:tc>
        <w:tc>
          <w:tcPr>
            <w:tcW w:w="2226" w:type="dxa"/>
            <w:tcBorders>
              <w:bottom w:val="single" w:sz="4" w:space="0" w:color="auto"/>
            </w:tcBorders>
            <w:shd w:val="clear" w:color="auto" w:fill="auto"/>
          </w:tcPr>
          <w:p w14:paraId="49E48503" w14:textId="77777777" w:rsidR="00F17A0C" w:rsidRPr="00CE4C3C"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190 (50,7)</w:t>
            </w:r>
          </w:p>
        </w:tc>
        <w:tc>
          <w:tcPr>
            <w:tcW w:w="2423" w:type="dxa"/>
            <w:gridSpan w:val="2"/>
            <w:tcBorders>
              <w:bottom w:val="single" w:sz="4" w:space="0" w:color="auto"/>
            </w:tcBorders>
            <w:shd w:val="clear" w:color="auto" w:fill="auto"/>
          </w:tcPr>
          <w:p w14:paraId="5ECF9E4D" w14:textId="77777777" w:rsidR="00F17A0C" w:rsidRPr="00CE4C3C"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200 (53,3)</w:t>
            </w:r>
          </w:p>
        </w:tc>
      </w:tr>
      <w:tr w:rsidR="00F17A0C" w:rsidRPr="00CE4C3C" w14:paraId="4B4F40DF" w14:textId="77777777" w:rsidTr="00CF4231">
        <w:tc>
          <w:tcPr>
            <w:tcW w:w="4412" w:type="dxa"/>
            <w:tcBorders>
              <w:top w:val="single" w:sz="4" w:space="0" w:color="auto"/>
              <w:left w:val="single" w:sz="4" w:space="0" w:color="auto"/>
              <w:bottom w:val="single" w:sz="4" w:space="0" w:color="auto"/>
              <w:right w:val="nil"/>
            </w:tcBorders>
            <w:shd w:val="clear" w:color="auto" w:fill="auto"/>
          </w:tcPr>
          <w:p w14:paraId="30625432" w14:textId="77777777" w:rsidR="00F17A0C" w:rsidRPr="00CE4C3C"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BI (savaitės)</w:t>
            </w:r>
          </w:p>
        </w:tc>
        <w:tc>
          <w:tcPr>
            <w:tcW w:w="2226" w:type="dxa"/>
            <w:tcBorders>
              <w:top w:val="single" w:sz="4" w:space="0" w:color="auto"/>
              <w:left w:val="nil"/>
              <w:bottom w:val="single" w:sz="4" w:space="0" w:color="auto"/>
              <w:right w:val="nil"/>
            </w:tcBorders>
            <w:shd w:val="clear" w:color="auto" w:fill="auto"/>
          </w:tcPr>
          <w:p w14:paraId="4744D243" w14:textId="77777777" w:rsidR="00F17A0C" w:rsidRPr="00CE4C3C" w:rsidRDefault="00F17A0C" w:rsidP="00CE4C3C">
            <w:pPr>
              <w:tabs>
                <w:tab w:val="left" w:pos="567"/>
              </w:tabs>
              <w:spacing w:line="240" w:lineRule="auto"/>
              <w:jc w:val="center"/>
              <w:rPr>
                <w:rFonts w:ascii="Times New Roman" w:eastAsia="Times New Roman" w:hAnsi="Times New Roman" w:cs="Times New Roman"/>
                <w:color w:val="000000"/>
                <w:lang w:eastAsia="en-GB"/>
              </w:rPr>
            </w:pPr>
          </w:p>
        </w:tc>
        <w:tc>
          <w:tcPr>
            <w:tcW w:w="2423" w:type="dxa"/>
            <w:gridSpan w:val="2"/>
            <w:tcBorders>
              <w:top w:val="single" w:sz="4" w:space="0" w:color="auto"/>
              <w:left w:val="nil"/>
              <w:bottom w:val="single" w:sz="4" w:space="0" w:color="auto"/>
              <w:right w:val="single" w:sz="4" w:space="0" w:color="auto"/>
            </w:tcBorders>
            <w:shd w:val="clear" w:color="auto" w:fill="auto"/>
          </w:tcPr>
          <w:p w14:paraId="364334D9" w14:textId="77777777" w:rsidR="00F17A0C" w:rsidRPr="00CE4C3C" w:rsidRDefault="00F17A0C" w:rsidP="00CE4C3C">
            <w:pPr>
              <w:tabs>
                <w:tab w:val="left" w:pos="567"/>
              </w:tabs>
              <w:spacing w:line="240" w:lineRule="auto"/>
              <w:jc w:val="center"/>
              <w:rPr>
                <w:rFonts w:ascii="Times New Roman" w:eastAsia="Times New Roman" w:hAnsi="Times New Roman" w:cs="Times New Roman"/>
                <w:color w:val="000000"/>
                <w:lang w:eastAsia="en-GB"/>
              </w:rPr>
            </w:pPr>
          </w:p>
        </w:tc>
      </w:tr>
      <w:tr w:rsidR="00F17A0C" w:rsidRPr="00CE4C3C" w14:paraId="2C48C044" w14:textId="77777777" w:rsidTr="00CF4231">
        <w:tc>
          <w:tcPr>
            <w:tcW w:w="4412" w:type="dxa"/>
            <w:tcBorders>
              <w:top w:val="single" w:sz="4" w:space="0" w:color="auto"/>
              <w:left w:val="single" w:sz="4" w:space="0" w:color="auto"/>
              <w:bottom w:val="single" w:sz="4" w:space="0" w:color="auto"/>
              <w:right w:val="nil"/>
            </w:tcBorders>
            <w:shd w:val="clear" w:color="auto" w:fill="auto"/>
          </w:tcPr>
          <w:p w14:paraId="3A789543" w14:textId="77777777" w:rsidR="00F17A0C" w:rsidRPr="00CE4C3C"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Kvartilis (95 % PI)</w:t>
            </w:r>
          </w:p>
        </w:tc>
        <w:tc>
          <w:tcPr>
            <w:tcW w:w="2226" w:type="dxa"/>
            <w:tcBorders>
              <w:top w:val="single" w:sz="4" w:space="0" w:color="auto"/>
              <w:left w:val="nil"/>
              <w:bottom w:val="single" w:sz="4" w:space="0" w:color="auto"/>
              <w:right w:val="nil"/>
            </w:tcBorders>
            <w:shd w:val="clear" w:color="auto" w:fill="auto"/>
          </w:tcPr>
          <w:p w14:paraId="3F02F48C" w14:textId="77777777" w:rsidR="00F17A0C" w:rsidRPr="00CE4C3C" w:rsidRDefault="00F17A0C" w:rsidP="00CE4C3C">
            <w:pPr>
              <w:tabs>
                <w:tab w:val="left" w:pos="567"/>
              </w:tabs>
              <w:spacing w:line="240" w:lineRule="auto"/>
              <w:jc w:val="center"/>
              <w:rPr>
                <w:rFonts w:ascii="Times New Roman" w:eastAsia="Times New Roman" w:hAnsi="Times New Roman" w:cs="Times New Roman"/>
                <w:color w:val="000000"/>
                <w:lang w:eastAsia="en-GB"/>
              </w:rPr>
            </w:pPr>
          </w:p>
        </w:tc>
        <w:tc>
          <w:tcPr>
            <w:tcW w:w="2423" w:type="dxa"/>
            <w:gridSpan w:val="2"/>
            <w:tcBorders>
              <w:top w:val="single" w:sz="4" w:space="0" w:color="auto"/>
              <w:left w:val="nil"/>
              <w:bottom w:val="single" w:sz="4" w:space="0" w:color="auto"/>
              <w:right w:val="single" w:sz="4" w:space="0" w:color="auto"/>
            </w:tcBorders>
            <w:shd w:val="clear" w:color="auto" w:fill="auto"/>
          </w:tcPr>
          <w:p w14:paraId="6F6C6417" w14:textId="77777777" w:rsidR="00F17A0C" w:rsidRPr="00CE4C3C" w:rsidRDefault="00F17A0C" w:rsidP="00CE4C3C">
            <w:pPr>
              <w:tabs>
                <w:tab w:val="left" w:pos="567"/>
              </w:tabs>
              <w:spacing w:line="240" w:lineRule="auto"/>
              <w:jc w:val="center"/>
              <w:rPr>
                <w:rFonts w:ascii="Times New Roman" w:eastAsia="Times New Roman" w:hAnsi="Times New Roman" w:cs="Times New Roman"/>
                <w:color w:val="000000"/>
                <w:lang w:eastAsia="en-GB"/>
              </w:rPr>
            </w:pPr>
          </w:p>
        </w:tc>
      </w:tr>
      <w:tr w:rsidR="00F17A0C" w:rsidRPr="00CE4C3C" w14:paraId="678D5764" w14:textId="77777777" w:rsidTr="00CF4231">
        <w:tc>
          <w:tcPr>
            <w:tcW w:w="4412" w:type="dxa"/>
            <w:tcBorders>
              <w:top w:val="single" w:sz="4" w:space="0" w:color="auto"/>
            </w:tcBorders>
            <w:shd w:val="clear" w:color="auto" w:fill="auto"/>
          </w:tcPr>
          <w:p w14:paraId="7E04B88E" w14:textId="77777777" w:rsidR="00F17A0C" w:rsidRPr="00CE4C3C"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25 % </w:t>
            </w:r>
          </w:p>
        </w:tc>
        <w:tc>
          <w:tcPr>
            <w:tcW w:w="2226" w:type="dxa"/>
            <w:tcBorders>
              <w:top w:val="single" w:sz="4" w:space="0" w:color="auto"/>
            </w:tcBorders>
            <w:shd w:val="clear" w:color="auto" w:fill="auto"/>
          </w:tcPr>
          <w:p w14:paraId="16292736" w14:textId="77777777" w:rsidR="00F17A0C" w:rsidRPr="00CE4C3C"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56,6 (48,7, 68,4)</w:t>
            </w:r>
          </w:p>
        </w:tc>
        <w:tc>
          <w:tcPr>
            <w:tcW w:w="2423" w:type="dxa"/>
            <w:gridSpan w:val="2"/>
            <w:tcBorders>
              <w:top w:val="single" w:sz="4" w:space="0" w:color="auto"/>
            </w:tcBorders>
            <w:shd w:val="clear" w:color="auto" w:fill="auto"/>
          </w:tcPr>
          <w:p w14:paraId="43D1ED67" w14:textId="77777777" w:rsidR="00F17A0C" w:rsidRPr="00CE4C3C"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41,7 (32,6, 51,6)</w:t>
            </w:r>
          </w:p>
        </w:tc>
      </w:tr>
      <w:tr w:rsidR="00F17A0C" w:rsidRPr="00CE4C3C" w14:paraId="65701813" w14:textId="77777777" w:rsidTr="000417F6">
        <w:tc>
          <w:tcPr>
            <w:tcW w:w="4412" w:type="dxa"/>
            <w:shd w:val="clear" w:color="auto" w:fill="auto"/>
          </w:tcPr>
          <w:p w14:paraId="345E8267" w14:textId="77777777" w:rsidR="00F17A0C" w:rsidRPr="00CE4C3C"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50 %</w:t>
            </w:r>
          </w:p>
        </w:tc>
        <w:tc>
          <w:tcPr>
            <w:tcW w:w="2226" w:type="dxa"/>
            <w:shd w:val="clear" w:color="auto" w:fill="auto"/>
          </w:tcPr>
          <w:p w14:paraId="28BD728D" w14:textId="77777777" w:rsidR="00F17A0C" w:rsidRPr="00CE4C3C"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114,6 (100,1, 142,9)</w:t>
            </w:r>
          </w:p>
        </w:tc>
        <w:tc>
          <w:tcPr>
            <w:tcW w:w="2423" w:type="dxa"/>
            <w:gridSpan w:val="2"/>
            <w:shd w:val="clear" w:color="auto" w:fill="auto"/>
          </w:tcPr>
          <w:p w14:paraId="06E0497E" w14:textId="77777777" w:rsidR="00F17A0C" w:rsidRPr="00CE4C3C"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94,9 (77,7, 117,0)</w:t>
            </w:r>
          </w:p>
        </w:tc>
      </w:tr>
      <w:tr w:rsidR="00F17A0C" w:rsidRPr="00CE4C3C" w14:paraId="33311740" w14:textId="77777777" w:rsidTr="000417F6">
        <w:tc>
          <w:tcPr>
            <w:tcW w:w="4412" w:type="dxa"/>
            <w:shd w:val="clear" w:color="auto" w:fill="auto"/>
          </w:tcPr>
          <w:p w14:paraId="18587EAD" w14:textId="77777777" w:rsidR="00F17A0C" w:rsidRPr="00CE4C3C"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75 %</w:t>
            </w:r>
          </w:p>
        </w:tc>
        <w:tc>
          <w:tcPr>
            <w:tcW w:w="2226" w:type="dxa"/>
            <w:shd w:val="clear" w:color="auto" w:fill="auto"/>
          </w:tcPr>
          <w:p w14:paraId="16006A4C" w14:textId="77777777" w:rsidR="00F17A0C" w:rsidRPr="00CE4C3C"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ND (ND, ND)</w:t>
            </w:r>
          </w:p>
        </w:tc>
        <w:tc>
          <w:tcPr>
            <w:tcW w:w="2423" w:type="dxa"/>
            <w:gridSpan w:val="2"/>
            <w:shd w:val="clear" w:color="auto" w:fill="auto"/>
          </w:tcPr>
          <w:p w14:paraId="28FAA8F9" w14:textId="77777777" w:rsidR="00F17A0C" w:rsidRPr="00CE4C3C"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ND (ND, ND)</w:t>
            </w:r>
          </w:p>
        </w:tc>
      </w:tr>
      <w:tr w:rsidR="00F17A0C" w:rsidRPr="00CE4C3C" w14:paraId="5AFFD404" w14:textId="77777777" w:rsidTr="000417F6">
        <w:tc>
          <w:tcPr>
            <w:tcW w:w="9061" w:type="dxa"/>
            <w:gridSpan w:val="4"/>
            <w:shd w:val="clear" w:color="auto" w:fill="auto"/>
          </w:tcPr>
          <w:p w14:paraId="7D55ADF7" w14:textId="77777777" w:rsidR="00F17A0C" w:rsidRPr="00CE4C3C" w:rsidRDefault="00F17A0C" w:rsidP="00CE4C3C">
            <w:pPr>
              <w:tabs>
                <w:tab w:val="left" w:pos="567"/>
              </w:tabs>
              <w:spacing w:line="240" w:lineRule="auto"/>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Nesluoksniuotoji analizė</w:t>
            </w:r>
          </w:p>
        </w:tc>
      </w:tr>
      <w:tr w:rsidR="00F17A0C" w:rsidRPr="00CE4C3C" w14:paraId="45B7B9FC" w14:textId="77777777" w:rsidTr="000417F6">
        <w:tc>
          <w:tcPr>
            <w:tcW w:w="4412" w:type="dxa"/>
            <w:shd w:val="clear" w:color="auto" w:fill="auto"/>
          </w:tcPr>
          <w:p w14:paraId="23757DE3" w14:textId="77777777" w:rsidR="00CF4231" w:rsidRPr="00CE4C3C"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Santykinė rizika (sunitinibas, palyginti su</w:t>
            </w:r>
          </w:p>
          <w:p w14:paraId="6D6B3E89" w14:textId="77777777" w:rsidR="00F17A0C" w:rsidRPr="00CE4C3C"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lastRenderedPageBreak/>
              <w:t>IFN-α)</w:t>
            </w:r>
          </w:p>
        </w:tc>
        <w:tc>
          <w:tcPr>
            <w:tcW w:w="4649" w:type="dxa"/>
            <w:gridSpan w:val="3"/>
            <w:shd w:val="clear" w:color="auto" w:fill="auto"/>
          </w:tcPr>
          <w:p w14:paraId="464AFC24" w14:textId="77777777" w:rsidR="00F17A0C" w:rsidRPr="00CE4C3C"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lastRenderedPageBreak/>
              <w:t>0,8209</w:t>
            </w:r>
          </w:p>
        </w:tc>
      </w:tr>
      <w:tr w:rsidR="00F17A0C" w:rsidRPr="00CE4C3C" w14:paraId="239DFC5E" w14:textId="77777777" w:rsidTr="000417F6">
        <w:tc>
          <w:tcPr>
            <w:tcW w:w="4412" w:type="dxa"/>
            <w:shd w:val="clear" w:color="auto" w:fill="auto"/>
          </w:tcPr>
          <w:p w14:paraId="3466C846" w14:textId="77777777" w:rsidR="00F17A0C" w:rsidRPr="00CE4C3C"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Santykinės rizikos 95 % PI</w:t>
            </w:r>
          </w:p>
        </w:tc>
        <w:tc>
          <w:tcPr>
            <w:tcW w:w="4649" w:type="dxa"/>
            <w:gridSpan w:val="3"/>
            <w:shd w:val="clear" w:color="auto" w:fill="auto"/>
          </w:tcPr>
          <w:p w14:paraId="661DE318" w14:textId="77777777" w:rsidR="00F17A0C" w:rsidRPr="00CE4C3C"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(0,6730, 1,0013)</w:t>
            </w:r>
          </w:p>
        </w:tc>
      </w:tr>
      <w:tr w:rsidR="00F17A0C" w:rsidRPr="00CE4C3C" w14:paraId="576A2649" w14:textId="77777777" w:rsidTr="000417F6">
        <w:tc>
          <w:tcPr>
            <w:tcW w:w="4412" w:type="dxa"/>
            <w:shd w:val="clear" w:color="auto" w:fill="auto"/>
          </w:tcPr>
          <w:p w14:paraId="7EE76428" w14:textId="77777777" w:rsidR="00F17A0C" w:rsidRPr="00CE4C3C" w:rsidRDefault="00F17A0C" w:rsidP="00CE4C3C">
            <w:pPr>
              <w:tabs>
                <w:tab w:val="left" w:pos="567"/>
              </w:tabs>
              <w:spacing w:line="240" w:lineRule="auto"/>
              <w:jc w:val="both"/>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p-</w:t>
            </w:r>
            <w:proofErr w:type="spellStart"/>
            <w:r w:rsidRPr="00CE4C3C">
              <w:rPr>
                <w:rFonts w:ascii="Times New Roman" w:eastAsia="Times New Roman" w:hAnsi="Times New Roman" w:cs="Times New Roman"/>
                <w:color w:val="000000"/>
                <w:lang w:eastAsia="en-GB"/>
              </w:rPr>
              <w:t>reikšmė</w:t>
            </w:r>
            <w:r w:rsidRPr="00CE4C3C">
              <w:rPr>
                <w:rFonts w:ascii="Times New Roman" w:eastAsia="Times New Roman" w:hAnsi="Times New Roman" w:cs="Times New Roman"/>
                <w:color w:val="000000"/>
                <w:vertAlign w:val="superscript"/>
                <w:lang w:eastAsia="en-GB"/>
              </w:rPr>
              <w:t>a</w:t>
            </w:r>
            <w:proofErr w:type="spellEnd"/>
          </w:p>
        </w:tc>
        <w:tc>
          <w:tcPr>
            <w:tcW w:w="4649" w:type="dxa"/>
            <w:gridSpan w:val="3"/>
            <w:shd w:val="clear" w:color="auto" w:fill="auto"/>
          </w:tcPr>
          <w:p w14:paraId="0DFA53B6" w14:textId="77777777" w:rsidR="00F17A0C" w:rsidRPr="00CE4C3C" w:rsidRDefault="00F17A0C" w:rsidP="00CE4C3C">
            <w:pPr>
              <w:tabs>
                <w:tab w:val="left" w:pos="567"/>
              </w:tabs>
              <w:spacing w:line="240" w:lineRule="auto"/>
              <w:jc w:val="center"/>
              <w:rPr>
                <w:rFonts w:ascii="Times New Roman" w:eastAsia="Times New Roman" w:hAnsi="Times New Roman" w:cs="Times New Roman"/>
                <w:color w:val="000000"/>
                <w:lang w:eastAsia="en-GB"/>
              </w:rPr>
            </w:pPr>
            <w:r w:rsidRPr="00CE4C3C">
              <w:rPr>
                <w:rFonts w:ascii="Times New Roman" w:eastAsia="Times New Roman" w:hAnsi="Times New Roman" w:cs="Times New Roman"/>
                <w:color w:val="000000"/>
                <w:lang w:eastAsia="en-GB"/>
              </w:rPr>
              <w:t>0,0510</w:t>
            </w:r>
          </w:p>
        </w:tc>
      </w:tr>
    </w:tbl>
    <w:p w14:paraId="1E4BAF10" w14:textId="298E3D9D"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Santrumpos: PI = </w:t>
      </w:r>
      <w:proofErr w:type="spellStart"/>
      <w:r w:rsidRPr="00CE4C3C">
        <w:rPr>
          <w:rFonts w:ascii="Times New Roman" w:eastAsia="Calibri" w:hAnsi="Times New Roman" w:cs="Times New Roman"/>
        </w:rPr>
        <w:t>pasikliautinasis</w:t>
      </w:r>
      <w:proofErr w:type="spellEnd"/>
      <w:r w:rsidRPr="00CE4C3C">
        <w:rPr>
          <w:rFonts w:ascii="Times New Roman" w:eastAsia="Calibri" w:hAnsi="Times New Roman" w:cs="Times New Roman"/>
        </w:rPr>
        <w:t xml:space="preserve"> intervalas; INF-α = interferonas alfa; ITT = numatytų gydyti pacientų populiacija; N = pacientų skaičius, ND = nėra duomenų; BI = bendras išgyvenamumas; </w:t>
      </w:r>
    </w:p>
    <w:p w14:paraId="5887CBE8" w14:textId="7FFB1A7B"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I</w:t>
      </w:r>
      <w:r w:rsidR="009F0E8A">
        <w:rPr>
          <w:rFonts w:ascii="Times New Roman" w:eastAsia="Calibri" w:hAnsi="Times New Roman" w:cs="Times New Roman"/>
        </w:rPr>
        <w:t>BL</w:t>
      </w:r>
      <w:r w:rsidRPr="00CE4C3C">
        <w:rPr>
          <w:rFonts w:ascii="Times New Roman" w:eastAsia="Calibri" w:hAnsi="Times New Roman" w:cs="Times New Roman"/>
        </w:rPr>
        <w:t>P = išgyv</w:t>
      </w:r>
      <w:r w:rsidR="00CF4231" w:rsidRPr="00CE4C3C">
        <w:rPr>
          <w:rFonts w:ascii="Times New Roman" w:eastAsia="Calibri" w:hAnsi="Times New Roman" w:cs="Times New Roman"/>
        </w:rPr>
        <w:t>e</w:t>
      </w:r>
      <w:r w:rsidRPr="00CE4C3C">
        <w:rPr>
          <w:rFonts w:ascii="Times New Roman" w:eastAsia="Calibri" w:hAnsi="Times New Roman" w:cs="Times New Roman"/>
        </w:rPr>
        <w:t xml:space="preserve">namumas be </w:t>
      </w:r>
      <w:r w:rsidR="009F0E8A">
        <w:rPr>
          <w:rFonts w:ascii="Times New Roman" w:eastAsia="Calibri" w:hAnsi="Times New Roman" w:cs="Times New Roman"/>
        </w:rPr>
        <w:t>ligos</w:t>
      </w:r>
      <w:r w:rsidRPr="00CE4C3C">
        <w:rPr>
          <w:rFonts w:ascii="Times New Roman" w:eastAsia="Calibri" w:hAnsi="Times New Roman" w:cs="Times New Roman"/>
        </w:rPr>
        <w:t xml:space="preserve"> progresavimo</w:t>
      </w:r>
    </w:p>
    <w:p w14:paraId="6CA66DFA" w14:textId="77777777" w:rsidR="00F17A0C" w:rsidRPr="00CE4C3C" w:rsidRDefault="00F17A0C" w:rsidP="00CE4C3C">
      <w:pPr>
        <w:spacing w:line="240" w:lineRule="auto"/>
        <w:ind w:left="142"/>
        <w:rPr>
          <w:rFonts w:ascii="Times New Roman" w:eastAsia="Calibri" w:hAnsi="Times New Roman" w:cs="Times New Roman"/>
        </w:rPr>
      </w:pPr>
      <w:r w:rsidRPr="00CE4C3C">
        <w:rPr>
          <w:rFonts w:ascii="Times New Roman" w:eastAsia="Calibri" w:hAnsi="Times New Roman" w:cs="Times New Roman"/>
          <w:vertAlign w:val="superscript"/>
        </w:rPr>
        <w:t>a</w:t>
      </w:r>
      <w:r w:rsidR="00CF4231" w:rsidRPr="00CE4C3C">
        <w:rPr>
          <w:rFonts w:ascii="Times New Roman" w:eastAsia="Calibri" w:hAnsi="Times New Roman" w:cs="Times New Roman"/>
          <w:vertAlign w:val="superscript"/>
        </w:rPr>
        <w:t xml:space="preserve"> </w:t>
      </w:r>
      <w:r w:rsidRPr="00CE4C3C">
        <w:rPr>
          <w:rFonts w:ascii="Times New Roman" w:eastAsia="Calibri" w:hAnsi="Times New Roman" w:cs="Times New Roman"/>
        </w:rPr>
        <w:t xml:space="preserve">Pagal dvipusį logaritminio rango kriterijų. </w:t>
      </w:r>
    </w:p>
    <w:p w14:paraId="47D602D6" w14:textId="77777777" w:rsidR="00F17A0C" w:rsidRPr="00CE4C3C" w:rsidRDefault="00F17A0C" w:rsidP="00CE4C3C">
      <w:pPr>
        <w:spacing w:line="240" w:lineRule="auto"/>
        <w:rPr>
          <w:rFonts w:ascii="Times New Roman" w:eastAsia="Calibri" w:hAnsi="Times New Roman" w:cs="Times New Roman"/>
        </w:rPr>
      </w:pPr>
    </w:p>
    <w:p w14:paraId="78379EAF" w14:textId="77777777" w:rsidR="00F17A0C" w:rsidRPr="00CE4C3C" w:rsidRDefault="00F17A0C" w:rsidP="00CE4C3C">
      <w:pPr>
        <w:spacing w:line="240" w:lineRule="auto"/>
        <w:rPr>
          <w:rFonts w:ascii="Times New Roman" w:eastAsia="Calibri" w:hAnsi="Times New Roman" w:cs="Times New Roman"/>
          <w:i/>
        </w:rPr>
      </w:pPr>
      <w:proofErr w:type="spellStart"/>
      <w:r w:rsidRPr="00CE4C3C">
        <w:rPr>
          <w:rFonts w:ascii="Times New Roman" w:eastAsia="Calibri" w:hAnsi="Times New Roman" w:cs="Times New Roman"/>
          <w:i/>
        </w:rPr>
        <w:t>Citokinams</w:t>
      </w:r>
      <w:proofErr w:type="spellEnd"/>
      <w:r w:rsidRPr="00CE4C3C">
        <w:rPr>
          <w:rFonts w:ascii="Times New Roman" w:eastAsia="Calibri" w:hAnsi="Times New Roman" w:cs="Times New Roman"/>
          <w:i/>
        </w:rPr>
        <w:t xml:space="preserve"> atsparus </w:t>
      </w:r>
      <w:proofErr w:type="spellStart"/>
      <w:r w:rsidRPr="00CE4C3C">
        <w:rPr>
          <w:rFonts w:ascii="Times New Roman" w:eastAsia="Calibri" w:hAnsi="Times New Roman" w:cs="Times New Roman"/>
          <w:i/>
        </w:rPr>
        <w:t>metastazavęs</w:t>
      </w:r>
      <w:proofErr w:type="spellEnd"/>
      <w:r w:rsidRPr="00CE4C3C">
        <w:rPr>
          <w:rFonts w:ascii="Times New Roman" w:eastAsia="Calibri" w:hAnsi="Times New Roman" w:cs="Times New Roman"/>
          <w:i/>
        </w:rPr>
        <w:t xml:space="preserve"> inkstų ląstelių vėžys </w:t>
      </w:r>
    </w:p>
    <w:p w14:paraId="08CFA2B4" w14:textId="5F33DC63"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Atliktas II fazės sunitinibo tyrimas, kuriame dalyvavo pacientai, kurių navikas buvo atsparus ankstesnei </w:t>
      </w:r>
      <w:proofErr w:type="spellStart"/>
      <w:r w:rsidRPr="00CE4C3C">
        <w:rPr>
          <w:rFonts w:ascii="Times New Roman" w:eastAsia="Calibri" w:hAnsi="Times New Roman" w:cs="Times New Roman"/>
        </w:rPr>
        <w:t>citokinų</w:t>
      </w:r>
      <w:proofErr w:type="spellEnd"/>
      <w:r w:rsidRPr="00CE4C3C">
        <w:rPr>
          <w:rFonts w:ascii="Times New Roman" w:eastAsia="Calibri" w:hAnsi="Times New Roman" w:cs="Times New Roman"/>
        </w:rPr>
        <w:t xml:space="preserve"> terapijai gydant </w:t>
      </w:r>
      <w:proofErr w:type="spellStart"/>
      <w:r w:rsidRPr="00CE4C3C">
        <w:rPr>
          <w:rFonts w:ascii="Times New Roman" w:eastAsia="Calibri" w:hAnsi="Times New Roman" w:cs="Times New Roman"/>
        </w:rPr>
        <w:t>interleukinu</w:t>
      </w:r>
      <w:proofErr w:type="spellEnd"/>
      <w:r w:rsidRPr="00CE4C3C">
        <w:rPr>
          <w:rFonts w:ascii="Times New Roman" w:eastAsia="Calibri" w:hAnsi="Times New Roman" w:cs="Times New Roman"/>
        </w:rPr>
        <w:t xml:space="preserve"> 2 arba IFN-α. Iš pradžių 63 pacientai 4 savaites iš eilės gėrė po 50 mg sunitinibo vieną kartą per parą, po to darė 2 savaičių pertrauką, taigi buvo pilnas 6</w:t>
      </w:r>
      <w:r w:rsidR="009F0E8A">
        <w:rPr>
          <w:rFonts w:ascii="Times New Roman" w:eastAsia="Calibri" w:hAnsi="Times New Roman" w:cs="Times New Roman"/>
        </w:rPr>
        <w:t> </w:t>
      </w:r>
      <w:r w:rsidRPr="00CE4C3C">
        <w:rPr>
          <w:rFonts w:ascii="Times New Roman" w:eastAsia="Calibri" w:hAnsi="Times New Roman" w:cs="Times New Roman"/>
        </w:rPr>
        <w:t xml:space="preserve">savaičių ciklas (4/2 planas). Pirminė veiksmingumo vertinamoji baigtis buvo OAD pagal </w:t>
      </w:r>
      <w:proofErr w:type="spellStart"/>
      <w:r w:rsidRPr="00CE4C3C">
        <w:rPr>
          <w:rFonts w:ascii="Times New Roman" w:eastAsia="Calibri" w:hAnsi="Times New Roman" w:cs="Times New Roman"/>
        </w:rPr>
        <w:t>solidinių</w:t>
      </w:r>
      <w:proofErr w:type="spellEnd"/>
      <w:r w:rsidRPr="00CE4C3C">
        <w:rPr>
          <w:rFonts w:ascii="Times New Roman" w:eastAsia="Calibri" w:hAnsi="Times New Roman" w:cs="Times New Roman"/>
        </w:rPr>
        <w:t xml:space="preserve"> navikų atsako vertinimo kriterijus (angl. </w:t>
      </w:r>
      <w:proofErr w:type="spellStart"/>
      <w:r w:rsidRPr="00CE4C3C">
        <w:rPr>
          <w:rFonts w:ascii="Times New Roman" w:eastAsia="Calibri" w:hAnsi="Times New Roman" w:cs="Times New Roman"/>
          <w:i/>
        </w:rPr>
        <w:t>Response</w:t>
      </w:r>
      <w:proofErr w:type="spellEnd"/>
      <w:r w:rsidRPr="00CE4C3C">
        <w:rPr>
          <w:rFonts w:ascii="Times New Roman" w:eastAsia="Calibri" w:hAnsi="Times New Roman" w:cs="Times New Roman"/>
          <w:i/>
        </w:rPr>
        <w:t xml:space="preserve"> </w:t>
      </w:r>
      <w:proofErr w:type="spellStart"/>
      <w:r w:rsidRPr="00CE4C3C">
        <w:rPr>
          <w:rFonts w:ascii="Times New Roman" w:eastAsia="Calibri" w:hAnsi="Times New Roman" w:cs="Times New Roman"/>
          <w:i/>
        </w:rPr>
        <w:t>Evaluation</w:t>
      </w:r>
      <w:proofErr w:type="spellEnd"/>
      <w:r w:rsidRPr="00CE4C3C">
        <w:rPr>
          <w:rFonts w:ascii="Times New Roman" w:eastAsia="Calibri" w:hAnsi="Times New Roman" w:cs="Times New Roman"/>
          <w:i/>
        </w:rPr>
        <w:t xml:space="preserve"> </w:t>
      </w:r>
      <w:proofErr w:type="spellStart"/>
      <w:r w:rsidRPr="00CE4C3C">
        <w:rPr>
          <w:rFonts w:ascii="Times New Roman" w:eastAsia="Calibri" w:hAnsi="Times New Roman" w:cs="Times New Roman"/>
          <w:i/>
        </w:rPr>
        <w:t>Criteria</w:t>
      </w:r>
      <w:proofErr w:type="spellEnd"/>
      <w:r w:rsidRPr="00CE4C3C">
        <w:rPr>
          <w:rFonts w:ascii="Times New Roman" w:eastAsia="Calibri" w:hAnsi="Times New Roman" w:cs="Times New Roman"/>
          <w:i/>
        </w:rPr>
        <w:t xml:space="preserve"> </w:t>
      </w:r>
      <w:proofErr w:type="spellStart"/>
      <w:r w:rsidRPr="00CE4C3C">
        <w:rPr>
          <w:rFonts w:ascii="Times New Roman" w:eastAsia="Calibri" w:hAnsi="Times New Roman" w:cs="Times New Roman"/>
          <w:i/>
        </w:rPr>
        <w:t>in</w:t>
      </w:r>
      <w:proofErr w:type="spellEnd"/>
      <w:r w:rsidRPr="00CE4C3C">
        <w:rPr>
          <w:rFonts w:ascii="Times New Roman" w:eastAsia="Calibri" w:hAnsi="Times New Roman" w:cs="Times New Roman"/>
          <w:i/>
        </w:rPr>
        <w:t xml:space="preserve"> </w:t>
      </w:r>
      <w:proofErr w:type="spellStart"/>
      <w:r w:rsidRPr="00CE4C3C">
        <w:rPr>
          <w:rFonts w:ascii="Times New Roman" w:eastAsia="Calibri" w:hAnsi="Times New Roman" w:cs="Times New Roman"/>
          <w:i/>
        </w:rPr>
        <w:t>Solid</w:t>
      </w:r>
      <w:proofErr w:type="spellEnd"/>
      <w:r w:rsidRPr="00CE4C3C">
        <w:rPr>
          <w:rFonts w:ascii="Times New Roman" w:eastAsia="Calibri" w:hAnsi="Times New Roman" w:cs="Times New Roman"/>
          <w:i/>
        </w:rPr>
        <w:t xml:space="preserve"> </w:t>
      </w:r>
      <w:proofErr w:type="spellStart"/>
      <w:r w:rsidRPr="00CE4C3C">
        <w:rPr>
          <w:rFonts w:ascii="Times New Roman" w:eastAsia="Calibri" w:hAnsi="Times New Roman" w:cs="Times New Roman"/>
          <w:i/>
        </w:rPr>
        <w:t>Tumors</w:t>
      </w:r>
      <w:proofErr w:type="spellEnd"/>
      <w:r w:rsidRPr="00CE4C3C">
        <w:rPr>
          <w:rFonts w:ascii="Times New Roman" w:eastAsia="Calibri" w:hAnsi="Times New Roman" w:cs="Times New Roman"/>
          <w:i/>
        </w:rPr>
        <w:t xml:space="preserve">, </w:t>
      </w:r>
      <w:r w:rsidRPr="00CE4C3C">
        <w:rPr>
          <w:rFonts w:ascii="Times New Roman" w:eastAsia="Calibri" w:hAnsi="Times New Roman" w:cs="Times New Roman"/>
        </w:rPr>
        <w:t>RECIST).</w:t>
      </w:r>
    </w:p>
    <w:p w14:paraId="20A18213" w14:textId="77777777" w:rsidR="00F17A0C" w:rsidRPr="00CE4C3C" w:rsidRDefault="00F17A0C" w:rsidP="00CE4C3C">
      <w:pPr>
        <w:spacing w:line="240" w:lineRule="auto"/>
        <w:rPr>
          <w:rFonts w:ascii="Times New Roman" w:eastAsia="Calibri" w:hAnsi="Times New Roman" w:cs="Times New Roman"/>
        </w:rPr>
      </w:pPr>
    </w:p>
    <w:p w14:paraId="6F07CC98" w14:textId="639ABDF8"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Šio tyrimo duomenimis, objektyvaus atsako dažnis buvo 36,5 % (95 % PI: 24,7 %, 49,6 %), o laik</w:t>
      </w:r>
      <w:r w:rsidR="009F0E8A">
        <w:rPr>
          <w:rFonts w:ascii="Times New Roman" w:eastAsia="Calibri" w:hAnsi="Times New Roman" w:cs="Times New Roman"/>
        </w:rPr>
        <w:t>as</w:t>
      </w:r>
      <w:r w:rsidRPr="00CE4C3C">
        <w:rPr>
          <w:rFonts w:ascii="Times New Roman" w:eastAsia="Calibri" w:hAnsi="Times New Roman" w:cs="Times New Roman"/>
        </w:rPr>
        <w:t xml:space="preserve"> iki naviko progresavimo (L</w:t>
      </w:r>
      <w:r w:rsidR="009F0E8A">
        <w:rPr>
          <w:rFonts w:ascii="Times New Roman" w:eastAsia="Calibri" w:hAnsi="Times New Roman" w:cs="Times New Roman"/>
        </w:rPr>
        <w:t>I</w:t>
      </w:r>
      <w:r w:rsidRPr="00CE4C3C">
        <w:rPr>
          <w:rFonts w:ascii="Times New Roman" w:eastAsia="Calibri" w:hAnsi="Times New Roman" w:cs="Times New Roman"/>
        </w:rPr>
        <w:t>NP) mediana –</w:t>
      </w:r>
      <w:r w:rsidR="00CF4231" w:rsidRPr="00CE4C3C">
        <w:rPr>
          <w:rFonts w:ascii="Times New Roman" w:eastAsia="Calibri" w:hAnsi="Times New Roman" w:cs="Times New Roman"/>
        </w:rPr>
        <w:t xml:space="preserve"> </w:t>
      </w:r>
      <w:r w:rsidRPr="00CE4C3C">
        <w:rPr>
          <w:rFonts w:ascii="Times New Roman" w:eastAsia="Calibri" w:hAnsi="Times New Roman" w:cs="Times New Roman"/>
        </w:rPr>
        <w:t xml:space="preserve">37,7 savaitės (95 % PI: 24,0, 46,4 savaitės). </w:t>
      </w:r>
    </w:p>
    <w:p w14:paraId="1940DE2E" w14:textId="77777777" w:rsidR="00F17A0C" w:rsidRPr="00CE4C3C" w:rsidRDefault="00F17A0C" w:rsidP="00CE4C3C">
      <w:pPr>
        <w:spacing w:line="240" w:lineRule="auto"/>
        <w:rPr>
          <w:rFonts w:ascii="Times New Roman" w:eastAsia="Calibri" w:hAnsi="Times New Roman" w:cs="Times New Roman"/>
        </w:rPr>
      </w:pPr>
    </w:p>
    <w:p w14:paraId="68984108" w14:textId="4276C489"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Atliktas pagrindžiamasis atviras vienos grupės </w:t>
      </w:r>
      <w:proofErr w:type="spellStart"/>
      <w:r w:rsidRPr="00CE4C3C">
        <w:rPr>
          <w:rFonts w:ascii="Times New Roman" w:eastAsia="Calibri" w:hAnsi="Times New Roman" w:cs="Times New Roman"/>
        </w:rPr>
        <w:t>daugiacentris</w:t>
      </w:r>
      <w:proofErr w:type="spellEnd"/>
      <w:r w:rsidRPr="00CE4C3C">
        <w:rPr>
          <w:rFonts w:ascii="Times New Roman" w:eastAsia="Calibri" w:hAnsi="Times New Roman" w:cs="Times New Roman"/>
        </w:rPr>
        <w:t xml:space="preserve"> tyrimas, kuriuo buvo vertinama, ar veiksminga ir saugu gydyti sunitinibu pacientus, sergančius MILK, atspariu ankstesniam gydymui </w:t>
      </w:r>
      <w:proofErr w:type="spellStart"/>
      <w:r w:rsidRPr="00CE4C3C">
        <w:rPr>
          <w:rFonts w:ascii="Times New Roman" w:eastAsia="Calibri" w:hAnsi="Times New Roman" w:cs="Times New Roman"/>
        </w:rPr>
        <w:t>citokinais</w:t>
      </w:r>
      <w:proofErr w:type="spellEnd"/>
      <w:r w:rsidRPr="00CE4C3C">
        <w:rPr>
          <w:rFonts w:ascii="Times New Roman" w:eastAsia="Calibri" w:hAnsi="Times New Roman" w:cs="Times New Roman"/>
        </w:rPr>
        <w:t xml:space="preserve">. 106 pacientai gydyti mažiausiai viena 50 mg sunitinibo doze pagal 4/2 planą. </w:t>
      </w:r>
    </w:p>
    <w:p w14:paraId="3403C432" w14:textId="77777777" w:rsidR="00F17A0C" w:rsidRPr="00CE4C3C" w:rsidRDefault="00F17A0C" w:rsidP="00CE4C3C">
      <w:pPr>
        <w:spacing w:line="240" w:lineRule="auto"/>
        <w:rPr>
          <w:rFonts w:ascii="Times New Roman" w:eastAsia="Calibri" w:hAnsi="Times New Roman" w:cs="Times New Roman"/>
        </w:rPr>
      </w:pPr>
    </w:p>
    <w:p w14:paraId="0F8A8869" w14:textId="77777777" w:rsidR="00F17A0C" w:rsidRPr="00CE4C3C" w:rsidRDefault="00F17A0C" w:rsidP="00CE4C3C">
      <w:pPr>
        <w:spacing w:line="240" w:lineRule="auto"/>
        <w:rPr>
          <w:rFonts w:ascii="Times New Roman" w:eastAsia="Calibri" w:hAnsi="Times New Roman" w:cs="Times New Roman"/>
        </w:rPr>
      </w:pPr>
      <w:r w:rsidRPr="00CE4C3C">
        <w:rPr>
          <w:rFonts w:ascii="Times New Roman" w:eastAsia="Calibri" w:hAnsi="Times New Roman" w:cs="Times New Roman"/>
        </w:rPr>
        <w:t>Šio tyrimo pirminė vertinamoji baigtis buvo OAD. Antrinės vertinamosios baigtys: laikotarpis iki naviko progresavimo (L</w:t>
      </w:r>
      <w:r w:rsidR="009F0E8A">
        <w:rPr>
          <w:rFonts w:ascii="Times New Roman" w:eastAsia="Calibri" w:hAnsi="Times New Roman" w:cs="Times New Roman"/>
        </w:rPr>
        <w:t>I</w:t>
      </w:r>
      <w:r w:rsidRPr="00CE4C3C">
        <w:rPr>
          <w:rFonts w:ascii="Times New Roman" w:eastAsia="Calibri" w:hAnsi="Times New Roman" w:cs="Times New Roman"/>
        </w:rPr>
        <w:t>NP), atsako trukmė (AT) ir BI.</w:t>
      </w:r>
    </w:p>
    <w:p w14:paraId="509FDA3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Šio tyrimo duomenimis, OAD buvo –</w:t>
      </w:r>
      <w:r w:rsidR="00EA2788" w:rsidRPr="00CE4C3C">
        <w:rPr>
          <w:rFonts w:ascii="Times New Roman" w:eastAsia="Times New Roman" w:hAnsi="Times New Roman" w:cs="Times New Roman"/>
          <w:lang w:eastAsia="lt-LT" w:bidi="lt-LT"/>
        </w:rPr>
        <w:t xml:space="preserve"> </w:t>
      </w:r>
      <w:r w:rsidRPr="00CE4C3C">
        <w:rPr>
          <w:rFonts w:ascii="Times New Roman" w:eastAsia="Times New Roman" w:hAnsi="Times New Roman" w:cs="Times New Roman"/>
          <w:lang w:eastAsia="lt-LT" w:bidi="lt-LT"/>
        </w:rPr>
        <w:t>35,8 % (95 % PI: 26,8 %, 47,5 %). AT ir BI mediana iki šiol nepasiekta.</w:t>
      </w:r>
    </w:p>
    <w:p w14:paraId="1F845BE9" w14:textId="77777777" w:rsidR="00F17A0C" w:rsidRPr="00CE4C3C" w:rsidRDefault="00F17A0C" w:rsidP="00CE4C3C">
      <w:pPr>
        <w:tabs>
          <w:tab w:val="left" w:pos="567"/>
        </w:tabs>
        <w:spacing w:line="240" w:lineRule="auto"/>
        <w:rPr>
          <w:rFonts w:ascii="Times New Roman" w:eastAsia="Times New Roman" w:hAnsi="Times New Roman" w:cs="Times New Roman"/>
          <w:highlight w:val="yellow"/>
          <w:lang w:eastAsia="lt-LT" w:bidi="lt-LT"/>
        </w:rPr>
      </w:pPr>
    </w:p>
    <w:p w14:paraId="33C6B5E3" w14:textId="77777777" w:rsidR="00F17A0C" w:rsidRPr="00CE4C3C" w:rsidRDefault="00F17A0C" w:rsidP="00CE4C3C">
      <w:pPr>
        <w:tabs>
          <w:tab w:val="left" w:pos="567"/>
        </w:tabs>
        <w:spacing w:line="240" w:lineRule="auto"/>
        <w:rPr>
          <w:rFonts w:ascii="Times New Roman" w:eastAsia="Times New Roman" w:hAnsi="Times New Roman" w:cs="Times New Roman"/>
          <w:i/>
          <w:lang w:eastAsia="lt-LT" w:bidi="lt-LT"/>
        </w:rPr>
      </w:pPr>
      <w:r w:rsidRPr="00CE4C3C">
        <w:rPr>
          <w:rFonts w:ascii="Times New Roman" w:eastAsia="Times New Roman" w:hAnsi="Times New Roman" w:cs="Times New Roman"/>
          <w:i/>
          <w:lang w:eastAsia="lt-LT" w:bidi="lt-LT"/>
        </w:rPr>
        <w:t xml:space="preserve">Kasos </w:t>
      </w:r>
      <w:proofErr w:type="spellStart"/>
      <w:r w:rsidRPr="00CE4C3C">
        <w:rPr>
          <w:rFonts w:ascii="Times New Roman" w:eastAsia="Times New Roman" w:hAnsi="Times New Roman" w:cs="Times New Roman"/>
          <w:i/>
          <w:lang w:eastAsia="lt-LT" w:bidi="lt-LT"/>
        </w:rPr>
        <w:t>neuroendokrini</w:t>
      </w:r>
      <w:r w:rsidR="00EA2788" w:rsidRPr="00CE4C3C">
        <w:rPr>
          <w:rFonts w:ascii="Times New Roman" w:eastAsia="Times New Roman" w:hAnsi="Times New Roman" w:cs="Times New Roman"/>
          <w:i/>
          <w:lang w:eastAsia="lt-LT" w:bidi="lt-LT"/>
        </w:rPr>
        <w:t>ni</w:t>
      </w:r>
      <w:r w:rsidRPr="00CE4C3C">
        <w:rPr>
          <w:rFonts w:ascii="Times New Roman" w:eastAsia="Times New Roman" w:hAnsi="Times New Roman" w:cs="Times New Roman"/>
          <w:i/>
          <w:lang w:eastAsia="lt-LT" w:bidi="lt-LT"/>
        </w:rPr>
        <w:t>ai</w:t>
      </w:r>
      <w:proofErr w:type="spellEnd"/>
      <w:r w:rsidRPr="00CE4C3C">
        <w:rPr>
          <w:rFonts w:ascii="Times New Roman" w:eastAsia="Times New Roman" w:hAnsi="Times New Roman" w:cs="Times New Roman"/>
          <w:i/>
          <w:lang w:eastAsia="lt-LT" w:bidi="lt-LT"/>
        </w:rPr>
        <w:t xml:space="preserve"> navikai </w:t>
      </w:r>
    </w:p>
    <w:p w14:paraId="693CA0CD" w14:textId="04A4131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Palaikomojo II fazės atvirojo </w:t>
      </w:r>
      <w:proofErr w:type="spellStart"/>
      <w:r w:rsidRPr="00CE4C3C">
        <w:rPr>
          <w:rFonts w:ascii="Times New Roman" w:eastAsia="Times New Roman" w:hAnsi="Times New Roman" w:cs="Times New Roman"/>
          <w:lang w:eastAsia="lt-LT" w:bidi="lt-LT"/>
        </w:rPr>
        <w:t>daugiacentrio</w:t>
      </w:r>
      <w:proofErr w:type="spellEnd"/>
      <w:r w:rsidRPr="00CE4C3C">
        <w:rPr>
          <w:rFonts w:ascii="Times New Roman" w:eastAsia="Times New Roman" w:hAnsi="Times New Roman" w:cs="Times New Roman"/>
          <w:lang w:eastAsia="lt-LT" w:bidi="lt-LT"/>
        </w:rPr>
        <w:t xml:space="preserve"> klinikinio tyrimo metu buvo įvertintas vienintelio vaistinio preparato sunitinibo 50 mg dozės per parą, vartojamos pagal 4/2 planą, veiksmingumas ir saugumas pacientams, sergantiems neoperuo</w:t>
      </w:r>
      <w:r w:rsidR="009F0E8A">
        <w:rPr>
          <w:rFonts w:ascii="Times New Roman" w:eastAsia="Times New Roman" w:hAnsi="Times New Roman" w:cs="Times New Roman"/>
          <w:lang w:eastAsia="lt-LT" w:bidi="lt-LT"/>
        </w:rPr>
        <w:t>tinu</w:t>
      </w:r>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kNEN</w:t>
      </w:r>
      <w:proofErr w:type="spellEnd"/>
      <w:r w:rsidRPr="00CE4C3C">
        <w:rPr>
          <w:rFonts w:ascii="Times New Roman" w:eastAsia="Times New Roman" w:hAnsi="Times New Roman" w:cs="Times New Roman"/>
          <w:lang w:eastAsia="lt-LT" w:bidi="lt-LT"/>
        </w:rPr>
        <w:t>. Kasos salelės ląstelių naviko grupėje buvo 66 pacientai, pirminės vertinamosios baigties atsako dažnis buvo 17 %.</w:t>
      </w:r>
    </w:p>
    <w:p w14:paraId="55F1C26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36BC7CEE" w14:textId="5B7FE5CB"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Pagrindiniame III fazės </w:t>
      </w:r>
      <w:proofErr w:type="spellStart"/>
      <w:r w:rsidRPr="00CE4C3C">
        <w:rPr>
          <w:rFonts w:ascii="Times New Roman" w:eastAsia="Times New Roman" w:hAnsi="Times New Roman" w:cs="Times New Roman"/>
          <w:lang w:eastAsia="lt-LT" w:bidi="lt-LT"/>
        </w:rPr>
        <w:t>daugiacentriame</w:t>
      </w:r>
      <w:proofErr w:type="spellEnd"/>
      <w:r w:rsidRPr="00CE4C3C">
        <w:rPr>
          <w:rFonts w:ascii="Times New Roman" w:eastAsia="Times New Roman" w:hAnsi="Times New Roman" w:cs="Times New Roman"/>
          <w:lang w:eastAsia="lt-LT" w:bidi="lt-LT"/>
        </w:rPr>
        <w:t xml:space="preserve"> dvigubai </w:t>
      </w:r>
      <w:r w:rsidR="009F0E8A">
        <w:rPr>
          <w:rFonts w:ascii="Times New Roman" w:eastAsia="Times New Roman" w:hAnsi="Times New Roman" w:cs="Times New Roman"/>
          <w:lang w:eastAsia="lt-LT" w:bidi="lt-LT"/>
        </w:rPr>
        <w:t>koduotu</w:t>
      </w:r>
      <w:r w:rsidRPr="00CE4C3C">
        <w:rPr>
          <w:rFonts w:ascii="Times New Roman" w:eastAsia="Times New Roman" w:hAnsi="Times New Roman" w:cs="Times New Roman"/>
          <w:lang w:eastAsia="lt-LT" w:bidi="lt-LT"/>
        </w:rPr>
        <w:t xml:space="preserve"> būdu atliktame tarptautiniame atsitiktinių imčių placebu kontroliuojamajame vienintelio vaistinio preparato sunitinibo tyrime dalyvavo pacientai, sergantys neoperuo</w:t>
      </w:r>
      <w:r w:rsidR="009F0E8A">
        <w:rPr>
          <w:rFonts w:ascii="Times New Roman" w:eastAsia="Times New Roman" w:hAnsi="Times New Roman" w:cs="Times New Roman"/>
          <w:lang w:eastAsia="lt-LT" w:bidi="lt-LT"/>
        </w:rPr>
        <w:t>tinu</w:t>
      </w:r>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kNEN</w:t>
      </w:r>
      <w:proofErr w:type="spellEnd"/>
      <w:r w:rsidRPr="00CE4C3C">
        <w:rPr>
          <w:rFonts w:ascii="Times New Roman" w:eastAsia="Times New Roman" w:hAnsi="Times New Roman" w:cs="Times New Roman"/>
          <w:lang w:eastAsia="lt-LT" w:bidi="lt-LT"/>
        </w:rPr>
        <w:t>.</w:t>
      </w:r>
    </w:p>
    <w:p w14:paraId="78118C2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543B92C2" w14:textId="549F8C3D"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Pacientai, kuriems remiantis </w:t>
      </w:r>
      <w:proofErr w:type="spellStart"/>
      <w:r w:rsidRPr="00CE4C3C">
        <w:rPr>
          <w:rFonts w:ascii="Times New Roman" w:eastAsia="Times New Roman" w:hAnsi="Times New Roman" w:cs="Times New Roman"/>
          <w:lang w:eastAsia="lt-LT" w:bidi="lt-LT"/>
        </w:rPr>
        <w:t>solidinių</w:t>
      </w:r>
      <w:proofErr w:type="spellEnd"/>
      <w:r w:rsidRPr="00CE4C3C">
        <w:rPr>
          <w:rFonts w:ascii="Times New Roman" w:eastAsia="Times New Roman" w:hAnsi="Times New Roman" w:cs="Times New Roman"/>
          <w:lang w:eastAsia="lt-LT" w:bidi="lt-LT"/>
        </w:rPr>
        <w:t xml:space="preserve"> navikų atsako įvertinimo kriterijais (angl.</w:t>
      </w:r>
      <w:r w:rsidRPr="00CE4C3C">
        <w:rPr>
          <w:rFonts w:ascii="Times New Roman" w:eastAsia="Times New Roman" w:hAnsi="Times New Roman" w:cs="Times New Roman"/>
          <w:i/>
          <w:lang w:eastAsia="lt-LT" w:bidi="lt-LT"/>
        </w:rPr>
        <w:t xml:space="preserve"> </w:t>
      </w:r>
      <w:r w:rsidRPr="00CE4C3C">
        <w:rPr>
          <w:rFonts w:ascii="Times New Roman" w:eastAsia="Times New Roman" w:hAnsi="Times New Roman" w:cs="Times New Roman"/>
          <w:lang w:eastAsia="lt-LT" w:bidi="lt-LT"/>
        </w:rPr>
        <w:t>RECIST), buvo patvirtintas ligos progresavimas per ankstesnius 12 mėnesių, atsitiktiniu būdu buvo suskirstyti į grupes (1:1) ir vartojo arba 37,5 mg sunitinibo vieną kartą per parą be planuotos pertraukos (n=86), arba placebo (n=85).</w:t>
      </w:r>
    </w:p>
    <w:p w14:paraId="0C79F26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3D55D9D3" w14:textId="07D3E4CB"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Pirminė vertinamoji baigtis buvo </w:t>
      </w:r>
      <w:proofErr w:type="spellStart"/>
      <w:r w:rsidRPr="00CE4C3C">
        <w:rPr>
          <w:rFonts w:ascii="Times New Roman" w:eastAsia="Times New Roman" w:hAnsi="Times New Roman" w:cs="Times New Roman"/>
          <w:lang w:eastAsia="lt-LT" w:bidi="lt-LT"/>
        </w:rPr>
        <w:t>sunitinibą</w:t>
      </w:r>
      <w:proofErr w:type="spellEnd"/>
      <w:r w:rsidRPr="00CE4C3C">
        <w:rPr>
          <w:rFonts w:ascii="Times New Roman" w:eastAsia="Times New Roman" w:hAnsi="Times New Roman" w:cs="Times New Roman"/>
          <w:lang w:eastAsia="lt-LT" w:bidi="lt-LT"/>
        </w:rPr>
        <w:t xml:space="preserve"> vartojančių pacientų I</w:t>
      </w:r>
      <w:r w:rsidR="009F0E8A">
        <w:rPr>
          <w:rFonts w:ascii="Times New Roman" w:eastAsia="Times New Roman" w:hAnsi="Times New Roman" w:cs="Times New Roman"/>
          <w:lang w:eastAsia="lt-LT" w:bidi="lt-LT"/>
        </w:rPr>
        <w:t>BL</w:t>
      </w:r>
      <w:r w:rsidRPr="00CE4C3C">
        <w:rPr>
          <w:rFonts w:ascii="Times New Roman" w:eastAsia="Times New Roman" w:hAnsi="Times New Roman" w:cs="Times New Roman"/>
          <w:lang w:eastAsia="lt-LT" w:bidi="lt-LT"/>
        </w:rPr>
        <w:t>P, palyginti su pacientais, kurie vartojo placebą. Kitos vertinamosios baigtys buvo BI, OAD, baigtis, apie kurią pranešė pacientas (BPP), ir saugumas.</w:t>
      </w:r>
    </w:p>
    <w:p w14:paraId="21923D29"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024108A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Demografiniai duomenys sunitinibo ir placebo grupėse buvo panašūs. Be to, 49 % sunitinibo grupės pacientų buvo diagnozuoti nefunkcionuojantys navikai, palyginti su 52 % pacientų, kurie vartojo placebą, ir 92 % abiejų grupių pacientų buvo diagnozuotos metastazės kepenyse. </w:t>
      </w:r>
    </w:p>
    <w:p w14:paraId="13F53EA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4270E2D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Tyrimo metu buvo leidžiama vartoti </w:t>
      </w:r>
      <w:proofErr w:type="spellStart"/>
      <w:r w:rsidRPr="00CE4C3C">
        <w:rPr>
          <w:rFonts w:ascii="Times New Roman" w:eastAsia="Times New Roman" w:hAnsi="Times New Roman" w:cs="Times New Roman"/>
          <w:lang w:eastAsia="lt-LT" w:bidi="lt-LT"/>
        </w:rPr>
        <w:t>somatostatino</w:t>
      </w:r>
      <w:proofErr w:type="spellEnd"/>
      <w:r w:rsidRPr="00CE4C3C">
        <w:rPr>
          <w:rFonts w:ascii="Times New Roman" w:eastAsia="Times New Roman" w:hAnsi="Times New Roman" w:cs="Times New Roman"/>
          <w:lang w:eastAsia="lt-LT" w:bidi="lt-LT"/>
        </w:rPr>
        <w:t xml:space="preserve"> analogų.</w:t>
      </w:r>
    </w:p>
    <w:p w14:paraId="7FBBF520"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68B7B958"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Iš viso 66 % sunitinibo grupės pacientų anksčiau buvo taikytas sisteminis gydymas, palyginti su 72 % placebo grupės pacientų. Be to, 24 % sunitinibo grupės pacientų vartojo </w:t>
      </w:r>
      <w:proofErr w:type="spellStart"/>
      <w:r w:rsidRPr="00CE4C3C">
        <w:rPr>
          <w:rFonts w:ascii="Times New Roman" w:eastAsia="Times New Roman" w:hAnsi="Times New Roman" w:cs="Times New Roman"/>
          <w:lang w:eastAsia="lt-LT" w:bidi="lt-LT"/>
        </w:rPr>
        <w:t>somatostatino</w:t>
      </w:r>
      <w:proofErr w:type="spellEnd"/>
      <w:r w:rsidRPr="00CE4C3C">
        <w:rPr>
          <w:rFonts w:ascii="Times New Roman" w:eastAsia="Times New Roman" w:hAnsi="Times New Roman" w:cs="Times New Roman"/>
          <w:lang w:eastAsia="lt-LT" w:bidi="lt-LT"/>
        </w:rPr>
        <w:t xml:space="preserve"> analogų, palyginti su 22 % placebo grupės pacientų.</w:t>
      </w:r>
    </w:p>
    <w:p w14:paraId="6B4E5463"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370837A0" w14:textId="3B786DD5"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lastRenderedPageBreak/>
        <w:t>Tyrėjo įvertintas I</w:t>
      </w:r>
      <w:r w:rsidR="009F0E8A">
        <w:rPr>
          <w:rFonts w:ascii="Times New Roman" w:eastAsia="Times New Roman" w:hAnsi="Times New Roman" w:cs="Times New Roman"/>
          <w:lang w:eastAsia="lt-LT" w:bidi="lt-LT"/>
        </w:rPr>
        <w:t>BL</w:t>
      </w:r>
      <w:r w:rsidRPr="00CE4C3C">
        <w:rPr>
          <w:rFonts w:ascii="Times New Roman" w:eastAsia="Times New Roman" w:hAnsi="Times New Roman" w:cs="Times New Roman"/>
          <w:lang w:eastAsia="lt-LT" w:bidi="lt-LT"/>
        </w:rPr>
        <w:t>P vartojant sunitinibo buvo kliniškai reikšmingai geresnis nei vartojant placebą. Vidutinė I</w:t>
      </w:r>
      <w:r w:rsidR="009F0E8A">
        <w:rPr>
          <w:rFonts w:ascii="Times New Roman" w:eastAsia="Times New Roman" w:hAnsi="Times New Roman" w:cs="Times New Roman"/>
          <w:lang w:eastAsia="lt-LT" w:bidi="lt-LT"/>
        </w:rPr>
        <w:t>BL</w:t>
      </w:r>
      <w:r w:rsidRPr="00CE4C3C">
        <w:rPr>
          <w:rFonts w:ascii="Times New Roman" w:eastAsia="Times New Roman" w:hAnsi="Times New Roman" w:cs="Times New Roman"/>
          <w:lang w:eastAsia="lt-LT" w:bidi="lt-LT"/>
        </w:rPr>
        <w:t xml:space="preserve">P trukmė sunitinibo grupėje buvo 11,4 mėnesio, palyginti su 5,5 mėnesio placebo grupėje (SR: 0,418 [95 % PI: 0,263, 0,662], p-reikšmė =0,0001); gauti panašūs naviko atsako rezultatai, kaip parodyta 4 lentelėje, remiantis RECIST paraiškos duomenimis, kurie nustatyti tyrėjui išmatavus naviką, siekiant įvertinti ligos progresavimą. Visuose pogrupiuose pagal pradines savybes, įskaitant anksčiau taikyto gydymo analizę, buvo pastebėtas palankesnis </w:t>
      </w:r>
      <w:proofErr w:type="spellStart"/>
      <w:r w:rsidRPr="00CE4C3C">
        <w:rPr>
          <w:rFonts w:ascii="Times New Roman" w:eastAsia="Times New Roman" w:hAnsi="Times New Roman" w:cs="Times New Roman"/>
          <w:lang w:eastAsia="lt-LT" w:bidi="lt-LT"/>
        </w:rPr>
        <w:t>sunitinibui</w:t>
      </w:r>
      <w:proofErr w:type="spellEnd"/>
      <w:r w:rsidRPr="00CE4C3C">
        <w:rPr>
          <w:rFonts w:ascii="Times New Roman" w:eastAsia="Times New Roman" w:hAnsi="Times New Roman" w:cs="Times New Roman"/>
          <w:lang w:eastAsia="lt-LT" w:bidi="lt-LT"/>
        </w:rPr>
        <w:t xml:space="preserve"> SR pradinis įvertinimas. Iš viso 29 sunitinibo grupės pacientams ir 24 placebo grupės pacientams anksčiau sisteminis gydymas nebuvo taikytas. Šiems pacientams I</w:t>
      </w:r>
      <w:r w:rsidR="009F0E8A">
        <w:rPr>
          <w:rFonts w:ascii="Times New Roman" w:eastAsia="Times New Roman" w:hAnsi="Times New Roman" w:cs="Times New Roman"/>
          <w:lang w:eastAsia="lt-LT" w:bidi="lt-LT"/>
        </w:rPr>
        <w:t>BL</w:t>
      </w:r>
      <w:r w:rsidRPr="00CE4C3C">
        <w:rPr>
          <w:rFonts w:ascii="Times New Roman" w:eastAsia="Times New Roman" w:hAnsi="Times New Roman" w:cs="Times New Roman"/>
          <w:lang w:eastAsia="lt-LT" w:bidi="lt-LT"/>
        </w:rPr>
        <w:t>P SR buvo 0,365 (95 % PI: 0,156, 0,857), p=0,0156. Panašiai 57 sunitinibo grupės pacientams (įskaitant 28, kuriems anksčiau buvo taikytas sisteminis gydymas vienu vaistiniu preparatu, ir 29, kuriems anksčiau buvo taikytas sisteminis gydymas 2 ar daugiau vaistinių preparatų) ir 61 placebo grupės pacientui (įskaitant 25 pacientus, kuriems anksčiau buvo taikytas sisteminis gydymas vienu vaistiniu preparatu, ir 36 pacientus, kuriems anksčiau buvo taikytas sisteminis gydymas 2 ar daugiau vaistinių preparatų) I</w:t>
      </w:r>
      <w:r w:rsidR="009F0E8A">
        <w:rPr>
          <w:rFonts w:ascii="Times New Roman" w:eastAsia="Times New Roman" w:hAnsi="Times New Roman" w:cs="Times New Roman"/>
          <w:lang w:eastAsia="lt-LT" w:bidi="lt-LT"/>
        </w:rPr>
        <w:t>BL</w:t>
      </w:r>
      <w:r w:rsidRPr="00CE4C3C">
        <w:rPr>
          <w:rFonts w:ascii="Times New Roman" w:eastAsia="Times New Roman" w:hAnsi="Times New Roman" w:cs="Times New Roman"/>
          <w:lang w:eastAsia="lt-LT" w:bidi="lt-LT"/>
        </w:rPr>
        <w:t>P SR buvo 0,456 (95 % PI: 0,264, 0,787), p=0,0036.</w:t>
      </w:r>
    </w:p>
    <w:p w14:paraId="514AD110"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3E4327C8" w14:textId="0E4F687E"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I</w:t>
      </w:r>
      <w:r w:rsidR="009F0E8A">
        <w:rPr>
          <w:rFonts w:ascii="Times New Roman" w:eastAsia="Times New Roman" w:hAnsi="Times New Roman" w:cs="Times New Roman"/>
          <w:lang w:eastAsia="lt-LT" w:bidi="lt-LT"/>
        </w:rPr>
        <w:t>BL</w:t>
      </w:r>
      <w:r w:rsidRPr="00CE4C3C">
        <w:rPr>
          <w:rFonts w:ascii="Times New Roman" w:eastAsia="Times New Roman" w:hAnsi="Times New Roman" w:cs="Times New Roman"/>
          <w:lang w:eastAsia="lt-LT" w:bidi="lt-LT"/>
        </w:rPr>
        <w:t>P jautrumo analizė atlikta, kai ligos progresavimas buvo pagrįstas tyrėjo atliktais naviko matavimais ir kai visi reiškiniai, cenzūruojami dėl kitokių priežasčių nei tyrimo nutraukimas, buvo laikomi I</w:t>
      </w:r>
      <w:r w:rsidR="009F0E8A">
        <w:rPr>
          <w:rFonts w:ascii="Times New Roman" w:eastAsia="Times New Roman" w:hAnsi="Times New Roman" w:cs="Times New Roman"/>
          <w:lang w:eastAsia="lt-LT" w:bidi="lt-LT"/>
        </w:rPr>
        <w:t>BL</w:t>
      </w:r>
      <w:r w:rsidRPr="00CE4C3C">
        <w:rPr>
          <w:rFonts w:ascii="Times New Roman" w:eastAsia="Times New Roman" w:hAnsi="Times New Roman" w:cs="Times New Roman"/>
          <w:lang w:eastAsia="lt-LT" w:bidi="lt-LT"/>
        </w:rPr>
        <w:t>P reiškiniais. Ši analizė leido preliminariai numatyti gydomąjį sunitinibo poveikį ir parėmė pagrindinę analizę, įrodžius esant SR lygią 0,507 (95 % PI:0,350, 0,733), p=0,000193. Pagrindinis kasos NEN tyrimas baigtas pirma laiko, rekomendavus nepriklausomam vaistinių preparatų stebėjimo komitetui, o pagrindinė vertinamoji baigtis buvo pagrįsta tyrėjo įvertinimu ir abi šios priežastys galėjo paveikti gydomojo poveikio įvertinimą.</w:t>
      </w:r>
    </w:p>
    <w:p w14:paraId="3159FCBF"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6442041A" w14:textId="17685456" w:rsidR="00F17A0C" w:rsidRPr="00CE4C3C" w:rsidRDefault="00F17A0C" w:rsidP="00CE4C3C">
      <w:pPr>
        <w:tabs>
          <w:tab w:val="left" w:pos="567"/>
          <w:tab w:val="left" w:pos="538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Siekiant išvengti tyrėjo įvertinto INP poslinkių, </w:t>
      </w:r>
      <w:r w:rsidR="009F0E8A">
        <w:rPr>
          <w:rFonts w:ascii="Times New Roman" w:eastAsia="Times New Roman" w:hAnsi="Times New Roman" w:cs="Times New Roman"/>
          <w:lang w:eastAsia="lt-LT" w:bidi="lt-LT"/>
        </w:rPr>
        <w:t>koduotu</w:t>
      </w:r>
      <w:r w:rsidRPr="00CE4C3C">
        <w:rPr>
          <w:rFonts w:ascii="Times New Roman" w:eastAsia="Times New Roman" w:hAnsi="Times New Roman" w:cs="Times New Roman"/>
          <w:lang w:eastAsia="lt-LT" w:bidi="lt-LT"/>
        </w:rPr>
        <w:t xml:space="preserve"> būdu buvo atlikta nepriklausoma centrinė matavimų peržiūra, kuri parėmė tyrėjo įvertinimą, kaip parodyta 4 lentelėje.</w:t>
      </w:r>
    </w:p>
    <w:p w14:paraId="53A435A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5DAC450D" w14:textId="77777777" w:rsidR="00F17A0C" w:rsidRPr="00CE4C3C" w:rsidRDefault="00F17A0C" w:rsidP="00CE4C3C">
      <w:pPr>
        <w:tabs>
          <w:tab w:val="left" w:pos="567"/>
        </w:tabs>
        <w:spacing w:line="240" w:lineRule="auto"/>
        <w:rPr>
          <w:rFonts w:ascii="Times New Roman" w:eastAsia="Times New Roman" w:hAnsi="Times New Roman" w:cs="Times New Roman"/>
          <w:b/>
        </w:rPr>
      </w:pPr>
      <w:r w:rsidRPr="00CE4C3C">
        <w:rPr>
          <w:rFonts w:ascii="Times New Roman" w:eastAsia="Times New Roman" w:hAnsi="Times New Roman" w:cs="Times New Roman"/>
          <w:b/>
        </w:rPr>
        <w:t xml:space="preserve">4 lentelė. Klinikinio 3 fazės </w:t>
      </w:r>
      <w:proofErr w:type="spellStart"/>
      <w:r w:rsidRPr="00CE4C3C">
        <w:rPr>
          <w:rFonts w:ascii="Times New Roman" w:eastAsia="Times New Roman" w:hAnsi="Times New Roman" w:cs="Times New Roman"/>
          <w:b/>
        </w:rPr>
        <w:t>kNEN</w:t>
      </w:r>
      <w:proofErr w:type="spellEnd"/>
      <w:r w:rsidRPr="00CE4C3C">
        <w:rPr>
          <w:rFonts w:ascii="Times New Roman" w:eastAsia="Times New Roman" w:hAnsi="Times New Roman" w:cs="Times New Roman"/>
          <w:b/>
        </w:rPr>
        <w:t xml:space="preserve"> tyrimo veiksmingumo duomenys</w:t>
      </w:r>
    </w:p>
    <w:p w14:paraId="34E1F2B1" w14:textId="77777777" w:rsidR="00F17A0C" w:rsidRPr="00CE4C3C" w:rsidRDefault="00F17A0C" w:rsidP="00CE4C3C">
      <w:pPr>
        <w:tabs>
          <w:tab w:val="left" w:pos="567"/>
        </w:tabs>
        <w:spacing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559"/>
        <w:gridCol w:w="1559"/>
        <w:gridCol w:w="1560"/>
        <w:gridCol w:w="1382"/>
      </w:tblGrid>
      <w:tr w:rsidR="00F17A0C" w:rsidRPr="00CE4C3C" w14:paraId="5D444221" w14:textId="77777777" w:rsidTr="000417F6">
        <w:tc>
          <w:tcPr>
            <w:tcW w:w="3227" w:type="dxa"/>
            <w:shd w:val="clear" w:color="auto" w:fill="auto"/>
          </w:tcPr>
          <w:p w14:paraId="5B284A83" w14:textId="77777777" w:rsidR="00F17A0C" w:rsidRPr="00CE4C3C" w:rsidRDefault="00F17A0C" w:rsidP="00CE4C3C">
            <w:pPr>
              <w:tabs>
                <w:tab w:val="left" w:pos="567"/>
              </w:tabs>
              <w:spacing w:line="240" w:lineRule="auto"/>
              <w:rPr>
                <w:rFonts w:ascii="Times New Roman" w:eastAsia="Times New Roman" w:hAnsi="Times New Roman" w:cs="Times New Roman"/>
                <w:b/>
                <w:bCs/>
                <w:spacing w:val="-1"/>
              </w:rPr>
            </w:pPr>
            <w:r w:rsidRPr="00CE4C3C">
              <w:rPr>
                <w:rFonts w:ascii="Times New Roman" w:eastAsia="Times New Roman" w:hAnsi="Times New Roman" w:cs="Times New Roman"/>
                <w:b/>
                <w:bCs/>
                <w:spacing w:val="-1"/>
              </w:rPr>
              <w:t>Veiksmingumo parametrai</w:t>
            </w:r>
          </w:p>
        </w:tc>
        <w:tc>
          <w:tcPr>
            <w:tcW w:w="1559" w:type="dxa"/>
            <w:shd w:val="clear" w:color="auto" w:fill="auto"/>
          </w:tcPr>
          <w:p w14:paraId="33BF781B" w14:textId="77777777" w:rsidR="00F17A0C" w:rsidRPr="00CE4C3C" w:rsidRDefault="00F17A0C" w:rsidP="00CE4C3C">
            <w:pPr>
              <w:tabs>
                <w:tab w:val="left" w:pos="567"/>
              </w:tabs>
              <w:spacing w:line="240" w:lineRule="auto"/>
              <w:jc w:val="center"/>
              <w:rPr>
                <w:rFonts w:ascii="Times New Roman" w:eastAsia="Times New Roman" w:hAnsi="Times New Roman" w:cs="Times New Roman"/>
                <w:b/>
                <w:bCs/>
                <w:spacing w:val="-1"/>
              </w:rPr>
            </w:pPr>
            <w:r w:rsidRPr="00CE4C3C">
              <w:rPr>
                <w:rFonts w:ascii="Times New Roman" w:eastAsia="Times New Roman" w:hAnsi="Times New Roman" w:cs="Times New Roman"/>
                <w:b/>
                <w:bCs/>
                <w:spacing w:val="-1"/>
              </w:rPr>
              <w:t>Sunitinibas</w:t>
            </w:r>
          </w:p>
          <w:p w14:paraId="536F6898" w14:textId="77777777" w:rsidR="00F17A0C" w:rsidRPr="00CE4C3C" w:rsidRDefault="00F17A0C" w:rsidP="00CE4C3C">
            <w:pPr>
              <w:tabs>
                <w:tab w:val="left" w:pos="567"/>
              </w:tabs>
              <w:spacing w:line="240" w:lineRule="auto"/>
              <w:jc w:val="center"/>
              <w:rPr>
                <w:rFonts w:ascii="Times New Roman" w:eastAsia="Times New Roman" w:hAnsi="Times New Roman" w:cs="Times New Roman"/>
                <w:b/>
                <w:bCs/>
                <w:spacing w:val="-1"/>
              </w:rPr>
            </w:pPr>
            <w:r w:rsidRPr="00CE4C3C">
              <w:rPr>
                <w:rFonts w:ascii="Times New Roman" w:eastAsia="Times New Roman" w:hAnsi="Times New Roman" w:cs="Times New Roman"/>
                <w:b/>
                <w:bCs/>
                <w:spacing w:val="-1"/>
              </w:rPr>
              <w:t>(n=86)</w:t>
            </w:r>
          </w:p>
        </w:tc>
        <w:tc>
          <w:tcPr>
            <w:tcW w:w="1559" w:type="dxa"/>
            <w:shd w:val="clear" w:color="auto" w:fill="auto"/>
          </w:tcPr>
          <w:p w14:paraId="740C5F50" w14:textId="77777777" w:rsidR="00F17A0C" w:rsidRPr="00CE4C3C" w:rsidRDefault="00F17A0C" w:rsidP="00CE4C3C">
            <w:pPr>
              <w:tabs>
                <w:tab w:val="left" w:pos="567"/>
              </w:tabs>
              <w:spacing w:line="240" w:lineRule="auto"/>
              <w:jc w:val="center"/>
              <w:rPr>
                <w:rFonts w:ascii="Times New Roman" w:eastAsia="Times New Roman" w:hAnsi="Times New Roman" w:cs="Times New Roman"/>
                <w:b/>
                <w:bCs/>
                <w:spacing w:val="-1"/>
              </w:rPr>
            </w:pPr>
            <w:r w:rsidRPr="00CE4C3C">
              <w:rPr>
                <w:rFonts w:ascii="Times New Roman" w:eastAsia="Times New Roman" w:hAnsi="Times New Roman" w:cs="Times New Roman"/>
                <w:b/>
                <w:bCs/>
                <w:spacing w:val="-1"/>
              </w:rPr>
              <w:t>Placebo</w:t>
            </w:r>
          </w:p>
          <w:p w14:paraId="19B186F0" w14:textId="77777777" w:rsidR="00F17A0C" w:rsidRPr="00CE4C3C" w:rsidRDefault="00F17A0C" w:rsidP="00CE4C3C">
            <w:pPr>
              <w:tabs>
                <w:tab w:val="left" w:pos="567"/>
              </w:tabs>
              <w:spacing w:line="240" w:lineRule="auto"/>
              <w:jc w:val="center"/>
              <w:rPr>
                <w:rFonts w:ascii="Times New Roman" w:eastAsia="Times New Roman" w:hAnsi="Times New Roman" w:cs="Times New Roman"/>
                <w:b/>
                <w:bCs/>
                <w:spacing w:val="-1"/>
              </w:rPr>
            </w:pPr>
            <w:r w:rsidRPr="00CE4C3C">
              <w:rPr>
                <w:rFonts w:ascii="Times New Roman" w:eastAsia="Times New Roman" w:hAnsi="Times New Roman" w:cs="Times New Roman"/>
                <w:b/>
                <w:bCs/>
                <w:spacing w:val="-1"/>
              </w:rPr>
              <w:t>(n=85)</w:t>
            </w:r>
          </w:p>
        </w:tc>
        <w:tc>
          <w:tcPr>
            <w:tcW w:w="1560" w:type="dxa"/>
            <w:shd w:val="clear" w:color="auto" w:fill="auto"/>
          </w:tcPr>
          <w:p w14:paraId="4A9256DD" w14:textId="77777777" w:rsidR="00F17A0C" w:rsidRPr="00CE4C3C" w:rsidRDefault="00F17A0C" w:rsidP="00CE4C3C">
            <w:pPr>
              <w:tabs>
                <w:tab w:val="left" w:pos="567"/>
              </w:tabs>
              <w:spacing w:line="240" w:lineRule="auto"/>
              <w:jc w:val="center"/>
              <w:rPr>
                <w:rFonts w:ascii="Times New Roman" w:eastAsia="Times New Roman" w:hAnsi="Times New Roman" w:cs="Times New Roman"/>
                <w:b/>
                <w:bCs/>
                <w:spacing w:val="-1"/>
              </w:rPr>
            </w:pPr>
            <w:r w:rsidRPr="00CE4C3C">
              <w:rPr>
                <w:rFonts w:ascii="Times New Roman" w:eastAsia="Times New Roman" w:hAnsi="Times New Roman" w:cs="Times New Roman"/>
                <w:b/>
                <w:bCs/>
                <w:spacing w:val="-1"/>
              </w:rPr>
              <w:t>RS</w:t>
            </w:r>
          </w:p>
          <w:p w14:paraId="6B1B4688" w14:textId="77777777" w:rsidR="00F17A0C" w:rsidRPr="00CE4C3C" w:rsidRDefault="00F17A0C" w:rsidP="00CE4C3C">
            <w:pPr>
              <w:tabs>
                <w:tab w:val="left" w:pos="567"/>
              </w:tabs>
              <w:spacing w:line="240" w:lineRule="auto"/>
              <w:jc w:val="center"/>
              <w:rPr>
                <w:rFonts w:ascii="Times New Roman" w:eastAsia="Times New Roman" w:hAnsi="Times New Roman" w:cs="Times New Roman"/>
                <w:b/>
                <w:bCs/>
                <w:spacing w:val="-1"/>
              </w:rPr>
            </w:pPr>
            <w:r w:rsidRPr="00CE4C3C">
              <w:rPr>
                <w:rFonts w:ascii="Times New Roman" w:eastAsia="Times New Roman" w:hAnsi="Times New Roman" w:cs="Times New Roman"/>
                <w:b/>
                <w:bCs/>
                <w:spacing w:val="-1"/>
              </w:rPr>
              <w:t xml:space="preserve">(95 % </w:t>
            </w:r>
            <w:proofErr w:type="spellStart"/>
            <w:r w:rsidRPr="00CE4C3C">
              <w:rPr>
                <w:rFonts w:ascii="Times New Roman" w:eastAsia="Times New Roman" w:hAnsi="Times New Roman" w:cs="Times New Roman"/>
                <w:b/>
                <w:bCs/>
                <w:spacing w:val="-1"/>
              </w:rPr>
              <w:t>Pl</w:t>
            </w:r>
            <w:proofErr w:type="spellEnd"/>
            <w:r w:rsidRPr="00CE4C3C">
              <w:rPr>
                <w:rFonts w:ascii="Times New Roman" w:eastAsia="Times New Roman" w:hAnsi="Times New Roman" w:cs="Times New Roman"/>
                <w:b/>
                <w:bCs/>
                <w:spacing w:val="-1"/>
              </w:rPr>
              <w:t>)</w:t>
            </w:r>
          </w:p>
        </w:tc>
        <w:tc>
          <w:tcPr>
            <w:tcW w:w="1382" w:type="dxa"/>
            <w:shd w:val="clear" w:color="auto" w:fill="auto"/>
          </w:tcPr>
          <w:p w14:paraId="106DBEFA" w14:textId="77777777" w:rsidR="00F17A0C" w:rsidRPr="00CE4C3C" w:rsidRDefault="00F17A0C" w:rsidP="00CE4C3C">
            <w:pPr>
              <w:tabs>
                <w:tab w:val="left" w:pos="567"/>
              </w:tabs>
              <w:spacing w:line="240" w:lineRule="auto"/>
              <w:jc w:val="center"/>
              <w:rPr>
                <w:rFonts w:ascii="Times New Roman" w:eastAsia="Times New Roman" w:hAnsi="Times New Roman" w:cs="Times New Roman"/>
                <w:b/>
                <w:bCs/>
                <w:spacing w:val="-1"/>
              </w:rPr>
            </w:pPr>
            <w:r w:rsidRPr="00CE4C3C">
              <w:rPr>
                <w:rFonts w:ascii="Times New Roman" w:eastAsia="Times New Roman" w:hAnsi="Times New Roman" w:cs="Times New Roman"/>
                <w:b/>
                <w:bCs/>
                <w:spacing w:val="-1"/>
              </w:rPr>
              <w:t>P-reikšmė</w:t>
            </w:r>
          </w:p>
        </w:tc>
      </w:tr>
      <w:tr w:rsidR="00F17A0C" w:rsidRPr="00CE4C3C" w14:paraId="547FA8BF" w14:textId="77777777" w:rsidTr="000417F6">
        <w:tc>
          <w:tcPr>
            <w:tcW w:w="3227" w:type="dxa"/>
            <w:shd w:val="clear" w:color="auto" w:fill="auto"/>
          </w:tcPr>
          <w:p w14:paraId="1EA9C681" w14:textId="53A2CB22" w:rsidR="00F17A0C" w:rsidRPr="00CE4C3C" w:rsidRDefault="00F17A0C" w:rsidP="009F0E8A">
            <w:pPr>
              <w:widowControl w:val="0"/>
              <w:tabs>
                <w:tab w:val="left" w:pos="567"/>
                <w:tab w:val="left" w:pos="3011"/>
              </w:tabs>
              <w:autoSpaceDE w:val="0"/>
              <w:autoSpaceDN w:val="0"/>
              <w:adjustRightInd w:val="0"/>
              <w:spacing w:line="240" w:lineRule="auto"/>
              <w:ind w:left="31"/>
              <w:rPr>
                <w:rFonts w:ascii="Times New Roman" w:eastAsia="Times New Roman" w:hAnsi="Times New Roman" w:cs="Times New Roman"/>
              </w:rPr>
            </w:pPr>
            <w:r w:rsidRPr="00CE4C3C">
              <w:rPr>
                <w:rFonts w:ascii="Times New Roman" w:eastAsia="Times New Roman" w:hAnsi="Times New Roman" w:cs="Times New Roman"/>
              </w:rPr>
              <w:t>Išgyvenamum</w:t>
            </w:r>
            <w:r w:rsidR="00D967A2">
              <w:rPr>
                <w:rFonts w:ascii="Times New Roman" w:eastAsia="Times New Roman" w:hAnsi="Times New Roman" w:cs="Times New Roman"/>
              </w:rPr>
              <w:t>as be ligos progresavimo</w:t>
            </w:r>
            <w:r w:rsidR="00937B2B">
              <w:rPr>
                <w:rFonts w:ascii="Times New Roman" w:eastAsia="Times New Roman" w:hAnsi="Times New Roman" w:cs="Times New Roman"/>
              </w:rPr>
              <w:t xml:space="preserve"> </w:t>
            </w:r>
            <w:r w:rsidRPr="00CE4C3C">
              <w:rPr>
                <w:rFonts w:ascii="Times New Roman" w:eastAsia="Times New Roman" w:hAnsi="Times New Roman" w:cs="Times New Roman"/>
              </w:rPr>
              <w:t>(mediana, mėnesiais [95 % PI]), pagal tyrėjo įvertinimą</w:t>
            </w:r>
          </w:p>
        </w:tc>
        <w:tc>
          <w:tcPr>
            <w:tcW w:w="1559" w:type="dxa"/>
            <w:shd w:val="clear" w:color="auto" w:fill="auto"/>
          </w:tcPr>
          <w:p w14:paraId="72310685"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w w:val="103"/>
              </w:rPr>
              <w:t>1</w:t>
            </w:r>
            <w:r w:rsidRPr="00CE4C3C">
              <w:rPr>
                <w:rFonts w:ascii="Times New Roman" w:eastAsia="Times New Roman" w:hAnsi="Times New Roman" w:cs="Times New Roman"/>
                <w:spacing w:val="-1"/>
                <w:w w:val="103"/>
              </w:rPr>
              <w:t>1</w:t>
            </w:r>
            <w:r w:rsidRPr="00CE4C3C">
              <w:rPr>
                <w:rFonts w:ascii="Times New Roman" w:eastAsia="Times New Roman" w:hAnsi="Times New Roman" w:cs="Times New Roman"/>
                <w:w w:val="103"/>
              </w:rPr>
              <w:t>,4</w:t>
            </w:r>
          </w:p>
          <w:p w14:paraId="5DD41D57"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rPr>
              <w:t>(7</w:t>
            </w:r>
            <w:r w:rsidRPr="00CE4C3C">
              <w:rPr>
                <w:rFonts w:ascii="Times New Roman" w:eastAsia="Times New Roman" w:hAnsi="Times New Roman" w:cs="Times New Roman"/>
                <w:spacing w:val="-1"/>
              </w:rPr>
              <w:t>,</w:t>
            </w:r>
            <w:r w:rsidRPr="00CE4C3C">
              <w:rPr>
                <w:rFonts w:ascii="Times New Roman" w:eastAsia="Times New Roman" w:hAnsi="Times New Roman" w:cs="Times New Roman"/>
              </w:rPr>
              <w:t>4,</w:t>
            </w:r>
            <w:r w:rsidRPr="00CE4C3C">
              <w:rPr>
                <w:rFonts w:ascii="Times New Roman" w:eastAsia="Times New Roman" w:hAnsi="Times New Roman" w:cs="Times New Roman"/>
                <w:spacing w:val="11"/>
              </w:rPr>
              <w:t xml:space="preserve"> </w:t>
            </w:r>
            <w:r w:rsidRPr="00CE4C3C">
              <w:rPr>
                <w:rFonts w:ascii="Times New Roman" w:eastAsia="Times New Roman" w:hAnsi="Times New Roman" w:cs="Times New Roman"/>
                <w:w w:val="103"/>
              </w:rPr>
              <w:t>19</w:t>
            </w:r>
            <w:r w:rsidRPr="00CE4C3C">
              <w:rPr>
                <w:rFonts w:ascii="Times New Roman" w:eastAsia="Times New Roman" w:hAnsi="Times New Roman" w:cs="Times New Roman"/>
                <w:spacing w:val="-1"/>
                <w:w w:val="103"/>
              </w:rPr>
              <w:t>,</w:t>
            </w:r>
            <w:r w:rsidRPr="00CE4C3C">
              <w:rPr>
                <w:rFonts w:ascii="Times New Roman" w:eastAsia="Times New Roman" w:hAnsi="Times New Roman" w:cs="Times New Roman"/>
                <w:w w:val="103"/>
              </w:rPr>
              <w:t>8)</w:t>
            </w:r>
          </w:p>
        </w:tc>
        <w:tc>
          <w:tcPr>
            <w:tcW w:w="1559" w:type="dxa"/>
            <w:shd w:val="clear" w:color="auto" w:fill="auto"/>
          </w:tcPr>
          <w:p w14:paraId="2D768AB8"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w w:val="103"/>
              </w:rPr>
              <w:t>5</w:t>
            </w:r>
            <w:r w:rsidRPr="00CE4C3C">
              <w:rPr>
                <w:rFonts w:ascii="Times New Roman" w:eastAsia="Times New Roman" w:hAnsi="Times New Roman" w:cs="Times New Roman"/>
                <w:spacing w:val="-1"/>
                <w:w w:val="103"/>
              </w:rPr>
              <w:t>,5</w:t>
            </w:r>
          </w:p>
          <w:p w14:paraId="37B46ED7"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rPr>
              <w:t>(</w:t>
            </w:r>
            <w:r w:rsidRPr="00CE4C3C">
              <w:rPr>
                <w:rFonts w:ascii="Times New Roman" w:eastAsia="Times New Roman" w:hAnsi="Times New Roman" w:cs="Times New Roman"/>
                <w:spacing w:val="-1"/>
              </w:rPr>
              <w:t>3</w:t>
            </w:r>
            <w:r w:rsidRPr="00CE4C3C">
              <w:rPr>
                <w:rFonts w:ascii="Times New Roman" w:eastAsia="Times New Roman" w:hAnsi="Times New Roman" w:cs="Times New Roman"/>
              </w:rPr>
              <w:t>,6,</w:t>
            </w:r>
            <w:r w:rsidRPr="00CE4C3C">
              <w:rPr>
                <w:rFonts w:ascii="Times New Roman" w:eastAsia="Times New Roman" w:hAnsi="Times New Roman" w:cs="Times New Roman"/>
                <w:spacing w:val="11"/>
              </w:rPr>
              <w:t xml:space="preserve"> </w:t>
            </w:r>
            <w:r w:rsidRPr="00CE4C3C">
              <w:rPr>
                <w:rFonts w:ascii="Times New Roman" w:eastAsia="Times New Roman" w:hAnsi="Times New Roman" w:cs="Times New Roman"/>
                <w:w w:val="103"/>
              </w:rPr>
              <w:t>7</w:t>
            </w:r>
            <w:r w:rsidRPr="00CE4C3C">
              <w:rPr>
                <w:rFonts w:ascii="Times New Roman" w:eastAsia="Times New Roman" w:hAnsi="Times New Roman" w:cs="Times New Roman"/>
                <w:spacing w:val="-1"/>
                <w:w w:val="103"/>
              </w:rPr>
              <w:t>,</w:t>
            </w:r>
            <w:r w:rsidRPr="00CE4C3C">
              <w:rPr>
                <w:rFonts w:ascii="Times New Roman" w:eastAsia="Times New Roman" w:hAnsi="Times New Roman" w:cs="Times New Roman"/>
                <w:w w:val="103"/>
              </w:rPr>
              <w:t>4)</w:t>
            </w:r>
          </w:p>
        </w:tc>
        <w:tc>
          <w:tcPr>
            <w:tcW w:w="1560" w:type="dxa"/>
            <w:shd w:val="clear" w:color="auto" w:fill="auto"/>
          </w:tcPr>
          <w:p w14:paraId="200CF836" w14:textId="77777777" w:rsidR="00F17A0C" w:rsidRPr="00CE4C3C" w:rsidRDefault="00F17A0C" w:rsidP="00CE4C3C">
            <w:pPr>
              <w:widowControl w:val="0"/>
              <w:tabs>
                <w:tab w:val="left" w:pos="567"/>
              </w:tabs>
              <w:autoSpaceDE w:val="0"/>
              <w:autoSpaceDN w:val="0"/>
              <w:adjustRightInd w:val="0"/>
              <w:spacing w:line="240" w:lineRule="auto"/>
              <w:ind w:left="36" w:right="-20"/>
              <w:jc w:val="center"/>
              <w:rPr>
                <w:rFonts w:ascii="Times New Roman" w:eastAsia="Times New Roman" w:hAnsi="Times New Roman" w:cs="Times New Roman"/>
              </w:rPr>
            </w:pPr>
            <w:r w:rsidRPr="00CE4C3C">
              <w:rPr>
                <w:rFonts w:ascii="Times New Roman" w:eastAsia="Times New Roman" w:hAnsi="Times New Roman" w:cs="Times New Roman"/>
                <w:spacing w:val="-1"/>
                <w:w w:val="103"/>
              </w:rPr>
              <w:t>0</w:t>
            </w:r>
            <w:r w:rsidRPr="00CE4C3C">
              <w:rPr>
                <w:rFonts w:ascii="Times New Roman" w:eastAsia="Times New Roman" w:hAnsi="Times New Roman" w:cs="Times New Roman"/>
                <w:w w:val="103"/>
              </w:rPr>
              <w:t>,</w:t>
            </w:r>
            <w:r w:rsidRPr="00CE4C3C">
              <w:rPr>
                <w:rFonts w:ascii="Times New Roman" w:eastAsia="Times New Roman" w:hAnsi="Times New Roman" w:cs="Times New Roman"/>
                <w:spacing w:val="-1"/>
                <w:w w:val="103"/>
              </w:rPr>
              <w:t>4</w:t>
            </w:r>
            <w:r w:rsidRPr="00CE4C3C">
              <w:rPr>
                <w:rFonts w:ascii="Times New Roman" w:eastAsia="Times New Roman" w:hAnsi="Times New Roman" w:cs="Times New Roman"/>
                <w:w w:val="103"/>
              </w:rPr>
              <w:t>18</w:t>
            </w:r>
          </w:p>
          <w:p w14:paraId="2C9AFBBF" w14:textId="77777777" w:rsidR="00F17A0C" w:rsidRPr="00CE4C3C" w:rsidRDefault="00F17A0C" w:rsidP="00CE4C3C">
            <w:pPr>
              <w:widowControl w:val="0"/>
              <w:tabs>
                <w:tab w:val="left" w:pos="567"/>
              </w:tabs>
              <w:autoSpaceDE w:val="0"/>
              <w:autoSpaceDN w:val="0"/>
              <w:adjustRightInd w:val="0"/>
              <w:spacing w:line="240" w:lineRule="auto"/>
              <w:ind w:left="36" w:right="-20"/>
              <w:jc w:val="center"/>
              <w:rPr>
                <w:rFonts w:ascii="Times New Roman" w:eastAsia="Times New Roman" w:hAnsi="Times New Roman" w:cs="Times New Roman"/>
              </w:rPr>
            </w:pPr>
            <w:r w:rsidRPr="00CE4C3C">
              <w:rPr>
                <w:rFonts w:ascii="Times New Roman" w:eastAsia="Times New Roman" w:hAnsi="Times New Roman" w:cs="Times New Roman"/>
                <w:spacing w:val="-1"/>
              </w:rPr>
              <w:t>(</w:t>
            </w:r>
            <w:r w:rsidRPr="00CE4C3C">
              <w:rPr>
                <w:rFonts w:ascii="Times New Roman" w:eastAsia="Times New Roman" w:hAnsi="Times New Roman" w:cs="Times New Roman"/>
              </w:rPr>
              <w:t>0,</w:t>
            </w:r>
            <w:r w:rsidRPr="00CE4C3C">
              <w:rPr>
                <w:rFonts w:ascii="Times New Roman" w:eastAsia="Times New Roman" w:hAnsi="Times New Roman" w:cs="Times New Roman"/>
                <w:spacing w:val="-1"/>
              </w:rPr>
              <w:t>2</w:t>
            </w:r>
            <w:r w:rsidRPr="00CE4C3C">
              <w:rPr>
                <w:rFonts w:ascii="Times New Roman" w:eastAsia="Times New Roman" w:hAnsi="Times New Roman" w:cs="Times New Roman"/>
              </w:rPr>
              <w:t>6</w:t>
            </w:r>
            <w:r w:rsidRPr="00CE4C3C">
              <w:rPr>
                <w:rFonts w:ascii="Times New Roman" w:eastAsia="Times New Roman" w:hAnsi="Times New Roman" w:cs="Times New Roman"/>
                <w:spacing w:val="-1"/>
              </w:rPr>
              <w:t>3</w:t>
            </w:r>
            <w:r w:rsidRPr="00CE4C3C">
              <w:rPr>
                <w:rFonts w:ascii="Times New Roman" w:eastAsia="Times New Roman" w:hAnsi="Times New Roman" w:cs="Times New Roman"/>
              </w:rPr>
              <w:t>,</w:t>
            </w:r>
            <w:r w:rsidRPr="00CE4C3C">
              <w:rPr>
                <w:rFonts w:ascii="Times New Roman" w:eastAsia="Times New Roman" w:hAnsi="Times New Roman" w:cs="Times New Roman"/>
                <w:spacing w:val="18"/>
              </w:rPr>
              <w:t xml:space="preserve"> </w:t>
            </w:r>
            <w:r w:rsidRPr="00CE4C3C">
              <w:rPr>
                <w:rFonts w:ascii="Times New Roman" w:eastAsia="Times New Roman" w:hAnsi="Times New Roman" w:cs="Times New Roman"/>
                <w:spacing w:val="-1"/>
                <w:w w:val="103"/>
              </w:rPr>
              <w:t>0</w:t>
            </w:r>
            <w:r w:rsidRPr="00CE4C3C">
              <w:rPr>
                <w:rFonts w:ascii="Times New Roman" w:eastAsia="Times New Roman" w:hAnsi="Times New Roman" w:cs="Times New Roman"/>
                <w:w w:val="103"/>
              </w:rPr>
              <w:t>,6</w:t>
            </w:r>
            <w:r w:rsidRPr="00CE4C3C">
              <w:rPr>
                <w:rFonts w:ascii="Times New Roman" w:eastAsia="Times New Roman" w:hAnsi="Times New Roman" w:cs="Times New Roman"/>
                <w:spacing w:val="-1"/>
                <w:w w:val="103"/>
              </w:rPr>
              <w:t>6</w:t>
            </w:r>
            <w:r w:rsidRPr="00CE4C3C">
              <w:rPr>
                <w:rFonts w:ascii="Times New Roman" w:eastAsia="Times New Roman" w:hAnsi="Times New Roman" w:cs="Times New Roman"/>
                <w:w w:val="103"/>
              </w:rPr>
              <w:t>2)</w:t>
            </w:r>
          </w:p>
        </w:tc>
        <w:tc>
          <w:tcPr>
            <w:tcW w:w="1382" w:type="dxa"/>
            <w:shd w:val="clear" w:color="auto" w:fill="auto"/>
          </w:tcPr>
          <w:p w14:paraId="50B896D7"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w w:val="103"/>
              </w:rPr>
              <w:t>0,</w:t>
            </w:r>
            <w:r w:rsidRPr="00CE4C3C">
              <w:rPr>
                <w:rFonts w:ascii="Times New Roman" w:eastAsia="Times New Roman" w:hAnsi="Times New Roman" w:cs="Times New Roman"/>
                <w:spacing w:val="-1"/>
                <w:w w:val="103"/>
              </w:rPr>
              <w:t>0</w:t>
            </w:r>
            <w:r w:rsidRPr="00CE4C3C">
              <w:rPr>
                <w:rFonts w:ascii="Times New Roman" w:eastAsia="Times New Roman" w:hAnsi="Times New Roman" w:cs="Times New Roman"/>
                <w:w w:val="103"/>
              </w:rPr>
              <w:t>0</w:t>
            </w:r>
            <w:r w:rsidRPr="00CE4C3C">
              <w:rPr>
                <w:rFonts w:ascii="Times New Roman" w:eastAsia="Times New Roman" w:hAnsi="Times New Roman" w:cs="Times New Roman"/>
                <w:spacing w:val="-1"/>
                <w:w w:val="103"/>
              </w:rPr>
              <w:t>0</w:t>
            </w:r>
            <w:r w:rsidRPr="00CE4C3C">
              <w:rPr>
                <w:rFonts w:ascii="Times New Roman" w:eastAsia="Times New Roman" w:hAnsi="Times New Roman" w:cs="Times New Roman"/>
                <w:w w:val="103"/>
              </w:rPr>
              <w:t>1</w:t>
            </w:r>
            <w:r w:rsidRPr="00CE4C3C">
              <w:rPr>
                <w:rFonts w:ascii="Times New Roman" w:eastAsia="Times New Roman" w:hAnsi="Times New Roman" w:cs="Times New Roman"/>
                <w:w w:val="101"/>
                <w:position w:val="8"/>
                <w:vertAlign w:val="superscript"/>
              </w:rPr>
              <w:t>a</w:t>
            </w:r>
          </w:p>
        </w:tc>
      </w:tr>
      <w:tr w:rsidR="00F17A0C" w:rsidRPr="00CE4C3C" w14:paraId="11F6AF5B" w14:textId="77777777" w:rsidTr="000417F6">
        <w:tc>
          <w:tcPr>
            <w:tcW w:w="3227" w:type="dxa"/>
            <w:shd w:val="clear" w:color="auto" w:fill="auto"/>
          </w:tcPr>
          <w:p w14:paraId="40797DC8" w14:textId="6D491309" w:rsidR="00F17A0C" w:rsidRPr="00CE4C3C" w:rsidRDefault="00F17A0C" w:rsidP="00D967A2">
            <w:pPr>
              <w:widowControl w:val="0"/>
              <w:tabs>
                <w:tab w:val="left" w:pos="567"/>
                <w:tab w:val="left" w:pos="2977"/>
              </w:tabs>
              <w:autoSpaceDE w:val="0"/>
              <w:autoSpaceDN w:val="0"/>
              <w:adjustRightInd w:val="0"/>
              <w:spacing w:line="240" w:lineRule="auto"/>
              <w:ind w:left="31"/>
              <w:rPr>
                <w:rFonts w:ascii="Times New Roman" w:eastAsia="Times New Roman" w:hAnsi="Times New Roman" w:cs="Times New Roman"/>
              </w:rPr>
            </w:pPr>
            <w:r w:rsidRPr="00CE4C3C">
              <w:rPr>
                <w:rFonts w:ascii="Times New Roman" w:eastAsia="Times New Roman" w:hAnsi="Times New Roman" w:cs="Times New Roman"/>
              </w:rPr>
              <w:t>Išgyvenamum</w:t>
            </w:r>
            <w:r w:rsidR="00D967A2">
              <w:rPr>
                <w:rFonts w:ascii="Times New Roman" w:eastAsia="Times New Roman" w:hAnsi="Times New Roman" w:cs="Times New Roman"/>
              </w:rPr>
              <w:t>as be ligos progresavimo</w:t>
            </w:r>
            <w:r w:rsidR="00937B2B">
              <w:rPr>
                <w:rFonts w:ascii="Times New Roman" w:eastAsia="Times New Roman" w:hAnsi="Times New Roman" w:cs="Times New Roman"/>
              </w:rPr>
              <w:t xml:space="preserve"> </w:t>
            </w:r>
            <w:r w:rsidRPr="00CE4C3C">
              <w:rPr>
                <w:rFonts w:ascii="Times New Roman" w:eastAsia="Times New Roman" w:hAnsi="Times New Roman" w:cs="Times New Roman"/>
              </w:rPr>
              <w:t>(mediana, mėnesiais [95 % PI]) pagal naviko atsako įvertinimą, remiantis RECIST paraiškos duomenimis, kurie gauti tyrėjui išmatavus naviką</w:t>
            </w:r>
          </w:p>
        </w:tc>
        <w:tc>
          <w:tcPr>
            <w:tcW w:w="1559" w:type="dxa"/>
            <w:shd w:val="clear" w:color="auto" w:fill="auto"/>
          </w:tcPr>
          <w:p w14:paraId="0FDB25B2"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w w:val="103"/>
              </w:rPr>
              <w:t>1</w:t>
            </w:r>
            <w:r w:rsidRPr="00CE4C3C">
              <w:rPr>
                <w:rFonts w:ascii="Times New Roman" w:eastAsia="Times New Roman" w:hAnsi="Times New Roman" w:cs="Times New Roman"/>
                <w:spacing w:val="-1"/>
                <w:w w:val="103"/>
              </w:rPr>
              <w:t>2</w:t>
            </w:r>
            <w:r w:rsidRPr="00CE4C3C">
              <w:rPr>
                <w:rFonts w:ascii="Times New Roman" w:eastAsia="Times New Roman" w:hAnsi="Times New Roman" w:cs="Times New Roman"/>
                <w:w w:val="103"/>
              </w:rPr>
              <w:t>,6</w:t>
            </w:r>
          </w:p>
          <w:p w14:paraId="6541CE71"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rPr>
              <w:t>(7</w:t>
            </w:r>
            <w:r w:rsidRPr="00CE4C3C">
              <w:rPr>
                <w:rFonts w:ascii="Times New Roman" w:eastAsia="Times New Roman" w:hAnsi="Times New Roman" w:cs="Times New Roman"/>
                <w:spacing w:val="-1"/>
              </w:rPr>
              <w:t>,</w:t>
            </w:r>
            <w:r w:rsidRPr="00CE4C3C">
              <w:rPr>
                <w:rFonts w:ascii="Times New Roman" w:eastAsia="Times New Roman" w:hAnsi="Times New Roman" w:cs="Times New Roman"/>
              </w:rPr>
              <w:t>4,</w:t>
            </w:r>
            <w:r w:rsidRPr="00CE4C3C">
              <w:rPr>
                <w:rFonts w:ascii="Times New Roman" w:eastAsia="Times New Roman" w:hAnsi="Times New Roman" w:cs="Times New Roman"/>
                <w:spacing w:val="11"/>
              </w:rPr>
              <w:t xml:space="preserve"> </w:t>
            </w:r>
            <w:r w:rsidRPr="00CE4C3C">
              <w:rPr>
                <w:rFonts w:ascii="Times New Roman" w:eastAsia="Times New Roman" w:hAnsi="Times New Roman" w:cs="Times New Roman"/>
                <w:w w:val="103"/>
              </w:rPr>
              <w:t>16</w:t>
            </w:r>
            <w:r w:rsidRPr="00CE4C3C">
              <w:rPr>
                <w:rFonts w:ascii="Times New Roman" w:eastAsia="Times New Roman" w:hAnsi="Times New Roman" w:cs="Times New Roman"/>
                <w:spacing w:val="-1"/>
                <w:w w:val="103"/>
              </w:rPr>
              <w:t>,</w:t>
            </w:r>
            <w:r w:rsidRPr="00CE4C3C">
              <w:rPr>
                <w:rFonts w:ascii="Times New Roman" w:eastAsia="Times New Roman" w:hAnsi="Times New Roman" w:cs="Times New Roman"/>
                <w:w w:val="103"/>
              </w:rPr>
              <w:t>9)</w:t>
            </w:r>
          </w:p>
        </w:tc>
        <w:tc>
          <w:tcPr>
            <w:tcW w:w="1559" w:type="dxa"/>
            <w:shd w:val="clear" w:color="auto" w:fill="auto"/>
          </w:tcPr>
          <w:p w14:paraId="2899A868"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w w:val="103"/>
              </w:rPr>
              <w:t>5</w:t>
            </w:r>
            <w:r w:rsidRPr="00CE4C3C">
              <w:rPr>
                <w:rFonts w:ascii="Times New Roman" w:eastAsia="Times New Roman" w:hAnsi="Times New Roman" w:cs="Times New Roman"/>
                <w:spacing w:val="-1"/>
                <w:w w:val="103"/>
              </w:rPr>
              <w:t>,</w:t>
            </w:r>
            <w:r w:rsidRPr="00CE4C3C">
              <w:rPr>
                <w:rFonts w:ascii="Times New Roman" w:eastAsia="Times New Roman" w:hAnsi="Times New Roman" w:cs="Times New Roman"/>
                <w:w w:val="103"/>
              </w:rPr>
              <w:t>4</w:t>
            </w:r>
          </w:p>
          <w:p w14:paraId="29DE7214"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rPr>
              <w:t>(</w:t>
            </w:r>
            <w:r w:rsidRPr="00CE4C3C">
              <w:rPr>
                <w:rFonts w:ascii="Times New Roman" w:eastAsia="Times New Roman" w:hAnsi="Times New Roman" w:cs="Times New Roman"/>
                <w:spacing w:val="-1"/>
              </w:rPr>
              <w:t>3</w:t>
            </w:r>
            <w:r w:rsidRPr="00CE4C3C">
              <w:rPr>
                <w:rFonts w:ascii="Times New Roman" w:eastAsia="Times New Roman" w:hAnsi="Times New Roman" w:cs="Times New Roman"/>
              </w:rPr>
              <w:t>,5,</w:t>
            </w:r>
            <w:r w:rsidRPr="00CE4C3C">
              <w:rPr>
                <w:rFonts w:ascii="Times New Roman" w:eastAsia="Times New Roman" w:hAnsi="Times New Roman" w:cs="Times New Roman"/>
                <w:spacing w:val="11"/>
              </w:rPr>
              <w:t xml:space="preserve"> </w:t>
            </w:r>
            <w:r w:rsidRPr="00CE4C3C">
              <w:rPr>
                <w:rFonts w:ascii="Times New Roman" w:eastAsia="Times New Roman" w:hAnsi="Times New Roman" w:cs="Times New Roman"/>
                <w:w w:val="103"/>
              </w:rPr>
              <w:t>6</w:t>
            </w:r>
            <w:r w:rsidRPr="00CE4C3C">
              <w:rPr>
                <w:rFonts w:ascii="Times New Roman" w:eastAsia="Times New Roman" w:hAnsi="Times New Roman" w:cs="Times New Roman"/>
                <w:spacing w:val="-1"/>
                <w:w w:val="103"/>
              </w:rPr>
              <w:t>,</w:t>
            </w:r>
            <w:r w:rsidRPr="00CE4C3C">
              <w:rPr>
                <w:rFonts w:ascii="Times New Roman" w:eastAsia="Times New Roman" w:hAnsi="Times New Roman" w:cs="Times New Roman"/>
                <w:w w:val="103"/>
              </w:rPr>
              <w:t>0)</w:t>
            </w:r>
          </w:p>
        </w:tc>
        <w:tc>
          <w:tcPr>
            <w:tcW w:w="1560" w:type="dxa"/>
            <w:shd w:val="clear" w:color="auto" w:fill="auto"/>
          </w:tcPr>
          <w:p w14:paraId="55CB2A01" w14:textId="77777777" w:rsidR="00F17A0C" w:rsidRPr="00CE4C3C" w:rsidRDefault="00F17A0C" w:rsidP="00CE4C3C">
            <w:pPr>
              <w:widowControl w:val="0"/>
              <w:tabs>
                <w:tab w:val="left" w:pos="567"/>
              </w:tabs>
              <w:autoSpaceDE w:val="0"/>
              <w:autoSpaceDN w:val="0"/>
              <w:adjustRightInd w:val="0"/>
              <w:spacing w:line="240" w:lineRule="auto"/>
              <w:ind w:left="36" w:right="-20"/>
              <w:jc w:val="center"/>
              <w:rPr>
                <w:rFonts w:ascii="Times New Roman" w:eastAsia="Times New Roman" w:hAnsi="Times New Roman" w:cs="Times New Roman"/>
              </w:rPr>
            </w:pPr>
            <w:r w:rsidRPr="00CE4C3C">
              <w:rPr>
                <w:rFonts w:ascii="Times New Roman" w:eastAsia="Times New Roman" w:hAnsi="Times New Roman" w:cs="Times New Roman"/>
                <w:spacing w:val="-1"/>
                <w:w w:val="103"/>
              </w:rPr>
              <w:t>0</w:t>
            </w:r>
            <w:r w:rsidRPr="00CE4C3C">
              <w:rPr>
                <w:rFonts w:ascii="Times New Roman" w:eastAsia="Times New Roman" w:hAnsi="Times New Roman" w:cs="Times New Roman"/>
                <w:w w:val="103"/>
              </w:rPr>
              <w:t>,</w:t>
            </w:r>
            <w:r w:rsidRPr="00CE4C3C">
              <w:rPr>
                <w:rFonts w:ascii="Times New Roman" w:eastAsia="Times New Roman" w:hAnsi="Times New Roman" w:cs="Times New Roman"/>
                <w:spacing w:val="-1"/>
                <w:w w:val="103"/>
              </w:rPr>
              <w:t>4</w:t>
            </w:r>
            <w:r w:rsidRPr="00CE4C3C">
              <w:rPr>
                <w:rFonts w:ascii="Times New Roman" w:eastAsia="Times New Roman" w:hAnsi="Times New Roman" w:cs="Times New Roman"/>
                <w:w w:val="103"/>
              </w:rPr>
              <w:t>01</w:t>
            </w:r>
          </w:p>
          <w:p w14:paraId="6E173FCD" w14:textId="77777777" w:rsidR="00F17A0C" w:rsidRPr="00CE4C3C" w:rsidRDefault="00F17A0C" w:rsidP="00CE4C3C">
            <w:pPr>
              <w:widowControl w:val="0"/>
              <w:tabs>
                <w:tab w:val="left" w:pos="567"/>
              </w:tabs>
              <w:autoSpaceDE w:val="0"/>
              <w:autoSpaceDN w:val="0"/>
              <w:adjustRightInd w:val="0"/>
              <w:spacing w:line="240" w:lineRule="auto"/>
              <w:ind w:left="36" w:right="-20"/>
              <w:jc w:val="center"/>
              <w:rPr>
                <w:rFonts w:ascii="Times New Roman" w:eastAsia="Times New Roman" w:hAnsi="Times New Roman" w:cs="Times New Roman"/>
              </w:rPr>
            </w:pPr>
            <w:r w:rsidRPr="00CE4C3C">
              <w:rPr>
                <w:rFonts w:ascii="Times New Roman" w:eastAsia="Times New Roman" w:hAnsi="Times New Roman" w:cs="Times New Roman"/>
                <w:spacing w:val="-1"/>
              </w:rPr>
              <w:t>(</w:t>
            </w:r>
            <w:r w:rsidRPr="00CE4C3C">
              <w:rPr>
                <w:rFonts w:ascii="Times New Roman" w:eastAsia="Times New Roman" w:hAnsi="Times New Roman" w:cs="Times New Roman"/>
              </w:rPr>
              <w:t>0,</w:t>
            </w:r>
            <w:r w:rsidRPr="00CE4C3C">
              <w:rPr>
                <w:rFonts w:ascii="Times New Roman" w:eastAsia="Times New Roman" w:hAnsi="Times New Roman" w:cs="Times New Roman"/>
                <w:spacing w:val="-1"/>
              </w:rPr>
              <w:t>2</w:t>
            </w:r>
            <w:r w:rsidRPr="00CE4C3C">
              <w:rPr>
                <w:rFonts w:ascii="Times New Roman" w:eastAsia="Times New Roman" w:hAnsi="Times New Roman" w:cs="Times New Roman"/>
              </w:rPr>
              <w:t>5</w:t>
            </w:r>
            <w:r w:rsidRPr="00CE4C3C">
              <w:rPr>
                <w:rFonts w:ascii="Times New Roman" w:eastAsia="Times New Roman" w:hAnsi="Times New Roman" w:cs="Times New Roman"/>
                <w:spacing w:val="-1"/>
              </w:rPr>
              <w:t>2</w:t>
            </w:r>
            <w:r w:rsidRPr="00CE4C3C">
              <w:rPr>
                <w:rFonts w:ascii="Times New Roman" w:eastAsia="Times New Roman" w:hAnsi="Times New Roman" w:cs="Times New Roman"/>
              </w:rPr>
              <w:t>,</w:t>
            </w:r>
            <w:r w:rsidRPr="00CE4C3C">
              <w:rPr>
                <w:rFonts w:ascii="Times New Roman" w:eastAsia="Times New Roman" w:hAnsi="Times New Roman" w:cs="Times New Roman"/>
                <w:spacing w:val="18"/>
              </w:rPr>
              <w:t xml:space="preserve"> </w:t>
            </w:r>
            <w:r w:rsidRPr="00CE4C3C">
              <w:rPr>
                <w:rFonts w:ascii="Times New Roman" w:eastAsia="Times New Roman" w:hAnsi="Times New Roman" w:cs="Times New Roman"/>
                <w:spacing w:val="-1"/>
                <w:w w:val="103"/>
              </w:rPr>
              <w:t>0</w:t>
            </w:r>
            <w:r w:rsidRPr="00CE4C3C">
              <w:rPr>
                <w:rFonts w:ascii="Times New Roman" w:eastAsia="Times New Roman" w:hAnsi="Times New Roman" w:cs="Times New Roman"/>
                <w:w w:val="103"/>
              </w:rPr>
              <w:t>,6</w:t>
            </w:r>
            <w:r w:rsidRPr="00CE4C3C">
              <w:rPr>
                <w:rFonts w:ascii="Times New Roman" w:eastAsia="Times New Roman" w:hAnsi="Times New Roman" w:cs="Times New Roman"/>
                <w:spacing w:val="-1"/>
                <w:w w:val="103"/>
              </w:rPr>
              <w:t>4</w:t>
            </w:r>
            <w:r w:rsidRPr="00CE4C3C">
              <w:rPr>
                <w:rFonts w:ascii="Times New Roman" w:eastAsia="Times New Roman" w:hAnsi="Times New Roman" w:cs="Times New Roman"/>
                <w:w w:val="103"/>
              </w:rPr>
              <w:t>0)</w:t>
            </w:r>
          </w:p>
        </w:tc>
        <w:tc>
          <w:tcPr>
            <w:tcW w:w="1382" w:type="dxa"/>
            <w:shd w:val="clear" w:color="auto" w:fill="auto"/>
          </w:tcPr>
          <w:p w14:paraId="0CF79AB4"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w w:val="103"/>
              </w:rPr>
              <w:t>0,</w:t>
            </w:r>
            <w:r w:rsidRPr="00CE4C3C">
              <w:rPr>
                <w:rFonts w:ascii="Times New Roman" w:eastAsia="Times New Roman" w:hAnsi="Times New Roman" w:cs="Times New Roman"/>
                <w:spacing w:val="-1"/>
                <w:w w:val="103"/>
              </w:rPr>
              <w:t>0</w:t>
            </w:r>
            <w:r w:rsidRPr="00CE4C3C">
              <w:rPr>
                <w:rFonts w:ascii="Times New Roman" w:eastAsia="Times New Roman" w:hAnsi="Times New Roman" w:cs="Times New Roman"/>
                <w:w w:val="103"/>
              </w:rPr>
              <w:t>0</w:t>
            </w:r>
            <w:r w:rsidRPr="00CE4C3C">
              <w:rPr>
                <w:rFonts w:ascii="Times New Roman" w:eastAsia="Times New Roman" w:hAnsi="Times New Roman" w:cs="Times New Roman"/>
                <w:spacing w:val="-1"/>
                <w:w w:val="103"/>
              </w:rPr>
              <w:t>0</w:t>
            </w:r>
            <w:r w:rsidRPr="00CE4C3C">
              <w:rPr>
                <w:rFonts w:ascii="Times New Roman" w:eastAsia="Times New Roman" w:hAnsi="Times New Roman" w:cs="Times New Roman"/>
                <w:w w:val="103"/>
              </w:rPr>
              <w:t>0</w:t>
            </w:r>
            <w:r w:rsidRPr="00CE4C3C">
              <w:rPr>
                <w:rFonts w:ascii="Times New Roman" w:eastAsia="Times New Roman" w:hAnsi="Times New Roman" w:cs="Times New Roman"/>
                <w:spacing w:val="-1"/>
                <w:w w:val="103"/>
              </w:rPr>
              <w:t>6</w:t>
            </w:r>
            <w:r w:rsidRPr="00CE4C3C">
              <w:rPr>
                <w:rFonts w:ascii="Times New Roman" w:eastAsia="Times New Roman" w:hAnsi="Times New Roman" w:cs="Times New Roman"/>
                <w:w w:val="103"/>
              </w:rPr>
              <w:t>6</w:t>
            </w:r>
            <w:r w:rsidRPr="00CE4C3C">
              <w:rPr>
                <w:rFonts w:ascii="Times New Roman" w:eastAsia="Times New Roman" w:hAnsi="Times New Roman" w:cs="Times New Roman"/>
                <w:w w:val="101"/>
                <w:position w:val="8"/>
                <w:vertAlign w:val="superscript"/>
              </w:rPr>
              <w:t>a</w:t>
            </w:r>
          </w:p>
        </w:tc>
      </w:tr>
      <w:tr w:rsidR="00F17A0C" w:rsidRPr="00CE4C3C" w14:paraId="1ACB6FBE" w14:textId="77777777" w:rsidTr="000417F6">
        <w:tc>
          <w:tcPr>
            <w:tcW w:w="3227" w:type="dxa"/>
            <w:shd w:val="clear" w:color="auto" w:fill="auto"/>
          </w:tcPr>
          <w:p w14:paraId="3FB1DFDE" w14:textId="760011AD" w:rsidR="00F17A0C" w:rsidRPr="00CE4C3C" w:rsidRDefault="00F17A0C" w:rsidP="003C5782">
            <w:pPr>
              <w:widowControl w:val="0"/>
              <w:tabs>
                <w:tab w:val="left" w:pos="3119"/>
              </w:tabs>
              <w:autoSpaceDE w:val="0"/>
              <w:autoSpaceDN w:val="0"/>
              <w:adjustRightInd w:val="0"/>
              <w:spacing w:line="240" w:lineRule="auto"/>
              <w:ind w:left="31" w:right="-108"/>
              <w:rPr>
                <w:rFonts w:ascii="Times New Roman" w:eastAsia="Times New Roman" w:hAnsi="Times New Roman" w:cs="Times New Roman"/>
              </w:rPr>
            </w:pPr>
            <w:r w:rsidRPr="00CE4C3C">
              <w:rPr>
                <w:rFonts w:ascii="Times New Roman" w:eastAsia="Times New Roman" w:hAnsi="Times New Roman" w:cs="Times New Roman"/>
              </w:rPr>
              <w:t>Išgyvenamum</w:t>
            </w:r>
            <w:r w:rsidR="003C5782">
              <w:rPr>
                <w:rFonts w:ascii="Times New Roman" w:eastAsia="Times New Roman" w:hAnsi="Times New Roman" w:cs="Times New Roman"/>
              </w:rPr>
              <w:t>as be ligos progresavimo</w:t>
            </w:r>
            <w:r w:rsidR="00937B2B">
              <w:rPr>
                <w:rFonts w:ascii="Times New Roman" w:eastAsia="Times New Roman" w:hAnsi="Times New Roman" w:cs="Times New Roman"/>
              </w:rPr>
              <w:t xml:space="preserve"> </w:t>
            </w:r>
            <w:r w:rsidRPr="00CE4C3C">
              <w:rPr>
                <w:rFonts w:ascii="Times New Roman" w:eastAsia="Times New Roman" w:hAnsi="Times New Roman" w:cs="Times New Roman"/>
              </w:rPr>
              <w:t xml:space="preserve">(mediana, mėnesiais [95 % PI]) pagal </w:t>
            </w:r>
            <w:r w:rsidR="003C5782">
              <w:rPr>
                <w:rFonts w:ascii="Times New Roman" w:eastAsia="Times New Roman" w:hAnsi="Times New Roman" w:cs="Times New Roman"/>
              </w:rPr>
              <w:t>koduotu</w:t>
            </w:r>
            <w:r w:rsidR="003C5782" w:rsidRPr="00CE4C3C">
              <w:rPr>
                <w:rFonts w:ascii="Times New Roman" w:eastAsia="Times New Roman" w:hAnsi="Times New Roman" w:cs="Times New Roman"/>
              </w:rPr>
              <w:t xml:space="preserve"> </w:t>
            </w:r>
            <w:r w:rsidRPr="00CE4C3C">
              <w:rPr>
                <w:rFonts w:ascii="Times New Roman" w:eastAsia="Times New Roman" w:hAnsi="Times New Roman" w:cs="Times New Roman"/>
              </w:rPr>
              <w:t>būdu atliktą naviko įvertinimo nepriklausomą centrinę peržiūrą</w:t>
            </w:r>
          </w:p>
        </w:tc>
        <w:tc>
          <w:tcPr>
            <w:tcW w:w="1559" w:type="dxa"/>
            <w:shd w:val="clear" w:color="auto" w:fill="auto"/>
          </w:tcPr>
          <w:p w14:paraId="25E62F20"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w w:val="103"/>
              </w:rPr>
              <w:t>1</w:t>
            </w:r>
            <w:r w:rsidRPr="00CE4C3C">
              <w:rPr>
                <w:rFonts w:ascii="Times New Roman" w:eastAsia="Times New Roman" w:hAnsi="Times New Roman" w:cs="Times New Roman"/>
                <w:spacing w:val="-1"/>
                <w:w w:val="103"/>
              </w:rPr>
              <w:t>2</w:t>
            </w:r>
            <w:r w:rsidRPr="00CE4C3C">
              <w:rPr>
                <w:rFonts w:ascii="Times New Roman" w:eastAsia="Times New Roman" w:hAnsi="Times New Roman" w:cs="Times New Roman"/>
                <w:w w:val="103"/>
              </w:rPr>
              <w:t>,6</w:t>
            </w:r>
          </w:p>
          <w:p w14:paraId="0AAAB28C"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rPr>
              <w:t>(1</w:t>
            </w:r>
            <w:r w:rsidRPr="00CE4C3C">
              <w:rPr>
                <w:rFonts w:ascii="Times New Roman" w:eastAsia="Times New Roman" w:hAnsi="Times New Roman" w:cs="Times New Roman"/>
                <w:spacing w:val="-1"/>
              </w:rPr>
              <w:t>1</w:t>
            </w:r>
            <w:r w:rsidRPr="00CE4C3C">
              <w:rPr>
                <w:rFonts w:ascii="Times New Roman" w:eastAsia="Times New Roman" w:hAnsi="Times New Roman" w:cs="Times New Roman"/>
              </w:rPr>
              <w:t>,1,</w:t>
            </w:r>
            <w:r w:rsidRPr="00CE4C3C">
              <w:rPr>
                <w:rFonts w:ascii="Times New Roman" w:eastAsia="Times New Roman" w:hAnsi="Times New Roman" w:cs="Times New Roman"/>
                <w:spacing w:val="14"/>
              </w:rPr>
              <w:t xml:space="preserve"> </w:t>
            </w:r>
            <w:r w:rsidRPr="00CE4C3C">
              <w:rPr>
                <w:rFonts w:ascii="Times New Roman" w:eastAsia="Times New Roman" w:hAnsi="Times New Roman" w:cs="Times New Roman"/>
                <w:w w:val="103"/>
              </w:rPr>
              <w:t>2</w:t>
            </w:r>
            <w:r w:rsidRPr="00CE4C3C">
              <w:rPr>
                <w:rFonts w:ascii="Times New Roman" w:eastAsia="Times New Roman" w:hAnsi="Times New Roman" w:cs="Times New Roman"/>
                <w:spacing w:val="-1"/>
                <w:w w:val="103"/>
              </w:rPr>
              <w:t>0</w:t>
            </w:r>
            <w:r w:rsidRPr="00CE4C3C">
              <w:rPr>
                <w:rFonts w:ascii="Times New Roman" w:eastAsia="Times New Roman" w:hAnsi="Times New Roman" w:cs="Times New Roman"/>
                <w:w w:val="103"/>
              </w:rPr>
              <w:t>,</w:t>
            </w:r>
            <w:r w:rsidRPr="00CE4C3C">
              <w:rPr>
                <w:rFonts w:ascii="Times New Roman" w:eastAsia="Times New Roman" w:hAnsi="Times New Roman" w:cs="Times New Roman"/>
                <w:spacing w:val="-1"/>
                <w:w w:val="103"/>
              </w:rPr>
              <w:t>6</w:t>
            </w:r>
            <w:r w:rsidRPr="00CE4C3C">
              <w:rPr>
                <w:rFonts w:ascii="Times New Roman" w:eastAsia="Times New Roman" w:hAnsi="Times New Roman" w:cs="Times New Roman"/>
                <w:w w:val="103"/>
              </w:rPr>
              <w:t>)</w:t>
            </w:r>
          </w:p>
        </w:tc>
        <w:tc>
          <w:tcPr>
            <w:tcW w:w="1559" w:type="dxa"/>
            <w:shd w:val="clear" w:color="auto" w:fill="auto"/>
          </w:tcPr>
          <w:p w14:paraId="5190691E"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w w:val="103"/>
              </w:rPr>
              <w:t>5</w:t>
            </w:r>
            <w:r w:rsidRPr="00CE4C3C">
              <w:rPr>
                <w:rFonts w:ascii="Times New Roman" w:eastAsia="Times New Roman" w:hAnsi="Times New Roman" w:cs="Times New Roman"/>
                <w:spacing w:val="-1"/>
                <w:w w:val="103"/>
              </w:rPr>
              <w:t>,</w:t>
            </w:r>
            <w:r w:rsidRPr="00CE4C3C">
              <w:rPr>
                <w:rFonts w:ascii="Times New Roman" w:eastAsia="Times New Roman" w:hAnsi="Times New Roman" w:cs="Times New Roman"/>
                <w:w w:val="103"/>
              </w:rPr>
              <w:t>8</w:t>
            </w:r>
          </w:p>
          <w:p w14:paraId="2C1D8FF2"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rPr>
              <w:t>(</w:t>
            </w:r>
            <w:r w:rsidRPr="00CE4C3C">
              <w:rPr>
                <w:rFonts w:ascii="Times New Roman" w:eastAsia="Times New Roman" w:hAnsi="Times New Roman" w:cs="Times New Roman"/>
                <w:spacing w:val="-1"/>
              </w:rPr>
              <w:t>3</w:t>
            </w:r>
            <w:r w:rsidRPr="00CE4C3C">
              <w:rPr>
                <w:rFonts w:ascii="Times New Roman" w:eastAsia="Times New Roman" w:hAnsi="Times New Roman" w:cs="Times New Roman"/>
              </w:rPr>
              <w:t>,8,</w:t>
            </w:r>
            <w:r w:rsidRPr="00CE4C3C">
              <w:rPr>
                <w:rFonts w:ascii="Times New Roman" w:eastAsia="Times New Roman" w:hAnsi="Times New Roman" w:cs="Times New Roman"/>
                <w:spacing w:val="11"/>
              </w:rPr>
              <w:t xml:space="preserve"> </w:t>
            </w:r>
            <w:r w:rsidRPr="00CE4C3C">
              <w:rPr>
                <w:rFonts w:ascii="Times New Roman" w:eastAsia="Times New Roman" w:hAnsi="Times New Roman" w:cs="Times New Roman"/>
                <w:w w:val="103"/>
              </w:rPr>
              <w:t>7</w:t>
            </w:r>
            <w:r w:rsidRPr="00CE4C3C">
              <w:rPr>
                <w:rFonts w:ascii="Times New Roman" w:eastAsia="Times New Roman" w:hAnsi="Times New Roman" w:cs="Times New Roman"/>
                <w:spacing w:val="-1"/>
                <w:w w:val="103"/>
              </w:rPr>
              <w:t>,</w:t>
            </w:r>
            <w:r w:rsidRPr="00CE4C3C">
              <w:rPr>
                <w:rFonts w:ascii="Times New Roman" w:eastAsia="Times New Roman" w:hAnsi="Times New Roman" w:cs="Times New Roman"/>
                <w:w w:val="103"/>
              </w:rPr>
              <w:t>2)</w:t>
            </w:r>
          </w:p>
        </w:tc>
        <w:tc>
          <w:tcPr>
            <w:tcW w:w="1560" w:type="dxa"/>
            <w:shd w:val="clear" w:color="auto" w:fill="auto"/>
          </w:tcPr>
          <w:p w14:paraId="05280DE9" w14:textId="77777777" w:rsidR="00F17A0C" w:rsidRPr="00CE4C3C" w:rsidRDefault="00F17A0C" w:rsidP="00CE4C3C">
            <w:pPr>
              <w:widowControl w:val="0"/>
              <w:tabs>
                <w:tab w:val="left" w:pos="567"/>
              </w:tabs>
              <w:autoSpaceDE w:val="0"/>
              <w:autoSpaceDN w:val="0"/>
              <w:adjustRightInd w:val="0"/>
              <w:spacing w:line="240" w:lineRule="auto"/>
              <w:ind w:left="36" w:right="-20"/>
              <w:jc w:val="center"/>
              <w:rPr>
                <w:rFonts w:ascii="Times New Roman" w:eastAsia="Times New Roman" w:hAnsi="Times New Roman" w:cs="Times New Roman"/>
              </w:rPr>
            </w:pPr>
            <w:r w:rsidRPr="00CE4C3C">
              <w:rPr>
                <w:rFonts w:ascii="Times New Roman" w:eastAsia="Times New Roman" w:hAnsi="Times New Roman" w:cs="Times New Roman"/>
                <w:spacing w:val="-1"/>
                <w:w w:val="103"/>
              </w:rPr>
              <w:t>0</w:t>
            </w:r>
            <w:r w:rsidRPr="00CE4C3C">
              <w:rPr>
                <w:rFonts w:ascii="Times New Roman" w:eastAsia="Times New Roman" w:hAnsi="Times New Roman" w:cs="Times New Roman"/>
                <w:w w:val="103"/>
              </w:rPr>
              <w:t>,</w:t>
            </w:r>
            <w:r w:rsidRPr="00CE4C3C">
              <w:rPr>
                <w:rFonts w:ascii="Times New Roman" w:eastAsia="Times New Roman" w:hAnsi="Times New Roman" w:cs="Times New Roman"/>
                <w:spacing w:val="-1"/>
                <w:w w:val="103"/>
              </w:rPr>
              <w:t>3</w:t>
            </w:r>
            <w:r w:rsidRPr="00CE4C3C">
              <w:rPr>
                <w:rFonts w:ascii="Times New Roman" w:eastAsia="Times New Roman" w:hAnsi="Times New Roman" w:cs="Times New Roman"/>
                <w:w w:val="103"/>
              </w:rPr>
              <w:t>15</w:t>
            </w:r>
          </w:p>
          <w:p w14:paraId="6CAA52B2" w14:textId="77777777" w:rsidR="00F17A0C" w:rsidRPr="00CE4C3C" w:rsidRDefault="00F17A0C" w:rsidP="00CE4C3C">
            <w:pPr>
              <w:widowControl w:val="0"/>
              <w:tabs>
                <w:tab w:val="left" w:pos="567"/>
              </w:tabs>
              <w:autoSpaceDE w:val="0"/>
              <w:autoSpaceDN w:val="0"/>
              <w:adjustRightInd w:val="0"/>
              <w:spacing w:line="240" w:lineRule="auto"/>
              <w:ind w:left="36" w:right="-20"/>
              <w:jc w:val="center"/>
              <w:rPr>
                <w:rFonts w:ascii="Times New Roman" w:eastAsia="Times New Roman" w:hAnsi="Times New Roman" w:cs="Times New Roman"/>
              </w:rPr>
            </w:pPr>
            <w:r w:rsidRPr="00CE4C3C">
              <w:rPr>
                <w:rFonts w:ascii="Times New Roman" w:eastAsia="Times New Roman" w:hAnsi="Times New Roman" w:cs="Times New Roman"/>
                <w:spacing w:val="-1"/>
              </w:rPr>
              <w:t>(</w:t>
            </w:r>
            <w:r w:rsidRPr="00CE4C3C">
              <w:rPr>
                <w:rFonts w:ascii="Times New Roman" w:eastAsia="Times New Roman" w:hAnsi="Times New Roman" w:cs="Times New Roman"/>
              </w:rPr>
              <w:t>0,</w:t>
            </w:r>
            <w:r w:rsidRPr="00CE4C3C">
              <w:rPr>
                <w:rFonts w:ascii="Times New Roman" w:eastAsia="Times New Roman" w:hAnsi="Times New Roman" w:cs="Times New Roman"/>
                <w:spacing w:val="-1"/>
              </w:rPr>
              <w:t>1</w:t>
            </w:r>
            <w:r w:rsidRPr="00CE4C3C">
              <w:rPr>
                <w:rFonts w:ascii="Times New Roman" w:eastAsia="Times New Roman" w:hAnsi="Times New Roman" w:cs="Times New Roman"/>
              </w:rPr>
              <w:t>8</w:t>
            </w:r>
            <w:r w:rsidRPr="00CE4C3C">
              <w:rPr>
                <w:rFonts w:ascii="Times New Roman" w:eastAsia="Times New Roman" w:hAnsi="Times New Roman" w:cs="Times New Roman"/>
                <w:spacing w:val="-1"/>
              </w:rPr>
              <w:t>1</w:t>
            </w:r>
            <w:r w:rsidRPr="00CE4C3C">
              <w:rPr>
                <w:rFonts w:ascii="Times New Roman" w:eastAsia="Times New Roman" w:hAnsi="Times New Roman" w:cs="Times New Roman"/>
              </w:rPr>
              <w:t>,</w:t>
            </w:r>
            <w:r w:rsidRPr="00CE4C3C">
              <w:rPr>
                <w:rFonts w:ascii="Times New Roman" w:eastAsia="Times New Roman" w:hAnsi="Times New Roman" w:cs="Times New Roman"/>
                <w:spacing w:val="18"/>
              </w:rPr>
              <w:t xml:space="preserve"> </w:t>
            </w:r>
            <w:r w:rsidRPr="00CE4C3C">
              <w:rPr>
                <w:rFonts w:ascii="Times New Roman" w:eastAsia="Times New Roman" w:hAnsi="Times New Roman" w:cs="Times New Roman"/>
                <w:spacing w:val="-1"/>
                <w:w w:val="103"/>
              </w:rPr>
              <w:t>0</w:t>
            </w:r>
            <w:r w:rsidRPr="00CE4C3C">
              <w:rPr>
                <w:rFonts w:ascii="Times New Roman" w:eastAsia="Times New Roman" w:hAnsi="Times New Roman" w:cs="Times New Roman"/>
                <w:w w:val="103"/>
              </w:rPr>
              <w:t>,5</w:t>
            </w:r>
            <w:r w:rsidRPr="00CE4C3C">
              <w:rPr>
                <w:rFonts w:ascii="Times New Roman" w:eastAsia="Times New Roman" w:hAnsi="Times New Roman" w:cs="Times New Roman"/>
                <w:spacing w:val="-1"/>
                <w:w w:val="103"/>
              </w:rPr>
              <w:t>4</w:t>
            </w:r>
            <w:r w:rsidRPr="00CE4C3C">
              <w:rPr>
                <w:rFonts w:ascii="Times New Roman" w:eastAsia="Times New Roman" w:hAnsi="Times New Roman" w:cs="Times New Roman"/>
                <w:w w:val="103"/>
              </w:rPr>
              <w:t>6)</w:t>
            </w:r>
          </w:p>
        </w:tc>
        <w:tc>
          <w:tcPr>
            <w:tcW w:w="1382" w:type="dxa"/>
            <w:shd w:val="clear" w:color="auto" w:fill="auto"/>
          </w:tcPr>
          <w:p w14:paraId="5D337990"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rPr>
              <w:t>0,</w:t>
            </w:r>
            <w:r w:rsidRPr="00CE4C3C">
              <w:rPr>
                <w:rFonts w:ascii="Times New Roman" w:eastAsia="Times New Roman" w:hAnsi="Times New Roman" w:cs="Times New Roman"/>
                <w:spacing w:val="-1"/>
              </w:rPr>
              <w:t>0</w:t>
            </w:r>
            <w:r w:rsidRPr="00CE4C3C">
              <w:rPr>
                <w:rFonts w:ascii="Times New Roman" w:eastAsia="Times New Roman" w:hAnsi="Times New Roman" w:cs="Times New Roman"/>
              </w:rPr>
              <w:t>0</w:t>
            </w:r>
            <w:r w:rsidRPr="00CE4C3C">
              <w:rPr>
                <w:rFonts w:ascii="Times New Roman" w:eastAsia="Times New Roman" w:hAnsi="Times New Roman" w:cs="Times New Roman"/>
                <w:spacing w:val="-1"/>
              </w:rPr>
              <w:t>0</w:t>
            </w:r>
            <w:r w:rsidRPr="00CE4C3C">
              <w:rPr>
                <w:rFonts w:ascii="Times New Roman" w:eastAsia="Times New Roman" w:hAnsi="Times New Roman" w:cs="Times New Roman"/>
              </w:rPr>
              <w:t>0</w:t>
            </w:r>
            <w:r w:rsidRPr="00CE4C3C">
              <w:rPr>
                <w:rFonts w:ascii="Times New Roman" w:eastAsia="Times New Roman" w:hAnsi="Times New Roman" w:cs="Times New Roman"/>
                <w:spacing w:val="-1"/>
              </w:rPr>
              <w:t>1</w:t>
            </w:r>
            <w:r w:rsidRPr="00CE4C3C">
              <w:rPr>
                <w:rFonts w:ascii="Times New Roman" w:eastAsia="Times New Roman" w:hAnsi="Times New Roman" w:cs="Times New Roman"/>
              </w:rPr>
              <w:t>5</w:t>
            </w:r>
            <w:r w:rsidRPr="00CE4C3C">
              <w:rPr>
                <w:rFonts w:ascii="Times New Roman" w:eastAsia="Times New Roman" w:hAnsi="Times New Roman" w:cs="Times New Roman"/>
                <w:w w:val="101"/>
                <w:position w:val="8"/>
                <w:vertAlign w:val="superscript"/>
              </w:rPr>
              <w:t>a</w:t>
            </w:r>
          </w:p>
        </w:tc>
      </w:tr>
      <w:tr w:rsidR="00F17A0C" w:rsidRPr="00CE4C3C" w14:paraId="6418EDF4" w14:textId="77777777" w:rsidTr="000417F6">
        <w:tc>
          <w:tcPr>
            <w:tcW w:w="3227" w:type="dxa"/>
            <w:shd w:val="clear" w:color="auto" w:fill="auto"/>
          </w:tcPr>
          <w:p w14:paraId="098A8B1E" w14:textId="7BB301C5" w:rsidR="00F17A0C" w:rsidRPr="00CE4C3C" w:rsidRDefault="00F17A0C" w:rsidP="00CE4C3C">
            <w:pPr>
              <w:widowControl w:val="0"/>
              <w:tabs>
                <w:tab w:val="left" w:pos="567"/>
              </w:tabs>
              <w:autoSpaceDE w:val="0"/>
              <w:autoSpaceDN w:val="0"/>
              <w:adjustRightInd w:val="0"/>
              <w:spacing w:line="240" w:lineRule="auto"/>
              <w:ind w:left="31" w:right="-20"/>
              <w:rPr>
                <w:rFonts w:ascii="Times New Roman" w:eastAsia="Times New Roman" w:hAnsi="Times New Roman" w:cs="Times New Roman"/>
              </w:rPr>
            </w:pPr>
            <w:r w:rsidRPr="00CE4C3C">
              <w:rPr>
                <w:rFonts w:ascii="Times New Roman" w:eastAsia="Times New Roman" w:hAnsi="Times New Roman" w:cs="Times New Roman"/>
              </w:rPr>
              <w:t>Bendras išgyvenamumas (5 metų stebėjimas) (mediana, mėnesiai [95</w:t>
            </w:r>
            <w:r w:rsidR="00FB661F" w:rsidRPr="00CE4C3C">
              <w:rPr>
                <w:rFonts w:ascii="Times New Roman" w:eastAsia="Times New Roman" w:hAnsi="Times New Roman" w:cs="Times New Roman"/>
              </w:rPr>
              <w:t> </w:t>
            </w:r>
            <w:r w:rsidRPr="00CE4C3C">
              <w:rPr>
                <w:rFonts w:ascii="Times New Roman" w:eastAsia="Times New Roman" w:hAnsi="Times New Roman" w:cs="Times New Roman"/>
              </w:rPr>
              <w:t>% PI])</w:t>
            </w:r>
          </w:p>
        </w:tc>
        <w:tc>
          <w:tcPr>
            <w:tcW w:w="1559" w:type="dxa"/>
            <w:shd w:val="clear" w:color="auto" w:fill="auto"/>
          </w:tcPr>
          <w:p w14:paraId="2307AF21" w14:textId="77777777" w:rsidR="00F17A0C" w:rsidRPr="00CE4C3C" w:rsidRDefault="00F17A0C" w:rsidP="00CE4C3C">
            <w:pPr>
              <w:widowControl w:val="0"/>
              <w:tabs>
                <w:tab w:val="left" w:pos="567"/>
              </w:tabs>
              <w:autoSpaceDE w:val="0"/>
              <w:autoSpaceDN w:val="0"/>
              <w:adjustRightInd w:val="0"/>
              <w:spacing w:before="91"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w w:val="103"/>
              </w:rPr>
              <w:t>3</w:t>
            </w:r>
            <w:r w:rsidRPr="00CE4C3C">
              <w:rPr>
                <w:rFonts w:ascii="Times New Roman" w:eastAsia="Times New Roman" w:hAnsi="Times New Roman" w:cs="Times New Roman"/>
                <w:spacing w:val="-1"/>
                <w:w w:val="103"/>
              </w:rPr>
              <w:t>8</w:t>
            </w:r>
            <w:r w:rsidRPr="00CE4C3C">
              <w:rPr>
                <w:rFonts w:ascii="Times New Roman" w:eastAsia="Times New Roman" w:hAnsi="Times New Roman" w:cs="Times New Roman"/>
                <w:w w:val="103"/>
              </w:rPr>
              <w:t>,6</w:t>
            </w:r>
          </w:p>
          <w:p w14:paraId="78D6456C" w14:textId="77777777" w:rsidR="00F17A0C" w:rsidRPr="00CE4C3C" w:rsidRDefault="00F17A0C" w:rsidP="00CE4C3C">
            <w:pPr>
              <w:widowControl w:val="0"/>
              <w:tabs>
                <w:tab w:val="left" w:pos="567"/>
              </w:tabs>
              <w:autoSpaceDE w:val="0"/>
              <w:autoSpaceDN w:val="0"/>
              <w:adjustRightInd w:val="0"/>
              <w:spacing w:line="240" w:lineRule="auto"/>
              <w:ind w:right="-20"/>
              <w:jc w:val="center"/>
              <w:rPr>
                <w:rFonts w:ascii="Times New Roman" w:eastAsia="Times New Roman" w:hAnsi="Times New Roman" w:cs="Times New Roman"/>
              </w:rPr>
            </w:pPr>
            <w:r w:rsidRPr="00CE4C3C">
              <w:rPr>
                <w:rFonts w:ascii="Times New Roman" w:eastAsia="Times New Roman" w:hAnsi="Times New Roman" w:cs="Times New Roman"/>
              </w:rPr>
              <w:t>(2</w:t>
            </w:r>
            <w:r w:rsidRPr="00CE4C3C">
              <w:rPr>
                <w:rFonts w:ascii="Times New Roman" w:eastAsia="Times New Roman" w:hAnsi="Times New Roman" w:cs="Times New Roman"/>
                <w:spacing w:val="-1"/>
              </w:rPr>
              <w:t>5</w:t>
            </w:r>
            <w:r w:rsidRPr="00CE4C3C">
              <w:rPr>
                <w:rFonts w:ascii="Times New Roman" w:eastAsia="Times New Roman" w:hAnsi="Times New Roman" w:cs="Times New Roman"/>
              </w:rPr>
              <w:t>,6,</w:t>
            </w:r>
            <w:r w:rsidRPr="00CE4C3C">
              <w:rPr>
                <w:rFonts w:ascii="Times New Roman" w:eastAsia="Times New Roman" w:hAnsi="Times New Roman" w:cs="Times New Roman"/>
                <w:spacing w:val="14"/>
              </w:rPr>
              <w:t xml:space="preserve"> </w:t>
            </w:r>
            <w:r w:rsidRPr="00CE4C3C">
              <w:rPr>
                <w:rFonts w:ascii="Times New Roman" w:eastAsia="Times New Roman" w:hAnsi="Times New Roman" w:cs="Times New Roman"/>
                <w:w w:val="103"/>
              </w:rPr>
              <w:t>5</w:t>
            </w:r>
            <w:r w:rsidRPr="00CE4C3C">
              <w:rPr>
                <w:rFonts w:ascii="Times New Roman" w:eastAsia="Times New Roman" w:hAnsi="Times New Roman" w:cs="Times New Roman"/>
                <w:spacing w:val="-1"/>
                <w:w w:val="103"/>
              </w:rPr>
              <w:t>6</w:t>
            </w:r>
            <w:r w:rsidRPr="00CE4C3C">
              <w:rPr>
                <w:rFonts w:ascii="Times New Roman" w:eastAsia="Times New Roman" w:hAnsi="Times New Roman" w:cs="Times New Roman"/>
                <w:w w:val="103"/>
              </w:rPr>
              <w:t>,</w:t>
            </w:r>
            <w:r w:rsidRPr="00CE4C3C">
              <w:rPr>
                <w:rFonts w:ascii="Times New Roman" w:eastAsia="Times New Roman" w:hAnsi="Times New Roman" w:cs="Times New Roman"/>
                <w:spacing w:val="-1"/>
                <w:w w:val="103"/>
              </w:rPr>
              <w:t>4</w:t>
            </w:r>
            <w:r w:rsidRPr="00CE4C3C">
              <w:rPr>
                <w:rFonts w:ascii="Times New Roman" w:eastAsia="Times New Roman" w:hAnsi="Times New Roman" w:cs="Times New Roman"/>
                <w:w w:val="103"/>
              </w:rPr>
              <w:t>)</w:t>
            </w:r>
          </w:p>
        </w:tc>
        <w:tc>
          <w:tcPr>
            <w:tcW w:w="1559" w:type="dxa"/>
            <w:shd w:val="clear" w:color="auto" w:fill="auto"/>
          </w:tcPr>
          <w:p w14:paraId="4F324887" w14:textId="77777777" w:rsidR="00F17A0C" w:rsidRPr="00CE4C3C" w:rsidRDefault="00F17A0C" w:rsidP="00CE4C3C">
            <w:pPr>
              <w:widowControl w:val="0"/>
              <w:tabs>
                <w:tab w:val="left" w:pos="567"/>
              </w:tabs>
              <w:autoSpaceDE w:val="0"/>
              <w:autoSpaceDN w:val="0"/>
              <w:adjustRightInd w:val="0"/>
              <w:spacing w:before="91"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w w:val="103"/>
              </w:rPr>
              <w:t>2</w:t>
            </w:r>
            <w:r w:rsidRPr="00CE4C3C">
              <w:rPr>
                <w:rFonts w:ascii="Times New Roman" w:eastAsia="Times New Roman" w:hAnsi="Times New Roman" w:cs="Times New Roman"/>
                <w:spacing w:val="-1"/>
                <w:w w:val="103"/>
              </w:rPr>
              <w:t>9</w:t>
            </w:r>
            <w:r w:rsidRPr="00CE4C3C">
              <w:rPr>
                <w:rFonts w:ascii="Times New Roman" w:eastAsia="Times New Roman" w:hAnsi="Times New Roman" w:cs="Times New Roman"/>
                <w:w w:val="103"/>
              </w:rPr>
              <w:t>,1</w:t>
            </w:r>
          </w:p>
          <w:p w14:paraId="57154C77"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rPr>
              <w:t>(</w:t>
            </w:r>
            <w:r w:rsidRPr="00CE4C3C">
              <w:rPr>
                <w:rFonts w:ascii="Times New Roman" w:eastAsia="Times New Roman" w:hAnsi="Times New Roman" w:cs="Times New Roman"/>
                <w:spacing w:val="-1"/>
              </w:rPr>
              <w:t>1</w:t>
            </w:r>
            <w:r w:rsidRPr="00CE4C3C">
              <w:rPr>
                <w:rFonts w:ascii="Times New Roman" w:eastAsia="Times New Roman" w:hAnsi="Times New Roman" w:cs="Times New Roman"/>
              </w:rPr>
              <w:t>6,</w:t>
            </w:r>
            <w:r w:rsidRPr="00CE4C3C">
              <w:rPr>
                <w:rFonts w:ascii="Times New Roman" w:eastAsia="Times New Roman" w:hAnsi="Times New Roman" w:cs="Times New Roman"/>
                <w:spacing w:val="-1"/>
              </w:rPr>
              <w:t>4</w:t>
            </w:r>
            <w:r w:rsidRPr="00CE4C3C">
              <w:rPr>
                <w:rFonts w:ascii="Times New Roman" w:eastAsia="Times New Roman" w:hAnsi="Times New Roman" w:cs="Times New Roman"/>
              </w:rPr>
              <w:t>,</w:t>
            </w:r>
            <w:r w:rsidRPr="00CE4C3C">
              <w:rPr>
                <w:rFonts w:ascii="Times New Roman" w:eastAsia="Times New Roman" w:hAnsi="Times New Roman" w:cs="Times New Roman"/>
                <w:spacing w:val="15"/>
              </w:rPr>
              <w:t xml:space="preserve"> </w:t>
            </w:r>
            <w:r w:rsidRPr="00CE4C3C">
              <w:rPr>
                <w:rFonts w:ascii="Times New Roman" w:eastAsia="Times New Roman" w:hAnsi="Times New Roman" w:cs="Times New Roman"/>
                <w:spacing w:val="-1"/>
                <w:w w:val="103"/>
              </w:rPr>
              <w:t>3</w:t>
            </w:r>
            <w:r w:rsidRPr="00CE4C3C">
              <w:rPr>
                <w:rFonts w:ascii="Times New Roman" w:eastAsia="Times New Roman" w:hAnsi="Times New Roman" w:cs="Times New Roman"/>
                <w:w w:val="103"/>
              </w:rPr>
              <w:t>6</w:t>
            </w:r>
            <w:r w:rsidRPr="00CE4C3C">
              <w:rPr>
                <w:rFonts w:ascii="Times New Roman" w:eastAsia="Times New Roman" w:hAnsi="Times New Roman" w:cs="Times New Roman"/>
                <w:spacing w:val="-1"/>
                <w:w w:val="103"/>
              </w:rPr>
              <w:t>,</w:t>
            </w:r>
            <w:r w:rsidRPr="00CE4C3C">
              <w:rPr>
                <w:rFonts w:ascii="Times New Roman" w:eastAsia="Times New Roman" w:hAnsi="Times New Roman" w:cs="Times New Roman"/>
                <w:w w:val="103"/>
              </w:rPr>
              <w:t>8)</w:t>
            </w:r>
          </w:p>
        </w:tc>
        <w:tc>
          <w:tcPr>
            <w:tcW w:w="1560" w:type="dxa"/>
            <w:shd w:val="clear" w:color="auto" w:fill="auto"/>
          </w:tcPr>
          <w:p w14:paraId="672360DF" w14:textId="77777777" w:rsidR="00F17A0C" w:rsidRPr="00CE4C3C" w:rsidRDefault="00F17A0C" w:rsidP="00CE4C3C">
            <w:pPr>
              <w:widowControl w:val="0"/>
              <w:tabs>
                <w:tab w:val="left" w:pos="567"/>
              </w:tabs>
              <w:autoSpaceDE w:val="0"/>
              <w:autoSpaceDN w:val="0"/>
              <w:adjustRightInd w:val="0"/>
              <w:spacing w:before="91" w:line="240" w:lineRule="auto"/>
              <w:ind w:left="36" w:right="-20"/>
              <w:jc w:val="center"/>
              <w:rPr>
                <w:rFonts w:ascii="Times New Roman" w:eastAsia="Times New Roman" w:hAnsi="Times New Roman" w:cs="Times New Roman"/>
              </w:rPr>
            </w:pPr>
            <w:r w:rsidRPr="00CE4C3C">
              <w:rPr>
                <w:rFonts w:ascii="Times New Roman" w:eastAsia="Times New Roman" w:hAnsi="Times New Roman" w:cs="Times New Roman"/>
                <w:spacing w:val="-1"/>
                <w:w w:val="103"/>
              </w:rPr>
              <w:t>0</w:t>
            </w:r>
            <w:r w:rsidRPr="00CE4C3C">
              <w:rPr>
                <w:rFonts w:ascii="Times New Roman" w:eastAsia="Times New Roman" w:hAnsi="Times New Roman" w:cs="Times New Roman"/>
                <w:w w:val="103"/>
              </w:rPr>
              <w:t>,</w:t>
            </w:r>
            <w:r w:rsidRPr="00CE4C3C">
              <w:rPr>
                <w:rFonts w:ascii="Times New Roman" w:eastAsia="Times New Roman" w:hAnsi="Times New Roman" w:cs="Times New Roman"/>
                <w:spacing w:val="-1"/>
                <w:w w:val="103"/>
              </w:rPr>
              <w:t>7</w:t>
            </w:r>
            <w:r w:rsidRPr="00CE4C3C">
              <w:rPr>
                <w:rFonts w:ascii="Times New Roman" w:eastAsia="Times New Roman" w:hAnsi="Times New Roman" w:cs="Times New Roman"/>
                <w:w w:val="103"/>
              </w:rPr>
              <w:t>30</w:t>
            </w:r>
          </w:p>
          <w:p w14:paraId="53483D94" w14:textId="77777777" w:rsidR="00F17A0C" w:rsidRPr="00CE4C3C" w:rsidRDefault="00F17A0C" w:rsidP="00CE4C3C">
            <w:pPr>
              <w:widowControl w:val="0"/>
              <w:tabs>
                <w:tab w:val="left" w:pos="567"/>
              </w:tabs>
              <w:autoSpaceDE w:val="0"/>
              <w:autoSpaceDN w:val="0"/>
              <w:adjustRightInd w:val="0"/>
              <w:spacing w:line="240" w:lineRule="auto"/>
              <w:ind w:right="-20"/>
              <w:jc w:val="center"/>
              <w:rPr>
                <w:rFonts w:ascii="Times New Roman" w:eastAsia="Times New Roman" w:hAnsi="Times New Roman" w:cs="Times New Roman"/>
              </w:rPr>
            </w:pPr>
            <w:r w:rsidRPr="00CE4C3C">
              <w:rPr>
                <w:rFonts w:ascii="Times New Roman" w:eastAsia="Times New Roman" w:hAnsi="Times New Roman" w:cs="Times New Roman"/>
                <w:spacing w:val="-1"/>
              </w:rPr>
              <w:t>(</w:t>
            </w:r>
            <w:r w:rsidRPr="00CE4C3C">
              <w:rPr>
                <w:rFonts w:ascii="Times New Roman" w:eastAsia="Times New Roman" w:hAnsi="Times New Roman" w:cs="Times New Roman"/>
              </w:rPr>
              <w:t>0,</w:t>
            </w:r>
            <w:r w:rsidRPr="00CE4C3C">
              <w:rPr>
                <w:rFonts w:ascii="Times New Roman" w:eastAsia="Times New Roman" w:hAnsi="Times New Roman" w:cs="Times New Roman"/>
                <w:spacing w:val="-1"/>
              </w:rPr>
              <w:t>5</w:t>
            </w:r>
            <w:r w:rsidRPr="00CE4C3C">
              <w:rPr>
                <w:rFonts w:ascii="Times New Roman" w:eastAsia="Times New Roman" w:hAnsi="Times New Roman" w:cs="Times New Roman"/>
              </w:rPr>
              <w:t>0</w:t>
            </w:r>
            <w:r w:rsidRPr="00CE4C3C">
              <w:rPr>
                <w:rFonts w:ascii="Times New Roman" w:eastAsia="Times New Roman" w:hAnsi="Times New Roman" w:cs="Times New Roman"/>
                <w:spacing w:val="-1"/>
              </w:rPr>
              <w:t>4</w:t>
            </w:r>
            <w:r w:rsidRPr="00CE4C3C">
              <w:rPr>
                <w:rFonts w:ascii="Times New Roman" w:eastAsia="Times New Roman" w:hAnsi="Times New Roman" w:cs="Times New Roman"/>
              </w:rPr>
              <w:t>,</w:t>
            </w:r>
            <w:r w:rsidRPr="00CE4C3C">
              <w:rPr>
                <w:rFonts w:ascii="Times New Roman" w:eastAsia="Times New Roman" w:hAnsi="Times New Roman" w:cs="Times New Roman"/>
                <w:spacing w:val="18"/>
              </w:rPr>
              <w:t xml:space="preserve"> </w:t>
            </w:r>
            <w:r w:rsidRPr="00CE4C3C">
              <w:rPr>
                <w:rFonts w:ascii="Times New Roman" w:eastAsia="Times New Roman" w:hAnsi="Times New Roman" w:cs="Times New Roman"/>
                <w:spacing w:val="-1"/>
                <w:w w:val="103"/>
              </w:rPr>
              <w:t>1,</w:t>
            </w:r>
            <w:r w:rsidRPr="00CE4C3C">
              <w:rPr>
                <w:rFonts w:ascii="Times New Roman" w:eastAsia="Times New Roman" w:hAnsi="Times New Roman" w:cs="Times New Roman"/>
                <w:w w:val="103"/>
              </w:rPr>
              <w:t>0</w:t>
            </w:r>
            <w:r w:rsidRPr="00CE4C3C">
              <w:rPr>
                <w:rFonts w:ascii="Times New Roman" w:eastAsia="Times New Roman" w:hAnsi="Times New Roman" w:cs="Times New Roman"/>
                <w:spacing w:val="-1"/>
                <w:w w:val="103"/>
              </w:rPr>
              <w:t>5</w:t>
            </w:r>
            <w:r w:rsidRPr="00CE4C3C">
              <w:rPr>
                <w:rFonts w:ascii="Times New Roman" w:eastAsia="Times New Roman" w:hAnsi="Times New Roman" w:cs="Times New Roman"/>
                <w:w w:val="103"/>
              </w:rPr>
              <w:t>7)</w:t>
            </w:r>
          </w:p>
        </w:tc>
        <w:tc>
          <w:tcPr>
            <w:tcW w:w="1382" w:type="dxa"/>
            <w:shd w:val="clear" w:color="auto" w:fill="auto"/>
          </w:tcPr>
          <w:p w14:paraId="156F2631"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rPr>
              <w:t>0,</w:t>
            </w:r>
            <w:r w:rsidRPr="00CE4C3C">
              <w:rPr>
                <w:rFonts w:ascii="Times New Roman" w:eastAsia="Times New Roman" w:hAnsi="Times New Roman" w:cs="Times New Roman"/>
                <w:spacing w:val="-1"/>
              </w:rPr>
              <w:t>0</w:t>
            </w:r>
            <w:r w:rsidRPr="00CE4C3C">
              <w:rPr>
                <w:rFonts w:ascii="Times New Roman" w:eastAsia="Times New Roman" w:hAnsi="Times New Roman" w:cs="Times New Roman"/>
              </w:rPr>
              <w:t>9</w:t>
            </w:r>
            <w:r w:rsidRPr="00CE4C3C">
              <w:rPr>
                <w:rFonts w:ascii="Times New Roman" w:eastAsia="Times New Roman" w:hAnsi="Times New Roman" w:cs="Times New Roman"/>
                <w:spacing w:val="-1"/>
              </w:rPr>
              <w:t>4</w:t>
            </w:r>
            <w:r w:rsidRPr="00CE4C3C">
              <w:rPr>
                <w:rFonts w:ascii="Times New Roman" w:eastAsia="Times New Roman" w:hAnsi="Times New Roman" w:cs="Times New Roman"/>
              </w:rPr>
              <w:t>0</w:t>
            </w:r>
            <w:r w:rsidRPr="00CE4C3C">
              <w:rPr>
                <w:rFonts w:ascii="Times New Roman" w:eastAsia="Times New Roman" w:hAnsi="Times New Roman" w:cs="Times New Roman"/>
                <w:w w:val="101"/>
                <w:position w:val="8"/>
                <w:vertAlign w:val="superscript"/>
              </w:rPr>
              <w:t>a</w:t>
            </w:r>
          </w:p>
        </w:tc>
      </w:tr>
      <w:tr w:rsidR="00F17A0C" w:rsidRPr="00CE4C3C" w14:paraId="2A7317C0" w14:textId="77777777" w:rsidTr="000417F6">
        <w:tc>
          <w:tcPr>
            <w:tcW w:w="3227" w:type="dxa"/>
            <w:shd w:val="clear" w:color="auto" w:fill="auto"/>
          </w:tcPr>
          <w:p w14:paraId="2B6DA6C6" w14:textId="77777777" w:rsidR="00F17A0C" w:rsidRPr="00CE4C3C" w:rsidRDefault="00F17A0C" w:rsidP="00CE4C3C">
            <w:pPr>
              <w:widowControl w:val="0"/>
              <w:tabs>
                <w:tab w:val="left" w:pos="567"/>
              </w:tabs>
              <w:autoSpaceDE w:val="0"/>
              <w:autoSpaceDN w:val="0"/>
              <w:adjustRightInd w:val="0"/>
              <w:spacing w:line="240" w:lineRule="auto"/>
              <w:ind w:left="31" w:right="-20"/>
              <w:rPr>
                <w:rFonts w:ascii="Times New Roman" w:eastAsia="Times New Roman" w:hAnsi="Times New Roman" w:cs="Times New Roman"/>
              </w:rPr>
            </w:pPr>
            <w:r w:rsidRPr="00CE4C3C">
              <w:rPr>
                <w:rFonts w:ascii="Times New Roman" w:eastAsia="Times New Roman" w:hAnsi="Times New Roman" w:cs="Times New Roman"/>
              </w:rPr>
              <w:t>Objektyvaus atsako dažnis (%, [95 % PI])</w:t>
            </w:r>
          </w:p>
        </w:tc>
        <w:tc>
          <w:tcPr>
            <w:tcW w:w="1559" w:type="dxa"/>
            <w:shd w:val="clear" w:color="auto" w:fill="auto"/>
          </w:tcPr>
          <w:p w14:paraId="28A3BA72"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w w:val="103"/>
              </w:rPr>
              <w:t>9,3</w:t>
            </w:r>
          </w:p>
          <w:p w14:paraId="2C3469F4"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rPr>
              <w:t>(3</w:t>
            </w:r>
            <w:r w:rsidRPr="00CE4C3C">
              <w:rPr>
                <w:rFonts w:ascii="Times New Roman" w:eastAsia="Times New Roman" w:hAnsi="Times New Roman" w:cs="Times New Roman"/>
                <w:spacing w:val="-1"/>
              </w:rPr>
              <w:t>,</w:t>
            </w:r>
            <w:r w:rsidRPr="00CE4C3C">
              <w:rPr>
                <w:rFonts w:ascii="Times New Roman" w:eastAsia="Times New Roman" w:hAnsi="Times New Roman" w:cs="Times New Roman"/>
              </w:rPr>
              <w:t>2,</w:t>
            </w:r>
            <w:r w:rsidRPr="00CE4C3C">
              <w:rPr>
                <w:rFonts w:ascii="Times New Roman" w:eastAsia="Times New Roman" w:hAnsi="Times New Roman" w:cs="Times New Roman"/>
                <w:spacing w:val="11"/>
              </w:rPr>
              <w:t xml:space="preserve"> </w:t>
            </w:r>
            <w:r w:rsidRPr="00CE4C3C">
              <w:rPr>
                <w:rFonts w:ascii="Times New Roman" w:eastAsia="Times New Roman" w:hAnsi="Times New Roman" w:cs="Times New Roman"/>
                <w:w w:val="103"/>
              </w:rPr>
              <w:t>15</w:t>
            </w:r>
            <w:r w:rsidRPr="00CE4C3C">
              <w:rPr>
                <w:rFonts w:ascii="Times New Roman" w:eastAsia="Times New Roman" w:hAnsi="Times New Roman" w:cs="Times New Roman"/>
                <w:spacing w:val="-1"/>
                <w:w w:val="103"/>
              </w:rPr>
              <w:t>,</w:t>
            </w:r>
            <w:r w:rsidRPr="00CE4C3C">
              <w:rPr>
                <w:rFonts w:ascii="Times New Roman" w:eastAsia="Times New Roman" w:hAnsi="Times New Roman" w:cs="Times New Roman"/>
                <w:w w:val="103"/>
              </w:rPr>
              <w:t>4)</w:t>
            </w:r>
          </w:p>
        </w:tc>
        <w:tc>
          <w:tcPr>
            <w:tcW w:w="1559" w:type="dxa"/>
            <w:shd w:val="clear" w:color="auto" w:fill="auto"/>
          </w:tcPr>
          <w:p w14:paraId="71D17481"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w w:val="103"/>
              </w:rPr>
              <w:t>0</w:t>
            </w:r>
          </w:p>
        </w:tc>
        <w:tc>
          <w:tcPr>
            <w:tcW w:w="1560" w:type="dxa"/>
            <w:shd w:val="clear" w:color="auto" w:fill="auto"/>
          </w:tcPr>
          <w:p w14:paraId="0B6F61EB" w14:textId="77777777" w:rsidR="00F17A0C" w:rsidRPr="00CE4C3C" w:rsidRDefault="00F17A0C" w:rsidP="00CE4C3C">
            <w:pPr>
              <w:widowControl w:val="0"/>
              <w:tabs>
                <w:tab w:val="left" w:pos="567"/>
              </w:tabs>
              <w:autoSpaceDE w:val="0"/>
              <w:autoSpaceDN w:val="0"/>
              <w:adjustRightInd w:val="0"/>
              <w:spacing w:line="240" w:lineRule="auto"/>
              <w:ind w:left="36" w:right="-20"/>
              <w:jc w:val="center"/>
              <w:rPr>
                <w:rFonts w:ascii="Times New Roman" w:eastAsia="Times New Roman" w:hAnsi="Times New Roman" w:cs="Times New Roman"/>
              </w:rPr>
            </w:pPr>
            <w:r w:rsidRPr="00CE4C3C">
              <w:rPr>
                <w:rFonts w:ascii="Times New Roman" w:eastAsia="Times New Roman" w:hAnsi="Times New Roman" w:cs="Times New Roman"/>
                <w:w w:val="103"/>
              </w:rPr>
              <w:t>ND</w:t>
            </w:r>
          </w:p>
        </w:tc>
        <w:tc>
          <w:tcPr>
            <w:tcW w:w="1382" w:type="dxa"/>
            <w:shd w:val="clear" w:color="auto" w:fill="auto"/>
          </w:tcPr>
          <w:p w14:paraId="4B0C1AF5" w14:textId="77777777" w:rsidR="00F17A0C" w:rsidRPr="00CE4C3C" w:rsidRDefault="00F17A0C" w:rsidP="00CE4C3C">
            <w:pPr>
              <w:widowControl w:val="0"/>
              <w:tabs>
                <w:tab w:val="left" w:pos="567"/>
              </w:tabs>
              <w:autoSpaceDE w:val="0"/>
              <w:autoSpaceDN w:val="0"/>
              <w:adjustRightInd w:val="0"/>
              <w:spacing w:line="240" w:lineRule="auto"/>
              <w:ind w:left="35" w:right="-20"/>
              <w:jc w:val="center"/>
              <w:rPr>
                <w:rFonts w:ascii="Times New Roman" w:eastAsia="Times New Roman" w:hAnsi="Times New Roman" w:cs="Times New Roman"/>
              </w:rPr>
            </w:pPr>
            <w:r w:rsidRPr="00CE4C3C">
              <w:rPr>
                <w:rFonts w:ascii="Times New Roman" w:eastAsia="Times New Roman" w:hAnsi="Times New Roman" w:cs="Times New Roman"/>
                <w:w w:val="103"/>
              </w:rPr>
              <w:t>0,</w:t>
            </w:r>
            <w:r w:rsidRPr="00CE4C3C">
              <w:rPr>
                <w:rFonts w:ascii="Times New Roman" w:eastAsia="Times New Roman" w:hAnsi="Times New Roman" w:cs="Times New Roman"/>
                <w:spacing w:val="-1"/>
                <w:w w:val="103"/>
              </w:rPr>
              <w:t>0</w:t>
            </w:r>
            <w:r w:rsidRPr="00CE4C3C">
              <w:rPr>
                <w:rFonts w:ascii="Times New Roman" w:eastAsia="Times New Roman" w:hAnsi="Times New Roman" w:cs="Times New Roman"/>
                <w:w w:val="103"/>
              </w:rPr>
              <w:t>0</w:t>
            </w:r>
            <w:r w:rsidRPr="00CE4C3C">
              <w:rPr>
                <w:rFonts w:ascii="Times New Roman" w:eastAsia="Times New Roman" w:hAnsi="Times New Roman" w:cs="Times New Roman"/>
                <w:spacing w:val="-1"/>
                <w:w w:val="103"/>
              </w:rPr>
              <w:t>6</w:t>
            </w:r>
            <w:r w:rsidRPr="00CE4C3C">
              <w:rPr>
                <w:rFonts w:ascii="Times New Roman" w:eastAsia="Times New Roman" w:hAnsi="Times New Roman" w:cs="Times New Roman"/>
                <w:w w:val="103"/>
              </w:rPr>
              <w:t>6</w:t>
            </w:r>
            <w:r w:rsidRPr="00CE4C3C">
              <w:rPr>
                <w:rFonts w:ascii="Times New Roman" w:eastAsia="Times New Roman" w:hAnsi="Times New Roman" w:cs="Times New Roman"/>
                <w:w w:val="101"/>
                <w:position w:val="8"/>
                <w:vertAlign w:val="superscript"/>
              </w:rPr>
              <w:t>b</w:t>
            </w:r>
          </w:p>
        </w:tc>
      </w:tr>
    </w:tbl>
    <w:p w14:paraId="1C62E610"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Calibri" w:hAnsi="Times New Roman" w:cs="Times New Roman"/>
        </w:rPr>
        <w:t xml:space="preserve">Santrumpos: </w:t>
      </w:r>
      <w:r w:rsidRPr="00CE4C3C">
        <w:rPr>
          <w:rFonts w:ascii="Times New Roman" w:eastAsia="Times New Roman" w:hAnsi="Times New Roman" w:cs="Times New Roman"/>
          <w:lang w:eastAsia="lt-LT" w:bidi="lt-LT"/>
        </w:rPr>
        <w:t xml:space="preserve">PI= </w:t>
      </w:r>
      <w:proofErr w:type="spellStart"/>
      <w:r w:rsidRPr="00CE4C3C">
        <w:rPr>
          <w:rFonts w:ascii="Times New Roman" w:eastAsia="Times New Roman" w:hAnsi="Times New Roman" w:cs="Times New Roman"/>
          <w:lang w:eastAsia="lt-LT" w:bidi="lt-LT"/>
        </w:rPr>
        <w:t>pasikliautinasis</w:t>
      </w:r>
      <w:proofErr w:type="spellEnd"/>
      <w:r w:rsidRPr="00CE4C3C">
        <w:rPr>
          <w:rFonts w:ascii="Times New Roman" w:eastAsia="Times New Roman" w:hAnsi="Times New Roman" w:cs="Times New Roman"/>
          <w:lang w:eastAsia="lt-LT" w:bidi="lt-LT"/>
        </w:rPr>
        <w:t xml:space="preserve"> intervalas, </w:t>
      </w:r>
      <w:r w:rsidRPr="00CE4C3C">
        <w:rPr>
          <w:rFonts w:ascii="Times New Roman" w:eastAsia="Calibri" w:hAnsi="Times New Roman" w:cs="Times New Roman"/>
        </w:rPr>
        <w:t xml:space="preserve">N = pacientų skaičius, </w:t>
      </w:r>
      <w:r w:rsidRPr="00CE4C3C">
        <w:rPr>
          <w:rFonts w:ascii="Times New Roman" w:eastAsia="Times New Roman" w:hAnsi="Times New Roman" w:cs="Times New Roman"/>
          <w:lang w:eastAsia="lt-LT" w:bidi="lt-LT"/>
        </w:rPr>
        <w:t xml:space="preserve">RS=rizikos santykis, ND=nėra duomenų, </w:t>
      </w:r>
      <w:proofErr w:type="spellStart"/>
      <w:r w:rsidRPr="00CE4C3C">
        <w:rPr>
          <w:rFonts w:ascii="Times New Roman" w:eastAsia="Times New Roman" w:hAnsi="Times New Roman" w:cs="Times New Roman"/>
        </w:rPr>
        <w:t>kNEN</w:t>
      </w:r>
      <w:proofErr w:type="spellEnd"/>
      <w:r w:rsidRPr="00CE4C3C">
        <w:rPr>
          <w:rFonts w:ascii="Times New Roman" w:eastAsia="Calibri" w:hAnsi="Times New Roman" w:cs="Times New Roman"/>
        </w:rPr>
        <w:t xml:space="preserve">=kasos </w:t>
      </w:r>
      <w:proofErr w:type="spellStart"/>
      <w:r w:rsidRPr="00CE4C3C">
        <w:rPr>
          <w:rFonts w:ascii="Times New Roman" w:eastAsia="Calibri" w:hAnsi="Times New Roman" w:cs="Times New Roman"/>
        </w:rPr>
        <w:t>neuroendokrininiai</w:t>
      </w:r>
      <w:proofErr w:type="spellEnd"/>
      <w:r w:rsidRPr="00CE4C3C">
        <w:rPr>
          <w:rFonts w:ascii="Times New Roman" w:eastAsia="Calibri" w:hAnsi="Times New Roman" w:cs="Times New Roman"/>
        </w:rPr>
        <w:t xml:space="preserve"> navikai, RECIST = </w:t>
      </w:r>
      <w:proofErr w:type="spellStart"/>
      <w:r w:rsidRPr="00CE4C3C">
        <w:rPr>
          <w:rFonts w:ascii="Times New Roman" w:eastAsia="Calibri" w:hAnsi="Times New Roman" w:cs="Times New Roman"/>
        </w:rPr>
        <w:t>solidinių</w:t>
      </w:r>
      <w:proofErr w:type="spellEnd"/>
      <w:r w:rsidRPr="00CE4C3C">
        <w:rPr>
          <w:rFonts w:ascii="Times New Roman" w:eastAsia="Calibri" w:hAnsi="Times New Roman" w:cs="Times New Roman"/>
        </w:rPr>
        <w:t xml:space="preserve"> navikų atsako vertinimo kriterijai</w:t>
      </w:r>
      <w:r w:rsidRPr="00CE4C3C">
        <w:rPr>
          <w:rFonts w:ascii="Times New Roman" w:eastAsia="Times New Roman" w:hAnsi="Times New Roman" w:cs="Times New Roman"/>
          <w:lang w:eastAsia="lt-LT" w:bidi="lt-LT"/>
        </w:rPr>
        <w:t xml:space="preserve">. </w:t>
      </w:r>
    </w:p>
    <w:p w14:paraId="1920A7F7" w14:textId="77777777" w:rsidR="00F17A0C" w:rsidRPr="00CE4C3C" w:rsidRDefault="00F17A0C" w:rsidP="00CE4C3C">
      <w:pPr>
        <w:tabs>
          <w:tab w:val="left" w:pos="567"/>
        </w:tabs>
        <w:spacing w:line="240" w:lineRule="auto"/>
        <w:ind w:left="142"/>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 xml:space="preserve">a </w:t>
      </w:r>
      <w:r w:rsidR="00FB661F" w:rsidRPr="00CE4C3C">
        <w:rPr>
          <w:rFonts w:ascii="Times New Roman" w:eastAsia="Times New Roman" w:hAnsi="Times New Roman" w:cs="Times New Roman"/>
          <w:lang w:eastAsia="lt-LT" w:bidi="lt-LT"/>
        </w:rPr>
        <w:t>d</w:t>
      </w:r>
      <w:r w:rsidRPr="00CE4C3C">
        <w:rPr>
          <w:rFonts w:ascii="Times New Roman" w:eastAsia="Times New Roman" w:hAnsi="Times New Roman" w:cs="Times New Roman"/>
          <w:lang w:eastAsia="lt-LT" w:bidi="lt-LT"/>
        </w:rPr>
        <w:t xml:space="preserve">vipusis nesluoksniuotasis logaritminio rango kriterijus. </w:t>
      </w:r>
    </w:p>
    <w:p w14:paraId="14D87265" w14:textId="77777777" w:rsidR="00F17A0C" w:rsidRPr="00CE4C3C" w:rsidRDefault="00F17A0C" w:rsidP="00CE4C3C">
      <w:pPr>
        <w:tabs>
          <w:tab w:val="left" w:pos="567"/>
        </w:tabs>
        <w:spacing w:line="240" w:lineRule="auto"/>
        <w:ind w:left="142"/>
        <w:rPr>
          <w:rFonts w:ascii="Times New Roman" w:eastAsia="Times New Roman" w:hAnsi="Times New Roman" w:cs="Times New Roman"/>
          <w:lang w:eastAsia="lt-LT" w:bidi="lt-LT"/>
        </w:rPr>
      </w:pPr>
      <w:r w:rsidRPr="00CE4C3C">
        <w:rPr>
          <w:rFonts w:ascii="Times New Roman" w:eastAsia="Times New Roman" w:hAnsi="Times New Roman" w:cs="Times New Roman"/>
          <w:vertAlign w:val="superscript"/>
          <w:lang w:eastAsia="lt-LT" w:bidi="lt-LT"/>
        </w:rPr>
        <w:t>b</w:t>
      </w:r>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chi</w:t>
      </w:r>
      <w:proofErr w:type="spellEnd"/>
      <w:r w:rsidRPr="00CE4C3C">
        <w:rPr>
          <w:rFonts w:ascii="Times New Roman" w:eastAsia="Times New Roman" w:hAnsi="Times New Roman" w:cs="Times New Roman"/>
          <w:lang w:eastAsia="lt-LT" w:bidi="lt-LT"/>
        </w:rPr>
        <w:t xml:space="preserve"> kvadrato kriterijus (</w:t>
      </w:r>
      <w:proofErr w:type="spellStart"/>
      <w:r w:rsidRPr="00CE4C3C">
        <w:rPr>
          <w:rFonts w:ascii="Times New Roman" w:eastAsia="Times New Roman" w:hAnsi="Times New Roman" w:cs="Times New Roman"/>
          <w:i/>
          <w:lang w:eastAsia="lt-LT" w:bidi="lt-LT"/>
        </w:rPr>
        <w:t>Fisher</w:t>
      </w:r>
      <w:proofErr w:type="spellEnd"/>
      <w:r w:rsidRPr="00CE4C3C">
        <w:rPr>
          <w:rFonts w:ascii="Times New Roman" w:eastAsia="Times New Roman" w:hAnsi="Times New Roman" w:cs="Times New Roman"/>
          <w:lang w:eastAsia="lt-LT" w:bidi="lt-LT"/>
        </w:rPr>
        <w:t>).</w:t>
      </w:r>
    </w:p>
    <w:p w14:paraId="4EA940F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5D1C3FDD" w14:textId="1D57E060" w:rsidR="00F17A0C" w:rsidRPr="00CE4C3C" w:rsidRDefault="00F17A0C" w:rsidP="00CE4C3C">
      <w:pPr>
        <w:tabs>
          <w:tab w:val="left" w:pos="567"/>
        </w:tabs>
        <w:spacing w:line="240" w:lineRule="auto"/>
        <w:rPr>
          <w:rFonts w:ascii="Times New Roman" w:eastAsia="Times New Roman" w:hAnsi="Times New Roman" w:cs="Times New Roman"/>
          <w:b/>
          <w:lang w:eastAsia="lt-LT" w:bidi="lt-LT"/>
        </w:rPr>
      </w:pPr>
      <w:r w:rsidRPr="00CE4C3C">
        <w:rPr>
          <w:rFonts w:ascii="Times New Roman" w:eastAsia="Times New Roman" w:hAnsi="Times New Roman" w:cs="Times New Roman"/>
          <w:b/>
          <w:lang w:eastAsia="lt-LT" w:bidi="lt-LT"/>
        </w:rPr>
        <w:lastRenderedPageBreak/>
        <w:t xml:space="preserve">1 paveikslas. Klinikinio 3 fazės </w:t>
      </w:r>
      <w:proofErr w:type="spellStart"/>
      <w:r w:rsidRPr="00CE4C3C">
        <w:rPr>
          <w:rFonts w:ascii="Times New Roman" w:eastAsia="Times New Roman" w:hAnsi="Times New Roman" w:cs="Times New Roman"/>
          <w:b/>
          <w:lang w:eastAsia="lt-LT" w:bidi="lt-LT"/>
        </w:rPr>
        <w:t>kNEN</w:t>
      </w:r>
      <w:proofErr w:type="spellEnd"/>
      <w:r w:rsidRPr="00CE4C3C">
        <w:rPr>
          <w:rFonts w:ascii="Times New Roman" w:eastAsia="Times New Roman" w:hAnsi="Times New Roman" w:cs="Times New Roman"/>
          <w:b/>
          <w:lang w:eastAsia="lt-LT" w:bidi="lt-LT"/>
        </w:rPr>
        <w:t xml:space="preserve"> tyrimo I</w:t>
      </w:r>
      <w:r w:rsidR="003C5782">
        <w:rPr>
          <w:rFonts w:ascii="Times New Roman" w:eastAsia="Times New Roman" w:hAnsi="Times New Roman" w:cs="Times New Roman"/>
          <w:b/>
          <w:lang w:eastAsia="lt-LT" w:bidi="lt-LT"/>
        </w:rPr>
        <w:t>BL</w:t>
      </w:r>
      <w:r w:rsidRPr="00CE4C3C">
        <w:rPr>
          <w:rFonts w:ascii="Times New Roman" w:eastAsia="Times New Roman" w:hAnsi="Times New Roman" w:cs="Times New Roman"/>
          <w:b/>
          <w:lang w:eastAsia="lt-LT" w:bidi="lt-LT"/>
        </w:rPr>
        <w:t>P Kaplano-</w:t>
      </w:r>
      <w:proofErr w:type="spellStart"/>
      <w:r w:rsidRPr="00CE4C3C">
        <w:rPr>
          <w:rFonts w:ascii="Times New Roman" w:eastAsia="Times New Roman" w:hAnsi="Times New Roman" w:cs="Times New Roman"/>
          <w:b/>
          <w:lang w:eastAsia="lt-LT" w:bidi="lt-LT"/>
        </w:rPr>
        <w:t>Mejerio</w:t>
      </w:r>
      <w:proofErr w:type="spellEnd"/>
      <w:r w:rsidRPr="00CE4C3C">
        <w:rPr>
          <w:rFonts w:ascii="Times New Roman" w:eastAsia="Times New Roman" w:hAnsi="Times New Roman" w:cs="Times New Roman"/>
          <w:b/>
          <w:lang w:eastAsia="lt-LT" w:bidi="lt-LT"/>
        </w:rPr>
        <w:t xml:space="preserve"> </w:t>
      </w:r>
      <w:r w:rsidR="003C5782">
        <w:rPr>
          <w:rFonts w:ascii="Times New Roman" w:eastAsia="Times New Roman" w:hAnsi="Times New Roman" w:cs="Times New Roman"/>
          <w:b/>
          <w:lang w:eastAsia="lt-LT" w:bidi="lt-LT"/>
        </w:rPr>
        <w:t>(</w:t>
      </w:r>
      <w:proofErr w:type="spellStart"/>
      <w:r w:rsidR="003C5782" w:rsidRPr="004E44DA">
        <w:rPr>
          <w:rFonts w:ascii="Times New Roman" w:eastAsia="Times New Roman" w:hAnsi="Times New Roman" w:cs="Times New Roman"/>
          <w:b/>
          <w:bCs/>
          <w:i/>
          <w:lang w:eastAsia="lt-LT" w:bidi="lt-LT"/>
        </w:rPr>
        <w:t>Kaplan-Meier</w:t>
      </w:r>
      <w:proofErr w:type="spellEnd"/>
      <w:r w:rsidR="003C5782" w:rsidRPr="003C5782">
        <w:rPr>
          <w:rFonts w:ascii="Times New Roman" w:eastAsia="Times New Roman" w:hAnsi="Times New Roman" w:cs="Times New Roman"/>
          <w:b/>
          <w:lang w:eastAsia="lt-LT" w:bidi="lt-LT"/>
        </w:rPr>
        <w:t>)</w:t>
      </w:r>
      <w:r w:rsidR="003C5782">
        <w:rPr>
          <w:rFonts w:ascii="Times New Roman" w:eastAsia="Times New Roman" w:hAnsi="Times New Roman" w:cs="Times New Roman"/>
          <w:b/>
          <w:lang w:eastAsia="lt-LT" w:bidi="lt-LT"/>
        </w:rPr>
        <w:t xml:space="preserve"> </w:t>
      </w:r>
      <w:r w:rsidRPr="00CE4C3C">
        <w:rPr>
          <w:rFonts w:ascii="Times New Roman" w:eastAsia="Times New Roman" w:hAnsi="Times New Roman" w:cs="Times New Roman"/>
          <w:b/>
          <w:lang w:eastAsia="lt-LT" w:bidi="lt-LT"/>
        </w:rPr>
        <w:t>kreivė</w:t>
      </w:r>
    </w:p>
    <w:p w14:paraId="1FCADC4A"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4471BA5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noProof/>
          <w:lang w:eastAsia="lt-LT"/>
        </w:rPr>
        <w:drawing>
          <wp:inline distT="0" distB="0" distL="0" distR="0" wp14:anchorId="48938028" wp14:editId="5DA84FC1">
            <wp:extent cx="4988505" cy="3124200"/>
            <wp:effectExtent l="0" t="0" r="3175" b="0"/>
            <wp:docPr id="1" name="Paveikslėlis 1" descr="grafi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7318" cy="3129719"/>
                    </a:xfrm>
                    <a:prstGeom prst="rect">
                      <a:avLst/>
                    </a:prstGeom>
                    <a:noFill/>
                    <a:ln>
                      <a:noFill/>
                    </a:ln>
                  </pic:spPr>
                </pic:pic>
              </a:graphicData>
            </a:graphic>
          </wp:inline>
        </w:drawing>
      </w:r>
    </w:p>
    <w:p w14:paraId="5A06123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35F69350" w14:textId="0371ADEC" w:rsidR="00F17A0C" w:rsidRPr="00CE4C3C" w:rsidRDefault="00F17A0C" w:rsidP="00CE4C3C">
      <w:pPr>
        <w:tabs>
          <w:tab w:val="left" w:pos="567"/>
        </w:tabs>
        <w:spacing w:line="240" w:lineRule="auto"/>
        <w:rPr>
          <w:rFonts w:ascii="Times New Roman" w:eastAsia="Times New Roman" w:hAnsi="Times New Roman" w:cs="Times New Roman"/>
          <w:i/>
          <w:lang w:eastAsia="lt-LT" w:bidi="lt-LT"/>
        </w:rPr>
      </w:pPr>
      <w:r w:rsidRPr="00CE4C3C">
        <w:rPr>
          <w:rFonts w:ascii="Times New Roman" w:eastAsia="Calibri" w:hAnsi="Times New Roman" w:cs="Times New Roman"/>
        </w:rPr>
        <w:t xml:space="preserve">Santrumpos: </w:t>
      </w:r>
      <w:r w:rsidRPr="00CE4C3C">
        <w:rPr>
          <w:rFonts w:ascii="Times New Roman" w:eastAsia="Times New Roman" w:hAnsi="Times New Roman" w:cs="Times New Roman"/>
          <w:lang w:eastAsia="lt-LT" w:bidi="lt-LT"/>
        </w:rPr>
        <w:t>PI=</w:t>
      </w:r>
      <w:proofErr w:type="spellStart"/>
      <w:r w:rsidRPr="00CE4C3C">
        <w:rPr>
          <w:rFonts w:ascii="Times New Roman" w:eastAsia="Times New Roman" w:hAnsi="Times New Roman" w:cs="Times New Roman"/>
          <w:lang w:eastAsia="lt-LT" w:bidi="lt-LT"/>
        </w:rPr>
        <w:t>pasikliautinasis</w:t>
      </w:r>
      <w:proofErr w:type="spellEnd"/>
      <w:r w:rsidRPr="00CE4C3C">
        <w:rPr>
          <w:rFonts w:ascii="Times New Roman" w:eastAsia="Times New Roman" w:hAnsi="Times New Roman" w:cs="Times New Roman"/>
          <w:lang w:eastAsia="lt-LT" w:bidi="lt-LT"/>
        </w:rPr>
        <w:t xml:space="preserve"> intervalas, N=pacientų skaičius, </w:t>
      </w:r>
      <w:r w:rsidRPr="00CE4C3C">
        <w:rPr>
          <w:rFonts w:ascii="Times New Roman" w:eastAsia="Calibri" w:hAnsi="Times New Roman" w:cs="Times New Roman"/>
        </w:rPr>
        <w:t>I</w:t>
      </w:r>
      <w:r w:rsidR="003C5782">
        <w:rPr>
          <w:rFonts w:ascii="Times New Roman" w:eastAsia="Calibri" w:hAnsi="Times New Roman" w:cs="Times New Roman"/>
        </w:rPr>
        <w:t>BL</w:t>
      </w:r>
      <w:r w:rsidRPr="00CE4C3C">
        <w:rPr>
          <w:rFonts w:ascii="Times New Roman" w:eastAsia="Calibri" w:hAnsi="Times New Roman" w:cs="Times New Roman"/>
        </w:rPr>
        <w:t xml:space="preserve">P = išgyvenamumas be </w:t>
      </w:r>
      <w:r w:rsidR="003C5782">
        <w:rPr>
          <w:rFonts w:ascii="Times New Roman" w:eastAsia="Calibri" w:hAnsi="Times New Roman" w:cs="Times New Roman"/>
        </w:rPr>
        <w:t xml:space="preserve">ligos </w:t>
      </w:r>
      <w:r w:rsidRPr="00CE4C3C">
        <w:rPr>
          <w:rFonts w:ascii="Times New Roman" w:eastAsia="Calibri" w:hAnsi="Times New Roman" w:cs="Times New Roman"/>
        </w:rPr>
        <w:t>progresavimo,</w:t>
      </w:r>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lang w:eastAsia="lt-LT" w:bidi="lt-LT"/>
        </w:rPr>
        <w:t>kNEN</w:t>
      </w:r>
      <w:proofErr w:type="spellEnd"/>
      <w:r w:rsidRPr="00CE4C3C">
        <w:rPr>
          <w:rFonts w:ascii="Times New Roman" w:eastAsia="Times New Roman" w:hAnsi="Times New Roman" w:cs="Times New Roman"/>
          <w:lang w:eastAsia="lt-LT" w:bidi="lt-LT"/>
        </w:rPr>
        <w:t xml:space="preserve">=kasos </w:t>
      </w:r>
      <w:proofErr w:type="spellStart"/>
      <w:r w:rsidRPr="00CE4C3C">
        <w:rPr>
          <w:rFonts w:ascii="Times New Roman" w:eastAsia="Times New Roman" w:hAnsi="Times New Roman" w:cs="Times New Roman"/>
          <w:lang w:eastAsia="lt-LT" w:bidi="lt-LT"/>
        </w:rPr>
        <w:t>neuroendokrini</w:t>
      </w:r>
      <w:r w:rsidR="00FB661F" w:rsidRPr="00CE4C3C">
        <w:rPr>
          <w:rFonts w:ascii="Times New Roman" w:eastAsia="Times New Roman" w:hAnsi="Times New Roman" w:cs="Times New Roman"/>
          <w:lang w:eastAsia="lt-LT" w:bidi="lt-LT"/>
        </w:rPr>
        <w:t>ni</w:t>
      </w:r>
      <w:r w:rsidRPr="00CE4C3C">
        <w:rPr>
          <w:rFonts w:ascii="Times New Roman" w:eastAsia="Times New Roman" w:hAnsi="Times New Roman" w:cs="Times New Roman"/>
          <w:lang w:eastAsia="lt-LT" w:bidi="lt-LT"/>
        </w:rPr>
        <w:t>ai</w:t>
      </w:r>
      <w:proofErr w:type="spellEnd"/>
      <w:r w:rsidRPr="00CE4C3C">
        <w:rPr>
          <w:rFonts w:ascii="Times New Roman" w:eastAsia="Times New Roman" w:hAnsi="Times New Roman" w:cs="Times New Roman"/>
          <w:lang w:eastAsia="lt-LT" w:bidi="lt-LT"/>
        </w:rPr>
        <w:t xml:space="preserve"> navikai.</w:t>
      </w:r>
      <w:r w:rsidRPr="00CE4C3C">
        <w:rPr>
          <w:rFonts w:ascii="Times New Roman" w:eastAsia="Times New Roman" w:hAnsi="Times New Roman" w:cs="Times New Roman"/>
          <w:i/>
          <w:lang w:eastAsia="lt-LT" w:bidi="lt-LT"/>
        </w:rPr>
        <w:t xml:space="preserve"> </w:t>
      </w:r>
    </w:p>
    <w:p w14:paraId="4F7E4625" w14:textId="77777777" w:rsidR="00F17A0C" w:rsidRPr="00CE4C3C" w:rsidRDefault="00F17A0C" w:rsidP="00CE4C3C">
      <w:pPr>
        <w:tabs>
          <w:tab w:val="left" w:pos="567"/>
        </w:tabs>
        <w:spacing w:line="240" w:lineRule="auto"/>
        <w:rPr>
          <w:rFonts w:ascii="Times New Roman" w:eastAsia="Times New Roman" w:hAnsi="Times New Roman" w:cs="Times New Roman"/>
          <w:i/>
          <w:lang w:eastAsia="lt-LT" w:bidi="lt-LT"/>
        </w:rPr>
      </w:pPr>
    </w:p>
    <w:p w14:paraId="3A55CA5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BI duomenys tyrimo baigimo metu buvo negalutiniai [20,6 mėnesių (95 % PI: 20,6, NP) sunitinibo grupėje lyginant su NP (95 % PI: 15,5, NP) placebo grupėje, rizikos santykis: 0,409 (95 % PI: 0,187,  0,894), p-reikšmė = 0,0204]. Buvo 9 mirčių atvejai sunitinibo grupėje ir 21 mirties atvejis placebo grupėje. </w:t>
      </w:r>
    </w:p>
    <w:p w14:paraId="08413239"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48305F6A" w14:textId="53A318ED"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Nustačius ligos progresavimą, </w:t>
      </w:r>
      <w:r w:rsidR="003C5782">
        <w:rPr>
          <w:rFonts w:ascii="Times New Roman" w:eastAsia="Times New Roman" w:hAnsi="Times New Roman" w:cs="Times New Roman"/>
          <w:lang w:eastAsia="lt-LT" w:bidi="lt-LT"/>
        </w:rPr>
        <w:t>koduotas</w:t>
      </w:r>
      <w:r w:rsidR="003C5782" w:rsidRPr="00CE4C3C">
        <w:rPr>
          <w:rFonts w:ascii="Times New Roman" w:eastAsia="Times New Roman" w:hAnsi="Times New Roman" w:cs="Times New Roman"/>
          <w:lang w:eastAsia="lt-LT" w:bidi="lt-LT"/>
        </w:rPr>
        <w:t xml:space="preserve"> </w:t>
      </w:r>
      <w:r w:rsidRPr="00CE4C3C">
        <w:rPr>
          <w:rFonts w:ascii="Times New Roman" w:eastAsia="Times New Roman" w:hAnsi="Times New Roman" w:cs="Times New Roman"/>
          <w:lang w:eastAsia="lt-LT" w:bidi="lt-LT"/>
        </w:rPr>
        <w:t xml:space="preserve">vaistinio preparato vartojimas nutrauktas ir placebą vartoję pacientai pateko į atskirą sunitinibo vartojimo atviru būdu pratęsimo tyrimą. Dėl ankstyvo tyrimo užbaigimo likusiems pacientams vartojimas </w:t>
      </w:r>
      <w:r w:rsidR="00F24CBE">
        <w:rPr>
          <w:rFonts w:ascii="Times New Roman" w:eastAsia="Times New Roman" w:hAnsi="Times New Roman" w:cs="Times New Roman"/>
          <w:lang w:eastAsia="lt-LT" w:bidi="lt-LT"/>
        </w:rPr>
        <w:t>koduotu</w:t>
      </w:r>
      <w:r w:rsidRPr="00CE4C3C">
        <w:rPr>
          <w:rFonts w:ascii="Times New Roman" w:eastAsia="Times New Roman" w:hAnsi="Times New Roman" w:cs="Times New Roman"/>
          <w:lang w:eastAsia="lt-LT" w:bidi="lt-LT"/>
        </w:rPr>
        <w:t xml:space="preserve"> būdu buvo nutrauktas ir pasiūlyta dalyvauti atskirame sunitinibo vartojimo atviru būdu pratęsimo tyrime. Iš viso 59 iš 85 (69,4 %) placebo grupės pacientai perėjo prie sunitinibo tyrimo atviru būdu po ligos progresavimo ar atskleidimo tyrimo pabaigoje. BI duomenys po 5 metų stebėjimo pratęsimo tyrime parodė rizikos santykį 0,730 (95 % PI: 0,504, 1,057).</w:t>
      </w:r>
    </w:p>
    <w:p w14:paraId="02C953E2"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00A3A793"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Europos vėžio tyrimų ir gydymo organizacijos gyvenimo kokybės klausimynas (angl.: </w:t>
      </w:r>
      <w:proofErr w:type="spellStart"/>
      <w:r w:rsidRPr="00CE4C3C">
        <w:rPr>
          <w:rFonts w:ascii="Times New Roman" w:eastAsia="Times New Roman" w:hAnsi="Times New Roman" w:cs="Times New Roman"/>
          <w:i/>
          <w:lang w:eastAsia="lt-LT" w:bidi="lt-LT"/>
        </w:rPr>
        <w:t>the</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European</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Organization</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for</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Research</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and</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Treatment</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of</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Cancer</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Quality</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of</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Life</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Questionnaire</w:t>
      </w:r>
      <w:proofErr w:type="spellEnd"/>
      <w:r w:rsidRPr="00CE4C3C">
        <w:rPr>
          <w:rFonts w:ascii="Times New Roman" w:eastAsia="Times New Roman" w:hAnsi="Times New Roman" w:cs="Times New Roman"/>
          <w:lang w:eastAsia="lt-LT" w:bidi="lt-LT"/>
        </w:rPr>
        <w:t>, EORTC QLQ-C30) parodė, kad bendroji su sveikata susijusi gyvenimo kokybė ir penkios veiklos sritys (fizinė, vaidmens, pažinimo, emocinė ir socialinė) sunitinibo vartojantiems pacientas, palyginti su placebu, išsilaikė su nedideliu simptominiu nepageidaujamu poveikiu.</w:t>
      </w:r>
    </w:p>
    <w:p w14:paraId="216054C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07A1EEE6" w14:textId="33000BBF"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Su progresuojančių pažengusios stadijos (</w:t>
      </w:r>
      <w:proofErr w:type="spellStart"/>
      <w:r w:rsidRPr="00CE4C3C">
        <w:rPr>
          <w:rFonts w:ascii="Times New Roman" w:eastAsia="Times New Roman" w:hAnsi="Times New Roman" w:cs="Times New Roman"/>
          <w:lang w:eastAsia="lt-LT" w:bidi="lt-LT"/>
        </w:rPr>
        <w:t>metastazavusių</w:t>
      </w:r>
      <w:proofErr w:type="spellEnd"/>
      <w:r w:rsidRPr="00CE4C3C">
        <w:rPr>
          <w:rFonts w:ascii="Times New Roman" w:eastAsia="Times New Roman" w:hAnsi="Times New Roman" w:cs="Times New Roman"/>
          <w:lang w:eastAsia="lt-LT" w:bidi="lt-LT"/>
        </w:rPr>
        <w:t>) gerai diferencijuotų neoperuo</w:t>
      </w:r>
      <w:r w:rsidR="00F24CBE">
        <w:rPr>
          <w:rFonts w:ascii="Times New Roman" w:eastAsia="Times New Roman" w:hAnsi="Times New Roman" w:cs="Times New Roman"/>
          <w:lang w:eastAsia="lt-LT" w:bidi="lt-LT"/>
        </w:rPr>
        <w:t>tinų</w:t>
      </w:r>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kNEN</w:t>
      </w:r>
      <w:proofErr w:type="spellEnd"/>
      <w:r w:rsidRPr="00CE4C3C">
        <w:rPr>
          <w:rFonts w:ascii="Times New Roman" w:eastAsia="Times New Roman" w:hAnsi="Times New Roman" w:cs="Times New Roman"/>
          <w:lang w:eastAsia="lt-LT" w:bidi="lt-LT"/>
        </w:rPr>
        <w:t xml:space="preserve"> sergančiais pacientais atliktas IV fazės tarptautinis </w:t>
      </w:r>
      <w:proofErr w:type="spellStart"/>
      <w:r w:rsidRPr="00CE4C3C">
        <w:rPr>
          <w:rFonts w:ascii="Times New Roman" w:eastAsia="Times New Roman" w:hAnsi="Times New Roman" w:cs="Times New Roman"/>
          <w:lang w:eastAsia="lt-LT" w:bidi="lt-LT"/>
        </w:rPr>
        <w:t>daugiacentris</w:t>
      </w:r>
      <w:proofErr w:type="spellEnd"/>
      <w:r w:rsidRPr="00CE4C3C">
        <w:rPr>
          <w:rFonts w:ascii="Times New Roman" w:eastAsia="Times New Roman" w:hAnsi="Times New Roman" w:cs="Times New Roman"/>
          <w:lang w:eastAsia="lt-LT" w:bidi="lt-LT"/>
        </w:rPr>
        <w:t xml:space="preserve"> vienos grupės atvirasis tyrimas, kuriame vertintas sunitinibo veiksmingumas ir saugumas. </w:t>
      </w:r>
    </w:p>
    <w:p w14:paraId="6A569740"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16F5627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106 pacientai (61pacientas anksčiau negydytų pacientų grupėje ir 45 pacientai tolesnio gydymo grupėje) vartojo per burną 37,5 mg sunitinibo nuolatinio kasdienio dozavimo (NKD) režimu.</w:t>
      </w:r>
    </w:p>
    <w:p w14:paraId="5ECEE962"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42DC4E5C" w14:textId="23CF7B73"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Tyrėjo įvertinta I</w:t>
      </w:r>
      <w:r w:rsidR="00F24CBE">
        <w:rPr>
          <w:rFonts w:ascii="Times New Roman" w:eastAsia="Times New Roman" w:hAnsi="Times New Roman" w:cs="Times New Roman"/>
          <w:lang w:eastAsia="lt-LT" w:bidi="lt-LT"/>
        </w:rPr>
        <w:t>BL</w:t>
      </w:r>
      <w:r w:rsidRPr="00CE4C3C">
        <w:rPr>
          <w:rFonts w:ascii="Times New Roman" w:eastAsia="Times New Roman" w:hAnsi="Times New Roman" w:cs="Times New Roman"/>
          <w:lang w:eastAsia="lt-LT" w:bidi="lt-LT"/>
        </w:rPr>
        <w:t>P mediana buvo 13,2 mėnesio, abejose grupėse, bendroje populiacijoje (95 % PI: 10,9, 16,7) ir anksčiau negydytų pacientų grupėje (95 % PI: 7,4, 16,8).</w:t>
      </w:r>
    </w:p>
    <w:p w14:paraId="18B6FFA2"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3F79A605"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bidi="lt-LT"/>
        </w:rPr>
      </w:pPr>
      <w:r w:rsidRPr="00CE4C3C">
        <w:rPr>
          <w:rFonts w:ascii="Times New Roman" w:eastAsia="Times New Roman" w:hAnsi="Times New Roman" w:cs="Times New Roman"/>
          <w:u w:val="single"/>
          <w:lang w:eastAsia="lt-LT" w:bidi="lt-LT"/>
        </w:rPr>
        <w:t xml:space="preserve">Vaikų populiacija </w:t>
      </w:r>
    </w:p>
    <w:p w14:paraId="38E2E230" w14:textId="7CC75D73"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Sunitinibo vartojimo </w:t>
      </w:r>
      <w:r w:rsidR="00F24CBE">
        <w:rPr>
          <w:rFonts w:ascii="Times New Roman" w:eastAsia="Times New Roman" w:hAnsi="Times New Roman" w:cs="Times New Roman"/>
          <w:lang w:eastAsia="lt-LT" w:bidi="lt-LT"/>
        </w:rPr>
        <w:t>vaikams</w:t>
      </w:r>
      <w:r w:rsidRPr="00CE4C3C">
        <w:rPr>
          <w:rFonts w:ascii="Times New Roman" w:eastAsia="Times New Roman" w:hAnsi="Times New Roman" w:cs="Times New Roman"/>
          <w:lang w:eastAsia="lt-LT" w:bidi="lt-LT"/>
        </w:rPr>
        <w:t xml:space="preserve"> patirtis yra </w:t>
      </w:r>
      <w:r w:rsidR="00F24CBE">
        <w:rPr>
          <w:rFonts w:ascii="Times New Roman" w:eastAsia="Times New Roman" w:hAnsi="Times New Roman" w:cs="Times New Roman"/>
          <w:lang w:eastAsia="lt-LT" w:bidi="lt-LT"/>
        </w:rPr>
        <w:t>nepakankama</w:t>
      </w:r>
      <w:r w:rsidR="00F24CBE" w:rsidRPr="00CE4C3C">
        <w:rPr>
          <w:rFonts w:ascii="Times New Roman" w:eastAsia="Times New Roman" w:hAnsi="Times New Roman" w:cs="Times New Roman"/>
          <w:lang w:eastAsia="lt-LT" w:bidi="lt-LT"/>
        </w:rPr>
        <w:t xml:space="preserve"> </w:t>
      </w:r>
      <w:r w:rsidRPr="00CE4C3C">
        <w:rPr>
          <w:rFonts w:ascii="Times New Roman" w:eastAsia="Times New Roman" w:hAnsi="Times New Roman" w:cs="Times New Roman"/>
          <w:lang w:eastAsia="lt-LT" w:bidi="lt-LT"/>
        </w:rPr>
        <w:t xml:space="preserve">(žr. 4.2 skyrių). </w:t>
      </w:r>
    </w:p>
    <w:p w14:paraId="730C132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314745C3" w14:textId="74ADD185"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lastRenderedPageBreak/>
        <w:t>I fazės per burną vartojamo sunitinibo dozės eskalavimo tyrime dalyvavo 35 pacientai, iš kurių 30</w:t>
      </w:r>
      <w:r w:rsidR="00F24CBE">
        <w:rPr>
          <w:rFonts w:ascii="Times New Roman" w:eastAsia="Times New Roman" w:hAnsi="Times New Roman" w:cs="Times New Roman"/>
          <w:lang w:eastAsia="lt-LT" w:bidi="lt-LT"/>
        </w:rPr>
        <w:t> </w:t>
      </w:r>
      <w:r w:rsidRPr="00CE4C3C">
        <w:rPr>
          <w:rFonts w:ascii="Times New Roman" w:eastAsia="Times New Roman" w:hAnsi="Times New Roman" w:cs="Times New Roman"/>
          <w:lang w:eastAsia="lt-LT" w:bidi="lt-LT"/>
        </w:rPr>
        <w:t xml:space="preserve">buvo pediatriniai pacientai (nuo 3 iki 17 metų) ir 5 jauni suaugę pacientai (amžius: 18-21 metai), kuriems buvo nustatyti gydymui </w:t>
      </w:r>
      <w:proofErr w:type="spellStart"/>
      <w:r w:rsidRPr="00CE4C3C">
        <w:rPr>
          <w:rFonts w:ascii="Times New Roman" w:eastAsia="Times New Roman" w:hAnsi="Times New Roman" w:cs="Times New Roman"/>
          <w:lang w:eastAsia="lt-LT" w:bidi="lt-LT"/>
        </w:rPr>
        <w:t>rezistentiški</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solidiniai</w:t>
      </w:r>
      <w:proofErr w:type="spellEnd"/>
      <w:r w:rsidRPr="00CE4C3C">
        <w:rPr>
          <w:rFonts w:ascii="Times New Roman" w:eastAsia="Times New Roman" w:hAnsi="Times New Roman" w:cs="Times New Roman"/>
          <w:lang w:eastAsia="lt-LT" w:bidi="lt-LT"/>
        </w:rPr>
        <w:t xml:space="preserve"> navikai; dauguma šių į tyrimą įtrauktų pacientų pagrindinė diagnozė buvo galvos smegenų navikas. Pirmoje tyrimo dalyje pastebėtas toksinis poveikis širdžiai, dėl kurio reikėjo riboti dozę, todėl tyrimo protokolas buvo taip pakoreguotas, kad iš tyrimo buvo pašalinti pacientai, kuriems anksčiau taikytas toksinį poveikį širdžiai galėjęs sukelti gydymas (įskaitant gydymą </w:t>
      </w:r>
      <w:proofErr w:type="spellStart"/>
      <w:r w:rsidRPr="00CE4C3C">
        <w:rPr>
          <w:rFonts w:ascii="Times New Roman" w:eastAsia="Times New Roman" w:hAnsi="Times New Roman" w:cs="Times New Roman"/>
          <w:lang w:eastAsia="lt-LT" w:bidi="lt-LT"/>
        </w:rPr>
        <w:t>antraciklinais</w:t>
      </w:r>
      <w:proofErr w:type="spellEnd"/>
      <w:r w:rsidRPr="00CE4C3C">
        <w:rPr>
          <w:rFonts w:ascii="Times New Roman" w:eastAsia="Times New Roman" w:hAnsi="Times New Roman" w:cs="Times New Roman"/>
          <w:lang w:eastAsia="lt-LT" w:bidi="lt-LT"/>
        </w:rPr>
        <w:t>) arba širdi</w:t>
      </w:r>
      <w:r w:rsidR="00E07D49">
        <w:rPr>
          <w:rFonts w:ascii="Times New Roman" w:eastAsia="Times New Roman" w:hAnsi="Times New Roman" w:cs="Times New Roman"/>
          <w:lang w:eastAsia="lt-LT" w:bidi="lt-LT"/>
        </w:rPr>
        <w:t>e</w:t>
      </w:r>
      <w:r w:rsidRPr="00CE4C3C">
        <w:rPr>
          <w:rFonts w:ascii="Times New Roman" w:eastAsia="Times New Roman" w:hAnsi="Times New Roman" w:cs="Times New Roman"/>
          <w:lang w:eastAsia="lt-LT" w:bidi="lt-LT"/>
        </w:rPr>
        <w:t>s</w:t>
      </w:r>
      <w:r w:rsidR="00E07D49">
        <w:rPr>
          <w:rFonts w:ascii="Times New Roman" w:eastAsia="Times New Roman" w:hAnsi="Times New Roman" w:cs="Times New Roman"/>
          <w:lang w:eastAsia="lt-LT" w:bidi="lt-LT"/>
        </w:rPr>
        <w:t xml:space="preserve"> spindulinė terapija</w:t>
      </w:r>
      <w:r w:rsidRPr="00CE4C3C">
        <w:rPr>
          <w:rFonts w:ascii="Times New Roman" w:eastAsia="Times New Roman" w:hAnsi="Times New Roman" w:cs="Times New Roman"/>
          <w:lang w:eastAsia="lt-LT" w:bidi="lt-LT"/>
        </w:rPr>
        <w:t xml:space="preserve">. Antrojoje tyrimo dalyje, kurioje dalyvavo pacientai, kuriems jau taikytas priešvėžinis gydymas, kuris nesusijęs su toksiniu poveikiu širdžiai,  </w:t>
      </w:r>
      <w:proofErr w:type="spellStart"/>
      <w:r w:rsidRPr="00CE4C3C">
        <w:rPr>
          <w:rFonts w:ascii="Times New Roman" w:eastAsia="Times New Roman" w:hAnsi="Times New Roman" w:cs="Times New Roman"/>
          <w:lang w:eastAsia="lt-LT" w:bidi="lt-LT"/>
        </w:rPr>
        <w:t>sunitinibą</w:t>
      </w:r>
      <w:proofErr w:type="spellEnd"/>
      <w:r w:rsidRPr="00CE4C3C">
        <w:rPr>
          <w:rFonts w:ascii="Times New Roman" w:eastAsia="Times New Roman" w:hAnsi="Times New Roman" w:cs="Times New Roman"/>
          <w:lang w:eastAsia="lt-LT" w:bidi="lt-LT"/>
        </w:rPr>
        <w:t xml:space="preserve"> pacientai iš esmės toleravo ir jo poveikis buvo valdomas klinikinėmis priemonėmis, kai 15 mg/m</w:t>
      </w:r>
      <w:r w:rsidRPr="00CE4C3C">
        <w:rPr>
          <w:rFonts w:ascii="Times New Roman" w:eastAsia="Times New Roman" w:hAnsi="Times New Roman" w:cs="Times New Roman"/>
          <w:vertAlign w:val="superscript"/>
          <w:lang w:eastAsia="lt-LT" w:bidi="lt-LT"/>
        </w:rPr>
        <w:t>2</w:t>
      </w:r>
      <w:r w:rsidRPr="00CE4C3C">
        <w:rPr>
          <w:rFonts w:ascii="Times New Roman" w:eastAsia="Times New Roman" w:hAnsi="Times New Roman" w:cs="Times New Roman"/>
          <w:lang w:eastAsia="lt-LT" w:bidi="lt-LT"/>
        </w:rPr>
        <w:t xml:space="preserve"> per parą dozė (MTD) vartota pagal 4/2 planą. Nė vienam tiriamajam nenustatyta piln</w:t>
      </w:r>
      <w:r w:rsidR="00E07D49">
        <w:rPr>
          <w:rFonts w:ascii="Times New Roman" w:eastAsia="Times New Roman" w:hAnsi="Times New Roman" w:cs="Times New Roman"/>
          <w:lang w:eastAsia="lt-LT" w:bidi="lt-LT"/>
        </w:rPr>
        <w:t>o</w:t>
      </w:r>
      <w:r w:rsidRPr="00CE4C3C">
        <w:rPr>
          <w:rFonts w:ascii="Times New Roman" w:eastAsia="Times New Roman" w:hAnsi="Times New Roman" w:cs="Times New Roman"/>
          <w:lang w:eastAsia="lt-LT" w:bidi="lt-LT"/>
        </w:rPr>
        <w:t xml:space="preserve"> arba dalinio atsako. Stabili ligos </w:t>
      </w:r>
      <w:r w:rsidR="00E07D49">
        <w:rPr>
          <w:rFonts w:ascii="Times New Roman" w:eastAsia="Times New Roman" w:hAnsi="Times New Roman" w:cs="Times New Roman"/>
          <w:lang w:eastAsia="lt-LT" w:bidi="lt-LT"/>
        </w:rPr>
        <w:t xml:space="preserve">eiga </w:t>
      </w:r>
      <w:r w:rsidRPr="00CE4C3C">
        <w:rPr>
          <w:rFonts w:ascii="Times New Roman" w:eastAsia="Times New Roman" w:hAnsi="Times New Roman" w:cs="Times New Roman"/>
          <w:lang w:eastAsia="lt-LT" w:bidi="lt-LT"/>
        </w:rPr>
        <w:t>nustatyta 6 pacientams (17 %). Vienas VTSN sergantis pacientas buvo įtrauktas į 15 mg/m</w:t>
      </w:r>
      <w:r w:rsidRPr="00CE4C3C">
        <w:rPr>
          <w:rFonts w:ascii="Times New Roman" w:eastAsia="Times New Roman" w:hAnsi="Times New Roman" w:cs="Times New Roman"/>
          <w:vertAlign w:val="superscript"/>
          <w:lang w:eastAsia="lt-LT" w:bidi="lt-LT"/>
        </w:rPr>
        <w:t>2</w:t>
      </w:r>
      <w:r w:rsidRPr="00CE4C3C">
        <w:rPr>
          <w:rFonts w:ascii="Times New Roman" w:eastAsia="Times New Roman" w:hAnsi="Times New Roman" w:cs="Times New Roman"/>
          <w:lang w:eastAsia="lt-LT" w:bidi="lt-LT"/>
        </w:rPr>
        <w:t xml:space="preserve"> dozės grupę nesant gydymo naudingumo įrodymų. Pastebėtos nepageidaujamos reakcijos iš esmės buvo panašios į nustatytas suaugusiesiems (žr. 4.8 skyrių).</w:t>
      </w:r>
    </w:p>
    <w:p w14:paraId="164C231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01EA9CEC" w14:textId="4B4BBF7F"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Atliktas 2 fazės atviras tyrimas, kuriame dalyvavo 29 pacientai, iš kurių 27 buvo </w:t>
      </w:r>
      <w:r w:rsidR="00192BE6" w:rsidRPr="00CE4C3C">
        <w:rPr>
          <w:rFonts w:ascii="Times New Roman" w:eastAsia="Times New Roman" w:hAnsi="Times New Roman" w:cs="Times New Roman"/>
          <w:lang w:eastAsia="lt-LT" w:bidi="lt-LT"/>
        </w:rPr>
        <w:t>pediatriniai pacientai</w:t>
      </w:r>
      <w:r w:rsidRPr="00CE4C3C">
        <w:rPr>
          <w:rFonts w:ascii="Times New Roman" w:eastAsia="Times New Roman" w:hAnsi="Times New Roman" w:cs="Times New Roman"/>
          <w:lang w:eastAsia="lt-LT" w:bidi="lt-LT"/>
        </w:rPr>
        <w:t xml:space="preserve"> (nuo 3 iki 16 metų) ir 2 jauni suaugę pacientai (nuo 18 iki 19 metų), segantys DLG arba </w:t>
      </w:r>
      <w:proofErr w:type="spellStart"/>
      <w:r w:rsidRPr="00CE4C3C">
        <w:rPr>
          <w:rFonts w:ascii="Times New Roman" w:eastAsia="Times New Roman" w:hAnsi="Times New Roman" w:cs="Times New Roman"/>
          <w:lang w:eastAsia="lt-LT" w:bidi="lt-LT"/>
        </w:rPr>
        <w:t>ependimoma</w:t>
      </w:r>
      <w:proofErr w:type="spellEnd"/>
      <w:r w:rsidRPr="00CE4C3C">
        <w:rPr>
          <w:rFonts w:ascii="Times New Roman" w:eastAsia="Times New Roman" w:hAnsi="Times New Roman" w:cs="Times New Roman"/>
          <w:lang w:eastAsia="lt-LT" w:bidi="lt-LT"/>
        </w:rPr>
        <w:t xml:space="preserve">. Tyrimas baigtas planuotos tarpinės analizės metu dėl ligos suvaldymo stokos. INP mediana buvo 2,3 mėn. DLG grupėje ir 2,7 mėn. </w:t>
      </w:r>
      <w:proofErr w:type="spellStart"/>
      <w:r w:rsidRPr="00CE4C3C">
        <w:rPr>
          <w:rFonts w:ascii="Times New Roman" w:eastAsia="Times New Roman" w:hAnsi="Times New Roman" w:cs="Times New Roman"/>
          <w:lang w:eastAsia="lt-LT" w:bidi="lt-LT"/>
        </w:rPr>
        <w:t>ependimomos</w:t>
      </w:r>
      <w:proofErr w:type="spellEnd"/>
      <w:r w:rsidRPr="00CE4C3C">
        <w:rPr>
          <w:rFonts w:ascii="Times New Roman" w:eastAsia="Times New Roman" w:hAnsi="Times New Roman" w:cs="Times New Roman"/>
          <w:lang w:eastAsia="lt-LT" w:bidi="lt-LT"/>
        </w:rPr>
        <w:t xml:space="preserve"> grupėje. BI mediana buvo 5,1 mėn. DLG grupėje ir 12,3 mėn. </w:t>
      </w:r>
      <w:proofErr w:type="spellStart"/>
      <w:r w:rsidRPr="00CE4C3C">
        <w:rPr>
          <w:rFonts w:ascii="Times New Roman" w:eastAsia="Times New Roman" w:hAnsi="Times New Roman" w:cs="Times New Roman"/>
          <w:lang w:eastAsia="lt-LT" w:bidi="lt-LT"/>
        </w:rPr>
        <w:t>ependimomos</w:t>
      </w:r>
      <w:proofErr w:type="spellEnd"/>
      <w:r w:rsidRPr="00CE4C3C">
        <w:rPr>
          <w:rFonts w:ascii="Times New Roman" w:eastAsia="Times New Roman" w:hAnsi="Times New Roman" w:cs="Times New Roman"/>
          <w:lang w:eastAsia="lt-LT" w:bidi="lt-LT"/>
        </w:rPr>
        <w:t xml:space="preserve"> grupėje. Dažniausi (≥ 10 %) pranešti su gydymu susiję nepageidaujami reiškiniai abiejose tiriamųjų grupėse buvo </w:t>
      </w:r>
      <w:proofErr w:type="spellStart"/>
      <w:r w:rsidRPr="00CE4C3C">
        <w:rPr>
          <w:rFonts w:ascii="Times New Roman" w:eastAsia="Times New Roman" w:hAnsi="Times New Roman" w:cs="Times New Roman"/>
          <w:lang w:eastAsia="lt-LT" w:bidi="lt-LT"/>
        </w:rPr>
        <w:t>neutrofilų</w:t>
      </w:r>
      <w:proofErr w:type="spellEnd"/>
      <w:r w:rsidRPr="00CE4C3C">
        <w:rPr>
          <w:rFonts w:ascii="Times New Roman" w:eastAsia="Times New Roman" w:hAnsi="Times New Roman" w:cs="Times New Roman"/>
          <w:lang w:eastAsia="lt-LT" w:bidi="lt-LT"/>
        </w:rPr>
        <w:t xml:space="preserve"> skaičiaus sumažėjimas (6 pacientams [20,7 %]) ir intrakranijinis kraujavimas (3 pacientams [10,3 %]) (žr. 4.8 skyrių).</w:t>
      </w:r>
    </w:p>
    <w:p w14:paraId="2092B75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37915C61" w14:textId="33FE3F6F"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1/2 fazės per burną vartojamo sunitinibo tyrimo, kuriame dalyvavusiems 6 GIST sergantiems pediatriniams pacientams nuo 13 iki 16 metų sunitinibo buvo skiriama pagal 4/2 planą, nuo 15 mg/m² per parą iki 30 mg/m² per parą dozėmis, ir prieinami paskelbti (20 pacientų vaikų arba jaunų suaugusiųjų, sergančių VTSN) duomenys rodo, kad liga stabilizavosi 18 iš 26 (69,2 %) sunitinibu gydytų pacientų, anksčiau nesėkmingai gydytų </w:t>
      </w:r>
      <w:proofErr w:type="spellStart"/>
      <w:r w:rsidRPr="00CE4C3C">
        <w:rPr>
          <w:rFonts w:ascii="Times New Roman" w:eastAsia="Times New Roman" w:hAnsi="Times New Roman" w:cs="Times New Roman"/>
          <w:lang w:eastAsia="lt-LT" w:bidi="lt-LT"/>
        </w:rPr>
        <w:t>imatinibu</w:t>
      </w:r>
      <w:proofErr w:type="spellEnd"/>
      <w:r w:rsidRPr="00CE4C3C">
        <w:rPr>
          <w:rFonts w:ascii="Times New Roman" w:eastAsia="Times New Roman" w:hAnsi="Times New Roman" w:cs="Times New Roman"/>
          <w:lang w:eastAsia="lt-LT" w:bidi="lt-LT"/>
        </w:rPr>
        <w:t xml:space="preserve"> arba jo netoleravusių (16 iš 21 paciento liga buvo stabili) arba pacientų </w:t>
      </w:r>
      <w:r w:rsidRPr="00CE4C3C">
        <w:rPr>
          <w:rFonts w:ascii="Times New Roman" w:eastAsia="Times New Roman" w:hAnsi="Times New Roman" w:cs="Times New Roman"/>
          <w:i/>
          <w:lang w:eastAsia="lt-LT" w:bidi="lt-LT"/>
        </w:rPr>
        <w:t xml:space="preserve">de </w:t>
      </w:r>
      <w:proofErr w:type="spellStart"/>
      <w:r w:rsidRPr="00CE4C3C">
        <w:rPr>
          <w:rFonts w:ascii="Times New Roman" w:eastAsia="Times New Roman" w:hAnsi="Times New Roman" w:cs="Times New Roman"/>
          <w:i/>
          <w:lang w:eastAsia="lt-LT" w:bidi="lt-LT"/>
        </w:rPr>
        <w:t>novo</w:t>
      </w:r>
      <w:proofErr w:type="spellEnd"/>
      <w:r w:rsidRPr="00CE4C3C">
        <w:rPr>
          <w:rFonts w:ascii="Times New Roman" w:eastAsia="Times New Roman" w:hAnsi="Times New Roman" w:cs="Times New Roman"/>
          <w:lang w:eastAsia="lt-LT" w:bidi="lt-LT"/>
        </w:rPr>
        <w:t xml:space="preserve"> / po operacijos (2 iš 5 pacientų liga buvo stabili). Šio 1/2 fazės tyrimo metu 6 pacientams iš 3 iš buvo pastebėtas ligos stabilizavimasis ir 3 </w:t>
      </w:r>
      <w:r w:rsidR="00F556C7" w:rsidRPr="00CE4C3C">
        <w:rPr>
          <w:rFonts w:ascii="Times New Roman" w:eastAsia="Times New Roman" w:hAnsi="Times New Roman" w:cs="Times New Roman"/>
          <w:lang w:eastAsia="lt-LT" w:bidi="lt-LT"/>
        </w:rPr>
        <w:t>–</w:t>
      </w:r>
      <w:r w:rsidRPr="00CE4C3C">
        <w:rPr>
          <w:rFonts w:ascii="Times New Roman" w:eastAsia="Times New Roman" w:hAnsi="Times New Roman" w:cs="Times New Roman"/>
          <w:lang w:eastAsia="lt-LT" w:bidi="lt-LT"/>
        </w:rPr>
        <w:t xml:space="preserve"> ligos progresavimas (1 pacientas gavo </w:t>
      </w:r>
      <w:proofErr w:type="spellStart"/>
      <w:r w:rsidRPr="00CE4C3C">
        <w:rPr>
          <w:rFonts w:ascii="Times New Roman" w:eastAsia="Times New Roman" w:hAnsi="Times New Roman" w:cs="Times New Roman"/>
          <w:lang w:eastAsia="lt-LT" w:bidi="lt-LT"/>
        </w:rPr>
        <w:t>neoadjuvantą</w:t>
      </w:r>
      <w:proofErr w:type="spellEnd"/>
      <w:r w:rsidRPr="00CE4C3C">
        <w:rPr>
          <w:rFonts w:ascii="Times New Roman" w:eastAsia="Times New Roman" w:hAnsi="Times New Roman" w:cs="Times New Roman"/>
          <w:lang w:eastAsia="lt-LT" w:bidi="lt-LT"/>
        </w:rPr>
        <w:t xml:space="preserve"> ir 1 pacientas gavo </w:t>
      </w:r>
      <w:proofErr w:type="spellStart"/>
      <w:r w:rsidRPr="00CE4C3C">
        <w:rPr>
          <w:rFonts w:ascii="Times New Roman" w:eastAsia="Times New Roman" w:hAnsi="Times New Roman" w:cs="Times New Roman"/>
          <w:lang w:eastAsia="lt-LT" w:bidi="lt-LT"/>
        </w:rPr>
        <w:t>adjuvantinį</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imatinibą</w:t>
      </w:r>
      <w:proofErr w:type="spellEnd"/>
      <w:r w:rsidRPr="00CE4C3C">
        <w:rPr>
          <w:rFonts w:ascii="Times New Roman" w:eastAsia="Times New Roman" w:hAnsi="Times New Roman" w:cs="Times New Roman"/>
          <w:lang w:eastAsia="lt-LT" w:bidi="lt-LT"/>
        </w:rPr>
        <w:t xml:space="preserve">). Tame pačiame tyrime 4 iš 6 pacientų (66,7 %) nustatyti 3-4 laipsnio su gydymu susiję nepageidaujami reiškiniai (3 laipsnio </w:t>
      </w:r>
      <w:proofErr w:type="spellStart"/>
      <w:r w:rsidRPr="00CE4C3C">
        <w:rPr>
          <w:rFonts w:ascii="Times New Roman" w:eastAsia="Times New Roman" w:hAnsi="Times New Roman" w:cs="Times New Roman"/>
          <w:lang w:eastAsia="lt-LT" w:bidi="lt-LT"/>
        </w:rPr>
        <w:t>hipofosfatemija</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neutropenija</w:t>
      </w:r>
      <w:proofErr w:type="spellEnd"/>
      <w:r w:rsidRPr="00CE4C3C">
        <w:rPr>
          <w:rFonts w:ascii="Times New Roman" w:eastAsia="Times New Roman" w:hAnsi="Times New Roman" w:cs="Times New Roman"/>
          <w:lang w:eastAsia="lt-LT" w:bidi="lt-LT"/>
        </w:rPr>
        <w:t xml:space="preserve"> ir </w:t>
      </w:r>
      <w:proofErr w:type="spellStart"/>
      <w:r w:rsidRPr="00CE4C3C">
        <w:rPr>
          <w:rFonts w:ascii="Times New Roman" w:eastAsia="Times New Roman" w:hAnsi="Times New Roman" w:cs="Times New Roman"/>
          <w:lang w:eastAsia="lt-LT" w:bidi="lt-LT"/>
        </w:rPr>
        <w:t>trombocitopenija</w:t>
      </w:r>
      <w:proofErr w:type="spellEnd"/>
      <w:r w:rsidRPr="00CE4C3C">
        <w:rPr>
          <w:rFonts w:ascii="Times New Roman" w:eastAsia="Times New Roman" w:hAnsi="Times New Roman" w:cs="Times New Roman"/>
          <w:lang w:eastAsia="lt-LT" w:bidi="lt-LT"/>
        </w:rPr>
        <w:t xml:space="preserve">, kiekvieną jų patyrė po 1 pacientą, taip pat 1 pacientui pasireiškė 4 laipsnio </w:t>
      </w:r>
      <w:proofErr w:type="spellStart"/>
      <w:r w:rsidRPr="00CE4C3C">
        <w:rPr>
          <w:rFonts w:ascii="Times New Roman" w:eastAsia="Times New Roman" w:hAnsi="Times New Roman" w:cs="Times New Roman"/>
          <w:lang w:eastAsia="lt-LT" w:bidi="lt-LT"/>
        </w:rPr>
        <w:t>neutropenija</w:t>
      </w:r>
      <w:proofErr w:type="spellEnd"/>
      <w:r w:rsidRPr="00CE4C3C">
        <w:rPr>
          <w:rFonts w:ascii="Times New Roman" w:eastAsia="Times New Roman" w:hAnsi="Times New Roman" w:cs="Times New Roman"/>
          <w:lang w:eastAsia="lt-LT" w:bidi="lt-LT"/>
        </w:rPr>
        <w:t xml:space="preserve">). Be to, straipsniuose pranešta apie šias 3 laipsnio nepageidaujamas reakcijas į vaistinį preparatą, kurias patyrė 5 pacientai: nuovargį (2), virškinamojo trakto sutrikimus (įskaitant viduriavimą) (2), hematologines reakcijas (įskaitant anemiją) (2), </w:t>
      </w:r>
      <w:proofErr w:type="spellStart"/>
      <w:r w:rsidRPr="00CE4C3C">
        <w:rPr>
          <w:rFonts w:ascii="Times New Roman" w:eastAsia="Times New Roman" w:hAnsi="Times New Roman" w:cs="Times New Roman"/>
          <w:lang w:eastAsia="lt-LT" w:bidi="lt-LT"/>
        </w:rPr>
        <w:t>cholecistitą</w:t>
      </w:r>
      <w:proofErr w:type="spellEnd"/>
      <w:r w:rsidRPr="00CE4C3C">
        <w:rPr>
          <w:rFonts w:ascii="Times New Roman" w:eastAsia="Times New Roman" w:hAnsi="Times New Roman" w:cs="Times New Roman"/>
          <w:lang w:eastAsia="lt-LT" w:bidi="lt-LT"/>
        </w:rPr>
        <w:t xml:space="preserve"> (1), </w:t>
      </w:r>
      <w:proofErr w:type="spellStart"/>
      <w:r w:rsidRPr="00CE4C3C">
        <w:rPr>
          <w:rFonts w:ascii="Times New Roman" w:eastAsia="Times New Roman" w:hAnsi="Times New Roman" w:cs="Times New Roman"/>
          <w:lang w:eastAsia="lt-LT" w:bidi="lt-LT"/>
        </w:rPr>
        <w:t>hipertireozę</w:t>
      </w:r>
      <w:proofErr w:type="spellEnd"/>
      <w:r w:rsidRPr="00CE4C3C">
        <w:rPr>
          <w:rFonts w:ascii="Times New Roman" w:eastAsia="Times New Roman" w:hAnsi="Times New Roman" w:cs="Times New Roman"/>
          <w:lang w:eastAsia="lt-LT" w:bidi="lt-LT"/>
        </w:rPr>
        <w:t xml:space="preserve"> (1) ir </w:t>
      </w:r>
      <w:proofErr w:type="spellStart"/>
      <w:r w:rsidRPr="00CE4C3C">
        <w:rPr>
          <w:rFonts w:ascii="Times New Roman" w:eastAsia="Times New Roman" w:hAnsi="Times New Roman" w:cs="Times New Roman"/>
          <w:lang w:eastAsia="lt-LT" w:bidi="lt-LT"/>
        </w:rPr>
        <w:t>mukozitą</w:t>
      </w:r>
      <w:proofErr w:type="spellEnd"/>
      <w:r w:rsidRPr="00CE4C3C">
        <w:rPr>
          <w:rFonts w:ascii="Times New Roman" w:eastAsia="Times New Roman" w:hAnsi="Times New Roman" w:cs="Times New Roman"/>
          <w:lang w:eastAsia="lt-LT" w:bidi="lt-LT"/>
        </w:rPr>
        <w:t xml:space="preserve"> (1).</w:t>
      </w:r>
    </w:p>
    <w:p w14:paraId="5E91CDC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1A912623" w14:textId="3BD44610"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Siekiant </w:t>
      </w:r>
      <w:proofErr w:type="spellStart"/>
      <w:r w:rsidRPr="00CE4C3C">
        <w:rPr>
          <w:rFonts w:ascii="Times New Roman" w:eastAsia="Times New Roman" w:hAnsi="Times New Roman" w:cs="Times New Roman"/>
          <w:lang w:eastAsia="lt-LT" w:bidi="lt-LT"/>
        </w:rPr>
        <w:t>ekstrapoliuoti</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sunitinibo</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farmakokinetikos</w:t>
      </w:r>
      <w:proofErr w:type="spellEnd"/>
      <w:r w:rsidRPr="00CE4C3C">
        <w:rPr>
          <w:rFonts w:ascii="Times New Roman" w:eastAsia="Times New Roman" w:hAnsi="Times New Roman" w:cs="Times New Roman"/>
          <w:lang w:eastAsia="lt-LT" w:bidi="lt-LT"/>
        </w:rPr>
        <w:t xml:space="preserve"> (FK) ir pagrindines saugumo ir veiksmingumo vertinamąsias baigtis GIST sergantiems pediatriniams pacientams (nuo 6 iki 17 metų), atlikta populiacijos FK ir farmakokinetikos / farmakodinamikos (FK / FD) analizė. Ši analizė buvo pagrįsta suaugusiųjų, sergančių GIST arba </w:t>
      </w:r>
      <w:proofErr w:type="spellStart"/>
      <w:r w:rsidRPr="00CE4C3C">
        <w:rPr>
          <w:rFonts w:ascii="Times New Roman" w:eastAsia="Times New Roman" w:hAnsi="Times New Roman" w:cs="Times New Roman"/>
          <w:lang w:eastAsia="lt-LT" w:bidi="lt-LT"/>
        </w:rPr>
        <w:t>solidiniais</w:t>
      </w:r>
      <w:proofErr w:type="spellEnd"/>
      <w:r w:rsidRPr="00CE4C3C">
        <w:rPr>
          <w:rFonts w:ascii="Times New Roman" w:eastAsia="Times New Roman" w:hAnsi="Times New Roman" w:cs="Times New Roman"/>
          <w:lang w:eastAsia="lt-LT" w:bidi="lt-LT"/>
        </w:rPr>
        <w:t xml:space="preserve"> navikais, ir </w:t>
      </w:r>
      <w:r w:rsidR="00F556C7" w:rsidRPr="00CE4C3C">
        <w:rPr>
          <w:rFonts w:ascii="Times New Roman" w:eastAsia="Times New Roman" w:hAnsi="Times New Roman" w:cs="Times New Roman"/>
          <w:lang w:eastAsia="lt-LT" w:bidi="lt-LT"/>
        </w:rPr>
        <w:t>pediatrinių pacientų</w:t>
      </w:r>
      <w:r w:rsidRPr="00CE4C3C">
        <w:rPr>
          <w:rFonts w:ascii="Times New Roman" w:eastAsia="Times New Roman" w:hAnsi="Times New Roman" w:cs="Times New Roman"/>
          <w:lang w:eastAsia="lt-LT" w:bidi="lt-LT"/>
        </w:rPr>
        <w:t xml:space="preserve">, kuriems yra </w:t>
      </w:r>
      <w:proofErr w:type="spellStart"/>
      <w:r w:rsidRPr="00CE4C3C">
        <w:rPr>
          <w:rFonts w:ascii="Times New Roman" w:eastAsia="Times New Roman" w:hAnsi="Times New Roman" w:cs="Times New Roman"/>
          <w:lang w:eastAsia="lt-LT" w:bidi="lt-LT"/>
        </w:rPr>
        <w:t>solidinių</w:t>
      </w:r>
      <w:proofErr w:type="spellEnd"/>
      <w:r w:rsidRPr="00CE4C3C">
        <w:rPr>
          <w:rFonts w:ascii="Times New Roman" w:eastAsia="Times New Roman" w:hAnsi="Times New Roman" w:cs="Times New Roman"/>
          <w:lang w:eastAsia="lt-LT" w:bidi="lt-LT"/>
        </w:rPr>
        <w:t xml:space="preserve"> navikų, duomenimis. Remiantis imitavimo analizių duomenimis manoma, kad saugumo ir veiksmingumo reakcijoms į sunitinibo ekspoziciją plazmoje jaunesnis amžius ir smulkesnis kūno sudėjimas nepalankaus poveikio nedaro. Nenustatyta, kad sunitinibo naudos ir rizikos santykį nepalankiai veikia jaunesnis amžius arba smulkesnis kūno sudėjimas; šį santykį stipriausiai veikia vaistinio preparato ekspozicija plazmoje.</w:t>
      </w:r>
    </w:p>
    <w:p w14:paraId="4D70DF6F"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7E38938A"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Europos vaistų agentūra atleido nuo įpareigojimo pateikti inkstų arba inkstų geldelių vėžio (išskyrus </w:t>
      </w:r>
      <w:proofErr w:type="spellStart"/>
      <w:r w:rsidRPr="00CE4C3C">
        <w:rPr>
          <w:rFonts w:ascii="Times New Roman" w:eastAsia="Times New Roman" w:hAnsi="Times New Roman" w:cs="Times New Roman"/>
          <w:lang w:eastAsia="lt-LT" w:bidi="lt-LT"/>
        </w:rPr>
        <w:t>nefroblastomą</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nefroblastomatozę</w:t>
      </w:r>
      <w:proofErr w:type="spellEnd"/>
      <w:r w:rsidRPr="00CE4C3C">
        <w:rPr>
          <w:rFonts w:ascii="Times New Roman" w:eastAsia="Times New Roman" w:hAnsi="Times New Roman" w:cs="Times New Roman"/>
          <w:lang w:eastAsia="lt-LT" w:bidi="lt-LT"/>
        </w:rPr>
        <w:t xml:space="preserve">, skaidriųjų ląstelių sarkomą, </w:t>
      </w:r>
      <w:proofErr w:type="spellStart"/>
      <w:r w:rsidRPr="00CE4C3C">
        <w:rPr>
          <w:rFonts w:ascii="Times New Roman" w:eastAsia="Times New Roman" w:hAnsi="Times New Roman" w:cs="Times New Roman"/>
          <w:lang w:eastAsia="lt-LT" w:bidi="lt-LT"/>
        </w:rPr>
        <w:t>mezoblastinę</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nefromą</w:t>
      </w:r>
      <w:proofErr w:type="spellEnd"/>
      <w:r w:rsidRPr="00CE4C3C">
        <w:rPr>
          <w:rFonts w:ascii="Times New Roman" w:eastAsia="Times New Roman" w:hAnsi="Times New Roman" w:cs="Times New Roman"/>
          <w:lang w:eastAsia="lt-LT" w:bidi="lt-LT"/>
        </w:rPr>
        <w:t xml:space="preserve">, inkstų šerdies vėžį ir </w:t>
      </w:r>
      <w:proofErr w:type="spellStart"/>
      <w:r w:rsidRPr="00CE4C3C">
        <w:rPr>
          <w:rFonts w:ascii="Times New Roman" w:eastAsia="Times New Roman" w:hAnsi="Times New Roman" w:cs="Times New Roman"/>
          <w:lang w:eastAsia="lt-LT" w:bidi="lt-LT"/>
        </w:rPr>
        <w:t>rabdoidinį</w:t>
      </w:r>
      <w:proofErr w:type="spellEnd"/>
      <w:r w:rsidRPr="00CE4C3C">
        <w:rPr>
          <w:rFonts w:ascii="Times New Roman" w:eastAsia="Times New Roman" w:hAnsi="Times New Roman" w:cs="Times New Roman"/>
          <w:lang w:eastAsia="lt-LT" w:bidi="lt-LT"/>
        </w:rPr>
        <w:t xml:space="preserve"> inkstų naviką) gyd</w:t>
      </w:r>
      <w:r w:rsidR="00632CDE" w:rsidRPr="00CE4C3C">
        <w:rPr>
          <w:rFonts w:ascii="Times New Roman" w:eastAsia="Times New Roman" w:hAnsi="Times New Roman" w:cs="Times New Roman"/>
          <w:lang w:eastAsia="lt-LT" w:bidi="lt-LT"/>
        </w:rPr>
        <w:t>ymo</w:t>
      </w:r>
      <w:r w:rsidRPr="00CE4C3C">
        <w:rPr>
          <w:rFonts w:ascii="Times New Roman" w:eastAsia="Times New Roman" w:hAnsi="Times New Roman" w:cs="Times New Roman"/>
          <w:lang w:eastAsia="lt-LT" w:bidi="lt-LT"/>
        </w:rPr>
        <w:t xml:space="preserve"> sunitinib</w:t>
      </w:r>
      <w:r w:rsidR="00632CDE" w:rsidRPr="00CE4C3C">
        <w:rPr>
          <w:rFonts w:ascii="Times New Roman" w:eastAsia="Times New Roman" w:hAnsi="Times New Roman" w:cs="Times New Roman"/>
          <w:lang w:eastAsia="lt-LT" w:bidi="lt-LT"/>
        </w:rPr>
        <w:t>u</w:t>
      </w:r>
      <w:r w:rsidRPr="00CE4C3C">
        <w:rPr>
          <w:rFonts w:ascii="Times New Roman" w:eastAsia="Times New Roman" w:hAnsi="Times New Roman" w:cs="Times New Roman"/>
          <w:lang w:eastAsia="lt-LT" w:bidi="lt-LT"/>
        </w:rPr>
        <w:t xml:space="preserve"> tyrimų su visais vaikų populiacijos pogrupiais duomenis (žr. 4.2 skyrių).</w:t>
      </w:r>
    </w:p>
    <w:p w14:paraId="5B811CC0"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0338E94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Europos vaistų agentūra atleido nuo įpareigojimo pateikti virškinimo trakto ir kasos </w:t>
      </w:r>
      <w:proofErr w:type="spellStart"/>
      <w:r w:rsidRPr="00CE4C3C">
        <w:rPr>
          <w:rFonts w:ascii="Times New Roman" w:eastAsia="Times New Roman" w:hAnsi="Times New Roman" w:cs="Times New Roman"/>
          <w:lang w:eastAsia="lt-LT" w:bidi="lt-LT"/>
        </w:rPr>
        <w:t>neuroendokrininių</w:t>
      </w:r>
      <w:proofErr w:type="spellEnd"/>
      <w:r w:rsidRPr="00CE4C3C">
        <w:rPr>
          <w:rFonts w:ascii="Times New Roman" w:eastAsia="Times New Roman" w:hAnsi="Times New Roman" w:cs="Times New Roman"/>
          <w:lang w:eastAsia="lt-LT" w:bidi="lt-LT"/>
        </w:rPr>
        <w:t xml:space="preserve"> navikų (išskyrus </w:t>
      </w:r>
      <w:proofErr w:type="spellStart"/>
      <w:r w:rsidRPr="00CE4C3C">
        <w:rPr>
          <w:rFonts w:ascii="Times New Roman" w:eastAsia="Times New Roman" w:hAnsi="Times New Roman" w:cs="Times New Roman"/>
          <w:lang w:eastAsia="lt-LT" w:bidi="lt-LT"/>
        </w:rPr>
        <w:t>neuroblastomą</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neuroganglioblastomą</w:t>
      </w:r>
      <w:proofErr w:type="spellEnd"/>
      <w:r w:rsidRPr="00CE4C3C">
        <w:rPr>
          <w:rFonts w:ascii="Times New Roman" w:eastAsia="Times New Roman" w:hAnsi="Times New Roman" w:cs="Times New Roman"/>
          <w:lang w:eastAsia="lt-LT" w:bidi="lt-LT"/>
        </w:rPr>
        <w:t xml:space="preserve"> ir </w:t>
      </w:r>
      <w:proofErr w:type="spellStart"/>
      <w:r w:rsidRPr="00CE4C3C">
        <w:rPr>
          <w:rFonts w:ascii="Times New Roman" w:eastAsia="Times New Roman" w:hAnsi="Times New Roman" w:cs="Times New Roman"/>
          <w:lang w:eastAsia="lt-LT" w:bidi="lt-LT"/>
        </w:rPr>
        <w:t>feochromocitomą</w:t>
      </w:r>
      <w:proofErr w:type="spellEnd"/>
      <w:r w:rsidRPr="00CE4C3C">
        <w:rPr>
          <w:rFonts w:ascii="Times New Roman" w:eastAsia="Times New Roman" w:hAnsi="Times New Roman" w:cs="Times New Roman"/>
          <w:lang w:eastAsia="lt-LT" w:bidi="lt-LT"/>
        </w:rPr>
        <w:t>) gyd</w:t>
      </w:r>
      <w:r w:rsidR="002B3BF8" w:rsidRPr="00CE4C3C">
        <w:rPr>
          <w:rFonts w:ascii="Times New Roman" w:eastAsia="Times New Roman" w:hAnsi="Times New Roman" w:cs="Times New Roman"/>
          <w:lang w:eastAsia="lt-LT" w:bidi="lt-LT"/>
        </w:rPr>
        <w:t>ymo</w:t>
      </w:r>
      <w:r w:rsidRPr="00CE4C3C">
        <w:rPr>
          <w:rFonts w:ascii="Times New Roman" w:eastAsia="Times New Roman" w:hAnsi="Times New Roman" w:cs="Times New Roman"/>
          <w:lang w:eastAsia="lt-LT" w:bidi="lt-LT"/>
        </w:rPr>
        <w:t xml:space="preserve"> sunitinib</w:t>
      </w:r>
      <w:r w:rsidR="00632CDE" w:rsidRPr="00CE4C3C">
        <w:rPr>
          <w:rFonts w:ascii="Times New Roman" w:eastAsia="Times New Roman" w:hAnsi="Times New Roman" w:cs="Times New Roman"/>
          <w:lang w:eastAsia="lt-LT" w:bidi="lt-LT"/>
        </w:rPr>
        <w:t>u</w:t>
      </w:r>
      <w:r w:rsidRPr="00CE4C3C">
        <w:rPr>
          <w:rFonts w:ascii="Times New Roman" w:eastAsia="Times New Roman" w:hAnsi="Times New Roman" w:cs="Times New Roman"/>
          <w:lang w:eastAsia="lt-LT" w:bidi="lt-LT"/>
        </w:rPr>
        <w:t xml:space="preserve"> tyrimų su visais vaikų populiacijos pogrupiais duomenis (žr</w:t>
      </w:r>
      <w:r w:rsidR="001F043F" w:rsidRPr="00CE4C3C">
        <w:rPr>
          <w:rFonts w:ascii="Times New Roman" w:eastAsia="Times New Roman" w:hAnsi="Times New Roman" w:cs="Times New Roman"/>
          <w:lang w:eastAsia="lt-LT" w:bidi="lt-LT"/>
        </w:rPr>
        <w:t>.</w:t>
      </w:r>
      <w:r w:rsidRPr="00CE4C3C">
        <w:rPr>
          <w:rFonts w:ascii="Times New Roman" w:eastAsia="Times New Roman" w:hAnsi="Times New Roman" w:cs="Times New Roman"/>
          <w:lang w:eastAsia="lt-LT" w:bidi="lt-LT"/>
        </w:rPr>
        <w:t xml:space="preserve"> 4.2 skyrių).</w:t>
      </w:r>
    </w:p>
    <w:p w14:paraId="39597E51"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394FAE23" w14:textId="77777777" w:rsidR="00F17A0C" w:rsidRPr="00CE4C3C" w:rsidRDefault="00F17A0C" w:rsidP="00CE4C3C">
      <w:pPr>
        <w:keepNext/>
        <w:spacing w:line="240" w:lineRule="auto"/>
        <w:ind w:left="567" w:hanging="567"/>
        <w:outlineLvl w:val="0"/>
        <w:rPr>
          <w:rFonts w:ascii="Times New Roman" w:eastAsia="Times New Roman" w:hAnsi="Times New Roman" w:cs="Times New Roman"/>
          <w:b/>
          <w:lang w:eastAsia="lt-LT" w:bidi="lt-LT"/>
        </w:rPr>
      </w:pPr>
      <w:r w:rsidRPr="00CE4C3C">
        <w:rPr>
          <w:rFonts w:ascii="Times New Roman" w:eastAsia="Times New Roman" w:hAnsi="Times New Roman" w:cs="Times New Roman"/>
          <w:b/>
          <w:lang w:eastAsia="lt-LT" w:bidi="lt-LT"/>
        </w:rPr>
        <w:lastRenderedPageBreak/>
        <w:t>5.2</w:t>
      </w:r>
      <w:r w:rsidRPr="00CE4C3C">
        <w:rPr>
          <w:rFonts w:ascii="Times New Roman" w:eastAsia="Times New Roman" w:hAnsi="Times New Roman" w:cs="Times New Roman"/>
          <w:b/>
          <w:lang w:eastAsia="lt-LT" w:bidi="lt-LT"/>
        </w:rPr>
        <w:tab/>
        <w:t>Farmakokinetinės savybės</w:t>
      </w:r>
    </w:p>
    <w:p w14:paraId="40D854D9" w14:textId="77777777" w:rsidR="00F17A0C" w:rsidRPr="00CE4C3C" w:rsidRDefault="00F17A0C" w:rsidP="00CE4C3C">
      <w:pPr>
        <w:keepNext/>
        <w:tabs>
          <w:tab w:val="left" w:pos="2412"/>
        </w:tabs>
        <w:spacing w:line="240" w:lineRule="auto"/>
        <w:ind w:left="567" w:hanging="567"/>
        <w:outlineLvl w:val="0"/>
        <w:rPr>
          <w:rFonts w:ascii="Times New Roman" w:eastAsia="Times New Roman" w:hAnsi="Times New Roman" w:cs="Times New Roman"/>
          <w:b/>
          <w:lang w:eastAsia="lt-LT" w:bidi="lt-LT"/>
        </w:rPr>
      </w:pPr>
    </w:p>
    <w:p w14:paraId="463BE465"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Sunitinibo farmakokinetika (FK) nustatyta ištyrus 135 sveikus savanorius ir 266 pacientus, kuriems buvo </w:t>
      </w:r>
      <w:proofErr w:type="spellStart"/>
      <w:r w:rsidRPr="00CE4C3C">
        <w:rPr>
          <w:rFonts w:ascii="Times New Roman" w:eastAsia="Times New Roman" w:hAnsi="Times New Roman" w:cs="Times New Roman"/>
          <w:lang w:eastAsia="lt-LT" w:bidi="lt-LT"/>
        </w:rPr>
        <w:t>solidinių</w:t>
      </w:r>
      <w:proofErr w:type="spellEnd"/>
      <w:r w:rsidRPr="00CE4C3C">
        <w:rPr>
          <w:rFonts w:ascii="Times New Roman" w:eastAsia="Times New Roman" w:hAnsi="Times New Roman" w:cs="Times New Roman"/>
          <w:lang w:eastAsia="lt-LT" w:bidi="lt-LT"/>
        </w:rPr>
        <w:t xml:space="preserve"> navikų. Iširtų sergančių visais </w:t>
      </w:r>
      <w:proofErr w:type="spellStart"/>
      <w:r w:rsidRPr="00CE4C3C">
        <w:rPr>
          <w:rFonts w:ascii="Times New Roman" w:eastAsia="Times New Roman" w:hAnsi="Times New Roman" w:cs="Times New Roman"/>
          <w:lang w:eastAsia="lt-LT" w:bidi="lt-LT"/>
        </w:rPr>
        <w:t>solidiniais</w:t>
      </w:r>
      <w:proofErr w:type="spellEnd"/>
      <w:r w:rsidRPr="00CE4C3C">
        <w:rPr>
          <w:rFonts w:ascii="Times New Roman" w:eastAsia="Times New Roman" w:hAnsi="Times New Roman" w:cs="Times New Roman"/>
          <w:lang w:eastAsia="lt-LT" w:bidi="lt-LT"/>
        </w:rPr>
        <w:t xml:space="preserve"> navikais pacientų ir sveikų savanorių populiacijose FK buvo panaši.</w:t>
      </w:r>
    </w:p>
    <w:p w14:paraId="02B5CF30"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p>
    <w:p w14:paraId="13DA0569" w14:textId="698D169B"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Vartojant nuo 25 iki 100 mg dozes, plotas po koncentracijos ir laiko sankirtos kreive (AUC) ir </w:t>
      </w:r>
      <w:proofErr w:type="spellStart"/>
      <w:r w:rsidRPr="00CE4C3C">
        <w:rPr>
          <w:rFonts w:ascii="Times New Roman" w:eastAsia="Times New Roman" w:hAnsi="Times New Roman" w:cs="Times New Roman"/>
          <w:lang w:eastAsia="lt-LT" w:bidi="lt-LT"/>
        </w:rPr>
        <w:t>C</w:t>
      </w:r>
      <w:r w:rsidRPr="00CE4C3C">
        <w:rPr>
          <w:rFonts w:ascii="Times New Roman" w:eastAsia="Times New Roman" w:hAnsi="Times New Roman" w:cs="Times New Roman"/>
          <w:vertAlign w:val="subscript"/>
          <w:lang w:eastAsia="lt-LT" w:bidi="lt-LT"/>
        </w:rPr>
        <w:t>max</w:t>
      </w:r>
      <w:proofErr w:type="spellEnd"/>
      <w:r w:rsidRPr="00CE4C3C">
        <w:rPr>
          <w:rFonts w:ascii="Times New Roman" w:eastAsia="Times New Roman" w:hAnsi="Times New Roman" w:cs="Times New Roman"/>
          <w:lang w:eastAsia="lt-LT" w:bidi="lt-LT"/>
        </w:rPr>
        <w:t xml:space="preserve"> didėja proporcingai dozei. Vartojant kartotinėmis paros dozėmis, susikaupė 3</w:t>
      </w:r>
      <w:r w:rsidR="00AF2CC3" w:rsidRPr="00CE4C3C">
        <w:rPr>
          <w:rFonts w:ascii="Times New Roman" w:eastAsia="Times New Roman" w:hAnsi="Times New Roman" w:cs="Times New Roman"/>
          <w:lang w:eastAsia="lt-LT" w:bidi="lt-LT"/>
        </w:rPr>
        <w:t>–</w:t>
      </w:r>
      <w:r w:rsidRPr="00CE4C3C">
        <w:rPr>
          <w:rFonts w:ascii="Times New Roman" w:eastAsia="Times New Roman" w:hAnsi="Times New Roman" w:cs="Times New Roman"/>
          <w:lang w:eastAsia="lt-LT" w:bidi="lt-LT"/>
        </w:rPr>
        <w:t>4 kartus daugiau sunitinibo ir 7</w:t>
      </w:r>
      <w:r w:rsidR="00AF2CC3" w:rsidRPr="00CE4C3C">
        <w:rPr>
          <w:rFonts w:ascii="Times New Roman" w:eastAsia="Times New Roman" w:hAnsi="Times New Roman" w:cs="Times New Roman"/>
          <w:lang w:eastAsia="lt-LT" w:bidi="lt-LT"/>
        </w:rPr>
        <w:t>–</w:t>
      </w:r>
      <w:r w:rsidRPr="00CE4C3C">
        <w:rPr>
          <w:rFonts w:ascii="Times New Roman" w:eastAsia="Times New Roman" w:hAnsi="Times New Roman" w:cs="Times New Roman"/>
          <w:lang w:eastAsia="lt-LT" w:bidi="lt-LT"/>
        </w:rPr>
        <w:t xml:space="preserve">10 kartų daugiau pagrindinio aktyvaus metabolito. Sunitinibo ir pagrindinio aktyvaus metabolito </w:t>
      </w:r>
      <w:r w:rsidR="00E07D49">
        <w:rPr>
          <w:rFonts w:ascii="Times New Roman" w:eastAsia="Times New Roman" w:hAnsi="Times New Roman" w:cs="Times New Roman"/>
          <w:lang w:eastAsia="lt-LT" w:bidi="lt-LT"/>
        </w:rPr>
        <w:t>nusistovėjusi</w:t>
      </w:r>
      <w:r w:rsidR="00E07D49"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pusiausvyrin</w:t>
      </w:r>
      <w:r w:rsidR="00E07D49">
        <w:rPr>
          <w:rFonts w:ascii="Times New Roman" w:eastAsia="Times New Roman" w:hAnsi="Times New Roman" w:cs="Times New Roman"/>
          <w:lang w:eastAsia="lt-LT" w:bidi="lt-LT"/>
        </w:rPr>
        <w:t>ė</w:t>
      </w:r>
      <w:proofErr w:type="spellEnd"/>
      <w:r w:rsidRPr="00CE4C3C">
        <w:rPr>
          <w:rFonts w:ascii="Times New Roman" w:eastAsia="Times New Roman" w:hAnsi="Times New Roman" w:cs="Times New Roman"/>
          <w:lang w:eastAsia="lt-LT" w:bidi="lt-LT"/>
        </w:rPr>
        <w:t xml:space="preserve"> </w:t>
      </w:r>
      <w:r w:rsidR="00E07D49">
        <w:rPr>
          <w:rFonts w:ascii="Times New Roman" w:eastAsia="Times New Roman" w:hAnsi="Times New Roman" w:cs="Times New Roman"/>
          <w:lang w:eastAsia="lt-LT" w:bidi="lt-LT"/>
        </w:rPr>
        <w:t xml:space="preserve">koncentracija </w:t>
      </w:r>
      <w:r w:rsidRPr="00CE4C3C">
        <w:rPr>
          <w:rFonts w:ascii="Times New Roman" w:eastAsia="Times New Roman" w:hAnsi="Times New Roman" w:cs="Times New Roman"/>
          <w:lang w:eastAsia="lt-LT" w:bidi="lt-LT"/>
        </w:rPr>
        <w:t>10</w:t>
      </w:r>
      <w:r w:rsidR="00AF2CC3" w:rsidRPr="00CE4C3C">
        <w:rPr>
          <w:rFonts w:ascii="Times New Roman" w:eastAsia="Times New Roman" w:hAnsi="Times New Roman" w:cs="Times New Roman"/>
          <w:lang w:eastAsia="lt-LT" w:bidi="lt-LT"/>
        </w:rPr>
        <w:t>–</w:t>
      </w:r>
      <w:r w:rsidRPr="00CE4C3C">
        <w:rPr>
          <w:rFonts w:ascii="Times New Roman" w:eastAsia="Times New Roman" w:hAnsi="Times New Roman" w:cs="Times New Roman"/>
          <w:lang w:eastAsia="lt-LT" w:bidi="lt-LT"/>
        </w:rPr>
        <w:t>14 parų. Bendroji sunitinibo ir pagrindinio aktyvaus metabolito koncentracija 14-tą parą buvo 62,9-101 </w:t>
      </w:r>
      <w:proofErr w:type="spellStart"/>
      <w:r w:rsidRPr="00CE4C3C">
        <w:rPr>
          <w:rFonts w:ascii="Times New Roman" w:eastAsia="Times New Roman" w:hAnsi="Times New Roman" w:cs="Times New Roman"/>
          <w:lang w:eastAsia="lt-LT" w:bidi="lt-LT"/>
        </w:rPr>
        <w:t>ng</w:t>
      </w:r>
      <w:proofErr w:type="spellEnd"/>
      <w:r w:rsidRPr="00CE4C3C">
        <w:rPr>
          <w:rFonts w:ascii="Times New Roman" w:eastAsia="Times New Roman" w:hAnsi="Times New Roman" w:cs="Times New Roman"/>
          <w:lang w:eastAsia="lt-LT" w:bidi="lt-LT"/>
        </w:rPr>
        <w:t xml:space="preserve">/ml. Tai yra tikslinės koncentracijos, apskaičiuotos remiantis ikiklinikinių tyrimų duomenimis, kurios slopino receptorių </w:t>
      </w:r>
      <w:proofErr w:type="spellStart"/>
      <w:r w:rsidRPr="00CE4C3C">
        <w:rPr>
          <w:rFonts w:ascii="Times New Roman" w:eastAsia="Times New Roman" w:hAnsi="Times New Roman" w:cs="Times New Roman"/>
          <w:lang w:eastAsia="lt-LT" w:bidi="lt-LT"/>
        </w:rPr>
        <w:t>fosforilinimą</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i/>
          <w:lang w:eastAsia="lt-LT" w:bidi="lt-LT"/>
        </w:rPr>
        <w:t>in</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vitro</w:t>
      </w:r>
      <w:proofErr w:type="spellEnd"/>
      <w:r w:rsidRPr="00CE4C3C">
        <w:rPr>
          <w:rFonts w:ascii="Times New Roman" w:eastAsia="Times New Roman" w:hAnsi="Times New Roman" w:cs="Times New Roman"/>
          <w:lang w:eastAsia="lt-LT" w:bidi="lt-LT"/>
        </w:rPr>
        <w:t xml:space="preserve"> ir sustabdė ar sumažino naviko augimą </w:t>
      </w:r>
      <w:proofErr w:type="spellStart"/>
      <w:r w:rsidRPr="00CE4C3C">
        <w:rPr>
          <w:rFonts w:ascii="Times New Roman" w:eastAsia="Times New Roman" w:hAnsi="Times New Roman" w:cs="Times New Roman"/>
          <w:i/>
          <w:lang w:eastAsia="lt-LT" w:bidi="lt-LT"/>
        </w:rPr>
        <w:t>in</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vivo</w:t>
      </w:r>
      <w:proofErr w:type="spellEnd"/>
      <w:r w:rsidRPr="00CE4C3C">
        <w:rPr>
          <w:rFonts w:ascii="Times New Roman" w:eastAsia="Times New Roman" w:hAnsi="Times New Roman" w:cs="Times New Roman"/>
          <w:lang w:eastAsia="lt-LT" w:bidi="lt-LT"/>
        </w:rPr>
        <w:t>. Pagrindinis aktyvus metabolitas sudarė 23</w:t>
      </w:r>
      <w:r w:rsidR="00AF2CC3" w:rsidRPr="00CE4C3C">
        <w:rPr>
          <w:rFonts w:ascii="Times New Roman" w:eastAsia="Times New Roman" w:hAnsi="Times New Roman" w:cs="Times New Roman"/>
          <w:lang w:eastAsia="lt-LT" w:bidi="lt-LT"/>
        </w:rPr>
        <w:t>–</w:t>
      </w:r>
      <w:r w:rsidRPr="00CE4C3C">
        <w:rPr>
          <w:rFonts w:ascii="Times New Roman" w:eastAsia="Times New Roman" w:hAnsi="Times New Roman" w:cs="Times New Roman"/>
          <w:lang w:eastAsia="lt-LT" w:bidi="lt-LT"/>
        </w:rPr>
        <w:t xml:space="preserve">37 % bendrosios ekspozicijos. Vartojant kartotines vaistinio preparato dozes arba vaistinį preparatą vartojant kartotiniais ciklais pagal tiriamuosius gydymo planus, reikšmingų sunitinibo ar pagrindinio aktyvaus metabolito FK pokyčių nepastebėta. </w:t>
      </w:r>
    </w:p>
    <w:p w14:paraId="2E0E3DA0"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p>
    <w:p w14:paraId="735F019B"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u w:val="single"/>
          <w:lang w:eastAsia="lt-LT" w:bidi="lt-LT"/>
        </w:rPr>
      </w:pPr>
      <w:r w:rsidRPr="00CE4C3C">
        <w:rPr>
          <w:rFonts w:ascii="Times New Roman" w:eastAsia="Times New Roman" w:hAnsi="Times New Roman" w:cs="Times New Roman"/>
          <w:u w:val="single"/>
          <w:lang w:eastAsia="lt-LT" w:bidi="lt-LT"/>
        </w:rPr>
        <w:t xml:space="preserve">Absorbcija </w:t>
      </w:r>
    </w:p>
    <w:p w14:paraId="1ECD9963"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Didžiausia </w:t>
      </w:r>
      <w:proofErr w:type="spellStart"/>
      <w:r w:rsidRPr="00CE4C3C">
        <w:rPr>
          <w:rFonts w:ascii="Times New Roman" w:eastAsia="Times New Roman" w:hAnsi="Times New Roman" w:cs="Times New Roman"/>
          <w:lang w:eastAsia="lt-LT" w:bidi="lt-LT"/>
        </w:rPr>
        <w:t>sunitinibo</w:t>
      </w:r>
      <w:proofErr w:type="spellEnd"/>
      <w:r w:rsidRPr="00CE4C3C">
        <w:rPr>
          <w:rFonts w:ascii="Times New Roman" w:eastAsia="Times New Roman" w:hAnsi="Times New Roman" w:cs="Times New Roman"/>
          <w:lang w:eastAsia="lt-LT" w:bidi="lt-LT"/>
        </w:rPr>
        <w:t xml:space="preserve"> koncentracija (</w:t>
      </w:r>
      <w:proofErr w:type="spellStart"/>
      <w:r w:rsidRPr="00CE4C3C">
        <w:rPr>
          <w:rFonts w:ascii="Times New Roman" w:eastAsia="Times New Roman" w:hAnsi="Times New Roman" w:cs="Times New Roman"/>
          <w:lang w:eastAsia="lt-LT" w:bidi="lt-LT"/>
        </w:rPr>
        <w:t>C</w:t>
      </w:r>
      <w:r w:rsidRPr="00CE4C3C">
        <w:rPr>
          <w:rFonts w:ascii="Times New Roman" w:eastAsia="Times New Roman" w:hAnsi="Times New Roman" w:cs="Times New Roman"/>
          <w:vertAlign w:val="subscript"/>
          <w:lang w:eastAsia="lt-LT" w:bidi="lt-LT"/>
        </w:rPr>
        <w:t>max</w:t>
      </w:r>
      <w:proofErr w:type="spellEnd"/>
      <w:r w:rsidRPr="00CE4C3C">
        <w:rPr>
          <w:rFonts w:ascii="Times New Roman" w:eastAsia="Times New Roman" w:hAnsi="Times New Roman" w:cs="Times New Roman"/>
          <w:lang w:eastAsia="lt-LT" w:bidi="lt-LT"/>
        </w:rPr>
        <w:t>) paprastai atsiranda praėjus 6</w:t>
      </w:r>
      <w:r w:rsidR="00AF2CC3" w:rsidRPr="00CE4C3C">
        <w:rPr>
          <w:rFonts w:ascii="Times New Roman" w:eastAsia="Times New Roman" w:hAnsi="Times New Roman" w:cs="Times New Roman"/>
          <w:lang w:eastAsia="lt-LT" w:bidi="lt-LT"/>
        </w:rPr>
        <w:t>–</w:t>
      </w:r>
      <w:r w:rsidRPr="00CE4C3C">
        <w:rPr>
          <w:rFonts w:ascii="Times New Roman" w:eastAsia="Times New Roman" w:hAnsi="Times New Roman" w:cs="Times New Roman"/>
          <w:lang w:eastAsia="lt-LT" w:bidi="lt-LT"/>
        </w:rPr>
        <w:t>12 val. (</w:t>
      </w:r>
      <w:proofErr w:type="spellStart"/>
      <w:r w:rsidRPr="00CE4C3C">
        <w:rPr>
          <w:rFonts w:ascii="Times New Roman" w:eastAsia="Times New Roman" w:hAnsi="Times New Roman" w:cs="Times New Roman"/>
          <w:lang w:eastAsia="lt-LT" w:bidi="lt-LT"/>
        </w:rPr>
        <w:t>t</w:t>
      </w:r>
      <w:r w:rsidRPr="00CE4C3C">
        <w:rPr>
          <w:rFonts w:ascii="Times New Roman" w:eastAsia="Times New Roman" w:hAnsi="Times New Roman" w:cs="Times New Roman"/>
          <w:vertAlign w:val="subscript"/>
          <w:lang w:eastAsia="lt-LT" w:bidi="lt-LT"/>
        </w:rPr>
        <w:t>max</w:t>
      </w:r>
      <w:proofErr w:type="spellEnd"/>
      <w:r w:rsidRPr="00CE4C3C">
        <w:rPr>
          <w:rFonts w:ascii="Times New Roman" w:eastAsia="Times New Roman" w:hAnsi="Times New Roman" w:cs="Times New Roman"/>
          <w:lang w:eastAsia="lt-LT" w:bidi="lt-LT"/>
        </w:rPr>
        <w:t>) po vaistinio preparato pavartojimo.</w:t>
      </w:r>
    </w:p>
    <w:p w14:paraId="50822B07"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p>
    <w:p w14:paraId="2CB990FF"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Maistas sunitinibo biologinio prieinamumo neveikia.</w:t>
      </w:r>
    </w:p>
    <w:p w14:paraId="65FC5E3A"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p>
    <w:p w14:paraId="1DB7BDE0"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u w:val="single"/>
          <w:lang w:eastAsia="lt-LT" w:bidi="lt-LT"/>
        </w:rPr>
      </w:pPr>
      <w:r w:rsidRPr="00CE4C3C">
        <w:rPr>
          <w:rFonts w:ascii="Times New Roman" w:eastAsia="Times New Roman" w:hAnsi="Times New Roman" w:cs="Times New Roman"/>
          <w:u w:val="single"/>
          <w:lang w:eastAsia="lt-LT" w:bidi="lt-LT"/>
        </w:rPr>
        <w:t>Pasiskirstymas</w:t>
      </w:r>
    </w:p>
    <w:p w14:paraId="2CFBF5F2"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Mėginiuose</w:t>
      </w:r>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in</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vitro</w:t>
      </w:r>
      <w:proofErr w:type="spellEnd"/>
      <w:r w:rsidRPr="00CE4C3C">
        <w:rPr>
          <w:rFonts w:ascii="Times New Roman" w:eastAsia="Times New Roman" w:hAnsi="Times New Roman" w:cs="Times New Roman"/>
          <w:lang w:eastAsia="lt-LT" w:bidi="lt-LT"/>
        </w:rPr>
        <w:t>, nepriklausomai nuo koncentracijos, 95 % sunitinibo ir 90 % jo pagrindinio aktyvaus metabolito prisijungė prie žmogaus plazmos baltymų. Sunitinibo pasiskirstymo tūris (</w:t>
      </w:r>
      <w:proofErr w:type="spellStart"/>
      <w:r w:rsidRPr="00CE4C3C">
        <w:rPr>
          <w:rFonts w:ascii="Times New Roman" w:eastAsia="Times New Roman" w:hAnsi="Times New Roman" w:cs="Times New Roman"/>
          <w:lang w:eastAsia="lt-LT" w:bidi="lt-LT"/>
        </w:rPr>
        <w:t>V</w:t>
      </w:r>
      <w:r w:rsidRPr="00CE4C3C">
        <w:rPr>
          <w:rFonts w:ascii="Times New Roman" w:eastAsia="Times New Roman" w:hAnsi="Times New Roman" w:cs="Times New Roman"/>
          <w:vertAlign w:val="subscript"/>
          <w:lang w:eastAsia="lt-LT" w:bidi="lt-LT"/>
        </w:rPr>
        <w:t>d</w:t>
      </w:r>
      <w:proofErr w:type="spellEnd"/>
      <w:r w:rsidRPr="00CE4C3C">
        <w:rPr>
          <w:rFonts w:ascii="Times New Roman" w:eastAsia="Times New Roman" w:hAnsi="Times New Roman" w:cs="Times New Roman"/>
          <w:lang w:eastAsia="lt-LT" w:bidi="lt-LT"/>
        </w:rPr>
        <w:t>) yra didelis –</w:t>
      </w:r>
      <w:r w:rsidR="00AF2CC3" w:rsidRPr="00CE4C3C">
        <w:rPr>
          <w:rFonts w:ascii="Times New Roman" w:eastAsia="Times New Roman" w:hAnsi="Times New Roman" w:cs="Times New Roman"/>
          <w:lang w:eastAsia="lt-LT" w:bidi="lt-LT"/>
        </w:rPr>
        <w:t xml:space="preserve"> </w:t>
      </w:r>
      <w:r w:rsidRPr="00CE4C3C">
        <w:rPr>
          <w:rFonts w:ascii="Times New Roman" w:eastAsia="Times New Roman" w:hAnsi="Times New Roman" w:cs="Times New Roman"/>
          <w:lang w:eastAsia="lt-LT" w:bidi="lt-LT"/>
        </w:rPr>
        <w:t>2230 l, kuris rodo, kad vaistinis preparatas pasiskirsto audiniuose.</w:t>
      </w:r>
    </w:p>
    <w:p w14:paraId="591707E6"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p>
    <w:p w14:paraId="6396EB3A"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u w:val="single"/>
          <w:lang w:eastAsia="lt-LT" w:bidi="lt-LT"/>
        </w:rPr>
      </w:pPr>
      <w:proofErr w:type="spellStart"/>
      <w:r w:rsidRPr="00CE4C3C">
        <w:rPr>
          <w:rFonts w:ascii="Times New Roman" w:eastAsia="Times New Roman" w:hAnsi="Times New Roman" w:cs="Times New Roman"/>
          <w:u w:val="single"/>
          <w:lang w:eastAsia="lt-LT" w:bidi="lt-LT"/>
        </w:rPr>
        <w:t>Metabolinės</w:t>
      </w:r>
      <w:proofErr w:type="spellEnd"/>
      <w:r w:rsidRPr="00CE4C3C">
        <w:rPr>
          <w:rFonts w:ascii="Times New Roman" w:eastAsia="Times New Roman" w:hAnsi="Times New Roman" w:cs="Times New Roman"/>
          <w:u w:val="single"/>
          <w:lang w:eastAsia="lt-LT" w:bidi="lt-LT"/>
        </w:rPr>
        <w:t xml:space="preserve"> sąveikos </w:t>
      </w:r>
    </w:p>
    <w:p w14:paraId="2FCB06C2"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Visų tirtų </w:t>
      </w:r>
      <w:proofErr w:type="spellStart"/>
      <w:r w:rsidRPr="00CE4C3C">
        <w:rPr>
          <w:rFonts w:ascii="Times New Roman" w:eastAsia="Times New Roman" w:hAnsi="Times New Roman" w:cs="Times New Roman"/>
          <w:lang w:eastAsia="lt-LT" w:bidi="lt-LT"/>
        </w:rPr>
        <w:t>citochromo</w:t>
      </w:r>
      <w:proofErr w:type="spellEnd"/>
      <w:r w:rsidRPr="00CE4C3C">
        <w:rPr>
          <w:rFonts w:ascii="Times New Roman" w:eastAsia="Times New Roman" w:hAnsi="Times New Roman" w:cs="Times New Roman"/>
          <w:lang w:eastAsia="lt-LT" w:bidi="lt-LT"/>
        </w:rPr>
        <w:t xml:space="preserve"> (CYP) </w:t>
      </w:r>
      <w:proofErr w:type="spellStart"/>
      <w:r w:rsidRPr="00CE4C3C">
        <w:rPr>
          <w:rFonts w:ascii="Times New Roman" w:eastAsia="Times New Roman" w:hAnsi="Times New Roman" w:cs="Times New Roman"/>
          <w:lang w:eastAsia="lt-LT" w:bidi="lt-LT"/>
        </w:rPr>
        <w:t>izoformų</w:t>
      </w:r>
      <w:proofErr w:type="spellEnd"/>
      <w:r w:rsidRPr="00CE4C3C">
        <w:rPr>
          <w:rFonts w:ascii="Times New Roman" w:eastAsia="Times New Roman" w:hAnsi="Times New Roman" w:cs="Times New Roman"/>
          <w:lang w:eastAsia="lt-LT" w:bidi="lt-LT"/>
        </w:rPr>
        <w:t xml:space="preserve"> (CYP1A2, CYP2A6, CYP2B6, CYP2C8, CYP2C9, CYP2C19, CYP2D6, CYP2E1, CYP3A4/5 ir CYP4A9/11) </w:t>
      </w:r>
      <w:proofErr w:type="spellStart"/>
      <w:r w:rsidRPr="00CE4C3C">
        <w:rPr>
          <w:rFonts w:ascii="Times New Roman" w:eastAsia="Times New Roman" w:hAnsi="Times New Roman" w:cs="Times New Roman"/>
          <w:i/>
          <w:lang w:eastAsia="lt-LT" w:bidi="lt-LT"/>
        </w:rPr>
        <w:t>in</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vitro</w:t>
      </w:r>
      <w:proofErr w:type="spellEnd"/>
      <w:r w:rsidRPr="00CE4C3C">
        <w:rPr>
          <w:rFonts w:ascii="Times New Roman" w:eastAsia="Times New Roman" w:hAnsi="Times New Roman" w:cs="Times New Roman"/>
          <w:lang w:eastAsia="lt-LT" w:bidi="lt-LT"/>
        </w:rPr>
        <w:t xml:space="preserve"> nustatyta </w:t>
      </w:r>
      <w:proofErr w:type="spellStart"/>
      <w:r w:rsidRPr="00CE4C3C">
        <w:rPr>
          <w:rFonts w:ascii="Times New Roman" w:eastAsia="Times New Roman" w:hAnsi="Times New Roman" w:cs="Times New Roman"/>
          <w:lang w:eastAsia="lt-LT" w:bidi="lt-LT"/>
        </w:rPr>
        <w:t>K</w:t>
      </w:r>
      <w:r w:rsidRPr="00CE4C3C">
        <w:rPr>
          <w:rFonts w:ascii="Times New Roman" w:eastAsia="Times New Roman" w:hAnsi="Times New Roman" w:cs="Times New Roman"/>
          <w:i/>
          <w:lang w:eastAsia="lt-LT" w:bidi="lt-LT"/>
        </w:rPr>
        <w:t>i</w:t>
      </w:r>
      <w:proofErr w:type="spellEnd"/>
      <w:r w:rsidRPr="00CE4C3C">
        <w:rPr>
          <w:rFonts w:ascii="Times New Roman" w:eastAsia="Times New Roman" w:hAnsi="Times New Roman" w:cs="Times New Roman"/>
          <w:lang w:eastAsia="lt-LT" w:bidi="lt-LT"/>
        </w:rPr>
        <w:t xml:space="preserve"> reikšmė parodė, kad sunitinibas ir pagrindinis jo aktyvus metabolitas tikriausia neindukuoja (bent jau kliniškai reikšmingai) kitų veikliųjų medžiagų, kurios gali būti </w:t>
      </w:r>
      <w:proofErr w:type="spellStart"/>
      <w:r w:rsidRPr="00CE4C3C">
        <w:rPr>
          <w:rFonts w:ascii="Times New Roman" w:eastAsia="Times New Roman" w:hAnsi="Times New Roman" w:cs="Times New Roman"/>
          <w:lang w:eastAsia="lt-LT" w:bidi="lt-LT"/>
        </w:rPr>
        <w:t>metabolizuojamos</w:t>
      </w:r>
      <w:proofErr w:type="spellEnd"/>
      <w:r w:rsidRPr="00CE4C3C">
        <w:rPr>
          <w:rFonts w:ascii="Times New Roman" w:eastAsia="Times New Roman" w:hAnsi="Times New Roman" w:cs="Times New Roman"/>
          <w:lang w:eastAsia="lt-LT" w:bidi="lt-LT"/>
        </w:rPr>
        <w:t xml:space="preserve">, veikiant minėtiems </w:t>
      </w:r>
      <w:proofErr w:type="spellStart"/>
      <w:r w:rsidRPr="00CE4C3C">
        <w:rPr>
          <w:rFonts w:ascii="Times New Roman" w:eastAsia="Times New Roman" w:hAnsi="Times New Roman" w:cs="Times New Roman"/>
          <w:lang w:eastAsia="lt-LT" w:bidi="lt-LT"/>
        </w:rPr>
        <w:t>izofermentams</w:t>
      </w:r>
      <w:proofErr w:type="spellEnd"/>
      <w:r w:rsidRPr="00CE4C3C">
        <w:rPr>
          <w:rFonts w:ascii="Times New Roman" w:eastAsia="Times New Roman" w:hAnsi="Times New Roman" w:cs="Times New Roman"/>
          <w:lang w:eastAsia="lt-LT" w:bidi="lt-LT"/>
        </w:rPr>
        <w:t>, metabolizmo.</w:t>
      </w:r>
    </w:p>
    <w:p w14:paraId="1ACF0F87"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u w:val="single"/>
          <w:lang w:eastAsia="lt-LT" w:bidi="lt-LT"/>
        </w:rPr>
      </w:pPr>
    </w:p>
    <w:p w14:paraId="149379B9"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u w:val="single"/>
          <w:lang w:eastAsia="lt-LT" w:bidi="lt-LT"/>
        </w:rPr>
      </w:pPr>
      <w:proofErr w:type="spellStart"/>
      <w:r w:rsidRPr="00CE4C3C">
        <w:rPr>
          <w:rFonts w:ascii="Times New Roman" w:eastAsia="Times New Roman" w:hAnsi="Times New Roman" w:cs="Times New Roman"/>
          <w:u w:val="single"/>
          <w:lang w:eastAsia="lt-LT" w:bidi="lt-LT"/>
        </w:rPr>
        <w:t>Biotransformacija</w:t>
      </w:r>
      <w:proofErr w:type="spellEnd"/>
    </w:p>
    <w:p w14:paraId="78B17336"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Daugiausia </w:t>
      </w:r>
      <w:proofErr w:type="spellStart"/>
      <w:r w:rsidRPr="00CE4C3C">
        <w:rPr>
          <w:rFonts w:ascii="Times New Roman" w:eastAsia="Times New Roman" w:hAnsi="Times New Roman" w:cs="Times New Roman"/>
          <w:lang w:eastAsia="lt-LT" w:bidi="lt-LT"/>
        </w:rPr>
        <w:t>sunitinibo</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metabolizuojama</w:t>
      </w:r>
      <w:proofErr w:type="spellEnd"/>
      <w:r w:rsidRPr="00CE4C3C">
        <w:rPr>
          <w:rFonts w:ascii="Times New Roman" w:eastAsia="Times New Roman" w:hAnsi="Times New Roman" w:cs="Times New Roman"/>
          <w:lang w:eastAsia="lt-LT" w:bidi="lt-LT"/>
        </w:rPr>
        <w:t xml:space="preserve">, veikiant </w:t>
      </w:r>
      <w:proofErr w:type="spellStart"/>
      <w:r w:rsidRPr="00CE4C3C">
        <w:rPr>
          <w:rFonts w:ascii="Times New Roman" w:eastAsia="Times New Roman" w:hAnsi="Times New Roman" w:cs="Times New Roman"/>
          <w:lang w:eastAsia="lt-LT" w:bidi="lt-LT"/>
        </w:rPr>
        <w:t>citochromo</w:t>
      </w:r>
      <w:proofErr w:type="spellEnd"/>
      <w:r w:rsidRPr="00CE4C3C">
        <w:rPr>
          <w:rFonts w:ascii="Times New Roman" w:eastAsia="Times New Roman" w:hAnsi="Times New Roman" w:cs="Times New Roman"/>
          <w:lang w:eastAsia="lt-LT" w:bidi="lt-LT"/>
        </w:rPr>
        <w:t xml:space="preserve"> P450 </w:t>
      </w:r>
      <w:proofErr w:type="spellStart"/>
      <w:r w:rsidRPr="00CE4C3C">
        <w:rPr>
          <w:rFonts w:ascii="Times New Roman" w:eastAsia="Times New Roman" w:hAnsi="Times New Roman" w:cs="Times New Roman"/>
          <w:lang w:eastAsia="lt-LT" w:bidi="lt-LT"/>
        </w:rPr>
        <w:t>izofermentui</w:t>
      </w:r>
      <w:proofErr w:type="spellEnd"/>
      <w:r w:rsidRPr="00CE4C3C">
        <w:rPr>
          <w:rFonts w:ascii="Times New Roman" w:eastAsia="Times New Roman" w:hAnsi="Times New Roman" w:cs="Times New Roman"/>
          <w:lang w:eastAsia="lt-LT" w:bidi="lt-LT"/>
        </w:rPr>
        <w:t xml:space="preserve"> CYP3A4. Suformuojamas pagrindinis aktyvus </w:t>
      </w:r>
      <w:proofErr w:type="spellStart"/>
      <w:r w:rsidRPr="00CE4C3C">
        <w:rPr>
          <w:rFonts w:ascii="Times New Roman" w:eastAsia="Times New Roman" w:hAnsi="Times New Roman" w:cs="Times New Roman"/>
          <w:lang w:eastAsia="lt-LT" w:bidi="lt-LT"/>
        </w:rPr>
        <w:t>deetilmetabolitas</w:t>
      </w:r>
      <w:proofErr w:type="spellEnd"/>
      <w:r w:rsidRPr="00CE4C3C">
        <w:rPr>
          <w:rFonts w:ascii="Times New Roman" w:eastAsia="Times New Roman" w:hAnsi="Times New Roman" w:cs="Times New Roman"/>
          <w:lang w:eastAsia="lt-LT" w:bidi="lt-LT"/>
        </w:rPr>
        <w:t xml:space="preserve">, kuris toliau </w:t>
      </w:r>
      <w:proofErr w:type="spellStart"/>
      <w:r w:rsidRPr="00CE4C3C">
        <w:rPr>
          <w:rFonts w:ascii="Times New Roman" w:eastAsia="Times New Roman" w:hAnsi="Times New Roman" w:cs="Times New Roman"/>
          <w:lang w:eastAsia="lt-LT" w:bidi="lt-LT"/>
        </w:rPr>
        <w:t>metabolizuojamas</w:t>
      </w:r>
      <w:proofErr w:type="spellEnd"/>
      <w:r w:rsidRPr="00CE4C3C">
        <w:rPr>
          <w:rFonts w:ascii="Times New Roman" w:eastAsia="Times New Roman" w:hAnsi="Times New Roman" w:cs="Times New Roman"/>
          <w:lang w:eastAsia="lt-LT" w:bidi="lt-LT"/>
        </w:rPr>
        <w:t xml:space="preserve">, veikiant tam pačiam </w:t>
      </w:r>
      <w:proofErr w:type="spellStart"/>
      <w:r w:rsidRPr="00CE4C3C">
        <w:rPr>
          <w:rFonts w:ascii="Times New Roman" w:eastAsia="Times New Roman" w:hAnsi="Times New Roman" w:cs="Times New Roman"/>
          <w:lang w:eastAsia="lt-LT" w:bidi="lt-LT"/>
        </w:rPr>
        <w:t>izofermentui</w:t>
      </w:r>
      <w:proofErr w:type="spellEnd"/>
      <w:r w:rsidRPr="00CE4C3C">
        <w:rPr>
          <w:rFonts w:ascii="Times New Roman" w:eastAsia="Times New Roman" w:hAnsi="Times New Roman" w:cs="Times New Roman"/>
          <w:lang w:eastAsia="lt-LT" w:bidi="lt-LT"/>
        </w:rPr>
        <w:t>.</w:t>
      </w:r>
    </w:p>
    <w:p w14:paraId="4A9DE9FC" w14:textId="64A920E8"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Sunitinibą</w:t>
      </w:r>
      <w:proofErr w:type="spellEnd"/>
      <w:r w:rsidRPr="00CE4C3C">
        <w:rPr>
          <w:rFonts w:ascii="Times New Roman" w:eastAsia="Times New Roman" w:hAnsi="Times New Roman" w:cs="Times New Roman"/>
          <w:lang w:eastAsia="lt-LT" w:bidi="lt-LT"/>
        </w:rPr>
        <w:t xml:space="preserve"> vartoti kartu su stipriais CYP3A4 </w:t>
      </w:r>
      <w:proofErr w:type="spellStart"/>
      <w:r w:rsidRPr="00CE4C3C">
        <w:rPr>
          <w:rFonts w:ascii="Times New Roman" w:eastAsia="Times New Roman" w:hAnsi="Times New Roman" w:cs="Times New Roman"/>
          <w:lang w:eastAsia="lt-LT" w:bidi="lt-LT"/>
        </w:rPr>
        <w:t>izofermento</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induktoriais</w:t>
      </w:r>
      <w:proofErr w:type="spellEnd"/>
      <w:r w:rsidRPr="00CE4C3C">
        <w:rPr>
          <w:rFonts w:ascii="Times New Roman" w:eastAsia="Times New Roman" w:hAnsi="Times New Roman" w:cs="Times New Roman"/>
          <w:lang w:eastAsia="lt-LT" w:bidi="lt-LT"/>
        </w:rPr>
        <w:t xml:space="preserve"> ar inhibitoriais negalima, nes gali pakisti sunitinibo </w:t>
      </w:r>
      <w:r w:rsidR="00E07D49">
        <w:rPr>
          <w:rFonts w:ascii="Times New Roman" w:eastAsia="Times New Roman" w:hAnsi="Times New Roman" w:cs="Times New Roman"/>
          <w:lang w:eastAsia="lt-LT" w:bidi="lt-LT"/>
        </w:rPr>
        <w:t>koncentracija</w:t>
      </w:r>
      <w:r w:rsidR="00E07D49" w:rsidRPr="00CE4C3C">
        <w:rPr>
          <w:rFonts w:ascii="Times New Roman" w:eastAsia="Times New Roman" w:hAnsi="Times New Roman" w:cs="Times New Roman"/>
          <w:lang w:eastAsia="lt-LT" w:bidi="lt-LT"/>
        </w:rPr>
        <w:t xml:space="preserve"> </w:t>
      </w:r>
      <w:r w:rsidRPr="00CE4C3C">
        <w:rPr>
          <w:rFonts w:ascii="Times New Roman" w:eastAsia="Times New Roman" w:hAnsi="Times New Roman" w:cs="Times New Roman"/>
          <w:lang w:eastAsia="lt-LT" w:bidi="lt-LT"/>
        </w:rPr>
        <w:t>plazmoje (žr. 4.4 ir 4.5 skyrius).</w:t>
      </w:r>
    </w:p>
    <w:p w14:paraId="27263CB1"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u w:val="single"/>
          <w:lang w:eastAsia="lt-LT" w:bidi="lt-LT"/>
        </w:rPr>
      </w:pPr>
    </w:p>
    <w:p w14:paraId="00F32B78"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u w:val="single"/>
          <w:lang w:eastAsia="lt-LT" w:bidi="lt-LT"/>
        </w:rPr>
      </w:pPr>
      <w:r w:rsidRPr="00CE4C3C">
        <w:rPr>
          <w:rFonts w:ascii="Times New Roman" w:eastAsia="Times New Roman" w:hAnsi="Times New Roman" w:cs="Times New Roman"/>
          <w:u w:val="single"/>
          <w:lang w:eastAsia="lt-LT" w:bidi="lt-LT"/>
        </w:rPr>
        <w:t>Eliminacija</w:t>
      </w:r>
    </w:p>
    <w:p w14:paraId="0BD753EB" w14:textId="47605400"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Daugiausia vaistinio preparato šalinama su išmatomis (61 %), pro inkstus šalinama 16 % nepakitusios veikliosios medžiagos ir metabolitų pavidalu. Jungtinės radioaktyvių mėginių analizės duomenimis, sunitinibas ir svarbiausias jo aktyvus metabolitas sudaro didžiausią dalį su vaistiniu preparatu susijusių medžiagų, kurių nustatoma plazmoje, šlapime ir išmatose (atitinkamai 91,5 %, 86,4 % ir 73,8 %). Nežymūs metabolitai nustatyti šlapime ir išmatose, bet dažniausia jų neaptikta plazmoje. Bendrasis išgerto vaistinio preparato tariamasis klirensas (CL/F) -34-62 l/val. Sunitinibo ir pagrindinio jo aktyvaus </w:t>
      </w:r>
      <w:proofErr w:type="spellStart"/>
      <w:r w:rsidRPr="00CE4C3C">
        <w:rPr>
          <w:rFonts w:ascii="Times New Roman" w:eastAsia="Times New Roman" w:hAnsi="Times New Roman" w:cs="Times New Roman"/>
          <w:lang w:eastAsia="lt-LT" w:bidi="lt-LT"/>
        </w:rPr>
        <w:t>d</w:t>
      </w:r>
      <w:r w:rsidR="00D41F8D" w:rsidRPr="00CE4C3C">
        <w:rPr>
          <w:rFonts w:ascii="Times New Roman" w:eastAsia="Times New Roman" w:hAnsi="Times New Roman" w:cs="Times New Roman"/>
          <w:lang w:eastAsia="lt-LT" w:bidi="lt-LT"/>
        </w:rPr>
        <w:t>ietil</w:t>
      </w:r>
      <w:r w:rsidRPr="00CE4C3C">
        <w:rPr>
          <w:rFonts w:ascii="Times New Roman" w:eastAsia="Times New Roman" w:hAnsi="Times New Roman" w:cs="Times New Roman"/>
          <w:lang w:eastAsia="lt-LT" w:bidi="lt-LT"/>
        </w:rPr>
        <w:t>metabolito</w:t>
      </w:r>
      <w:proofErr w:type="spellEnd"/>
      <w:r w:rsidRPr="00CE4C3C">
        <w:rPr>
          <w:rFonts w:ascii="Times New Roman" w:eastAsia="Times New Roman" w:hAnsi="Times New Roman" w:cs="Times New Roman"/>
          <w:lang w:eastAsia="lt-LT" w:bidi="lt-LT"/>
        </w:rPr>
        <w:t xml:space="preserve"> pusinės eliminacijos </w:t>
      </w:r>
      <w:r w:rsidR="00E07D49">
        <w:rPr>
          <w:rFonts w:ascii="Times New Roman" w:eastAsia="Times New Roman" w:hAnsi="Times New Roman" w:cs="Times New Roman"/>
          <w:lang w:eastAsia="lt-LT" w:bidi="lt-LT"/>
        </w:rPr>
        <w:t>laikas</w:t>
      </w:r>
      <w:r w:rsidR="00E07D49" w:rsidRPr="00CE4C3C">
        <w:rPr>
          <w:rFonts w:ascii="Times New Roman" w:eastAsia="Times New Roman" w:hAnsi="Times New Roman" w:cs="Times New Roman"/>
          <w:lang w:eastAsia="lt-LT" w:bidi="lt-LT"/>
        </w:rPr>
        <w:t xml:space="preserve"> </w:t>
      </w:r>
      <w:r w:rsidRPr="00CE4C3C">
        <w:rPr>
          <w:rFonts w:ascii="Times New Roman" w:eastAsia="Times New Roman" w:hAnsi="Times New Roman" w:cs="Times New Roman"/>
          <w:lang w:eastAsia="lt-LT" w:bidi="lt-LT"/>
        </w:rPr>
        <w:t>iš sveikų savanorių, išgėrusių vaistinio preparato, organizmo trunka atitinkamai apie 40–60 ir 80-110 valandų.</w:t>
      </w:r>
    </w:p>
    <w:p w14:paraId="5EBB1020"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14:paraId="496671FB"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u w:val="single"/>
          <w:lang w:eastAsia="lt-LT" w:bidi="lt-LT"/>
        </w:rPr>
      </w:pPr>
      <w:r w:rsidRPr="00CE4C3C">
        <w:rPr>
          <w:rFonts w:ascii="Times New Roman" w:eastAsia="Times New Roman" w:hAnsi="Times New Roman" w:cs="Times New Roman"/>
          <w:iCs/>
          <w:u w:val="single"/>
          <w:lang w:eastAsia="lt-LT" w:bidi="lt-LT"/>
        </w:rPr>
        <w:t>Vartojimas kartu su vaistiniais preparatais, kurie yra krūties vėžio atsparumo baltymo (KVAB) inhibitoriai</w:t>
      </w:r>
    </w:p>
    <w:p w14:paraId="7A2F7DF3"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roofErr w:type="spellStart"/>
      <w:r w:rsidRPr="00CE4C3C">
        <w:rPr>
          <w:rFonts w:ascii="Times New Roman" w:eastAsia="Times New Roman" w:hAnsi="Times New Roman" w:cs="Times New Roman"/>
          <w:iCs/>
          <w:lang w:eastAsia="lt-LT" w:bidi="lt-LT"/>
        </w:rPr>
        <w:t>Sunitinibas</w:t>
      </w:r>
      <w:proofErr w:type="spellEnd"/>
      <w:r w:rsidRPr="00CE4C3C">
        <w:rPr>
          <w:rFonts w:ascii="Times New Roman" w:eastAsia="Times New Roman" w:hAnsi="Times New Roman" w:cs="Times New Roman"/>
          <w:iCs/>
          <w:lang w:eastAsia="lt-LT" w:bidi="lt-LT"/>
        </w:rPr>
        <w:t xml:space="preserve"> </w:t>
      </w:r>
      <w:proofErr w:type="spellStart"/>
      <w:r w:rsidRPr="00CE4C3C">
        <w:rPr>
          <w:rFonts w:ascii="Times New Roman" w:eastAsia="Times New Roman" w:hAnsi="Times New Roman" w:cs="Times New Roman"/>
          <w:i/>
          <w:iCs/>
          <w:lang w:eastAsia="lt-LT" w:bidi="lt-LT"/>
        </w:rPr>
        <w:t>in</w:t>
      </w:r>
      <w:proofErr w:type="spellEnd"/>
      <w:r w:rsidRPr="00CE4C3C">
        <w:rPr>
          <w:rFonts w:ascii="Times New Roman" w:eastAsia="Times New Roman" w:hAnsi="Times New Roman" w:cs="Times New Roman"/>
          <w:i/>
          <w:iCs/>
          <w:lang w:eastAsia="lt-LT" w:bidi="lt-LT"/>
        </w:rPr>
        <w:t xml:space="preserve"> </w:t>
      </w:r>
      <w:proofErr w:type="spellStart"/>
      <w:r w:rsidRPr="00CE4C3C">
        <w:rPr>
          <w:rFonts w:ascii="Times New Roman" w:eastAsia="Times New Roman" w:hAnsi="Times New Roman" w:cs="Times New Roman"/>
          <w:i/>
          <w:iCs/>
          <w:lang w:eastAsia="lt-LT" w:bidi="lt-LT"/>
        </w:rPr>
        <w:t>vitro</w:t>
      </w:r>
      <w:proofErr w:type="spellEnd"/>
      <w:r w:rsidRPr="00CE4C3C">
        <w:rPr>
          <w:rFonts w:ascii="Times New Roman" w:eastAsia="Times New Roman" w:hAnsi="Times New Roman" w:cs="Times New Roman"/>
          <w:iCs/>
          <w:lang w:eastAsia="lt-LT" w:bidi="lt-LT"/>
        </w:rPr>
        <w:t xml:space="preserve"> yra eliminacijos nešiklio KVAB substratas. A6181038 tyrimo duomenimis, </w:t>
      </w:r>
      <w:proofErr w:type="spellStart"/>
      <w:r w:rsidRPr="00CE4C3C">
        <w:rPr>
          <w:rFonts w:ascii="Times New Roman" w:eastAsia="Times New Roman" w:hAnsi="Times New Roman" w:cs="Times New Roman"/>
          <w:iCs/>
          <w:lang w:eastAsia="lt-LT" w:bidi="lt-LT"/>
        </w:rPr>
        <w:t>gefitinibo</w:t>
      </w:r>
      <w:proofErr w:type="spellEnd"/>
      <w:r w:rsidRPr="00CE4C3C">
        <w:rPr>
          <w:rFonts w:ascii="Times New Roman" w:eastAsia="Times New Roman" w:hAnsi="Times New Roman" w:cs="Times New Roman"/>
          <w:iCs/>
          <w:lang w:eastAsia="lt-LT" w:bidi="lt-LT"/>
        </w:rPr>
        <w:t>, KVAB inhibitoriaus, vartojimas kartu nedarė kliniškai reikšmingos įtakos sunitinibo arba viso vaistinio preparato kiekio (</w:t>
      </w:r>
      <w:proofErr w:type="spellStart"/>
      <w:r w:rsidRPr="00CE4C3C">
        <w:rPr>
          <w:rFonts w:ascii="Times New Roman" w:eastAsia="Times New Roman" w:hAnsi="Times New Roman" w:cs="Times New Roman"/>
          <w:iCs/>
          <w:lang w:eastAsia="lt-LT" w:bidi="lt-LT"/>
        </w:rPr>
        <w:t>sunitinibas</w:t>
      </w:r>
      <w:proofErr w:type="spellEnd"/>
      <w:r w:rsidRPr="00CE4C3C">
        <w:rPr>
          <w:rFonts w:ascii="Times New Roman" w:eastAsia="Times New Roman" w:hAnsi="Times New Roman" w:cs="Times New Roman"/>
          <w:iCs/>
          <w:lang w:eastAsia="lt-LT" w:bidi="lt-LT"/>
        </w:rPr>
        <w:t xml:space="preserve"> + metabolitas) </w:t>
      </w:r>
      <w:proofErr w:type="spellStart"/>
      <w:r w:rsidRPr="00CE4C3C">
        <w:rPr>
          <w:rFonts w:ascii="Times New Roman" w:eastAsia="Times New Roman" w:hAnsi="Times New Roman" w:cs="Times New Roman"/>
          <w:iCs/>
          <w:lang w:eastAsia="lt-LT" w:bidi="lt-LT"/>
        </w:rPr>
        <w:t>C</w:t>
      </w:r>
      <w:r w:rsidRPr="00CE4C3C">
        <w:rPr>
          <w:rFonts w:ascii="Times New Roman" w:eastAsia="Times New Roman" w:hAnsi="Times New Roman" w:cs="Times New Roman"/>
          <w:iCs/>
          <w:vertAlign w:val="subscript"/>
          <w:lang w:eastAsia="lt-LT" w:bidi="lt-LT"/>
        </w:rPr>
        <w:t>max</w:t>
      </w:r>
      <w:proofErr w:type="spellEnd"/>
      <w:r w:rsidRPr="00CE4C3C">
        <w:rPr>
          <w:rFonts w:ascii="Times New Roman" w:eastAsia="Times New Roman" w:hAnsi="Times New Roman" w:cs="Times New Roman"/>
          <w:iCs/>
          <w:lang w:eastAsia="lt-LT" w:bidi="lt-LT"/>
        </w:rPr>
        <w:t xml:space="preserve"> ir AUC (žr. 4.5 skyrių). Šis tyrimas </w:t>
      </w:r>
      <w:r w:rsidRPr="00CE4C3C">
        <w:rPr>
          <w:rFonts w:ascii="Times New Roman" w:eastAsia="Times New Roman" w:hAnsi="Times New Roman" w:cs="Times New Roman"/>
          <w:iCs/>
          <w:lang w:eastAsia="lt-LT" w:bidi="lt-LT"/>
        </w:rPr>
        <w:lastRenderedPageBreak/>
        <w:t xml:space="preserve">buvo </w:t>
      </w:r>
      <w:proofErr w:type="spellStart"/>
      <w:r w:rsidRPr="00CE4C3C">
        <w:rPr>
          <w:rFonts w:ascii="Times New Roman" w:eastAsia="Times New Roman" w:hAnsi="Times New Roman" w:cs="Times New Roman"/>
          <w:iCs/>
          <w:lang w:eastAsia="lt-LT" w:bidi="lt-LT"/>
        </w:rPr>
        <w:t>daugiacentris</w:t>
      </w:r>
      <w:proofErr w:type="spellEnd"/>
      <w:r w:rsidRPr="00CE4C3C">
        <w:rPr>
          <w:rFonts w:ascii="Times New Roman" w:eastAsia="Times New Roman" w:hAnsi="Times New Roman" w:cs="Times New Roman"/>
          <w:iCs/>
          <w:lang w:eastAsia="lt-LT" w:bidi="lt-LT"/>
        </w:rPr>
        <w:t xml:space="preserve">, atviras 1/2 fazės tyrimas, kuriame buvo tiriamas sunitinibo, skiriamo kartu su </w:t>
      </w:r>
      <w:proofErr w:type="spellStart"/>
      <w:r w:rsidRPr="00CE4C3C">
        <w:rPr>
          <w:rFonts w:ascii="Times New Roman" w:eastAsia="Times New Roman" w:hAnsi="Times New Roman" w:cs="Times New Roman"/>
          <w:iCs/>
          <w:lang w:eastAsia="lt-LT" w:bidi="lt-LT"/>
        </w:rPr>
        <w:t>gefitinibu</w:t>
      </w:r>
      <w:proofErr w:type="spellEnd"/>
      <w:r w:rsidRPr="00CE4C3C">
        <w:rPr>
          <w:rFonts w:ascii="Times New Roman" w:eastAsia="Times New Roman" w:hAnsi="Times New Roman" w:cs="Times New Roman"/>
          <w:iCs/>
          <w:lang w:eastAsia="lt-LT" w:bidi="lt-LT"/>
        </w:rPr>
        <w:t xml:space="preserve">, saugumas / toleravimas, maksimali toleruojama dozė ir </w:t>
      </w:r>
      <w:proofErr w:type="spellStart"/>
      <w:r w:rsidRPr="00CE4C3C">
        <w:rPr>
          <w:rFonts w:ascii="Times New Roman" w:eastAsia="Times New Roman" w:hAnsi="Times New Roman" w:cs="Times New Roman"/>
          <w:iCs/>
          <w:lang w:eastAsia="lt-LT" w:bidi="lt-LT"/>
        </w:rPr>
        <w:t>antinavikinis</w:t>
      </w:r>
      <w:proofErr w:type="spellEnd"/>
      <w:r w:rsidRPr="00CE4C3C">
        <w:rPr>
          <w:rFonts w:ascii="Times New Roman" w:eastAsia="Times New Roman" w:hAnsi="Times New Roman" w:cs="Times New Roman"/>
          <w:iCs/>
          <w:lang w:eastAsia="lt-LT" w:bidi="lt-LT"/>
        </w:rPr>
        <w:t xml:space="preserve"> aktyvumas tiriamiesiems, kuriems diagnozuotas MILK. Kartu skiriamų </w:t>
      </w:r>
      <w:proofErr w:type="spellStart"/>
      <w:r w:rsidRPr="00CE4C3C">
        <w:rPr>
          <w:rFonts w:ascii="Times New Roman" w:eastAsia="Times New Roman" w:hAnsi="Times New Roman" w:cs="Times New Roman"/>
          <w:iCs/>
          <w:lang w:eastAsia="lt-LT" w:bidi="lt-LT"/>
        </w:rPr>
        <w:t>gefitinibo</w:t>
      </w:r>
      <w:proofErr w:type="spellEnd"/>
      <w:r w:rsidRPr="00CE4C3C">
        <w:rPr>
          <w:rFonts w:ascii="Times New Roman" w:eastAsia="Times New Roman" w:hAnsi="Times New Roman" w:cs="Times New Roman"/>
          <w:iCs/>
          <w:lang w:eastAsia="lt-LT" w:bidi="lt-LT"/>
        </w:rPr>
        <w:t xml:space="preserve"> (250 mg per parą) ir sunitinibo (37,5 mg [1 kohorta, n=4] arba 50 mg [2 kohorta, n=7] per parą, 4 savaites vartojant ir toliau 2 savaites nevartojant) FK buvo tiriama kaip antrinis tyrimo tikslas. Sunitinibo FK parametrų pokyčiai buvo kliniškai nereikšmingi ir nerodė jokios vaistinių preparatų tarpusavio sąveikos; tačiau, atsižvelgiant į santykinai nedidelį tiriamųjų skaičių (t. y. N=7+4) ir vidutinio dydžio arba didelius farmakokinetikos parametrų skirtumus tarp pacientų, šio tyrimo FK duomenis apie vaistinių preparatų tarpusavio sąveiką reikia interpretuoti atsargiai.</w:t>
      </w:r>
    </w:p>
    <w:p w14:paraId="0AFFD655"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14:paraId="13CE2285"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u w:val="single"/>
          <w:lang w:eastAsia="lt-LT" w:bidi="lt-LT"/>
        </w:rPr>
      </w:pPr>
      <w:r w:rsidRPr="00CE4C3C">
        <w:rPr>
          <w:rFonts w:ascii="Times New Roman" w:eastAsia="Times New Roman" w:hAnsi="Times New Roman" w:cs="Times New Roman"/>
          <w:iCs/>
          <w:u w:val="single"/>
          <w:lang w:eastAsia="lt-LT" w:bidi="lt-LT"/>
        </w:rPr>
        <w:t>Ypatingos populiacijos</w:t>
      </w:r>
    </w:p>
    <w:p w14:paraId="660EFF29"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14:paraId="685FC699"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
          <w:iCs/>
          <w:lang w:eastAsia="lt-LT" w:bidi="lt-LT"/>
        </w:rPr>
      </w:pPr>
      <w:r w:rsidRPr="00CE4C3C">
        <w:rPr>
          <w:rFonts w:ascii="Times New Roman" w:eastAsia="Times New Roman" w:hAnsi="Times New Roman" w:cs="Times New Roman"/>
          <w:i/>
          <w:iCs/>
          <w:lang w:eastAsia="lt-LT" w:bidi="lt-LT"/>
        </w:rPr>
        <w:t xml:space="preserve">Sutrikusi kepenų funkcija </w:t>
      </w:r>
    </w:p>
    <w:p w14:paraId="3D52BB57"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r w:rsidRPr="00CE4C3C">
        <w:rPr>
          <w:rFonts w:ascii="Times New Roman" w:eastAsia="Times New Roman" w:hAnsi="Times New Roman" w:cs="Times New Roman"/>
          <w:iCs/>
          <w:lang w:eastAsia="lt-LT" w:bidi="lt-LT"/>
        </w:rPr>
        <w:t xml:space="preserve">Sunitinibas ir jo pagrindinis metabolitas daugiausia </w:t>
      </w:r>
      <w:proofErr w:type="spellStart"/>
      <w:r w:rsidRPr="00CE4C3C">
        <w:rPr>
          <w:rFonts w:ascii="Times New Roman" w:eastAsia="Times New Roman" w:hAnsi="Times New Roman" w:cs="Times New Roman"/>
          <w:iCs/>
          <w:lang w:eastAsia="lt-LT" w:bidi="lt-LT"/>
        </w:rPr>
        <w:t>metabolizuojami</w:t>
      </w:r>
      <w:proofErr w:type="spellEnd"/>
      <w:r w:rsidRPr="00CE4C3C">
        <w:rPr>
          <w:rFonts w:ascii="Times New Roman" w:eastAsia="Times New Roman" w:hAnsi="Times New Roman" w:cs="Times New Roman"/>
          <w:iCs/>
          <w:lang w:eastAsia="lt-LT" w:bidi="lt-LT"/>
        </w:rPr>
        <w:t xml:space="preserve"> kepenyse. Sisteminės ekspozicijos po vienos sunitinibo dozės suvartojimo asmenų, kuriems yra lengvas ar vidutinio sunkumo (A ir B klasės pagal </w:t>
      </w:r>
      <w:proofErr w:type="spellStart"/>
      <w:r w:rsidRPr="00CE4C3C">
        <w:rPr>
          <w:rFonts w:ascii="Times New Roman" w:eastAsia="Times New Roman" w:hAnsi="Times New Roman" w:cs="Times New Roman"/>
          <w:i/>
          <w:iCs/>
          <w:lang w:eastAsia="lt-LT" w:bidi="lt-LT"/>
        </w:rPr>
        <w:t>Child-Pugh</w:t>
      </w:r>
      <w:proofErr w:type="spellEnd"/>
      <w:r w:rsidRPr="00CE4C3C">
        <w:rPr>
          <w:rFonts w:ascii="Times New Roman" w:eastAsia="Times New Roman" w:hAnsi="Times New Roman" w:cs="Times New Roman"/>
          <w:iCs/>
          <w:lang w:eastAsia="lt-LT" w:bidi="lt-LT"/>
        </w:rPr>
        <w:t xml:space="preserve">) kepenų funkcijos sutrikimas, organizme, palyginti su asmenų, kurių kepenų funkcija normali, buvo panašios. Asmenų, kuriems yra sunkus (C klasės pagal </w:t>
      </w:r>
      <w:proofErr w:type="spellStart"/>
      <w:r w:rsidRPr="00CE4C3C">
        <w:rPr>
          <w:rFonts w:ascii="Times New Roman" w:eastAsia="Times New Roman" w:hAnsi="Times New Roman" w:cs="Times New Roman"/>
          <w:i/>
          <w:iCs/>
          <w:lang w:eastAsia="lt-LT" w:bidi="lt-LT"/>
        </w:rPr>
        <w:t>Child-Pugh</w:t>
      </w:r>
      <w:proofErr w:type="spellEnd"/>
      <w:r w:rsidRPr="00CE4C3C">
        <w:rPr>
          <w:rFonts w:ascii="Times New Roman" w:eastAsia="Times New Roman" w:hAnsi="Times New Roman" w:cs="Times New Roman"/>
          <w:iCs/>
          <w:lang w:eastAsia="lt-LT" w:bidi="lt-LT"/>
        </w:rPr>
        <w:t>) kepenų funkcijos sutrikimas, gydymas sunitinibu netirtas.</w:t>
      </w:r>
    </w:p>
    <w:p w14:paraId="29E9D7B1"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14:paraId="0B046809"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r w:rsidRPr="00CE4C3C">
        <w:rPr>
          <w:rFonts w:ascii="Times New Roman" w:eastAsia="Times New Roman" w:hAnsi="Times New Roman" w:cs="Times New Roman"/>
          <w:iCs/>
          <w:lang w:eastAsia="lt-LT" w:bidi="lt-LT"/>
        </w:rPr>
        <w:t>Iš vėžiu sergančių pacientų tyrimų pašalinti ligoniai, kurių ALT ar AST buvo &gt;2,5xVNR (viršutinė normos riba) arba dėl metastazių kepenyse –&gt;5,0xVNR.</w:t>
      </w:r>
    </w:p>
    <w:p w14:paraId="4317E6BA"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14:paraId="06FB5606"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
          <w:iCs/>
          <w:lang w:eastAsia="lt-LT" w:bidi="lt-LT"/>
        </w:rPr>
      </w:pPr>
      <w:r w:rsidRPr="00CE4C3C">
        <w:rPr>
          <w:rFonts w:ascii="Times New Roman" w:eastAsia="Times New Roman" w:hAnsi="Times New Roman" w:cs="Times New Roman"/>
          <w:i/>
          <w:iCs/>
          <w:lang w:eastAsia="lt-LT" w:bidi="lt-LT"/>
        </w:rPr>
        <w:t xml:space="preserve">Sutrikusi inkstų funkcija </w:t>
      </w:r>
    </w:p>
    <w:p w14:paraId="731FDF98"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r w:rsidRPr="00CE4C3C">
        <w:rPr>
          <w:rFonts w:ascii="Times New Roman" w:eastAsia="Times New Roman" w:hAnsi="Times New Roman" w:cs="Times New Roman"/>
          <w:iCs/>
          <w:lang w:eastAsia="lt-LT" w:bidi="lt-LT"/>
        </w:rPr>
        <w:t>Populiacijos FK tyrimai rodo, kad sunitinibo tariamasis klirensas (CL/F) nepakito tirtame kreatinino klirensas diapazone (42-347 ml/min.).</w:t>
      </w:r>
    </w:p>
    <w:p w14:paraId="28D1CBFF"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r w:rsidRPr="00CE4C3C">
        <w:rPr>
          <w:rFonts w:ascii="Times New Roman" w:eastAsia="Times New Roman" w:hAnsi="Times New Roman" w:cs="Times New Roman"/>
          <w:iCs/>
          <w:lang w:eastAsia="lt-LT" w:bidi="lt-LT"/>
        </w:rPr>
        <w:t>Sisteminės ekspozicijos po vienkartinės sunitinibo dozės pavartojimo tiriamųjų, kuriems buvo sunkus inkstų funkcijos sutrikimas (</w:t>
      </w:r>
      <w:proofErr w:type="spellStart"/>
      <w:r w:rsidRPr="00CE4C3C">
        <w:rPr>
          <w:rFonts w:ascii="Times New Roman" w:eastAsia="Times New Roman" w:hAnsi="Times New Roman" w:cs="Times New Roman"/>
          <w:iCs/>
          <w:lang w:eastAsia="lt-LT" w:bidi="lt-LT"/>
        </w:rPr>
        <w:t>CLcr</w:t>
      </w:r>
      <w:proofErr w:type="spellEnd"/>
      <w:r w:rsidRPr="00CE4C3C">
        <w:rPr>
          <w:rFonts w:ascii="Times New Roman" w:eastAsia="Times New Roman" w:hAnsi="Times New Roman" w:cs="Times New Roman"/>
          <w:iCs/>
          <w:lang w:eastAsia="lt-LT" w:bidi="lt-LT"/>
        </w:rPr>
        <w:t xml:space="preserve"> &lt;30 ml/min.), organizme, palyginti su tiriamųjų, kurių inkstų funkcija buvo normali (</w:t>
      </w:r>
      <w:proofErr w:type="spellStart"/>
      <w:r w:rsidRPr="00CE4C3C">
        <w:rPr>
          <w:rFonts w:ascii="Times New Roman" w:eastAsia="Times New Roman" w:hAnsi="Times New Roman" w:cs="Times New Roman"/>
          <w:iCs/>
          <w:lang w:eastAsia="lt-LT" w:bidi="lt-LT"/>
        </w:rPr>
        <w:t>CLcr</w:t>
      </w:r>
      <w:proofErr w:type="spellEnd"/>
      <w:r w:rsidRPr="00CE4C3C">
        <w:rPr>
          <w:rFonts w:ascii="Times New Roman" w:eastAsia="Times New Roman" w:hAnsi="Times New Roman" w:cs="Times New Roman"/>
          <w:iCs/>
          <w:lang w:eastAsia="lt-LT" w:bidi="lt-LT"/>
        </w:rPr>
        <w:t xml:space="preserve"> &gt;80 ml/min.), organizme buvo panašios. Nors sunitinibas ir jo pagrindinis metabolitas hemodializės metu iš tiriamųjų, sergančių GSIL, sisteminės kraujotakos neeliminuojami, vis dėlto bendra sunitinibo sisteminė ekspozicija buvo 47 %, o pagrindinio metabolito 31 % mažesnė, palyginti su tiriamųjų, kurių inkstų funkcija normali.</w:t>
      </w:r>
    </w:p>
    <w:p w14:paraId="138BC032"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14:paraId="7358E75F" w14:textId="5583572B"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
          <w:iCs/>
          <w:lang w:eastAsia="lt-LT" w:bidi="lt-LT"/>
        </w:rPr>
      </w:pPr>
      <w:r w:rsidRPr="00CE4C3C">
        <w:rPr>
          <w:rFonts w:ascii="Times New Roman" w:eastAsia="Times New Roman" w:hAnsi="Times New Roman" w:cs="Times New Roman"/>
          <w:i/>
          <w:iCs/>
          <w:lang w:eastAsia="lt-LT" w:bidi="lt-LT"/>
        </w:rPr>
        <w:t xml:space="preserve">Svoris, </w:t>
      </w:r>
      <w:r w:rsidR="00957F1A">
        <w:rPr>
          <w:rFonts w:ascii="Times New Roman" w:eastAsia="Times New Roman" w:hAnsi="Times New Roman" w:cs="Times New Roman"/>
          <w:i/>
          <w:iCs/>
          <w:lang w:eastAsia="lt-LT" w:bidi="lt-LT"/>
        </w:rPr>
        <w:t>funkcinė būklė</w:t>
      </w:r>
      <w:r w:rsidRPr="00CE4C3C">
        <w:rPr>
          <w:rFonts w:ascii="Times New Roman" w:eastAsia="Times New Roman" w:hAnsi="Times New Roman" w:cs="Times New Roman"/>
          <w:i/>
          <w:iCs/>
          <w:lang w:eastAsia="lt-LT" w:bidi="lt-LT"/>
        </w:rPr>
        <w:t xml:space="preserve"> </w:t>
      </w:r>
    </w:p>
    <w:p w14:paraId="34B123F8" w14:textId="2AB3FE4A"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r w:rsidRPr="00CE4C3C">
        <w:rPr>
          <w:rFonts w:ascii="Times New Roman" w:eastAsia="Times New Roman" w:hAnsi="Times New Roman" w:cs="Times New Roman"/>
          <w:iCs/>
          <w:lang w:eastAsia="lt-LT" w:bidi="lt-LT"/>
        </w:rPr>
        <w:t xml:space="preserve">Populiacijos FK analizės demografiniai duomenys rodo, kad atsižvelgiant į kūno svorį ar </w:t>
      </w:r>
      <w:r w:rsidR="00957F1A">
        <w:rPr>
          <w:rFonts w:ascii="Times New Roman" w:eastAsia="Times New Roman" w:hAnsi="Times New Roman" w:cs="Times New Roman"/>
          <w:iCs/>
          <w:lang w:eastAsia="lt-LT" w:bidi="lt-LT"/>
        </w:rPr>
        <w:t>funkcinę būklę</w:t>
      </w:r>
      <w:r w:rsidRPr="00CE4C3C">
        <w:rPr>
          <w:rFonts w:ascii="Times New Roman" w:eastAsia="Times New Roman" w:hAnsi="Times New Roman" w:cs="Times New Roman"/>
          <w:iCs/>
          <w:lang w:eastAsia="lt-LT" w:bidi="lt-LT"/>
        </w:rPr>
        <w:t xml:space="preserve"> pagal Rytų bendradarbiavimo onkologijos grupės skalę (angl.: </w:t>
      </w:r>
      <w:r w:rsidRPr="00CE4C3C">
        <w:rPr>
          <w:rFonts w:ascii="Times New Roman" w:eastAsia="Times New Roman" w:hAnsi="Times New Roman" w:cs="Times New Roman"/>
          <w:i/>
          <w:iCs/>
          <w:lang w:eastAsia="lt-LT" w:bidi="lt-LT"/>
        </w:rPr>
        <w:t xml:space="preserve">Eastern </w:t>
      </w:r>
      <w:proofErr w:type="spellStart"/>
      <w:r w:rsidRPr="00CE4C3C">
        <w:rPr>
          <w:rFonts w:ascii="Times New Roman" w:eastAsia="Times New Roman" w:hAnsi="Times New Roman" w:cs="Times New Roman"/>
          <w:i/>
          <w:iCs/>
          <w:lang w:eastAsia="lt-LT" w:bidi="lt-LT"/>
        </w:rPr>
        <w:t>Cooperative</w:t>
      </w:r>
      <w:proofErr w:type="spellEnd"/>
      <w:r w:rsidRPr="00CE4C3C">
        <w:rPr>
          <w:rFonts w:ascii="Times New Roman" w:eastAsia="Times New Roman" w:hAnsi="Times New Roman" w:cs="Times New Roman"/>
          <w:i/>
          <w:iCs/>
          <w:lang w:eastAsia="lt-LT" w:bidi="lt-LT"/>
        </w:rPr>
        <w:t xml:space="preserve"> </w:t>
      </w:r>
      <w:proofErr w:type="spellStart"/>
      <w:r w:rsidRPr="00CE4C3C">
        <w:rPr>
          <w:rFonts w:ascii="Times New Roman" w:eastAsia="Times New Roman" w:hAnsi="Times New Roman" w:cs="Times New Roman"/>
          <w:i/>
          <w:iCs/>
          <w:lang w:eastAsia="lt-LT" w:bidi="lt-LT"/>
        </w:rPr>
        <w:t>Oncology</w:t>
      </w:r>
      <w:proofErr w:type="spellEnd"/>
      <w:r w:rsidRPr="00CE4C3C">
        <w:rPr>
          <w:rFonts w:ascii="Times New Roman" w:eastAsia="Times New Roman" w:hAnsi="Times New Roman" w:cs="Times New Roman"/>
          <w:i/>
          <w:iCs/>
          <w:lang w:eastAsia="lt-LT" w:bidi="lt-LT"/>
        </w:rPr>
        <w:t xml:space="preserve"> Group, </w:t>
      </w:r>
      <w:r w:rsidRPr="00CE4C3C">
        <w:rPr>
          <w:rFonts w:ascii="Times New Roman" w:eastAsia="Times New Roman" w:hAnsi="Times New Roman" w:cs="Times New Roman"/>
          <w:iCs/>
          <w:lang w:eastAsia="lt-LT" w:bidi="lt-LT"/>
        </w:rPr>
        <w:t>ECOG) pradinės dozės korekcija nebūtina.</w:t>
      </w:r>
    </w:p>
    <w:p w14:paraId="0ABDAFB2"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14:paraId="2A0A07E6"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
          <w:iCs/>
          <w:lang w:eastAsia="lt-LT" w:bidi="lt-LT"/>
        </w:rPr>
      </w:pPr>
      <w:r w:rsidRPr="00CE4C3C">
        <w:rPr>
          <w:rFonts w:ascii="Times New Roman" w:eastAsia="Times New Roman" w:hAnsi="Times New Roman" w:cs="Times New Roman"/>
          <w:i/>
          <w:iCs/>
          <w:lang w:eastAsia="lt-LT" w:bidi="lt-LT"/>
        </w:rPr>
        <w:t xml:space="preserve">Lytis </w:t>
      </w:r>
    </w:p>
    <w:p w14:paraId="5DDDB9ED"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r w:rsidRPr="00CE4C3C">
        <w:rPr>
          <w:rFonts w:ascii="Times New Roman" w:eastAsia="Times New Roman" w:hAnsi="Times New Roman" w:cs="Times New Roman"/>
          <w:iCs/>
          <w:lang w:eastAsia="lt-LT" w:bidi="lt-LT"/>
        </w:rPr>
        <w:t>Turimi duomenys rodo, kad tariamasis sunitinibo klirensas (CL/F) moterims gali būti maždaug 30 % mažesnis nei vyrams. Vis dėlto pradinės dozės dėl šio skirtumo keisti nereikia.</w:t>
      </w:r>
    </w:p>
    <w:p w14:paraId="1E329BDB"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14:paraId="1691E379"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
          <w:iCs/>
          <w:lang w:eastAsia="lt-LT" w:bidi="lt-LT"/>
        </w:rPr>
      </w:pPr>
      <w:r w:rsidRPr="00CE4C3C">
        <w:rPr>
          <w:rFonts w:ascii="Times New Roman" w:eastAsia="Times New Roman" w:hAnsi="Times New Roman" w:cs="Times New Roman"/>
          <w:i/>
          <w:iCs/>
          <w:lang w:eastAsia="lt-LT" w:bidi="lt-LT"/>
        </w:rPr>
        <w:t xml:space="preserve">Vaikų populiacija </w:t>
      </w:r>
    </w:p>
    <w:p w14:paraId="75D0544C" w14:textId="69BB26C0"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lang w:eastAsia="lt-LT"/>
        </w:rPr>
      </w:pPr>
      <w:r w:rsidRPr="00CE4C3C">
        <w:rPr>
          <w:rFonts w:ascii="Times New Roman" w:eastAsia="Times New Roman" w:hAnsi="Times New Roman" w:cs="Times New Roman"/>
          <w:iCs/>
          <w:lang w:eastAsia="lt-LT" w:bidi="lt-LT"/>
        </w:rPr>
        <w:t>Sunitinibo vartojimo pediatriniams pacientams patirtis yra ne</w:t>
      </w:r>
      <w:r w:rsidR="00957F1A">
        <w:rPr>
          <w:rFonts w:ascii="Times New Roman" w:eastAsia="Times New Roman" w:hAnsi="Times New Roman" w:cs="Times New Roman"/>
          <w:iCs/>
          <w:lang w:eastAsia="lt-LT" w:bidi="lt-LT"/>
        </w:rPr>
        <w:t>pakankama</w:t>
      </w:r>
      <w:r w:rsidRPr="00CE4C3C">
        <w:rPr>
          <w:rFonts w:ascii="Times New Roman" w:eastAsia="Times New Roman" w:hAnsi="Times New Roman" w:cs="Times New Roman"/>
          <w:iCs/>
          <w:lang w:eastAsia="lt-LT" w:bidi="lt-LT"/>
        </w:rPr>
        <w:t xml:space="preserve"> (žr. 4.2 skyriuje „Vaikų populiacija“). Atlikta populiacijos FK analizė su jungtiniais suaugusiųjų pacientų, kuri</w:t>
      </w:r>
      <w:r w:rsidR="00D41F8D" w:rsidRPr="00CE4C3C">
        <w:rPr>
          <w:rFonts w:ascii="Times New Roman" w:eastAsia="Times New Roman" w:hAnsi="Times New Roman" w:cs="Times New Roman"/>
          <w:iCs/>
          <w:lang w:eastAsia="lt-LT" w:bidi="lt-LT"/>
        </w:rPr>
        <w:t>e</w:t>
      </w:r>
      <w:r w:rsidRPr="00CE4C3C">
        <w:rPr>
          <w:rFonts w:ascii="Times New Roman" w:eastAsia="Times New Roman" w:hAnsi="Times New Roman" w:cs="Times New Roman"/>
          <w:iCs/>
          <w:lang w:eastAsia="lt-LT" w:bidi="lt-LT"/>
        </w:rPr>
        <w:t xml:space="preserve">ms buvo VTSN ir </w:t>
      </w:r>
      <w:proofErr w:type="spellStart"/>
      <w:r w:rsidRPr="00CE4C3C">
        <w:rPr>
          <w:rFonts w:ascii="Times New Roman" w:eastAsia="Times New Roman" w:hAnsi="Times New Roman" w:cs="Times New Roman"/>
          <w:iCs/>
          <w:lang w:eastAsia="lt-LT" w:bidi="lt-LT"/>
        </w:rPr>
        <w:t>solidinių</w:t>
      </w:r>
      <w:proofErr w:type="spellEnd"/>
      <w:r w:rsidRPr="00CE4C3C">
        <w:rPr>
          <w:rFonts w:ascii="Times New Roman" w:eastAsia="Times New Roman" w:hAnsi="Times New Roman" w:cs="Times New Roman"/>
          <w:iCs/>
          <w:lang w:eastAsia="lt-LT" w:bidi="lt-LT"/>
        </w:rPr>
        <w:t xml:space="preserve"> navikų, ir </w:t>
      </w:r>
      <w:proofErr w:type="spellStart"/>
      <w:r w:rsidR="009500CF" w:rsidRPr="00CE4C3C">
        <w:rPr>
          <w:rFonts w:ascii="Times New Roman" w:eastAsia="Times New Roman" w:hAnsi="Times New Roman" w:cs="Times New Roman"/>
          <w:iCs/>
          <w:lang w:eastAsia="lt-LT" w:bidi="lt-LT"/>
        </w:rPr>
        <w:t>pedi</w:t>
      </w:r>
      <w:r w:rsidR="00957F1A">
        <w:rPr>
          <w:rFonts w:ascii="Times New Roman" w:eastAsia="Times New Roman" w:hAnsi="Times New Roman" w:cs="Times New Roman"/>
          <w:iCs/>
          <w:lang w:eastAsia="lt-LT" w:bidi="lt-LT"/>
        </w:rPr>
        <w:t>a</w:t>
      </w:r>
      <w:r w:rsidR="009500CF" w:rsidRPr="00CE4C3C">
        <w:rPr>
          <w:rFonts w:ascii="Times New Roman" w:eastAsia="Times New Roman" w:hAnsi="Times New Roman" w:cs="Times New Roman"/>
          <w:iCs/>
          <w:lang w:eastAsia="lt-LT" w:bidi="lt-LT"/>
        </w:rPr>
        <w:t>t</w:t>
      </w:r>
      <w:r w:rsidR="00957F1A">
        <w:rPr>
          <w:rFonts w:ascii="Times New Roman" w:eastAsia="Times New Roman" w:hAnsi="Times New Roman" w:cs="Times New Roman"/>
          <w:iCs/>
          <w:lang w:eastAsia="lt-LT" w:bidi="lt-LT"/>
        </w:rPr>
        <w:t>ri</w:t>
      </w:r>
      <w:r w:rsidR="009500CF" w:rsidRPr="00CE4C3C">
        <w:rPr>
          <w:rFonts w:ascii="Times New Roman" w:eastAsia="Times New Roman" w:hAnsi="Times New Roman" w:cs="Times New Roman"/>
          <w:iCs/>
          <w:lang w:eastAsia="lt-LT" w:bidi="lt-LT"/>
        </w:rPr>
        <w:t>rių</w:t>
      </w:r>
      <w:proofErr w:type="spellEnd"/>
      <w:r w:rsidR="009500CF" w:rsidRPr="00CE4C3C">
        <w:rPr>
          <w:rFonts w:ascii="Times New Roman" w:eastAsia="Times New Roman" w:hAnsi="Times New Roman" w:cs="Times New Roman"/>
          <w:iCs/>
          <w:lang w:eastAsia="lt-LT" w:bidi="lt-LT"/>
        </w:rPr>
        <w:t xml:space="preserve"> pacientų</w:t>
      </w:r>
      <w:r w:rsidRPr="00CE4C3C">
        <w:rPr>
          <w:rFonts w:ascii="Times New Roman" w:eastAsia="Times New Roman" w:hAnsi="Times New Roman" w:cs="Times New Roman"/>
          <w:iCs/>
          <w:lang w:eastAsia="lt-LT" w:bidi="lt-LT"/>
        </w:rPr>
        <w:t xml:space="preserve">, kuriems buvo </w:t>
      </w:r>
      <w:proofErr w:type="spellStart"/>
      <w:r w:rsidRPr="00CE4C3C">
        <w:rPr>
          <w:rFonts w:ascii="Times New Roman" w:eastAsia="Times New Roman" w:hAnsi="Times New Roman" w:cs="Times New Roman"/>
          <w:iCs/>
          <w:lang w:eastAsia="lt-LT" w:bidi="lt-LT"/>
        </w:rPr>
        <w:t>solidinių</w:t>
      </w:r>
      <w:proofErr w:type="spellEnd"/>
      <w:r w:rsidRPr="00CE4C3C">
        <w:rPr>
          <w:rFonts w:ascii="Times New Roman" w:eastAsia="Times New Roman" w:hAnsi="Times New Roman" w:cs="Times New Roman"/>
          <w:iCs/>
          <w:lang w:eastAsia="lt-LT" w:bidi="lt-LT"/>
        </w:rPr>
        <w:t xml:space="preserve"> navikų, duomenimis. Siekiant įvertinti amžiaus ir kūno sudėjimo (bendrosios kūno masės ir kūno paviršiaus ploto) bei kitų </w:t>
      </w:r>
      <w:proofErr w:type="spellStart"/>
      <w:r w:rsidRPr="00CE4C3C">
        <w:rPr>
          <w:rFonts w:ascii="Times New Roman" w:eastAsia="Times New Roman" w:hAnsi="Times New Roman" w:cs="Times New Roman"/>
          <w:iCs/>
          <w:lang w:eastAsia="lt-LT" w:bidi="lt-LT"/>
        </w:rPr>
        <w:t>kovariantų</w:t>
      </w:r>
      <w:proofErr w:type="spellEnd"/>
      <w:r w:rsidRPr="00CE4C3C">
        <w:rPr>
          <w:rFonts w:ascii="Times New Roman" w:eastAsia="Times New Roman" w:hAnsi="Times New Roman" w:cs="Times New Roman"/>
          <w:iCs/>
          <w:lang w:eastAsia="lt-LT" w:bidi="lt-LT"/>
        </w:rPr>
        <w:t xml:space="preserve"> įtaką svarbiems </w:t>
      </w:r>
      <w:proofErr w:type="spellStart"/>
      <w:r w:rsidRPr="00CE4C3C">
        <w:rPr>
          <w:rFonts w:ascii="Times New Roman" w:eastAsia="Times New Roman" w:hAnsi="Times New Roman" w:cs="Times New Roman"/>
          <w:iCs/>
          <w:lang w:eastAsia="lt-LT" w:bidi="lt-LT"/>
        </w:rPr>
        <w:t>sunitinibo</w:t>
      </w:r>
      <w:proofErr w:type="spellEnd"/>
      <w:r w:rsidRPr="00CE4C3C">
        <w:rPr>
          <w:rFonts w:ascii="Times New Roman" w:eastAsia="Times New Roman" w:hAnsi="Times New Roman" w:cs="Times New Roman"/>
          <w:iCs/>
          <w:lang w:eastAsia="lt-LT" w:bidi="lt-LT"/>
        </w:rPr>
        <w:t xml:space="preserve"> ir jo veikliųjų metabolitų FK parametrams, atliktos pakopinės </w:t>
      </w:r>
      <w:proofErr w:type="spellStart"/>
      <w:r w:rsidRPr="00CE4C3C">
        <w:rPr>
          <w:rFonts w:ascii="Times New Roman" w:eastAsia="Times New Roman" w:hAnsi="Times New Roman" w:cs="Times New Roman"/>
          <w:iCs/>
          <w:lang w:eastAsia="lt-LT" w:bidi="lt-LT"/>
        </w:rPr>
        <w:t>kovariantų</w:t>
      </w:r>
      <w:proofErr w:type="spellEnd"/>
      <w:r w:rsidRPr="00CE4C3C">
        <w:rPr>
          <w:rFonts w:ascii="Times New Roman" w:eastAsia="Times New Roman" w:hAnsi="Times New Roman" w:cs="Times New Roman"/>
          <w:iCs/>
          <w:lang w:eastAsia="lt-LT" w:bidi="lt-LT"/>
        </w:rPr>
        <w:t xml:space="preserve"> modeliavimo analizės. Nagrinėjant su amžiumi ir kūno sudėjimu susijusius </w:t>
      </w:r>
      <w:proofErr w:type="spellStart"/>
      <w:r w:rsidRPr="00CE4C3C">
        <w:rPr>
          <w:rFonts w:ascii="Times New Roman" w:eastAsia="Times New Roman" w:hAnsi="Times New Roman" w:cs="Times New Roman"/>
          <w:iCs/>
          <w:lang w:eastAsia="lt-LT" w:bidi="lt-LT"/>
        </w:rPr>
        <w:t>kovariantus</w:t>
      </w:r>
      <w:proofErr w:type="spellEnd"/>
      <w:r w:rsidRPr="00CE4C3C">
        <w:rPr>
          <w:rFonts w:ascii="Times New Roman" w:eastAsia="Times New Roman" w:hAnsi="Times New Roman" w:cs="Times New Roman"/>
          <w:iCs/>
          <w:lang w:eastAsia="lt-LT" w:bidi="lt-LT"/>
        </w:rPr>
        <w:t xml:space="preserve">, amžiaus </w:t>
      </w:r>
      <w:proofErr w:type="spellStart"/>
      <w:r w:rsidRPr="00CE4C3C">
        <w:rPr>
          <w:rFonts w:ascii="Times New Roman" w:eastAsia="Times New Roman" w:hAnsi="Times New Roman" w:cs="Times New Roman"/>
          <w:iCs/>
          <w:lang w:eastAsia="lt-LT" w:bidi="lt-LT"/>
        </w:rPr>
        <w:t>kovarianto</w:t>
      </w:r>
      <w:proofErr w:type="spellEnd"/>
      <w:r w:rsidRPr="00CE4C3C">
        <w:rPr>
          <w:rFonts w:ascii="Times New Roman" w:eastAsia="Times New Roman" w:hAnsi="Times New Roman" w:cs="Times New Roman"/>
          <w:iCs/>
          <w:lang w:eastAsia="lt-LT" w:bidi="lt-LT"/>
        </w:rPr>
        <w:t xml:space="preserve"> įtaka tariamajam sunitinibo klirensui buvo reikšmingiausia (kuo jaunesnis pacientas vaikas, tuo mažesnis tariamasis klirensas). </w:t>
      </w:r>
      <w:r w:rsidRPr="00CE4C3C">
        <w:rPr>
          <w:rFonts w:ascii="Times New Roman" w:eastAsia="Times New Roman" w:hAnsi="Times New Roman" w:cs="Times New Roman"/>
          <w:lang w:eastAsia="lt-LT"/>
        </w:rPr>
        <w:t xml:space="preserve">Tariamajam veikliojo metabolito klirensui panašiai reikšmingas buvo kūno paviršiaus ploto </w:t>
      </w:r>
      <w:proofErr w:type="spellStart"/>
      <w:r w:rsidRPr="00CE4C3C">
        <w:rPr>
          <w:rFonts w:ascii="Times New Roman" w:eastAsia="Times New Roman" w:hAnsi="Times New Roman" w:cs="Times New Roman"/>
          <w:lang w:eastAsia="lt-LT"/>
        </w:rPr>
        <w:t>kovariantas</w:t>
      </w:r>
      <w:proofErr w:type="spellEnd"/>
      <w:r w:rsidRPr="00CE4C3C">
        <w:rPr>
          <w:rFonts w:ascii="Times New Roman" w:eastAsia="Times New Roman" w:hAnsi="Times New Roman" w:cs="Times New Roman"/>
          <w:lang w:eastAsia="lt-LT"/>
        </w:rPr>
        <w:t xml:space="preserve"> (kuo mažesnis kūno paviršiaus plotas, tuo mažesnis tariamasis klirensas). </w:t>
      </w:r>
    </w:p>
    <w:p w14:paraId="543EE26A"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14:paraId="0B80F1A0" w14:textId="4BCA8C62"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r w:rsidRPr="00CE4C3C">
        <w:rPr>
          <w:rFonts w:ascii="Times New Roman" w:eastAsia="Times New Roman" w:hAnsi="Times New Roman" w:cs="Times New Roman"/>
          <w:iCs/>
          <w:lang w:eastAsia="lt-LT" w:bidi="lt-LT"/>
        </w:rPr>
        <w:t xml:space="preserve">Be to, remiantis integruota populiacijos FK analize naudojant apibendrintus 3 pediatrinių tyrimų duomenis (2 vaikų, sergančių </w:t>
      </w:r>
      <w:proofErr w:type="spellStart"/>
      <w:r w:rsidRPr="00CE4C3C">
        <w:rPr>
          <w:rFonts w:ascii="Times New Roman" w:eastAsia="Times New Roman" w:hAnsi="Times New Roman" w:cs="Times New Roman"/>
          <w:iCs/>
          <w:lang w:eastAsia="lt-LT" w:bidi="lt-LT"/>
        </w:rPr>
        <w:t>solidiniais</w:t>
      </w:r>
      <w:proofErr w:type="spellEnd"/>
      <w:r w:rsidRPr="00CE4C3C">
        <w:rPr>
          <w:rFonts w:ascii="Times New Roman" w:eastAsia="Times New Roman" w:hAnsi="Times New Roman" w:cs="Times New Roman"/>
          <w:iCs/>
          <w:lang w:eastAsia="lt-LT" w:bidi="lt-LT"/>
        </w:rPr>
        <w:t xml:space="preserve"> </w:t>
      </w:r>
      <w:r w:rsidR="00957F1A">
        <w:rPr>
          <w:rFonts w:ascii="Times New Roman" w:eastAsia="Times New Roman" w:hAnsi="Times New Roman" w:cs="Times New Roman"/>
          <w:iCs/>
          <w:lang w:eastAsia="lt-LT" w:bidi="lt-LT"/>
        </w:rPr>
        <w:t>navikais</w:t>
      </w:r>
      <w:r w:rsidRPr="00CE4C3C">
        <w:rPr>
          <w:rFonts w:ascii="Times New Roman" w:eastAsia="Times New Roman" w:hAnsi="Times New Roman" w:cs="Times New Roman"/>
          <w:iCs/>
          <w:lang w:eastAsia="lt-LT" w:bidi="lt-LT"/>
        </w:rPr>
        <w:t xml:space="preserve"> ir 1 vaikų, sergančių GIST; amžiaus grupės: nuo 6 iki 11 metų ir nuo 12 iki 17 metų), pradinis kūno paviršiaus plotas (KPP) gerokai skyrėsi pagal tariamąjį sunitinibo ir jo aktyvaus metabolito klirensą. Remiantis šia analize prognozuojama, kad </w:t>
      </w:r>
      <w:r w:rsidRPr="00CE4C3C">
        <w:rPr>
          <w:rFonts w:ascii="Times New Roman" w:eastAsia="Times New Roman" w:hAnsi="Times New Roman" w:cs="Times New Roman"/>
          <w:iCs/>
          <w:lang w:eastAsia="lt-LT" w:bidi="lt-LT"/>
        </w:rPr>
        <w:lastRenderedPageBreak/>
        <w:t>20 mg/m</w:t>
      </w:r>
      <w:r w:rsidRPr="00CE4C3C">
        <w:rPr>
          <w:rFonts w:ascii="Times New Roman" w:eastAsia="Times New Roman" w:hAnsi="Times New Roman" w:cs="Times New Roman"/>
          <w:iCs/>
          <w:vertAlign w:val="superscript"/>
          <w:lang w:eastAsia="lt-LT" w:bidi="lt-LT"/>
        </w:rPr>
        <w:t>2</w:t>
      </w:r>
      <w:r w:rsidRPr="00CE4C3C">
        <w:rPr>
          <w:rFonts w:ascii="Times New Roman" w:eastAsia="Times New Roman" w:hAnsi="Times New Roman" w:cs="Times New Roman"/>
          <w:iCs/>
          <w:lang w:eastAsia="lt-LT" w:bidi="lt-LT"/>
        </w:rPr>
        <w:t xml:space="preserve"> per parą sunitinibo dozę vartojantiems </w:t>
      </w:r>
      <w:r w:rsidR="009500CF" w:rsidRPr="00CE4C3C">
        <w:rPr>
          <w:rFonts w:ascii="Times New Roman" w:eastAsia="Times New Roman" w:hAnsi="Times New Roman" w:cs="Times New Roman"/>
          <w:iCs/>
          <w:lang w:eastAsia="lt-LT" w:bidi="lt-LT"/>
        </w:rPr>
        <w:t xml:space="preserve">pediatriniams </w:t>
      </w:r>
      <w:r w:rsidRPr="00CE4C3C">
        <w:rPr>
          <w:rFonts w:ascii="Times New Roman" w:eastAsia="Times New Roman" w:hAnsi="Times New Roman" w:cs="Times New Roman"/>
          <w:iCs/>
          <w:lang w:eastAsia="lt-LT" w:bidi="lt-LT"/>
        </w:rPr>
        <w:t>pacientams, kurių KPP ribos yra 1,10 – 1,87 m</w:t>
      </w:r>
      <w:r w:rsidRPr="00CE4C3C">
        <w:rPr>
          <w:rFonts w:ascii="Times New Roman" w:eastAsia="Times New Roman" w:hAnsi="Times New Roman" w:cs="Times New Roman"/>
          <w:iCs/>
          <w:vertAlign w:val="superscript"/>
          <w:lang w:eastAsia="lt-LT" w:bidi="lt-LT"/>
        </w:rPr>
        <w:t>2</w:t>
      </w:r>
      <w:r w:rsidRPr="00CE4C3C">
        <w:rPr>
          <w:rFonts w:ascii="Times New Roman" w:eastAsia="Times New Roman" w:hAnsi="Times New Roman" w:cs="Times New Roman"/>
          <w:iCs/>
          <w:lang w:eastAsia="lt-LT" w:bidi="lt-LT"/>
        </w:rPr>
        <w:t>, plazmoje būna sunitinibo ir jo aktyvaus metabolito ekspozicija (tarp 75 ir 125 % AUC), panaši į suaugusių VTSN sergančių pacientų, vartojančių 50 mg per parą pagal 4/2 planą (AUC 1233 </w:t>
      </w:r>
      <w:proofErr w:type="spellStart"/>
      <w:r w:rsidRPr="00CE4C3C">
        <w:rPr>
          <w:rFonts w:ascii="Times New Roman" w:eastAsia="Times New Roman" w:hAnsi="Times New Roman" w:cs="Times New Roman"/>
          <w:iCs/>
          <w:lang w:eastAsia="lt-LT" w:bidi="lt-LT"/>
        </w:rPr>
        <w:t>ng</w:t>
      </w:r>
      <w:proofErr w:type="spellEnd"/>
      <w:r w:rsidRPr="00CE4C3C">
        <w:rPr>
          <w:rFonts w:ascii="Times New Roman" w:eastAsia="Times New Roman" w:hAnsi="Times New Roman" w:cs="Times New Roman"/>
          <w:iCs/>
          <w:lang w:eastAsia="lt-LT" w:bidi="lt-LT"/>
        </w:rPr>
        <w:t> x </w:t>
      </w:r>
      <w:proofErr w:type="spellStart"/>
      <w:r w:rsidRPr="00CE4C3C">
        <w:rPr>
          <w:rFonts w:ascii="Times New Roman" w:eastAsia="Times New Roman" w:hAnsi="Times New Roman" w:cs="Times New Roman"/>
          <w:iCs/>
          <w:lang w:eastAsia="lt-LT" w:bidi="lt-LT"/>
        </w:rPr>
        <w:t>val</w:t>
      </w:r>
      <w:proofErr w:type="spellEnd"/>
      <w:r w:rsidRPr="00CE4C3C">
        <w:rPr>
          <w:rFonts w:ascii="Times New Roman" w:eastAsia="Times New Roman" w:hAnsi="Times New Roman" w:cs="Times New Roman"/>
          <w:iCs/>
          <w:lang w:eastAsia="lt-LT" w:bidi="lt-LT"/>
        </w:rPr>
        <w:t>/ml). Tyrimuose su vaikais pradinė sunitinibo dozė buvo 15 mg/m</w:t>
      </w:r>
      <w:r w:rsidRPr="00CE4C3C">
        <w:rPr>
          <w:rFonts w:ascii="Times New Roman" w:eastAsia="Times New Roman" w:hAnsi="Times New Roman" w:cs="Times New Roman"/>
          <w:iCs/>
          <w:vertAlign w:val="superscript"/>
          <w:lang w:eastAsia="lt-LT" w:bidi="lt-LT"/>
        </w:rPr>
        <w:t>2</w:t>
      </w:r>
      <w:r w:rsidRPr="00CE4C3C">
        <w:rPr>
          <w:rFonts w:ascii="Times New Roman" w:eastAsia="Times New Roman" w:hAnsi="Times New Roman" w:cs="Times New Roman"/>
          <w:iCs/>
          <w:lang w:eastAsia="lt-LT" w:bidi="lt-LT"/>
        </w:rPr>
        <w:t xml:space="preserve"> (remiantis MTD, nustatyta pirmos fazės dozės didinimo tyrime, žr. 5.1 skyrių), kuri pacientams, sergantiems GIST, padidinta iki 22.5 mg/m</w:t>
      </w:r>
      <w:r w:rsidRPr="00CE4C3C">
        <w:rPr>
          <w:rFonts w:ascii="Times New Roman" w:eastAsia="Times New Roman" w:hAnsi="Times New Roman" w:cs="Times New Roman"/>
          <w:iCs/>
          <w:vertAlign w:val="superscript"/>
          <w:lang w:eastAsia="lt-LT" w:bidi="lt-LT"/>
        </w:rPr>
        <w:t>2</w:t>
      </w:r>
      <w:r w:rsidRPr="00CE4C3C">
        <w:rPr>
          <w:rFonts w:ascii="Times New Roman" w:eastAsia="Times New Roman" w:hAnsi="Times New Roman" w:cs="Times New Roman"/>
          <w:iCs/>
          <w:lang w:eastAsia="lt-LT" w:bidi="lt-LT"/>
        </w:rPr>
        <w:t>, o vėliau iki 30 mg/m</w:t>
      </w:r>
      <w:r w:rsidRPr="00CE4C3C">
        <w:rPr>
          <w:rFonts w:ascii="Times New Roman" w:eastAsia="Times New Roman" w:hAnsi="Times New Roman" w:cs="Times New Roman"/>
          <w:iCs/>
          <w:vertAlign w:val="superscript"/>
          <w:lang w:eastAsia="lt-LT" w:bidi="lt-LT"/>
        </w:rPr>
        <w:t>2</w:t>
      </w:r>
      <w:r w:rsidRPr="00CE4C3C">
        <w:rPr>
          <w:rFonts w:ascii="Times New Roman" w:eastAsia="Times New Roman" w:hAnsi="Times New Roman" w:cs="Times New Roman"/>
          <w:iCs/>
          <w:lang w:eastAsia="lt-LT" w:bidi="lt-LT"/>
        </w:rPr>
        <w:t xml:space="preserve"> (neviršijant bendros 50 mg paros dozės) atsižvelgiant į individualų paciento saugumą ir vaisto toleravimą. Be to, pagal publikacijas pediatriniams pacientams sergantiems VTSN, apskaičiuota pradinė dozė, kurios diapazonas nuo 16,6 mg/m</w:t>
      </w:r>
      <w:r w:rsidRPr="00CE4C3C">
        <w:rPr>
          <w:rFonts w:ascii="Times New Roman" w:eastAsia="Times New Roman" w:hAnsi="Times New Roman" w:cs="Times New Roman"/>
          <w:iCs/>
          <w:vertAlign w:val="superscript"/>
          <w:lang w:eastAsia="lt-LT" w:bidi="lt-LT"/>
        </w:rPr>
        <w:t>2</w:t>
      </w:r>
      <w:r w:rsidRPr="00CE4C3C">
        <w:rPr>
          <w:rFonts w:ascii="Times New Roman" w:eastAsia="Times New Roman" w:hAnsi="Times New Roman" w:cs="Times New Roman"/>
          <w:iCs/>
          <w:lang w:eastAsia="lt-LT" w:bidi="lt-LT"/>
        </w:rPr>
        <w:t xml:space="preserve"> iki 36 mg/m</w:t>
      </w:r>
      <w:r w:rsidRPr="00CE4C3C">
        <w:rPr>
          <w:rFonts w:ascii="Times New Roman" w:eastAsia="Times New Roman" w:hAnsi="Times New Roman" w:cs="Times New Roman"/>
          <w:iCs/>
          <w:vertAlign w:val="superscript"/>
          <w:lang w:eastAsia="lt-LT" w:bidi="lt-LT"/>
        </w:rPr>
        <w:t>2</w:t>
      </w:r>
      <w:r w:rsidRPr="00CE4C3C">
        <w:rPr>
          <w:rFonts w:ascii="Times New Roman" w:eastAsia="Times New Roman" w:hAnsi="Times New Roman" w:cs="Times New Roman"/>
          <w:iCs/>
          <w:lang w:eastAsia="lt-LT" w:bidi="lt-LT"/>
        </w:rPr>
        <w:t>, buvo padidinta iki 40,4 mg/m</w:t>
      </w:r>
      <w:r w:rsidRPr="00CE4C3C">
        <w:rPr>
          <w:rFonts w:ascii="Times New Roman" w:eastAsia="Times New Roman" w:hAnsi="Times New Roman" w:cs="Times New Roman"/>
          <w:iCs/>
          <w:vertAlign w:val="superscript"/>
          <w:lang w:eastAsia="lt-LT" w:bidi="lt-LT"/>
        </w:rPr>
        <w:t>2</w:t>
      </w:r>
      <w:r w:rsidRPr="00CE4C3C">
        <w:rPr>
          <w:rFonts w:ascii="Times New Roman" w:eastAsia="Times New Roman" w:hAnsi="Times New Roman" w:cs="Times New Roman"/>
          <w:iCs/>
          <w:lang w:eastAsia="lt-LT" w:bidi="lt-LT"/>
        </w:rPr>
        <w:t xml:space="preserve"> (neviršijant bendros 50 mg paros dozės).</w:t>
      </w:r>
    </w:p>
    <w:p w14:paraId="6CC236ED" w14:textId="77777777" w:rsidR="00F17A0C" w:rsidRPr="00CE4C3C" w:rsidRDefault="00F17A0C" w:rsidP="00CE4C3C">
      <w:pPr>
        <w:numPr>
          <w:ilvl w:val="12"/>
          <w:numId w:val="0"/>
        </w:numPr>
        <w:tabs>
          <w:tab w:val="left" w:pos="567"/>
        </w:tabs>
        <w:spacing w:line="240" w:lineRule="auto"/>
        <w:ind w:right="-2"/>
        <w:rPr>
          <w:rFonts w:ascii="Times New Roman" w:eastAsia="Times New Roman" w:hAnsi="Times New Roman" w:cs="Times New Roman"/>
          <w:iCs/>
          <w:lang w:eastAsia="lt-LT" w:bidi="lt-LT"/>
        </w:rPr>
      </w:pPr>
    </w:p>
    <w:p w14:paraId="71C21DF4" w14:textId="77777777" w:rsidR="00F17A0C" w:rsidRPr="00CE4C3C" w:rsidRDefault="00F17A0C" w:rsidP="00CE4C3C">
      <w:pPr>
        <w:keepNext/>
        <w:spacing w:line="240" w:lineRule="auto"/>
        <w:ind w:left="567" w:hanging="567"/>
        <w:outlineLvl w:val="0"/>
        <w:rPr>
          <w:rFonts w:ascii="Times New Roman" w:eastAsia="Times New Roman" w:hAnsi="Times New Roman" w:cs="Times New Roman"/>
          <w:lang w:eastAsia="lt-LT" w:bidi="lt-LT"/>
        </w:rPr>
      </w:pPr>
      <w:r w:rsidRPr="00CE4C3C">
        <w:rPr>
          <w:rFonts w:ascii="Times New Roman" w:eastAsia="Times New Roman" w:hAnsi="Times New Roman" w:cs="Times New Roman"/>
          <w:b/>
          <w:lang w:eastAsia="lt-LT" w:bidi="lt-LT"/>
        </w:rPr>
        <w:t>5.3</w:t>
      </w:r>
      <w:r w:rsidRPr="00CE4C3C">
        <w:rPr>
          <w:rFonts w:ascii="Times New Roman" w:eastAsia="Times New Roman" w:hAnsi="Times New Roman" w:cs="Times New Roman"/>
          <w:b/>
          <w:lang w:eastAsia="lt-LT" w:bidi="lt-LT"/>
        </w:rPr>
        <w:tab/>
        <w:t>Ikiklinikinių saugumo tyrimų duomenys</w:t>
      </w:r>
    </w:p>
    <w:p w14:paraId="3F03FD39" w14:textId="77777777" w:rsidR="00F17A0C" w:rsidRPr="00CE4C3C" w:rsidRDefault="00F17A0C" w:rsidP="00CE4C3C">
      <w:pPr>
        <w:keepNext/>
        <w:tabs>
          <w:tab w:val="left" w:pos="567"/>
        </w:tabs>
        <w:spacing w:line="240" w:lineRule="auto"/>
        <w:rPr>
          <w:rFonts w:ascii="Times New Roman" w:eastAsia="Times New Roman" w:hAnsi="Times New Roman" w:cs="Times New Roman"/>
          <w:lang w:eastAsia="lt-LT" w:bidi="lt-LT"/>
        </w:rPr>
      </w:pPr>
    </w:p>
    <w:p w14:paraId="1716369F"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Iki 9 mėnesių trukmės kartotinių dozių toksinio poveikio tyrimų su žiurkėmis ir beždžionėmis duomenimis, pagrindiniai organai taikiniai yra virškinimo traktas (beždžionėms nustatytas vėmimas ir viduriavimas), antinksčiai (žiurkėmis ir beždžionėmis nustatytas kraujo priplūdimas į žievinį sluoksnį ir (arba) kraujavimas, o žiurkėms – nekrozė, po to – fibrozė), kraujo ir limfos sistema (kaulų čiulpų slopinimas, </w:t>
      </w:r>
      <w:proofErr w:type="spellStart"/>
      <w:r w:rsidRPr="00CE4C3C">
        <w:rPr>
          <w:rFonts w:ascii="Times New Roman" w:eastAsia="Times New Roman" w:hAnsi="Times New Roman" w:cs="Times New Roman"/>
          <w:lang w:eastAsia="lt-LT" w:bidi="lt-LT"/>
        </w:rPr>
        <w:t>limfoidinio</w:t>
      </w:r>
      <w:proofErr w:type="spellEnd"/>
      <w:r w:rsidRPr="00CE4C3C">
        <w:rPr>
          <w:rFonts w:ascii="Times New Roman" w:eastAsia="Times New Roman" w:hAnsi="Times New Roman" w:cs="Times New Roman"/>
          <w:lang w:eastAsia="lt-LT" w:bidi="lt-LT"/>
        </w:rPr>
        <w:t xml:space="preserve"> audinio sunykimas </w:t>
      </w:r>
      <w:proofErr w:type="spellStart"/>
      <w:r w:rsidRPr="00CE4C3C">
        <w:rPr>
          <w:rFonts w:ascii="Times New Roman" w:eastAsia="Times New Roman" w:hAnsi="Times New Roman" w:cs="Times New Roman"/>
          <w:lang w:eastAsia="lt-LT" w:bidi="lt-LT"/>
        </w:rPr>
        <w:t>užkrūčio</w:t>
      </w:r>
      <w:proofErr w:type="spellEnd"/>
      <w:r w:rsidRPr="00CE4C3C">
        <w:rPr>
          <w:rFonts w:ascii="Times New Roman" w:eastAsia="Times New Roman" w:hAnsi="Times New Roman" w:cs="Times New Roman"/>
          <w:lang w:eastAsia="lt-LT" w:bidi="lt-LT"/>
        </w:rPr>
        <w:t xml:space="preserve"> liaukoje, blužnyje ir limfmazgiuose), </w:t>
      </w:r>
      <w:proofErr w:type="spellStart"/>
      <w:r w:rsidRPr="00CE4C3C">
        <w:rPr>
          <w:rFonts w:ascii="Times New Roman" w:eastAsia="Times New Roman" w:hAnsi="Times New Roman" w:cs="Times New Roman"/>
          <w:lang w:eastAsia="lt-LT" w:bidi="lt-LT"/>
        </w:rPr>
        <w:t>egzokrininė</w:t>
      </w:r>
      <w:proofErr w:type="spellEnd"/>
      <w:r w:rsidRPr="00CE4C3C">
        <w:rPr>
          <w:rFonts w:ascii="Times New Roman" w:eastAsia="Times New Roman" w:hAnsi="Times New Roman" w:cs="Times New Roman"/>
          <w:lang w:eastAsia="lt-LT" w:bidi="lt-LT"/>
        </w:rPr>
        <w:t xml:space="preserve"> kasos dalis (kasos salelių </w:t>
      </w:r>
      <w:proofErr w:type="spellStart"/>
      <w:r w:rsidRPr="00CE4C3C">
        <w:rPr>
          <w:rFonts w:ascii="Times New Roman" w:eastAsia="Times New Roman" w:hAnsi="Times New Roman" w:cs="Times New Roman"/>
          <w:lang w:eastAsia="lt-LT" w:bidi="lt-LT"/>
        </w:rPr>
        <w:t>degranuliacija</w:t>
      </w:r>
      <w:proofErr w:type="spellEnd"/>
      <w:r w:rsidRPr="00CE4C3C">
        <w:rPr>
          <w:rFonts w:ascii="Times New Roman" w:eastAsia="Times New Roman" w:hAnsi="Times New Roman" w:cs="Times New Roman"/>
          <w:lang w:eastAsia="lt-LT" w:bidi="lt-LT"/>
        </w:rPr>
        <w:t xml:space="preserve"> ir pavienių ląstelių nekrozė), seilių liaukos (liaukos skiltelių hipertrofija), sąnariai (augimo zonos sustorėjimas), gimda (atrofija) ir kiaušidės (mažiau subręsta folikulų). Visi sutrikimai pasireiškė, esant kliniškai reikšmingai sunitinibo koncentracijai plazmoje. Be to, kitais tyrimais nustatyti šie papildomi reiškiniai: QT (koreguoto) intervalo pailgėjimas, KSIF sumažėjimas ir sėklidžių kanalėlių atrofija, inkstų </w:t>
      </w:r>
      <w:proofErr w:type="spellStart"/>
      <w:r w:rsidRPr="00CE4C3C">
        <w:rPr>
          <w:rFonts w:ascii="Times New Roman" w:eastAsia="Times New Roman" w:hAnsi="Times New Roman" w:cs="Times New Roman"/>
          <w:lang w:eastAsia="lt-LT" w:bidi="lt-LT"/>
        </w:rPr>
        <w:t>mezenchimos</w:t>
      </w:r>
      <w:proofErr w:type="spellEnd"/>
      <w:r w:rsidRPr="00CE4C3C">
        <w:rPr>
          <w:rFonts w:ascii="Times New Roman" w:eastAsia="Times New Roman" w:hAnsi="Times New Roman" w:cs="Times New Roman"/>
          <w:lang w:eastAsia="lt-LT" w:bidi="lt-LT"/>
        </w:rPr>
        <w:t xml:space="preserve"> ląstelių padaugėjimas, kraujavimas iš virškinimo trakto ir burnos gleivinės, priekinės </w:t>
      </w:r>
      <w:proofErr w:type="spellStart"/>
      <w:r w:rsidRPr="00CE4C3C">
        <w:rPr>
          <w:rFonts w:ascii="Times New Roman" w:eastAsia="Times New Roman" w:hAnsi="Times New Roman" w:cs="Times New Roman"/>
          <w:lang w:eastAsia="lt-LT" w:bidi="lt-LT"/>
        </w:rPr>
        <w:t>hipofizės</w:t>
      </w:r>
      <w:proofErr w:type="spellEnd"/>
      <w:r w:rsidRPr="00CE4C3C">
        <w:rPr>
          <w:rFonts w:ascii="Times New Roman" w:eastAsia="Times New Roman" w:hAnsi="Times New Roman" w:cs="Times New Roman"/>
          <w:lang w:eastAsia="lt-LT" w:bidi="lt-LT"/>
        </w:rPr>
        <w:t xml:space="preserve"> dalies ląstelių išvešėjimas. Manoma, kad dėl farmakologinio sunitinibo poveikio pakinta gimda (gimdos gleivinės atrofija) ir kaulo augimo zona (kaulo epifizės sustorėjimas arba kremzlės displazija). Dauguma šių reiškinių laikini ir nevartojant vaistinio preparato praeina per 2–6 savaites.</w:t>
      </w:r>
    </w:p>
    <w:p w14:paraId="4A3A2D1B"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bidi="lt-LT"/>
        </w:rPr>
      </w:pPr>
    </w:p>
    <w:p w14:paraId="34E13941"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bidi="lt-LT"/>
        </w:rPr>
      </w:pPr>
      <w:proofErr w:type="spellStart"/>
      <w:r w:rsidRPr="00CE4C3C">
        <w:rPr>
          <w:rFonts w:ascii="Times New Roman" w:eastAsia="Times New Roman" w:hAnsi="Times New Roman" w:cs="Times New Roman"/>
          <w:u w:val="single"/>
          <w:lang w:eastAsia="lt-LT" w:bidi="lt-LT"/>
        </w:rPr>
        <w:t>Genotoksinis</w:t>
      </w:r>
      <w:proofErr w:type="spellEnd"/>
      <w:r w:rsidRPr="00CE4C3C">
        <w:rPr>
          <w:rFonts w:ascii="Times New Roman" w:eastAsia="Times New Roman" w:hAnsi="Times New Roman" w:cs="Times New Roman"/>
          <w:u w:val="single"/>
          <w:lang w:eastAsia="lt-LT" w:bidi="lt-LT"/>
        </w:rPr>
        <w:t xml:space="preserve"> poveikis </w:t>
      </w:r>
    </w:p>
    <w:p w14:paraId="3F5E414A"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Genotoksinis</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sunitinibo</w:t>
      </w:r>
      <w:proofErr w:type="spellEnd"/>
      <w:r w:rsidRPr="00CE4C3C">
        <w:rPr>
          <w:rFonts w:ascii="Times New Roman" w:eastAsia="Times New Roman" w:hAnsi="Times New Roman" w:cs="Times New Roman"/>
          <w:lang w:eastAsia="lt-LT" w:bidi="lt-LT"/>
        </w:rPr>
        <w:t xml:space="preserve"> poveikis tirtas </w:t>
      </w:r>
      <w:proofErr w:type="spellStart"/>
      <w:r w:rsidRPr="00CE4C3C">
        <w:rPr>
          <w:rFonts w:ascii="Times New Roman" w:eastAsia="Times New Roman" w:hAnsi="Times New Roman" w:cs="Times New Roman"/>
          <w:i/>
          <w:lang w:eastAsia="lt-LT" w:bidi="lt-LT"/>
        </w:rPr>
        <w:t>in</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vitro</w:t>
      </w:r>
      <w:proofErr w:type="spellEnd"/>
      <w:r w:rsidRPr="00CE4C3C">
        <w:rPr>
          <w:rFonts w:ascii="Times New Roman" w:eastAsia="Times New Roman" w:hAnsi="Times New Roman" w:cs="Times New Roman"/>
          <w:lang w:eastAsia="lt-LT" w:bidi="lt-LT"/>
        </w:rPr>
        <w:t xml:space="preserve"> ir </w:t>
      </w:r>
      <w:proofErr w:type="spellStart"/>
      <w:r w:rsidRPr="00CE4C3C">
        <w:rPr>
          <w:rFonts w:ascii="Times New Roman" w:eastAsia="Times New Roman" w:hAnsi="Times New Roman" w:cs="Times New Roman"/>
          <w:i/>
          <w:lang w:eastAsia="lt-LT" w:bidi="lt-LT"/>
        </w:rPr>
        <w:t>in</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vivo</w:t>
      </w:r>
      <w:proofErr w:type="spellEnd"/>
      <w:r w:rsidRPr="00CE4C3C">
        <w:rPr>
          <w:rFonts w:ascii="Times New Roman" w:eastAsia="Times New Roman" w:hAnsi="Times New Roman" w:cs="Times New Roman"/>
          <w:lang w:eastAsia="lt-LT" w:bidi="lt-LT"/>
        </w:rPr>
        <w:t xml:space="preserve">. Mutageninio poveikio bakterijų ląstelėms mėginiai, atlikti taikant žiurkės kepenų </w:t>
      </w:r>
      <w:proofErr w:type="spellStart"/>
      <w:r w:rsidRPr="00CE4C3C">
        <w:rPr>
          <w:rFonts w:ascii="Times New Roman" w:eastAsia="Times New Roman" w:hAnsi="Times New Roman" w:cs="Times New Roman"/>
          <w:lang w:eastAsia="lt-LT" w:bidi="lt-LT"/>
        </w:rPr>
        <w:t>metabolinį</w:t>
      </w:r>
      <w:proofErr w:type="spellEnd"/>
      <w:r w:rsidRPr="00CE4C3C">
        <w:rPr>
          <w:rFonts w:ascii="Times New Roman" w:eastAsia="Times New Roman" w:hAnsi="Times New Roman" w:cs="Times New Roman"/>
          <w:lang w:eastAsia="lt-LT" w:bidi="lt-LT"/>
        </w:rPr>
        <w:t xml:space="preserve"> aktyvinimą, rodo, kad sunitinibas tokio poveikio nedarė. Atliekant žmogaus periferinio kraujo limfocitų mėginius </w:t>
      </w:r>
      <w:proofErr w:type="spellStart"/>
      <w:r w:rsidRPr="00CE4C3C">
        <w:rPr>
          <w:rFonts w:ascii="Times New Roman" w:eastAsia="Times New Roman" w:hAnsi="Times New Roman" w:cs="Times New Roman"/>
          <w:i/>
          <w:lang w:eastAsia="lt-LT" w:bidi="lt-LT"/>
        </w:rPr>
        <w:t>in</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vitro</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sunitinibas</w:t>
      </w:r>
      <w:proofErr w:type="spellEnd"/>
      <w:r w:rsidRPr="00CE4C3C">
        <w:rPr>
          <w:rFonts w:ascii="Times New Roman" w:eastAsia="Times New Roman" w:hAnsi="Times New Roman" w:cs="Times New Roman"/>
          <w:lang w:eastAsia="lt-LT" w:bidi="lt-LT"/>
        </w:rPr>
        <w:t xml:space="preserve"> struktūrinių chromosomų </w:t>
      </w:r>
      <w:proofErr w:type="spellStart"/>
      <w:r w:rsidRPr="00CE4C3C">
        <w:rPr>
          <w:rFonts w:ascii="Times New Roman" w:eastAsia="Times New Roman" w:hAnsi="Times New Roman" w:cs="Times New Roman"/>
          <w:lang w:eastAsia="lt-LT" w:bidi="lt-LT"/>
        </w:rPr>
        <w:t>aberacijų</w:t>
      </w:r>
      <w:proofErr w:type="spellEnd"/>
      <w:r w:rsidRPr="00CE4C3C">
        <w:rPr>
          <w:rFonts w:ascii="Times New Roman" w:eastAsia="Times New Roman" w:hAnsi="Times New Roman" w:cs="Times New Roman"/>
          <w:lang w:eastAsia="lt-LT" w:bidi="lt-LT"/>
        </w:rPr>
        <w:t xml:space="preserve"> nesukėlė. Tiek taikant </w:t>
      </w:r>
      <w:proofErr w:type="spellStart"/>
      <w:r w:rsidRPr="00CE4C3C">
        <w:rPr>
          <w:rFonts w:ascii="Times New Roman" w:eastAsia="Times New Roman" w:hAnsi="Times New Roman" w:cs="Times New Roman"/>
          <w:lang w:eastAsia="lt-LT" w:bidi="lt-LT"/>
        </w:rPr>
        <w:t>metabolinį</w:t>
      </w:r>
      <w:proofErr w:type="spellEnd"/>
      <w:r w:rsidRPr="00CE4C3C">
        <w:rPr>
          <w:rFonts w:ascii="Times New Roman" w:eastAsia="Times New Roman" w:hAnsi="Times New Roman" w:cs="Times New Roman"/>
          <w:lang w:eastAsia="lt-LT" w:bidi="lt-LT"/>
        </w:rPr>
        <w:t xml:space="preserve"> aktyvinimą, tiek jo netaikant, pastebėta periferinio kraujo limfocitų </w:t>
      </w:r>
      <w:proofErr w:type="spellStart"/>
      <w:r w:rsidRPr="00CE4C3C">
        <w:rPr>
          <w:rFonts w:ascii="Times New Roman" w:eastAsia="Times New Roman" w:hAnsi="Times New Roman" w:cs="Times New Roman"/>
          <w:lang w:eastAsia="lt-LT" w:bidi="lt-LT"/>
        </w:rPr>
        <w:t>poliploidija</w:t>
      </w:r>
      <w:proofErr w:type="spellEnd"/>
      <w:r w:rsidRPr="00CE4C3C">
        <w:rPr>
          <w:rFonts w:ascii="Times New Roman" w:eastAsia="Times New Roman" w:hAnsi="Times New Roman" w:cs="Times New Roman"/>
          <w:lang w:eastAsia="lt-LT" w:bidi="lt-LT"/>
        </w:rPr>
        <w:t xml:space="preserve"> (dažnos chromosomų </w:t>
      </w:r>
      <w:proofErr w:type="spellStart"/>
      <w:r w:rsidRPr="00CE4C3C">
        <w:rPr>
          <w:rFonts w:ascii="Times New Roman" w:eastAsia="Times New Roman" w:hAnsi="Times New Roman" w:cs="Times New Roman"/>
          <w:lang w:eastAsia="lt-LT" w:bidi="lt-LT"/>
        </w:rPr>
        <w:t>aberacijos</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Sunitinibas</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klastogeninio</w:t>
      </w:r>
      <w:proofErr w:type="spellEnd"/>
      <w:r w:rsidRPr="00CE4C3C">
        <w:rPr>
          <w:rFonts w:ascii="Times New Roman" w:eastAsia="Times New Roman" w:hAnsi="Times New Roman" w:cs="Times New Roman"/>
          <w:lang w:eastAsia="lt-LT" w:bidi="lt-LT"/>
        </w:rPr>
        <w:t xml:space="preserve"> poveikio žiurkių kaulų čiulpams </w:t>
      </w:r>
      <w:proofErr w:type="spellStart"/>
      <w:r w:rsidRPr="00CE4C3C">
        <w:rPr>
          <w:rFonts w:ascii="Times New Roman" w:eastAsia="Times New Roman" w:hAnsi="Times New Roman" w:cs="Times New Roman"/>
          <w:i/>
          <w:lang w:eastAsia="lt-LT" w:bidi="lt-LT"/>
        </w:rPr>
        <w:t>in</w:t>
      </w:r>
      <w:proofErr w:type="spellEnd"/>
      <w:r w:rsidRPr="00CE4C3C">
        <w:rPr>
          <w:rFonts w:ascii="Times New Roman" w:eastAsia="Times New Roman" w:hAnsi="Times New Roman" w:cs="Times New Roman"/>
          <w:i/>
          <w:lang w:eastAsia="lt-LT" w:bidi="lt-LT"/>
        </w:rPr>
        <w:t xml:space="preserve"> </w:t>
      </w:r>
      <w:proofErr w:type="spellStart"/>
      <w:r w:rsidRPr="00CE4C3C">
        <w:rPr>
          <w:rFonts w:ascii="Times New Roman" w:eastAsia="Times New Roman" w:hAnsi="Times New Roman" w:cs="Times New Roman"/>
          <w:i/>
          <w:lang w:eastAsia="lt-LT" w:bidi="lt-LT"/>
        </w:rPr>
        <w:t>vivo</w:t>
      </w:r>
      <w:proofErr w:type="spellEnd"/>
      <w:r w:rsidRPr="00CE4C3C">
        <w:rPr>
          <w:rFonts w:ascii="Times New Roman" w:eastAsia="Times New Roman" w:hAnsi="Times New Roman" w:cs="Times New Roman"/>
          <w:lang w:eastAsia="lt-LT" w:bidi="lt-LT"/>
        </w:rPr>
        <w:t xml:space="preserve"> nedarė. Pagrindinio veikliojo metabolito </w:t>
      </w:r>
      <w:proofErr w:type="spellStart"/>
      <w:r w:rsidRPr="00CE4C3C">
        <w:rPr>
          <w:rFonts w:ascii="Times New Roman" w:eastAsia="Times New Roman" w:hAnsi="Times New Roman" w:cs="Times New Roman"/>
          <w:lang w:eastAsia="lt-LT" w:bidi="lt-LT"/>
        </w:rPr>
        <w:t>genotoksinis</w:t>
      </w:r>
      <w:proofErr w:type="spellEnd"/>
      <w:r w:rsidRPr="00CE4C3C">
        <w:rPr>
          <w:rFonts w:ascii="Times New Roman" w:eastAsia="Times New Roman" w:hAnsi="Times New Roman" w:cs="Times New Roman"/>
          <w:lang w:eastAsia="lt-LT" w:bidi="lt-LT"/>
        </w:rPr>
        <w:t xml:space="preserve"> poveikis netirtas.</w:t>
      </w:r>
    </w:p>
    <w:p w14:paraId="1DFB8316"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bidi="lt-LT"/>
        </w:rPr>
      </w:pPr>
    </w:p>
    <w:p w14:paraId="54E0963E"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bidi="lt-LT"/>
        </w:rPr>
      </w:pPr>
      <w:r w:rsidRPr="00CE4C3C">
        <w:rPr>
          <w:rFonts w:ascii="Times New Roman" w:eastAsia="Times New Roman" w:hAnsi="Times New Roman" w:cs="Times New Roman"/>
          <w:u w:val="single"/>
          <w:lang w:eastAsia="lt-LT" w:bidi="lt-LT"/>
        </w:rPr>
        <w:t xml:space="preserve">Kancerogeninis poveikis </w:t>
      </w:r>
    </w:p>
    <w:p w14:paraId="46F0ABA7"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Vieną mėnesį trukusio dozės ribų nustatymo tyrimo metu (per zondą buvo vartotos 0, 10, 25, 75 arba 200 mg/kg per parą dozės) kasdieniu režimu, duomenimis, ilgą laiką vartojant vaistinį preparatą rasH2 transgeninėms pelėms, vartojant didžiausias tirtas dozes (200 mg/kg paros dozes), pastebėta dvylikapirštės žarnos </w:t>
      </w:r>
      <w:proofErr w:type="spellStart"/>
      <w:r w:rsidRPr="00CE4C3C">
        <w:rPr>
          <w:rFonts w:ascii="Times New Roman" w:eastAsia="Times New Roman" w:hAnsi="Times New Roman" w:cs="Times New Roman"/>
          <w:i/>
          <w:lang w:eastAsia="lt-LT" w:bidi="lt-LT"/>
        </w:rPr>
        <w:t>Brunner</w:t>
      </w:r>
      <w:proofErr w:type="spellEnd"/>
      <w:r w:rsidRPr="00CE4C3C">
        <w:rPr>
          <w:rFonts w:ascii="Times New Roman" w:eastAsia="Times New Roman" w:hAnsi="Times New Roman" w:cs="Times New Roman"/>
          <w:lang w:eastAsia="lt-LT" w:bidi="lt-LT"/>
        </w:rPr>
        <w:t xml:space="preserve"> liaukų </w:t>
      </w:r>
      <w:proofErr w:type="spellStart"/>
      <w:r w:rsidRPr="00CE4C3C">
        <w:rPr>
          <w:rFonts w:ascii="Times New Roman" w:eastAsia="Times New Roman" w:hAnsi="Times New Roman" w:cs="Times New Roman"/>
          <w:lang w:eastAsia="lt-LT" w:bidi="lt-LT"/>
        </w:rPr>
        <w:t>karcinomos</w:t>
      </w:r>
      <w:proofErr w:type="spellEnd"/>
      <w:r w:rsidRPr="00CE4C3C">
        <w:rPr>
          <w:rFonts w:ascii="Times New Roman" w:eastAsia="Times New Roman" w:hAnsi="Times New Roman" w:cs="Times New Roman"/>
          <w:lang w:eastAsia="lt-LT" w:bidi="lt-LT"/>
        </w:rPr>
        <w:t xml:space="preserve"> ir </w:t>
      </w:r>
      <w:proofErr w:type="spellStart"/>
      <w:r w:rsidRPr="00CE4C3C">
        <w:rPr>
          <w:rFonts w:ascii="Times New Roman" w:eastAsia="Times New Roman" w:hAnsi="Times New Roman" w:cs="Times New Roman"/>
          <w:lang w:eastAsia="lt-LT" w:bidi="lt-LT"/>
        </w:rPr>
        <w:t>hiperplazijos</w:t>
      </w:r>
      <w:proofErr w:type="spellEnd"/>
      <w:r w:rsidRPr="00CE4C3C">
        <w:rPr>
          <w:rFonts w:ascii="Times New Roman" w:eastAsia="Times New Roman" w:hAnsi="Times New Roman" w:cs="Times New Roman"/>
          <w:lang w:eastAsia="lt-LT" w:bidi="lt-LT"/>
        </w:rPr>
        <w:t xml:space="preserve"> atvejų.</w:t>
      </w:r>
    </w:p>
    <w:p w14:paraId="19F60B6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0F20FB57"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Su rasH2 transgeninėmis pelėmis buvo atliktas 6 mėnesių trukmės </w:t>
      </w:r>
      <w:proofErr w:type="spellStart"/>
      <w:r w:rsidRPr="00CE4C3C">
        <w:rPr>
          <w:rFonts w:ascii="Times New Roman" w:eastAsia="Times New Roman" w:hAnsi="Times New Roman" w:cs="Times New Roman"/>
          <w:lang w:eastAsia="lt-LT" w:bidi="lt-LT"/>
        </w:rPr>
        <w:t>kancerogeniškumo</w:t>
      </w:r>
      <w:proofErr w:type="spellEnd"/>
      <w:r w:rsidRPr="00CE4C3C">
        <w:rPr>
          <w:rFonts w:ascii="Times New Roman" w:eastAsia="Times New Roman" w:hAnsi="Times New Roman" w:cs="Times New Roman"/>
          <w:lang w:eastAsia="lt-LT" w:bidi="lt-LT"/>
        </w:rPr>
        <w:t xml:space="preserve"> tyrimas kasdien duodant įvairiomis dozėmis (per zondą buvo vartotos 0, 8, 25, 75 [sumažinant iki 50] mg/kg paros dozės). Duodant ≥25 mg/kg kūno svorio paros dozes (≥7,3 kartų didesnis AUC nei rekomenduojamą paros dozę vartojančio paciento organizme), po 1 arba 6 tyrimo mėnesių buvo pastebėtas skrandžio ir virškinimo trakto vėžio, gretutinių </w:t>
      </w:r>
      <w:proofErr w:type="spellStart"/>
      <w:r w:rsidRPr="00CE4C3C">
        <w:rPr>
          <w:rFonts w:ascii="Times New Roman" w:eastAsia="Times New Roman" w:hAnsi="Times New Roman" w:cs="Times New Roman"/>
          <w:lang w:eastAsia="lt-LT" w:bidi="lt-LT"/>
        </w:rPr>
        <w:t>hemangiosarkomų</w:t>
      </w:r>
      <w:proofErr w:type="spellEnd"/>
      <w:r w:rsidRPr="00CE4C3C">
        <w:rPr>
          <w:rFonts w:ascii="Times New Roman" w:eastAsia="Times New Roman" w:hAnsi="Times New Roman" w:cs="Times New Roman"/>
          <w:lang w:eastAsia="lt-LT" w:bidi="lt-LT"/>
        </w:rPr>
        <w:t xml:space="preserve"> ir (arba) skrandžio gleivinės </w:t>
      </w:r>
      <w:proofErr w:type="spellStart"/>
      <w:r w:rsidRPr="00CE4C3C">
        <w:rPr>
          <w:rFonts w:ascii="Times New Roman" w:eastAsia="Times New Roman" w:hAnsi="Times New Roman" w:cs="Times New Roman"/>
          <w:lang w:eastAsia="lt-LT" w:bidi="lt-LT"/>
        </w:rPr>
        <w:t>hiperplazijos</w:t>
      </w:r>
      <w:proofErr w:type="spellEnd"/>
      <w:r w:rsidRPr="00CE4C3C">
        <w:rPr>
          <w:rFonts w:ascii="Times New Roman" w:eastAsia="Times New Roman" w:hAnsi="Times New Roman" w:cs="Times New Roman"/>
          <w:lang w:eastAsia="lt-LT" w:bidi="lt-LT"/>
        </w:rPr>
        <w:t xml:space="preserve"> padažnėjimas.</w:t>
      </w:r>
    </w:p>
    <w:p w14:paraId="7F56E88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44249961"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Dvejus metus trukusių kancerogeninio poveikio tyrimo su žiurkėmis (0, 0,33, 1 arba 3 mg/kg paros dozės) duomenimis, duodant </w:t>
      </w:r>
      <w:proofErr w:type="spellStart"/>
      <w:r w:rsidRPr="00CE4C3C">
        <w:rPr>
          <w:rFonts w:ascii="Times New Roman" w:eastAsia="Times New Roman" w:hAnsi="Times New Roman" w:cs="Times New Roman"/>
          <w:lang w:eastAsia="lt-LT" w:bidi="lt-LT"/>
        </w:rPr>
        <w:t>sunitinibą</w:t>
      </w:r>
      <w:proofErr w:type="spellEnd"/>
      <w:r w:rsidRPr="00CE4C3C">
        <w:rPr>
          <w:rFonts w:ascii="Times New Roman" w:eastAsia="Times New Roman" w:hAnsi="Times New Roman" w:cs="Times New Roman"/>
          <w:lang w:eastAsia="lt-LT" w:bidi="lt-LT"/>
        </w:rPr>
        <w:t xml:space="preserve"> 28 parų ciklais, po kurių buvo daroma 7 parų pertrauka neduodant vaistinio preparato, po &gt;1 metų dozavimo (≥7,8 kartų didesnis AUC nei rekomenduojamą paros dozę vartojančio paciento organizme) padažnėjo </w:t>
      </w:r>
      <w:proofErr w:type="spellStart"/>
      <w:r w:rsidRPr="00CE4C3C">
        <w:rPr>
          <w:rFonts w:ascii="Times New Roman" w:eastAsia="Times New Roman" w:hAnsi="Times New Roman" w:cs="Times New Roman"/>
          <w:lang w:eastAsia="lt-LT" w:bidi="lt-LT"/>
        </w:rPr>
        <w:t>feochromocitomos</w:t>
      </w:r>
      <w:proofErr w:type="spellEnd"/>
      <w:r w:rsidRPr="00CE4C3C">
        <w:rPr>
          <w:rFonts w:ascii="Times New Roman" w:eastAsia="Times New Roman" w:hAnsi="Times New Roman" w:cs="Times New Roman"/>
          <w:lang w:eastAsia="lt-LT" w:bidi="lt-LT"/>
        </w:rPr>
        <w:t xml:space="preserve"> ir antinksčių šerdinės dalies </w:t>
      </w:r>
      <w:proofErr w:type="spellStart"/>
      <w:r w:rsidRPr="00CE4C3C">
        <w:rPr>
          <w:rFonts w:ascii="Times New Roman" w:eastAsia="Times New Roman" w:hAnsi="Times New Roman" w:cs="Times New Roman"/>
          <w:lang w:eastAsia="lt-LT" w:bidi="lt-LT"/>
        </w:rPr>
        <w:t>hiperplazijos</w:t>
      </w:r>
      <w:proofErr w:type="spellEnd"/>
      <w:r w:rsidRPr="00CE4C3C">
        <w:rPr>
          <w:rFonts w:ascii="Times New Roman" w:eastAsia="Times New Roman" w:hAnsi="Times New Roman" w:cs="Times New Roman"/>
          <w:lang w:eastAsia="lt-LT" w:bidi="lt-LT"/>
        </w:rPr>
        <w:t xml:space="preserve"> atvejai žiurkių patinams, kuriems buvo duotos 3 mg/kg paros dozės. Dvylikapirštės žarnos </w:t>
      </w:r>
      <w:proofErr w:type="spellStart"/>
      <w:r w:rsidRPr="00CE4C3C">
        <w:rPr>
          <w:rFonts w:ascii="Times New Roman" w:eastAsia="Times New Roman" w:hAnsi="Times New Roman" w:cs="Times New Roman"/>
          <w:i/>
          <w:lang w:eastAsia="lt-LT" w:bidi="lt-LT"/>
        </w:rPr>
        <w:t>Brunner</w:t>
      </w:r>
      <w:proofErr w:type="spellEnd"/>
      <w:r w:rsidRPr="00CE4C3C">
        <w:rPr>
          <w:rFonts w:ascii="Times New Roman" w:eastAsia="Times New Roman" w:hAnsi="Times New Roman" w:cs="Times New Roman"/>
          <w:lang w:eastAsia="lt-LT" w:bidi="lt-LT"/>
        </w:rPr>
        <w:t xml:space="preserve"> liaukų vėžys pastebėtas duodant ≥1 mg/kg svorio paros dozes patelėms ir 3 mg/kg svorio paros dozes patinams, gleivinės ląstelių hiperplazija skrandžio liaukose pasireiškė duodant 3 mg/kg paros dozes patinams, kurias vartojant AUC buvo atitinkamai ≥0,9, 7,8 ir 7,8 kartų didesni </w:t>
      </w:r>
      <w:r w:rsidRPr="00CE4C3C">
        <w:rPr>
          <w:rFonts w:ascii="Times New Roman" w:eastAsia="Times New Roman" w:hAnsi="Times New Roman" w:cs="Times New Roman"/>
          <w:lang w:eastAsia="lt-LT" w:bidi="lt-LT"/>
        </w:rPr>
        <w:lastRenderedPageBreak/>
        <w:t>nei rekomenduojamą paros dozę vartojančio paciento organizme. Sunitinibo tyrimuose pelėms (rasH2 transgeninėms) ir žiurkėms nustatytų navikų reikšmė žmogui yra neaiški.</w:t>
      </w:r>
    </w:p>
    <w:p w14:paraId="4B1CF993"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319F665A" w14:textId="77777777" w:rsidR="00F17A0C" w:rsidRPr="00CE4C3C" w:rsidRDefault="00F17A0C" w:rsidP="00CE4C3C">
      <w:pPr>
        <w:tabs>
          <w:tab w:val="left" w:pos="567"/>
        </w:tabs>
        <w:spacing w:line="240" w:lineRule="auto"/>
        <w:rPr>
          <w:rFonts w:ascii="Times New Roman" w:eastAsia="Times New Roman" w:hAnsi="Times New Roman" w:cs="Times New Roman"/>
          <w:u w:val="single"/>
          <w:lang w:eastAsia="lt-LT" w:bidi="lt-LT"/>
        </w:rPr>
      </w:pPr>
      <w:r w:rsidRPr="00CE4C3C">
        <w:rPr>
          <w:rFonts w:ascii="Times New Roman" w:eastAsia="Times New Roman" w:hAnsi="Times New Roman" w:cs="Times New Roman"/>
          <w:u w:val="single"/>
          <w:lang w:eastAsia="lt-LT" w:bidi="lt-LT"/>
        </w:rPr>
        <w:t xml:space="preserve">Toksinis poveikis reprodukcijai ir raidai </w:t>
      </w:r>
    </w:p>
    <w:p w14:paraId="4B265E64" w14:textId="34787660"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Toksinio poveikio reprodukcijai tyrimų duomenimis, poveikio patinų ar patelių vaisingumui nenustatyta. Visgi kartotinių dozių toksinio poveikio tyrimų su žiurkėmis ir beždžionėmis duomenimis, esant kliniškai reikšmingai sisteminei ekspozicijai, pasireiškė poveikis patelių vaisingumui: folikulų </w:t>
      </w:r>
      <w:proofErr w:type="spellStart"/>
      <w:r w:rsidRPr="00CE4C3C">
        <w:rPr>
          <w:rFonts w:ascii="Times New Roman" w:eastAsia="Times New Roman" w:hAnsi="Times New Roman" w:cs="Times New Roman"/>
          <w:lang w:eastAsia="lt-LT" w:bidi="lt-LT"/>
        </w:rPr>
        <w:t>atrezija</w:t>
      </w:r>
      <w:proofErr w:type="spellEnd"/>
      <w:r w:rsidRPr="00CE4C3C">
        <w:rPr>
          <w:rFonts w:ascii="Times New Roman" w:eastAsia="Times New Roman" w:hAnsi="Times New Roman" w:cs="Times New Roman"/>
          <w:lang w:eastAsia="lt-LT" w:bidi="lt-LT"/>
        </w:rPr>
        <w:t xml:space="preserve">, </w:t>
      </w:r>
      <w:proofErr w:type="spellStart"/>
      <w:r w:rsidRPr="00CE4C3C">
        <w:rPr>
          <w:rFonts w:ascii="Times New Roman" w:eastAsia="Times New Roman" w:hAnsi="Times New Roman" w:cs="Times New Roman"/>
          <w:lang w:eastAsia="lt-LT" w:bidi="lt-LT"/>
        </w:rPr>
        <w:t>geltonkūnio</w:t>
      </w:r>
      <w:proofErr w:type="spellEnd"/>
      <w:r w:rsidRPr="00CE4C3C">
        <w:rPr>
          <w:rFonts w:ascii="Times New Roman" w:eastAsia="Times New Roman" w:hAnsi="Times New Roman" w:cs="Times New Roman"/>
          <w:lang w:eastAsia="lt-LT" w:bidi="lt-LT"/>
        </w:rPr>
        <w:t xml:space="preserve"> degeneracija, gimdos gleivinės pakitimai ir gimdos bei kiaušidžių svorio sumažėjimas. Pasireiškęs poveikis žiurkių patinų vaisingumui buvo sėklidžių kanalėlių atrofija, spermatozoidų sumažėjimas </w:t>
      </w:r>
      <w:r w:rsidR="00957F1A">
        <w:rPr>
          <w:rFonts w:ascii="Times New Roman" w:eastAsia="Times New Roman" w:hAnsi="Times New Roman" w:cs="Times New Roman"/>
          <w:lang w:eastAsia="lt-LT" w:bidi="lt-LT"/>
        </w:rPr>
        <w:t>sėklidės prielipe</w:t>
      </w:r>
      <w:r w:rsidR="00957F1A" w:rsidRPr="00CE4C3C">
        <w:rPr>
          <w:rFonts w:ascii="Times New Roman" w:eastAsia="Times New Roman" w:hAnsi="Times New Roman" w:cs="Times New Roman"/>
          <w:lang w:eastAsia="lt-LT" w:bidi="lt-LT"/>
        </w:rPr>
        <w:t xml:space="preserve"> </w:t>
      </w:r>
      <w:r w:rsidRPr="00CE4C3C">
        <w:rPr>
          <w:rFonts w:ascii="Times New Roman" w:eastAsia="Times New Roman" w:hAnsi="Times New Roman" w:cs="Times New Roman"/>
          <w:lang w:eastAsia="lt-LT" w:bidi="lt-LT"/>
        </w:rPr>
        <w:t xml:space="preserve">ir koloidų išsekimas prostatoje bei sėklinėse pūslelėse, kai ekspozicija plazmoje buvo 25 kartus didesnė lyginant su sisteminės ekspozicijos lygiu žmogaus organizme. </w:t>
      </w:r>
    </w:p>
    <w:p w14:paraId="19FFF80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0BDBB669"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Nustatyta žiurkių embriono ir vaisiaus žūties atvejų, dėl to reikšmingai sumažėjo gyvų vaisių skaičius, padaugėjo </w:t>
      </w:r>
      <w:proofErr w:type="spellStart"/>
      <w:r w:rsidRPr="00CE4C3C">
        <w:rPr>
          <w:rFonts w:ascii="Times New Roman" w:eastAsia="Times New Roman" w:hAnsi="Times New Roman" w:cs="Times New Roman"/>
          <w:lang w:eastAsia="lt-LT" w:bidi="lt-LT"/>
        </w:rPr>
        <w:t>rezorbcijų</w:t>
      </w:r>
      <w:proofErr w:type="spellEnd"/>
      <w:r w:rsidRPr="00CE4C3C">
        <w:rPr>
          <w:rFonts w:ascii="Times New Roman" w:eastAsia="Times New Roman" w:hAnsi="Times New Roman" w:cs="Times New Roman"/>
          <w:lang w:eastAsia="lt-LT" w:bidi="lt-LT"/>
        </w:rPr>
        <w:t xml:space="preserve">, vaikingumo nutrūkimo po implantacijos ir vados žūties atvejų 8 iš 28 vaikingų patelių, kurių ekspozicija plazmoje 5,5 kartus buvo didesnė lyginant su sisteminės ekspozicijos lygiu žmogaus organizme. Triušiai atsivedė mažiau gyvų jauniklių, buvo mažesnis vaikingų patelių gimdos svoris, dėl dažnesnių </w:t>
      </w:r>
      <w:proofErr w:type="spellStart"/>
      <w:r w:rsidRPr="00CE4C3C">
        <w:rPr>
          <w:rFonts w:ascii="Times New Roman" w:eastAsia="Times New Roman" w:hAnsi="Times New Roman" w:cs="Times New Roman"/>
          <w:lang w:eastAsia="lt-LT" w:bidi="lt-LT"/>
        </w:rPr>
        <w:t>rezorbcijų</w:t>
      </w:r>
      <w:proofErr w:type="spellEnd"/>
      <w:r w:rsidRPr="00CE4C3C">
        <w:rPr>
          <w:rFonts w:ascii="Times New Roman" w:eastAsia="Times New Roman" w:hAnsi="Times New Roman" w:cs="Times New Roman"/>
          <w:lang w:eastAsia="lt-LT" w:bidi="lt-LT"/>
        </w:rPr>
        <w:t xml:space="preserve">, dažnesnio vaikingumo nutrūkimo po implantacijos ir visos vados žuvimo 4 iš 6 triušių patelių, kurių ekspozicija plazmoje viršijo 3 kartus palyginti su sisteminės ekspozicijos lygiu žmogaus organizme. </w:t>
      </w:r>
      <w:proofErr w:type="spellStart"/>
      <w:r w:rsidRPr="00CE4C3C">
        <w:rPr>
          <w:rFonts w:ascii="Times New Roman" w:eastAsia="Times New Roman" w:hAnsi="Times New Roman" w:cs="Times New Roman"/>
          <w:lang w:eastAsia="lt-LT" w:bidi="lt-LT"/>
        </w:rPr>
        <w:t>Organogenezės</w:t>
      </w:r>
      <w:proofErr w:type="spellEnd"/>
      <w:r w:rsidRPr="00CE4C3C">
        <w:rPr>
          <w:rFonts w:ascii="Times New Roman" w:eastAsia="Times New Roman" w:hAnsi="Times New Roman" w:cs="Times New Roman"/>
          <w:lang w:eastAsia="lt-LT" w:bidi="lt-LT"/>
        </w:rPr>
        <w:t xml:space="preserve"> laikotarpiu žiurkėms, gavusioms ≥5 mg/kg sunitinibo paros dozes, kuomet ekspozicija plazmoje viršijo 5,5 kartų lyginant su sisteminės ekspozicijos lygiu žmogaus organizme, pasireiškė poveikis raidai: padaugėjo vaisiaus skeleto </w:t>
      </w:r>
      <w:r w:rsidRPr="00CE4C3C">
        <w:rPr>
          <w:rFonts w:ascii="Times New Roman" w:eastAsia="Times New Roman" w:hAnsi="Times New Roman" w:cs="Times New Roman"/>
          <w:lang w:eastAsia="lt-LT"/>
        </w:rPr>
        <w:t>vaisiaus formavimosi ydų</w:t>
      </w:r>
      <w:r w:rsidRPr="00CE4C3C">
        <w:rPr>
          <w:rFonts w:ascii="Times New Roman" w:eastAsia="Times New Roman" w:hAnsi="Times New Roman" w:cs="Times New Roman"/>
          <w:lang w:eastAsia="lt-LT" w:bidi="lt-LT"/>
        </w:rPr>
        <w:t xml:space="preserve">, dažniausiai pasireiškiančių krūtinės ir juosmens slankstelių kaulėjimo sulėtėjimu. Poveikis triušių raidai: padaugėjo lūpos </w:t>
      </w:r>
      <w:proofErr w:type="spellStart"/>
      <w:r w:rsidRPr="00CE4C3C">
        <w:rPr>
          <w:rFonts w:ascii="Times New Roman" w:eastAsia="Times New Roman" w:hAnsi="Times New Roman" w:cs="Times New Roman"/>
          <w:lang w:eastAsia="lt-LT" w:bidi="lt-LT"/>
        </w:rPr>
        <w:t>nesuaugimo</w:t>
      </w:r>
      <w:proofErr w:type="spellEnd"/>
      <w:r w:rsidRPr="00CE4C3C">
        <w:rPr>
          <w:rFonts w:ascii="Times New Roman" w:eastAsia="Times New Roman" w:hAnsi="Times New Roman" w:cs="Times New Roman"/>
          <w:lang w:eastAsia="lt-LT" w:bidi="lt-LT"/>
        </w:rPr>
        <w:t xml:space="preserve"> atvejų, kai ekspozicija plazmoje buvo maždaug tokia pati, kaip paciento organizme, bei lūpos ir gomurio </w:t>
      </w:r>
      <w:proofErr w:type="spellStart"/>
      <w:r w:rsidRPr="00CE4C3C">
        <w:rPr>
          <w:rFonts w:ascii="Times New Roman" w:eastAsia="Times New Roman" w:hAnsi="Times New Roman" w:cs="Times New Roman"/>
          <w:lang w:eastAsia="lt-LT" w:bidi="lt-LT"/>
        </w:rPr>
        <w:t>nesuaugimo</w:t>
      </w:r>
      <w:proofErr w:type="spellEnd"/>
      <w:r w:rsidRPr="00CE4C3C">
        <w:rPr>
          <w:rFonts w:ascii="Times New Roman" w:eastAsia="Times New Roman" w:hAnsi="Times New Roman" w:cs="Times New Roman"/>
          <w:lang w:eastAsia="lt-LT" w:bidi="lt-LT"/>
        </w:rPr>
        <w:t xml:space="preserve"> atvejų, kai ekspozicija plazmoje viršijo 2,7 kartus lyginant su sisteminės ekspozicijos lygiu žmogaus organizme.</w:t>
      </w:r>
    </w:p>
    <w:p w14:paraId="06F189A7"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7B3A8549"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Sunitinibas (0,3, 1,0, 3,0 mg/kg paros dozės) buvo įvertintas </w:t>
      </w:r>
      <w:proofErr w:type="spellStart"/>
      <w:r w:rsidRPr="00CE4C3C">
        <w:rPr>
          <w:rFonts w:ascii="Times New Roman" w:eastAsia="Times New Roman" w:hAnsi="Times New Roman" w:cs="Times New Roman"/>
          <w:lang w:eastAsia="lt-LT" w:bidi="lt-LT"/>
        </w:rPr>
        <w:t>prenatalinių</w:t>
      </w:r>
      <w:proofErr w:type="spellEnd"/>
      <w:r w:rsidRPr="00CE4C3C">
        <w:rPr>
          <w:rFonts w:ascii="Times New Roman" w:eastAsia="Times New Roman" w:hAnsi="Times New Roman" w:cs="Times New Roman"/>
          <w:lang w:eastAsia="lt-LT" w:bidi="lt-LT"/>
        </w:rPr>
        <w:t xml:space="preserve"> ir </w:t>
      </w:r>
      <w:proofErr w:type="spellStart"/>
      <w:r w:rsidRPr="00CE4C3C">
        <w:rPr>
          <w:rFonts w:ascii="Times New Roman" w:eastAsia="Times New Roman" w:hAnsi="Times New Roman" w:cs="Times New Roman"/>
          <w:lang w:eastAsia="lt-LT" w:bidi="lt-LT"/>
        </w:rPr>
        <w:t>postnatalinių</w:t>
      </w:r>
      <w:proofErr w:type="spellEnd"/>
      <w:r w:rsidRPr="00CE4C3C">
        <w:rPr>
          <w:rFonts w:ascii="Times New Roman" w:eastAsia="Times New Roman" w:hAnsi="Times New Roman" w:cs="Times New Roman"/>
          <w:lang w:eastAsia="lt-LT" w:bidi="lt-LT"/>
        </w:rPr>
        <w:t xml:space="preserve"> vystymosi tyrimų su apvaisintomis žiurkėmis metu. Sumažėjo vaikingos patelės kūno svorio prieaugis </w:t>
      </w:r>
      <w:proofErr w:type="spellStart"/>
      <w:r w:rsidRPr="00CE4C3C">
        <w:rPr>
          <w:rFonts w:ascii="Times New Roman" w:eastAsia="Times New Roman" w:hAnsi="Times New Roman" w:cs="Times New Roman"/>
          <w:lang w:eastAsia="lt-LT" w:bidi="lt-LT"/>
        </w:rPr>
        <w:t>gestacijos</w:t>
      </w:r>
      <w:proofErr w:type="spellEnd"/>
      <w:r w:rsidRPr="00CE4C3C">
        <w:rPr>
          <w:rFonts w:ascii="Times New Roman" w:eastAsia="Times New Roman" w:hAnsi="Times New Roman" w:cs="Times New Roman"/>
          <w:lang w:eastAsia="lt-LT" w:bidi="lt-LT"/>
        </w:rPr>
        <w:t xml:space="preserve"> ir laktacijos laikotarpiais duodant &gt;1 mg/kg paros dozes, bet toksinio poveikio patelių reprodukcijai nepastebėta, duodant iki 3 mg/kg paros dozes (apskaičiuota ekspozicija buvo &gt;2,3 karto didesnė nei rekomenduojamą paros dozę vartojančio paciento organizme). Duodant 3 mg/kg paros dozes, buvo stebėtas jauniklių kūno masės sumažėjimas laikotarpiu prieš nujunkymą ir po nujunkymo. Duodant 1 mg/kg paros dozę, toksinio poveikio nepastebėta (ekspozicija maždaug ≥0,9 karto didesnė už AUC rekomenduojamą paros dozę vartojančio paciento organizme).</w:t>
      </w:r>
    </w:p>
    <w:p w14:paraId="0F183583"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2EC99CF6"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07974FF4" w14:textId="77777777" w:rsidR="00F17A0C" w:rsidRPr="00CE4C3C" w:rsidRDefault="00F17A0C" w:rsidP="00CE4C3C">
      <w:pPr>
        <w:keepNext/>
        <w:suppressAutoHyphens/>
        <w:spacing w:line="240" w:lineRule="auto"/>
        <w:ind w:left="567" w:hanging="567"/>
        <w:rPr>
          <w:rFonts w:ascii="Times New Roman" w:eastAsia="Times New Roman" w:hAnsi="Times New Roman" w:cs="Times New Roman"/>
          <w:b/>
          <w:lang w:eastAsia="lt-LT" w:bidi="lt-LT"/>
        </w:rPr>
      </w:pPr>
      <w:r w:rsidRPr="00CE4C3C">
        <w:rPr>
          <w:rFonts w:ascii="Times New Roman" w:eastAsia="Times New Roman" w:hAnsi="Times New Roman" w:cs="Times New Roman"/>
          <w:b/>
          <w:lang w:eastAsia="lt-LT" w:bidi="lt-LT"/>
        </w:rPr>
        <w:t>6.</w:t>
      </w:r>
      <w:r w:rsidRPr="00CE4C3C">
        <w:rPr>
          <w:rFonts w:ascii="Times New Roman" w:eastAsia="Times New Roman" w:hAnsi="Times New Roman" w:cs="Times New Roman"/>
          <w:b/>
          <w:lang w:eastAsia="lt-LT" w:bidi="lt-LT"/>
        </w:rPr>
        <w:tab/>
        <w:t>FARMACINĖ INFORMACIJA</w:t>
      </w:r>
    </w:p>
    <w:p w14:paraId="52E2FB29" w14:textId="77777777" w:rsidR="00F17A0C" w:rsidRPr="00CE4C3C" w:rsidRDefault="00F17A0C" w:rsidP="00CE4C3C">
      <w:pPr>
        <w:keepNext/>
        <w:tabs>
          <w:tab w:val="left" w:pos="567"/>
        </w:tabs>
        <w:spacing w:line="240" w:lineRule="auto"/>
        <w:rPr>
          <w:rFonts w:ascii="Times New Roman" w:eastAsia="Times New Roman" w:hAnsi="Times New Roman" w:cs="Times New Roman"/>
          <w:lang w:eastAsia="lt-LT" w:bidi="lt-LT"/>
        </w:rPr>
      </w:pPr>
    </w:p>
    <w:p w14:paraId="68CA4496" w14:textId="77777777" w:rsidR="00F17A0C" w:rsidRPr="00CE4C3C" w:rsidRDefault="00F17A0C" w:rsidP="00CE4C3C">
      <w:pPr>
        <w:keepNext/>
        <w:spacing w:line="240" w:lineRule="auto"/>
        <w:ind w:left="567" w:hanging="567"/>
        <w:outlineLvl w:val="0"/>
        <w:rPr>
          <w:rFonts w:ascii="Times New Roman" w:eastAsia="Times New Roman" w:hAnsi="Times New Roman" w:cs="Times New Roman"/>
          <w:lang w:eastAsia="lt-LT" w:bidi="lt-LT"/>
        </w:rPr>
      </w:pPr>
      <w:r w:rsidRPr="00CE4C3C">
        <w:rPr>
          <w:rFonts w:ascii="Times New Roman" w:eastAsia="Times New Roman" w:hAnsi="Times New Roman" w:cs="Times New Roman"/>
          <w:b/>
          <w:lang w:eastAsia="lt-LT" w:bidi="lt-LT"/>
        </w:rPr>
        <w:t>6.1</w:t>
      </w:r>
      <w:r w:rsidRPr="00CE4C3C">
        <w:rPr>
          <w:rFonts w:ascii="Times New Roman" w:eastAsia="Times New Roman" w:hAnsi="Times New Roman" w:cs="Times New Roman"/>
          <w:b/>
          <w:lang w:eastAsia="lt-LT" w:bidi="lt-LT"/>
        </w:rPr>
        <w:tab/>
        <w:t>Pagalbinių medžiagų sąrašas</w:t>
      </w:r>
    </w:p>
    <w:p w14:paraId="32B60F87" w14:textId="77777777" w:rsidR="00F17A0C" w:rsidRPr="00CE4C3C" w:rsidRDefault="00F17A0C" w:rsidP="00CE4C3C">
      <w:pPr>
        <w:keepNext/>
        <w:tabs>
          <w:tab w:val="left" w:pos="567"/>
        </w:tabs>
        <w:spacing w:line="240" w:lineRule="auto"/>
        <w:rPr>
          <w:rFonts w:ascii="Times New Roman" w:eastAsia="Times New Roman" w:hAnsi="Times New Roman" w:cs="Times New Roman"/>
          <w:i/>
          <w:lang w:eastAsia="lt-LT" w:bidi="lt-LT"/>
        </w:rPr>
      </w:pPr>
    </w:p>
    <w:p w14:paraId="0D7E6A2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Manitolis</w:t>
      </w:r>
      <w:proofErr w:type="spellEnd"/>
      <w:r w:rsidRPr="00CE4C3C">
        <w:rPr>
          <w:rFonts w:ascii="Times New Roman" w:eastAsia="Times New Roman" w:hAnsi="Times New Roman" w:cs="Times New Roman"/>
          <w:lang w:eastAsia="lt-LT" w:bidi="lt-LT"/>
        </w:rPr>
        <w:t xml:space="preserve"> (E421)</w:t>
      </w:r>
    </w:p>
    <w:p w14:paraId="45BA8E1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roofErr w:type="spellStart"/>
      <w:r w:rsidRPr="00CE4C3C">
        <w:rPr>
          <w:rFonts w:ascii="Times New Roman" w:eastAsia="Times New Roman" w:hAnsi="Times New Roman" w:cs="Times New Roman"/>
          <w:lang w:eastAsia="lt-LT" w:bidi="lt-LT"/>
        </w:rPr>
        <w:t>Kroskarmeliozės</w:t>
      </w:r>
      <w:proofErr w:type="spellEnd"/>
      <w:r w:rsidRPr="00CE4C3C">
        <w:rPr>
          <w:rFonts w:ascii="Times New Roman" w:eastAsia="Times New Roman" w:hAnsi="Times New Roman" w:cs="Times New Roman"/>
          <w:lang w:eastAsia="lt-LT" w:bidi="lt-LT"/>
        </w:rPr>
        <w:t xml:space="preserve"> natrio druska</w:t>
      </w:r>
    </w:p>
    <w:p w14:paraId="20EAE0BA" w14:textId="77777777" w:rsidR="00C5179E" w:rsidRPr="00CE4C3C" w:rsidRDefault="00C5179E"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Povidonas K30 </w:t>
      </w:r>
    </w:p>
    <w:p w14:paraId="6DBC1283" w14:textId="77777777" w:rsidR="00364075" w:rsidRPr="00CE4C3C" w:rsidRDefault="00364075"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Magnio stearatas </w:t>
      </w:r>
    </w:p>
    <w:p w14:paraId="631F2EB6" w14:textId="77777777" w:rsidR="00364075" w:rsidRPr="00CE4C3C" w:rsidRDefault="00364075" w:rsidP="00CE4C3C">
      <w:pPr>
        <w:tabs>
          <w:tab w:val="left" w:pos="567"/>
        </w:tabs>
        <w:spacing w:line="240" w:lineRule="auto"/>
        <w:rPr>
          <w:rFonts w:ascii="Times New Roman" w:eastAsia="Times New Roman" w:hAnsi="Times New Roman" w:cs="Times New Roman"/>
          <w:highlight w:val="yellow"/>
          <w:lang w:eastAsia="lt-LT" w:bidi="lt-LT"/>
        </w:rPr>
      </w:pPr>
    </w:p>
    <w:p w14:paraId="3E4FF786" w14:textId="77777777" w:rsidR="00364075" w:rsidRPr="00CE4C3C" w:rsidRDefault="00364075" w:rsidP="00CE4C3C">
      <w:pPr>
        <w:tabs>
          <w:tab w:val="left" w:pos="567"/>
        </w:tabs>
        <w:spacing w:line="240" w:lineRule="auto"/>
        <w:rPr>
          <w:rFonts w:ascii="Times New Roman" w:eastAsia="Times New Roman" w:hAnsi="Times New Roman" w:cs="Times New Roman"/>
          <w:i/>
          <w:iCs/>
          <w:lang w:eastAsia="lt-LT" w:bidi="lt-LT"/>
        </w:rPr>
      </w:pPr>
      <w:r w:rsidRPr="00CE4C3C">
        <w:rPr>
          <w:rFonts w:ascii="Times New Roman" w:eastAsia="Times New Roman" w:hAnsi="Times New Roman" w:cs="Times New Roman"/>
          <w:i/>
          <w:iCs/>
          <w:lang w:eastAsia="lt-LT" w:bidi="lt-LT"/>
        </w:rPr>
        <w:t>Kapsulės apvalkalas</w:t>
      </w:r>
    </w:p>
    <w:p w14:paraId="1CD7AFBD" w14:textId="77777777" w:rsidR="00364075" w:rsidRPr="00CE4C3C" w:rsidRDefault="00364075" w:rsidP="00CE4C3C">
      <w:pPr>
        <w:tabs>
          <w:tab w:val="left" w:pos="567"/>
        </w:tabs>
        <w:spacing w:line="240" w:lineRule="auto"/>
        <w:rPr>
          <w:rFonts w:ascii="Times New Roman" w:eastAsia="Times New Roman" w:hAnsi="Times New Roman" w:cs="Times New Roman"/>
          <w:lang w:eastAsia="lt-LT" w:bidi="lt-LT"/>
        </w:rPr>
      </w:pPr>
    </w:p>
    <w:p w14:paraId="197DBA42" w14:textId="77777777" w:rsidR="00F17A0C" w:rsidRPr="00CE4C3C" w:rsidRDefault="005F5F39" w:rsidP="00CE4C3C">
      <w:pPr>
        <w:tabs>
          <w:tab w:val="left" w:pos="567"/>
        </w:tabs>
        <w:spacing w:line="240" w:lineRule="auto"/>
        <w:rPr>
          <w:rFonts w:ascii="Times New Roman" w:eastAsia="Times New Roman" w:hAnsi="Times New Roman" w:cs="Times New Roman"/>
          <w:iCs/>
          <w:u w:val="single"/>
          <w:lang w:eastAsia="lt-LT"/>
        </w:rPr>
      </w:pPr>
      <w:r w:rsidRPr="00CE4C3C">
        <w:rPr>
          <w:rFonts w:ascii="Times New Roman" w:eastAsia="Times New Roman" w:hAnsi="Times New Roman" w:cs="Times New Roman"/>
          <w:iCs/>
          <w:u w:val="single"/>
          <w:lang w:eastAsia="lt-LT"/>
        </w:rPr>
        <w:t>Klertis</w:t>
      </w:r>
      <w:r w:rsidR="00F17A0C" w:rsidRPr="00CE4C3C">
        <w:rPr>
          <w:rFonts w:ascii="Times New Roman" w:eastAsia="Times New Roman" w:hAnsi="Times New Roman" w:cs="Times New Roman"/>
          <w:iCs/>
          <w:u w:val="single"/>
          <w:lang w:eastAsia="lt-LT"/>
        </w:rPr>
        <w:t xml:space="preserve"> 12,5 mg kietosios kapsulės</w:t>
      </w:r>
    </w:p>
    <w:p w14:paraId="075F2C3A" w14:textId="77777777" w:rsidR="00364075" w:rsidRPr="00CE4C3C" w:rsidRDefault="00364075"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Titano dioksidas (E171) </w:t>
      </w:r>
    </w:p>
    <w:p w14:paraId="69307406" w14:textId="77777777" w:rsidR="00364075" w:rsidRPr="00CE4C3C" w:rsidRDefault="00364075"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 xml:space="preserve">Želatina </w:t>
      </w:r>
    </w:p>
    <w:p w14:paraId="02E00AE9" w14:textId="77777777" w:rsidR="00364075" w:rsidRPr="00CE4C3C" w:rsidRDefault="00364075"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Geltonasis geležies oksidas (E172)</w:t>
      </w:r>
    </w:p>
    <w:p w14:paraId="680F425E"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rPr>
      </w:pPr>
      <w:r w:rsidRPr="00CE4C3C">
        <w:rPr>
          <w:rFonts w:ascii="Times New Roman" w:eastAsia="Times New Roman" w:hAnsi="Times New Roman" w:cs="Times New Roman"/>
          <w:lang w:eastAsia="lt-LT"/>
        </w:rPr>
        <w:t>Raudonasis geležies oksidas (E172)</w:t>
      </w:r>
    </w:p>
    <w:p w14:paraId="2C71F30F" w14:textId="77777777" w:rsidR="00F17A0C" w:rsidRPr="00CE4C3C" w:rsidRDefault="00F17A0C" w:rsidP="00CE4C3C">
      <w:pPr>
        <w:tabs>
          <w:tab w:val="left" w:pos="567"/>
        </w:tabs>
        <w:spacing w:line="240" w:lineRule="auto"/>
        <w:rPr>
          <w:rFonts w:ascii="Times New Roman" w:eastAsia="Times New Roman" w:hAnsi="Times New Roman" w:cs="Times New Roman"/>
          <w:highlight w:val="yellow"/>
          <w:lang w:eastAsia="lt-LT" w:bidi="lt-LT"/>
        </w:rPr>
      </w:pPr>
    </w:p>
    <w:p w14:paraId="2A8647F0" w14:textId="77777777" w:rsidR="00F17A0C" w:rsidRPr="00CE4C3C" w:rsidRDefault="005F5F39" w:rsidP="00CE4C3C">
      <w:pPr>
        <w:tabs>
          <w:tab w:val="left" w:pos="567"/>
        </w:tabs>
        <w:spacing w:line="240" w:lineRule="auto"/>
        <w:rPr>
          <w:rFonts w:ascii="Times New Roman" w:eastAsia="Times New Roman" w:hAnsi="Times New Roman" w:cs="Times New Roman"/>
          <w:u w:val="single"/>
          <w:lang w:eastAsia="lt-LT" w:bidi="lt-LT"/>
        </w:rPr>
      </w:pPr>
      <w:r w:rsidRPr="00CE4C3C">
        <w:rPr>
          <w:rFonts w:ascii="Times New Roman" w:eastAsia="Times New Roman" w:hAnsi="Times New Roman" w:cs="Times New Roman"/>
          <w:u w:val="single"/>
          <w:lang w:eastAsia="lt-LT" w:bidi="lt-LT"/>
        </w:rPr>
        <w:t>Klertis</w:t>
      </w:r>
      <w:r w:rsidR="00F17A0C" w:rsidRPr="00CE4C3C">
        <w:rPr>
          <w:rFonts w:ascii="Times New Roman" w:eastAsia="Times New Roman" w:hAnsi="Times New Roman" w:cs="Times New Roman"/>
          <w:u w:val="single"/>
          <w:lang w:eastAsia="lt-LT" w:bidi="lt-LT"/>
        </w:rPr>
        <w:t xml:space="preserve"> 25 mg kietosios kapsulės</w:t>
      </w:r>
    </w:p>
    <w:p w14:paraId="7C829295" w14:textId="77777777" w:rsidR="00364075" w:rsidRPr="00CE4C3C" w:rsidRDefault="00364075"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Titano dioksidas (E171)</w:t>
      </w:r>
    </w:p>
    <w:p w14:paraId="383E5A83" w14:textId="77777777" w:rsidR="00364075" w:rsidRPr="00CE4C3C" w:rsidRDefault="00364075"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Geltonasis geležies oksidas (E172)</w:t>
      </w:r>
    </w:p>
    <w:p w14:paraId="4B231B25"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lastRenderedPageBreak/>
        <w:t>Juodasis geležies oksidas (E172)</w:t>
      </w:r>
    </w:p>
    <w:p w14:paraId="1CD54631" w14:textId="77777777" w:rsidR="00364075" w:rsidRPr="00CE4C3C" w:rsidRDefault="00364075"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Želatina </w:t>
      </w:r>
    </w:p>
    <w:p w14:paraId="3CF280EB"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Raudonasis geležies oksidas (E172)</w:t>
      </w:r>
    </w:p>
    <w:p w14:paraId="3E489D46" w14:textId="77777777" w:rsidR="00F17A0C" w:rsidRPr="00CE4C3C" w:rsidRDefault="00F17A0C" w:rsidP="00CE4C3C">
      <w:pPr>
        <w:tabs>
          <w:tab w:val="left" w:pos="567"/>
        </w:tabs>
        <w:spacing w:line="240" w:lineRule="auto"/>
        <w:rPr>
          <w:rFonts w:ascii="Times New Roman" w:eastAsia="Times New Roman" w:hAnsi="Times New Roman" w:cs="Times New Roman"/>
          <w:highlight w:val="yellow"/>
          <w:lang w:eastAsia="lt-LT" w:bidi="lt-LT"/>
        </w:rPr>
      </w:pPr>
    </w:p>
    <w:p w14:paraId="02C66179" w14:textId="77777777" w:rsidR="00F17A0C" w:rsidRPr="00CE4C3C" w:rsidRDefault="005F5F39" w:rsidP="00CE4C3C">
      <w:pPr>
        <w:tabs>
          <w:tab w:val="left" w:pos="567"/>
        </w:tabs>
        <w:spacing w:line="240" w:lineRule="auto"/>
        <w:rPr>
          <w:rFonts w:ascii="Times New Roman" w:eastAsia="Times New Roman" w:hAnsi="Times New Roman" w:cs="Times New Roman"/>
          <w:u w:val="single"/>
          <w:lang w:eastAsia="lt-LT" w:bidi="lt-LT"/>
        </w:rPr>
      </w:pPr>
      <w:r w:rsidRPr="00CE4C3C">
        <w:rPr>
          <w:rFonts w:ascii="Times New Roman" w:eastAsia="Times New Roman" w:hAnsi="Times New Roman" w:cs="Times New Roman"/>
          <w:u w:val="single"/>
          <w:lang w:eastAsia="lt-LT" w:bidi="lt-LT"/>
        </w:rPr>
        <w:t>Klertis</w:t>
      </w:r>
      <w:r w:rsidR="00F17A0C" w:rsidRPr="00CE4C3C">
        <w:rPr>
          <w:rFonts w:ascii="Times New Roman" w:eastAsia="Times New Roman" w:hAnsi="Times New Roman" w:cs="Times New Roman"/>
          <w:u w:val="single"/>
          <w:lang w:eastAsia="lt-LT" w:bidi="lt-LT"/>
        </w:rPr>
        <w:t xml:space="preserve"> 50 mg kietosios kapsulės </w:t>
      </w:r>
    </w:p>
    <w:p w14:paraId="0F9606AC" w14:textId="77777777" w:rsidR="00364075" w:rsidRPr="00CE4C3C" w:rsidRDefault="00364075"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Titano dioksidas (E171) </w:t>
      </w:r>
    </w:p>
    <w:p w14:paraId="098AB24E" w14:textId="77777777" w:rsidR="00364075" w:rsidRPr="00CE4C3C" w:rsidRDefault="00364075"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Geltonasis geležies oksidas (E172)</w:t>
      </w:r>
    </w:p>
    <w:p w14:paraId="28E71F32"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Raudonasis geležies oksidas (E172)</w:t>
      </w:r>
    </w:p>
    <w:p w14:paraId="45A4983B"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 xml:space="preserve">Želatina </w:t>
      </w:r>
    </w:p>
    <w:p w14:paraId="5670EBD2" w14:textId="77777777" w:rsidR="00F17A0C" w:rsidRPr="00CE4C3C" w:rsidRDefault="00F17A0C" w:rsidP="00CE4C3C">
      <w:pPr>
        <w:tabs>
          <w:tab w:val="left" w:pos="567"/>
        </w:tabs>
        <w:spacing w:line="240" w:lineRule="auto"/>
        <w:rPr>
          <w:rFonts w:ascii="Times New Roman" w:eastAsia="Times New Roman" w:hAnsi="Times New Roman" w:cs="Times New Roman"/>
          <w:highlight w:val="yellow"/>
          <w:lang w:eastAsia="lt-LT" w:bidi="lt-LT"/>
        </w:rPr>
      </w:pPr>
    </w:p>
    <w:p w14:paraId="4513AFB4" w14:textId="77777777" w:rsidR="00F17A0C" w:rsidRPr="00CE4C3C" w:rsidRDefault="00F17A0C" w:rsidP="00CE4C3C">
      <w:pPr>
        <w:tabs>
          <w:tab w:val="left" w:pos="567"/>
        </w:tabs>
        <w:spacing w:line="240" w:lineRule="auto"/>
        <w:rPr>
          <w:rFonts w:ascii="Times New Roman" w:eastAsia="Times New Roman" w:hAnsi="Times New Roman" w:cs="Times New Roman"/>
          <w:b/>
          <w:lang w:eastAsia="lt-LT"/>
        </w:rPr>
      </w:pPr>
      <w:r w:rsidRPr="00CE4C3C">
        <w:rPr>
          <w:rFonts w:ascii="Times New Roman" w:eastAsia="Times New Roman" w:hAnsi="Times New Roman" w:cs="Times New Roman"/>
          <w:b/>
          <w:lang w:eastAsia="lt-LT" w:bidi="lt-LT"/>
        </w:rPr>
        <w:t>6.2</w:t>
      </w:r>
      <w:r w:rsidRPr="00CE4C3C">
        <w:rPr>
          <w:rFonts w:ascii="Times New Roman" w:eastAsia="Times New Roman" w:hAnsi="Times New Roman" w:cs="Times New Roman"/>
          <w:b/>
          <w:lang w:eastAsia="lt-LT" w:bidi="lt-LT"/>
        </w:rPr>
        <w:tab/>
        <w:t>Nesuderinamumas</w:t>
      </w:r>
    </w:p>
    <w:p w14:paraId="1F48731F" w14:textId="77777777" w:rsidR="00F17A0C" w:rsidRPr="00CE4C3C" w:rsidRDefault="00F17A0C" w:rsidP="00CE4C3C">
      <w:pPr>
        <w:keepNext/>
        <w:tabs>
          <w:tab w:val="left" w:pos="567"/>
        </w:tabs>
        <w:spacing w:line="240" w:lineRule="auto"/>
        <w:rPr>
          <w:rFonts w:ascii="Times New Roman" w:eastAsia="Times New Roman" w:hAnsi="Times New Roman" w:cs="Times New Roman"/>
          <w:lang w:eastAsia="lt-LT" w:bidi="lt-LT"/>
        </w:rPr>
      </w:pPr>
    </w:p>
    <w:p w14:paraId="397520DD"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Duomenys nebūtini.</w:t>
      </w:r>
    </w:p>
    <w:p w14:paraId="5D7A856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405C35A1" w14:textId="77777777" w:rsidR="00F17A0C" w:rsidRPr="00CE4C3C" w:rsidRDefault="00F17A0C" w:rsidP="00CE4C3C">
      <w:pPr>
        <w:keepNext/>
        <w:spacing w:line="240" w:lineRule="auto"/>
        <w:ind w:left="567" w:hanging="567"/>
        <w:outlineLvl w:val="0"/>
        <w:rPr>
          <w:rFonts w:ascii="Times New Roman" w:eastAsia="Times New Roman" w:hAnsi="Times New Roman" w:cs="Times New Roman"/>
          <w:lang w:eastAsia="lt-LT" w:bidi="lt-LT"/>
        </w:rPr>
      </w:pPr>
      <w:r w:rsidRPr="00CE4C3C">
        <w:rPr>
          <w:rFonts w:ascii="Times New Roman" w:eastAsia="Times New Roman" w:hAnsi="Times New Roman" w:cs="Times New Roman"/>
          <w:b/>
          <w:lang w:eastAsia="lt-LT" w:bidi="lt-LT"/>
        </w:rPr>
        <w:t>6.3</w:t>
      </w:r>
      <w:r w:rsidRPr="00CE4C3C">
        <w:rPr>
          <w:rFonts w:ascii="Times New Roman" w:eastAsia="Times New Roman" w:hAnsi="Times New Roman" w:cs="Times New Roman"/>
          <w:b/>
          <w:lang w:eastAsia="lt-LT" w:bidi="lt-LT"/>
        </w:rPr>
        <w:tab/>
        <w:t>Tinkamumo laikas</w:t>
      </w:r>
    </w:p>
    <w:p w14:paraId="2C823556" w14:textId="77777777" w:rsidR="00F17A0C" w:rsidRPr="00CE4C3C" w:rsidRDefault="00F17A0C" w:rsidP="00CE4C3C">
      <w:pPr>
        <w:keepNext/>
        <w:tabs>
          <w:tab w:val="left" w:pos="567"/>
        </w:tabs>
        <w:spacing w:line="240" w:lineRule="auto"/>
        <w:rPr>
          <w:rFonts w:ascii="Times New Roman" w:eastAsia="Times New Roman" w:hAnsi="Times New Roman" w:cs="Times New Roman"/>
          <w:lang w:eastAsia="lt-LT" w:bidi="lt-LT"/>
        </w:rPr>
      </w:pPr>
    </w:p>
    <w:p w14:paraId="1A44E189" w14:textId="098FD28E"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3 m</w:t>
      </w:r>
      <w:r w:rsidR="00BD4F90">
        <w:rPr>
          <w:rFonts w:ascii="Times New Roman" w:eastAsia="Times New Roman" w:hAnsi="Times New Roman" w:cs="Times New Roman"/>
          <w:lang w:eastAsia="lt-LT" w:bidi="lt-LT"/>
        </w:rPr>
        <w:t>etai</w:t>
      </w:r>
    </w:p>
    <w:p w14:paraId="5F8D0E93"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4174F405" w14:textId="77777777" w:rsidR="00F17A0C" w:rsidRPr="00CE4C3C" w:rsidRDefault="00F17A0C" w:rsidP="00CE4C3C">
      <w:pPr>
        <w:keepNext/>
        <w:spacing w:line="240" w:lineRule="auto"/>
        <w:ind w:left="567" w:hanging="567"/>
        <w:outlineLvl w:val="0"/>
        <w:rPr>
          <w:rFonts w:ascii="Times New Roman" w:eastAsia="Times New Roman" w:hAnsi="Times New Roman" w:cs="Times New Roman"/>
          <w:b/>
          <w:lang w:eastAsia="lt-LT" w:bidi="lt-LT"/>
        </w:rPr>
      </w:pPr>
      <w:r w:rsidRPr="00CE4C3C">
        <w:rPr>
          <w:rFonts w:ascii="Times New Roman" w:eastAsia="Times New Roman" w:hAnsi="Times New Roman" w:cs="Times New Roman"/>
          <w:b/>
          <w:lang w:eastAsia="lt-LT" w:bidi="lt-LT"/>
        </w:rPr>
        <w:t>6.4</w:t>
      </w:r>
      <w:r w:rsidRPr="00CE4C3C">
        <w:rPr>
          <w:rFonts w:ascii="Times New Roman" w:eastAsia="Times New Roman" w:hAnsi="Times New Roman" w:cs="Times New Roman"/>
          <w:b/>
          <w:lang w:eastAsia="lt-LT" w:bidi="lt-LT"/>
        </w:rPr>
        <w:tab/>
        <w:t>Specialios laikymo sąlygos</w:t>
      </w:r>
    </w:p>
    <w:p w14:paraId="3EC23CC2" w14:textId="77777777" w:rsidR="00F17A0C" w:rsidRPr="00CE4C3C" w:rsidRDefault="00F17A0C" w:rsidP="00CE4C3C">
      <w:pPr>
        <w:keepNext/>
        <w:tabs>
          <w:tab w:val="left" w:pos="567"/>
        </w:tabs>
        <w:spacing w:line="240" w:lineRule="auto"/>
        <w:ind w:left="567" w:hanging="567"/>
        <w:outlineLvl w:val="0"/>
        <w:rPr>
          <w:rFonts w:ascii="Times New Roman" w:eastAsia="Times New Roman" w:hAnsi="Times New Roman" w:cs="Times New Roman"/>
          <w:lang w:eastAsia="lt-LT" w:bidi="lt-LT"/>
        </w:rPr>
      </w:pPr>
    </w:p>
    <w:p w14:paraId="3CA1A941"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Šiam vaistiniam preparatui specialių laikymo sąlygų nereikia.</w:t>
      </w:r>
    </w:p>
    <w:p w14:paraId="20E70718"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5A07ED72" w14:textId="77777777" w:rsidR="00F17A0C" w:rsidRPr="00CE4C3C" w:rsidRDefault="00F17A0C" w:rsidP="00CE4C3C">
      <w:pPr>
        <w:keepNext/>
        <w:spacing w:line="240" w:lineRule="auto"/>
        <w:ind w:left="567" w:hanging="567"/>
        <w:outlineLvl w:val="0"/>
        <w:rPr>
          <w:rFonts w:ascii="Times New Roman" w:eastAsia="Times New Roman" w:hAnsi="Times New Roman" w:cs="Times New Roman"/>
          <w:b/>
          <w:lang w:eastAsia="lt-LT" w:bidi="lt-LT"/>
        </w:rPr>
      </w:pPr>
      <w:r w:rsidRPr="00CE4C3C">
        <w:rPr>
          <w:rFonts w:ascii="Times New Roman" w:eastAsia="Times New Roman" w:hAnsi="Times New Roman" w:cs="Times New Roman"/>
          <w:b/>
          <w:lang w:eastAsia="lt-LT" w:bidi="lt-LT"/>
        </w:rPr>
        <w:t>6.5</w:t>
      </w:r>
      <w:r w:rsidRPr="00CE4C3C">
        <w:rPr>
          <w:rFonts w:ascii="Times New Roman" w:eastAsia="Times New Roman" w:hAnsi="Times New Roman" w:cs="Times New Roman"/>
          <w:b/>
          <w:lang w:eastAsia="lt-LT" w:bidi="lt-LT"/>
        </w:rPr>
        <w:tab/>
        <w:t xml:space="preserve">Talpyklės pobūdis ir jos turinys  </w:t>
      </w:r>
    </w:p>
    <w:p w14:paraId="7D2D246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47DB46A9" w14:textId="77777777" w:rsidR="00E56994" w:rsidRPr="00CE4C3C" w:rsidRDefault="00E56994" w:rsidP="00CE4C3C">
      <w:pPr>
        <w:spacing w:line="240" w:lineRule="auto"/>
        <w:rPr>
          <w:rFonts w:ascii="Times New Roman" w:hAnsi="Times New Roman" w:cs="Times New Roman"/>
          <w:lang w:eastAsia="lt-LT" w:bidi="lt-LT"/>
        </w:rPr>
      </w:pPr>
      <w:r w:rsidRPr="00CE4C3C">
        <w:rPr>
          <w:rFonts w:ascii="Times New Roman" w:hAnsi="Times New Roman" w:cs="Times New Roman"/>
          <w:lang w:eastAsia="lt-LT" w:bidi="lt-LT"/>
        </w:rPr>
        <w:t xml:space="preserve">Kartono dėžutė, kurioje </w:t>
      </w:r>
      <w:r w:rsidR="001F043F" w:rsidRPr="00CE4C3C">
        <w:rPr>
          <w:rFonts w:ascii="Times New Roman" w:hAnsi="Times New Roman" w:cs="Times New Roman"/>
          <w:lang w:eastAsia="lt-LT" w:bidi="lt-LT"/>
        </w:rPr>
        <w:t>PVC/</w:t>
      </w:r>
      <w:proofErr w:type="spellStart"/>
      <w:r w:rsidR="001F043F" w:rsidRPr="00CE4C3C">
        <w:rPr>
          <w:rFonts w:ascii="Times New Roman" w:hAnsi="Times New Roman" w:cs="Times New Roman"/>
          <w:lang w:eastAsia="lt-LT" w:bidi="lt-LT"/>
        </w:rPr>
        <w:t>Aclar</w:t>
      </w:r>
      <w:proofErr w:type="spellEnd"/>
      <w:r w:rsidR="001F043F" w:rsidRPr="00CE4C3C">
        <w:rPr>
          <w:rFonts w:ascii="Times New Roman" w:hAnsi="Times New Roman" w:cs="Times New Roman"/>
          <w:lang w:eastAsia="lt-LT" w:bidi="lt-LT"/>
        </w:rPr>
        <w:t>//aliuminio lizdinė</w:t>
      </w:r>
      <w:r w:rsidRPr="00CE4C3C">
        <w:rPr>
          <w:rFonts w:ascii="Times New Roman" w:hAnsi="Times New Roman" w:cs="Times New Roman"/>
          <w:lang w:eastAsia="lt-LT" w:bidi="lt-LT"/>
        </w:rPr>
        <w:t>s</w:t>
      </w:r>
      <w:r w:rsidR="001F043F" w:rsidRPr="00CE4C3C">
        <w:rPr>
          <w:rFonts w:ascii="Times New Roman" w:hAnsi="Times New Roman" w:cs="Times New Roman"/>
          <w:lang w:eastAsia="lt-LT" w:bidi="lt-LT"/>
        </w:rPr>
        <w:t>e plokštelė</w:t>
      </w:r>
      <w:r w:rsidRPr="00CE4C3C">
        <w:rPr>
          <w:rFonts w:ascii="Times New Roman" w:hAnsi="Times New Roman" w:cs="Times New Roman"/>
          <w:lang w:eastAsia="lt-LT" w:bidi="lt-LT"/>
        </w:rPr>
        <w:t>s</w:t>
      </w:r>
      <w:r w:rsidR="001F043F" w:rsidRPr="00CE4C3C">
        <w:rPr>
          <w:rFonts w:ascii="Times New Roman" w:hAnsi="Times New Roman" w:cs="Times New Roman"/>
          <w:lang w:eastAsia="lt-LT" w:bidi="lt-LT"/>
        </w:rPr>
        <w:t>e yra 28 </w:t>
      </w:r>
      <w:r w:rsidR="00F03340">
        <w:rPr>
          <w:rFonts w:ascii="Times New Roman" w:hAnsi="Times New Roman" w:cs="Times New Roman"/>
          <w:lang w:eastAsia="lt-LT" w:bidi="lt-LT"/>
        </w:rPr>
        <w:t xml:space="preserve">kietosios </w:t>
      </w:r>
      <w:r w:rsidR="001F043F" w:rsidRPr="00CE4C3C">
        <w:rPr>
          <w:rFonts w:ascii="Times New Roman" w:hAnsi="Times New Roman" w:cs="Times New Roman"/>
          <w:lang w:eastAsia="lt-LT" w:bidi="lt-LT"/>
        </w:rPr>
        <w:t>kapsulės</w:t>
      </w:r>
      <w:r w:rsidRPr="00CE4C3C">
        <w:rPr>
          <w:rFonts w:ascii="Times New Roman" w:hAnsi="Times New Roman" w:cs="Times New Roman"/>
          <w:lang w:eastAsia="lt-LT" w:bidi="lt-LT"/>
        </w:rPr>
        <w:t>.</w:t>
      </w:r>
    </w:p>
    <w:p w14:paraId="42328BF3" w14:textId="5E7D9633" w:rsidR="001F043F" w:rsidRPr="00CE4C3C" w:rsidRDefault="00E56994" w:rsidP="00CE4C3C">
      <w:pPr>
        <w:spacing w:line="240" w:lineRule="auto"/>
        <w:rPr>
          <w:rFonts w:ascii="Times New Roman" w:hAnsi="Times New Roman" w:cs="Times New Roman"/>
          <w:lang w:eastAsia="lt-LT" w:bidi="lt-LT"/>
        </w:rPr>
      </w:pPr>
      <w:r w:rsidRPr="00CE4C3C">
        <w:rPr>
          <w:rFonts w:ascii="Times New Roman" w:hAnsi="Times New Roman" w:cs="Times New Roman"/>
          <w:lang w:eastAsia="lt-LT" w:bidi="lt-LT"/>
        </w:rPr>
        <w:t xml:space="preserve">Kartono dėžutė, kurioje </w:t>
      </w:r>
      <w:r w:rsidRPr="00CE4C3C">
        <w:rPr>
          <w:rFonts w:ascii="Times New Roman" w:hAnsi="Times New Roman" w:cs="Times New Roman"/>
          <w:lang w:bidi="lt-LT"/>
        </w:rPr>
        <w:t xml:space="preserve">didelio tankio polietileno </w:t>
      </w:r>
      <w:r w:rsidRPr="00CE4C3C">
        <w:rPr>
          <w:rFonts w:ascii="Times New Roman" w:hAnsi="Times New Roman" w:cs="Times New Roman"/>
          <w:lang w:eastAsia="lt-LT" w:bidi="lt-LT"/>
        </w:rPr>
        <w:t xml:space="preserve">(DTPE) </w:t>
      </w:r>
      <w:r w:rsidR="001F043F" w:rsidRPr="00CE4C3C">
        <w:rPr>
          <w:rFonts w:ascii="Times New Roman" w:hAnsi="Times New Roman" w:cs="Times New Roman"/>
          <w:lang w:eastAsia="lt-LT" w:bidi="lt-LT"/>
        </w:rPr>
        <w:t>buteliuk</w:t>
      </w:r>
      <w:r w:rsidRPr="00CE4C3C">
        <w:rPr>
          <w:rFonts w:ascii="Times New Roman" w:hAnsi="Times New Roman" w:cs="Times New Roman"/>
          <w:lang w:eastAsia="lt-LT" w:bidi="lt-LT"/>
        </w:rPr>
        <w:t>uose</w:t>
      </w:r>
      <w:r w:rsidR="001F043F" w:rsidRPr="00CE4C3C">
        <w:rPr>
          <w:rFonts w:ascii="Times New Roman" w:hAnsi="Times New Roman" w:cs="Times New Roman"/>
          <w:lang w:eastAsia="lt-LT" w:bidi="lt-LT"/>
        </w:rPr>
        <w:t xml:space="preserve"> su vaikų sunkiai atidaromu balto polipropileno (PP) dangteliu</w:t>
      </w:r>
      <w:r w:rsidRPr="00CE4C3C">
        <w:rPr>
          <w:rFonts w:ascii="Times New Roman" w:hAnsi="Times New Roman" w:cs="Times New Roman"/>
          <w:lang w:eastAsia="lt-LT" w:bidi="lt-LT"/>
        </w:rPr>
        <w:t xml:space="preserve"> yra 30 kietųjų kapsulių.</w:t>
      </w:r>
    </w:p>
    <w:p w14:paraId="282FB8DA" w14:textId="77777777" w:rsidR="00F17A0C" w:rsidRPr="00CE4C3C" w:rsidRDefault="00F17A0C" w:rsidP="00CE4C3C">
      <w:pPr>
        <w:tabs>
          <w:tab w:val="left" w:pos="567"/>
        </w:tabs>
        <w:spacing w:line="240" w:lineRule="auto"/>
        <w:rPr>
          <w:rFonts w:ascii="Times New Roman" w:eastAsia="Times New Roman" w:hAnsi="Times New Roman" w:cs="Times New Roman"/>
          <w:i/>
          <w:iCs/>
          <w:u w:val="single"/>
          <w:lang w:eastAsia="lt-LT"/>
        </w:rPr>
      </w:pPr>
    </w:p>
    <w:p w14:paraId="49D3594A"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Gali būti tiekiamos ne visų dydžių pakuotės.</w:t>
      </w:r>
    </w:p>
    <w:p w14:paraId="4C153A68"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656E8F68" w14:textId="77777777" w:rsidR="00F17A0C" w:rsidRPr="00CE4C3C" w:rsidRDefault="00F17A0C" w:rsidP="00CE4C3C">
      <w:pPr>
        <w:keepNext/>
        <w:spacing w:line="240" w:lineRule="auto"/>
        <w:ind w:left="567" w:hanging="567"/>
        <w:outlineLvl w:val="0"/>
        <w:rPr>
          <w:rFonts w:ascii="Times New Roman" w:eastAsia="Times New Roman" w:hAnsi="Times New Roman" w:cs="Times New Roman"/>
          <w:lang w:eastAsia="lt-LT" w:bidi="lt-LT"/>
        </w:rPr>
      </w:pPr>
      <w:r w:rsidRPr="00CE4C3C">
        <w:rPr>
          <w:rFonts w:ascii="Times New Roman" w:eastAsia="Times New Roman" w:hAnsi="Times New Roman" w:cs="Times New Roman"/>
          <w:b/>
          <w:lang w:eastAsia="lt-LT" w:bidi="lt-LT"/>
        </w:rPr>
        <w:t>6.6</w:t>
      </w:r>
      <w:r w:rsidRPr="00CE4C3C">
        <w:rPr>
          <w:rFonts w:ascii="Times New Roman" w:eastAsia="Times New Roman" w:hAnsi="Times New Roman" w:cs="Times New Roman"/>
          <w:b/>
          <w:lang w:eastAsia="lt-LT" w:bidi="lt-LT"/>
        </w:rPr>
        <w:tab/>
        <w:t xml:space="preserve">Specialūs reikalavimai atliekoms tvarkyti </w:t>
      </w:r>
    </w:p>
    <w:p w14:paraId="5D806AA3" w14:textId="77777777" w:rsidR="00F17A0C" w:rsidRPr="00CE4C3C" w:rsidRDefault="00F17A0C" w:rsidP="00CE4C3C">
      <w:pPr>
        <w:keepNext/>
        <w:tabs>
          <w:tab w:val="left" w:pos="567"/>
        </w:tabs>
        <w:spacing w:line="240" w:lineRule="auto"/>
        <w:rPr>
          <w:rFonts w:ascii="Times New Roman" w:eastAsia="Times New Roman" w:hAnsi="Times New Roman" w:cs="Times New Roman"/>
          <w:lang w:eastAsia="lt-LT" w:bidi="lt-LT"/>
        </w:rPr>
      </w:pPr>
    </w:p>
    <w:p w14:paraId="2287D199"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r w:rsidRPr="00CE4C3C">
        <w:rPr>
          <w:rFonts w:ascii="Times New Roman" w:eastAsia="Times New Roman" w:hAnsi="Times New Roman" w:cs="Times New Roman"/>
          <w:lang w:eastAsia="lt-LT" w:bidi="lt-LT"/>
        </w:rPr>
        <w:t>Nesuvartotą vaistinį preparatą ar atliekas reikia tvarkyti laikantis vietinių reikalavimų.</w:t>
      </w:r>
    </w:p>
    <w:p w14:paraId="4F80A104"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14ADE668"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6E6CCFFD" w14:textId="77777777" w:rsidR="00F17A0C" w:rsidRPr="00CE4C3C" w:rsidRDefault="00F17A0C" w:rsidP="00CE4C3C">
      <w:pPr>
        <w:keepNext/>
        <w:spacing w:line="240" w:lineRule="auto"/>
        <w:ind w:left="567" w:hanging="567"/>
        <w:rPr>
          <w:rFonts w:ascii="Times New Roman" w:eastAsia="Times New Roman" w:hAnsi="Times New Roman" w:cs="Times New Roman"/>
          <w:lang w:eastAsia="lt-LT" w:bidi="lt-LT"/>
        </w:rPr>
      </w:pPr>
      <w:r w:rsidRPr="00CE4C3C">
        <w:rPr>
          <w:rFonts w:ascii="Times New Roman" w:eastAsia="Times New Roman" w:hAnsi="Times New Roman" w:cs="Times New Roman"/>
          <w:b/>
          <w:lang w:eastAsia="lt-LT" w:bidi="lt-LT"/>
        </w:rPr>
        <w:t>7.</w:t>
      </w:r>
      <w:r w:rsidRPr="00CE4C3C">
        <w:rPr>
          <w:rFonts w:ascii="Times New Roman" w:eastAsia="Times New Roman" w:hAnsi="Times New Roman" w:cs="Times New Roman"/>
          <w:b/>
          <w:lang w:eastAsia="lt-LT" w:bidi="lt-LT"/>
        </w:rPr>
        <w:tab/>
        <w:t>REGISTRUOTOJAS</w:t>
      </w:r>
    </w:p>
    <w:p w14:paraId="5F73FD31" w14:textId="77777777" w:rsidR="00364075" w:rsidRPr="00CE4C3C" w:rsidRDefault="00364075" w:rsidP="00CE4C3C">
      <w:pPr>
        <w:spacing w:line="240" w:lineRule="auto"/>
        <w:rPr>
          <w:rFonts w:ascii="Times New Roman" w:hAnsi="Times New Roman" w:cs="Times New Roman"/>
        </w:rPr>
      </w:pPr>
    </w:p>
    <w:p w14:paraId="7FC52A5F" w14:textId="77777777" w:rsidR="00364075" w:rsidRPr="00CE4C3C" w:rsidRDefault="00364075" w:rsidP="00CE4C3C">
      <w:pPr>
        <w:spacing w:line="240" w:lineRule="auto"/>
        <w:rPr>
          <w:rFonts w:ascii="Times New Roman" w:hAnsi="Times New Roman" w:cs="Times New Roman"/>
        </w:rPr>
      </w:pPr>
      <w:r w:rsidRPr="00CE4C3C">
        <w:rPr>
          <w:rFonts w:ascii="Times New Roman" w:hAnsi="Times New Roman" w:cs="Times New Roman"/>
        </w:rPr>
        <w:t>Egis Pharmaceuticals PLC</w:t>
      </w:r>
    </w:p>
    <w:p w14:paraId="366068AE" w14:textId="77777777" w:rsidR="00364075" w:rsidRDefault="00364075" w:rsidP="00CE4C3C">
      <w:pPr>
        <w:spacing w:line="240" w:lineRule="auto"/>
        <w:rPr>
          <w:rFonts w:ascii="Times New Roman" w:hAnsi="Times New Roman" w:cs="Times New Roman"/>
        </w:rPr>
      </w:pPr>
      <w:proofErr w:type="spellStart"/>
      <w:r w:rsidRPr="00CE4C3C">
        <w:rPr>
          <w:rFonts w:ascii="Times New Roman" w:hAnsi="Times New Roman" w:cs="Times New Roman"/>
        </w:rPr>
        <w:t>Keresztúri</w:t>
      </w:r>
      <w:proofErr w:type="spellEnd"/>
      <w:r w:rsidRPr="00CE4C3C">
        <w:rPr>
          <w:rFonts w:ascii="Times New Roman" w:hAnsi="Times New Roman" w:cs="Times New Roman"/>
        </w:rPr>
        <w:t xml:space="preserve"> </w:t>
      </w:r>
      <w:proofErr w:type="spellStart"/>
      <w:r w:rsidRPr="00CE4C3C">
        <w:rPr>
          <w:rFonts w:ascii="Times New Roman" w:hAnsi="Times New Roman" w:cs="Times New Roman"/>
        </w:rPr>
        <w:t>út</w:t>
      </w:r>
      <w:proofErr w:type="spellEnd"/>
      <w:r w:rsidRPr="00CE4C3C">
        <w:rPr>
          <w:rFonts w:ascii="Times New Roman" w:hAnsi="Times New Roman" w:cs="Times New Roman"/>
        </w:rPr>
        <w:t xml:space="preserve"> 30-38</w:t>
      </w:r>
    </w:p>
    <w:p w14:paraId="2B9CAB63" w14:textId="77777777" w:rsidR="00F03340" w:rsidRPr="00CE4C3C" w:rsidRDefault="004C374C" w:rsidP="00CE4C3C">
      <w:pPr>
        <w:spacing w:line="240" w:lineRule="auto"/>
        <w:rPr>
          <w:rFonts w:ascii="Times New Roman" w:hAnsi="Times New Roman" w:cs="Times New Roman"/>
        </w:rPr>
      </w:pPr>
      <w:r w:rsidRPr="004C374C">
        <w:rPr>
          <w:rFonts w:ascii="Times New Roman" w:hAnsi="Times New Roman" w:cs="Times New Roman"/>
        </w:rPr>
        <w:t xml:space="preserve">1106 </w:t>
      </w:r>
      <w:proofErr w:type="spellStart"/>
      <w:r w:rsidRPr="004C374C">
        <w:rPr>
          <w:rFonts w:ascii="Times New Roman" w:hAnsi="Times New Roman" w:cs="Times New Roman"/>
        </w:rPr>
        <w:t>Budapest</w:t>
      </w:r>
      <w:proofErr w:type="spellEnd"/>
    </w:p>
    <w:p w14:paraId="3467B614" w14:textId="77777777" w:rsidR="00364075" w:rsidRPr="00CE4C3C" w:rsidRDefault="00364075" w:rsidP="00CE4C3C">
      <w:pPr>
        <w:spacing w:line="240" w:lineRule="auto"/>
        <w:rPr>
          <w:rFonts w:ascii="Times New Roman" w:hAnsi="Times New Roman" w:cs="Times New Roman"/>
        </w:rPr>
      </w:pPr>
      <w:r w:rsidRPr="00CE4C3C">
        <w:rPr>
          <w:rFonts w:ascii="Times New Roman" w:hAnsi="Times New Roman" w:cs="Times New Roman"/>
        </w:rPr>
        <w:t>Vengrija</w:t>
      </w:r>
    </w:p>
    <w:p w14:paraId="09C0F130" w14:textId="77777777" w:rsidR="00F17A0C" w:rsidRPr="00CE4C3C" w:rsidRDefault="00F17A0C" w:rsidP="00CE4C3C">
      <w:pPr>
        <w:keepNext/>
        <w:tabs>
          <w:tab w:val="left" w:pos="567"/>
        </w:tabs>
        <w:spacing w:line="240" w:lineRule="auto"/>
        <w:rPr>
          <w:rFonts w:ascii="Times New Roman" w:eastAsia="Times New Roman" w:hAnsi="Times New Roman" w:cs="Times New Roman"/>
          <w:lang w:eastAsia="lt-LT" w:bidi="lt-LT"/>
        </w:rPr>
      </w:pPr>
    </w:p>
    <w:p w14:paraId="49F182B2"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512FD2B6" w14:textId="77777777" w:rsidR="00F17A0C" w:rsidRPr="00CE4C3C" w:rsidRDefault="00F17A0C" w:rsidP="00CE4C3C">
      <w:pPr>
        <w:keepNext/>
        <w:spacing w:line="240" w:lineRule="auto"/>
        <w:ind w:left="567" w:hanging="567"/>
        <w:rPr>
          <w:rFonts w:ascii="Times New Roman" w:eastAsia="Times New Roman" w:hAnsi="Times New Roman" w:cs="Times New Roman"/>
          <w:b/>
          <w:lang w:eastAsia="lt-LT" w:bidi="lt-LT"/>
        </w:rPr>
      </w:pPr>
      <w:r w:rsidRPr="00CE4C3C">
        <w:rPr>
          <w:rFonts w:ascii="Times New Roman" w:eastAsia="Times New Roman" w:hAnsi="Times New Roman" w:cs="Times New Roman"/>
          <w:b/>
          <w:lang w:eastAsia="lt-LT" w:bidi="lt-LT"/>
        </w:rPr>
        <w:t>8.</w:t>
      </w:r>
      <w:r w:rsidRPr="00CE4C3C">
        <w:rPr>
          <w:rFonts w:ascii="Times New Roman" w:eastAsia="Times New Roman" w:hAnsi="Times New Roman" w:cs="Times New Roman"/>
          <w:b/>
          <w:lang w:eastAsia="lt-LT" w:bidi="lt-LT"/>
        </w:rPr>
        <w:tab/>
        <w:t xml:space="preserve">REGISTRACIJOS PAŽYMĖJIMO NUMERIS (-IAI) </w:t>
      </w:r>
    </w:p>
    <w:p w14:paraId="32B3671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F5E3E" w14:paraId="1D653CA4" w14:textId="77777777" w:rsidTr="000F5E3E">
        <w:tc>
          <w:tcPr>
            <w:tcW w:w="3005" w:type="dxa"/>
          </w:tcPr>
          <w:p w14:paraId="75B34E7A" w14:textId="77777777" w:rsidR="000F5E3E" w:rsidRPr="000F5E3E" w:rsidRDefault="000F5E3E" w:rsidP="000F5E3E">
            <w:pPr>
              <w:tabs>
                <w:tab w:val="left" w:pos="720"/>
              </w:tabs>
              <w:rPr>
                <w:rFonts w:ascii="Times New Roman" w:eastAsia="Times New Roman" w:hAnsi="Times New Roman"/>
                <w:u w:val="single"/>
                <w:lang w:eastAsia="lt-LT"/>
              </w:rPr>
            </w:pPr>
            <w:r w:rsidRPr="000F5E3E">
              <w:rPr>
                <w:rFonts w:ascii="Times New Roman" w:eastAsia="Times New Roman" w:hAnsi="Times New Roman"/>
                <w:u w:val="single"/>
                <w:lang w:eastAsia="lt-LT"/>
              </w:rPr>
              <w:t xml:space="preserve">12,5 mg </w:t>
            </w:r>
          </w:p>
          <w:p w14:paraId="12DE388E" w14:textId="467E8DF8" w:rsidR="000F5E3E" w:rsidRPr="000F5E3E" w:rsidRDefault="000F5E3E" w:rsidP="000F5E3E">
            <w:pPr>
              <w:tabs>
                <w:tab w:val="left" w:pos="720"/>
              </w:tabs>
              <w:rPr>
                <w:rFonts w:ascii="Times New Roman" w:eastAsia="Times New Roman" w:hAnsi="Times New Roman"/>
                <w:lang w:eastAsia="lt-LT"/>
              </w:rPr>
            </w:pPr>
            <w:r>
              <w:rPr>
                <w:rFonts w:ascii="Times New Roman" w:eastAsia="Times New Roman" w:hAnsi="Times New Roman"/>
                <w:lang w:eastAsia="lt-LT"/>
              </w:rPr>
              <w:t>l</w:t>
            </w:r>
            <w:r w:rsidRPr="000F5E3E">
              <w:rPr>
                <w:rFonts w:ascii="Times New Roman" w:eastAsia="Times New Roman" w:hAnsi="Times New Roman"/>
                <w:lang w:eastAsia="lt-LT"/>
              </w:rPr>
              <w:t xml:space="preserve">izdinė plokštelė </w:t>
            </w:r>
          </w:p>
          <w:p w14:paraId="722C4D5D" w14:textId="77777777" w:rsidR="000F5E3E" w:rsidRPr="000F5E3E" w:rsidRDefault="000F5E3E" w:rsidP="000F5E3E">
            <w:pPr>
              <w:tabs>
                <w:tab w:val="left" w:pos="720"/>
              </w:tabs>
              <w:rPr>
                <w:rFonts w:ascii="Times New Roman" w:eastAsia="Times New Roman" w:hAnsi="Times New Roman"/>
                <w:lang w:eastAsia="lt-LT"/>
              </w:rPr>
            </w:pPr>
            <w:r w:rsidRPr="000F5E3E">
              <w:rPr>
                <w:rFonts w:ascii="Times New Roman" w:eastAsia="Times New Roman" w:hAnsi="Times New Roman"/>
                <w:lang w:eastAsia="lt-LT"/>
              </w:rPr>
              <w:t xml:space="preserve">LT/1/21/4737/001 – N28 </w:t>
            </w:r>
          </w:p>
          <w:p w14:paraId="28A0E851" w14:textId="1CA1D7E4" w:rsidR="000F5E3E" w:rsidRPr="000F5E3E" w:rsidRDefault="000F5E3E" w:rsidP="000F5E3E">
            <w:pPr>
              <w:tabs>
                <w:tab w:val="left" w:pos="720"/>
              </w:tabs>
              <w:rPr>
                <w:rFonts w:ascii="Times New Roman" w:eastAsia="Times New Roman" w:hAnsi="Times New Roman"/>
                <w:lang w:eastAsia="lt-LT"/>
              </w:rPr>
            </w:pPr>
            <w:r>
              <w:rPr>
                <w:rFonts w:ascii="Times New Roman" w:eastAsia="Times New Roman" w:hAnsi="Times New Roman"/>
                <w:lang w:eastAsia="lt-LT"/>
              </w:rPr>
              <w:t>b</w:t>
            </w:r>
            <w:r w:rsidRPr="000F5E3E">
              <w:rPr>
                <w:rFonts w:ascii="Times New Roman" w:eastAsia="Times New Roman" w:hAnsi="Times New Roman"/>
                <w:lang w:eastAsia="lt-LT"/>
              </w:rPr>
              <w:t xml:space="preserve">uteliukas </w:t>
            </w:r>
          </w:p>
          <w:p w14:paraId="10C3BC4A" w14:textId="26C1B6E9" w:rsidR="000F5E3E" w:rsidRDefault="000F5E3E" w:rsidP="000F5E3E">
            <w:pPr>
              <w:tabs>
                <w:tab w:val="left" w:pos="720"/>
              </w:tabs>
              <w:rPr>
                <w:rFonts w:ascii="Times New Roman" w:eastAsia="Times New Roman" w:hAnsi="Times New Roman"/>
                <w:lang w:eastAsia="lt-LT"/>
              </w:rPr>
            </w:pPr>
            <w:r w:rsidRPr="000F5E3E">
              <w:rPr>
                <w:rFonts w:ascii="Times New Roman" w:eastAsia="Times New Roman" w:hAnsi="Times New Roman"/>
                <w:lang w:eastAsia="lt-LT"/>
              </w:rPr>
              <w:t xml:space="preserve">LT/1/21/4737/002 – N30 </w:t>
            </w:r>
          </w:p>
        </w:tc>
        <w:tc>
          <w:tcPr>
            <w:tcW w:w="3005" w:type="dxa"/>
          </w:tcPr>
          <w:p w14:paraId="012CE572" w14:textId="77777777" w:rsidR="000F5E3E" w:rsidRPr="000F5E3E" w:rsidRDefault="000F5E3E" w:rsidP="000F5E3E">
            <w:pPr>
              <w:tabs>
                <w:tab w:val="left" w:pos="720"/>
              </w:tabs>
              <w:rPr>
                <w:rFonts w:ascii="Times New Roman" w:eastAsia="Times New Roman" w:hAnsi="Times New Roman"/>
                <w:u w:val="single"/>
                <w:lang w:eastAsia="lt-LT"/>
              </w:rPr>
            </w:pPr>
            <w:r w:rsidRPr="000F5E3E">
              <w:rPr>
                <w:rFonts w:ascii="Times New Roman" w:eastAsia="Times New Roman" w:hAnsi="Times New Roman"/>
                <w:u w:val="single"/>
                <w:lang w:eastAsia="lt-LT"/>
              </w:rPr>
              <w:t>25 mg</w:t>
            </w:r>
          </w:p>
          <w:p w14:paraId="2D9A4DAF" w14:textId="0A51478F" w:rsidR="000F5E3E" w:rsidRPr="000F5E3E" w:rsidRDefault="000F5E3E" w:rsidP="000F5E3E">
            <w:pPr>
              <w:tabs>
                <w:tab w:val="left" w:pos="720"/>
              </w:tabs>
              <w:rPr>
                <w:rFonts w:ascii="Times New Roman" w:eastAsia="Times New Roman" w:hAnsi="Times New Roman"/>
                <w:lang w:eastAsia="lt-LT"/>
              </w:rPr>
            </w:pPr>
            <w:r>
              <w:rPr>
                <w:rFonts w:ascii="Times New Roman" w:eastAsia="Times New Roman" w:hAnsi="Times New Roman"/>
                <w:lang w:eastAsia="lt-LT"/>
              </w:rPr>
              <w:t>l</w:t>
            </w:r>
            <w:r w:rsidRPr="000F5E3E">
              <w:rPr>
                <w:rFonts w:ascii="Times New Roman" w:eastAsia="Times New Roman" w:hAnsi="Times New Roman"/>
                <w:lang w:eastAsia="lt-LT"/>
              </w:rPr>
              <w:t>izdinė plokštelė</w:t>
            </w:r>
          </w:p>
          <w:p w14:paraId="13A30F30" w14:textId="77777777" w:rsidR="000F5E3E" w:rsidRPr="000F5E3E" w:rsidRDefault="000F5E3E" w:rsidP="000F5E3E">
            <w:pPr>
              <w:tabs>
                <w:tab w:val="left" w:pos="720"/>
              </w:tabs>
              <w:rPr>
                <w:rFonts w:ascii="Times New Roman" w:eastAsia="Times New Roman" w:hAnsi="Times New Roman"/>
                <w:lang w:eastAsia="lt-LT"/>
              </w:rPr>
            </w:pPr>
            <w:r w:rsidRPr="000F5E3E">
              <w:rPr>
                <w:rFonts w:ascii="Times New Roman" w:eastAsia="Times New Roman" w:hAnsi="Times New Roman"/>
                <w:lang w:eastAsia="lt-LT"/>
              </w:rPr>
              <w:t>LT/1/21/4738/001 – N28</w:t>
            </w:r>
          </w:p>
          <w:p w14:paraId="718A6B64" w14:textId="6B32F304" w:rsidR="000F5E3E" w:rsidRPr="000F5E3E" w:rsidRDefault="000F5E3E" w:rsidP="000F5E3E">
            <w:pPr>
              <w:tabs>
                <w:tab w:val="left" w:pos="720"/>
              </w:tabs>
              <w:rPr>
                <w:rFonts w:ascii="Times New Roman" w:eastAsia="Times New Roman" w:hAnsi="Times New Roman"/>
                <w:lang w:eastAsia="lt-LT"/>
              </w:rPr>
            </w:pPr>
            <w:r>
              <w:rPr>
                <w:rFonts w:ascii="Times New Roman" w:eastAsia="Times New Roman" w:hAnsi="Times New Roman"/>
                <w:lang w:eastAsia="lt-LT"/>
              </w:rPr>
              <w:t>b</w:t>
            </w:r>
            <w:r w:rsidRPr="000F5E3E">
              <w:rPr>
                <w:rFonts w:ascii="Times New Roman" w:eastAsia="Times New Roman" w:hAnsi="Times New Roman"/>
                <w:lang w:eastAsia="lt-LT"/>
              </w:rPr>
              <w:t>uteliukas</w:t>
            </w:r>
          </w:p>
          <w:p w14:paraId="401B154F" w14:textId="6646DC0E" w:rsidR="000F5E3E" w:rsidRDefault="000F5E3E" w:rsidP="000F5E3E">
            <w:pPr>
              <w:tabs>
                <w:tab w:val="left" w:pos="720"/>
              </w:tabs>
              <w:rPr>
                <w:rFonts w:ascii="Times New Roman" w:eastAsia="Times New Roman" w:hAnsi="Times New Roman"/>
                <w:lang w:eastAsia="lt-LT"/>
              </w:rPr>
            </w:pPr>
            <w:r w:rsidRPr="000F5E3E">
              <w:rPr>
                <w:rFonts w:ascii="Times New Roman" w:eastAsia="Times New Roman" w:hAnsi="Times New Roman"/>
                <w:lang w:eastAsia="lt-LT"/>
              </w:rPr>
              <w:t>LT/1/21/4738/002 – N30</w:t>
            </w:r>
          </w:p>
        </w:tc>
        <w:tc>
          <w:tcPr>
            <w:tcW w:w="3006" w:type="dxa"/>
          </w:tcPr>
          <w:p w14:paraId="36F052E8" w14:textId="77777777" w:rsidR="000F5E3E" w:rsidRPr="000F5E3E" w:rsidRDefault="000F5E3E" w:rsidP="000F5E3E">
            <w:pPr>
              <w:tabs>
                <w:tab w:val="left" w:pos="720"/>
              </w:tabs>
              <w:rPr>
                <w:rFonts w:ascii="Times New Roman" w:eastAsia="Times New Roman" w:hAnsi="Times New Roman"/>
                <w:u w:val="single"/>
                <w:lang w:eastAsia="lt-LT"/>
              </w:rPr>
            </w:pPr>
            <w:r w:rsidRPr="000F5E3E">
              <w:rPr>
                <w:rFonts w:ascii="Times New Roman" w:eastAsia="Times New Roman" w:hAnsi="Times New Roman"/>
                <w:u w:val="single"/>
                <w:lang w:eastAsia="lt-LT"/>
              </w:rPr>
              <w:t>50 mg</w:t>
            </w:r>
          </w:p>
          <w:p w14:paraId="0BA2E865" w14:textId="41FE0AF0" w:rsidR="000F5E3E" w:rsidRPr="000F5E3E" w:rsidRDefault="000F5E3E" w:rsidP="000F5E3E">
            <w:pPr>
              <w:tabs>
                <w:tab w:val="left" w:pos="720"/>
              </w:tabs>
              <w:rPr>
                <w:rFonts w:ascii="Times New Roman" w:eastAsia="Times New Roman" w:hAnsi="Times New Roman"/>
                <w:lang w:eastAsia="lt-LT"/>
              </w:rPr>
            </w:pPr>
            <w:r>
              <w:rPr>
                <w:rFonts w:ascii="Times New Roman" w:eastAsia="Times New Roman" w:hAnsi="Times New Roman"/>
                <w:lang w:eastAsia="lt-LT"/>
              </w:rPr>
              <w:t>l</w:t>
            </w:r>
            <w:r w:rsidRPr="000F5E3E">
              <w:rPr>
                <w:rFonts w:ascii="Times New Roman" w:eastAsia="Times New Roman" w:hAnsi="Times New Roman"/>
                <w:lang w:eastAsia="lt-LT"/>
              </w:rPr>
              <w:t xml:space="preserve">izdinė plokštelė </w:t>
            </w:r>
          </w:p>
          <w:p w14:paraId="03BA2F68" w14:textId="77777777" w:rsidR="000F5E3E" w:rsidRPr="000F5E3E" w:rsidRDefault="000F5E3E" w:rsidP="000F5E3E">
            <w:pPr>
              <w:tabs>
                <w:tab w:val="left" w:pos="720"/>
              </w:tabs>
              <w:rPr>
                <w:rFonts w:ascii="Times New Roman" w:eastAsia="Times New Roman" w:hAnsi="Times New Roman"/>
                <w:lang w:eastAsia="lt-LT"/>
              </w:rPr>
            </w:pPr>
            <w:r w:rsidRPr="000F5E3E">
              <w:rPr>
                <w:rFonts w:ascii="Times New Roman" w:eastAsia="Times New Roman" w:hAnsi="Times New Roman"/>
                <w:lang w:eastAsia="lt-LT"/>
              </w:rPr>
              <w:t xml:space="preserve">LT/1/21/4739/001 – N28 </w:t>
            </w:r>
          </w:p>
          <w:p w14:paraId="18B94B8D" w14:textId="65C32C64" w:rsidR="000F5E3E" w:rsidRPr="000F5E3E" w:rsidRDefault="000F5E3E" w:rsidP="000F5E3E">
            <w:pPr>
              <w:tabs>
                <w:tab w:val="left" w:pos="720"/>
              </w:tabs>
              <w:rPr>
                <w:rFonts w:ascii="Times New Roman" w:eastAsia="Times New Roman" w:hAnsi="Times New Roman"/>
                <w:lang w:eastAsia="lt-LT"/>
              </w:rPr>
            </w:pPr>
            <w:r>
              <w:rPr>
                <w:rFonts w:ascii="Times New Roman" w:eastAsia="Times New Roman" w:hAnsi="Times New Roman"/>
                <w:lang w:eastAsia="lt-LT"/>
              </w:rPr>
              <w:t>b</w:t>
            </w:r>
            <w:r w:rsidRPr="000F5E3E">
              <w:rPr>
                <w:rFonts w:ascii="Times New Roman" w:eastAsia="Times New Roman" w:hAnsi="Times New Roman"/>
                <w:lang w:eastAsia="lt-LT"/>
              </w:rPr>
              <w:t xml:space="preserve">uteliukas </w:t>
            </w:r>
          </w:p>
          <w:p w14:paraId="6A0D5AE7" w14:textId="28627914" w:rsidR="000F5E3E" w:rsidRDefault="000F5E3E" w:rsidP="000F5E3E">
            <w:pPr>
              <w:tabs>
                <w:tab w:val="left" w:pos="720"/>
              </w:tabs>
              <w:rPr>
                <w:rFonts w:ascii="Times New Roman" w:eastAsia="Times New Roman" w:hAnsi="Times New Roman"/>
                <w:lang w:eastAsia="lt-LT"/>
              </w:rPr>
            </w:pPr>
            <w:r w:rsidRPr="000F5E3E">
              <w:rPr>
                <w:rFonts w:ascii="Times New Roman" w:eastAsia="Times New Roman" w:hAnsi="Times New Roman"/>
                <w:lang w:eastAsia="lt-LT"/>
              </w:rPr>
              <w:t xml:space="preserve">LT/1/21/4739/002 – N30 </w:t>
            </w:r>
          </w:p>
        </w:tc>
      </w:tr>
    </w:tbl>
    <w:p w14:paraId="1243E765" w14:textId="77777777" w:rsidR="003C09FC" w:rsidRDefault="003C09FC" w:rsidP="00CE4C3C">
      <w:pPr>
        <w:tabs>
          <w:tab w:val="left" w:pos="567"/>
        </w:tabs>
        <w:spacing w:line="240" w:lineRule="auto"/>
        <w:rPr>
          <w:rFonts w:ascii="Times New Roman" w:eastAsia="Times New Roman" w:hAnsi="Times New Roman" w:cs="Times New Roman"/>
          <w:lang w:eastAsia="lt-LT" w:bidi="lt-LT"/>
        </w:rPr>
      </w:pPr>
    </w:p>
    <w:p w14:paraId="5210CDAE" w14:textId="77777777" w:rsidR="003C09FC" w:rsidRPr="00CE4C3C" w:rsidRDefault="003C09FC" w:rsidP="00CE4C3C">
      <w:pPr>
        <w:tabs>
          <w:tab w:val="left" w:pos="567"/>
        </w:tabs>
        <w:spacing w:line="240" w:lineRule="auto"/>
        <w:rPr>
          <w:rFonts w:ascii="Times New Roman" w:eastAsia="Times New Roman" w:hAnsi="Times New Roman" w:cs="Times New Roman"/>
          <w:lang w:eastAsia="lt-LT" w:bidi="lt-LT"/>
        </w:rPr>
      </w:pPr>
    </w:p>
    <w:p w14:paraId="69AF6AB1" w14:textId="77777777" w:rsidR="00F17A0C" w:rsidRPr="00CE4C3C" w:rsidRDefault="00F17A0C" w:rsidP="00CE4C3C">
      <w:pPr>
        <w:keepNext/>
        <w:spacing w:line="240" w:lineRule="auto"/>
        <w:ind w:left="567" w:hanging="567"/>
        <w:rPr>
          <w:rFonts w:ascii="Times New Roman" w:eastAsia="Times New Roman" w:hAnsi="Times New Roman" w:cs="Times New Roman"/>
          <w:lang w:eastAsia="lt-LT" w:bidi="lt-LT"/>
        </w:rPr>
      </w:pPr>
      <w:r w:rsidRPr="00CE4C3C">
        <w:rPr>
          <w:rFonts w:ascii="Times New Roman" w:eastAsia="Times New Roman" w:hAnsi="Times New Roman" w:cs="Times New Roman"/>
          <w:b/>
          <w:lang w:eastAsia="lt-LT" w:bidi="lt-LT"/>
        </w:rPr>
        <w:t>9.</w:t>
      </w:r>
      <w:r w:rsidRPr="00CE4C3C">
        <w:rPr>
          <w:rFonts w:ascii="Times New Roman" w:eastAsia="Times New Roman" w:hAnsi="Times New Roman" w:cs="Times New Roman"/>
          <w:b/>
          <w:lang w:eastAsia="lt-LT" w:bidi="lt-LT"/>
        </w:rPr>
        <w:tab/>
        <w:t>REGISTRAVIMO / PERREGISTRAVIMO DATA</w:t>
      </w:r>
    </w:p>
    <w:p w14:paraId="099D0A61" w14:textId="77777777" w:rsidR="00F17A0C" w:rsidRPr="00CE4C3C" w:rsidRDefault="00F17A0C" w:rsidP="00CE4C3C">
      <w:pPr>
        <w:keepNext/>
        <w:tabs>
          <w:tab w:val="left" w:pos="567"/>
        </w:tabs>
        <w:spacing w:line="240" w:lineRule="auto"/>
        <w:rPr>
          <w:rFonts w:ascii="Times New Roman" w:eastAsia="Times New Roman" w:hAnsi="Times New Roman" w:cs="Times New Roman"/>
          <w:i/>
          <w:lang w:eastAsia="lt-LT" w:bidi="lt-LT"/>
        </w:rPr>
      </w:pPr>
    </w:p>
    <w:p w14:paraId="68A3EB4D" w14:textId="43CE779A" w:rsidR="00F17A0C" w:rsidRPr="00CE4C3C" w:rsidRDefault="00F17A0C" w:rsidP="00CE4C3C">
      <w:pPr>
        <w:tabs>
          <w:tab w:val="left" w:pos="720"/>
        </w:tabs>
        <w:spacing w:line="240" w:lineRule="auto"/>
        <w:rPr>
          <w:rFonts w:ascii="Times New Roman" w:eastAsia="Times New Roman" w:hAnsi="Times New Roman" w:cs="Times New Roman"/>
        </w:rPr>
      </w:pPr>
      <w:r w:rsidRPr="00CE4C3C">
        <w:rPr>
          <w:rFonts w:ascii="Times New Roman" w:eastAsia="Times New Roman" w:hAnsi="Times New Roman" w:cs="Times New Roman"/>
          <w:lang w:eastAsia="lt-LT"/>
        </w:rPr>
        <w:t xml:space="preserve">Registravimo data </w:t>
      </w:r>
      <w:r w:rsidR="000F5E3E">
        <w:rPr>
          <w:rFonts w:ascii="Times New Roman" w:hAnsi="Times New Roman" w:cs="Times New Roman"/>
          <w:noProof/>
          <w:snapToGrid w:val="0"/>
        </w:rPr>
        <w:t>2021 m. balandžio 29 d.</w:t>
      </w:r>
    </w:p>
    <w:p w14:paraId="7386CE6C"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15AA0331" w14:textId="77777777" w:rsidR="00F17A0C" w:rsidRPr="00CE4C3C" w:rsidRDefault="00F17A0C" w:rsidP="00CE4C3C">
      <w:pPr>
        <w:tabs>
          <w:tab w:val="left" w:pos="567"/>
        </w:tabs>
        <w:spacing w:line="240" w:lineRule="auto"/>
        <w:rPr>
          <w:rFonts w:ascii="Times New Roman" w:eastAsia="Times New Roman" w:hAnsi="Times New Roman" w:cs="Times New Roman"/>
          <w:lang w:eastAsia="lt-LT" w:bidi="lt-LT"/>
        </w:rPr>
      </w:pPr>
    </w:p>
    <w:p w14:paraId="36492F51" w14:textId="77777777" w:rsidR="00F17A0C" w:rsidRPr="00CE4C3C" w:rsidRDefault="00F17A0C" w:rsidP="00CE4C3C">
      <w:pPr>
        <w:keepNext/>
        <w:keepLines/>
        <w:spacing w:line="240" w:lineRule="auto"/>
        <w:ind w:left="567" w:hanging="567"/>
        <w:outlineLvl w:val="2"/>
        <w:rPr>
          <w:rFonts w:ascii="Times New Roman" w:eastAsia="Times New Roman" w:hAnsi="Times New Roman" w:cs="Times New Roman"/>
          <w:b/>
          <w:bCs/>
          <w:snapToGrid w:val="0"/>
          <w:lang w:eastAsia="lt-LT"/>
        </w:rPr>
      </w:pPr>
      <w:r w:rsidRPr="00CE4C3C">
        <w:rPr>
          <w:rFonts w:ascii="Times New Roman" w:eastAsia="Times New Roman" w:hAnsi="Times New Roman" w:cs="Times New Roman"/>
          <w:b/>
          <w:bCs/>
          <w:snapToGrid w:val="0"/>
          <w:lang w:eastAsia="lt-LT"/>
        </w:rPr>
        <w:lastRenderedPageBreak/>
        <w:t>10.</w:t>
      </w:r>
      <w:r w:rsidRPr="00CE4C3C">
        <w:rPr>
          <w:rFonts w:ascii="Times New Roman" w:eastAsia="Times New Roman" w:hAnsi="Times New Roman" w:cs="Times New Roman"/>
          <w:b/>
          <w:bCs/>
          <w:snapToGrid w:val="0"/>
          <w:lang w:eastAsia="lt-LT"/>
        </w:rPr>
        <w:tab/>
        <w:t>TEKSTO PERŽIŪROS DATA</w:t>
      </w:r>
    </w:p>
    <w:p w14:paraId="30A8F8F7" w14:textId="77777777" w:rsidR="00F17A0C" w:rsidRPr="00CE4C3C" w:rsidRDefault="00F17A0C" w:rsidP="00CE4C3C">
      <w:pPr>
        <w:keepNext/>
        <w:keepLines/>
        <w:spacing w:line="240" w:lineRule="auto"/>
        <w:ind w:left="567" w:hanging="567"/>
        <w:outlineLvl w:val="2"/>
        <w:rPr>
          <w:rFonts w:ascii="Times New Roman" w:eastAsia="Times New Roman" w:hAnsi="Times New Roman" w:cs="Times New Roman"/>
          <w:b/>
          <w:bCs/>
          <w:snapToGrid w:val="0"/>
          <w:lang w:eastAsia="lt-LT"/>
        </w:rPr>
      </w:pPr>
    </w:p>
    <w:p w14:paraId="5D63DA98" w14:textId="4FA7A7AA" w:rsidR="00F17A0C" w:rsidRDefault="00E25DC2" w:rsidP="00CE4C3C">
      <w:pPr>
        <w:tabs>
          <w:tab w:val="left" w:pos="5954"/>
          <w:tab w:val="left" w:pos="6237"/>
          <w:tab w:val="left" w:pos="6663"/>
          <w:tab w:val="left" w:pos="6946"/>
        </w:tabs>
        <w:spacing w:line="240" w:lineRule="auto"/>
        <w:rPr>
          <w:rFonts w:ascii="Times New Roman" w:eastAsia="SimSun" w:hAnsi="Times New Roman" w:cs="Times New Roman"/>
        </w:rPr>
      </w:pPr>
      <w:r>
        <w:rPr>
          <w:rFonts w:ascii="Times New Roman" w:hAnsi="Times New Roman" w:cs="Times New Roman"/>
          <w:noProof/>
          <w:snapToGrid w:val="0"/>
        </w:rPr>
        <w:t>2024 m. birželio 26 d.</w:t>
      </w:r>
    </w:p>
    <w:p w14:paraId="74863DDD" w14:textId="77777777" w:rsidR="003C09FC" w:rsidRPr="00CE4C3C" w:rsidRDefault="003C09FC" w:rsidP="00CE4C3C">
      <w:pPr>
        <w:tabs>
          <w:tab w:val="left" w:pos="5954"/>
          <w:tab w:val="left" w:pos="6237"/>
          <w:tab w:val="left" w:pos="6663"/>
          <w:tab w:val="left" w:pos="6946"/>
        </w:tabs>
        <w:spacing w:line="240" w:lineRule="auto"/>
        <w:rPr>
          <w:rFonts w:ascii="Times New Roman" w:eastAsia="SimSun" w:hAnsi="Times New Roman" w:cs="Times New Roman"/>
        </w:rPr>
      </w:pPr>
    </w:p>
    <w:p w14:paraId="5D004E74" w14:textId="335B0B74" w:rsidR="00F17A0C" w:rsidRPr="00CE4C3C" w:rsidRDefault="00F17A0C" w:rsidP="00CE4C3C">
      <w:pPr>
        <w:tabs>
          <w:tab w:val="left" w:pos="5954"/>
          <w:tab w:val="left" w:pos="6237"/>
          <w:tab w:val="left" w:pos="6663"/>
          <w:tab w:val="left" w:pos="6946"/>
        </w:tabs>
        <w:spacing w:line="240" w:lineRule="auto"/>
        <w:rPr>
          <w:rFonts w:ascii="Times New Roman" w:eastAsia="Times New Roman" w:hAnsi="Times New Roman" w:cs="Times New Roman"/>
          <w:lang w:eastAsia="lt-LT"/>
        </w:rPr>
      </w:pPr>
      <w:r w:rsidRPr="00CE4C3C">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CE4C3C">
        <w:rPr>
          <w:rFonts w:ascii="Times New Roman" w:eastAsia="SimSun" w:hAnsi="Times New Roman" w:cs="Times New Roman"/>
          <w:i/>
        </w:rPr>
        <w:t xml:space="preserve"> </w:t>
      </w:r>
      <w:r w:rsidR="00B8382B" w:rsidRPr="002D191C">
        <w:rPr>
          <w:rFonts w:ascii="Times New Roman" w:eastAsia="Calibri" w:hAnsi="Times New Roman" w:cs="Times New Roman"/>
          <w:color w:val="0000EE"/>
          <w:u w:val="single"/>
          <w:lang w:eastAsia="lt-LT"/>
        </w:rPr>
        <w:t>https://vvkt.lrv.lt/lt/.</w:t>
      </w:r>
    </w:p>
    <w:p w14:paraId="6FCEAC0D" w14:textId="77777777" w:rsidR="00667A41" w:rsidRPr="00CE4C3C" w:rsidRDefault="00667A41" w:rsidP="00CE4C3C">
      <w:pPr>
        <w:spacing w:line="240" w:lineRule="auto"/>
        <w:rPr>
          <w:rFonts w:ascii="Times New Roman" w:hAnsi="Times New Roman" w:cs="Times New Roman"/>
        </w:rPr>
      </w:pPr>
      <w:r w:rsidRPr="00CE4C3C">
        <w:rPr>
          <w:rFonts w:ascii="Times New Roman" w:hAnsi="Times New Roman" w:cs="Times New Roman"/>
        </w:rPr>
        <w:br w:type="page"/>
      </w:r>
    </w:p>
    <w:p w14:paraId="66AB6ED9"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59C86C0C"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78E5F3CE"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28C711CF"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7803024B"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267BFE1E"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7DD09CF0"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47218D70"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6D3BCB0A"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29E9382B"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731C9512"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2A8FD05F"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6A3997AA"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3E7C35B7"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3E2588F8"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4104639E"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606E6FD9"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07C5D4AB"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4B7C48C3"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7A0033DB"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74D262A6"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461F7184"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3F52AE7E" w14:textId="77777777" w:rsidR="0008555B" w:rsidRPr="00CE4C3C" w:rsidRDefault="0008555B" w:rsidP="00CE4C3C">
      <w:pPr>
        <w:tabs>
          <w:tab w:val="left" w:pos="567"/>
        </w:tabs>
        <w:spacing w:line="240" w:lineRule="auto"/>
        <w:jc w:val="center"/>
        <w:rPr>
          <w:rFonts w:ascii="Times New Roman" w:eastAsia="Times New Roman" w:hAnsi="Times New Roman" w:cs="Times New Roman"/>
          <w:b/>
          <w:snapToGrid w:val="0"/>
        </w:rPr>
      </w:pPr>
    </w:p>
    <w:p w14:paraId="61FCF3EF" w14:textId="77777777" w:rsidR="0008555B" w:rsidRPr="00CE4C3C" w:rsidRDefault="0008555B" w:rsidP="00CE4C3C">
      <w:pPr>
        <w:tabs>
          <w:tab w:val="left" w:pos="567"/>
        </w:tabs>
        <w:spacing w:line="240" w:lineRule="auto"/>
        <w:jc w:val="center"/>
        <w:rPr>
          <w:rFonts w:ascii="Times New Roman" w:eastAsia="Times New Roman" w:hAnsi="Times New Roman" w:cs="Times New Roman"/>
          <w:b/>
          <w:snapToGrid w:val="0"/>
        </w:rPr>
      </w:pPr>
      <w:r w:rsidRPr="00CE4C3C">
        <w:rPr>
          <w:rFonts w:ascii="Times New Roman" w:eastAsia="Times New Roman" w:hAnsi="Times New Roman" w:cs="Times New Roman"/>
          <w:b/>
          <w:snapToGrid w:val="0"/>
        </w:rPr>
        <w:t>II PRIEDAS</w:t>
      </w:r>
    </w:p>
    <w:p w14:paraId="402701B3" w14:textId="77777777" w:rsidR="0008555B" w:rsidRPr="00CE4C3C" w:rsidRDefault="0008555B" w:rsidP="00CE4C3C">
      <w:pPr>
        <w:tabs>
          <w:tab w:val="left" w:pos="567"/>
        </w:tabs>
        <w:spacing w:line="240" w:lineRule="auto"/>
        <w:ind w:left="1701" w:right="1416" w:hanging="567"/>
        <w:rPr>
          <w:rFonts w:ascii="Times New Roman" w:eastAsia="Times New Roman" w:hAnsi="Times New Roman" w:cs="Times New Roman"/>
          <w:snapToGrid w:val="0"/>
        </w:rPr>
      </w:pPr>
    </w:p>
    <w:p w14:paraId="3378FCC1" w14:textId="77777777" w:rsidR="0008555B" w:rsidRPr="00CE4C3C" w:rsidRDefault="0008555B" w:rsidP="00CE4C3C">
      <w:pPr>
        <w:tabs>
          <w:tab w:val="left" w:pos="567"/>
        </w:tabs>
        <w:spacing w:line="240" w:lineRule="auto"/>
        <w:jc w:val="center"/>
        <w:rPr>
          <w:rFonts w:ascii="Times New Roman" w:eastAsia="Times New Roman" w:hAnsi="Times New Roman" w:cs="Times New Roman"/>
          <w:i/>
          <w:snapToGrid w:val="0"/>
        </w:rPr>
      </w:pPr>
      <w:r w:rsidRPr="00CE4C3C">
        <w:rPr>
          <w:rFonts w:ascii="Times New Roman" w:eastAsia="Times New Roman" w:hAnsi="Times New Roman" w:cs="Times New Roman"/>
          <w:b/>
          <w:snapToGrid w:val="0"/>
        </w:rPr>
        <w:t>REGISTRACIJOS SĄLYGOS</w:t>
      </w:r>
    </w:p>
    <w:p w14:paraId="438551F4" w14:textId="77777777" w:rsidR="0008555B" w:rsidRPr="00CE4C3C" w:rsidRDefault="0008555B" w:rsidP="00CE4C3C">
      <w:pPr>
        <w:tabs>
          <w:tab w:val="left" w:pos="567"/>
        </w:tabs>
        <w:spacing w:line="240" w:lineRule="auto"/>
        <w:rPr>
          <w:rFonts w:ascii="Times New Roman" w:eastAsia="Times New Roman" w:hAnsi="Times New Roman" w:cs="Times New Roman"/>
          <w:snapToGrid w:val="0"/>
        </w:rPr>
      </w:pPr>
    </w:p>
    <w:p w14:paraId="6CA5CF4F" w14:textId="77777777" w:rsidR="0008555B" w:rsidRPr="00CE4C3C" w:rsidRDefault="0008555B" w:rsidP="00CE4C3C">
      <w:pPr>
        <w:tabs>
          <w:tab w:val="left" w:pos="1701"/>
        </w:tabs>
        <w:spacing w:line="240" w:lineRule="auto"/>
        <w:ind w:left="1701" w:right="567" w:hanging="567"/>
        <w:rPr>
          <w:rFonts w:ascii="Times New Roman" w:eastAsia="Times New Roman" w:hAnsi="Times New Roman" w:cs="Times New Roman"/>
          <w:b/>
          <w:snapToGrid w:val="0"/>
        </w:rPr>
      </w:pPr>
      <w:r w:rsidRPr="00CE4C3C">
        <w:rPr>
          <w:rFonts w:ascii="Times New Roman" w:eastAsia="Times New Roman" w:hAnsi="Times New Roman" w:cs="Times New Roman"/>
          <w:b/>
          <w:snapToGrid w:val="0"/>
        </w:rPr>
        <w:t>A.</w:t>
      </w:r>
      <w:r w:rsidRPr="00CE4C3C">
        <w:rPr>
          <w:rFonts w:ascii="Times New Roman" w:eastAsia="Times New Roman" w:hAnsi="Times New Roman" w:cs="Times New Roman"/>
          <w:b/>
          <w:snapToGrid w:val="0"/>
        </w:rPr>
        <w:tab/>
        <w:t>GAMINTOJAS (-AI), ATSAKINGAS (-I) UŽ SERIJŲ IŠLEIDIMĄ</w:t>
      </w:r>
    </w:p>
    <w:p w14:paraId="300F0974" w14:textId="77777777" w:rsidR="0008555B" w:rsidRPr="00CE4C3C" w:rsidRDefault="0008555B" w:rsidP="00CE4C3C">
      <w:pPr>
        <w:tabs>
          <w:tab w:val="left" w:pos="1701"/>
        </w:tabs>
        <w:spacing w:line="240" w:lineRule="auto"/>
        <w:ind w:left="567" w:right="567" w:hanging="567"/>
        <w:rPr>
          <w:rFonts w:ascii="Times New Roman" w:eastAsia="Times New Roman" w:hAnsi="Times New Roman" w:cs="Times New Roman"/>
          <w:snapToGrid w:val="0"/>
        </w:rPr>
      </w:pPr>
    </w:p>
    <w:p w14:paraId="4BEA7571" w14:textId="77777777" w:rsidR="0008555B" w:rsidRPr="00CE4C3C" w:rsidRDefault="0008555B" w:rsidP="00CE4C3C">
      <w:pPr>
        <w:tabs>
          <w:tab w:val="left" w:pos="1701"/>
        </w:tabs>
        <w:spacing w:line="240" w:lineRule="auto"/>
        <w:ind w:left="1701" w:right="567" w:hanging="567"/>
        <w:rPr>
          <w:rFonts w:ascii="Times New Roman" w:eastAsia="Times New Roman" w:hAnsi="Times New Roman" w:cs="Times New Roman"/>
          <w:b/>
          <w:snapToGrid w:val="0"/>
        </w:rPr>
      </w:pPr>
      <w:r w:rsidRPr="00CE4C3C">
        <w:rPr>
          <w:rFonts w:ascii="Times New Roman" w:eastAsia="Times New Roman" w:hAnsi="Times New Roman" w:cs="Times New Roman"/>
          <w:b/>
          <w:snapToGrid w:val="0"/>
        </w:rPr>
        <w:t>B.</w:t>
      </w:r>
      <w:r w:rsidRPr="00CE4C3C">
        <w:rPr>
          <w:rFonts w:ascii="Times New Roman" w:eastAsia="Times New Roman" w:hAnsi="Times New Roman" w:cs="Times New Roman"/>
          <w:b/>
          <w:snapToGrid w:val="0"/>
        </w:rPr>
        <w:tab/>
        <w:t>TIEKIMO IR VARTOJIMO SĄLYGOS AR APRIBOJIMAI</w:t>
      </w:r>
    </w:p>
    <w:p w14:paraId="7CA842C5" w14:textId="77777777" w:rsidR="0008555B" w:rsidRPr="00CE4C3C" w:rsidRDefault="0008555B" w:rsidP="00CE4C3C">
      <w:pPr>
        <w:tabs>
          <w:tab w:val="left" w:pos="1701"/>
        </w:tabs>
        <w:spacing w:line="240" w:lineRule="auto"/>
        <w:ind w:left="567" w:right="567" w:hanging="567"/>
        <w:rPr>
          <w:rFonts w:ascii="Times New Roman" w:eastAsia="Times New Roman" w:hAnsi="Times New Roman" w:cs="Times New Roman"/>
          <w:snapToGrid w:val="0"/>
        </w:rPr>
      </w:pPr>
    </w:p>
    <w:p w14:paraId="5E166DC9" w14:textId="77777777" w:rsidR="002A1EBD" w:rsidRPr="00CE4C3C" w:rsidRDefault="0008555B" w:rsidP="00CE4C3C">
      <w:pPr>
        <w:numPr>
          <w:ilvl w:val="0"/>
          <w:numId w:val="38"/>
        </w:numPr>
        <w:tabs>
          <w:tab w:val="left" w:pos="567"/>
        </w:tabs>
        <w:spacing w:line="240" w:lineRule="auto"/>
        <w:ind w:left="567" w:hanging="567"/>
        <w:contextualSpacing/>
        <w:rPr>
          <w:rFonts w:ascii="Times New Roman" w:eastAsia="Times New Roman" w:hAnsi="Times New Roman" w:cs="Times New Roman"/>
          <w:b/>
          <w:snapToGrid w:val="0"/>
        </w:rPr>
      </w:pPr>
      <w:r w:rsidRPr="00CE4C3C">
        <w:rPr>
          <w:rFonts w:ascii="Times New Roman" w:eastAsia="Times New Roman" w:hAnsi="Times New Roman" w:cs="Times New Roman"/>
          <w:snapToGrid w:val="0"/>
        </w:rPr>
        <w:br w:type="page"/>
      </w:r>
      <w:r w:rsidR="002A1EBD" w:rsidRPr="00CE4C3C">
        <w:rPr>
          <w:rFonts w:ascii="Times New Roman" w:eastAsia="Times New Roman" w:hAnsi="Times New Roman" w:cs="Times New Roman"/>
          <w:b/>
          <w:snapToGrid w:val="0"/>
        </w:rPr>
        <w:lastRenderedPageBreak/>
        <w:t>GAMINTOJAS (-AI), ATSAKINGAS (-I) UŽ SERIJŲ IŠLEIDIMĄ</w:t>
      </w:r>
    </w:p>
    <w:p w14:paraId="1D7E995B" w14:textId="77777777" w:rsidR="002A1EBD" w:rsidRPr="00CE4C3C" w:rsidRDefault="002A1EBD" w:rsidP="00CE4C3C">
      <w:pPr>
        <w:tabs>
          <w:tab w:val="left" w:pos="567"/>
        </w:tabs>
        <w:spacing w:line="240" w:lineRule="auto"/>
        <w:contextualSpacing/>
        <w:rPr>
          <w:rFonts w:ascii="Times New Roman" w:eastAsia="Times New Roman" w:hAnsi="Times New Roman" w:cs="Times New Roman"/>
          <w:bCs/>
          <w:snapToGrid w:val="0"/>
        </w:rPr>
      </w:pPr>
    </w:p>
    <w:p w14:paraId="1CCDE9AA" w14:textId="77777777" w:rsidR="002A1EBD" w:rsidRPr="00CE4C3C" w:rsidRDefault="002A1EBD" w:rsidP="00CE4C3C">
      <w:pPr>
        <w:tabs>
          <w:tab w:val="left" w:pos="0"/>
          <w:tab w:val="left" w:pos="567"/>
        </w:tabs>
        <w:suppressAutoHyphens/>
        <w:spacing w:line="240" w:lineRule="auto"/>
        <w:jc w:val="both"/>
        <w:rPr>
          <w:rFonts w:ascii="Times New Roman" w:eastAsia="Times New Roman" w:hAnsi="Times New Roman" w:cs="Times New Roman"/>
          <w:kern w:val="2"/>
          <w:u w:val="single"/>
        </w:rPr>
      </w:pPr>
      <w:r w:rsidRPr="00CE4C3C">
        <w:rPr>
          <w:rFonts w:ascii="Times New Roman" w:eastAsia="Times New Roman" w:hAnsi="Times New Roman" w:cs="Times New Roman"/>
          <w:kern w:val="2"/>
          <w:u w:val="single"/>
        </w:rPr>
        <w:t>Gamintojo (-ų), atsakingo (-ų) už serijų išleidimą, pavadinimas (-ai) ir adresas (-ai)</w:t>
      </w:r>
    </w:p>
    <w:p w14:paraId="1DBD492D" w14:textId="77777777" w:rsidR="002A1EBD" w:rsidRPr="00CE4C3C" w:rsidRDefault="002A1EBD" w:rsidP="00CE4C3C">
      <w:pPr>
        <w:tabs>
          <w:tab w:val="left" w:pos="567"/>
        </w:tabs>
        <w:spacing w:line="240" w:lineRule="auto"/>
        <w:rPr>
          <w:rFonts w:ascii="Times New Roman" w:eastAsia="Calibri" w:hAnsi="Times New Roman" w:cs="Times New Roman"/>
        </w:rPr>
      </w:pPr>
    </w:p>
    <w:p w14:paraId="01AD0836" w14:textId="77777777" w:rsidR="002A1EBD" w:rsidRPr="00CE4C3C" w:rsidRDefault="002A1EBD" w:rsidP="00CE4C3C">
      <w:pPr>
        <w:tabs>
          <w:tab w:val="left" w:pos="567"/>
        </w:tabs>
        <w:spacing w:line="240" w:lineRule="auto"/>
        <w:rPr>
          <w:rFonts w:ascii="Times New Roman" w:eastAsia="Calibri" w:hAnsi="Times New Roman" w:cs="Times New Roman"/>
        </w:rPr>
      </w:pPr>
      <w:r w:rsidRPr="00CE4C3C">
        <w:rPr>
          <w:rFonts w:ascii="Times New Roman" w:eastAsia="Calibri" w:hAnsi="Times New Roman" w:cs="Times New Roman"/>
        </w:rPr>
        <w:t>Egis Pharmaceuticals PLC</w:t>
      </w:r>
    </w:p>
    <w:p w14:paraId="6620B052" w14:textId="083E1964" w:rsidR="002A1EBD" w:rsidRPr="00CE4C3C" w:rsidRDefault="002A1EBD" w:rsidP="00CE4C3C">
      <w:pPr>
        <w:tabs>
          <w:tab w:val="left" w:pos="567"/>
        </w:tabs>
        <w:spacing w:line="240" w:lineRule="auto"/>
        <w:rPr>
          <w:rFonts w:ascii="Times New Roman" w:eastAsia="Calibri" w:hAnsi="Times New Roman" w:cs="Times New Roman"/>
        </w:rPr>
      </w:pPr>
      <w:proofErr w:type="spellStart"/>
      <w:r w:rsidRPr="00CE4C3C">
        <w:rPr>
          <w:rFonts w:ascii="Times New Roman" w:eastAsia="Calibri" w:hAnsi="Times New Roman" w:cs="Times New Roman"/>
        </w:rPr>
        <w:t>Bökényföldi</w:t>
      </w:r>
      <w:proofErr w:type="spellEnd"/>
      <w:r w:rsidRPr="00CE4C3C">
        <w:rPr>
          <w:rFonts w:ascii="Times New Roman" w:eastAsia="Calibri" w:hAnsi="Times New Roman" w:cs="Times New Roman"/>
        </w:rPr>
        <w:t xml:space="preserve"> </w:t>
      </w:r>
      <w:proofErr w:type="spellStart"/>
      <w:r w:rsidRPr="00CE4C3C">
        <w:rPr>
          <w:rFonts w:ascii="Times New Roman" w:eastAsia="Calibri" w:hAnsi="Times New Roman" w:cs="Times New Roman"/>
        </w:rPr>
        <w:t>út</w:t>
      </w:r>
      <w:proofErr w:type="spellEnd"/>
      <w:r w:rsidRPr="00CE4C3C">
        <w:rPr>
          <w:rFonts w:ascii="Times New Roman" w:eastAsia="Calibri" w:hAnsi="Times New Roman" w:cs="Times New Roman"/>
        </w:rPr>
        <w:t xml:space="preserve"> 118-120</w:t>
      </w:r>
    </w:p>
    <w:p w14:paraId="0F19162E" w14:textId="5160B777" w:rsidR="002A1EBD" w:rsidRPr="00CE4C3C" w:rsidRDefault="002A1EBD" w:rsidP="00CE4C3C">
      <w:pPr>
        <w:tabs>
          <w:tab w:val="left" w:pos="567"/>
        </w:tabs>
        <w:spacing w:line="240" w:lineRule="auto"/>
        <w:rPr>
          <w:rFonts w:ascii="Times New Roman" w:eastAsia="Calibri" w:hAnsi="Times New Roman" w:cs="Times New Roman"/>
        </w:rPr>
      </w:pPr>
      <w:r w:rsidRPr="00CE4C3C">
        <w:rPr>
          <w:rFonts w:ascii="Times New Roman" w:eastAsia="Calibri" w:hAnsi="Times New Roman" w:cs="Times New Roman"/>
        </w:rPr>
        <w:t xml:space="preserve">1165 </w:t>
      </w:r>
      <w:proofErr w:type="spellStart"/>
      <w:r w:rsidRPr="00CE4C3C">
        <w:rPr>
          <w:rFonts w:ascii="Times New Roman" w:eastAsia="Calibri" w:hAnsi="Times New Roman" w:cs="Times New Roman"/>
        </w:rPr>
        <w:t>Budapest</w:t>
      </w:r>
      <w:proofErr w:type="spellEnd"/>
    </w:p>
    <w:p w14:paraId="5074ABC4" w14:textId="77777777" w:rsidR="002A1EBD" w:rsidRPr="00CE4C3C" w:rsidRDefault="002A1EBD" w:rsidP="00CE4C3C">
      <w:pPr>
        <w:tabs>
          <w:tab w:val="left" w:pos="567"/>
        </w:tabs>
        <w:spacing w:line="240" w:lineRule="auto"/>
        <w:rPr>
          <w:rFonts w:ascii="Times New Roman" w:eastAsia="Calibri" w:hAnsi="Times New Roman" w:cs="Times New Roman"/>
        </w:rPr>
      </w:pPr>
      <w:r w:rsidRPr="00CE4C3C">
        <w:rPr>
          <w:rFonts w:ascii="Times New Roman" w:eastAsia="Calibri" w:hAnsi="Times New Roman" w:cs="Times New Roman"/>
        </w:rPr>
        <w:t>Vengrija</w:t>
      </w:r>
    </w:p>
    <w:p w14:paraId="26EE5BDE" w14:textId="77777777" w:rsidR="002A1EBD" w:rsidRPr="00CE4C3C" w:rsidRDefault="002A1EBD" w:rsidP="00CE4C3C">
      <w:pPr>
        <w:tabs>
          <w:tab w:val="left" w:pos="567"/>
        </w:tabs>
        <w:spacing w:line="240" w:lineRule="auto"/>
        <w:rPr>
          <w:rFonts w:ascii="Times New Roman" w:eastAsia="Times New Roman" w:hAnsi="Times New Roman" w:cs="Times New Roman"/>
          <w:snapToGrid w:val="0"/>
        </w:rPr>
      </w:pPr>
    </w:p>
    <w:p w14:paraId="21470913" w14:textId="77777777" w:rsidR="002A1EBD" w:rsidRPr="00CE4C3C" w:rsidRDefault="002A1EBD" w:rsidP="00CE4C3C">
      <w:pPr>
        <w:tabs>
          <w:tab w:val="left" w:pos="567"/>
        </w:tabs>
        <w:spacing w:line="240" w:lineRule="auto"/>
        <w:rPr>
          <w:rFonts w:ascii="Times New Roman" w:eastAsia="Times New Roman" w:hAnsi="Times New Roman" w:cs="Times New Roman"/>
          <w:snapToGrid w:val="0"/>
        </w:rPr>
      </w:pPr>
    </w:p>
    <w:p w14:paraId="3D33E4EF" w14:textId="77777777" w:rsidR="002A1EBD" w:rsidRPr="00CE4C3C" w:rsidRDefault="002A1EBD" w:rsidP="00CE4C3C">
      <w:pPr>
        <w:tabs>
          <w:tab w:val="left" w:pos="567"/>
        </w:tabs>
        <w:spacing w:line="240" w:lineRule="auto"/>
        <w:ind w:left="567" w:hanging="567"/>
        <w:rPr>
          <w:rFonts w:ascii="Times New Roman" w:eastAsia="Times New Roman" w:hAnsi="Times New Roman" w:cs="Times New Roman"/>
          <w:snapToGrid w:val="0"/>
        </w:rPr>
      </w:pPr>
      <w:r w:rsidRPr="00CE4C3C">
        <w:rPr>
          <w:rFonts w:ascii="Times New Roman" w:eastAsia="Times New Roman" w:hAnsi="Times New Roman" w:cs="Times New Roman"/>
          <w:b/>
          <w:snapToGrid w:val="0"/>
        </w:rPr>
        <w:t>B.</w:t>
      </w:r>
      <w:r w:rsidRPr="00CE4C3C">
        <w:rPr>
          <w:rFonts w:ascii="Times New Roman" w:eastAsia="Times New Roman" w:hAnsi="Times New Roman" w:cs="Times New Roman"/>
          <w:b/>
          <w:snapToGrid w:val="0"/>
        </w:rPr>
        <w:tab/>
        <w:t>TIEKIMO IR VARTOJIMO SĄLYGOS AR APRIBOJIMAI</w:t>
      </w:r>
    </w:p>
    <w:p w14:paraId="0AE28629" w14:textId="77777777" w:rsidR="002A1EBD" w:rsidRPr="00CE4C3C" w:rsidRDefault="002A1EBD" w:rsidP="00CE4C3C">
      <w:pPr>
        <w:tabs>
          <w:tab w:val="left" w:pos="567"/>
        </w:tabs>
        <w:spacing w:line="240" w:lineRule="auto"/>
        <w:rPr>
          <w:rFonts w:ascii="Times New Roman" w:eastAsia="Times New Roman" w:hAnsi="Times New Roman" w:cs="Times New Roman"/>
          <w:snapToGrid w:val="0"/>
        </w:rPr>
      </w:pPr>
    </w:p>
    <w:p w14:paraId="2F418480" w14:textId="77777777" w:rsidR="002A1EBD" w:rsidRPr="00CE4C3C" w:rsidRDefault="002A1EBD" w:rsidP="00CE4C3C">
      <w:pPr>
        <w:tabs>
          <w:tab w:val="left" w:pos="567"/>
        </w:tabs>
        <w:spacing w:line="240" w:lineRule="auto"/>
        <w:rPr>
          <w:rFonts w:ascii="Times New Roman" w:eastAsia="Times New Roman" w:hAnsi="Times New Roman" w:cs="Times New Roman"/>
          <w:snapToGrid w:val="0"/>
        </w:rPr>
      </w:pPr>
      <w:r w:rsidRPr="00CE4C3C">
        <w:rPr>
          <w:rFonts w:ascii="Times New Roman" w:eastAsia="Times New Roman" w:hAnsi="Times New Roman" w:cs="Times New Roman"/>
          <w:snapToGrid w:val="0"/>
        </w:rPr>
        <w:t>Receptinis vaistinis preparatas.</w:t>
      </w:r>
    </w:p>
    <w:p w14:paraId="7F84DF6A" w14:textId="77777777" w:rsidR="002A1EBD" w:rsidRPr="00CE4C3C" w:rsidRDefault="002A1EBD" w:rsidP="00CE4C3C">
      <w:pPr>
        <w:numPr>
          <w:ilvl w:val="12"/>
          <w:numId w:val="0"/>
        </w:numPr>
        <w:tabs>
          <w:tab w:val="left" w:pos="567"/>
        </w:tabs>
        <w:spacing w:line="240" w:lineRule="auto"/>
        <w:rPr>
          <w:rFonts w:ascii="Times New Roman" w:eastAsia="Times New Roman" w:hAnsi="Times New Roman" w:cs="Times New Roman"/>
          <w:snapToGrid w:val="0"/>
        </w:rPr>
      </w:pPr>
    </w:p>
    <w:p w14:paraId="277BD933" w14:textId="77777777" w:rsidR="00365C14" w:rsidRPr="00CE4C3C" w:rsidRDefault="00365C14" w:rsidP="00CE4C3C">
      <w:pPr>
        <w:spacing w:line="240" w:lineRule="auto"/>
        <w:rPr>
          <w:rFonts w:ascii="Times New Roman" w:hAnsi="Times New Roman" w:cs="Times New Roman"/>
        </w:rPr>
      </w:pPr>
      <w:r w:rsidRPr="00CE4C3C">
        <w:rPr>
          <w:rFonts w:ascii="Times New Roman" w:hAnsi="Times New Roman" w:cs="Times New Roman"/>
        </w:rPr>
        <w:br w:type="page"/>
      </w:r>
    </w:p>
    <w:p w14:paraId="55483E63" w14:textId="77777777" w:rsidR="00C512B8" w:rsidRPr="00CE4C3C" w:rsidRDefault="00C512B8" w:rsidP="00CE4C3C">
      <w:pPr>
        <w:tabs>
          <w:tab w:val="left" w:pos="567"/>
        </w:tabs>
        <w:spacing w:line="240" w:lineRule="auto"/>
        <w:ind w:right="566"/>
        <w:rPr>
          <w:rFonts w:ascii="Times New Roman" w:eastAsia="Times New Roman" w:hAnsi="Times New Roman" w:cs="Times New Roman"/>
          <w:snapToGrid w:val="0"/>
        </w:rPr>
      </w:pPr>
    </w:p>
    <w:p w14:paraId="4F8E3308" w14:textId="77777777" w:rsidR="00C512B8" w:rsidRPr="00CE4C3C" w:rsidRDefault="00C512B8" w:rsidP="00CE4C3C">
      <w:pPr>
        <w:tabs>
          <w:tab w:val="left" w:pos="567"/>
        </w:tabs>
        <w:spacing w:line="240" w:lineRule="auto"/>
        <w:rPr>
          <w:rFonts w:ascii="Times New Roman" w:eastAsia="Times New Roman" w:hAnsi="Times New Roman" w:cs="Times New Roman"/>
          <w:snapToGrid w:val="0"/>
        </w:rPr>
      </w:pPr>
    </w:p>
    <w:p w14:paraId="1D48964C" w14:textId="77777777" w:rsidR="00C512B8" w:rsidRPr="00CE4C3C" w:rsidRDefault="00C512B8" w:rsidP="00CE4C3C">
      <w:pPr>
        <w:tabs>
          <w:tab w:val="left" w:pos="567"/>
        </w:tabs>
        <w:spacing w:line="240" w:lineRule="auto"/>
        <w:rPr>
          <w:rFonts w:ascii="Times New Roman" w:eastAsia="Times New Roman" w:hAnsi="Times New Roman" w:cs="Times New Roman"/>
          <w:snapToGrid w:val="0"/>
        </w:rPr>
      </w:pPr>
    </w:p>
    <w:p w14:paraId="04BA93AA" w14:textId="77777777" w:rsidR="00C512B8" w:rsidRPr="00CE4C3C" w:rsidRDefault="00C512B8" w:rsidP="00CE4C3C">
      <w:pPr>
        <w:tabs>
          <w:tab w:val="left" w:pos="567"/>
        </w:tabs>
        <w:spacing w:line="240" w:lineRule="auto"/>
        <w:rPr>
          <w:rFonts w:ascii="Times New Roman" w:eastAsia="Times New Roman" w:hAnsi="Times New Roman" w:cs="Times New Roman"/>
          <w:snapToGrid w:val="0"/>
        </w:rPr>
      </w:pPr>
    </w:p>
    <w:p w14:paraId="04BFA120" w14:textId="77777777" w:rsidR="00C512B8" w:rsidRPr="00CE4C3C" w:rsidRDefault="00C512B8" w:rsidP="00CE4C3C">
      <w:pPr>
        <w:tabs>
          <w:tab w:val="left" w:pos="567"/>
        </w:tabs>
        <w:spacing w:line="240" w:lineRule="auto"/>
        <w:rPr>
          <w:rFonts w:ascii="Times New Roman" w:eastAsia="Times New Roman" w:hAnsi="Times New Roman" w:cs="Times New Roman"/>
          <w:snapToGrid w:val="0"/>
        </w:rPr>
      </w:pPr>
    </w:p>
    <w:p w14:paraId="4694FD39" w14:textId="77777777" w:rsidR="00C512B8" w:rsidRPr="00CE4C3C" w:rsidRDefault="00C512B8" w:rsidP="00CE4C3C">
      <w:pPr>
        <w:tabs>
          <w:tab w:val="left" w:pos="567"/>
        </w:tabs>
        <w:spacing w:line="240" w:lineRule="auto"/>
        <w:rPr>
          <w:rFonts w:ascii="Times New Roman" w:eastAsia="Times New Roman" w:hAnsi="Times New Roman" w:cs="Times New Roman"/>
          <w:snapToGrid w:val="0"/>
        </w:rPr>
      </w:pPr>
    </w:p>
    <w:p w14:paraId="5CC3612D" w14:textId="77777777" w:rsidR="00C512B8" w:rsidRPr="00CE4C3C" w:rsidRDefault="00C512B8" w:rsidP="00CE4C3C">
      <w:pPr>
        <w:tabs>
          <w:tab w:val="left" w:pos="567"/>
        </w:tabs>
        <w:spacing w:line="240" w:lineRule="auto"/>
        <w:rPr>
          <w:rFonts w:ascii="Times New Roman" w:eastAsia="Times New Roman" w:hAnsi="Times New Roman" w:cs="Times New Roman"/>
          <w:snapToGrid w:val="0"/>
        </w:rPr>
      </w:pPr>
    </w:p>
    <w:p w14:paraId="4E73E3A6" w14:textId="77777777" w:rsidR="00C512B8" w:rsidRPr="00CE4C3C" w:rsidRDefault="00C512B8" w:rsidP="00CE4C3C">
      <w:pPr>
        <w:tabs>
          <w:tab w:val="left" w:pos="567"/>
        </w:tabs>
        <w:spacing w:line="240" w:lineRule="auto"/>
        <w:rPr>
          <w:rFonts w:ascii="Times New Roman" w:eastAsia="Times New Roman" w:hAnsi="Times New Roman" w:cs="Times New Roman"/>
          <w:snapToGrid w:val="0"/>
        </w:rPr>
      </w:pPr>
    </w:p>
    <w:p w14:paraId="4EF12B26" w14:textId="77777777" w:rsidR="00C512B8" w:rsidRPr="00CE4C3C" w:rsidRDefault="00C512B8" w:rsidP="00CE4C3C">
      <w:pPr>
        <w:tabs>
          <w:tab w:val="left" w:pos="567"/>
        </w:tabs>
        <w:spacing w:line="240" w:lineRule="auto"/>
        <w:rPr>
          <w:rFonts w:ascii="Times New Roman" w:eastAsia="Times New Roman" w:hAnsi="Times New Roman" w:cs="Times New Roman"/>
          <w:snapToGrid w:val="0"/>
        </w:rPr>
      </w:pPr>
    </w:p>
    <w:p w14:paraId="15113476" w14:textId="77777777" w:rsidR="00C512B8" w:rsidRPr="00CE4C3C" w:rsidRDefault="00C512B8" w:rsidP="00CE4C3C">
      <w:pPr>
        <w:tabs>
          <w:tab w:val="left" w:pos="567"/>
        </w:tabs>
        <w:spacing w:line="240" w:lineRule="auto"/>
        <w:rPr>
          <w:rFonts w:ascii="Times New Roman" w:eastAsia="Times New Roman" w:hAnsi="Times New Roman" w:cs="Times New Roman"/>
          <w:snapToGrid w:val="0"/>
        </w:rPr>
      </w:pPr>
    </w:p>
    <w:p w14:paraId="50165CAC" w14:textId="77777777" w:rsidR="00C512B8" w:rsidRPr="00CE4C3C" w:rsidRDefault="00C512B8" w:rsidP="00CE4C3C">
      <w:pPr>
        <w:tabs>
          <w:tab w:val="left" w:pos="567"/>
        </w:tabs>
        <w:spacing w:line="240" w:lineRule="auto"/>
        <w:rPr>
          <w:rFonts w:ascii="Times New Roman" w:eastAsia="Times New Roman" w:hAnsi="Times New Roman" w:cs="Times New Roman"/>
          <w:snapToGrid w:val="0"/>
        </w:rPr>
      </w:pPr>
    </w:p>
    <w:p w14:paraId="04EE091B" w14:textId="77777777" w:rsidR="00C512B8" w:rsidRPr="00CE4C3C" w:rsidRDefault="00C512B8" w:rsidP="00CE4C3C">
      <w:pPr>
        <w:tabs>
          <w:tab w:val="left" w:pos="567"/>
        </w:tabs>
        <w:spacing w:line="240" w:lineRule="auto"/>
        <w:rPr>
          <w:rFonts w:ascii="Times New Roman" w:eastAsia="Times New Roman" w:hAnsi="Times New Roman" w:cs="Times New Roman"/>
          <w:snapToGrid w:val="0"/>
        </w:rPr>
      </w:pPr>
    </w:p>
    <w:p w14:paraId="3AE00363" w14:textId="77777777" w:rsidR="00C512B8" w:rsidRPr="00CE4C3C" w:rsidRDefault="00C512B8" w:rsidP="00CE4C3C">
      <w:pPr>
        <w:tabs>
          <w:tab w:val="left" w:pos="567"/>
        </w:tabs>
        <w:spacing w:line="240" w:lineRule="auto"/>
        <w:rPr>
          <w:rFonts w:ascii="Times New Roman" w:eastAsia="Times New Roman" w:hAnsi="Times New Roman" w:cs="Times New Roman"/>
          <w:snapToGrid w:val="0"/>
        </w:rPr>
      </w:pPr>
    </w:p>
    <w:p w14:paraId="3EEEB7BE" w14:textId="77777777" w:rsidR="00C512B8" w:rsidRPr="00CE4C3C" w:rsidRDefault="00C512B8" w:rsidP="00CE4C3C">
      <w:pPr>
        <w:tabs>
          <w:tab w:val="left" w:pos="567"/>
        </w:tabs>
        <w:spacing w:line="240" w:lineRule="auto"/>
        <w:rPr>
          <w:rFonts w:ascii="Times New Roman" w:eastAsia="Times New Roman" w:hAnsi="Times New Roman" w:cs="Times New Roman"/>
          <w:snapToGrid w:val="0"/>
        </w:rPr>
      </w:pPr>
    </w:p>
    <w:p w14:paraId="670BD880" w14:textId="77777777" w:rsidR="00C512B8" w:rsidRPr="00CE4C3C" w:rsidRDefault="00C512B8" w:rsidP="00CE4C3C">
      <w:pPr>
        <w:tabs>
          <w:tab w:val="left" w:pos="567"/>
        </w:tabs>
        <w:spacing w:line="240" w:lineRule="auto"/>
        <w:rPr>
          <w:rFonts w:ascii="Times New Roman" w:eastAsia="Times New Roman" w:hAnsi="Times New Roman" w:cs="Times New Roman"/>
          <w:snapToGrid w:val="0"/>
        </w:rPr>
      </w:pPr>
    </w:p>
    <w:p w14:paraId="4C7D9698" w14:textId="77777777" w:rsidR="00C512B8" w:rsidRPr="00CE4C3C" w:rsidRDefault="00C512B8" w:rsidP="00CE4C3C">
      <w:pPr>
        <w:tabs>
          <w:tab w:val="left" w:pos="567"/>
        </w:tabs>
        <w:spacing w:line="240" w:lineRule="auto"/>
        <w:rPr>
          <w:rFonts w:ascii="Times New Roman" w:eastAsia="Times New Roman" w:hAnsi="Times New Roman" w:cs="Times New Roman"/>
          <w:snapToGrid w:val="0"/>
        </w:rPr>
      </w:pPr>
    </w:p>
    <w:p w14:paraId="090714DF" w14:textId="77777777" w:rsidR="00C512B8" w:rsidRPr="00CE4C3C" w:rsidRDefault="00C512B8" w:rsidP="00CE4C3C">
      <w:pPr>
        <w:tabs>
          <w:tab w:val="left" w:pos="567"/>
        </w:tabs>
        <w:spacing w:line="240" w:lineRule="auto"/>
        <w:rPr>
          <w:rFonts w:ascii="Times New Roman" w:eastAsia="Times New Roman" w:hAnsi="Times New Roman" w:cs="Times New Roman"/>
          <w:snapToGrid w:val="0"/>
        </w:rPr>
      </w:pPr>
    </w:p>
    <w:p w14:paraId="6FB865B5" w14:textId="77777777" w:rsidR="00C512B8" w:rsidRPr="00CE4C3C" w:rsidRDefault="00C512B8" w:rsidP="00CE4C3C">
      <w:pPr>
        <w:tabs>
          <w:tab w:val="left" w:pos="567"/>
        </w:tabs>
        <w:spacing w:line="240" w:lineRule="auto"/>
        <w:outlineLvl w:val="0"/>
        <w:rPr>
          <w:rFonts w:ascii="Times New Roman" w:eastAsia="Times New Roman" w:hAnsi="Times New Roman" w:cs="Times New Roman"/>
          <w:bCs/>
          <w:snapToGrid w:val="0"/>
        </w:rPr>
      </w:pPr>
    </w:p>
    <w:p w14:paraId="1022C186" w14:textId="77777777" w:rsidR="00C512B8" w:rsidRPr="00CE4C3C" w:rsidRDefault="00C512B8" w:rsidP="00CE4C3C">
      <w:pPr>
        <w:tabs>
          <w:tab w:val="left" w:pos="567"/>
        </w:tabs>
        <w:spacing w:line="240" w:lineRule="auto"/>
        <w:outlineLvl w:val="0"/>
        <w:rPr>
          <w:rFonts w:ascii="Times New Roman" w:eastAsia="Times New Roman" w:hAnsi="Times New Roman" w:cs="Times New Roman"/>
          <w:bCs/>
          <w:snapToGrid w:val="0"/>
        </w:rPr>
      </w:pPr>
    </w:p>
    <w:p w14:paraId="2066F365" w14:textId="77777777" w:rsidR="00C512B8" w:rsidRPr="00CE4C3C" w:rsidRDefault="00C512B8" w:rsidP="00CE4C3C">
      <w:pPr>
        <w:tabs>
          <w:tab w:val="left" w:pos="567"/>
        </w:tabs>
        <w:spacing w:line="240" w:lineRule="auto"/>
        <w:outlineLvl w:val="0"/>
        <w:rPr>
          <w:rFonts w:ascii="Times New Roman" w:eastAsia="Times New Roman" w:hAnsi="Times New Roman" w:cs="Times New Roman"/>
          <w:bCs/>
          <w:snapToGrid w:val="0"/>
        </w:rPr>
      </w:pPr>
    </w:p>
    <w:p w14:paraId="289428A2" w14:textId="77777777" w:rsidR="00C512B8" w:rsidRPr="00CE4C3C" w:rsidRDefault="00C512B8" w:rsidP="00CE4C3C">
      <w:pPr>
        <w:tabs>
          <w:tab w:val="left" w:pos="567"/>
        </w:tabs>
        <w:spacing w:line="240" w:lineRule="auto"/>
        <w:outlineLvl w:val="0"/>
        <w:rPr>
          <w:rFonts w:ascii="Times New Roman" w:eastAsia="Times New Roman" w:hAnsi="Times New Roman" w:cs="Times New Roman"/>
          <w:bCs/>
          <w:snapToGrid w:val="0"/>
        </w:rPr>
      </w:pPr>
    </w:p>
    <w:p w14:paraId="56E79881" w14:textId="77777777" w:rsidR="00C512B8" w:rsidRPr="00CE4C3C" w:rsidRDefault="00C512B8" w:rsidP="00CE4C3C">
      <w:pPr>
        <w:tabs>
          <w:tab w:val="left" w:pos="567"/>
        </w:tabs>
        <w:spacing w:line="240" w:lineRule="auto"/>
        <w:outlineLvl w:val="0"/>
        <w:rPr>
          <w:rFonts w:ascii="Times New Roman" w:eastAsia="Times New Roman" w:hAnsi="Times New Roman" w:cs="Times New Roman"/>
          <w:bCs/>
          <w:snapToGrid w:val="0"/>
        </w:rPr>
      </w:pPr>
    </w:p>
    <w:p w14:paraId="0DD27BE9" w14:textId="77777777" w:rsidR="00C512B8" w:rsidRPr="00CE4C3C" w:rsidRDefault="00C512B8" w:rsidP="00CE4C3C">
      <w:pPr>
        <w:tabs>
          <w:tab w:val="left" w:pos="567"/>
        </w:tabs>
        <w:spacing w:line="240" w:lineRule="auto"/>
        <w:outlineLvl w:val="0"/>
        <w:rPr>
          <w:rFonts w:ascii="Times New Roman" w:eastAsia="Times New Roman" w:hAnsi="Times New Roman" w:cs="Times New Roman"/>
          <w:bCs/>
          <w:snapToGrid w:val="0"/>
        </w:rPr>
      </w:pPr>
    </w:p>
    <w:p w14:paraId="5EE85476" w14:textId="77777777" w:rsidR="00C512B8" w:rsidRPr="00CE4C3C" w:rsidRDefault="00C512B8" w:rsidP="00CE4C3C">
      <w:pPr>
        <w:keepNext/>
        <w:tabs>
          <w:tab w:val="left" w:pos="567"/>
        </w:tabs>
        <w:spacing w:line="240" w:lineRule="auto"/>
        <w:jc w:val="center"/>
        <w:outlineLvl w:val="1"/>
        <w:rPr>
          <w:rFonts w:ascii="Times New Roman" w:eastAsia="Times New Roman" w:hAnsi="Times New Roman" w:cs="Times New Roman"/>
          <w:b/>
          <w:snapToGrid w:val="0"/>
          <w:lang w:eastAsia="x-none"/>
        </w:rPr>
      </w:pPr>
      <w:r w:rsidRPr="00CE4C3C">
        <w:rPr>
          <w:rFonts w:ascii="Times New Roman" w:eastAsia="Times New Roman" w:hAnsi="Times New Roman" w:cs="Times New Roman"/>
          <w:b/>
          <w:bCs/>
          <w:iCs/>
          <w:snapToGrid w:val="0"/>
          <w:lang w:eastAsia="x-none"/>
        </w:rPr>
        <w:t>III PRIEDAS</w:t>
      </w:r>
    </w:p>
    <w:p w14:paraId="11FD2343" w14:textId="77777777" w:rsidR="00C512B8" w:rsidRPr="00CE4C3C" w:rsidRDefault="00C512B8" w:rsidP="00CE4C3C">
      <w:pPr>
        <w:tabs>
          <w:tab w:val="left" w:pos="567"/>
        </w:tabs>
        <w:spacing w:line="240" w:lineRule="auto"/>
        <w:rPr>
          <w:rFonts w:ascii="Times New Roman" w:eastAsia="Times New Roman" w:hAnsi="Times New Roman" w:cs="Times New Roman"/>
          <w:snapToGrid w:val="0"/>
        </w:rPr>
      </w:pPr>
    </w:p>
    <w:p w14:paraId="373E8680" w14:textId="77777777" w:rsidR="00C512B8" w:rsidRPr="00CE4C3C" w:rsidRDefault="00C512B8" w:rsidP="00CE4C3C">
      <w:pPr>
        <w:keepNext/>
        <w:tabs>
          <w:tab w:val="left" w:pos="567"/>
        </w:tabs>
        <w:spacing w:line="240" w:lineRule="auto"/>
        <w:jc w:val="center"/>
        <w:outlineLvl w:val="1"/>
        <w:rPr>
          <w:rFonts w:ascii="Times New Roman" w:eastAsia="Times New Roman" w:hAnsi="Times New Roman" w:cs="Times New Roman"/>
          <w:b/>
          <w:snapToGrid w:val="0"/>
          <w:lang w:eastAsia="x-none"/>
        </w:rPr>
      </w:pPr>
      <w:r w:rsidRPr="00CE4C3C">
        <w:rPr>
          <w:rFonts w:ascii="Times New Roman" w:eastAsia="Times New Roman" w:hAnsi="Times New Roman" w:cs="Times New Roman"/>
          <w:b/>
          <w:bCs/>
          <w:iCs/>
          <w:snapToGrid w:val="0"/>
          <w:lang w:eastAsia="x-none"/>
        </w:rPr>
        <w:t>ŽENKLINIMAS IR PAKUOTĖS LAPELIS</w:t>
      </w:r>
    </w:p>
    <w:p w14:paraId="74BAA913" w14:textId="77777777" w:rsidR="00C512B8" w:rsidRPr="00CE4C3C" w:rsidRDefault="00C512B8" w:rsidP="00CE4C3C">
      <w:pPr>
        <w:tabs>
          <w:tab w:val="left" w:pos="567"/>
        </w:tabs>
        <w:spacing w:line="240" w:lineRule="auto"/>
        <w:rPr>
          <w:rFonts w:ascii="Times New Roman" w:eastAsia="Times New Roman" w:hAnsi="Times New Roman" w:cs="Times New Roman"/>
          <w:snapToGrid w:val="0"/>
        </w:rPr>
      </w:pPr>
      <w:r w:rsidRPr="00CE4C3C">
        <w:rPr>
          <w:rFonts w:ascii="Times New Roman" w:eastAsia="Times New Roman" w:hAnsi="Times New Roman" w:cs="Times New Roman"/>
          <w:snapToGrid w:val="0"/>
        </w:rPr>
        <w:br w:type="page"/>
      </w:r>
    </w:p>
    <w:p w14:paraId="37F5302B"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5445BB9C"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123B2F49"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0391AE4F"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06D8B550"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42B082C6"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0895AF10"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7169B713"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7FA151EE"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6AD10561"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6FC8460F"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713495F9"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096A5A49"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50165A7E"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049A618E"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319D2688"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74DBEDBE"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343C9706"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137A848B"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5E3B8749"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2CC1DD9A"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245F2DDF"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726F7E14" w14:textId="77777777" w:rsidR="00C139A0" w:rsidRPr="00CE4C3C" w:rsidRDefault="00C139A0" w:rsidP="00CE4C3C">
      <w:pPr>
        <w:tabs>
          <w:tab w:val="left" w:pos="567"/>
        </w:tabs>
        <w:spacing w:line="240" w:lineRule="auto"/>
        <w:rPr>
          <w:rFonts w:ascii="Times New Roman" w:eastAsia="Times New Roman" w:hAnsi="Times New Roman" w:cs="Times New Roman"/>
          <w:snapToGrid w:val="0"/>
        </w:rPr>
      </w:pPr>
    </w:p>
    <w:p w14:paraId="3A44BCB4" w14:textId="77777777" w:rsidR="00C139A0" w:rsidRPr="00CE4C3C" w:rsidRDefault="00C139A0" w:rsidP="00CE4C3C">
      <w:pPr>
        <w:keepNext/>
        <w:tabs>
          <w:tab w:val="left" w:pos="567"/>
        </w:tabs>
        <w:spacing w:line="240" w:lineRule="auto"/>
        <w:jc w:val="center"/>
        <w:outlineLvl w:val="1"/>
        <w:rPr>
          <w:rFonts w:ascii="Times New Roman" w:eastAsia="Times New Roman" w:hAnsi="Times New Roman" w:cs="Times New Roman"/>
          <w:b/>
          <w:snapToGrid w:val="0"/>
          <w:lang w:eastAsia="x-none"/>
        </w:rPr>
      </w:pPr>
      <w:r w:rsidRPr="00CE4C3C">
        <w:rPr>
          <w:rFonts w:ascii="Times New Roman" w:eastAsia="Times New Roman" w:hAnsi="Times New Roman" w:cs="Times New Roman"/>
          <w:b/>
          <w:bCs/>
          <w:iCs/>
          <w:snapToGrid w:val="0"/>
          <w:lang w:eastAsia="x-none"/>
        </w:rPr>
        <w:t>A. ŽENKLINIMAS</w:t>
      </w:r>
    </w:p>
    <w:p w14:paraId="7A080D8B" w14:textId="77777777" w:rsidR="00C139A0" w:rsidRPr="00CE4C3C" w:rsidRDefault="00C139A0" w:rsidP="00CE4C3C">
      <w:pPr>
        <w:shd w:val="clear" w:color="auto" w:fill="FFFFFF"/>
        <w:spacing w:line="240" w:lineRule="auto"/>
        <w:rPr>
          <w:rFonts w:ascii="Times New Roman" w:eastAsia="Times New Roman" w:hAnsi="Times New Roman" w:cs="Times New Roman"/>
        </w:rPr>
      </w:pPr>
      <w:r w:rsidRPr="00CE4C3C">
        <w:rPr>
          <w:rFonts w:ascii="Times New Roman" w:eastAsia="Times New Roman" w:hAnsi="Times New Roman" w:cs="Times New Roman"/>
        </w:rPr>
        <w:br w:type="page"/>
      </w:r>
    </w:p>
    <w:p w14:paraId="21FC8AA1"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rPr>
      </w:pPr>
      <w:r w:rsidRPr="00CE4C3C">
        <w:rPr>
          <w:rFonts w:ascii="Times New Roman" w:hAnsi="Times New Roman" w:cs="Times New Roman"/>
          <w:b/>
        </w:rPr>
        <w:lastRenderedPageBreak/>
        <w:t>INFORMACIJA ANT IŠORINĖS PAKUOTĖS</w:t>
      </w:r>
    </w:p>
    <w:p w14:paraId="705F0326"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cs="Times New Roman"/>
          <w:b/>
        </w:rPr>
      </w:pPr>
    </w:p>
    <w:p w14:paraId="0808BFA5"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rPr>
      </w:pPr>
      <w:r w:rsidRPr="00CE4C3C">
        <w:rPr>
          <w:rFonts w:ascii="Times New Roman" w:hAnsi="Times New Roman" w:cs="Times New Roman"/>
          <w:b/>
        </w:rPr>
        <w:t xml:space="preserve">KARTONO DĖŽUTĖ </w:t>
      </w:r>
    </w:p>
    <w:p w14:paraId="52ACD3B7" w14:textId="77777777" w:rsidR="00D210A7" w:rsidRPr="00CE4C3C" w:rsidRDefault="00D210A7" w:rsidP="00CE4C3C">
      <w:pPr>
        <w:spacing w:line="240" w:lineRule="auto"/>
        <w:rPr>
          <w:rFonts w:ascii="Times New Roman" w:hAnsi="Times New Roman" w:cs="Times New Roman"/>
        </w:rPr>
      </w:pPr>
    </w:p>
    <w:p w14:paraId="4B42E4DA" w14:textId="77777777" w:rsidR="00D210A7" w:rsidRPr="00CE4C3C" w:rsidRDefault="00D210A7" w:rsidP="00CE4C3C">
      <w:pPr>
        <w:spacing w:line="240" w:lineRule="auto"/>
        <w:rPr>
          <w:rFonts w:ascii="Times New Roman" w:hAnsi="Times New Roman" w:cs="Times New Roman"/>
        </w:rPr>
      </w:pPr>
    </w:p>
    <w:p w14:paraId="60526313"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CE4C3C">
        <w:rPr>
          <w:rFonts w:ascii="Times New Roman" w:hAnsi="Times New Roman" w:cs="Times New Roman"/>
          <w:b/>
        </w:rPr>
        <w:t>1.</w:t>
      </w:r>
      <w:r w:rsidRPr="00CE4C3C">
        <w:rPr>
          <w:rFonts w:ascii="Times New Roman" w:hAnsi="Times New Roman" w:cs="Times New Roman"/>
          <w:b/>
        </w:rPr>
        <w:tab/>
      </w:r>
      <w:r w:rsidRPr="00CE4C3C">
        <w:rPr>
          <w:rFonts w:ascii="Times New Roman" w:hAnsi="Times New Roman" w:cs="Times New Roman"/>
          <w:b/>
          <w:caps/>
        </w:rPr>
        <w:t>VAISTINIO</w:t>
      </w:r>
      <w:r w:rsidRPr="00CE4C3C">
        <w:rPr>
          <w:rFonts w:ascii="Times New Roman" w:hAnsi="Times New Roman" w:cs="Times New Roman"/>
          <w:b/>
        </w:rPr>
        <w:t xml:space="preserve"> PREPARATO PAVADINIMAS</w:t>
      </w:r>
    </w:p>
    <w:p w14:paraId="53AFAE9C" w14:textId="77777777" w:rsidR="00D210A7" w:rsidRPr="00CE4C3C" w:rsidRDefault="00D210A7" w:rsidP="00CE4C3C">
      <w:pPr>
        <w:spacing w:line="240" w:lineRule="auto"/>
        <w:rPr>
          <w:rFonts w:ascii="Times New Roman" w:hAnsi="Times New Roman" w:cs="Times New Roman"/>
        </w:rPr>
      </w:pPr>
    </w:p>
    <w:p w14:paraId="15CA874B"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noProof/>
        </w:rPr>
        <w:t xml:space="preserve">Klertis </w:t>
      </w:r>
      <w:r w:rsidRPr="00CE4C3C">
        <w:rPr>
          <w:rFonts w:ascii="Times New Roman" w:hAnsi="Times New Roman" w:cs="Times New Roman"/>
        </w:rPr>
        <w:t>12,5 mg kietosios kapsulės</w:t>
      </w:r>
    </w:p>
    <w:p w14:paraId="15B4FBF3" w14:textId="77777777" w:rsidR="00D210A7" w:rsidRPr="00CE4C3C" w:rsidRDefault="00D210A7" w:rsidP="00CE4C3C">
      <w:pPr>
        <w:spacing w:line="240" w:lineRule="auto"/>
        <w:rPr>
          <w:rFonts w:ascii="Times New Roman" w:hAnsi="Times New Roman" w:cs="Times New Roman"/>
          <w:highlight w:val="lightGray"/>
        </w:rPr>
      </w:pPr>
      <w:r w:rsidRPr="00CE4C3C">
        <w:rPr>
          <w:rFonts w:ascii="Times New Roman" w:hAnsi="Times New Roman" w:cs="Times New Roman"/>
          <w:noProof/>
          <w:highlight w:val="lightGray"/>
        </w:rPr>
        <w:t xml:space="preserve">Klertis </w:t>
      </w:r>
      <w:r w:rsidRPr="00CE4C3C">
        <w:rPr>
          <w:rFonts w:ascii="Times New Roman" w:hAnsi="Times New Roman" w:cs="Times New Roman"/>
          <w:highlight w:val="lightGray"/>
        </w:rPr>
        <w:t>25 mg kietosios kapsulės</w:t>
      </w:r>
    </w:p>
    <w:p w14:paraId="5B32597D"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noProof/>
          <w:highlight w:val="lightGray"/>
        </w:rPr>
        <w:t>Klertis 50</w:t>
      </w:r>
      <w:r w:rsidRPr="00CE4C3C">
        <w:rPr>
          <w:rFonts w:ascii="Times New Roman" w:hAnsi="Times New Roman" w:cs="Times New Roman"/>
          <w:highlight w:val="lightGray"/>
        </w:rPr>
        <w:t> mg kietosios kapsulės</w:t>
      </w:r>
    </w:p>
    <w:p w14:paraId="35A003CD" w14:textId="77777777" w:rsidR="00D210A7" w:rsidRPr="00CE4C3C" w:rsidRDefault="00D210A7" w:rsidP="00CE4C3C">
      <w:pPr>
        <w:spacing w:line="240" w:lineRule="auto"/>
        <w:rPr>
          <w:rFonts w:ascii="Times New Roman" w:hAnsi="Times New Roman" w:cs="Times New Roman"/>
        </w:rPr>
      </w:pPr>
    </w:p>
    <w:p w14:paraId="56BE9ED2" w14:textId="5D223E46" w:rsidR="00D210A7" w:rsidRPr="00CE4C3C" w:rsidRDefault="002563F9" w:rsidP="00CE4C3C">
      <w:pPr>
        <w:spacing w:line="240" w:lineRule="auto"/>
        <w:rPr>
          <w:rFonts w:ascii="Times New Roman" w:hAnsi="Times New Roman" w:cs="Times New Roman"/>
        </w:rPr>
      </w:pPr>
      <w:proofErr w:type="spellStart"/>
      <w:r>
        <w:rPr>
          <w:rFonts w:ascii="Times New Roman" w:hAnsi="Times New Roman" w:cs="Times New Roman"/>
        </w:rPr>
        <w:t>s</w:t>
      </w:r>
      <w:r w:rsidR="00D210A7" w:rsidRPr="00CE4C3C">
        <w:rPr>
          <w:rFonts w:ascii="Times New Roman" w:hAnsi="Times New Roman" w:cs="Times New Roman"/>
        </w:rPr>
        <w:t>unitinibas</w:t>
      </w:r>
      <w:proofErr w:type="spellEnd"/>
    </w:p>
    <w:p w14:paraId="69DFC5D6" w14:textId="77777777" w:rsidR="00D210A7" w:rsidRPr="00CE4C3C" w:rsidRDefault="00D210A7" w:rsidP="00CE4C3C">
      <w:pPr>
        <w:spacing w:line="240" w:lineRule="auto"/>
        <w:rPr>
          <w:rFonts w:ascii="Times New Roman" w:hAnsi="Times New Roman" w:cs="Times New Roman"/>
        </w:rPr>
      </w:pPr>
    </w:p>
    <w:p w14:paraId="48B5A3FE"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rPr>
      </w:pPr>
      <w:r w:rsidRPr="00CE4C3C">
        <w:rPr>
          <w:rFonts w:ascii="Times New Roman" w:hAnsi="Times New Roman" w:cs="Times New Roman"/>
          <w:b/>
        </w:rPr>
        <w:t>2.</w:t>
      </w:r>
      <w:r w:rsidRPr="00CE4C3C">
        <w:rPr>
          <w:rFonts w:ascii="Times New Roman" w:hAnsi="Times New Roman" w:cs="Times New Roman"/>
          <w:b/>
        </w:rPr>
        <w:tab/>
        <w:t>VEIKLIOJI (-IOS) MEDŽIAGA (-OS) IR JOS (-Ų) KIEKIS (-IAI)</w:t>
      </w:r>
    </w:p>
    <w:p w14:paraId="7B612DC6" w14:textId="77777777" w:rsidR="00D210A7" w:rsidRPr="00CE4C3C" w:rsidRDefault="00D210A7" w:rsidP="00CE4C3C">
      <w:pPr>
        <w:spacing w:line="240" w:lineRule="auto"/>
        <w:rPr>
          <w:rFonts w:ascii="Times New Roman" w:hAnsi="Times New Roman" w:cs="Times New Roman"/>
        </w:rPr>
      </w:pPr>
    </w:p>
    <w:p w14:paraId="5A25F15A"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noProof/>
          <w:highlight w:val="lightGray"/>
        </w:rPr>
        <w:t xml:space="preserve">Klertis </w:t>
      </w:r>
      <w:r w:rsidRPr="00CE4C3C">
        <w:rPr>
          <w:rFonts w:ascii="Times New Roman" w:hAnsi="Times New Roman" w:cs="Times New Roman"/>
          <w:highlight w:val="lightGray"/>
        </w:rPr>
        <w:t>12,5 mg kietosios kapsulės</w:t>
      </w:r>
    </w:p>
    <w:p w14:paraId="7CA8DD3D"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 xml:space="preserve">Kiekvienoje </w:t>
      </w:r>
      <w:r w:rsidR="00E77B39">
        <w:rPr>
          <w:rFonts w:ascii="Times New Roman" w:hAnsi="Times New Roman" w:cs="Times New Roman"/>
        </w:rPr>
        <w:t xml:space="preserve">kietojoje </w:t>
      </w:r>
      <w:r w:rsidRPr="00CE4C3C">
        <w:rPr>
          <w:rFonts w:ascii="Times New Roman" w:hAnsi="Times New Roman" w:cs="Times New Roman"/>
        </w:rPr>
        <w:t xml:space="preserve">kapsulėje yra </w:t>
      </w:r>
      <w:proofErr w:type="spellStart"/>
      <w:r w:rsidRPr="00CE4C3C">
        <w:rPr>
          <w:rFonts w:ascii="Times New Roman" w:hAnsi="Times New Roman" w:cs="Times New Roman"/>
        </w:rPr>
        <w:t>sunitinibo</w:t>
      </w:r>
      <w:proofErr w:type="spellEnd"/>
      <w:r w:rsidRPr="00CE4C3C">
        <w:rPr>
          <w:rFonts w:ascii="Times New Roman" w:hAnsi="Times New Roman" w:cs="Times New Roman"/>
        </w:rPr>
        <w:t xml:space="preserve"> </w:t>
      </w:r>
      <w:proofErr w:type="spellStart"/>
      <w:r w:rsidRPr="00CE4C3C">
        <w:rPr>
          <w:rFonts w:ascii="Times New Roman" w:hAnsi="Times New Roman" w:cs="Times New Roman"/>
        </w:rPr>
        <w:t>ciklamato</w:t>
      </w:r>
      <w:proofErr w:type="spellEnd"/>
      <w:r w:rsidRPr="00CE4C3C">
        <w:rPr>
          <w:rFonts w:ascii="Times New Roman" w:hAnsi="Times New Roman" w:cs="Times New Roman"/>
        </w:rPr>
        <w:t xml:space="preserve">, atitinkančio 12,5 mg </w:t>
      </w:r>
      <w:proofErr w:type="spellStart"/>
      <w:r w:rsidRPr="00CE4C3C">
        <w:rPr>
          <w:rFonts w:ascii="Times New Roman" w:hAnsi="Times New Roman" w:cs="Times New Roman"/>
        </w:rPr>
        <w:t>sunitinibo</w:t>
      </w:r>
      <w:proofErr w:type="spellEnd"/>
      <w:r w:rsidRPr="00CE4C3C">
        <w:rPr>
          <w:rFonts w:ascii="Times New Roman" w:hAnsi="Times New Roman" w:cs="Times New Roman"/>
        </w:rPr>
        <w:t>.</w:t>
      </w:r>
    </w:p>
    <w:p w14:paraId="753C5B4D" w14:textId="77777777" w:rsidR="00D210A7" w:rsidRPr="00CE4C3C" w:rsidRDefault="00D210A7" w:rsidP="00CE4C3C">
      <w:pPr>
        <w:spacing w:line="240" w:lineRule="auto"/>
        <w:rPr>
          <w:rFonts w:ascii="Times New Roman" w:hAnsi="Times New Roman" w:cs="Times New Roman"/>
        </w:rPr>
      </w:pPr>
    </w:p>
    <w:p w14:paraId="278799C7" w14:textId="77777777" w:rsidR="00D210A7" w:rsidRPr="00CE4C3C" w:rsidRDefault="00D210A7" w:rsidP="00CE4C3C">
      <w:pPr>
        <w:spacing w:line="240" w:lineRule="auto"/>
        <w:rPr>
          <w:rFonts w:ascii="Times New Roman" w:hAnsi="Times New Roman" w:cs="Times New Roman"/>
          <w:highlight w:val="lightGray"/>
        </w:rPr>
      </w:pPr>
      <w:r w:rsidRPr="00CE4C3C">
        <w:rPr>
          <w:rFonts w:ascii="Times New Roman" w:hAnsi="Times New Roman" w:cs="Times New Roman"/>
          <w:noProof/>
          <w:highlight w:val="lightGray"/>
        </w:rPr>
        <w:t xml:space="preserve">Klertis </w:t>
      </w:r>
      <w:r w:rsidRPr="00CE4C3C">
        <w:rPr>
          <w:rFonts w:ascii="Times New Roman" w:hAnsi="Times New Roman" w:cs="Times New Roman"/>
          <w:highlight w:val="lightGray"/>
        </w:rPr>
        <w:t>25 mg kietosios kapsulės</w:t>
      </w:r>
    </w:p>
    <w:p w14:paraId="18232410" w14:textId="77777777" w:rsidR="00D210A7" w:rsidRPr="00CE4C3C" w:rsidRDefault="00D210A7" w:rsidP="00CE4C3C">
      <w:pPr>
        <w:spacing w:line="240" w:lineRule="auto"/>
        <w:rPr>
          <w:rFonts w:ascii="Times New Roman" w:hAnsi="Times New Roman" w:cs="Times New Roman"/>
          <w:highlight w:val="lightGray"/>
        </w:rPr>
      </w:pPr>
      <w:r w:rsidRPr="00CE4C3C">
        <w:rPr>
          <w:rFonts w:ascii="Times New Roman" w:hAnsi="Times New Roman" w:cs="Times New Roman"/>
          <w:highlight w:val="lightGray"/>
        </w:rPr>
        <w:t xml:space="preserve">Kiekvienoje </w:t>
      </w:r>
      <w:r w:rsidR="00E77B39">
        <w:rPr>
          <w:rFonts w:ascii="Times New Roman" w:hAnsi="Times New Roman" w:cs="Times New Roman"/>
          <w:highlight w:val="lightGray"/>
        </w:rPr>
        <w:t xml:space="preserve">kietojoje </w:t>
      </w:r>
      <w:r w:rsidRPr="00CE4C3C">
        <w:rPr>
          <w:rFonts w:ascii="Times New Roman" w:hAnsi="Times New Roman" w:cs="Times New Roman"/>
          <w:highlight w:val="lightGray"/>
        </w:rPr>
        <w:t xml:space="preserve">kapsulėje yra </w:t>
      </w:r>
      <w:proofErr w:type="spellStart"/>
      <w:r w:rsidRPr="00CE4C3C">
        <w:rPr>
          <w:rFonts w:ascii="Times New Roman" w:hAnsi="Times New Roman" w:cs="Times New Roman"/>
          <w:highlight w:val="lightGray"/>
        </w:rPr>
        <w:t>sunitinibo</w:t>
      </w:r>
      <w:proofErr w:type="spellEnd"/>
      <w:r w:rsidRPr="00CE4C3C">
        <w:rPr>
          <w:rFonts w:ascii="Times New Roman" w:hAnsi="Times New Roman" w:cs="Times New Roman"/>
          <w:highlight w:val="lightGray"/>
        </w:rPr>
        <w:t xml:space="preserve"> </w:t>
      </w:r>
      <w:proofErr w:type="spellStart"/>
      <w:r w:rsidRPr="00CE4C3C">
        <w:rPr>
          <w:rFonts w:ascii="Times New Roman" w:hAnsi="Times New Roman" w:cs="Times New Roman"/>
          <w:highlight w:val="lightGray"/>
        </w:rPr>
        <w:t>ciklamato</w:t>
      </w:r>
      <w:proofErr w:type="spellEnd"/>
      <w:r w:rsidRPr="00CE4C3C">
        <w:rPr>
          <w:rFonts w:ascii="Times New Roman" w:hAnsi="Times New Roman" w:cs="Times New Roman"/>
          <w:highlight w:val="lightGray"/>
        </w:rPr>
        <w:t xml:space="preserve">, atitinkančio 25 mg </w:t>
      </w:r>
      <w:proofErr w:type="spellStart"/>
      <w:r w:rsidRPr="00CE4C3C">
        <w:rPr>
          <w:rFonts w:ascii="Times New Roman" w:hAnsi="Times New Roman" w:cs="Times New Roman"/>
          <w:highlight w:val="lightGray"/>
        </w:rPr>
        <w:t>sunitinibo</w:t>
      </w:r>
      <w:proofErr w:type="spellEnd"/>
      <w:r w:rsidRPr="00CE4C3C">
        <w:rPr>
          <w:rFonts w:ascii="Times New Roman" w:hAnsi="Times New Roman" w:cs="Times New Roman"/>
          <w:highlight w:val="lightGray"/>
        </w:rPr>
        <w:t>.</w:t>
      </w:r>
    </w:p>
    <w:p w14:paraId="172B3934" w14:textId="77777777" w:rsidR="00D210A7" w:rsidRPr="00CE4C3C" w:rsidRDefault="00D210A7" w:rsidP="00CE4C3C">
      <w:pPr>
        <w:spacing w:line="240" w:lineRule="auto"/>
        <w:rPr>
          <w:rFonts w:ascii="Times New Roman" w:hAnsi="Times New Roman" w:cs="Times New Roman"/>
          <w:highlight w:val="lightGray"/>
        </w:rPr>
      </w:pPr>
    </w:p>
    <w:p w14:paraId="703E4CFD"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noProof/>
          <w:highlight w:val="lightGray"/>
        </w:rPr>
        <w:t>Klertis 50</w:t>
      </w:r>
      <w:r w:rsidRPr="00CE4C3C">
        <w:rPr>
          <w:rFonts w:ascii="Times New Roman" w:hAnsi="Times New Roman" w:cs="Times New Roman"/>
          <w:highlight w:val="lightGray"/>
        </w:rPr>
        <w:t> mg kietosios kapsulės</w:t>
      </w:r>
    </w:p>
    <w:p w14:paraId="211C8298"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highlight w:val="lightGray"/>
        </w:rPr>
        <w:t>Kiekvienoje</w:t>
      </w:r>
      <w:r w:rsidR="00E77B39">
        <w:rPr>
          <w:rFonts w:ascii="Times New Roman" w:hAnsi="Times New Roman" w:cs="Times New Roman"/>
          <w:highlight w:val="lightGray"/>
        </w:rPr>
        <w:t xml:space="preserve"> kietojoje</w:t>
      </w:r>
      <w:r w:rsidRPr="00CE4C3C">
        <w:rPr>
          <w:rFonts w:ascii="Times New Roman" w:hAnsi="Times New Roman" w:cs="Times New Roman"/>
          <w:highlight w:val="lightGray"/>
        </w:rPr>
        <w:t xml:space="preserve"> kapsulėje yra </w:t>
      </w:r>
      <w:proofErr w:type="spellStart"/>
      <w:r w:rsidRPr="00CE4C3C">
        <w:rPr>
          <w:rFonts w:ascii="Times New Roman" w:hAnsi="Times New Roman" w:cs="Times New Roman"/>
          <w:highlight w:val="lightGray"/>
        </w:rPr>
        <w:t>sunitinibo</w:t>
      </w:r>
      <w:proofErr w:type="spellEnd"/>
      <w:r w:rsidRPr="00CE4C3C">
        <w:rPr>
          <w:rFonts w:ascii="Times New Roman" w:hAnsi="Times New Roman" w:cs="Times New Roman"/>
          <w:highlight w:val="lightGray"/>
        </w:rPr>
        <w:t xml:space="preserve"> </w:t>
      </w:r>
      <w:proofErr w:type="spellStart"/>
      <w:r w:rsidRPr="00CE4C3C">
        <w:rPr>
          <w:rFonts w:ascii="Times New Roman" w:hAnsi="Times New Roman" w:cs="Times New Roman"/>
          <w:highlight w:val="lightGray"/>
        </w:rPr>
        <w:t>ciklamato</w:t>
      </w:r>
      <w:proofErr w:type="spellEnd"/>
      <w:r w:rsidRPr="00CE4C3C">
        <w:rPr>
          <w:rFonts w:ascii="Times New Roman" w:hAnsi="Times New Roman" w:cs="Times New Roman"/>
          <w:highlight w:val="lightGray"/>
        </w:rPr>
        <w:t xml:space="preserve">, atitinkančio 50 mg </w:t>
      </w:r>
      <w:proofErr w:type="spellStart"/>
      <w:r w:rsidRPr="00CE4C3C">
        <w:rPr>
          <w:rFonts w:ascii="Times New Roman" w:hAnsi="Times New Roman" w:cs="Times New Roman"/>
          <w:highlight w:val="lightGray"/>
        </w:rPr>
        <w:t>sunitinibo</w:t>
      </w:r>
      <w:proofErr w:type="spellEnd"/>
      <w:r w:rsidRPr="00CE4C3C">
        <w:rPr>
          <w:rFonts w:ascii="Times New Roman" w:hAnsi="Times New Roman" w:cs="Times New Roman"/>
          <w:highlight w:val="lightGray"/>
        </w:rPr>
        <w:t>.</w:t>
      </w:r>
    </w:p>
    <w:p w14:paraId="5DCABE49" w14:textId="77777777" w:rsidR="00D210A7" w:rsidRPr="00CE4C3C" w:rsidRDefault="00D210A7" w:rsidP="00CE4C3C">
      <w:pPr>
        <w:spacing w:line="240" w:lineRule="auto"/>
        <w:rPr>
          <w:rFonts w:ascii="Times New Roman" w:hAnsi="Times New Roman" w:cs="Times New Roman"/>
        </w:rPr>
      </w:pPr>
    </w:p>
    <w:p w14:paraId="45F2D1C8" w14:textId="77777777" w:rsidR="00D210A7" w:rsidRPr="00CE4C3C" w:rsidRDefault="00D210A7" w:rsidP="00CE4C3C">
      <w:pPr>
        <w:spacing w:line="240" w:lineRule="auto"/>
        <w:rPr>
          <w:rFonts w:ascii="Times New Roman" w:hAnsi="Times New Roman" w:cs="Times New Roman"/>
        </w:rPr>
      </w:pPr>
    </w:p>
    <w:p w14:paraId="0F66C8A4"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CE4C3C">
        <w:rPr>
          <w:rFonts w:ascii="Times New Roman" w:hAnsi="Times New Roman" w:cs="Times New Roman"/>
          <w:b/>
        </w:rPr>
        <w:t>3.</w:t>
      </w:r>
      <w:r w:rsidRPr="00CE4C3C">
        <w:rPr>
          <w:rFonts w:ascii="Times New Roman" w:hAnsi="Times New Roman" w:cs="Times New Roman"/>
          <w:b/>
        </w:rPr>
        <w:tab/>
        <w:t>PAGALBINIŲ MEDŽIAGŲ SĄRAŠAS</w:t>
      </w:r>
    </w:p>
    <w:p w14:paraId="752BED07" w14:textId="77777777" w:rsidR="00D210A7" w:rsidRPr="00CE4C3C" w:rsidRDefault="00D210A7" w:rsidP="00CE4C3C">
      <w:pPr>
        <w:spacing w:line="240" w:lineRule="auto"/>
        <w:rPr>
          <w:rFonts w:ascii="Times New Roman" w:hAnsi="Times New Roman" w:cs="Times New Roman"/>
        </w:rPr>
      </w:pPr>
    </w:p>
    <w:p w14:paraId="31312140" w14:textId="77777777" w:rsidR="00D210A7" w:rsidRPr="00CE4C3C" w:rsidRDefault="00D210A7" w:rsidP="00CE4C3C">
      <w:pPr>
        <w:spacing w:line="240" w:lineRule="auto"/>
        <w:rPr>
          <w:rFonts w:ascii="Times New Roman" w:hAnsi="Times New Roman" w:cs="Times New Roman"/>
        </w:rPr>
      </w:pPr>
    </w:p>
    <w:p w14:paraId="44D569E5"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CE4C3C">
        <w:rPr>
          <w:rFonts w:ascii="Times New Roman" w:hAnsi="Times New Roman" w:cs="Times New Roman"/>
          <w:b/>
        </w:rPr>
        <w:t>4.</w:t>
      </w:r>
      <w:r w:rsidRPr="00CE4C3C">
        <w:rPr>
          <w:rFonts w:ascii="Times New Roman" w:hAnsi="Times New Roman" w:cs="Times New Roman"/>
          <w:b/>
        </w:rPr>
        <w:tab/>
        <w:t>FARMACINĖ FORMA IR KIEKIS PAKUOTĖJE</w:t>
      </w:r>
    </w:p>
    <w:p w14:paraId="4A4C4145" w14:textId="77777777" w:rsidR="00D210A7" w:rsidRPr="00CE4C3C" w:rsidRDefault="00D210A7" w:rsidP="00CE4C3C">
      <w:pPr>
        <w:spacing w:line="240" w:lineRule="auto"/>
        <w:rPr>
          <w:rFonts w:ascii="Times New Roman" w:hAnsi="Times New Roman" w:cs="Times New Roman"/>
        </w:rPr>
      </w:pPr>
    </w:p>
    <w:p w14:paraId="6A70CE0E"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highlight w:val="lightGray"/>
        </w:rPr>
        <w:t>Kietoji kapsulė</w:t>
      </w:r>
    </w:p>
    <w:p w14:paraId="049DCEB3" w14:textId="77777777" w:rsidR="00D210A7" w:rsidRPr="00CE4C3C" w:rsidRDefault="00D210A7" w:rsidP="00CE4C3C">
      <w:pPr>
        <w:spacing w:line="240" w:lineRule="auto"/>
        <w:rPr>
          <w:rFonts w:ascii="Times New Roman" w:hAnsi="Times New Roman" w:cs="Times New Roman"/>
        </w:rPr>
      </w:pPr>
    </w:p>
    <w:p w14:paraId="350F53D0"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Lizdinė plokštelė</w:t>
      </w:r>
    </w:p>
    <w:p w14:paraId="280F218A"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28 kapsulės</w:t>
      </w:r>
    </w:p>
    <w:p w14:paraId="67866FD7" w14:textId="77777777" w:rsidR="00D210A7" w:rsidRPr="00CE4C3C" w:rsidRDefault="00D210A7" w:rsidP="00CE4C3C">
      <w:pPr>
        <w:spacing w:line="240" w:lineRule="auto"/>
        <w:rPr>
          <w:rFonts w:ascii="Times New Roman" w:hAnsi="Times New Roman" w:cs="Times New Roman"/>
          <w:highlight w:val="lightGray"/>
        </w:rPr>
      </w:pPr>
    </w:p>
    <w:p w14:paraId="2B7D7A9A" w14:textId="066B3B88" w:rsidR="00D210A7" w:rsidRPr="00CE4C3C" w:rsidRDefault="00A54CE1" w:rsidP="00CE4C3C">
      <w:pPr>
        <w:spacing w:line="240" w:lineRule="auto"/>
        <w:rPr>
          <w:rFonts w:ascii="Times New Roman" w:hAnsi="Times New Roman" w:cs="Times New Roman"/>
        </w:rPr>
      </w:pPr>
      <w:r>
        <w:rPr>
          <w:rFonts w:ascii="Times New Roman" w:hAnsi="Times New Roman" w:cs="Times New Roman"/>
        </w:rPr>
        <w:t xml:space="preserve">DTPE </w:t>
      </w:r>
      <w:r w:rsidR="006E2D71">
        <w:rPr>
          <w:rFonts w:ascii="Times New Roman" w:hAnsi="Times New Roman" w:cs="Times New Roman"/>
        </w:rPr>
        <w:t>b</w:t>
      </w:r>
      <w:r w:rsidR="00D210A7" w:rsidRPr="00CE4C3C">
        <w:rPr>
          <w:rFonts w:ascii="Times New Roman" w:hAnsi="Times New Roman" w:cs="Times New Roman"/>
        </w:rPr>
        <w:t>uteliukas</w:t>
      </w:r>
    </w:p>
    <w:p w14:paraId="07D52437"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30 kapsulių</w:t>
      </w:r>
    </w:p>
    <w:p w14:paraId="16DB0349" w14:textId="77777777" w:rsidR="00D210A7" w:rsidRPr="00CE4C3C" w:rsidRDefault="00D210A7" w:rsidP="00CE4C3C">
      <w:pPr>
        <w:spacing w:line="240" w:lineRule="auto"/>
        <w:rPr>
          <w:rFonts w:ascii="Times New Roman" w:hAnsi="Times New Roman" w:cs="Times New Roman"/>
        </w:rPr>
      </w:pPr>
    </w:p>
    <w:p w14:paraId="6B19CEED" w14:textId="77777777" w:rsidR="00D210A7" w:rsidRPr="00CE4C3C" w:rsidRDefault="00D210A7" w:rsidP="00CE4C3C">
      <w:pPr>
        <w:spacing w:line="240" w:lineRule="auto"/>
        <w:rPr>
          <w:rFonts w:ascii="Times New Roman" w:hAnsi="Times New Roman" w:cs="Times New Roman"/>
        </w:rPr>
      </w:pPr>
    </w:p>
    <w:p w14:paraId="582437E8"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CE4C3C">
        <w:rPr>
          <w:rFonts w:ascii="Times New Roman" w:hAnsi="Times New Roman" w:cs="Times New Roman"/>
          <w:b/>
        </w:rPr>
        <w:t>5.</w:t>
      </w:r>
      <w:r w:rsidRPr="00CE4C3C">
        <w:rPr>
          <w:rFonts w:ascii="Times New Roman" w:hAnsi="Times New Roman" w:cs="Times New Roman"/>
          <w:b/>
        </w:rPr>
        <w:tab/>
        <w:t>VARTOJIMO METODAS IR BŪDAS (-AI)</w:t>
      </w:r>
    </w:p>
    <w:p w14:paraId="0081A902" w14:textId="77777777" w:rsidR="00D210A7" w:rsidRPr="00CE4C3C" w:rsidRDefault="00D210A7" w:rsidP="00CE4C3C">
      <w:pPr>
        <w:spacing w:line="240" w:lineRule="auto"/>
        <w:rPr>
          <w:rFonts w:ascii="Times New Roman" w:hAnsi="Times New Roman" w:cs="Times New Roman"/>
        </w:rPr>
      </w:pPr>
    </w:p>
    <w:p w14:paraId="093D7085"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Vartoti per burną.</w:t>
      </w:r>
    </w:p>
    <w:p w14:paraId="15125A0A"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Prieš vartojimą perskaitykite pakuotės lapelį.</w:t>
      </w:r>
    </w:p>
    <w:p w14:paraId="7C14E7B1" w14:textId="77777777" w:rsidR="00D210A7" w:rsidRPr="00CE4C3C" w:rsidRDefault="00D210A7" w:rsidP="00CE4C3C">
      <w:pPr>
        <w:spacing w:line="240" w:lineRule="auto"/>
        <w:rPr>
          <w:rFonts w:ascii="Times New Roman" w:hAnsi="Times New Roman" w:cs="Times New Roman"/>
        </w:rPr>
      </w:pPr>
    </w:p>
    <w:p w14:paraId="49096062" w14:textId="77777777" w:rsidR="00D210A7" w:rsidRPr="00CE4C3C" w:rsidRDefault="00D210A7" w:rsidP="00CE4C3C">
      <w:pPr>
        <w:spacing w:line="240" w:lineRule="auto"/>
        <w:rPr>
          <w:rFonts w:ascii="Times New Roman" w:hAnsi="Times New Roman" w:cs="Times New Roman"/>
        </w:rPr>
      </w:pPr>
    </w:p>
    <w:p w14:paraId="07C36134"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CE4C3C">
        <w:rPr>
          <w:rFonts w:ascii="Times New Roman" w:hAnsi="Times New Roman" w:cs="Times New Roman"/>
          <w:b/>
        </w:rPr>
        <w:t>6.</w:t>
      </w:r>
      <w:r w:rsidRPr="00CE4C3C">
        <w:rPr>
          <w:rFonts w:ascii="Times New Roman" w:hAnsi="Times New Roman" w:cs="Times New Roman"/>
          <w:b/>
        </w:rPr>
        <w:tab/>
        <w:t>SPECIALUS ĮSPĖJIMAS, KAD VAISTINĮ PREPARATĄ BŪTINA LAIKYTI VAIKAMS NEPASTEBIMOJE IR  NEPASIEKIAMOJE VIETOJE</w:t>
      </w:r>
    </w:p>
    <w:p w14:paraId="6D74B3F2" w14:textId="77777777" w:rsidR="00D210A7" w:rsidRPr="00CE4C3C" w:rsidRDefault="00D210A7" w:rsidP="00CE4C3C">
      <w:pPr>
        <w:spacing w:line="240" w:lineRule="auto"/>
        <w:rPr>
          <w:rFonts w:ascii="Times New Roman" w:hAnsi="Times New Roman" w:cs="Times New Roman"/>
        </w:rPr>
      </w:pPr>
    </w:p>
    <w:p w14:paraId="312843A0"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Laikyti vaikams nepastebimoje ir nepasiekiamoje vietoje.</w:t>
      </w:r>
    </w:p>
    <w:p w14:paraId="70B71C93" w14:textId="77777777" w:rsidR="00D210A7" w:rsidRPr="00CE4C3C" w:rsidRDefault="00D210A7" w:rsidP="00CE4C3C">
      <w:pPr>
        <w:spacing w:line="240" w:lineRule="auto"/>
        <w:rPr>
          <w:rFonts w:ascii="Times New Roman" w:hAnsi="Times New Roman" w:cs="Times New Roman"/>
        </w:rPr>
      </w:pPr>
    </w:p>
    <w:p w14:paraId="3BD0303C" w14:textId="77777777" w:rsidR="00D210A7" w:rsidRPr="00CE4C3C" w:rsidRDefault="00D210A7" w:rsidP="00CE4C3C">
      <w:pPr>
        <w:spacing w:line="240" w:lineRule="auto"/>
        <w:rPr>
          <w:rFonts w:ascii="Times New Roman" w:hAnsi="Times New Roman" w:cs="Times New Roman"/>
        </w:rPr>
      </w:pPr>
    </w:p>
    <w:p w14:paraId="3CD738F3"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CE4C3C">
        <w:rPr>
          <w:rFonts w:ascii="Times New Roman" w:hAnsi="Times New Roman" w:cs="Times New Roman"/>
          <w:b/>
        </w:rPr>
        <w:t>7.</w:t>
      </w:r>
      <w:r w:rsidRPr="00CE4C3C">
        <w:rPr>
          <w:rFonts w:ascii="Times New Roman" w:hAnsi="Times New Roman" w:cs="Times New Roman"/>
          <w:b/>
        </w:rPr>
        <w:tab/>
        <w:t>KITAS (-I) SPECIALUS (-ŪS) ĮSPĖJIMAS (-AI) (JEI REIKIA)</w:t>
      </w:r>
    </w:p>
    <w:p w14:paraId="27B0A33D" w14:textId="77777777" w:rsidR="00D210A7" w:rsidRPr="00CE4C3C" w:rsidRDefault="00D210A7" w:rsidP="00CE4C3C">
      <w:pPr>
        <w:spacing w:line="240" w:lineRule="auto"/>
        <w:rPr>
          <w:rFonts w:ascii="Times New Roman" w:hAnsi="Times New Roman" w:cs="Times New Roman"/>
        </w:rPr>
      </w:pPr>
    </w:p>
    <w:p w14:paraId="3E731049" w14:textId="77777777" w:rsidR="00D210A7" w:rsidRPr="00CE4C3C" w:rsidRDefault="00D210A7" w:rsidP="00CE4C3C">
      <w:pPr>
        <w:spacing w:line="240" w:lineRule="auto"/>
        <w:rPr>
          <w:rFonts w:ascii="Times New Roman" w:hAnsi="Times New Roman" w:cs="Times New Roman"/>
        </w:rPr>
      </w:pPr>
      <w:proofErr w:type="spellStart"/>
      <w:r w:rsidRPr="00CE4C3C">
        <w:rPr>
          <w:rFonts w:ascii="Times New Roman" w:hAnsi="Times New Roman" w:cs="Times New Roman"/>
        </w:rPr>
        <w:t>Citotoksinis</w:t>
      </w:r>
      <w:proofErr w:type="spellEnd"/>
      <w:r w:rsidRPr="00CE4C3C">
        <w:rPr>
          <w:rFonts w:ascii="Times New Roman" w:hAnsi="Times New Roman" w:cs="Times New Roman"/>
        </w:rPr>
        <w:t>.</w:t>
      </w:r>
    </w:p>
    <w:p w14:paraId="5F44920A" w14:textId="77777777" w:rsidR="00D210A7" w:rsidRPr="00CE4C3C" w:rsidRDefault="00D210A7" w:rsidP="00CE4C3C">
      <w:pPr>
        <w:spacing w:line="240" w:lineRule="auto"/>
        <w:rPr>
          <w:rFonts w:ascii="Times New Roman" w:hAnsi="Times New Roman" w:cs="Times New Roman"/>
        </w:rPr>
      </w:pPr>
    </w:p>
    <w:p w14:paraId="64A37B72"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CE4C3C">
        <w:rPr>
          <w:rFonts w:ascii="Times New Roman" w:hAnsi="Times New Roman" w:cs="Times New Roman"/>
          <w:b/>
        </w:rPr>
        <w:lastRenderedPageBreak/>
        <w:t>8.</w:t>
      </w:r>
      <w:r w:rsidRPr="00CE4C3C">
        <w:rPr>
          <w:rFonts w:ascii="Times New Roman" w:hAnsi="Times New Roman" w:cs="Times New Roman"/>
          <w:b/>
        </w:rPr>
        <w:tab/>
        <w:t>TINKAMUMO LAIKAS</w:t>
      </w:r>
    </w:p>
    <w:p w14:paraId="6EC3C13E" w14:textId="77777777" w:rsidR="00D210A7" w:rsidRPr="00CE4C3C" w:rsidRDefault="00D210A7" w:rsidP="00CE4C3C">
      <w:pPr>
        <w:spacing w:line="240" w:lineRule="auto"/>
        <w:rPr>
          <w:rFonts w:ascii="Times New Roman" w:hAnsi="Times New Roman" w:cs="Times New Roman"/>
        </w:rPr>
      </w:pPr>
    </w:p>
    <w:p w14:paraId="66D958E3"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EXP:</w:t>
      </w:r>
    </w:p>
    <w:p w14:paraId="3B33F5ED" w14:textId="77777777" w:rsidR="00D210A7" w:rsidRPr="00CE4C3C" w:rsidRDefault="00D210A7" w:rsidP="00CE4C3C">
      <w:pPr>
        <w:spacing w:line="240" w:lineRule="auto"/>
        <w:rPr>
          <w:rFonts w:ascii="Times New Roman" w:hAnsi="Times New Roman" w:cs="Times New Roman"/>
        </w:rPr>
      </w:pPr>
    </w:p>
    <w:p w14:paraId="536E496E" w14:textId="77777777" w:rsidR="00D210A7" w:rsidRPr="00CE4C3C" w:rsidRDefault="00D210A7" w:rsidP="00CE4C3C">
      <w:pPr>
        <w:spacing w:line="240" w:lineRule="auto"/>
        <w:rPr>
          <w:rFonts w:ascii="Times New Roman" w:hAnsi="Times New Roman" w:cs="Times New Roman"/>
        </w:rPr>
      </w:pPr>
    </w:p>
    <w:p w14:paraId="4903F3FA" w14:textId="77777777" w:rsidR="00D210A7" w:rsidRPr="00CE4C3C" w:rsidRDefault="00D210A7" w:rsidP="00CE4C3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CE4C3C">
        <w:rPr>
          <w:rFonts w:ascii="Times New Roman" w:hAnsi="Times New Roman" w:cs="Times New Roman"/>
          <w:b/>
        </w:rPr>
        <w:t>9.</w:t>
      </w:r>
      <w:r w:rsidRPr="00CE4C3C">
        <w:rPr>
          <w:rFonts w:ascii="Times New Roman" w:hAnsi="Times New Roman" w:cs="Times New Roman"/>
          <w:b/>
        </w:rPr>
        <w:tab/>
        <w:t>SPECIALIOS LAIKYMO SĄLYGOS</w:t>
      </w:r>
    </w:p>
    <w:p w14:paraId="37B390B1" w14:textId="77777777" w:rsidR="00D210A7" w:rsidRPr="00CE4C3C" w:rsidRDefault="00D210A7" w:rsidP="00CE4C3C">
      <w:pPr>
        <w:spacing w:line="240" w:lineRule="auto"/>
        <w:rPr>
          <w:rFonts w:ascii="Times New Roman" w:hAnsi="Times New Roman" w:cs="Times New Roman"/>
        </w:rPr>
      </w:pPr>
    </w:p>
    <w:p w14:paraId="7EC2AC17" w14:textId="77777777" w:rsidR="00D210A7" w:rsidRPr="00CE4C3C" w:rsidRDefault="00D210A7" w:rsidP="00CE4C3C">
      <w:pPr>
        <w:spacing w:line="240" w:lineRule="auto"/>
        <w:rPr>
          <w:rFonts w:ascii="Times New Roman" w:hAnsi="Times New Roman" w:cs="Times New Roman"/>
        </w:rPr>
      </w:pPr>
    </w:p>
    <w:p w14:paraId="0D50EDBD"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rPr>
      </w:pPr>
      <w:r w:rsidRPr="00CE4C3C">
        <w:rPr>
          <w:rFonts w:ascii="Times New Roman" w:hAnsi="Times New Roman" w:cs="Times New Roman"/>
          <w:b/>
        </w:rPr>
        <w:t>10.</w:t>
      </w:r>
      <w:r w:rsidRPr="00CE4C3C">
        <w:rPr>
          <w:rFonts w:ascii="Times New Roman" w:hAnsi="Times New Roman" w:cs="Times New Roman"/>
          <w:b/>
        </w:rPr>
        <w:tab/>
        <w:t>SPECIALIOS ATSARGUMO PRIEMONĖS DĖL NESUVARTOTO VAISTINIO PREPARATO AR JO ATLIEKŲ TVARKYMO (JEI REIKIA)</w:t>
      </w:r>
    </w:p>
    <w:p w14:paraId="74BD170A" w14:textId="77777777" w:rsidR="00D210A7" w:rsidRPr="00CE4C3C" w:rsidRDefault="00D210A7" w:rsidP="00CE4C3C">
      <w:pPr>
        <w:spacing w:line="240" w:lineRule="auto"/>
        <w:rPr>
          <w:rFonts w:ascii="Times New Roman" w:hAnsi="Times New Roman" w:cs="Times New Roman"/>
        </w:rPr>
      </w:pPr>
    </w:p>
    <w:p w14:paraId="1529E15B" w14:textId="77777777" w:rsidR="00D210A7" w:rsidRPr="00CE4C3C" w:rsidRDefault="00D210A7" w:rsidP="00CE4C3C">
      <w:pPr>
        <w:spacing w:line="240" w:lineRule="auto"/>
        <w:rPr>
          <w:rFonts w:ascii="Times New Roman" w:hAnsi="Times New Roman" w:cs="Times New Roman"/>
        </w:rPr>
      </w:pPr>
    </w:p>
    <w:p w14:paraId="02B72A51" w14:textId="77777777" w:rsidR="00D210A7" w:rsidRPr="00CE4C3C"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b/>
        </w:rPr>
      </w:pPr>
      <w:r w:rsidRPr="00CE4C3C">
        <w:rPr>
          <w:rFonts w:ascii="Times New Roman" w:hAnsi="Times New Roman" w:cs="Times New Roman"/>
          <w:b/>
        </w:rPr>
        <w:t>11.</w:t>
      </w:r>
      <w:r w:rsidRPr="00CE4C3C">
        <w:rPr>
          <w:rFonts w:ascii="Times New Roman" w:hAnsi="Times New Roman" w:cs="Times New Roman"/>
          <w:b/>
        </w:rPr>
        <w:tab/>
      </w:r>
      <w:r w:rsidRPr="00CE4C3C">
        <w:rPr>
          <w:rFonts w:ascii="Times New Roman" w:hAnsi="Times New Roman" w:cs="Times New Roman"/>
          <w:b/>
          <w:caps/>
        </w:rPr>
        <w:t>REGISTRUOTOJO PAVADINIMAS IR ADRESAS</w:t>
      </w:r>
    </w:p>
    <w:p w14:paraId="47DF1920" w14:textId="77777777" w:rsidR="00D210A7" w:rsidRPr="00CE4C3C" w:rsidRDefault="00D210A7" w:rsidP="00CE4C3C">
      <w:pPr>
        <w:spacing w:line="240" w:lineRule="auto"/>
        <w:rPr>
          <w:rFonts w:ascii="Times New Roman" w:hAnsi="Times New Roman" w:cs="Times New Roman"/>
        </w:rPr>
      </w:pPr>
    </w:p>
    <w:p w14:paraId="54D3C734"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Egis Pharmaceuticals PLC</w:t>
      </w:r>
    </w:p>
    <w:p w14:paraId="70B99904" w14:textId="77777777" w:rsidR="00D210A7" w:rsidRDefault="00D210A7" w:rsidP="00CE4C3C">
      <w:pPr>
        <w:spacing w:line="240" w:lineRule="auto"/>
        <w:rPr>
          <w:rFonts w:ascii="Times New Roman" w:hAnsi="Times New Roman" w:cs="Times New Roman"/>
        </w:rPr>
      </w:pPr>
      <w:proofErr w:type="spellStart"/>
      <w:r w:rsidRPr="00CE4C3C">
        <w:rPr>
          <w:rFonts w:ascii="Times New Roman" w:hAnsi="Times New Roman" w:cs="Times New Roman"/>
        </w:rPr>
        <w:t>Keresztúri</w:t>
      </w:r>
      <w:proofErr w:type="spellEnd"/>
      <w:r w:rsidRPr="00CE4C3C">
        <w:rPr>
          <w:rFonts w:ascii="Times New Roman" w:hAnsi="Times New Roman" w:cs="Times New Roman"/>
        </w:rPr>
        <w:t xml:space="preserve"> </w:t>
      </w:r>
      <w:proofErr w:type="spellStart"/>
      <w:r w:rsidRPr="00CE4C3C">
        <w:rPr>
          <w:rFonts w:ascii="Times New Roman" w:hAnsi="Times New Roman" w:cs="Times New Roman"/>
        </w:rPr>
        <w:t>út</w:t>
      </w:r>
      <w:proofErr w:type="spellEnd"/>
      <w:r w:rsidRPr="00CE4C3C">
        <w:rPr>
          <w:rFonts w:ascii="Times New Roman" w:hAnsi="Times New Roman" w:cs="Times New Roman"/>
        </w:rPr>
        <w:t xml:space="preserve"> 30-38</w:t>
      </w:r>
    </w:p>
    <w:p w14:paraId="1B3016D5" w14:textId="77777777" w:rsidR="00B360C7" w:rsidRPr="00CE4C3C" w:rsidRDefault="00B360C7" w:rsidP="00CE4C3C">
      <w:pPr>
        <w:spacing w:line="240" w:lineRule="auto"/>
        <w:rPr>
          <w:rFonts w:ascii="Times New Roman" w:hAnsi="Times New Roman" w:cs="Times New Roman"/>
        </w:rPr>
      </w:pPr>
      <w:r>
        <w:rPr>
          <w:rFonts w:ascii="Times New Roman" w:hAnsi="Times New Roman" w:cs="Times New Roman"/>
        </w:rPr>
        <w:t xml:space="preserve">1106 </w:t>
      </w:r>
      <w:proofErr w:type="spellStart"/>
      <w:r>
        <w:rPr>
          <w:rFonts w:ascii="Times New Roman" w:hAnsi="Times New Roman" w:cs="Times New Roman"/>
        </w:rPr>
        <w:t>Budapest</w:t>
      </w:r>
      <w:proofErr w:type="spellEnd"/>
    </w:p>
    <w:p w14:paraId="1EE89DE8"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Vengrija</w:t>
      </w:r>
    </w:p>
    <w:p w14:paraId="5CFE8D6B" w14:textId="77777777" w:rsidR="00D210A7" w:rsidRPr="00CE4C3C" w:rsidRDefault="00D210A7" w:rsidP="00CE4C3C">
      <w:pPr>
        <w:spacing w:line="240" w:lineRule="auto"/>
        <w:rPr>
          <w:rFonts w:ascii="Times New Roman" w:hAnsi="Times New Roman" w:cs="Times New Roman"/>
        </w:rPr>
      </w:pPr>
    </w:p>
    <w:p w14:paraId="2C842E4B" w14:textId="77777777" w:rsidR="00D210A7" w:rsidRPr="00CE4C3C" w:rsidRDefault="00D210A7" w:rsidP="00CE4C3C">
      <w:pPr>
        <w:spacing w:line="240" w:lineRule="auto"/>
        <w:rPr>
          <w:rFonts w:ascii="Times New Roman" w:hAnsi="Times New Roman" w:cs="Times New Roman"/>
        </w:rPr>
      </w:pPr>
    </w:p>
    <w:p w14:paraId="65F0C6B7" w14:textId="77777777" w:rsidR="00D210A7" w:rsidRPr="00CE4C3C"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rPr>
      </w:pPr>
      <w:r w:rsidRPr="00CE4C3C">
        <w:rPr>
          <w:rFonts w:ascii="Times New Roman" w:hAnsi="Times New Roman" w:cs="Times New Roman"/>
          <w:b/>
        </w:rPr>
        <w:t>12.</w:t>
      </w:r>
      <w:r w:rsidRPr="00CE4C3C">
        <w:rPr>
          <w:rFonts w:ascii="Times New Roman" w:hAnsi="Times New Roman" w:cs="Times New Roman"/>
          <w:b/>
        </w:rPr>
        <w:tab/>
        <w:t xml:space="preserve">REGISTRACIJOS PAŽYMĖJIMO NUMERIS (-IAI) </w:t>
      </w:r>
    </w:p>
    <w:p w14:paraId="610441A8" w14:textId="77777777" w:rsidR="00D210A7" w:rsidRPr="00CE4C3C" w:rsidRDefault="00D210A7" w:rsidP="00CE4C3C">
      <w:pPr>
        <w:spacing w:line="240" w:lineRule="auto"/>
        <w:rPr>
          <w:rFonts w:ascii="Times New Roman" w:hAnsi="Times New Roman" w:cs="Times New Roman"/>
        </w:rPr>
      </w:pPr>
    </w:p>
    <w:p w14:paraId="57DC0557" w14:textId="77777777" w:rsidR="000F5E3E" w:rsidRPr="000F5E3E" w:rsidRDefault="000F5E3E" w:rsidP="000F5E3E">
      <w:pPr>
        <w:spacing w:line="240" w:lineRule="auto"/>
        <w:rPr>
          <w:rFonts w:ascii="Times New Roman" w:hAnsi="Times New Roman" w:cs="Times New Roman"/>
          <w:shd w:val="clear" w:color="auto" w:fill="D9D9D9" w:themeFill="background1" w:themeFillShade="D9"/>
        </w:rPr>
      </w:pPr>
      <w:r w:rsidRPr="000F5E3E">
        <w:rPr>
          <w:rFonts w:ascii="Times New Roman" w:hAnsi="Times New Roman" w:cs="Times New Roman"/>
          <w:shd w:val="clear" w:color="auto" w:fill="D9D9D9" w:themeFill="background1" w:themeFillShade="D9"/>
        </w:rPr>
        <w:t xml:space="preserve">12,5 mg </w:t>
      </w:r>
    </w:p>
    <w:p w14:paraId="2EC5B113" w14:textId="77777777" w:rsidR="000F5E3E" w:rsidRPr="000F5E3E" w:rsidRDefault="000F5E3E" w:rsidP="000F5E3E">
      <w:pPr>
        <w:spacing w:line="240" w:lineRule="auto"/>
        <w:rPr>
          <w:rFonts w:ascii="Times New Roman" w:hAnsi="Times New Roman" w:cs="Times New Roman"/>
          <w:shd w:val="clear" w:color="auto" w:fill="D9D9D9" w:themeFill="background1" w:themeFillShade="D9"/>
        </w:rPr>
      </w:pPr>
      <w:r w:rsidRPr="000F5E3E">
        <w:rPr>
          <w:rFonts w:ascii="Times New Roman" w:hAnsi="Times New Roman" w:cs="Times New Roman"/>
          <w:shd w:val="clear" w:color="auto" w:fill="D9D9D9" w:themeFill="background1" w:themeFillShade="D9"/>
        </w:rPr>
        <w:t xml:space="preserve">lizdinė plokštelė </w:t>
      </w:r>
    </w:p>
    <w:p w14:paraId="7126F0E7" w14:textId="77777777" w:rsidR="000F5E3E" w:rsidRPr="000F5E3E" w:rsidRDefault="000F5E3E" w:rsidP="000F5E3E">
      <w:pPr>
        <w:spacing w:line="240" w:lineRule="auto"/>
        <w:rPr>
          <w:rFonts w:ascii="Times New Roman" w:hAnsi="Times New Roman" w:cs="Times New Roman"/>
          <w:shd w:val="clear" w:color="auto" w:fill="D9D9D9" w:themeFill="background1" w:themeFillShade="D9"/>
        </w:rPr>
      </w:pPr>
      <w:r w:rsidRPr="000F5E3E">
        <w:rPr>
          <w:rFonts w:ascii="Times New Roman" w:hAnsi="Times New Roman" w:cs="Times New Roman"/>
        </w:rPr>
        <w:t xml:space="preserve">LT/1/21/4737/001 </w:t>
      </w:r>
      <w:r w:rsidRPr="000F5E3E">
        <w:rPr>
          <w:rFonts w:ascii="Times New Roman" w:hAnsi="Times New Roman" w:cs="Times New Roman"/>
          <w:shd w:val="clear" w:color="auto" w:fill="D9D9D9" w:themeFill="background1" w:themeFillShade="D9"/>
        </w:rPr>
        <w:t xml:space="preserve">– N28 </w:t>
      </w:r>
    </w:p>
    <w:p w14:paraId="7DF4C74C" w14:textId="77777777" w:rsidR="000F5E3E" w:rsidRPr="000F5E3E" w:rsidRDefault="000F5E3E" w:rsidP="000F5E3E">
      <w:pPr>
        <w:spacing w:line="240" w:lineRule="auto"/>
        <w:rPr>
          <w:rFonts w:ascii="Times New Roman" w:hAnsi="Times New Roman" w:cs="Times New Roman"/>
          <w:shd w:val="clear" w:color="auto" w:fill="D9D9D9" w:themeFill="background1" w:themeFillShade="D9"/>
        </w:rPr>
      </w:pPr>
      <w:r w:rsidRPr="000F5E3E">
        <w:rPr>
          <w:rFonts w:ascii="Times New Roman" w:hAnsi="Times New Roman" w:cs="Times New Roman"/>
          <w:shd w:val="clear" w:color="auto" w:fill="D9D9D9" w:themeFill="background1" w:themeFillShade="D9"/>
        </w:rPr>
        <w:t xml:space="preserve">buteliukas </w:t>
      </w:r>
    </w:p>
    <w:p w14:paraId="1862C946" w14:textId="6B1E691B" w:rsidR="000F5E3E" w:rsidRDefault="000F5E3E" w:rsidP="000F5E3E">
      <w:pPr>
        <w:spacing w:line="240" w:lineRule="auto"/>
        <w:rPr>
          <w:rFonts w:ascii="Times New Roman" w:hAnsi="Times New Roman" w:cs="Times New Roman"/>
        </w:rPr>
      </w:pPr>
      <w:r w:rsidRPr="000F5E3E">
        <w:rPr>
          <w:rFonts w:ascii="Times New Roman" w:hAnsi="Times New Roman" w:cs="Times New Roman"/>
          <w:shd w:val="clear" w:color="auto" w:fill="FFFFFF" w:themeFill="background1"/>
        </w:rPr>
        <w:t xml:space="preserve">LT/1/21/4737/002 </w:t>
      </w:r>
      <w:r w:rsidRPr="002149A6">
        <w:rPr>
          <w:rFonts w:ascii="Times New Roman" w:hAnsi="Times New Roman" w:cs="Times New Roman"/>
          <w:shd w:val="clear" w:color="auto" w:fill="D9D9D9" w:themeFill="background1" w:themeFillShade="D9"/>
        </w:rPr>
        <w:t>– N30</w:t>
      </w:r>
      <w:r w:rsidRPr="000F5E3E">
        <w:rPr>
          <w:rFonts w:ascii="Times New Roman" w:hAnsi="Times New Roman" w:cs="Times New Roman"/>
        </w:rPr>
        <w:tab/>
      </w:r>
    </w:p>
    <w:p w14:paraId="4DE2913D" w14:textId="77777777" w:rsidR="000F5E3E" w:rsidRDefault="000F5E3E" w:rsidP="000F5E3E">
      <w:pPr>
        <w:spacing w:line="240" w:lineRule="auto"/>
        <w:rPr>
          <w:rFonts w:ascii="Times New Roman" w:hAnsi="Times New Roman" w:cs="Times New Roman"/>
          <w:shd w:val="clear" w:color="auto" w:fill="D9D9D9" w:themeFill="background1" w:themeFillShade="D9"/>
        </w:rPr>
      </w:pPr>
    </w:p>
    <w:p w14:paraId="328EB8B4" w14:textId="58AF0869" w:rsidR="000F5E3E" w:rsidRPr="000F5E3E" w:rsidRDefault="000F5E3E" w:rsidP="000F5E3E">
      <w:pPr>
        <w:spacing w:line="240" w:lineRule="auto"/>
        <w:rPr>
          <w:rFonts w:ascii="Times New Roman" w:hAnsi="Times New Roman" w:cs="Times New Roman"/>
        </w:rPr>
      </w:pPr>
      <w:r w:rsidRPr="000F5E3E">
        <w:rPr>
          <w:rFonts w:ascii="Times New Roman" w:hAnsi="Times New Roman" w:cs="Times New Roman"/>
          <w:shd w:val="clear" w:color="auto" w:fill="D9D9D9" w:themeFill="background1" w:themeFillShade="D9"/>
        </w:rPr>
        <w:t>25 mg</w:t>
      </w:r>
    </w:p>
    <w:p w14:paraId="2850A23D" w14:textId="77777777" w:rsidR="000F5E3E" w:rsidRPr="000F5E3E" w:rsidRDefault="000F5E3E" w:rsidP="000F5E3E">
      <w:pPr>
        <w:spacing w:line="240" w:lineRule="auto"/>
        <w:rPr>
          <w:rFonts w:ascii="Times New Roman" w:hAnsi="Times New Roman" w:cs="Times New Roman"/>
          <w:shd w:val="clear" w:color="auto" w:fill="D9D9D9" w:themeFill="background1" w:themeFillShade="D9"/>
        </w:rPr>
      </w:pPr>
      <w:r w:rsidRPr="000F5E3E">
        <w:rPr>
          <w:rFonts w:ascii="Times New Roman" w:hAnsi="Times New Roman" w:cs="Times New Roman"/>
          <w:shd w:val="clear" w:color="auto" w:fill="D9D9D9" w:themeFill="background1" w:themeFillShade="D9"/>
        </w:rPr>
        <w:t>lizdinė plokštelė</w:t>
      </w:r>
    </w:p>
    <w:p w14:paraId="386CD7A0" w14:textId="77777777" w:rsidR="000F5E3E" w:rsidRPr="000F5E3E" w:rsidRDefault="000F5E3E" w:rsidP="000F5E3E">
      <w:pPr>
        <w:spacing w:line="240" w:lineRule="auto"/>
        <w:rPr>
          <w:rFonts w:ascii="Times New Roman" w:hAnsi="Times New Roman" w:cs="Times New Roman"/>
        </w:rPr>
      </w:pPr>
      <w:r w:rsidRPr="000F5E3E">
        <w:rPr>
          <w:rFonts w:ascii="Times New Roman" w:hAnsi="Times New Roman" w:cs="Times New Roman"/>
        </w:rPr>
        <w:t xml:space="preserve">LT/1/21/4738/001 </w:t>
      </w:r>
      <w:r w:rsidRPr="002149A6">
        <w:rPr>
          <w:rFonts w:ascii="Times New Roman" w:hAnsi="Times New Roman" w:cs="Times New Roman"/>
          <w:shd w:val="clear" w:color="auto" w:fill="D9D9D9" w:themeFill="background1" w:themeFillShade="D9"/>
        </w:rPr>
        <w:t>– N28</w:t>
      </w:r>
    </w:p>
    <w:p w14:paraId="4298EA52" w14:textId="77777777" w:rsidR="000F5E3E" w:rsidRPr="000F5E3E" w:rsidRDefault="000F5E3E" w:rsidP="000F5E3E">
      <w:pPr>
        <w:spacing w:line="240" w:lineRule="auto"/>
        <w:rPr>
          <w:rFonts w:ascii="Times New Roman" w:hAnsi="Times New Roman" w:cs="Times New Roman"/>
          <w:shd w:val="clear" w:color="auto" w:fill="D9D9D9" w:themeFill="background1" w:themeFillShade="D9"/>
        </w:rPr>
      </w:pPr>
      <w:r w:rsidRPr="000F5E3E">
        <w:rPr>
          <w:rFonts w:ascii="Times New Roman" w:hAnsi="Times New Roman" w:cs="Times New Roman"/>
          <w:shd w:val="clear" w:color="auto" w:fill="D9D9D9" w:themeFill="background1" w:themeFillShade="D9"/>
        </w:rPr>
        <w:t>buteliukas</w:t>
      </w:r>
    </w:p>
    <w:p w14:paraId="72B028E9" w14:textId="08B31165" w:rsidR="000F5E3E" w:rsidRPr="000F5E3E" w:rsidRDefault="000F5E3E" w:rsidP="000F5E3E">
      <w:pPr>
        <w:spacing w:line="240" w:lineRule="auto"/>
        <w:rPr>
          <w:rFonts w:ascii="Times New Roman" w:hAnsi="Times New Roman" w:cs="Times New Roman"/>
          <w:shd w:val="clear" w:color="auto" w:fill="FFFFFF" w:themeFill="background1"/>
        </w:rPr>
      </w:pPr>
      <w:r w:rsidRPr="000F5E3E">
        <w:rPr>
          <w:rFonts w:ascii="Times New Roman" w:hAnsi="Times New Roman" w:cs="Times New Roman"/>
          <w:shd w:val="clear" w:color="auto" w:fill="FFFFFF" w:themeFill="background1"/>
        </w:rPr>
        <w:t xml:space="preserve">LT/1/21/4738/002 </w:t>
      </w:r>
      <w:r w:rsidRPr="002149A6">
        <w:rPr>
          <w:rFonts w:ascii="Times New Roman" w:hAnsi="Times New Roman" w:cs="Times New Roman"/>
          <w:shd w:val="clear" w:color="auto" w:fill="D9D9D9" w:themeFill="background1" w:themeFillShade="D9"/>
        </w:rPr>
        <w:t>– N30</w:t>
      </w:r>
    </w:p>
    <w:p w14:paraId="5360D1A2" w14:textId="77777777" w:rsidR="000F5E3E" w:rsidRDefault="000F5E3E" w:rsidP="000F5E3E">
      <w:pPr>
        <w:spacing w:line="240" w:lineRule="auto"/>
        <w:rPr>
          <w:rFonts w:ascii="Times New Roman" w:hAnsi="Times New Roman" w:cs="Times New Roman"/>
          <w:shd w:val="clear" w:color="auto" w:fill="D9D9D9" w:themeFill="background1" w:themeFillShade="D9"/>
        </w:rPr>
      </w:pPr>
    </w:p>
    <w:p w14:paraId="7F62136B" w14:textId="07EABCFC" w:rsidR="000F5E3E" w:rsidRPr="000F5E3E" w:rsidRDefault="000F5E3E" w:rsidP="000F5E3E">
      <w:pPr>
        <w:spacing w:line="240" w:lineRule="auto"/>
        <w:rPr>
          <w:rFonts w:ascii="Times New Roman" w:hAnsi="Times New Roman" w:cs="Times New Roman"/>
        </w:rPr>
      </w:pPr>
      <w:r w:rsidRPr="000F5E3E">
        <w:rPr>
          <w:rFonts w:ascii="Times New Roman" w:hAnsi="Times New Roman" w:cs="Times New Roman"/>
          <w:shd w:val="clear" w:color="auto" w:fill="D9D9D9" w:themeFill="background1" w:themeFillShade="D9"/>
        </w:rPr>
        <w:t>50 mg</w:t>
      </w:r>
    </w:p>
    <w:p w14:paraId="708FE295" w14:textId="77777777" w:rsidR="000F5E3E" w:rsidRPr="000F5E3E" w:rsidRDefault="000F5E3E" w:rsidP="000F5E3E">
      <w:pPr>
        <w:spacing w:line="240" w:lineRule="auto"/>
        <w:rPr>
          <w:rFonts w:ascii="Times New Roman" w:hAnsi="Times New Roman" w:cs="Times New Roman"/>
          <w:shd w:val="clear" w:color="auto" w:fill="D9D9D9" w:themeFill="background1" w:themeFillShade="D9"/>
        </w:rPr>
      </w:pPr>
      <w:r w:rsidRPr="000F5E3E">
        <w:rPr>
          <w:rFonts w:ascii="Times New Roman" w:hAnsi="Times New Roman" w:cs="Times New Roman"/>
          <w:shd w:val="clear" w:color="auto" w:fill="D9D9D9" w:themeFill="background1" w:themeFillShade="D9"/>
        </w:rPr>
        <w:t xml:space="preserve">lizdinė plokštelė </w:t>
      </w:r>
    </w:p>
    <w:p w14:paraId="5AF471ED" w14:textId="77777777" w:rsidR="000F5E3E" w:rsidRPr="000F5E3E" w:rsidRDefault="000F5E3E" w:rsidP="000F5E3E">
      <w:pPr>
        <w:spacing w:line="240" w:lineRule="auto"/>
        <w:rPr>
          <w:rFonts w:ascii="Times New Roman" w:hAnsi="Times New Roman" w:cs="Times New Roman"/>
        </w:rPr>
      </w:pPr>
      <w:r w:rsidRPr="000F5E3E">
        <w:rPr>
          <w:rFonts w:ascii="Times New Roman" w:hAnsi="Times New Roman" w:cs="Times New Roman"/>
        </w:rPr>
        <w:t xml:space="preserve">LT/1/21/4739/001 </w:t>
      </w:r>
      <w:r w:rsidRPr="002149A6">
        <w:rPr>
          <w:rFonts w:ascii="Times New Roman" w:hAnsi="Times New Roman" w:cs="Times New Roman"/>
          <w:shd w:val="clear" w:color="auto" w:fill="D9D9D9" w:themeFill="background1" w:themeFillShade="D9"/>
        </w:rPr>
        <w:t>– N28</w:t>
      </w:r>
      <w:r w:rsidRPr="000F5E3E">
        <w:rPr>
          <w:rFonts w:ascii="Times New Roman" w:hAnsi="Times New Roman" w:cs="Times New Roman"/>
        </w:rPr>
        <w:t xml:space="preserve"> </w:t>
      </w:r>
    </w:p>
    <w:p w14:paraId="6EC37E6A" w14:textId="77777777" w:rsidR="000F5E3E" w:rsidRPr="000F5E3E" w:rsidRDefault="000F5E3E" w:rsidP="000F5E3E">
      <w:pPr>
        <w:spacing w:line="240" w:lineRule="auto"/>
        <w:rPr>
          <w:rFonts w:ascii="Times New Roman" w:hAnsi="Times New Roman" w:cs="Times New Roman"/>
          <w:shd w:val="clear" w:color="auto" w:fill="D9D9D9" w:themeFill="background1" w:themeFillShade="D9"/>
        </w:rPr>
      </w:pPr>
      <w:r w:rsidRPr="000F5E3E">
        <w:rPr>
          <w:rFonts w:ascii="Times New Roman" w:hAnsi="Times New Roman" w:cs="Times New Roman"/>
          <w:shd w:val="clear" w:color="auto" w:fill="D9D9D9" w:themeFill="background1" w:themeFillShade="D9"/>
        </w:rPr>
        <w:t xml:space="preserve">buteliukas </w:t>
      </w:r>
    </w:p>
    <w:p w14:paraId="6CE5CBCB" w14:textId="5CD5A93C" w:rsidR="00277C84" w:rsidRPr="000F5E3E" w:rsidRDefault="000F5E3E" w:rsidP="000F5E3E">
      <w:pPr>
        <w:spacing w:line="240" w:lineRule="auto"/>
        <w:rPr>
          <w:rFonts w:ascii="Times New Roman" w:hAnsi="Times New Roman" w:cs="Times New Roman"/>
          <w:shd w:val="clear" w:color="auto" w:fill="FFFFFF" w:themeFill="background1"/>
        </w:rPr>
      </w:pPr>
      <w:r w:rsidRPr="000F5E3E">
        <w:rPr>
          <w:rFonts w:ascii="Times New Roman" w:hAnsi="Times New Roman" w:cs="Times New Roman"/>
          <w:shd w:val="clear" w:color="auto" w:fill="FFFFFF" w:themeFill="background1"/>
        </w:rPr>
        <w:t xml:space="preserve">LT/1/21/4739/002 </w:t>
      </w:r>
      <w:r w:rsidRPr="002149A6">
        <w:rPr>
          <w:rFonts w:ascii="Times New Roman" w:hAnsi="Times New Roman" w:cs="Times New Roman"/>
          <w:shd w:val="clear" w:color="auto" w:fill="D9D9D9" w:themeFill="background1" w:themeFillShade="D9"/>
        </w:rPr>
        <w:t>– N30</w:t>
      </w:r>
    </w:p>
    <w:p w14:paraId="46C8155E" w14:textId="0BCA3F0A" w:rsidR="00277C84" w:rsidRDefault="00277C84" w:rsidP="00CE4C3C">
      <w:pPr>
        <w:spacing w:line="240" w:lineRule="auto"/>
        <w:rPr>
          <w:rFonts w:ascii="Times New Roman" w:hAnsi="Times New Roman" w:cs="Times New Roman"/>
        </w:rPr>
      </w:pPr>
    </w:p>
    <w:p w14:paraId="68E106BF" w14:textId="77777777" w:rsidR="000F5E3E" w:rsidRPr="00CE4C3C" w:rsidRDefault="000F5E3E" w:rsidP="00CE4C3C">
      <w:pPr>
        <w:spacing w:line="240" w:lineRule="auto"/>
        <w:rPr>
          <w:rFonts w:ascii="Times New Roman" w:hAnsi="Times New Roman" w:cs="Times New Roman"/>
        </w:rPr>
      </w:pPr>
    </w:p>
    <w:p w14:paraId="04E8A346" w14:textId="77777777" w:rsidR="00D210A7" w:rsidRPr="00CE4C3C"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rPr>
      </w:pPr>
      <w:r w:rsidRPr="00CE4C3C">
        <w:rPr>
          <w:rFonts w:ascii="Times New Roman" w:hAnsi="Times New Roman" w:cs="Times New Roman"/>
          <w:b/>
        </w:rPr>
        <w:t>13.</w:t>
      </w:r>
      <w:r w:rsidRPr="00CE4C3C">
        <w:rPr>
          <w:rFonts w:ascii="Times New Roman" w:hAnsi="Times New Roman" w:cs="Times New Roman"/>
          <w:b/>
        </w:rPr>
        <w:tab/>
        <w:t xml:space="preserve">SERIJOS NUMERIS </w:t>
      </w:r>
    </w:p>
    <w:p w14:paraId="6BCC6C06" w14:textId="77777777" w:rsidR="00D210A7" w:rsidRPr="00CE4C3C" w:rsidRDefault="00D210A7" w:rsidP="00CE4C3C">
      <w:pPr>
        <w:spacing w:line="240" w:lineRule="auto"/>
        <w:rPr>
          <w:rFonts w:ascii="Times New Roman" w:hAnsi="Times New Roman" w:cs="Times New Roman"/>
        </w:rPr>
      </w:pPr>
    </w:p>
    <w:p w14:paraId="1C5919D8"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Lot:</w:t>
      </w:r>
    </w:p>
    <w:p w14:paraId="21412A18" w14:textId="77777777" w:rsidR="00D210A7" w:rsidRPr="00CE4C3C" w:rsidRDefault="00D210A7" w:rsidP="00CE4C3C">
      <w:pPr>
        <w:spacing w:line="240" w:lineRule="auto"/>
        <w:rPr>
          <w:rFonts w:ascii="Times New Roman" w:hAnsi="Times New Roman" w:cs="Times New Roman"/>
        </w:rPr>
      </w:pPr>
    </w:p>
    <w:p w14:paraId="5BF89E27" w14:textId="77777777" w:rsidR="00D210A7" w:rsidRPr="00CE4C3C" w:rsidRDefault="00D210A7" w:rsidP="00CE4C3C">
      <w:pPr>
        <w:spacing w:line="240" w:lineRule="auto"/>
        <w:rPr>
          <w:rFonts w:ascii="Times New Roman" w:hAnsi="Times New Roman" w:cs="Times New Roman"/>
        </w:rPr>
      </w:pPr>
    </w:p>
    <w:p w14:paraId="6BD82A4A" w14:textId="77777777" w:rsidR="00D210A7" w:rsidRPr="00CE4C3C"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rPr>
      </w:pPr>
      <w:r w:rsidRPr="00CE4C3C">
        <w:rPr>
          <w:rFonts w:ascii="Times New Roman" w:hAnsi="Times New Roman" w:cs="Times New Roman"/>
          <w:b/>
        </w:rPr>
        <w:t>14.</w:t>
      </w:r>
      <w:r w:rsidRPr="00CE4C3C">
        <w:rPr>
          <w:rFonts w:ascii="Times New Roman" w:hAnsi="Times New Roman" w:cs="Times New Roman"/>
          <w:b/>
        </w:rPr>
        <w:tab/>
        <w:t>PARDAVIMO (IŠDAVIMO) TVARKA</w:t>
      </w:r>
    </w:p>
    <w:p w14:paraId="5EDB36D7" w14:textId="77777777" w:rsidR="00D210A7" w:rsidRPr="00CE4C3C" w:rsidRDefault="00D210A7" w:rsidP="00CE4C3C">
      <w:pPr>
        <w:spacing w:line="240" w:lineRule="auto"/>
        <w:rPr>
          <w:rFonts w:ascii="Times New Roman" w:hAnsi="Times New Roman" w:cs="Times New Roman"/>
        </w:rPr>
      </w:pPr>
    </w:p>
    <w:p w14:paraId="1AD3CDEB"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Receptinis vaistas.</w:t>
      </w:r>
    </w:p>
    <w:p w14:paraId="4A8F74DB" w14:textId="77777777" w:rsidR="00D210A7" w:rsidRPr="00CE4C3C" w:rsidRDefault="00D210A7" w:rsidP="00CE4C3C">
      <w:pPr>
        <w:spacing w:line="240" w:lineRule="auto"/>
        <w:rPr>
          <w:rFonts w:ascii="Times New Roman" w:hAnsi="Times New Roman" w:cs="Times New Roman"/>
        </w:rPr>
      </w:pPr>
    </w:p>
    <w:p w14:paraId="7C82D025" w14:textId="77777777" w:rsidR="00D210A7" w:rsidRPr="00CE4C3C" w:rsidRDefault="00D210A7" w:rsidP="00CE4C3C">
      <w:pPr>
        <w:spacing w:line="240" w:lineRule="auto"/>
        <w:rPr>
          <w:rFonts w:ascii="Times New Roman" w:hAnsi="Times New Roman" w:cs="Times New Roman"/>
        </w:rPr>
      </w:pPr>
    </w:p>
    <w:p w14:paraId="41780C6F" w14:textId="77777777" w:rsidR="00D210A7" w:rsidRPr="00CE4C3C" w:rsidRDefault="00D210A7" w:rsidP="00CE4C3C">
      <w:pPr>
        <w:pBdr>
          <w:top w:val="single" w:sz="4" w:space="2"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rPr>
      </w:pPr>
      <w:r w:rsidRPr="00CE4C3C">
        <w:rPr>
          <w:rFonts w:ascii="Times New Roman" w:hAnsi="Times New Roman" w:cs="Times New Roman"/>
          <w:b/>
        </w:rPr>
        <w:t>15.</w:t>
      </w:r>
      <w:r w:rsidRPr="00CE4C3C">
        <w:rPr>
          <w:rFonts w:ascii="Times New Roman" w:hAnsi="Times New Roman" w:cs="Times New Roman"/>
          <w:b/>
        </w:rPr>
        <w:tab/>
        <w:t>VARTOJIMO INSTRUKCIJA</w:t>
      </w:r>
    </w:p>
    <w:p w14:paraId="3581D4DE" w14:textId="77777777" w:rsidR="00D210A7" w:rsidRPr="00CE4C3C" w:rsidRDefault="00D210A7" w:rsidP="00CE4C3C">
      <w:pPr>
        <w:spacing w:line="240" w:lineRule="auto"/>
        <w:rPr>
          <w:rFonts w:ascii="Times New Roman" w:hAnsi="Times New Roman" w:cs="Times New Roman"/>
        </w:rPr>
      </w:pPr>
    </w:p>
    <w:p w14:paraId="50D01A9F" w14:textId="77777777" w:rsidR="00D210A7" w:rsidRPr="00CE4C3C" w:rsidRDefault="00D210A7" w:rsidP="00CE4C3C">
      <w:pPr>
        <w:spacing w:line="240" w:lineRule="auto"/>
        <w:rPr>
          <w:rFonts w:ascii="Times New Roman" w:hAnsi="Times New Roman" w:cs="Times New Roman"/>
        </w:rPr>
      </w:pPr>
    </w:p>
    <w:p w14:paraId="5A9A14A9" w14:textId="77777777" w:rsidR="00D210A7" w:rsidRPr="00CE4C3C" w:rsidRDefault="00D210A7" w:rsidP="00CE4C3C">
      <w:pPr>
        <w:pBdr>
          <w:top w:val="single" w:sz="4" w:space="1" w:color="auto"/>
          <w:left w:val="single" w:sz="4" w:space="4" w:color="auto"/>
          <w:bottom w:val="single" w:sz="4" w:space="0" w:color="auto"/>
          <w:right w:val="single" w:sz="4" w:space="4" w:color="auto"/>
        </w:pBdr>
        <w:tabs>
          <w:tab w:val="left" w:pos="567"/>
        </w:tabs>
        <w:spacing w:line="240" w:lineRule="auto"/>
        <w:rPr>
          <w:rFonts w:ascii="Times New Roman" w:hAnsi="Times New Roman" w:cs="Times New Roman"/>
          <w:color w:val="008000"/>
        </w:rPr>
      </w:pPr>
      <w:r w:rsidRPr="00CE4C3C">
        <w:rPr>
          <w:rFonts w:ascii="Times New Roman" w:hAnsi="Times New Roman" w:cs="Times New Roman"/>
          <w:b/>
        </w:rPr>
        <w:t>16.</w:t>
      </w:r>
      <w:r w:rsidRPr="00CE4C3C">
        <w:rPr>
          <w:rFonts w:ascii="Times New Roman" w:hAnsi="Times New Roman" w:cs="Times New Roman"/>
          <w:b/>
        </w:rPr>
        <w:tab/>
        <w:t>INFORMACIJA BRAILIO RAŠTU</w:t>
      </w:r>
    </w:p>
    <w:p w14:paraId="64177B7F" w14:textId="77777777" w:rsidR="00D210A7" w:rsidRPr="00CE4C3C" w:rsidRDefault="00D210A7" w:rsidP="00CE4C3C">
      <w:pPr>
        <w:spacing w:line="240" w:lineRule="auto"/>
        <w:rPr>
          <w:rFonts w:ascii="Times New Roman" w:hAnsi="Times New Roman" w:cs="Times New Roman"/>
        </w:rPr>
      </w:pPr>
    </w:p>
    <w:p w14:paraId="73E9AAC0"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noProof/>
        </w:rPr>
        <w:t xml:space="preserve">Klertis </w:t>
      </w:r>
      <w:r w:rsidRPr="00CE4C3C">
        <w:rPr>
          <w:rFonts w:ascii="Times New Roman" w:hAnsi="Times New Roman" w:cs="Times New Roman"/>
        </w:rPr>
        <w:t>12,5 mg</w:t>
      </w:r>
    </w:p>
    <w:p w14:paraId="66486C01" w14:textId="77777777" w:rsidR="00D210A7" w:rsidRPr="00CE4C3C" w:rsidRDefault="00D210A7" w:rsidP="00CE4C3C">
      <w:pPr>
        <w:spacing w:line="240" w:lineRule="auto"/>
        <w:rPr>
          <w:rFonts w:ascii="Times New Roman" w:hAnsi="Times New Roman" w:cs="Times New Roman"/>
          <w:highlight w:val="lightGray"/>
        </w:rPr>
      </w:pPr>
      <w:r w:rsidRPr="00CE4C3C">
        <w:rPr>
          <w:rFonts w:ascii="Times New Roman" w:hAnsi="Times New Roman" w:cs="Times New Roman"/>
          <w:noProof/>
          <w:highlight w:val="lightGray"/>
        </w:rPr>
        <w:t xml:space="preserve">Klertis </w:t>
      </w:r>
      <w:r w:rsidRPr="00CE4C3C">
        <w:rPr>
          <w:rFonts w:ascii="Times New Roman" w:hAnsi="Times New Roman" w:cs="Times New Roman"/>
          <w:highlight w:val="lightGray"/>
        </w:rPr>
        <w:t>25 mg</w:t>
      </w:r>
    </w:p>
    <w:p w14:paraId="03643DB4"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noProof/>
          <w:highlight w:val="lightGray"/>
        </w:rPr>
        <w:t xml:space="preserve">Klertis </w:t>
      </w:r>
      <w:r w:rsidRPr="00CE4C3C">
        <w:rPr>
          <w:rFonts w:ascii="Times New Roman" w:hAnsi="Times New Roman" w:cs="Times New Roman"/>
          <w:highlight w:val="lightGray"/>
        </w:rPr>
        <w:t>50 mg</w:t>
      </w:r>
    </w:p>
    <w:p w14:paraId="379FE5FA" w14:textId="77777777" w:rsidR="00D210A7" w:rsidRPr="00CE4C3C" w:rsidRDefault="00D210A7" w:rsidP="00CE4C3C">
      <w:pPr>
        <w:spacing w:line="240" w:lineRule="auto"/>
        <w:rPr>
          <w:rFonts w:ascii="Times New Roman" w:hAnsi="Times New Roman" w:cs="Times New Roman"/>
        </w:rPr>
      </w:pPr>
    </w:p>
    <w:p w14:paraId="0C467B85" w14:textId="77777777" w:rsidR="00D210A7" w:rsidRPr="00CE4C3C" w:rsidRDefault="00D210A7" w:rsidP="00CE4C3C">
      <w:pPr>
        <w:spacing w:line="240" w:lineRule="auto"/>
        <w:rPr>
          <w:rFonts w:ascii="Times New Roman" w:hAnsi="Times New Roman" w:cs="Times New Roman"/>
          <w:shd w:val="clear" w:color="auto" w:fill="CCCCCC"/>
        </w:rPr>
      </w:pPr>
    </w:p>
    <w:p w14:paraId="06FD4CAD" w14:textId="77777777" w:rsidR="00D210A7" w:rsidRPr="00CE4C3C" w:rsidRDefault="00D210A7" w:rsidP="00CE4C3C">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outlineLvl w:val="0"/>
        <w:rPr>
          <w:rFonts w:ascii="Times New Roman" w:hAnsi="Times New Roman" w:cs="Times New Roman"/>
          <w:i/>
        </w:rPr>
      </w:pPr>
      <w:r w:rsidRPr="00CE4C3C">
        <w:rPr>
          <w:rFonts w:ascii="Times New Roman" w:hAnsi="Times New Roman" w:cs="Times New Roman"/>
          <w:b/>
        </w:rPr>
        <w:t>17.</w:t>
      </w:r>
      <w:r w:rsidRPr="00CE4C3C">
        <w:rPr>
          <w:rFonts w:ascii="Times New Roman" w:hAnsi="Times New Roman" w:cs="Times New Roman"/>
          <w:b/>
        </w:rPr>
        <w:tab/>
        <w:t>UNIKALUS IDENTIFIKATORIUS – 2D BRŪKŠNINIS KODAS</w:t>
      </w:r>
    </w:p>
    <w:p w14:paraId="3E733488" w14:textId="77777777" w:rsidR="00D210A7" w:rsidRPr="00CE4C3C" w:rsidRDefault="00D210A7" w:rsidP="00CE4C3C">
      <w:pPr>
        <w:spacing w:line="240" w:lineRule="auto"/>
        <w:rPr>
          <w:rFonts w:ascii="Times New Roman" w:hAnsi="Times New Roman" w:cs="Times New Roman"/>
        </w:rPr>
      </w:pPr>
    </w:p>
    <w:p w14:paraId="64B31B46" w14:textId="77777777" w:rsidR="00D210A7" w:rsidRPr="00CE4C3C" w:rsidRDefault="00D210A7" w:rsidP="00CE4C3C">
      <w:pPr>
        <w:spacing w:line="240" w:lineRule="auto"/>
        <w:rPr>
          <w:rFonts w:ascii="Times New Roman" w:hAnsi="Times New Roman" w:cs="Times New Roman"/>
          <w:shd w:val="clear" w:color="auto" w:fill="CCCCCC"/>
        </w:rPr>
      </w:pPr>
      <w:r w:rsidRPr="00CE4C3C">
        <w:rPr>
          <w:rFonts w:ascii="Times New Roman" w:hAnsi="Times New Roman" w:cs="Times New Roman"/>
          <w:highlight w:val="lightGray"/>
        </w:rPr>
        <w:t>2D brūkšninis kodas su nurodytu unikaliu identifikatoriumi.</w:t>
      </w:r>
    </w:p>
    <w:p w14:paraId="462A2C6A" w14:textId="77777777" w:rsidR="00D210A7" w:rsidRPr="00CE4C3C" w:rsidRDefault="00D210A7" w:rsidP="00CE4C3C">
      <w:pPr>
        <w:spacing w:line="240" w:lineRule="auto"/>
        <w:rPr>
          <w:rFonts w:ascii="Times New Roman" w:hAnsi="Times New Roman" w:cs="Times New Roman"/>
        </w:rPr>
      </w:pPr>
    </w:p>
    <w:p w14:paraId="5AF6AC22" w14:textId="77777777" w:rsidR="00D210A7" w:rsidRPr="00CE4C3C" w:rsidRDefault="00D210A7" w:rsidP="00CE4C3C">
      <w:pPr>
        <w:spacing w:line="240" w:lineRule="auto"/>
        <w:rPr>
          <w:rFonts w:ascii="Times New Roman" w:hAnsi="Times New Roman" w:cs="Times New Roman"/>
        </w:rPr>
      </w:pPr>
    </w:p>
    <w:p w14:paraId="44367516" w14:textId="77777777" w:rsidR="00D210A7" w:rsidRPr="00CE4C3C" w:rsidRDefault="00D210A7" w:rsidP="00CE4C3C">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outlineLvl w:val="0"/>
        <w:rPr>
          <w:rFonts w:ascii="Times New Roman" w:hAnsi="Times New Roman" w:cs="Times New Roman"/>
          <w:i/>
        </w:rPr>
      </w:pPr>
      <w:r w:rsidRPr="00CE4C3C">
        <w:rPr>
          <w:rFonts w:ascii="Times New Roman" w:hAnsi="Times New Roman" w:cs="Times New Roman"/>
          <w:b/>
        </w:rPr>
        <w:t>18.</w:t>
      </w:r>
      <w:r w:rsidRPr="00CE4C3C">
        <w:rPr>
          <w:rFonts w:ascii="Times New Roman" w:hAnsi="Times New Roman" w:cs="Times New Roman"/>
          <w:b/>
        </w:rPr>
        <w:tab/>
        <w:t>UNIKALUS IDENTIFIKATORIUS – ŽMONĖMS SUPRANTAMI DUOMENYS</w:t>
      </w:r>
    </w:p>
    <w:p w14:paraId="78369392" w14:textId="77777777" w:rsidR="00D210A7" w:rsidRPr="00CE4C3C" w:rsidRDefault="00D210A7" w:rsidP="00CE4C3C">
      <w:pPr>
        <w:spacing w:line="240" w:lineRule="auto"/>
        <w:rPr>
          <w:rFonts w:ascii="Times New Roman" w:hAnsi="Times New Roman" w:cs="Times New Roman"/>
        </w:rPr>
      </w:pPr>
    </w:p>
    <w:p w14:paraId="60C84C49"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PC:</w:t>
      </w:r>
    </w:p>
    <w:p w14:paraId="7F237D48"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SN:</w:t>
      </w:r>
    </w:p>
    <w:p w14:paraId="0F8A4186" w14:textId="77777777" w:rsidR="00D210A7" w:rsidRPr="00CE4C3C" w:rsidRDefault="00D210A7" w:rsidP="00CE4C3C">
      <w:pPr>
        <w:spacing w:line="240" w:lineRule="auto"/>
        <w:rPr>
          <w:rFonts w:ascii="Times New Roman" w:hAnsi="Times New Roman" w:cs="Times New Roman"/>
          <w:vanish/>
        </w:rPr>
      </w:pPr>
      <w:r w:rsidRPr="00CE4C3C">
        <w:rPr>
          <w:rFonts w:ascii="Times New Roman" w:hAnsi="Times New Roman" w:cs="Times New Roman"/>
          <w:highlight w:val="lightGray"/>
        </w:rPr>
        <w:t>NN:</w:t>
      </w:r>
    </w:p>
    <w:p w14:paraId="460069A7" w14:textId="77777777" w:rsidR="00D210A7" w:rsidRPr="00CE4C3C" w:rsidRDefault="00D210A7" w:rsidP="00CE4C3C">
      <w:pPr>
        <w:spacing w:line="240" w:lineRule="auto"/>
        <w:rPr>
          <w:rFonts w:ascii="Times New Roman" w:hAnsi="Times New Roman" w:cs="Times New Roman"/>
          <w:vanish/>
        </w:rPr>
      </w:pPr>
    </w:p>
    <w:p w14:paraId="18E1F972" w14:textId="77777777" w:rsidR="00D210A7" w:rsidRPr="00CE4C3C" w:rsidRDefault="00D210A7" w:rsidP="00CE4C3C">
      <w:pPr>
        <w:spacing w:line="240" w:lineRule="auto"/>
        <w:rPr>
          <w:rFonts w:ascii="Times New Roman" w:hAnsi="Times New Roman" w:cs="Times New Roman"/>
        </w:rPr>
      </w:pPr>
    </w:p>
    <w:p w14:paraId="302B52B9"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br w:type="page"/>
      </w:r>
    </w:p>
    <w:p w14:paraId="0911418D"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rPr>
      </w:pPr>
      <w:r w:rsidRPr="00CE4C3C">
        <w:rPr>
          <w:rFonts w:ascii="Times New Roman" w:hAnsi="Times New Roman" w:cs="Times New Roman"/>
          <w:b/>
        </w:rPr>
        <w:lastRenderedPageBreak/>
        <w:t>MINIMALI INFORMACIJA ANT LIZDINIŲ PLOKŠTELIŲ ARBA DVISLUOKSNIŲ JUOSTELIŲ</w:t>
      </w:r>
    </w:p>
    <w:p w14:paraId="760C767E"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cs="Times New Roman"/>
          <w:b/>
        </w:rPr>
      </w:pPr>
    </w:p>
    <w:p w14:paraId="572AA96C" w14:textId="198C3F89" w:rsidR="00D210A7" w:rsidRPr="00CE4C3C" w:rsidRDefault="00204B9E" w:rsidP="00CE4C3C">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cs="Times New Roman"/>
          <w:b/>
        </w:rPr>
      </w:pPr>
      <w:r>
        <w:rPr>
          <w:rFonts w:ascii="Times New Roman" w:hAnsi="Times New Roman" w:cs="Times New Roman"/>
          <w:b/>
        </w:rPr>
        <w:t>LIZDINĖ PLOKŠTELĖ</w:t>
      </w:r>
    </w:p>
    <w:p w14:paraId="1AB27292" w14:textId="77777777" w:rsidR="00D210A7" w:rsidRPr="00CE4C3C" w:rsidRDefault="00D210A7" w:rsidP="00CE4C3C">
      <w:pPr>
        <w:spacing w:line="240" w:lineRule="auto"/>
        <w:rPr>
          <w:rFonts w:ascii="Times New Roman" w:hAnsi="Times New Roman" w:cs="Times New Roman"/>
        </w:rPr>
      </w:pPr>
    </w:p>
    <w:p w14:paraId="4AE218D0" w14:textId="77777777" w:rsidR="00D210A7" w:rsidRPr="00CE4C3C" w:rsidRDefault="00D210A7" w:rsidP="00CE4C3C">
      <w:pPr>
        <w:spacing w:line="240" w:lineRule="auto"/>
        <w:rPr>
          <w:rFonts w:ascii="Times New Roman" w:hAnsi="Times New Roman" w:cs="Times New Roman"/>
        </w:rPr>
      </w:pPr>
    </w:p>
    <w:p w14:paraId="5EDED23B" w14:textId="77777777" w:rsidR="00D210A7" w:rsidRPr="00CE4C3C"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b/>
        </w:rPr>
      </w:pPr>
      <w:r w:rsidRPr="00CE4C3C">
        <w:rPr>
          <w:rFonts w:ascii="Times New Roman" w:hAnsi="Times New Roman" w:cs="Times New Roman"/>
          <w:b/>
        </w:rPr>
        <w:t>1.</w:t>
      </w:r>
      <w:r w:rsidRPr="00CE4C3C">
        <w:rPr>
          <w:rFonts w:ascii="Times New Roman" w:hAnsi="Times New Roman" w:cs="Times New Roman"/>
          <w:b/>
        </w:rPr>
        <w:tab/>
      </w:r>
      <w:r w:rsidRPr="00CE4C3C">
        <w:rPr>
          <w:rFonts w:ascii="Times New Roman" w:hAnsi="Times New Roman" w:cs="Times New Roman"/>
          <w:b/>
          <w:caps/>
        </w:rPr>
        <w:t>VAISTINIO</w:t>
      </w:r>
      <w:r w:rsidRPr="00CE4C3C">
        <w:rPr>
          <w:rFonts w:ascii="Times New Roman" w:hAnsi="Times New Roman" w:cs="Times New Roman"/>
          <w:b/>
        </w:rPr>
        <w:t xml:space="preserve"> PREPARATO PAVADINIMAS</w:t>
      </w:r>
    </w:p>
    <w:p w14:paraId="25340624" w14:textId="77777777" w:rsidR="00D210A7" w:rsidRPr="00CE4C3C" w:rsidRDefault="00D210A7" w:rsidP="00CE4C3C">
      <w:pPr>
        <w:spacing w:line="240" w:lineRule="auto"/>
        <w:rPr>
          <w:rFonts w:ascii="Times New Roman" w:hAnsi="Times New Roman" w:cs="Times New Roman"/>
        </w:rPr>
      </w:pPr>
    </w:p>
    <w:p w14:paraId="57DC4B59"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noProof/>
        </w:rPr>
        <w:t xml:space="preserve">Klertis </w:t>
      </w:r>
      <w:r w:rsidRPr="00CE4C3C">
        <w:rPr>
          <w:rFonts w:ascii="Times New Roman" w:hAnsi="Times New Roman" w:cs="Times New Roman"/>
        </w:rPr>
        <w:t>12,5 mg kietosios kapsulės</w:t>
      </w:r>
    </w:p>
    <w:p w14:paraId="39437EFB" w14:textId="77777777" w:rsidR="00D210A7" w:rsidRPr="00CE4C3C" w:rsidRDefault="00D210A7" w:rsidP="00CE4C3C">
      <w:pPr>
        <w:spacing w:line="240" w:lineRule="auto"/>
        <w:rPr>
          <w:rFonts w:ascii="Times New Roman" w:hAnsi="Times New Roman" w:cs="Times New Roman"/>
          <w:highlight w:val="lightGray"/>
        </w:rPr>
      </w:pPr>
      <w:r w:rsidRPr="00CE4C3C">
        <w:rPr>
          <w:rFonts w:ascii="Times New Roman" w:hAnsi="Times New Roman" w:cs="Times New Roman"/>
          <w:noProof/>
          <w:highlight w:val="lightGray"/>
        </w:rPr>
        <w:t xml:space="preserve">Klertis </w:t>
      </w:r>
      <w:r w:rsidRPr="00CE4C3C">
        <w:rPr>
          <w:rFonts w:ascii="Times New Roman" w:hAnsi="Times New Roman" w:cs="Times New Roman"/>
          <w:highlight w:val="lightGray"/>
        </w:rPr>
        <w:t>25 mg kietosios kapsulės</w:t>
      </w:r>
    </w:p>
    <w:p w14:paraId="6D6B415E"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noProof/>
          <w:highlight w:val="lightGray"/>
        </w:rPr>
        <w:t xml:space="preserve">Klertis </w:t>
      </w:r>
      <w:r w:rsidRPr="00CE4C3C">
        <w:rPr>
          <w:rFonts w:ascii="Times New Roman" w:hAnsi="Times New Roman" w:cs="Times New Roman"/>
          <w:highlight w:val="lightGray"/>
        </w:rPr>
        <w:t>50 mg kietosios kapsulės</w:t>
      </w:r>
    </w:p>
    <w:p w14:paraId="46B7995A" w14:textId="77777777" w:rsidR="00D210A7" w:rsidRPr="00CE4C3C" w:rsidRDefault="00D210A7" w:rsidP="00CE4C3C">
      <w:pPr>
        <w:spacing w:line="240" w:lineRule="auto"/>
        <w:rPr>
          <w:rFonts w:ascii="Times New Roman" w:hAnsi="Times New Roman" w:cs="Times New Roman"/>
        </w:rPr>
      </w:pPr>
    </w:p>
    <w:p w14:paraId="0C82E23F"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Sunitinibas</w:t>
      </w:r>
    </w:p>
    <w:p w14:paraId="142E487B" w14:textId="77777777" w:rsidR="00D210A7" w:rsidRPr="00CE4C3C" w:rsidRDefault="00D210A7" w:rsidP="00CE4C3C">
      <w:pPr>
        <w:spacing w:line="240" w:lineRule="auto"/>
        <w:rPr>
          <w:rFonts w:ascii="Times New Roman" w:hAnsi="Times New Roman" w:cs="Times New Roman"/>
        </w:rPr>
      </w:pPr>
    </w:p>
    <w:p w14:paraId="4E9F55FF" w14:textId="77777777" w:rsidR="00D210A7" w:rsidRPr="00CE4C3C" w:rsidRDefault="00D210A7" w:rsidP="00CE4C3C">
      <w:pPr>
        <w:spacing w:line="240" w:lineRule="auto"/>
        <w:rPr>
          <w:rFonts w:ascii="Times New Roman" w:hAnsi="Times New Roman" w:cs="Times New Roman"/>
        </w:rPr>
      </w:pPr>
    </w:p>
    <w:p w14:paraId="51B30422" w14:textId="77777777" w:rsidR="00D210A7" w:rsidRPr="00CE4C3C"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b/>
        </w:rPr>
      </w:pPr>
      <w:r w:rsidRPr="00CE4C3C">
        <w:rPr>
          <w:rFonts w:ascii="Times New Roman" w:hAnsi="Times New Roman" w:cs="Times New Roman"/>
          <w:b/>
        </w:rPr>
        <w:t>2.</w:t>
      </w:r>
      <w:r w:rsidRPr="00CE4C3C">
        <w:rPr>
          <w:rFonts w:ascii="Times New Roman" w:hAnsi="Times New Roman" w:cs="Times New Roman"/>
          <w:b/>
        </w:rPr>
        <w:tab/>
      </w:r>
      <w:r w:rsidRPr="00CE4C3C">
        <w:rPr>
          <w:rFonts w:ascii="Times New Roman" w:hAnsi="Times New Roman" w:cs="Times New Roman"/>
          <w:b/>
          <w:caps/>
        </w:rPr>
        <w:t>REGISTRUOTOJO pavadinimas</w:t>
      </w:r>
    </w:p>
    <w:p w14:paraId="5BB266CA" w14:textId="77777777" w:rsidR="00D210A7" w:rsidRPr="00CE4C3C" w:rsidRDefault="00D210A7" w:rsidP="00CE4C3C">
      <w:pPr>
        <w:spacing w:line="240" w:lineRule="auto"/>
        <w:rPr>
          <w:rFonts w:ascii="Times New Roman" w:hAnsi="Times New Roman" w:cs="Times New Roman"/>
        </w:rPr>
      </w:pPr>
    </w:p>
    <w:p w14:paraId="661E3670"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Egis</w:t>
      </w:r>
    </w:p>
    <w:p w14:paraId="301B4579" w14:textId="77777777" w:rsidR="00D210A7" w:rsidRPr="00CE4C3C" w:rsidRDefault="00D210A7" w:rsidP="00CE4C3C">
      <w:pPr>
        <w:spacing w:line="240" w:lineRule="auto"/>
        <w:rPr>
          <w:rFonts w:ascii="Times New Roman" w:hAnsi="Times New Roman" w:cs="Times New Roman"/>
        </w:rPr>
      </w:pPr>
    </w:p>
    <w:p w14:paraId="2145042E" w14:textId="77777777" w:rsidR="00D210A7" w:rsidRPr="00CE4C3C" w:rsidRDefault="00D210A7" w:rsidP="00CE4C3C">
      <w:pPr>
        <w:spacing w:line="240" w:lineRule="auto"/>
        <w:rPr>
          <w:rFonts w:ascii="Times New Roman" w:hAnsi="Times New Roman" w:cs="Times New Roman"/>
        </w:rPr>
      </w:pPr>
    </w:p>
    <w:p w14:paraId="6FBE2EA7" w14:textId="77777777" w:rsidR="00D210A7" w:rsidRPr="00CE4C3C" w:rsidRDefault="00D210A7" w:rsidP="00CE4C3C">
      <w:pPr>
        <w:pBdr>
          <w:top w:val="single" w:sz="4" w:space="1" w:color="auto"/>
          <w:left w:val="single" w:sz="4" w:space="4" w:color="auto"/>
          <w:bottom w:val="single" w:sz="4" w:space="2" w:color="auto"/>
          <w:right w:val="single" w:sz="4" w:space="4" w:color="auto"/>
        </w:pBdr>
        <w:tabs>
          <w:tab w:val="left" w:pos="567"/>
        </w:tabs>
        <w:spacing w:line="240" w:lineRule="auto"/>
        <w:outlineLvl w:val="0"/>
        <w:rPr>
          <w:rFonts w:ascii="Times New Roman" w:hAnsi="Times New Roman" w:cs="Times New Roman"/>
          <w:b/>
        </w:rPr>
      </w:pPr>
      <w:r w:rsidRPr="00CE4C3C">
        <w:rPr>
          <w:rFonts w:ascii="Times New Roman" w:hAnsi="Times New Roman" w:cs="Times New Roman"/>
          <w:b/>
        </w:rPr>
        <w:t>3.</w:t>
      </w:r>
      <w:r w:rsidRPr="00CE4C3C">
        <w:rPr>
          <w:rFonts w:ascii="Times New Roman" w:hAnsi="Times New Roman" w:cs="Times New Roman"/>
          <w:b/>
        </w:rPr>
        <w:tab/>
        <w:t>TINKAMUMO LAIKAS</w:t>
      </w:r>
    </w:p>
    <w:p w14:paraId="6E10A39E" w14:textId="77777777" w:rsidR="00D210A7" w:rsidRPr="00CE4C3C" w:rsidRDefault="00D210A7" w:rsidP="00CE4C3C">
      <w:pPr>
        <w:spacing w:line="240" w:lineRule="auto"/>
        <w:rPr>
          <w:rFonts w:ascii="Times New Roman" w:hAnsi="Times New Roman" w:cs="Times New Roman"/>
        </w:rPr>
      </w:pPr>
    </w:p>
    <w:p w14:paraId="0F61D46B"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EXP</w:t>
      </w:r>
    </w:p>
    <w:p w14:paraId="371ED5A1" w14:textId="77777777" w:rsidR="00D210A7" w:rsidRPr="00CE4C3C" w:rsidRDefault="00D210A7" w:rsidP="00CE4C3C">
      <w:pPr>
        <w:spacing w:line="240" w:lineRule="auto"/>
        <w:rPr>
          <w:rFonts w:ascii="Times New Roman" w:hAnsi="Times New Roman" w:cs="Times New Roman"/>
        </w:rPr>
      </w:pPr>
    </w:p>
    <w:p w14:paraId="34F64347" w14:textId="77777777" w:rsidR="00D210A7" w:rsidRPr="00CE4C3C" w:rsidRDefault="00D210A7" w:rsidP="00CE4C3C">
      <w:pPr>
        <w:spacing w:line="240" w:lineRule="auto"/>
        <w:rPr>
          <w:rFonts w:ascii="Times New Roman" w:hAnsi="Times New Roman" w:cs="Times New Roman"/>
        </w:rPr>
      </w:pPr>
    </w:p>
    <w:p w14:paraId="667FC0B3" w14:textId="77777777" w:rsidR="00D210A7" w:rsidRPr="00CE4C3C" w:rsidRDefault="00D210A7" w:rsidP="00CE4C3C">
      <w:pPr>
        <w:suppressLineNumbers/>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b/>
        </w:rPr>
      </w:pPr>
      <w:r w:rsidRPr="00CE4C3C">
        <w:rPr>
          <w:rFonts w:ascii="Times New Roman" w:hAnsi="Times New Roman" w:cs="Times New Roman"/>
          <w:b/>
        </w:rPr>
        <w:t>4.</w:t>
      </w:r>
      <w:r w:rsidRPr="00CE4C3C">
        <w:rPr>
          <w:rFonts w:ascii="Times New Roman" w:hAnsi="Times New Roman" w:cs="Times New Roman"/>
          <w:b/>
        </w:rPr>
        <w:tab/>
        <w:t>SERIJOS NUMERIS</w:t>
      </w:r>
    </w:p>
    <w:p w14:paraId="4E107EEC" w14:textId="77777777" w:rsidR="00D210A7" w:rsidRPr="00CE4C3C" w:rsidRDefault="00D210A7" w:rsidP="00CE4C3C">
      <w:pPr>
        <w:spacing w:line="240" w:lineRule="auto"/>
        <w:rPr>
          <w:rFonts w:ascii="Times New Roman" w:hAnsi="Times New Roman" w:cs="Times New Roman"/>
        </w:rPr>
      </w:pPr>
    </w:p>
    <w:p w14:paraId="69E21327" w14:textId="77777777" w:rsidR="00D210A7" w:rsidRPr="00CE4C3C" w:rsidRDefault="00D210A7" w:rsidP="00CE4C3C">
      <w:pPr>
        <w:spacing w:line="240" w:lineRule="auto"/>
        <w:outlineLvl w:val="0"/>
        <w:rPr>
          <w:rFonts w:ascii="Times New Roman" w:hAnsi="Times New Roman" w:cs="Times New Roman"/>
          <w:b/>
        </w:rPr>
      </w:pPr>
      <w:r w:rsidRPr="00CE4C3C">
        <w:rPr>
          <w:rFonts w:ascii="Times New Roman" w:hAnsi="Times New Roman" w:cs="Times New Roman"/>
        </w:rPr>
        <w:t>Lot</w:t>
      </w:r>
    </w:p>
    <w:p w14:paraId="21059CD5" w14:textId="77777777" w:rsidR="00D210A7" w:rsidRPr="00CE4C3C" w:rsidRDefault="00D210A7" w:rsidP="00CE4C3C">
      <w:pPr>
        <w:spacing w:line="240" w:lineRule="auto"/>
        <w:rPr>
          <w:rFonts w:ascii="Times New Roman" w:hAnsi="Times New Roman" w:cs="Times New Roman"/>
        </w:rPr>
      </w:pPr>
    </w:p>
    <w:p w14:paraId="6F5E4CCD" w14:textId="77777777" w:rsidR="00D210A7" w:rsidRPr="00CE4C3C" w:rsidRDefault="00D210A7" w:rsidP="00CE4C3C">
      <w:pPr>
        <w:spacing w:line="240" w:lineRule="auto"/>
        <w:rPr>
          <w:rFonts w:ascii="Times New Roman" w:hAnsi="Times New Roman" w:cs="Times New Roman"/>
        </w:rPr>
      </w:pPr>
    </w:p>
    <w:p w14:paraId="0FB541DF" w14:textId="77777777" w:rsidR="00D210A7" w:rsidRPr="00CE4C3C"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b/>
        </w:rPr>
      </w:pPr>
      <w:r w:rsidRPr="00CE4C3C">
        <w:rPr>
          <w:rFonts w:ascii="Times New Roman" w:hAnsi="Times New Roman" w:cs="Times New Roman"/>
          <w:b/>
        </w:rPr>
        <w:t>5.</w:t>
      </w:r>
      <w:r w:rsidRPr="00CE4C3C">
        <w:rPr>
          <w:rFonts w:ascii="Times New Roman" w:hAnsi="Times New Roman" w:cs="Times New Roman"/>
          <w:b/>
        </w:rPr>
        <w:tab/>
        <w:t>KITA</w:t>
      </w:r>
    </w:p>
    <w:p w14:paraId="37ACC2FB" w14:textId="77777777" w:rsidR="00D210A7" w:rsidRPr="00CE4C3C" w:rsidRDefault="00D210A7" w:rsidP="00CE4C3C">
      <w:pPr>
        <w:spacing w:line="240" w:lineRule="auto"/>
        <w:rPr>
          <w:rFonts w:ascii="Times New Roman" w:hAnsi="Times New Roman" w:cs="Times New Roman"/>
        </w:rPr>
      </w:pPr>
    </w:p>
    <w:p w14:paraId="79C0EF25" w14:textId="77777777" w:rsidR="00D210A7" w:rsidRPr="00CE4C3C" w:rsidRDefault="00D210A7" w:rsidP="00CE4C3C">
      <w:pPr>
        <w:spacing w:line="240" w:lineRule="auto"/>
        <w:rPr>
          <w:rFonts w:ascii="Times New Roman" w:hAnsi="Times New Roman" w:cs="Times New Roman"/>
        </w:rPr>
      </w:pPr>
    </w:p>
    <w:p w14:paraId="79A36815" w14:textId="77777777" w:rsidR="00D210A7" w:rsidRPr="00CE4C3C" w:rsidRDefault="00D210A7" w:rsidP="00CE4C3C">
      <w:pPr>
        <w:tabs>
          <w:tab w:val="left" w:pos="5954"/>
          <w:tab w:val="left" w:pos="6237"/>
          <w:tab w:val="left" w:pos="6663"/>
          <w:tab w:val="left" w:pos="6946"/>
        </w:tabs>
        <w:spacing w:line="240" w:lineRule="auto"/>
        <w:rPr>
          <w:rFonts w:ascii="Times New Roman" w:eastAsia="SimSun" w:hAnsi="Times New Roman" w:cs="Times New Roman"/>
        </w:rPr>
      </w:pPr>
      <w:r w:rsidRPr="00CE4C3C">
        <w:rPr>
          <w:rFonts w:ascii="Times New Roman" w:hAnsi="Times New Roman" w:cs="Times New Roman"/>
          <w:b/>
        </w:rPr>
        <w:br w:type="page"/>
      </w:r>
    </w:p>
    <w:p w14:paraId="0CDCE166"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rPr>
      </w:pPr>
      <w:r w:rsidRPr="00CE4C3C">
        <w:rPr>
          <w:rFonts w:ascii="Times New Roman" w:hAnsi="Times New Roman" w:cs="Times New Roman"/>
          <w:b/>
        </w:rPr>
        <w:lastRenderedPageBreak/>
        <w:t>INFORMACIJA ANT VIDINĖS PAKUOTĖS</w:t>
      </w:r>
    </w:p>
    <w:p w14:paraId="10BFAB99"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cs="Times New Roman"/>
          <w:b/>
        </w:rPr>
      </w:pPr>
    </w:p>
    <w:p w14:paraId="2426C022" w14:textId="346E1D33"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rPr>
      </w:pPr>
      <w:r w:rsidRPr="00CE4C3C">
        <w:rPr>
          <w:rFonts w:ascii="Times New Roman" w:hAnsi="Times New Roman" w:cs="Times New Roman"/>
          <w:b/>
        </w:rPr>
        <w:t xml:space="preserve">DTPE </w:t>
      </w:r>
      <w:r w:rsidR="00B108A4">
        <w:rPr>
          <w:rFonts w:ascii="Times New Roman" w:hAnsi="Times New Roman" w:cs="Times New Roman"/>
          <w:b/>
        </w:rPr>
        <w:t>BUTELIUKAS</w:t>
      </w:r>
    </w:p>
    <w:p w14:paraId="7DA5B0FD" w14:textId="77777777" w:rsidR="00D210A7" w:rsidRPr="00CE4C3C" w:rsidRDefault="00D210A7" w:rsidP="00CE4C3C">
      <w:pPr>
        <w:spacing w:line="240" w:lineRule="auto"/>
        <w:rPr>
          <w:rFonts w:ascii="Times New Roman" w:hAnsi="Times New Roman" w:cs="Times New Roman"/>
        </w:rPr>
      </w:pPr>
    </w:p>
    <w:p w14:paraId="5883D58A" w14:textId="77777777" w:rsidR="00D210A7" w:rsidRPr="00CE4C3C" w:rsidRDefault="00D210A7" w:rsidP="00CE4C3C">
      <w:pPr>
        <w:spacing w:line="240" w:lineRule="auto"/>
        <w:rPr>
          <w:rFonts w:ascii="Times New Roman" w:hAnsi="Times New Roman" w:cs="Times New Roman"/>
        </w:rPr>
      </w:pPr>
    </w:p>
    <w:p w14:paraId="54A4043F"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CE4C3C">
        <w:rPr>
          <w:rFonts w:ascii="Times New Roman" w:hAnsi="Times New Roman" w:cs="Times New Roman"/>
          <w:b/>
        </w:rPr>
        <w:t>1.</w:t>
      </w:r>
      <w:r w:rsidRPr="00CE4C3C">
        <w:rPr>
          <w:rFonts w:ascii="Times New Roman" w:hAnsi="Times New Roman" w:cs="Times New Roman"/>
          <w:b/>
        </w:rPr>
        <w:tab/>
      </w:r>
      <w:r w:rsidRPr="00CE4C3C">
        <w:rPr>
          <w:rFonts w:ascii="Times New Roman" w:hAnsi="Times New Roman" w:cs="Times New Roman"/>
          <w:b/>
          <w:caps/>
        </w:rPr>
        <w:t>VAISTINIO</w:t>
      </w:r>
      <w:r w:rsidRPr="00CE4C3C">
        <w:rPr>
          <w:rFonts w:ascii="Times New Roman" w:hAnsi="Times New Roman" w:cs="Times New Roman"/>
          <w:b/>
        </w:rPr>
        <w:t xml:space="preserve"> PREPARATO PAVADINIMAS</w:t>
      </w:r>
    </w:p>
    <w:p w14:paraId="3343BB0E" w14:textId="77777777" w:rsidR="00D210A7" w:rsidRPr="00CE4C3C" w:rsidRDefault="00D210A7" w:rsidP="00CE4C3C">
      <w:pPr>
        <w:spacing w:line="240" w:lineRule="auto"/>
        <w:rPr>
          <w:rFonts w:ascii="Times New Roman" w:hAnsi="Times New Roman" w:cs="Times New Roman"/>
        </w:rPr>
      </w:pPr>
    </w:p>
    <w:p w14:paraId="486BDD94"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noProof/>
        </w:rPr>
        <w:t xml:space="preserve">Klertis </w:t>
      </w:r>
      <w:r w:rsidRPr="00CE4C3C">
        <w:rPr>
          <w:rFonts w:ascii="Times New Roman" w:hAnsi="Times New Roman" w:cs="Times New Roman"/>
        </w:rPr>
        <w:t>12,5 mg kietosios kapsulės</w:t>
      </w:r>
    </w:p>
    <w:p w14:paraId="6D205A45" w14:textId="77777777" w:rsidR="00D210A7" w:rsidRPr="00CE4C3C" w:rsidRDefault="00D210A7" w:rsidP="00CE4C3C">
      <w:pPr>
        <w:spacing w:line="240" w:lineRule="auto"/>
        <w:rPr>
          <w:rFonts w:ascii="Times New Roman" w:hAnsi="Times New Roman" w:cs="Times New Roman"/>
          <w:highlight w:val="lightGray"/>
        </w:rPr>
      </w:pPr>
      <w:r w:rsidRPr="00CE4C3C">
        <w:rPr>
          <w:rFonts w:ascii="Times New Roman" w:hAnsi="Times New Roman" w:cs="Times New Roman"/>
          <w:noProof/>
          <w:highlight w:val="lightGray"/>
        </w:rPr>
        <w:t xml:space="preserve">Klertis </w:t>
      </w:r>
      <w:r w:rsidRPr="00CE4C3C">
        <w:rPr>
          <w:rFonts w:ascii="Times New Roman" w:hAnsi="Times New Roman" w:cs="Times New Roman"/>
          <w:highlight w:val="lightGray"/>
        </w:rPr>
        <w:t>25 mg kietosios kapsulės</w:t>
      </w:r>
    </w:p>
    <w:p w14:paraId="0D33EB4D"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noProof/>
          <w:highlight w:val="lightGray"/>
        </w:rPr>
        <w:t xml:space="preserve">Klertis </w:t>
      </w:r>
      <w:r w:rsidRPr="00CE4C3C">
        <w:rPr>
          <w:rFonts w:ascii="Times New Roman" w:hAnsi="Times New Roman" w:cs="Times New Roman"/>
          <w:highlight w:val="lightGray"/>
        </w:rPr>
        <w:t>50 mg kietosios kapsulės</w:t>
      </w:r>
    </w:p>
    <w:p w14:paraId="1BD6A18C" w14:textId="77777777" w:rsidR="00D210A7" w:rsidRPr="00CE4C3C" w:rsidRDefault="00D210A7" w:rsidP="00CE4C3C">
      <w:pPr>
        <w:spacing w:line="240" w:lineRule="auto"/>
        <w:rPr>
          <w:rFonts w:ascii="Times New Roman" w:hAnsi="Times New Roman" w:cs="Times New Roman"/>
        </w:rPr>
      </w:pPr>
    </w:p>
    <w:p w14:paraId="140030A8"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Sunitinibas</w:t>
      </w:r>
    </w:p>
    <w:p w14:paraId="66576ABB" w14:textId="77777777" w:rsidR="00D210A7" w:rsidRPr="00CE4C3C" w:rsidRDefault="00D210A7" w:rsidP="00CE4C3C">
      <w:pPr>
        <w:spacing w:line="240" w:lineRule="auto"/>
        <w:rPr>
          <w:rFonts w:ascii="Times New Roman" w:hAnsi="Times New Roman" w:cs="Times New Roman"/>
        </w:rPr>
      </w:pPr>
    </w:p>
    <w:p w14:paraId="42A66FA2" w14:textId="77777777" w:rsidR="00D210A7" w:rsidRPr="00CE4C3C" w:rsidRDefault="00D210A7" w:rsidP="00CE4C3C">
      <w:pPr>
        <w:spacing w:line="240" w:lineRule="auto"/>
        <w:rPr>
          <w:rFonts w:ascii="Times New Roman" w:hAnsi="Times New Roman" w:cs="Times New Roman"/>
        </w:rPr>
      </w:pPr>
    </w:p>
    <w:p w14:paraId="061582AE"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rPr>
      </w:pPr>
      <w:r w:rsidRPr="00CE4C3C">
        <w:rPr>
          <w:rFonts w:ascii="Times New Roman" w:hAnsi="Times New Roman" w:cs="Times New Roman"/>
          <w:b/>
        </w:rPr>
        <w:t>2.</w:t>
      </w:r>
      <w:r w:rsidRPr="00CE4C3C">
        <w:rPr>
          <w:rFonts w:ascii="Times New Roman" w:hAnsi="Times New Roman" w:cs="Times New Roman"/>
          <w:b/>
        </w:rPr>
        <w:tab/>
        <w:t>VEIKLIOJI (-IOS) MEDŽIAGA (-OS) IR JOS (-Ų) KIEKIS (-IAI)</w:t>
      </w:r>
    </w:p>
    <w:p w14:paraId="0243051D" w14:textId="77777777" w:rsidR="00D210A7" w:rsidRPr="00CE4C3C" w:rsidRDefault="00D210A7" w:rsidP="00CE4C3C">
      <w:pPr>
        <w:spacing w:line="240" w:lineRule="auto"/>
        <w:rPr>
          <w:rFonts w:ascii="Times New Roman" w:hAnsi="Times New Roman" w:cs="Times New Roman"/>
        </w:rPr>
      </w:pPr>
    </w:p>
    <w:p w14:paraId="6027C9FA"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noProof/>
          <w:highlight w:val="lightGray"/>
        </w:rPr>
        <w:t xml:space="preserve">Klertis </w:t>
      </w:r>
      <w:r w:rsidRPr="00CE4C3C">
        <w:rPr>
          <w:rFonts w:ascii="Times New Roman" w:hAnsi="Times New Roman" w:cs="Times New Roman"/>
          <w:highlight w:val="lightGray"/>
        </w:rPr>
        <w:t>12,5 mg kietosios kapsulės</w:t>
      </w:r>
    </w:p>
    <w:p w14:paraId="717C6E9C"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 xml:space="preserve">Kiekvienoje </w:t>
      </w:r>
      <w:r w:rsidR="00DD1152">
        <w:rPr>
          <w:rFonts w:ascii="Times New Roman" w:hAnsi="Times New Roman" w:cs="Times New Roman"/>
        </w:rPr>
        <w:t xml:space="preserve">kietojoje </w:t>
      </w:r>
      <w:r w:rsidRPr="00CE4C3C">
        <w:rPr>
          <w:rFonts w:ascii="Times New Roman" w:hAnsi="Times New Roman" w:cs="Times New Roman"/>
        </w:rPr>
        <w:t xml:space="preserve">kapsulėje yra </w:t>
      </w:r>
      <w:proofErr w:type="spellStart"/>
      <w:r w:rsidRPr="00CE4C3C">
        <w:rPr>
          <w:rFonts w:ascii="Times New Roman" w:hAnsi="Times New Roman" w:cs="Times New Roman"/>
        </w:rPr>
        <w:t>sunitinibo</w:t>
      </w:r>
      <w:proofErr w:type="spellEnd"/>
      <w:r w:rsidRPr="00CE4C3C">
        <w:rPr>
          <w:rFonts w:ascii="Times New Roman" w:hAnsi="Times New Roman" w:cs="Times New Roman"/>
        </w:rPr>
        <w:t xml:space="preserve"> </w:t>
      </w:r>
      <w:proofErr w:type="spellStart"/>
      <w:r w:rsidRPr="00CE4C3C">
        <w:rPr>
          <w:rFonts w:ascii="Times New Roman" w:hAnsi="Times New Roman" w:cs="Times New Roman"/>
        </w:rPr>
        <w:t>ciklamato</w:t>
      </w:r>
      <w:proofErr w:type="spellEnd"/>
      <w:r w:rsidRPr="00CE4C3C">
        <w:rPr>
          <w:rFonts w:ascii="Times New Roman" w:hAnsi="Times New Roman" w:cs="Times New Roman"/>
        </w:rPr>
        <w:t xml:space="preserve">, atitinkančio 12,5 mg </w:t>
      </w:r>
      <w:proofErr w:type="spellStart"/>
      <w:r w:rsidRPr="00CE4C3C">
        <w:rPr>
          <w:rFonts w:ascii="Times New Roman" w:hAnsi="Times New Roman" w:cs="Times New Roman"/>
        </w:rPr>
        <w:t>sunitinibo</w:t>
      </w:r>
      <w:proofErr w:type="spellEnd"/>
      <w:r w:rsidRPr="00CE4C3C">
        <w:rPr>
          <w:rFonts w:ascii="Times New Roman" w:hAnsi="Times New Roman" w:cs="Times New Roman"/>
        </w:rPr>
        <w:t>.</w:t>
      </w:r>
    </w:p>
    <w:p w14:paraId="4DAC5201" w14:textId="77777777" w:rsidR="00D210A7" w:rsidRPr="00CE4C3C" w:rsidRDefault="00D210A7" w:rsidP="00CE4C3C">
      <w:pPr>
        <w:spacing w:line="240" w:lineRule="auto"/>
        <w:rPr>
          <w:rFonts w:ascii="Times New Roman" w:hAnsi="Times New Roman" w:cs="Times New Roman"/>
        </w:rPr>
      </w:pPr>
    </w:p>
    <w:p w14:paraId="66D2C99A" w14:textId="77777777" w:rsidR="00D210A7" w:rsidRPr="00CE4C3C" w:rsidRDefault="00D210A7" w:rsidP="00CE4C3C">
      <w:pPr>
        <w:spacing w:line="240" w:lineRule="auto"/>
        <w:rPr>
          <w:rFonts w:ascii="Times New Roman" w:hAnsi="Times New Roman" w:cs="Times New Roman"/>
          <w:highlight w:val="lightGray"/>
        </w:rPr>
      </w:pPr>
      <w:r w:rsidRPr="00CE4C3C">
        <w:rPr>
          <w:rFonts w:ascii="Times New Roman" w:hAnsi="Times New Roman" w:cs="Times New Roman"/>
          <w:noProof/>
          <w:highlight w:val="lightGray"/>
        </w:rPr>
        <w:t xml:space="preserve">Klertis </w:t>
      </w:r>
      <w:r w:rsidRPr="00CE4C3C">
        <w:rPr>
          <w:rFonts w:ascii="Times New Roman" w:hAnsi="Times New Roman" w:cs="Times New Roman"/>
          <w:highlight w:val="lightGray"/>
        </w:rPr>
        <w:t>25 mg kietosios kapsulės</w:t>
      </w:r>
    </w:p>
    <w:p w14:paraId="3F8CFF99" w14:textId="77777777" w:rsidR="00D210A7" w:rsidRPr="00CE4C3C" w:rsidRDefault="00D210A7" w:rsidP="00CE4C3C">
      <w:pPr>
        <w:spacing w:line="240" w:lineRule="auto"/>
        <w:rPr>
          <w:rFonts w:ascii="Times New Roman" w:hAnsi="Times New Roman" w:cs="Times New Roman"/>
          <w:highlight w:val="lightGray"/>
        </w:rPr>
      </w:pPr>
      <w:r w:rsidRPr="00CE4C3C">
        <w:rPr>
          <w:rFonts w:ascii="Times New Roman" w:hAnsi="Times New Roman" w:cs="Times New Roman"/>
          <w:highlight w:val="lightGray"/>
        </w:rPr>
        <w:t xml:space="preserve">Kiekvienoje </w:t>
      </w:r>
      <w:r w:rsidR="00DD1152">
        <w:rPr>
          <w:rFonts w:ascii="Times New Roman" w:hAnsi="Times New Roman" w:cs="Times New Roman"/>
          <w:highlight w:val="lightGray"/>
        </w:rPr>
        <w:t xml:space="preserve">kietojoje </w:t>
      </w:r>
      <w:r w:rsidRPr="00CE4C3C">
        <w:rPr>
          <w:rFonts w:ascii="Times New Roman" w:hAnsi="Times New Roman" w:cs="Times New Roman"/>
          <w:highlight w:val="lightGray"/>
        </w:rPr>
        <w:t xml:space="preserve">kapsulėje yra </w:t>
      </w:r>
      <w:proofErr w:type="spellStart"/>
      <w:r w:rsidRPr="00CE4C3C">
        <w:rPr>
          <w:rFonts w:ascii="Times New Roman" w:hAnsi="Times New Roman" w:cs="Times New Roman"/>
          <w:highlight w:val="lightGray"/>
        </w:rPr>
        <w:t>sunitinibo</w:t>
      </w:r>
      <w:proofErr w:type="spellEnd"/>
      <w:r w:rsidRPr="00CE4C3C">
        <w:rPr>
          <w:rFonts w:ascii="Times New Roman" w:hAnsi="Times New Roman" w:cs="Times New Roman"/>
          <w:highlight w:val="lightGray"/>
        </w:rPr>
        <w:t xml:space="preserve"> </w:t>
      </w:r>
      <w:proofErr w:type="spellStart"/>
      <w:r w:rsidRPr="00CE4C3C">
        <w:rPr>
          <w:rFonts w:ascii="Times New Roman" w:hAnsi="Times New Roman" w:cs="Times New Roman"/>
          <w:highlight w:val="lightGray"/>
        </w:rPr>
        <w:t>ciklamato</w:t>
      </w:r>
      <w:proofErr w:type="spellEnd"/>
      <w:r w:rsidRPr="00CE4C3C">
        <w:rPr>
          <w:rFonts w:ascii="Times New Roman" w:hAnsi="Times New Roman" w:cs="Times New Roman"/>
          <w:highlight w:val="lightGray"/>
        </w:rPr>
        <w:t xml:space="preserve">, atitinkančio 25 mg </w:t>
      </w:r>
      <w:proofErr w:type="spellStart"/>
      <w:r w:rsidRPr="00CE4C3C">
        <w:rPr>
          <w:rFonts w:ascii="Times New Roman" w:hAnsi="Times New Roman" w:cs="Times New Roman"/>
          <w:highlight w:val="lightGray"/>
        </w:rPr>
        <w:t>sunitinibo</w:t>
      </w:r>
      <w:proofErr w:type="spellEnd"/>
      <w:r w:rsidRPr="00CE4C3C">
        <w:rPr>
          <w:rFonts w:ascii="Times New Roman" w:hAnsi="Times New Roman" w:cs="Times New Roman"/>
          <w:highlight w:val="lightGray"/>
        </w:rPr>
        <w:t>.</w:t>
      </w:r>
    </w:p>
    <w:p w14:paraId="1F366494" w14:textId="77777777" w:rsidR="00D210A7" w:rsidRPr="00CE4C3C" w:rsidRDefault="00D210A7" w:rsidP="00CE4C3C">
      <w:pPr>
        <w:spacing w:line="240" w:lineRule="auto"/>
        <w:rPr>
          <w:rFonts w:ascii="Times New Roman" w:hAnsi="Times New Roman" w:cs="Times New Roman"/>
          <w:highlight w:val="lightGray"/>
        </w:rPr>
      </w:pPr>
    </w:p>
    <w:p w14:paraId="04BD4CFF"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noProof/>
          <w:highlight w:val="lightGray"/>
        </w:rPr>
        <w:t>Klertis 50</w:t>
      </w:r>
      <w:r w:rsidRPr="00CE4C3C">
        <w:rPr>
          <w:rFonts w:ascii="Times New Roman" w:hAnsi="Times New Roman" w:cs="Times New Roman"/>
          <w:highlight w:val="lightGray"/>
        </w:rPr>
        <w:t> mg kietosios kapsulės</w:t>
      </w:r>
    </w:p>
    <w:p w14:paraId="6D3F9432"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highlight w:val="lightGray"/>
        </w:rPr>
        <w:t xml:space="preserve">Kiekvienoje </w:t>
      </w:r>
      <w:r w:rsidR="00DD1152">
        <w:rPr>
          <w:rFonts w:ascii="Times New Roman" w:hAnsi="Times New Roman" w:cs="Times New Roman"/>
          <w:highlight w:val="lightGray"/>
        </w:rPr>
        <w:t xml:space="preserve">kietojoje </w:t>
      </w:r>
      <w:r w:rsidRPr="00CE4C3C">
        <w:rPr>
          <w:rFonts w:ascii="Times New Roman" w:hAnsi="Times New Roman" w:cs="Times New Roman"/>
          <w:highlight w:val="lightGray"/>
        </w:rPr>
        <w:t xml:space="preserve">kapsulėje yra </w:t>
      </w:r>
      <w:proofErr w:type="spellStart"/>
      <w:r w:rsidRPr="00CE4C3C">
        <w:rPr>
          <w:rFonts w:ascii="Times New Roman" w:hAnsi="Times New Roman" w:cs="Times New Roman"/>
          <w:highlight w:val="lightGray"/>
        </w:rPr>
        <w:t>sunitinibo</w:t>
      </w:r>
      <w:proofErr w:type="spellEnd"/>
      <w:r w:rsidRPr="00CE4C3C">
        <w:rPr>
          <w:rFonts w:ascii="Times New Roman" w:hAnsi="Times New Roman" w:cs="Times New Roman"/>
          <w:highlight w:val="lightGray"/>
        </w:rPr>
        <w:t xml:space="preserve"> </w:t>
      </w:r>
      <w:proofErr w:type="spellStart"/>
      <w:r w:rsidRPr="00CE4C3C">
        <w:rPr>
          <w:rFonts w:ascii="Times New Roman" w:hAnsi="Times New Roman" w:cs="Times New Roman"/>
          <w:highlight w:val="lightGray"/>
        </w:rPr>
        <w:t>ciklamato</w:t>
      </w:r>
      <w:proofErr w:type="spellEnd"/>
      <w:r w:rsidRPr="00CE4C3C">
        <w:rPr>
          <w:rFonts w:ascii="Times New Roman" w:hAnsi="Times New Roman" w:cs="Times New Roman"/>
          <w:highlight w:val="lightGray"/>
        </w:rPr>
        <w:t xml:space="preserve">, atitinkančio 50 mg </w:t>
      </w:r>
      <w:proofErr w:type="spellStart"/>
      <w:r w:rsidRPr="00CE4C3C">
        <w:rPr>
          <w:rFonts w:ascii="Times New Roman" w:hAnsi="Times New Roman" w:cs="Times New Roman"/>
          <w:highlight w:val="lightGray"/>
        </w:rPr>
        <w:t>sunitinibo</w:t>
      </w:r>
      <w:proofErr w:type="spellEnd"/>
      <w:r w:rsidRPr="00CE4C3C">
        <w:rPr>
          <w:rFonts w:ascii="Times New Roman" w:hAnsi="Times New Roman" w:cs="Times New Roman"/>
          <w:highlight w:val="lightGray"/>
        </w:rPr>
        <w:t>.</w:t>
      </w:r>
    </w:p>
    <w:p w14:paraId="3B253FE5" w14:textId="77777777" w:rsidR="00D210A7" w:rsidRPr="00CE4C3C" w:rsidRDefault="00D210A7" w:rsidP="00CE4C3C">
      <w:pPr>
        <w:spacing w:line="240" w:lineRule="auto"/>
        <w:rPr>
          <w:rFonts w:ascii="Times New Roman" w:hAnsi="Times New Roman" w:cs="Times New Roman"/>
        </w:rPr>
      </w:pPr>
    </w:p>
    <w:p w14:paraId="1F11063D" w14:textId="77777777" w:rsidR="00D210A7" w:rsidRPr="00CE4C3C" w:rsidRDefault="00D210A7" w:rsidP="00CE4C3C">
      <w:pPr>
        <w:spacing w:line="240" w:lineRule="auto"/>
        <w:rPr>
          <w:rFonts w:ascii="Times New Roman" w:hAnsi="Times New Roman" w:cs="Times New Roman"/>
        </w:rPr>
      </w:pPr>
    </w:p>
    <w:p w14:paraId="6B292807"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CE4C3C">
        <w:rPr>
          <w:rFonts w:ascii="Times New Roman" w:hAnsi="Times New Roman" w:cs="Times New Roman"/>
          <w:b/>
        </w:rPr>
        <w:t>3.</w:t>
      </w:r>
      <w:r w:rsidRPr="00CE4C3C">
        <w:rPr>
          <w:rFonts w:ascii="Times New Roman" w:hAnsi="Times New Roman" w:cs="Times New Roman"/>
          <w:b/>
        </w:rPr>
        <w:tab/>
        <w:t>PAGALBINIŲ MEDŽIAGŲ SĄRAŠAS</w:t>
      </w:r>
    </w:p>
    <w:p w14:paraId="24F17487" w14:textId="77777777" w:rsidR="00D210A7" w:rsidRPr="00CE4C3C" w:rsidRDefault="00D210A7" w:rsidP="00CE4C3C">
      <w:pPr>
        <w:spacing w:line="240" w:lineRule="auto"/>
        <w:rPr>
          <w:rFonts w:ascii="Times New Roman" w:hAnsi="Times New Roman" w:cs="Times New Roman"/>
        </w:rPr>
      </w:pPr>
    </w:p>
    <w:p w14:paraId="5E102CBE" w14:textId="77777777" w:rsidR="00D210A7" w:rsidRPr="00CE4C3C" w:rsidRDefault="00D210A7" w:rsidP="00CE4C3C">
      <w:pPr>
        <w:spacing w:line="240" w:lineRule="auto"/>
        <w:rPr>
          <w:rFonts w:ascii="Times New Roman" w:hAnsi="Times New Roman" w:cs="Times New Roman"/>
        </w:rPr>
      </w:pPr>
    </w:p>
    <w:p w14:paraId="2D915CBA"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CE4C3C">
        <w:rPr>
          <w:rFonts w:ascii="Times New Roman" w:hAnsi="Times New Roman" w:cs="Times New Roman"/>
          <w:b/>
        </w:rPr>
        <w:t>4.</w:t>
      </w:r>
      <w:r w:rsidRPr="00CE4C3C">
        <w:rPr>
          <w:rFonts w:ascii="Times New Roman" w:hAnsi="Times New Roman" w:cs="Times New Roman"/>
          <w:b/>
        </w:rPr>
        <w:tab/>
        <w:t>FARMACINĖ FORMA IR KIEKIS PAKUOTĖJE</w:t>
      </w:r>
    </w:p>
    <w:p w14:paraId="3C9F0E08" w14:textId="77777777" w:rsidR="00D210A7" w:rsidRPr="00CE4C3C" w:rsidRDefault="00D210A7" w:rsidP="00CE4C3C">
      <w:pPr>
        <w:spacing w:line="240" w:lineRule="auto"/>
        <w:rPr>
          <w:rFonts w:ascii="Times New Roman" w:hAnsi="Times New Roman" w:cs="Times New Roman"/>
        </w:rPr>
      </w:pPr>
    </w:p>
    <w:p w14:paraId="3CEA272B"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30</w:t>
      </w:r>
      <w:r w:rsidR="00295285">
        <w:rPr>
          <w:rFonts w:ascii="Times New Roman" w:hAnsi="Times New Roman" w:cs="Times New Roman"/>
        </w:rPr>
        <w:t xml:space="preserve"> kietųjų</w:t>
      </w:r>
      <w:r w:rsidRPr="00CE4C3C">
        <w:rPr>
          <w:rFonts w:ascii="Times New Roman" w:hAnsi="Times New Roman" w:cs="Times New Roman"/>
        </w:rPr>
        <w:t xml:space="preserve"> kapsulių</w:t>
      </w:r>
    </w:p>
    <w:p w14:paraId="7DED636D" w14:textId="77777777" w:rsidR="00D210A7" w:rsidRPr="00CE4C3C" w:rsidRDefault="00D210A7" w:rsidP="00CE4C3C">
      <w:pPr>
        <w:spacing w:line="240" w:lineRule="auto"/>
        <w:rPr>
          <w:rFonts w:ascii="Times New Roman" w:hAnsi="Times New Roman" w:cs="Times New Roman"/>
        </w:rPr>
      </w:pPr>
    </w:p>
    <w:p w14:paraId="170C3F64" w14:textId="77777777" w:rsidR="00D210A7" w:rsidRPr="00CE4C3C" w:rsidRDefault="00D210A7" w:rsidP="00CE4C3C">
      <w:pPr>
        <w:spacing w:line="240" w:lineRule="auto"/>
        <w:rPr>
          <w:rFonts w:ascii="Times New Roman" w:hAnsi="Times New Roman" w:cs="Times New Roman"/>
        </w:rPr>
      </w:pPr>
    </w:p>
    <w:p w14:paraId="4BE89D4B"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CE4C3C">
        <w:rPr>
          <w:rFonts w:ascii="Times New Roman" w:hAnsi="Times New Roman" w:cs="Times New Roman"/>
          <w:b/>
        </w:rPr>
        <w:t>5.</w:t>
      </w:r>
      <w:r w:rsidRPr="00CE4C3C">
        <w:rPr>
          <w:rFonts w:ascii="Times New Roman" w:hAnsi="Times New Roman" w:cs="Times New Roman"/>
          <w:b/>
        </w:rPr>
        <w:tab/>
        <w:t>VARTOJIMO METODAS IR BŪDAS (-AI)</w:t>
      </w:r>
    </w:p>
    <w:p w14:paraId="35E72867" w14:textId="77777777" w:rsidR="00D210A7" w:rsidRPr="00CE4C3C" w:rsidRDefault="00D210A7" w:rsidP="00CE4C3C">
      <w:pPr>
        <w:spacing w:line="240" w:lineRule="auto"/>
        <w:rPr>
          <w:rFonts w:ascii="Times New Roman" w:hAnsi="Times New Roman" w:cs="Times New Roman"/>
        </w:rPr>
      </w:pPr>
    </w:p>
    <w:p w14:paraId="0005CF50"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Vartoti per burną.</w:t>
      </w:r>
    </w:p>
    <w:p w14:paraId="79EEE602"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Prieš vartojimą perskaitykite pakuotės lapelį.</w:t>
      </w:r>
    </w:p>
    <w:p w14:paraId="5CFAD289" w14:textId="77777777" w:rsidR="00D210A7" w:rsidRPr="00CE4C3C" w:rsidRDefault="00D210A7" w:rsidP="00CE4C3C">
      <w:pPr>
        <w:spacing w:line="240" w:lineRule="auto"/>
        <w:rPr>
          <w:rFonts w:ascii="Times New Roman" w:hAnsi="Times New Roman" w:cs="Times New Roman"/>
        </w:rPr>
      </w:pPr>
    </w:p>
    <w:p w14:paraId="1D6BCA7B" w14:textId="77777777" w:rsidR="00D210A7" w:rsidRPr="00CE4C3C" w:rsidRDefault="00D210A7" w:rsidP="00CE4C3C">
      <w:pPr>
        <w:spacing w:line="240" w:lineRule="auto"/>
        <w:rPr>
          <w:rFonts w:ascii="Times New Roman" w:hAnsi="Times New Roman" w:cs="Times New Roman"/>
        </w:rPr>
      </w:pPr>
    </w:p>
    <w:p w14:paraId="4B439C10"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CE4C3C">
        <w:rPr>
          <w:rFonts w:ascii="Times New Roman" w:hAnsi="Times New Roman" w:cs="Times New Roman"/>
          <w:b/>
        </w:rPr>
        <w:t>6.</w:t>
      </w:r>
      <w:r w:rsidRPr="00CE4C3C">
        <w:rPr>
          <w:rFonts w:ascii="Times New Roman" w:hAnsi="Times New Roman" w:cs="Times New Roman"/>
          <w:b/>
        </w:rPr>
        <w:tab/>
        <w:t>SPECIALUS ĮSPĖJIMAS, KAD VAISTINĮ PREPARATĄ BŪTINA LAIKYTI VAIKAMS NEPASTEBIMOJE IR  NEPASIEKIAMOJE VIETOJE</w:t>
      </w:r>
    </w:p>
    <w:p w14:paraId="7BC6E14F" w14:textId="77777777" w:rsidR="00D210A7" w:rsidRPr="00CE4C3C" w:rsidRDefault="00D210A7" w:rsidP="00CE4C3C">
      <w:pPr>
        <w:spacing w:line="240" w:lineRule="auto"/>
        <w:rPr>
          <w:rFonts w:ascii="Times New Roman" w:hAnsi="Times New Roman" w:cs="Times New Roman"/>
        </w:rPr>
      </w:pPr>
    </w:p>
    <w:p w14:paraId="17BE8931"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Laikyti vaikams nepastebimoje ir nepasiekiamoje vietoje.</w:t>
      </w:r>
    </w:p>
    <w:p w14:paraId="03A1C916" w14:textId="77777777" w:rsidR="00D210A7" w:rsidRPr="00CE4C3C" w:rsidRDefault="00D210A7" w:rsidP="00CE4C3C">
      <w:pPr>
        <w:spacing w:line="240" w:lineRule="auto"/>
        <w:rPr>
          <w:rFonts w:ascii="Times New Roman" w:hAnsi="Times New Roman" w:cs="Times New Roman"/>
        </w:rPr>
      </w:pPr>
    </w:p>
    <w:p w14:paraId="70AC11E1" w14:textId="77777777" w:rsidR="00D210A7" w:rsidRPr="00CE4C3C" w:rsidRDefault="00D210A7" w:rsidP="00CE4C3C">
      <w:pPr>
        <w:spacing w:line="240" w:lineRule="auto"/>
        <w:rPr>
          <w:rFonts w:ascii="Times New Roman" w:hAnsi="Times New Roman" w:cs="Times New Roman"/>
        </w:rPr>
      </w:pPr>
    </w:p>
    <w:p w14:paraId="1436CA1F"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CE4C3C">
        <w:rPr>
          <w:rFonts w:ascii="Times New Roman" w:hAnsi="Times New Roman" w:cs="Times New Roman"/>
          <w:b/>
        </w:rPr>
        <w:t>7.</w:t>
      </w:r>
      <w:r w:rsidRPr="00CE4C3C">
        <w:rPr>
          <w:rFonts w:ascii="Times New Roman" w:hAnsi="Times New Roman" w:cs="Times New Roman"/>
          <w:b/>
        </w:rPr>
        <w:tab/>
        <w:t>KITAS (-I) SPECIALUS (-ŪS) ĮSPĖJIMAS (-AI) (JEI REIKIA)</w:t>
      </w:r>
    </w:p>
    <w:p w14:paraId="14F4B199" w14:textId="77777777" w:rsidR="00D210A7" w:rsidRPr="00CE4C3C" w:rsidRDefault="00D210A7" w:rsidP="00CE4C3C">
      <w:pPr>
        <w:spacing w:line="240" w:lineRule="auto"/>
        <w:rPr>
          <w:rFonts w:ascii="Times New Roman" w:hAnsi="Times New Roman" w:cs="Times New Roman"/>
        </w:rPr>
      </w:pPr>
    </w:p>
    <w:p w14:paraId="0A4E061D" w14:textId="77777777" w:rsidR="00D210A7" w:rsidRPr="00CE4C3C" w:rsidRDefault="00D210A7" w:rsidP="00CE4C3C">
      <w:pPr>
        <w:spacing w:line="240" w:lineRule="auto"/>
        <w:rPr>
          <w:rFonts w:ascii="Times New Roman" w:hAnsi="Times New Roman" w:cs="Times New Roman"/>
        </w:rPr>
      </w:pPr>
      <w:proofErr w:type="spellStart"/>
      <w:r w:rsidRPr="00CE4C3C">
        <w:rPr>
          <w:rFonts w:ascii="Times New Roman" w:hAnsi="Times New Roman" w:cs="Times New Roman"/>
        </w:rPr>
        <w:t>Citotoksinis</w:t>
      </w:r>
      <w:proofErr w:type="spellEnd"/>
      <w:r w:rsidRPr="00CE4C3C">
        <w:rPr>
          <w:rFonts w:ascii="Times New Roman" w:hAnsi="Times New Roman" w:cs="Times New Roman"/>
        </w:rPr>
        <w:t>.</w:t>
      </w:r>
    </w:p>
    <w:p w14:paraId="6E4D3D9B" w14:textId="77777777" w:rsidR="00D210A7" w:rsidRPr="00CE4C3C" w:rsidRDefault="00D210A7" w:rsidP="00CE4C3C">
      <w:pPr>
        <w:spacing w:line="240" w:lineRule="auto"/>
        <w:rPr>
          <w:rFonts w:ascii="Times New Roman" w:hAnsi="Times New Roman" w:cs="Times New Roman"/>
        </w:rPr>
      </w:pPr>
    </w:p>
    <w:p w14:paraId="2441508E"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CE4C3C">
        <w:rPr>
          <w:rFonts w:ascii="Times New Roman" w:hAnsi="Times New Roman" w:cs="Times New Roman"/>
          <w:b/>
        </w:rPr>
        <w:t>8.</w:t>
      </w:r>
      <w:r w:rsidRPr="00CE4C3C">
        <w:rPr>
          <w:rFonts w:ascii="Times New Roman" w:hAnsi="Times New Roman" w:cs="Times New Roman"/>
          <w:b/>
        </w:rPr>
        <w:tab/>
        <w:t>TINKAMUMO LAIKAS</w:t>
      </w:r>
    </w:p>
    <w:p w14:paraId="78BC2B21" w14:textId="77777777" w:rsidR="00D210A7" w:rsidRPr="00CE4C3C" w:rsidRDefault="00D210A7" w:rsidP="00CE4C3C">
      <w:pPr>
        <w:spacing w:line="240" w:lineRule="auto"/>
        <w:rPr>
          <w:rFonts w:ascii="Times New Roman" w:hAnsi="Times New Roman" w:cs="Times New Roman"/>
        </w:rPr>
      </w:pPr>
    </w:p>
    <w:p w14:paraId="65CF7F22"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EXP:</w:t>
      </w:r>
    </w:p>
    <w:p w14:paraId="644D15CA" w14:textId="77777777" w:rsidR="00D210A7" w:rsidRPr="00CE4C3C" w:rsidRDefault="00D210A7" w:rsidP="00CE4C3C">
      <w:pPr>
        <w:spacing w:line="240" w:lineRule="auto"/>
        <w:rPr>
          <w:rFonts w:ascii="Times New Roman" w:hAnsi="Times New Roman" w:cs="Times New Roman"/>
        </w:rPr>
      </w:pPr>
    </w:p>
    <w:p w14:paraId="7C49C96F" w14:textId="77777777" w:rsidR="00D210A7" w:rsidRPr="00CE4C3C" w:rsidRDefault="00D210A7" w:rsidP="00CE4C3C">
      <w:pPr>
        <w:spacing w:line="240" w:lineRule="auto"/>
        <w:rPr>
          <w:rFonts w:ascii="Times New Roman" w:hAnsi="Times New Roman" w:cs="Times New Roman"/>
        </w:rPr>
      </w:pPr>
    </w:p>
    <w:p w14:paraId="35C1AC79" w14:textId="77777777" w:rsidR="00D210A7" w:rsidRPr="00CE4C3C" w:rsidRDefault="00D210A7" w:rsidP="00CE4C3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rPr>
      </w:pPr>
      <w:r w:rsidRPr="00CE4C3C">
        <w:rPr>
          <w:rFonts w:ascii="Times New Roman" w:hAnsi="Times New Roman" w:cs="Times New Roman"/>
          <w:b/>
        </w:rPr>
        <w:lastRenderedPageBreak/>
        <w:t>9.</w:t>
      </w:r>
      <w:r w:rsidRPr="00CE4C3C">
        <w:rPr>
          <w:rFonts w:ascii="Times New Roman" w:hAnsi="Times New Roman" w:cs="Times New Roman"/>
          <w:b/>
        </w:rPr>
        <w:tab/>
        <w:t>SPECIALIOS LAIKYMO SĄLYGOS</w:t>
      </w:r>
    </w:p>
    <w:p w14:paraId="62026F41" w14:textId="77777777" w:rsidR="00D210A7" w:rsidRPr="00CE4C3C" w:rsidRDefault="00D210A7" w:rsidP="00CE4C3C">
      <w:pPr>
        <w:spacing w:line="240" w:lineRule="auto"/>
        <w:rPr>
          <w:rFonts w:ascii="Times New Roman" w:hAnsi="Times New Roman" w:cs="Times New Roman"/>
        </w:rPr>
      </w:pPr>
    </w:p>
    <w:p w14:paraId="1272ED87" w14:textId="77777777" w:rsidR="00D210A7" w:rsidRPr="00CE4C3C" w:rsidRDefault="00D210A7" w:rsidP="00CE4C3C">
      <w:pPr>
        <w:spacing w:line="240" w:lineRule="auto"/>
        <w:rPr>
          <w:rFonts w:ascii="Times New Roman" w:hAnsi="Times New Roman" w:cs="Times New Roman"/>
        </w:rPr>
      </w:pPr>
    </w:p>
    <w:p w14:paraId="5E0F1082" w14:textId="77777777" w:rsidR="00D210A7" w:rsidRPr="00CE4C3C" w:rsidRDefault="00D210A7" w:rsidP="00CE4C3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rPr>
      </w:pPr>
      <w:r w:rsidRPr="00CE4C3C">
        <w:rPr>
          <w:rFonts w:ascii="Times New Roman" w:hAnsi="Times New Roman" w:cs="Times New Roman"/>
          <w:b/>
        </w:rPr>
        <w:t>10.</w:t>
      </w:r>
      <w:r w:rsidRPr="00CE4C3C">
        <w:rPr>
          <w:rFonts w:ascii="Times New Roman" w:hAnsi="Times New Roman" w:cs="Times New Roman"/>
          <w:b/>
        </w:rPr>
        <w:tab/>
        <w:t>SPECIALIOS ATSARGUMO PRIEMONĖS DĖL NESUVARTOTO VAISTINIO PREPARATO AR JO ATLIEKŲ TVARKYMO (JEI REIKIA)</w:t>
      </w:r>
    </w:p>
    <w:p w14:paraId="02F93B79" w14:textId="77777777" w:rsidR="00D210A7" w:rsidRPr="00CE4C3C" w:rsidRDefault="00D210A7" w:rsidP="00CE4C3C">
      <w:pPr>
        <w:spacing w:line="240" w:lineRule="auto"/>
        <w:rPr>
          <w:rFonts w:ascii="Times New Roman" w:hAnsi="Times New Roman" w:cs="Times New Roman"/>
        </w:rPr>
      </w:pPr>
    </w:p>
    <w:p w14:paraId="2E6B482E" w14:textId="77777777" w:rsidR="00D210A7" w:rsidRPr="00CE4C3C" w:rsidRDefault="00D210A7" w:rsidP="00CE4C3C">
      <w:pPr>
        <w:spacing w:line="240" w:lineRule="auto"/>
        <w:rPr>
          <w:rFonts w:ascii="Times New Roman" w:hAnsi="Times New Roman" w:cs="Times New Roman"/>
        </w:rPr>
      </w:pPr>
    </w:p>
    <w:p w14:paraId="64BCE188" w14:textId="77777777" w:rsidR="00D210A7" w:rsidRPr="00CE4C3C"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b/>
        </w:rPr>
      </w:pPr>
      <w:r w:rsidRPr="00CE4C3C">
        <w:rPr>
          <w:rFonts w:ascii="Times New Roman" w:hAnsi="Times New Roman" w:cs="Times New Roman"/>
          <w:b/>
        </w:rPr>
        <w:t>11.</w:t>
      </w:r>
      <w:r w:rsidRPr="00CE4C3C">
        <w:rPr>
          <w:rFonts w:ascii="Times New Roman" w:hAnsi="Times New Roman" w:cs="Times New Roman"/>
          <w:b/>
        </w:rPr>
        <w:tab/>
      </w:r>
      <w:r w:rsidRPr="00CE4C3C">
        <w:rPr>
          <w:rFonts w:ascii="Times New Roman" w:hAnsi="Times New Roman" w:cs="Times New Roman"/>
          <w:b/>
          <w:caps/>
        </w:rPr>
        <w:t>REGISTRUOTOJO PAVADINIMAS IR ADRESAS</w:t>
      </w:r>
    </w:p>
    <w:p w14:paraId="3D250090" w14:textId="77777777" w:rsidR="00D210A7" w:rsidRPr="00CE4C3C" w:rsidRDefault="00D210A7" w:rsidP="00CE4C3C">
      <w:pPr>
        <w:spacing w:line="240" w:lineRule="auto"/>
        <w:rPr>
          <w:rFonts w:ascii="Times New Roman" w:hAnsi="Times New Roman" w:cs="Times New Roman"/>
        </w:rPr>
      </w:pPr>
    </w:p>
    <w:p w14:paraId="4F936C34"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Egis</w:t>
      </w:r>
    </w:p>
    <w:p w14:paraId="65AAE333" w14:textId="77777777" w:rsidR="00D210A7" w:rsidRPr="00CE4C3C" w:rsidRDefault="00D210A7" w:rsidP="00CE4C3C">
      <w:pPr>
        <w:spacing w:line="240" w:lineRule="auto"/>
        <w:rPr>
          <w:rFonts w:ascii="Times New Roman" w:hAnsi="Times New Roman" w:cs="Times New Roman"/>
        </w:rPr>
      </w:pPr>
    </w:p>
    <w:p w14:paraId="67DB1356" w14:textId="77777777" w:rsidR="00D210A7" w:rsidRPr="00CE4C3C" w:rsidRDefault="00D210A7" w:rsidP="00CE4C3C">
      <w:pPr>
        <w:spacing w:line="240" w:lineRule="auto"/>
        <w:rPr>
          <w:rFonts w:ascii="Times New Roman" w:hAnsi="Times New Roman" w:cs="Times New Roman"/>
        </w:rPr>
      </w:pPr>
    </w:p>
    <w:p w14:paraId="5A81B517" w14:textId="77777777" w:rsidR="00D210A7" w:rsidRPr="00CE4C3C"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rPr>
      </w:pPr>
      <w:r w:rsidRPr="00CE4C3C">
        <w:rPr>
          <w:rFonts w:ascii="Times New Roman" w:hAnsi="Times New Roman" w:cs="Times New Roman"/>
          <w:b/>
        </w:rPr>
        <w:t>12.</w:t>
      </w:r>
      <w:r w:rsidRPr="00CE4C3C">
        <w:rPr>
          <w:rFonts w:ascii="Times New Roman" w:hAnsi="Times New Roman" w:cs="Times New Roman"/>
          <w:b/>
        </w:rPr>
        <w:tab/>
        <w:t xml:space="preserve">REGISTRACIJOS PAŽYMĖJIMO NUMERIS (-IAI) </w:t>
      </w:r>
    </w:p>
    <w:p w14:paraId="3D0D0DF2" w14:textId="77777777" w:rsidR="00D210A7" w:rsidRPr="00CE4C3C" w:rsidRDefault="00D210A7" w:rsidP="00CE4C3C">
      <w:pPr>
        <w:spacing w:line="240" w:lineRule="auto"/>
        <w:rPr>
          <w:rFonts w:ascii="Times New Roman" w:hAnsi="Times New Roman" w:cs="Times New Roman"/>
        </w:rPr>
      </w:pPr>
    </w:p>
    <w:p w14:paraId="5953CF5B" w14:textId="4998D4C5" w:rsidR="00575A1E" w:rsidRPr="00575A1E" w:rsidRDefault="00575A1E" w:rsidP="00575A1E">
      <w:pPr>
        <w:spacing w:line="240" w:lineRule="auto"/>
        <w:rPr>
          <w:rFonts w:ascii="Times New Roman" w:hAnsi="Times New Roman" w:cs="Times New Roman"/>
          <w:highlight w:val="lightGray"/>
        </w:rPr>
      </w:pPr>
      <w:r w:rsidRPr="00575A1E">
        <w:rPr>
          <w:rFonts w:ascii="Times New Roman" w:hAnsi="Times New Roman" w:cs="Times New Roman"/>
          <w:highlight w:val="lightGray"/>
        </w:rPr>
        <w:t>12,5 mg</w:t>
      </w:r>
    </w:p>
    <w:p w14:paraId="0C56BF48" w14:textId="36D660FE" w:rsidR="00575A1E" w:rsidRPr="00575A1E" w:rsidRDefault="00575A1E" w:rsidP="00575A1E">
      <w:pPr>
        <w:spacing w:line="240" w:lineRule="auto"/>
        <w:rPr>
          <w:rFonts w:ascii="Times New Roman" w:hAnsi="Times New Roman" w:cs="Times New Roman"/>
        </w:rPr>
      </w:pPr>
      <w:r w:rsidRPr="00575A1E">
        <w:rPr>
          <w:rFonts w:ascii="Times New Roman" w:hAnsi="Times New Roman" w:cs="Times New Roman"/>
        </w:rPr>
        <w:t xml:space="preserve">LT/1/21/4737/002 </w:t>
      </w:r>
      <w:r w:rsidRPr="00575A1E">
        <w:rPr>
          <w:rFonts w:ascii="Times New Roman" w:hAnsi="Times New Roman" w:cs="Times New Roman"/>
        </w:rPr>
        <w:tab/>
      </w:r>
    </w:p>
    <w:p w14:paraId="76F4D936" w14:textId="77777777" w:rsidR="00575A1E" w:rsidRPr="00575A1E" w:rsidRDefault="00575A1E" w:rsidP="00575A1E">
      <w:pPr>
        <w:spacing w:line="240" w:lineRule="auto"/>
        <w:rPr>
          <w:rFonts w:ascii="Times New Roman" w:hAnsi="Times New Roman" w:cs="Times New Roman"/>
        </w:rPr>
      </w:pPr>
    </w:p>
    <w:p w14:paraId="2A3DE554" w14:textId="77777777" w:rsidR="00575A1E" w:rsidRPr="00575A1E" w:rsidRDefault="00575A1E" w:rsidP="00575A1E">
      <w:pPr>
        <w:spacing w:line="240" w:lineRule="auto"/>
        <w:rPr>
          <w:rFonts w:ascii="Times New Roman" w:hAnsi="Times New Roman" w:cs="Times New Roman"/>
          <w:highlight w:val="lightGray"/>
        </w:rPr>
      </w:pPr>
      <w:r w:rsidRPr="00575A1E">
        <w:rPr>
          <w:rFonts w:ascii="Times New Roman" w:hAnsi="Times New Roman" w:cs="Times New Roman"/>
          <w:highlight w:val="lightGray"/>
        </w:rPr>
        <w:t>25 mg</w:t>
      </w:r>
    </w:p>
    <w:p w14:paraId="26E35386" w14:textId="45363BF1" w:rsidR="00575A1E" w:rsidRPr="00575A1E" w:rsidRDefault="00575A1E" w:rsidP="00575A1E">
      <w:pPr>
        <w:spacing w:line="240" w:lineRule="auto"/>
        <w:rPr>
          <w:rFonts w:ascii="Times New Roman" w:hAnsi="Times New Roman" w:cs="Times New Roman"/>
        </w:rPr>
      </w:pPr>
      <w:r w:rsidRPr="00575A1E">
        <w:rPr>
          <w:rFonts w:ascii="Times New Roman" w:hAnsi="Times New Roman" w:cs="Times New Roman"/>
        </w:rPr>
        <w:t xml:space="preserve">LT/1/21/4738/002 </w:t>
      </w:r>
    </w:p>
    <w:p w14:paraId="7A080003" w14:textId="4CA65A07" w:rsidR="00575A1E" w:rsidRDefault="00575A1E" w:rsidP="00575A1E">
      <w:pPr>
        <w:spacing w:line="240" w:lineRule="auto"/>
        <w:rPr>
          <w:rFonts w:ascii="Times New Roman" w:hAnsi="Times New Roman" w:cs="Times New Roman"/>
        </w:rPr>
      </w:pPr>
    </w:p>
    <w:p w14:paraId="24D89157" w14:textId="68D86E86" w:rsidR="00575A1E" w:rsidRPr="00575A1E" w:rsidRDefault="00575A1E" w:rsidP="00575A1E">
      <w:pPr>
        <w:spacing w:line="240" w:lineRule="auto"/>
        <w:rPr>
          <w:rFonts w:ascii="Times New Roman" w:hAnsi="Times New Roman" w:cs="Times New Roman"/>
          <w:highlight w:val="lightGray"/>
        </w:rPr>
      </w:pPr>
      <w:r w:rsidRPr="00575A1E">
        <w:rPr>
          <w:rFonts w:ascii="Times New Roman" w:hAnsi="Times New Roman" w:cs="Times New Roman"/>
          <w:highlight w:val="lightGray"/>
        </w:rPr>
        <w:t>50 mg</w:t>
      </w:r>
    </w:p>
    <w:p w14:paraId="08DFF60B" w14:textId="435AA3B1" w:rsidR="00F05C15" w:rsidRDefault="00575A1E" w:rsidP="00575A1E">
      <w:pPr>
        <w:spacing w:line="240" w:lineRule="auto"/>
        <w:rPr>
          <w:rFonts w:ascii="Times New Roman" w:hAnsi="Times New Roman" w:cs="Times New Roman"/>
        </w:rPr>
      </w:pPr>
      <w:r w:rsidRPr="00575A1E">
        <w:rPr>
          <w:rFonts w:ascii="Times New Roman" w:hAnsi="Times New Roman" w:cs="Times New Roman"/>
        </w:rPr>
        <w:t xml:space="preserve">LT/1/21/4739/002 </w:t>
      </w:r>
    </w:p>
    <w:p w14:paraId="07469831" w14:textId="77777777" w:rsidR="00575A1E" w:rsidRDefault="00575A1E" w:rsidP="00575A1E">
      <w:pPr>
        <w:spacing w:line="240" w:lineRule="auto"/>
        <w:rPr>
          <w:rFonts w:ascii="Times New Roman" w:hAnsi="Times New Roman" w:cs="Times New Roman"/>
        </w:rPr>
      </w:pPr>
    </w:p>
    <w:p w14:paraId="12EEAF9C" w14:textId="77777777" w:rsidR="00F05C15" w:rsidRPr="00CE4C3C" w:rsidRDefault="00F05C15" w:rsidP="00CE4C3C">
      <w:pPr>
        <w:spacing w:line="240" w:lineRule="auto"/>
        <w:rPr>
          <w:rFonts w:ascii="Times New Roman" w:hAnsi="Times New Roman" w:cs="Times New Roman"/>
        </w:rPr>
      </w:pPr>
    </w:p>
    <w:p w14:paraId="69D39C35" w14:textId="77777777" w:rsidR="00D210A7" w:rsidRPr="00CE4C3C"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rPr>
      </w:pPr>
      <w:r w:rsidRPr="00CE4C3C">
        <w:rPr>
          <w:rFonts w:ascii="Times New Roman" w:hAnsi="Times New Roman" w:cs="Times New Roman"/>
          <w:b/>
        </w:rPr>
        <w:t>13.</w:t>
      </w:r>
      <w:r w:rsidRPr="00CE4C3C">
        <w:rPr>
          <w:rFonts w:ascii="Times New Roman" w:hAnsi="Times New Roman" w:cs="Times New Roman"/>
          <w:b/>
        </w:rPr>
        <w:tab/>
        <w:t xml:space="preserve">SERIJOS NUMERIS </w:t>
      </w:r>
    </w:p>
    <w:p w14:paraId="761C815B" w14:textId="77777777" w:rsidR="00D210A7" w:rsidRPr="00CE4C3C" w:rsidRDefault="00D210A7" w:rsidP="00CE4C3C">
      <w:pPr>
        <w:spacing w:line="240" w:lineRule="auto"/>
        <w:rPr>
          <w:rFonts w:ascii="Times New Roman" w:hAnsi="Times New Roman" w:cs="Times New Roman"/>
        </w:rPr>
      </w:pPr>
    </w:p>
    <w:p w14:paraId="3E9B73AC"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t>Lot:</w:t>
      </w:r>
    </w:p>
    <w:p w14:paraId="6CB171D0" w14:textId="77777777" w:rsidR="00D210A7" w:rsidRPr="00CE4C3C" w:rsidRDefault="00D210A7" w:rsidP="00CE4C3C">
      <w:pPr>
        <w:spacing w:line="240" w:lineRule="auto"/>
        <w:rPr>
          <w:rFonts w:ascii="Times New Roman" w:hAnsi="Times New Roman" w:cs="Times New Roman"/>
        </w:rPr>
      </w:pPr>
    </w:p>
    <w:p w14:paraId="6E681AB7" w14:textId="77777777" w:rsidR="00D210A7" w:rsidRPr="00CE4C3C" w:rsidRDefault="00D210A7" w:rsidP="00CE4C3C">
      <w:pPr>
        <w:spacing w:line="240" w:lineRule="auto"/>
        <w:rPr>
          <w:rFonts w:ascii="Times New Roman" w:hAnsi="Times New Roman" w:cs="Times New Roman"/>
        </w:rPr>
      </w:pPr>
    </w:p>
    <w:p w14:paraId="2AD5DCE3" w14:textId="77777777" w:rsidR="00D210A7" w:rsidRPr="00CE4C3C" w:rsidRDefault="00D210A7" w:rsidP="00CE4C3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rPr>
      </w:pPr>
      <w:r w:rsidRPr="00CE4C3C">
        <w:rPr>
          <w:rFonts w:ascii="Times New Roman" w:hAnsi="Times New Roman" w:cs="Times New Roman"/>
          <w:b/>
        </w:rPr>
        <w:t>14.</w:t>
      </w:r>
      <w:r w:rsidRPr="00CE4C3C">
        <w:rPr>
          <w:rFonts w:ascii="Times New Roman" w:hAnsi="Times New Roman" w:cs="Times New Roman"/>
          <w:b/>
        </w:rPr>
        <w:tab/>
        <w:t>PARDAVIMO (IŠDAVIMO) TVARKA</w:t>
      </w:r>
    </w:p>
    <w:p w14:paraId="6987B46C" w14:textId="77777777" w:rsidR="00D210A7" w:rsidRPr="00CE4C3C" w:rsidRDefault="00D210A7" w:rsidP="00CE4C3C">
      <w:pPr>
        <w:spacing w:line="240" w:lineRule="auto"/>
        <w:rPr>
          <w:rFonts w:ascii="Times New Roman" w:hAnsi="Times New Roman" w:cs="Times New Roman"/>
        </w:rPr>
      </w:pPr>
    </w:p>
    <w:p w14:paraId="162189C6" w14:textId="77777777" w:rsidR="00D210A7" w:rsidRPr="00CE4C3C" w:rsidRDefault="00D210A7" w:rsidP="00CE4C3C">
      <w:pPr>
        <w:spacing w:line="240" w:lineRule="auto"/>
        <w:rPr>
          <w:rFonts w:ascii="Times New Roman" w:hAnsi="Times New Roman" w:cs="Times New Roman"/>
        </w:rPr>
      </w:pPr>
    </w:p>
    <w:p w14:paraId="1FAF320B" w14:textId="77777777" w:rsidR="00D210A7" w:rsidRPr="00CE4C3C" w:rsidRDefault="00D210A7" w:rsidP="00CE4C3C">
      <w:pPr>
        <w:pBdr>
          <w:top w:val="single" w:sz="4" w:space="2"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cs="Times New Roman"/>
        </w:rPr>
      </w:pPr>
      <w:r w:rsidRPr="00CE4C3C">
        <w:rPr>
          <w:rFonts w:ascii="Times New Roman" w:hAnsi="Times New Roman" w:cs="Times New Roman"/>
          <w:b/>
        </w:rPr>
        <w:t>15.</w:t>
      </w:r>
      <w:r w:rsidRPr="00CE4C3C">
        <w:rPr>
          <w:rFonts w:ascii="Times New Roman" w:hAnsi="Times New Roman" w:cs="Times New Roman"/>
          <w:b/>
        </w:rPr>
        <w:tab/>
        <w:t>VARTOJIMO INSTRUKCIJA</w:t>
      </w:r>
    </w:p>
    <w:p w14:paraId="1F1FA3EB" w14:textId="77777777" w:rsidR="00D210A7" w:rsidRPr="00CE4C3C" w:rsidRDefault="00D210A7" w:rsidP="00CE4C3C">
      <w:pPr>
        <w:spacing w:line="240" w:lineRule="auto"/>
        <w:rPr>
          <w:rFonts w:ascii="Times New Roman" w:hAnsi="Times New Roman" w:cs="Times New Roman"/>
        </w:rPr>
      </w:pPr>
    </w:p>
    <w:p w14:paraId="1BE032A2" w14:textId="77777777" w:rsidR="00D210A7" w:rsidRPr="00CE4C3C" w:rsidRDefault="00D210A7" w:rsidP="00CE4C3C">
      <w:pPr>
        <w:spacing w:line="240" w:lineRule="auto"/>
        <w:rPr>
          <w:rFonts w:ascii="Times New Roman" w:hAnsi="Times New Roman" w:cs="Times New Roman"/>
        </w:rPr>
      </w:pPr>
    </w:p>
    <w:p w14:paraId="0303368A" w14:textId="77777777" w:rsidR="00D210A7" w:rsidRPr="00CE4C3C" w:rsidRDefault="00D210A7" w:rsidP="00CE4C3C">
      <w:pPr>
        <w:pBdr>
          <w:top w:val="single" w:sz="4" w:space="1" w:color="auto"/>
          <w:left w:val="single" w:sz="4" w:space="4" w:color="auto"/>
          <w:bottom w:val="single" w:sz="4" w:space="0" w:color="auto"/>
          <w:right w:val="single" w:sz="4" w:space="4" w:color="auto"/>
        </w:pBdr>
        <w:tabs>
          <w:tab w:val="left" w:pos="567"/>
        </w:tabs>
        <w:spacing w:line="240" w:lineRule="auto"/>
        <w:rPr>
          <w:rFonts w:ascii="Times New Roman" w:hAnsi="Times New Roman" w:cs="Times New Roman"/>
        </w:rPr>
      </w:pPr>
      <w:r w:rsidRPr="00CE4C3C">
        <w:rPr>
          <w:rFonts w:ascii="Times New Roman" w:hAnsi="Times New Roman" w:cs="Times New Roman"/>
          <w:b/>
        </w:rPr>
        <w:t>16.</w:t>
      </w:r>
      <w:r w:rsidRPr="00CE4C3C">
        <w:rPr>
          <w:rFonts w:ascii="Times New Roman" w:hAnsi="Times New Roman" w:cs="Times New Roman"/>
          <w:b/>
        </w:rPr>
        <w:tab/>
        <w:t>INFORMACIJA BRAILIO RAŠTU</w:t>
      </w:r>
    </w:p>
    <w:p w14:paraId="2D4FFCC3" w14:textId="77777777" w:rsidR="00D210A7" w:rsidRPr="00CE4C3C" w:rsidRDefault="00D210A7" w:rsidP="00CE4C3C">
      <w:pPr>
        <w:spacing w:line="240" w:lineRule="auto"/>
        <w:rPr>
          <w:rFonts w:ascii="Times New Roman" w:hAnsi="Times New Roman" w:cs="Times New Roman"/>
        </w:rPr>
      </w:pPr>
    </w:p>
    <w:p w14:paraId="70A09A42" w14:textId="77777777" w:rsidR="00D210A7" w:rsidRPr="00CE4C3C" w:rsidRDefault="00D210A7" w:rsidP="00CE4C3C">
      <w:pPr>
        <w:spacing w:line="240" w:lineRule="auto"/>
        <w:rPr>
          <w:rFonts w:ascii="Times New Roman" w:hAnsi="Times New Roman" w:cs="Times New Roman"/>
          <w:shd w:val="clear" w:color="auto" w:fill="CCCCCC"/>
        </w:rPr>
      </w:pPr>
    </w:p>
    <w:p w14:paraId="5C4AC984" w14:textId="77777777" w:rsidR="00D210A7" w:rsidRPr="00CE4C3C" w:rsidRDefault="00D210A7" w:rsidP="00CE4C3C">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outlineLvl w:val="0"/>
        <w:rPr>
          <w:rFonts w:ascii="Times New Roman" w:hAnsi="Times New Roman" w:cs="Times New Roman"/>
          <w:i/>
        </w:rPr>
      </w:pPr>
      <w:r w:rsidRPr="00CE4C3C">
        <w:rPr>
          <w:rFonts w:ascii="Times New Roman" w:hAnsi="Times New Roman" w:cs="Times New Roman"/>
          <w:b/>
        </w:rPr>
        <w:t>17.</w:t>
      </w:r>
      <w:r w:rsidRPr="00CE4C3C">
        <w:rPr>
          <w:rFonts w:ascii="Times New Roman" w:hAnsi="Times New Roman" w:cs="Times New Roman"/>
          <w:b/>
        </w:rPr>
        <w:tab/>
        <w:t>UNIKALUS IDENTIFIKATORIUS – 2D BRŪKŠNINIS KODAS</w:t>
      </w:r>
    </w:p>
    <w:p w14:paraId="3C21AA64" w14:textId="77777777" w:rsidR="00D210A7" w:rsidRPr="00CE4C3C" w:rsidRDefault="00D210A7" w:rsidP="00CE4C3C">
      <w:pPr>
        <w:spacing w:line="240" w:lineRule="auto"/>
        <w:rPr>
          <w:rFonts w:ascii="Times New Roman" w:hAnsi="Times New Roman" w:cs="Times New Roman"/>
        </w:rPr>
      </w:pPr>
    </w:p>
    <w:p w14:paraId="72928535" w14:textId="77777777" w:rsidR="00D210A7" w:rsidRPr="00CE4C3C" w:rsidRDefault="00D210A7" w:rsidP="00CE4C3C">
      <w:pPr>
        <w:spacing w:line="240" w:lineRule="auto"/>
        <w:rPr>
          <w:rFonts w:ascii="Times New Roman" w:hAnsi="Times New Roman" w:cs="Times New Roman"/>
        </w:rPr>
      </w:pPr>
    </w:p>
    <w:p w14:paraId="7A0D3C02" w14:textId="77777777" w:rsidR="00D210A7" w:rsidRPr="00CE4C3C" w:rsidRDefault="00D210A7" w:rsidP="00CE4C3C">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outlineLvl w:val="0"/>
        <w:rPr>
          <w:rFonts w:ascii="Times New Roman" w:hAnsi="Times New Roman" w:cs="Times New Roman"/>
          <w:i/>
        </w:rPr>
      </w:pPr>
      <w:r w:rsidRPr="00CE4C3C">
        <w:rPr>
          <w:rFonts w:ascii="Times New Roman" w:hAnsi="Times New Roman" w:cs="Times New Roman"/>
          <w:b/>
        </w:rPr>
        <w:t>18.</w:t>
      </w:r>
      <w:r w:rsidRPr="00CE4C3C">
        <w:rPr>
          <w:rFonts w:ascii="Times New Roman" w:hAnsi="Times New Roman" w:cs="Times New Roman"/>
          <w:b/>
        </w:rPr>
        <w:tab/>
        <w:t>UNIKALUS IDENTIFIKATORIUS – ŽMONĖMS SUPRANTAMI DUOMENYS</w:t>
      </w:r>
    </w:p>
    <w:p w14:paraId="68C41F5F" w14:textId="77777777" w:rsidR="00D210A7" w:rsidRPr="00CE4C3C" w:rsidRDefault="00D210A7" w:rsidP="00CE4C3C">
      <w:pPr>
        <w:spacing w:line="240" w:lineRule="auto"/>
        <w:rPr>
          <w:rFonts w:ascii="Times New Roman" w:hAnsi="Times New Roman" w:cs="Times New Roman"/>
        </w:rPr>
      </w:pPr>
    </w:p>
    <w:p w14:paraId="46F46916" w14:textId="77777777" w:rsidR="00D210A7" w:rsidRPr="00CE4C3C" w:rsidRDefault="00D210A7" w:rsidP="00CE4C3C">
      <w:pPr>
        <w:spacing w:line="240" w:lineRule="auto"/>
        <w:rPr>
          <w:rFonts w:ascii="Times New Roman" w:hAnsi="Times New Roman" w:cs="Times New Roman"/>
        </w:rPr>
      </w:pPr>
      <w:r w:rsidRPr="00CE4C3C">
        <w:rPr>
          <w:rFonts w:ascii="Times New Roman" w:hAnsi="Times New Roman" w:cs="Times New Roman"/>
        </w:rPr>
        <w:br w:type="page"/>
      </w:r>
    </w:p>
    <w:p w14:paraId="29704836" w14:textId="77777777" w:rsidR="00E05615" w:rsidRPr="00CE4C3C" w:rsidRDefault="00E05615" w:rsidP="00CE4C3C">
      <w:pPr>
        <w:spacing w:line="240" w:lineRule="auto"/>
        <w:rPr>
          <w:rFonts w:ascii="Times New Roman" w:eastAsia="Times New Roman" w:hAnsi="Times New Roman" w:cs="Times New Roman"/>
        </w:rPr>
      </w:pPr>
    </w:p>
    <w:p w14:paraId="538F0394" w14:textId="77777777" w:rsidR="00E05615" w:rsidRPr="00CE4C3C" w:rsidRDefault="00E05615" w:rsidP="00CE4C3C">
      <w:pPr>
        <w:spacing w:line="240" w:lineRule="auto"/>
        <w:rPr>
          <w:rFonts w:ascii="Times New Roman" w:eastAsia="Times New Roman" w:hAnsi="Times New Roman" w:cs="Times New Roman"/>
        </w:rPr>
      </w:pPr>
    </w:p>
    <w:p w14:paraId="308914F1" w14:textId="77777777" w:rsidR="00E05615" w:rsidRPr="00CE4C3C" w:rsidRDefault="00E05615" w:rsidP="00CE4C3C">
      <w:pPr>
        <w:spacing w:line="240" w:lineRule="auto"/>
        <w:rPr>
          <w:rFonts w:ascii="Times New Roman" w:eastAsia="Times New Roman" w:hAnsi="Times New Roman" w:cs="Times New Roman"/>
        </w:rPr>
      </w:pPr>
    </w:p>
    <w:p w14:paraId="15F522AB" w14:textId="77777777" w:rsidR="00E05615" w:rsidRPr="00CE4C3C" w:rsidRDefault="00E05615" w:rsidP="00CE4C3C">
      <w:pPr>
        <w:spacing w:line="240" w:lineRule="auto"/>
        <w:rPr>
          <w:rFonts w:ascii="Times New Roman" w:eastAsia="Times New Roman" w:hAnsi="Times New Roman" w:cs="Times New Roman"/>
        </w:rPr>
      </w:pPr>
    </w:p>
    <w:p w14:paraId="783FA7AD" w14:textId="77777777" w:rsidR="00E05615" w:rsidRPr="00CE4C3C" w:rsidRDefault="00E05615" w:rsidP="00CE4C3C">
      <w:pPr>
        <w:spacing w:line="240" w:lineRule="auto"/>
        <w:rPr>
          <w:rFonts w:ascii="Times New Roman" w:eastAsia="Times New Roman" w:hAnsi="Times New Roman" w:cs="Times New Roman"/>
        </w:rPr>
      </w:pPr>
    </w:p>
    <w:p w14:paraId="3D108279" w14:textId="77777777" w:rsidR="00E05615" w:rsidRPr="00CE4C3C" w:rsidRDefault="00E05615" w:rsidP="00CE4C3C">
      <w:pPr>
        <w:spacing w:line="240" w:lineRule="auto"/>
        <w:rPr>
          <w:rFonts w:ascii="Times New Roman" w:eastAsia="Times New Roman" w:hAnsi="Times New Roman" w:cs="Times New Roman"/>
        </w:rPr>
      </w:pPr>
    </w:p>
    <w:p w14:paraId="3D6A21B7" w14:textId="77777777" w:rsidR="00E05615" w:rsidRPr="00CE4C3C" w:rsidRDefault="00E05615" w:rsidP="00CE4C3C">
      <w:pPr>
        <w:spacing w:line="240" w:lineRule="auto"/>
        <w:rPr>
          <w:rFonts w:ascii="Times New Roman" w:eastAsia="Times New Roman" w:hAnsi="Times New Roman" w:cs="Times New Roman"/>
        </w:rPr>
      </w:pPr>
    </w:p>
    <w:p w14:paraId="2B9C4771" w14:textId="77777777" w:rsidR="00E05615" w:rsidRPr="00CE4C3C" w:rsidRDefault="00E05615" w:rsidP="00CE4C3C">
      <w:pPr>
        <w:spacing w:line="240" w:lineRule="auto"/>
        <w:rPr>
          <w:rFonts w:ascii="Times New Roman" w:eastAsia="Times New Roman" w:hAnsi="Times New Roman" w:cs="Times New Roman"/>
        </w:rPr>
      </w:pPr>
    </w:p>
    <w:p w14:paraId="256D8B5A" w14:textId="77777777" w:rsidR="00E05615" w:rsidRPr="00CE4C3C" w:rsidRDefault="00E05615" w:rsidP="00CE4C3C">
      <w:pPr>
        <w:spacing w:line="240" w:lineRule="auto"/>
        <w:rPr>
          <w:rFonts w:ascii="Times New Roman" w:eastAsia="Times New Roman" w:hAnsi="Times New Roman" w:cs="Times New Roman"/>
        </w:rPr>
      </w:pPr>
    </w:p>
    <w:p w14:paraId="7687B23D" w14:textId="77777777" w:rsidR="00E05615" w:rsidRPr="00CE4C3C" w:rsidRDefault="00E05615" w:rsidP="00CE4C3C">
      <w:pPr>
        <w:spacing w:line="240" w:lineRule="auto"/>
        <w:rPr>
          <w:rFonts w:ascii="Times New Roman" w:eastAsia="Times New Roman" w:hAnsi="Times New Roman" w:cs="Times New Roman"/>
        </w:rPr>
      </w:pPr>
    </w:p>
    <w:p w14:paraId="4ECDD75A" w14:textId="77777777" w:rsidR="00E05615" w:rsidRPr="00CE4C3C" w:rsidRDefault="00E05615" w:rsidP="00CE4C3C">
      <w:pPr>
        <w:spacing w:line="240" w:lineRule="auto"/>
        <w:rPr>
          <w:rFonts w:ascii="Times New Roman" w:eastAsia="Times New Roman" w:hAnsi="Times New Roman" w:cs="Times New Roman"/>
        </w:rPr>
      </w:pPr>
    </w:p>
    <w:p w14:paraId="49CB8803" w14:textId="77777777" w:rsidR="00E05615" w:rsidRPr="00CE4C3C" w:rsidRDefault="00E05615" w:rsidP="00CE4C3C">
      <w:pPr>
        <w:spacing w:line="240" w:lineRule="auto"/>
        <w:rPr>
          <w:rFonts w:ascii="Times New Roman" w:eastAsia="Times New Roman" w:hAnsi="Times New Roman" w:cs="Times New Roman"/>
        </w:rPr>
      </w:pPr>
    </w:p>
    <w:p w14:paraId="202DBFA5" w14:textId="77777777" w:rsidR="00E05615" w:rsidRPr="00CE4C3C" w:rsidRDefault="00E05615" w:rsidP="00CE4C3C">
      <w:pPr>
        <w:spacing w:line="240" w:lineRule="auto"/>
        <w:rPr>
          <w:rFonts w:ascii="Times New Roman" w:eastAsia="Times New Roman" w:hAnsi="Times New Roman" w:cs="Times New Roman"/>
        </w:rPr>
      </w:pPr>
    </w:p>
    <w:p w14:paraId="161DEDA4" w14:textId="77777777" w:rsidR="00E05615" w:rsidRPr="00CE4C3C" w:rsidRDefault="00E05615" w:rsidP="00CE4C3C">
      <w:pPr>
        <w:spacing w:line="240" w:lineRule="auto"/>
        <w:rPr>
          <w:rFonts w:ascii="Times New Roman" w:eastAsia="Times New Roman" w:hAnsi="Times New Roman" w:cs="Times New Roman"/>
        </w:rPr>
      </w:pPr>
    </w:p>
    <w:p w14:paraId="1532781C" w14:textId="77777777" w:rsidR="00E05615" w:rsidRPr="00CE4C3C" w:rsidRDefault="00E05615" w:rsidP="00CE4C3C">
      <w:pPr>
        <w:spacing w:line="240" w:lineRule="auto"/>
        <w:rPr>
          <w:rFonts w:ascii="Times New Roman" w:eastAsia="Times New Roman" w:hAnsi="Times New Roman" w:cs="Times New Roman"/>
        </w:rPr>
      </w:pPr>
    </w:p>
    <w:p w14:paraId="4C36813E" w14:textId="77777777" w:rsidR="00E05615" w:rsidRPr="00CE4C3C" w:rsidRDefault="00E05615" w:rsidP="00CE4C3C">
      <w:pPr>
        <w:spacing w:line="240" w:lineRule="auto"/>
        <w:rPr>
          <w:rFonts w:ascii="Times New Roman" w:eastAsia="Times New Roman" w:hAnsi="Times New Roman" w:cs="Times New Roman"/>
        </w:rPr>
      </w:pPr>
    </w:p>
    <w:p w14:paraId="620914C4" w14:textId="77777777" w:rsidR="00E05615" w:rsidRPr="00CE4C3C" w:rsidRDefault="00E05615" w:rsidP="00CE4C3C">
      <w:pPr>
        <w:spacing w:line="240" w:lineRule="auto"/>
        <w:rPr>
          <w:rFonts w:ascii="Times New Roman" w:eastAsia="Times New Roman" w:hAnsi="Times New Roman" w:cs="Times New Roman"/>
        </w:rPr>
      </w:pPr>
    </w:p>
    <w:p w14:paraId="116E9CF7" w14:textId="77777777" w:rsidR="00E05615" w:rsidRPr="00CE4C3C" w:rsidRDefault="00E05615" w:rsidP="00CE4C3C">
      <w:pPr>
        <w:spacing w:line="240" w:lineRule="auto"/>
        <w:rPr>
          <w:rFonts w:ascii="Times New Roman" w:eastAsia="Times New Roman" w:hAnsi="Times New Roman" w:cs="Times New Roman"/>
        </w:rPr>
      </w:pPr>
    </w:p>
    <w:p w14:paraId="5B886993" w14:textId="77777777" w:rsidR="00E05615" w:rsidRPr="00CE4C3C" w:rsidRDefault="00E05615" w:rsidP="00CE4C3C">
      <w:pPr>
        <w:spacing w:line="240" w:lineRule="auto"/>
        <w:rPr>
          <w:rFonts w:ascii="Times New Roman" w:eastAsia="Times New Roman" w:hAnsi="Times New Roman" w:cs="Times New Roman"/>
        </w:rPr>
      </w:pPr>
    </w:p>
    <w:p w14:paraId="1B470EF0" w14:textId="77777777" w:rsidR="00E05615" w:rsidRPr="00CE4C3C" w:rsidRDefault="00E05615" w:rsidP="00CE4C3C">
      <w:pPr>
        <w:spacing w:line="240" w:lineRule="auto"/>
        <w:rPr>
          <w:rFonts w:ascii="Times New Roman" w:eastAsia="Times New Roman" w:hAnsi="Times New Roman" w:cs="Times New Roman"/>
        </w:rPr>
      </w:pPr>
    </w:p>
    <w:p w14:paraId="1014BB32" w14:textId="77777777" w:rsidR="00E05615" w:rsidRPr="00CE4C3C" w:rsidRDefault="00E05615" w:rsidP="00CE4C3C">
      <w:pPr>
        <w:spacing w:line="240" w:lineRule="auto"/>
        <w:rPr>
          <w:rFonts w:ascii="Times New Roman" w:eastAsia="Times New Roman" w:hAnsi="Times New Roman" w:cs="Times New Roman"/>
        </w:rPr>
      </w:pPr>
    </w:p>
    <w:p w14:paraId="065E34E0" w14:textId="77777777" w:rsidR="00E05615" w:rsidRPr="00CE4C3C" w:rsidRDefault="00E05615" w:rsidP="00CE4C3C">
      <w:pPr>
        <w:spacing w:line="240" w:lineRule="auto"/>
        <w:rPr>
          <w:rFonts w:ascii="Times New Roman" w:eastAsia="Times New Roman" w:hAnsi="Times New Roman" w:cs="Times New Roman"/>
        </w:rPr>
      </w:pPr>
    </w:p>
    <w:p w14:paraId="671F2254" w14:textId="77777777" w:rsidR="00E05615" w:rsidRPr="00CE4C3C" w:rsidRDefault="00E05615" w:rsidP="00CE4C3C">
      <w:pPr>
        <w:tabs>
          <w:tab w:val="left" w:pos="567"/>
        </w:tabs>
        <w:spacing w:line="240" w:lineRule="auto"/>
        <w:jc w:val="center"/>
        <w:outlineLvl w:val="0"/>
        <w:rPr>
          <w:rFonts w:ascii="Times New Roman" w:eastAsia="Times New Roman" w:hAnsi="Times New Roman" w:cs="Times New Roman"/>
          <w:b/>
          <w:snapToGrid w:val="0"/>
        </w:rPr>
      </w:pPr>
    </w:p>
    <w:p w14:paraId="3074F01F" w14:textId="77777777" w:rsidR="00E05615" w:rsidRPr="00CE4C3C" w:rsidRDefault="00E05615" w:rsidP="00CE4C3C">
      <w:pPr>
        <w:tabs>
          <w:tab w:val="left" w:pos="567"/>
        </w:tabs>
        <w:spacing w:line="240" w:lineRule="auto"/>
        <w:jc w:val="center"/>
        <w:outlineLvl w:val="0"/>
        <w:rPr>
          <w:rFonts w:ascii="Times New Roman" w:eastAsia="Times New Roman" w:hAnsi="Times New Roman" w:cs="Times New Roman"/>
          <w:b/>
          <w:snapToGrid w:val="0"/>
        </w:rPr>
      </w:pPr>
      <w:r w:rsidRPr="00CE4C3C">
        <w:rPr>
          <w:rFonts w:ascii="Times New Roman" w:eastAsia="Times New Roman" w:hAnsi="Times New Roman" w:cs="Times New Roman"/>
          <w:b/>
          <w:snapToGrid w:val="0"/>
        </w:rPr>
        <w:t>B. PAKUOTĖS LAPELIS</w:t>
      </w:r>
    </w:p>
    <w:p w14:paraId="112C958E" w14:textId="77777777" w:rsidR="007B4CBC" w:rsidRPr="00CE4C3C" w:rsidRDefault="007B4CBC" w:rsidP="00CE4C3C">
      <w:pPr>
        <w:spacing w:after="160" w:line="240" w:lineRule="auto"/>
        <w:rPr>
          <w:rFonts w:ascii="Times New Roman" w:hAnsi="Times New Roman" w:cs="Times New Roman"/>
        </w:rPr>
      </w:pPr>
      <w:r w:rsidRPr="00CE4C3C">
        <w:rPr>
          <w:rFonts w:ascii="Times New Roman" w:hAnsi="Times New Roman" w:cs="Times New Roman"/>
        </w:rPr>
        <w:br w:type="page"/>
      </w:r>
    </w:p>
    <w:p w14:paraId="76721637" w14:textId="77777777" w:rsidR="007B4CBC" w:rsidRPr="00CE4C3C" w:rsidRDefault="007B4CBC" w:rsidP="00CE4C3C">
      <w:pPr>
        <w:spacing w:line="240" w:lineRule="auto"/>
        <w:jc w:val="center"/>
        <w:outlineLvl w:val="0"/>
        <w:rPr>
          <w:rFonts w:ascii="Times New Roman" w:hAnsi="Times New Roman" w:cs="Times New Roman"/>
          <w:lang w:eastAsia="lt-LT" w:bidi="lt-LT"/>
        </w:rPr>
      </w:pPr>
      <w:r w:rsidRPr="00CE4C3C">
        <w:rPr>
          <w:rFonts w:ascii="Times New Roman" w:hAnsi="Times New Roman" w:cs="Times New Roman"/>
          <w:b/>
          <w:lang w:eastAsia="lt-LT" w:bidi="lt-LT"/>
        </w:rPr>
        <w:lastRenderedPageBreak/>
        <w:t>Pakuotės lapelis: informacija vartotojui</w:t>
      </w:r>
    </w:p>
    <w:p w14:paraId="11CB2D93" w14:textId="77777777" w:rsidR="007B4CBC" w:rsidRPr="00CE4C3C" w:rsidRDefault="007B4CBC" w:rsidP="00CE4C3C">
      <w:pPr>
        <w:numPr>
          <w:ilvl w:val="12"/>
          <w:numId w:val="0"/>
        </w:numPr>
        <w:shd w:val="clear" w:color="auto" w:fill="FFFFFF"/>
        <w:spacing w:line="240" w:lineRule="auto"/>
        <w:jc w:val="center"/>
        <w:rPr>
          <w:rFonts w:ascii="Times New Roman" w:hAnsi="Times New Roman" w:cs="Times New Roman"/>
          <w:lang w:eastAsia="lt-LT" w:bidi="lt-LT"/>
        </w:rPr>
      </w:pPr>
    </w:p>
    <w:p w14:paraId="3AA021F7" w14:textId="77777777" w:rsidR="007B4CBC" w:rsidRPr="00CE4C3C" w:rsidRDefault="007B4CBC" w:rsidP="00CE4C3C">
      <w:pPr>
        <w:spacing w:line="240" w:lineRule="auto"/>
        <w:jc w:val="center"/>
        <w:rPr>
          <w:rFonts w:ascii="Times New Roman" w:hAnsi="Times New Roman" w:cs="Times New Roman"/>
          <w:b/>
          <w:bCs/>
          <w:lang w:eastAsia="lt-LT" w:bidi="lt-LT"/>
        </w:rPr>
      </w:pPr>
      <w:r w:rsidRPr="00CE4C3C">
        <w:rPr>
          <w:rFonts w:ascii="Times New Roman" w:hAnsi="Times New Roman" w:cs="Times New Roman"/>
          <w:b/>
          <w:bCs/>
          <w:noProof/>
          <w:lang w:eastAsia="lt-LT" w:bidi="lt-LT"/>
        </w:rPr>
        <w:t xml:space="preserve">Klertis </w:t>
      </w:r>
      <w:r w:rsidRPr="00CE4C3C">
        <w:rPr>
          <w:rFonts w:ascii="Times New Roman" w:hAnsi="Times New Roman" w:cs="Times New Roman"/>
          <w:b/>
          <w:bCs/>
          <w:lang w:eastAsia="lt-LT" w:bidi="lt-LT"/>
        </w:rPr>
        <w:t>12,5 mg kietosios kapsulės</w:t>
      </w:r>
    </w:p>
    <w:p w14:paraId="2C43D819" w14:textId="77777777" w:rsidR="007B4CBC" w:rsidRPr="00CE4C3C" w:rsidRDefault="007B4CBC" w:rsidP="00CE4C3C">
      <w:pPr>
        <w:spacing w:line="240" w:lineRule="auto"/>
        <w:jc w:val="center"/>
        <w:rPr>
          <w:rFonts w:ascii="Times New Roman" w:hAnsi="Times New Roman" w:cs="Times New Roman"/>
          <w:b/>
          <w:bCs/>
          <w:lang w:eastAsia="lt-LT" w:bidi="lt-LT"/>
        </w:rPr>
      </w:pPr>
      <w:r w:rsidRPr="00CE4C3C">
        <w:rPr>
          <w:rFonts w:ascii="Times New Roman" w:hAnsi="Times New Roman" w:cs="Times New Roman"/>
          <w:b/>
          <w:bCs/>
          <w:noProof/>
          <w:lang w:eastAsia="lt-LT" w:bidi="lt-LT"/>
        </w:rPr>
        <w:t xml:space="preserve">Klertis </w:t>
      </w:r>
      <w:r w:rsidRPr="00CE4C3C">
        <w:rPr>
          <w:rFonts w:ascii="Times New Roman" w:hAnsi="Times New Roman" w:cs="Times New Roman"/>
          <w:b/>
          <w:bCs/>
          <w:lang w:eastAsia="lt-LT" w:bidi="lt-LT"/>
        </w:rPr>
        <w:t>25 mg kietosios kapsulės</w:t>
      </w:r>
    </w:p>
    <w:p w14:paraId="41C608FB" w14:textId="77777777" w:rsidR="007B4CBC" w:rsidRPr="00CE4C3C" w:rsidRDefault="007B4CBC" w:rsidP="00CE4C3C">
      <w:pPr>
        <w:spacing w:line="240" w:lineRule="auto"/>
        <w:jc w:val="center"/>
        <w:rPr>
          <w:rFonts w:ascii="Times New Roman" w:hAnsi="Times New Roman" w:cs="Times New Roman"/>
          <w:b/>
          <w:bCs/>
          <w:lang w:eastAsia="lt-LT" w:bidi="lt-LT"/>
        </w:rPr>
      </w:pPr>
      <w:r w:rsidRPr="00CE4C3C">
        <w:rPr>
          <w:rFonts w:ascii="Times New Roman" w:hAnsi="Times New Roman" w:cs="Times New Roman"/>
          <w:b/>
          <w:bCs/>
          <w:noProof/>
          <w:lang w:eastAsia="lt-LT" w:bidi="lt-LT"/>
        </w:rPr>
        <w:t>Klertis 50</w:t>
      </w:r>
      <w:r w:rsidRPr="00CE4C3C">
        <w:rPr>
          <w:rFonts w:ascii="Times New Roman" w:hAnsi="Times New Roman" w:cs="Times New Roman"/>
          <w:b/>
          <w:bCs/>
          <w:lang w:eastAsia="lt-LT" w:bidi="lt-LT"/>
        </w:rPr>
        <w:t> mg kietosios kapsulės</w:t>
      </w:r>
    </w:p>
    <w:p w14:paraId="65534D1D" w14:textId="7F62EA5E" w:rsidR="007B4CBC" w:rsidRPr="00CE4C3C" w:rsidRDefault="007911E1" w:rsidP="00CE4C3C">
      <w:pPr>
        <w:numPr>
          <w:ilvl w:val="12"/>
          <w:numId w:val="0"/>
        </w:numPr>
        <w:spacing w:line="240" w:lineRule="auto"/>
        <w:jc w:val="center"/>
        <w:rPr>
          <w:rFonts w:ascii="Times New Roman" w:hAnsi="Times New Roman" w:cs="Times New Roman"/>
          <w:lang w:eastAsia="lt-LT" w:bidi="lt-LT"/>
        </w:rPr>
      </w:pPr>
      <w:r>
        <w:rPr>
          <w:rFonts w:ascii="Times New Roman" w:hAnsi="Times New Roman" w:cs="Times New Roman"/>
          <w:lang w:eastAsia="lt-LT" w:bidi="lt-LT"/>
        </w:rPr>
        <w:t>s</w:t>
      </w:r>
      <w:r w:rsidR="007B4CBC" w:rsidRPr="00CE4C3C">
        <w:rPr>
          <w:rFonts w:ascii="Times New Roman" w:hAnsi="Times New Roman" w:cs="Times New Roman"/>
          <w:lang w:eastAsia="lt-LT" w:bidi="lt-LT"/>
        </w:rPr>
        <w:t>unitinibas</w:t>
      </w:r>
    </w:p>
    <w:p w14:paraId="47C239C3" w14:textId="77777777" w:rsidR="007B4CBC" w:rsidRPr="00CE4C3C" w:rsidRDefault="007B4CBC" w:rsidP="00CE4C3C">
      <w:pPr>
        <w:spacing w:line="240" w:lineRule="auto"/>
        <w:rPr>
          <w:rFonts w:ascii="Times New Roman" w:hAnsi="Times New Roman" w:cs="Times New Roman"/>
          <w:lang w:eastAsia="lt-LT" w:bidi="lt-LT"/>
        </w:rPr>
      </w:pPr>
    </w:p>
    <w:p w14:paraId="012EBAB8" w14:textId="77777777" w:rsidR="007B4CBC" w:rsidRPr="00CE4C3C" w:rsidRDefault="007B4CBC" w:rsidP="00CE4C3C">
      <w:pPr>
        <w:suppressAutoHyphens/>
        <w:spacing w:line="240" w:lineRule="auto"/>
        <w:rPr>
          <w:rFonts w:ascii="Times New Roman" w:hAnsi="Times New Roman" w:cs="Times New Roman"/>
          <w:lang w:eastAsia="lt-LT" w:bidi="lt-LT"/>
        </w:rPr>
      </w:pPr>
      <w:r w:rsidRPr="00CE4C3C">
        <w:rPr>
          <w:rFonts w:ascii="Times New Roman" w:hAnsi="Times New Roman" w:cs="Times New Roman"/>
          <w:b/>
          <w:lang w:eastAsia="lt-LT" w:bidi="lt-LT"/>
        </w:rPr>
        <w:t>Atidžiai perskaitykite visą šį lapelį, prieš pradėdami vartoti vaistą, nes jame pateikiama Jums svarbi informacija.</w:t>
      </w:r>
    </w:p>
    <w:p w14:paraId="78BDE641" w14:textId="77777777" w:rsidR="007B4CBC" w:rsidRPr="00CE4C3C" w:rsidRDefault="007B4CBC" w:rsidP="00CE4C3C">
      <w:pPr>
        <w:numPr>
          <w:ilvl w:val="0"/>
          <w:numId w:val="1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Neišmeskite šio lapelio, nes vėl gali prireikti jį perskaityti.</w:t>
      </w:r>
    </w:p>
    <w:p w14:paraId="28373B69" w14:textId="77777777" w:rsidR="007B4CBC" w:rsidRPr="00CE4C3C" w:rsidRDefault="007B4CBC" w:rsidP="00CE4C3C">
      <w:pPr>
        <w:numPr>
          <w:ilvl w:val="0"/>
          <w:numId w:val="1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Jeigu kiltų daugiau klausimų, kreipkitės į gydytoją arba vaistininką.</w:t>
      </w:r>
    </w:p>
    <w:p w14:paraId="69EEEA75" w14:textId="77777777" w:rsidR="007B4CBC" w:rsidRPr="00CE4C3C" w:rsidRDefault="007B4CBC" w:rsidP="00CE4C3C">
      <w:p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w:t>
      </w:r>
      <w:r w:rsidRPr="00CE4C3C">
        <w:rPr>
          <w:rFonts w:ascii="Times New Roman" w:hAnsi="Times New Roman" w:cs="Times New Roman"/>
          <w:lang w:eastAsia="lt-LT" w:bidi="lt-LT"/>
        </w:rPr>
        <w:tab/>
        <w:t>Šis vaistas skirtas tik Jums, todėl kitiems žmonėms jo duoti negalima. Vaistas gali jiems pakenkti (net tiems, kurių ligos požymiai yra tokie patys kaip Jūsų).</w:t>
      </w:r>
    </w:p>
    <w:p w14:paraId="0DA57701" w14:textId="77777777" w:rsidR="007B4CBC" w:rsidRPr="00CE4C3C" w:rsidRDefault="007B4CBC" w:rsidP="00CE4C3C">
      <w:pPr>
        <w:numPr>
          <w:ilvl w:val="0"/>
          <w:numId w:val="12"/>
        </w:numPr>
        <w:tabs>
          <w:tab w:val="left" w:pos="567"/>
        </w:tabs>
        <w:spacing w:line="240" w:lineRule="auto"/>
        <w:ind w:left="567" w:hanging="567"/>
        <w:rPr>
          <w:rFonts w:ascii="Times New Roman" w:hAnsi="Times New Roman" w:cs="Times New Roman"/>
          <w:lang w:eastAsia="lt-LT" w:bidi="lt-LT"/>
        </w:rPr>
      </w:pPr>
      <w:r w:rsidRPr="00CE4C3C">
        <w:rPr>
          <w:rFonts w:ascii="Times New Roman" w:hAnsi="Times New Roman" w:cs="Times New Roman"/>
          <w:lang w:eastAsia="lt-LT" w:bidi="lt-LT"/>
        </w:rPr>
        <w:t>Jeigu pasireiškė šalutinis poveikis (net jeigu jis šiame lapelyje nenurodytas),</w:t>
      </w:r>
      <w:r w:rsidRPr="00CE4C3C">
        <w:rPr>
          <w:rFonts w:ascii="Times New Roman" w:hAnsi="Times New Roman" w:cs="Times New Roman"/>
          <w:color w:val="FF0000"/>
          <w:lang w:eastAsia="lt-LT" w:bidi="lt-LT"/>
        </w:rPr>
        <w:t xml:space="preserve"> </w:t>
      </w:r>
      <w:r w:rsidRPr="00CE4C3C">
        <w:rPr>
          <w:rFonts w:ascii="Times New Roman" w:hAnsi="Times New Roman" w:cs="Times New Roman"/>
          <w:lang w:eastAsia="lt-LT" w:bidi="lt-LT"/>
        </w:rPr>
        <w:t>kreipkitės į gydytoją arba vaistininką. Žr. 4 skyrių.</w:t>
      </w:r>
    </w:p>
    <w:p w14:paraId="1FD31571" w14:textId="77777777" w:rsidR="007B4CBC" w:rsidRPr="00CE4C3C" w:rsidRDefault="007B4CBC" w:rsidP="00CE4C3C">
      <w:pPr>
        <w:spacing w:line="240" w:lineRule="auto"/>
        <w:ind w:right="-2"/>
        <w:rPr>
          <w:rFonts w:ascii="Times New Roman" w:hAnsi="Times New Roman" w:cs="Times New Roman"/>
          <w:lang w:eastAsia="lt-LT" w:bidi="lt-LT"/>
        </w:rPr>
      </w:pPr>
    </w:p>
    <w:p w14:paraId="7FEA4CBD" w14:textId="77777777" w:rsidR="007B4CBC" w:rsidRPr="00CE4C3C" w:rsidRDefault="007B4CBC" w:rsidP="00CE4C3C">
      <w:pPr>
        <w:keepNext/>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b/>
          <w:lang w:eastAsia="lt-LT" w:bidi="lt-LT"/>
        </w:rPr>
        <w:t>Apie ką rašoma šiame lapelyje?</w:t>
      </w:r>
    </w:p>
    <w:p w14:paraId="5A8EF3CE" w14:textId="77777777" w:rsidR="007B4CBC" w:rsidRPr="00CE4C3C" w:rsidRDefault="007B4CBC" w:rsidP="00CE4C3C">
      <w:pPr>
        <w:keepNext/>
        <w:numPr>
          <w:ilvl w:val="12"/>
          <w:numId w:val="0"/>
        </w:numPr>
        <w:spacing w:line="240" w:lineRule="auto"/>
        <w:ind w:right="-2"/>
        <w:outlineLvl w:val="0"/>
        <w:rPr>
          <w:rFonts w:ascii="Times New Roman" w:hAnsi="Times New Roman" w:cs="Times New Roman"/>
          <w:lang w:eastAsia="lt-LT" w:bidi="lt-LT"/>
        </w:rPr>
      </w:pPr>
    </w:p>
    <w:p w14:paraId="392C1D7F" w14:textId="77777777" w:rsidR="007B4CBC" w:rsidRPr="00CE4C3C" w:rsidRDefault="007B4CBC" w:rsidP="00CE4C3C">
      <w:pPr>
        <w:numPr>
          <w:ilvl w:val="0"/>
          <w:numId w:val="14"/>
        </w:numPr>
        <w:spacing w:line="240" w:lineRule="auto"/>
        <w:ind w:left="567" w:right="-29" w:hanging="561"/>
        <w:contextualSpacing/>
        <w:rPr>
          <w:rFonts w:ascii="Times New Roman" w:hAnsi="Times New Roman" w:cs="Times New Roman"/>
          <w:lang w:eastAsia="lt-LT" w:bidi="lt-LT"/>
        </w:rPr>
      </w:pPr>
      <w:r w:rsidRPr="00CE4C3C">
        <w:rPr>
          <w:rFonts w:ascii="Times New Roman" w:hAnsi="Times New Roman" w:cs="Times New Roman"/>
          <w:lang w:eastAsia="lt-LT" w:bidi="lt-LT"/>
        </w:rPr>
        <w:t>Kas yra Klertis ir kam jis vartojamas</w:t>
      </w:r>
    </w:p>
    <w:p w14:paraId="6C746E0C" w14:textId="77777777" w:rsidR="007B4CBC" w:rsidRPr="00CE4C3C" w:rsidRDefault="007B4CBC" w:rsidP="00CE4C3C">
      <w:pPr>
        <w:numPr>
          <w:ilvl w:val="0"/>
          <w:numId w:val="14"/>
        </w:numPr>
        <w:spacing w:line="240" w:lineRule="auto"/>
        <w:ind w:left="567" w:right="-29" w:hanging="561"/>
        <w:contextualSpacing/>
        <w:rPr>
          <w:rFonts w:ascii="Times New Roman" w:hAnsi="Times New Roman" w:cs="Times New Roman"/>
          <w:lang w:eastAsia="lt-LT" w:bidi="lt-LT"/>
        </w:rPr>
      </w:pPr>
      <w:r w:rsidRPr="00CE4C3C">
        <w:rPr>
          <w:rFonts w:ascii="Times New Roman" w:hAnsi="Times New Roman" w:cs="Times New Roman"/>
          <w:lang w:eastAsia="lt-LT" w:bidi="lt-LT"/>
        </w:rPr>
        <w:t>Kas žinotina prieš vartojant Klertis</w:t>
      </w:r>
    </w:p>
    <w:p w14:paraId="49AEA531" w14:textId="77777777" w:rsidR="007B4CBC" w:rsidRPr="00CE4C3C" w:rsidRDefault="007B4CBC" w:rsidP="00CE4C3C">
      <w:pPr>
        <w:numPr>
          <w:ilvl w:val="0"/>
          <w:numId w:val="14"/>
        </w:numPr>
        <w:spacing w:line="240" w:lineRule="auto"/>
        <w:ind w:left="567" w:right="-29" w:hanging="561"/>
        <w:contextualSpacing/>
        <w:rPr>
          <w:rFonts w:ascii="Times New Roman" w:hAnsi="Times New Roman" w:cs="Times New Roman"/>
          <w:lang w:eastAsia="lt-LT" w:bidi="lt-LT"/>
        </w:rPr>
      </w:pPr>
      <w:r w:rsidRPr="00CE4C3C">
        <w:rPr>
          <w:rFonts w:ascii="Times New Roman" w:hAnsi="Times New Roman" w:cs="Times New Roman"/>
          <w:lang w:eastAsia="lt-LT" w:bidi="lt-LT"/>
        </w:rPr>
        <w:t>Kaip vartoti Klertis</w:t>
      </w:r>
    </w:p>
    <w:p w14:paraId="4C0412C1" w14:textId="77777777" w:rsidR="007B4CBC" w:rsidRPr="00CE4C3C" w:rsidRDefault="007B4CBC" w:rsidP="00CE4C3C">
      <w:pPr>
        <w:numPr>
          <w:ilvl w:val="0"/>
          <w:numId w:val="14"/>
        </w:numPr>
        <w:spacing w:line="240" w:lineRule="auto"/>
        <w:ind w:left="567" w:right="-29" w:hanging="561"/>
        <w:contextualSpacing/>
        <w:rPr>
          <w:rFonts w:ascii="Times New Roman" w:hAnsi="Times New Roman" w:cs="Times New Roman"/>
          <w:lang w:eastAsia="lt-LT" w:bidi="lt-LT"/>
        </w:rPr>
      </w:pPr>
      <w:r w:rsidRPr="00CE4C3C">
        <w:rPr>
          <w:rFonts w:ascii="Times New Roman" w:hAnsi="Times New Roman" w:cs="Times New Roman"/>
          <w:lang w:eastAsia="lt-LT" w:bidi="lt-LT"/>
        </w:rPr>
        <w:t xml:space="preserve">Galimas šalutinis poveikis </w:t>
      </w:r>
    </w:p>
    <w:p w14:paraId="53505AAB" w14:textId="77777777" w:rsidR="007B4CBC" w:rsidRPr="00CE4C3C" w:rsidRDefault="007B4CBC" w:rsidP="00CE4C3C">
      <w:pPr>
        <w:numPr>
          <w:ilvl w:val="0"/>
          <w:numId w:val="14"/>
        </w:numPr>
        <w:spacing w:line="240" w:lineRule="auto"/>
        <w:ind w:left="567" w:right="-29" w:hanging="561"/>
        <w:contextualSpacing/>
        <w:rPr>
          <w:rFonts w:ascii="Times New Roman" w:hAnsi="Times New Roman" w:cs="Times New Roman"/>
          <w:lang w:eastAsia="lt-LT" w:bidi="lt-LT"/>
        </w:rPr>
      </w:pPr>
      <w:r w:rsidRPr="00CE4C3C">
        <w:rPr>
          <w:rFonts w:ascii="Times New Roman" w:hAnsi="Times New Roman" w:cs="Times New Roman"/>
          <w:lang w:eastAsia="lt-LT" w:bidi="lt-LT"/>
        </w:rPr>
        <w:t>Kaip laikyti Klertis</w:t>
      </w:r>
    </w:p>
    <w:p w14:paraId="4CB322D2" w14:textId="77777777" w:rsidR="007B4CBC" w:rsidRPr="00CE4C3C" w:rsidRDefault="007B4CBC" w:rsidP="00CE4C3C">
      <w:pPr>
        <w:numPr>
          <w:ilvl w:val="0"/>
          <w:numId w:val="14"/>
        </w:numPr>
        <w:spacing w:line="240" w:lineRule="auto"/>
        <w:ind w:left="567" w:right="-29" w:hanging="561"/>
        <w:contextualSpacing/>
        <w:rPr>
          <w:rFonts w:ascii="Times New Roman" w:hAnsi="Times New Roman" w:cs="Times New Roman"/>
          <w:lang w:eastAsia="lt-LT" w:bidi="lt-LT"/>
        </w:rPr>
      </w:pPr>
      <w:r w:rsidRPr="00CE4C3C">
        <w:rPr>
          <w:rFonts w:ascii="Times New Roman" w:hAnsi="Times New Roman" w:cs="Times New Roman"/>
          <w:lang w:eastAsia="lt-LT" w:bidi="lt-LT"/>
        </w:rPr>
        <w:t>Pakuotės turinys ir kita informacija</w:t>
      </w:r>
    </w:p>
    <w:p w14:paraId="0F4B9DD2"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62F2385C" w14:textId="77777777" w:rsidR="007B4CBC" w:rsidRPr="00CE4C3C" w:rsidRDefault="007B4CBC" w:rsidP="00CE4C3C">
      <w:pPr>
        <w:numPr>
          <w:ilvl w:val="12"/>
          <w:numId w:val="0"/>
        </w:numPr>
        <w:spacing w:line="240" w:lineRule="auto"/>
        <w:rPr>
          <w:rFonts w:ascii="Times New Roman" w:hAnsi="Times New Roman" w:cs="Times New Roman"/>
          <w:lang w:eastAsia="lt-LT" w:bidi="lt-LT"/>
        </w:rPr>
      </w:pPr>
    </w:p>
    <w:p w14:paraId="01690EAC" w14:textId="77777777" w:rsidR="007B4CBC" w:rsidRPr="00CE4C3C" w:rsidRDefault="007B4CBC" w:rsidP="00CE4C3C">
      <w:pPr>
        <w:keepNext/>
        <w:numPr>
          <w:ilvl w:val="0"/>
          <w:numId w:val="13"/>
        </w:numPr>
        <w:tabs>
          <w:tab w:val="left" w:pos="567"/>
        </w:tabs>
        <w:spacing w:line="240" w:lineRule="auto"/>
        <w:ind w:left="567" w:right="-2"/>
        <w:rPr>
          <w:rFonts w:ascii="Times New Roman" w:hAnsi="Times New Roman" w:cs="Times New Roman"/>
          <w:b/>
          <w:lang w:eastAsia="lt-LT" w:bidi="lt-LT"/>
        </w:rPr>
      </w:pPr>
      <w:r w:rsidRPr="00CE4C3C">
        <w:rPr>
          <w:rFonts w:ascii="Times New Roman" w:hAnsi="Times New Roman" w:cs="Times New Roman"/>
          <w:b/>
          <w:lang w:eastAsia="lt-LT" w:bidi="lt-LT"/>
        </w:rPr>
        <w:t>Kas yra Klertis ir kam jis vartojamas</w:t>
      </w:r>
    </w:p>
    <w:p w14:paraId="36648984" w14:textId="77777777" w:rsidR="007B4CBC" w:rsidRPr="00CE4C3C" w:rsidRDefault="007B4CBC" w:rsidP="00CE4C3C">
      <w:pPr>
        <w:numPr>
          <w:ilvl w:val="12"/>
          <w:numId w:val="0"/>
        </w:numPr>
        <w:spacing w:line="240" w:lineRule="auto"/>
        <w:rPr>
          <w:rFonts w:ascii="Times New Roman" w:hAnsi="Times New Roman" w:cs="Times New Roman"/>
          <w:lang w:eastAsia="lt-LT" w:bidi="lt-LT"/>
        </w:rPr>
      </w:pPr>
    </w:p>
    <w:p w14:paraId="49FC6D29" w14:textId="17B5A812" w:rsidR="007B4CBC" w:rsidRPr="00CE4C3C" w:rsidRDefault="007B4CBC" w:rsidP="00CE4C3C">
      <w:p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 xml:space="preserve">Klertis kietųjų kapsulių sudėtyje yra veikliosios medžiagos </w:t>
      </w:r>
      <w:proofErr w:type="spellStart"/>
      <w:r w:rsidRPr="00CE4C3C">
        <w:rPr>
          <w:rFonts w:ascii="Times New Roman" w:hAnsi="Times New Roman" w:cs="Times New Roman"/>
          <w:lang w:eastAsia="lt-LT" w:bidi="lt-LT"/>
        </w:rPr>
        <w:t>sunitinibo</w:t>
      </w:r>
      <w:proofErr w:type="spellEnd"/>
      <w:r w:rsidRPr="00CE4C3C">
        <w:rPr>
          <w:rFonts w:ascii="Times New Roman" w:hAnsi="Times New Roman" w:cs="Times New Roman"/>
          <w:lang w:eastAsia="lt-LT" w:bidi="lt-LT"/>
        </w:rPr>
        <w:t xml:space="preserve">, kuris yra </w:t>
      </w:r>
      <w:proofErr w:type="spellStart"/>
      <w:r w:rsidRPr="00CE4C3C">
        <w:rPr>
          <w:rFonts w:ascii="Times New Roman" w:hAnsi="Times New Roman" w:cs="Times New Roman"/>
          <w:lang w:eastAsia="lt-LT" w:bidi="lt-LT"/>
        </w:rPr>
        <w:t>proteinkinazės</w:t>
      </w:r>
      <w:proofErr w:type="spellEnd"/>
      <w:r w:rsidRPr="00CE4C3C">
        <w:rPr>
          <w:rFonts w:ascii="Times New Roman" w:hAnsi="Times New Roman" w:cs="Times New Roman"/>
          <w:lang w:eastAsia="lt-LT" w:bidi="lt-LT"/>
        </w:rPr>
        <w:t xml:space="preserve"> inhibitorius. Jis vartojamas vėži</w:t>
      </w:r>
      <w:r w:rsidR="007911E1">
        <w:rPr>
          <w:rFonts w:ascii="Times New Roman" w:hAnsi="Times New Roman" w:cs="Times New Roman"/>
          <w:lang w:eastAsia="lt-LT" w:bidi="lt-LT"/>
        </w:rPr>
        <w:t>o</w:t>
      </w:r>
      <w:r w:rsidRPr="00CE4C3C">
        <w:rPr>
          <w:rFonts w:ascii="Times New Roman" w:hAnsi="Times New Roman" w:cs="Times New Roman"/>
          <w:lang w:eastAsia="lt-LT" w:bidi="lt-LT"/>
        </w:rPr>
        <w:t xml:space="preserve"> gydy</w:t>
      </w:r>
      <w:r w:rsidR="007911E1">
        <w:rPr>
          <w:rFonts w:ascii="Times New Roman" w:hAnsi="Times New Roman" w:cs="Times New Roman"/>
          <w:lang w:eastAsia="lt-LT" w:bidi="lt-LT"/>
        </w:rPr>
        <w:t>mui</w:t>
      </w:r>
      <w:r w:rsidRPr="00CE4C3C">
        <w:rPr>
          <w:rFonts w:ascii="Times New Roman" w:hAnsi="Times New Roman" w:cs="Times New Roman"/>
          <w:lang w:eastAsia="lt-LT" w:bidi="lt-LT"/>
        </w:rPr>
        <w:t>, nes slopina tam tikros grupės baltymų, kurie susiję su vėžio ląstelių augimu ir plitimu, aktyvumą.</w:t>
      </w:r>
    </w:p>
    <w:p w14:paraId="73F4ABE3" w14:textId="77777777" w:rsidR="007B4CBC" w:rsidRPr="00CE4C3C" w:rsidRDefault="007B4CBC" w:rsidP="00CE4C3C">
      <w:pPr>
        <w:spacing w:line="240" w:lineRule="auto"/>
        <w:ind w:right="-2"/>
        <w:rPr>
          <w:rFonts w:ascii="Times New Roman" w:hAnsi="Times New Roman" w:cs="Times New Roman"/>
          <w:lang w:eastAsia="lt-LT" w:bidi="lt-LT"/>
        </w:rPr>
      </w:pPr>
    </w:p>
    <w:p w14:paraId="0C73162F" w14:textId="760BFA6F" w:rsidR="007B4CBC" w:rsidRPr="00CE4C3C" w:rsidRDefault="007B4CBC" w:rsidP="00CE4C3C">
      <w:p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Klertis skiriamas suaugusi</w:t>
      </w:r>
      <w:r w:rsidR="007911E1">
        <w:rPr>
          <w:rFonts w:ascii="Times New Roman" w:hAnsi="Times New Roman" w:cs="Times New Roman"/>
          <w:lang w:eastAsia="lt-LT" w:bidi="lt-LT"/>
        </w:rPr>
        <w:t>ųjų gydymui</w:t>
      </w:r>
      <w:r w:rsidRPr="00CE4C3C">
        <w:rPr>
          <w:rFonts w:ascii="Times New Roman" w:hAnsi="Times New Roman" w:cs="Times New Roman"/>
          <w:lang w:eastAsia="lt-LT" w:bidi="lt-LT"/>
        </w:rPr>
        <w:t>, k</w:t>
      </w:r>
      <w:r w:rsidR="007911E1">
        <w:rPr>
          <w:rFonts w:ascii="Times New Roman" w:hAnsi="Times New Roman" w:cs="Times New Roman"/>
          <w:lang w:eastAsia="lt-LT" w:bidi="lt-LT"/>
        </w:rPr>
        <w:t>ai</w:t>
      </w:r>
      <w:r w:rsidRPr="00CE4C3C">
        <w:rPr>
          <w:rFonts w:ascii="Times New Roman" w:hAnsi="Times New Roman" w:cs="Times New Roman"/>
          <w:lang w:eastAsia="lt-LT" w:bidi="lt-LT"/>
        </w:rPr>
        <w:t xml:space="preserve"> yra diagnozuotas toliau nurodytų tipų vėžys:</w:t>
      </w:r>
    </w:p>
    <w:p w14:paraId="3626C026" w14:textId="77777777" w:rsidR="007B4CBC" w:rsidRPr="00CE4C3C" w:rsidRDefault="007B4CBC" w:rsidP="00CE4C3C">
      <w:pPr>
        <w:spacing w:line="240" w:lineRule="auto"/>
        <w:ind w:right="-2"/>
        <w:rPr>
          <w:rFonts w:ascii="Times New Roman" w:hAnsi="Times New Roman" w:cs="Times New Roman"/>
          <w:lang w:eastAsia="lt-LT" w:bidi="lt-LT"/>
        </w:rPr>
      </w:pPr>
    </w:p>
    <w:p w14:paraId="07A638B1" w14:textId="77777777" w:rsidR="007B4CBC" w:rsidRPr="00CE4C3C" w:rsidRDefault="007B4CBC" w:rsidP="00CE4C3C">
      <w:pPr>
        <w:numPr>
          <w:ilvl w:val="0"/>
          <w:numId w:val="39"/>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lang w:eastAsia="lt-LT" w:bidi="lt-LT"/>
        </w:rPr>
        <w:t xml:space="preserve">virškinimo trakto </w:t>
      </w:r>
      <w:proofErr w:type="spellStart"/>
      <w:r w:rsidRPr="00CE4C3C">
        <w:rPr>
          <w:rFonts w:ascii="Times New Roman" w:hAnsi="Times New Roman" w:cs="Times New Roman"/>
          <w:lang w:eastAsia="lt-LT" w:bidi="lt-LT"/>
        </w:rPr>
        <w:t>stromos</w:t>
      </w:r>
      <w:proofErr w:type="spellEnd"/>
      <w:r w:rsidRPr="00CE4C3C">
        <w:rPr>
          <w:rFonts w:ascii="Times New Roman" w:hAnsi="Times New Roman" w:cs="Times New Roman"/>
          <w:lang w:eastAsia="lt-LT" w:bidi="lt-LT"/>
        </w:rPr>
        <w:t xml:space="preserve"> navikas (VTSN</w:t>
      </w:r>
      <w:r w:rsidR="007911E1">
        <w:rPr>
          <w:rFonts w:ascii="Times New Roman" w:hAnsi="Times New Roman" w:cs="Times New Roman"/>
          <w:lang w:eastAsia="lt-LT" w:bidi="lt-LT"/>
        </w:rPr>
        <w:t xml:space="preserve">, angl. </w:t>
      </w:r>
      <w:proofErr w:type="spellStart"/>
      <w:r w:rsidR="007911E1">
        <w:rPr>
          <w:rFonts w:ascii="Times New Roman" w:hAnsi="Times New Roman" w:cs="Times New Roman"/>
          <w:lang w:eastAsia="lt-LT" w:bidi="lt-LT"/>
        </w:rPr>
        <w:t>g</w:t>
      </w:r>
      <w:r w:rsidR="007911E1" w:rsidRPr="004E44DA">
        <w:rPr>
          <w:rFonts w:ascii="Times New Roman" w:hAnsi="Times New Roman" w:cs="Times New Roman"/>
          <w:i/>
          <w:lang w:eastAsia="lt-LT" w:bidi="lt-LT"/>
        </w:rPr>
        <w:t>astrointestinal</w:t>
      </w:r>
      <w:proofErr w:type="spellEnd"/>
      <w:r w:rsidR="007911E1" w:rsidRPr="004E44DA">
        <w:rPr>
          <w:rFonts w:ascii="Times New Roman" w:hAnsi="Times New Roman" w:cs="Times New Roman"/>
          <w:i/>
          <w:lang w:eastAsia="lt-LT" w:bidi="lt-LT"/>
        </w:rPr>
        <w:t xml:space="preserve"> </w:t>
      </w:r>
      <w:proofErr w:type="spellStart"/>
      <w:r w:rsidR="007911E1" w:rsidRPr="004E44DA">
        <w:rPr>
          <w:rFonts w:ascii="Times New Roman" w:hAnsi="Times New Roman" w:cs="Times New Roman"/>
          <w:i/>
          <w:lang w:eastAsia="lt-LT" w:bidi="lt-LT"/>
        </w:rPr>
        <w:t>stromal</w:t>
      </w:r>
      <w:proofErr w:type="spellEnd"/>
      <w:r w:rsidR="007911E1" w:rsidRPr="004E44DA">
        <w:rPr>
          <w:rFonts w:ascii="Times New Roman" w:hAnsi="Times New Roman" w:cs="Times New Roman"/>
          <w:i/>
          <w:lang w:eastAsia="lt-LT" w:bidi="lt-LT"/>
        </w:rPr>
        <w:t xml:space="preserve"> </w:t>
      </w:r>
      <w:proofErr w:type="spellStart"/>
      <w:r w:rsidR="007911E1" w:rsidRPr="004E44DA">
        <w:rPr>
          <w:rFonts w:ascii="Times New Roman" w:hAnsi="Times New Roman" w:cs="Times New Roman"/>
          <w:i/>
          <w:lang w:eastAsia="lt-LT" w:bidi="lt-LT"/>
        </w:rPr>
        <w:t>tumour</w:t>
      </w:r>
      <w:proofErr w:type="spellEnd"/>
      <w:r w:rsidR="007911E1" w:rsidRPr="004E44DA">
        <w:rPr>
          <w:rFonts w:ascii="Times New Roman" w:hAnsi="Times New Roman" w:cs="Times New Roman"/>
          <w:i/>
          <w:lang w:eastAsia="lt-LT" w:bidi="lt-LT"/>
        </w:rPr>
        <w:t xml:space="preserve"> [GIST]</w:t>
      </w:r>
      <w:r w:rsidRPr="004E44DA">
        <w:rPr>
          <w:rFonts w:ascii="Times New Roman" w:hAnsi="Times New Roman" w:cs="Times New Roman"/>
          <w:i/>
          <w:lang w:eastAsia="lt-LT" w:bidi="lt-LT"/>
        </w:rPr>
        <w:t>),</w:t>
      </w:r>
      <w:r w:rsidRPr="00CE4C3C">
        <w:rPr>
          <w:rFonts w:ascii="Times New Roman" w:hAnsi="Times New Roman" w:cs="Times New Roman"/>
          <w:lang w:eastAsia="lt-LT" w:bidi="lt-LT"/>
        </w:rPr>
        <w:t xml:space="preserve"> t. y. tam tikro tipo skrandžio ir žarnų vėžys, jei </w:t>
      </w:r>
      <w:proofErr w:type="spellStart"/>
      <w:r w:rsidRPr="00CE4C3C">
        <w:rPr>
          <w:rFonts w:ascii="Times New Roman" w:hAnsi="Times New Roman" w:cs="Times New Roman"/>
          <w:lang w:eastAsia="lt-LT" w:bidi="lt-LT"/>
        </w:rPr>
        <w:t>imatinibas</w:t>
      </w:r>
      <w:proofErr w:type="spellEnd"/>
      <w:r w:rsidRPr="00CE4C3C">
        <w:rPr>
          <w:rFonts w:ascii="Times New Roman" w:hAnsi="Times New Roman" w:cs="Times New Roman"/>
          <w:lang w:eastAsia="lt-LT" w:bidi="lt-LT"/>
        </w:rPr>
        <w:t xml:space="preserve"> (kitas vaistas nuo vėžio) neveikia arba pacientas negali vartoti </w:t>
      </w:r>
      <w:proofErr w:type="spellStart"/>
      <w:r w:rsidRPr="00CE4C3C">
        <w:rPr>
          <w:rFonts w:ascii="Times New Roman" w:hAnsi="Times New Roman" w:cs="Times New Roman"/>
          <w:lang w:eastAsia="lt-LT" w:bidi="lt-LT"/>
        </w:rPr>
        <w:t>imatinibo</w:t>
      </w:r>
      <w:proofErr w:type="spellEnd"/>
      <w:r w:rsidRPr="00CE4C3C">
        <w:rPr>
          <w:rFonts w:ascii="Times New Roman" w:hAnsi="Times New Roman" w:cs="Times New Roman"/>
          <w:lang w:eastAsia="lt-LT" w:bidi="lt-LT"/>
        </w:rPr>
        <w:t>;</w:t>
      </w:r>
    </w:p>
    <w:p w14:paraId="0ED98B56" w14:textId="44937C05" w:rsidR="007B4CBC" w:rsidRPr="00CE4C3C" w:rsidRDefault="007B4CBC" w:rsidP="00CE4C3C">
      <w:pPr>
        <w:numPr>
          <w:ilvl w:val="0"/>
          <w:numId w:val="39"/>
        </w:numPr>
        <w:spacing w:line="240" w:lineRule="auto"/>
        <w:ind w:left="567" w:right="-2" w:hanging="567"/>
        <w:contextualSpacing/>
        <w:rPr>
          <w:rFonts w:ascii="Times New Roman" w:hAnsi="Times New Roman" w:cs="Times New Roman"/>
          <w:lang w:eastAsia="lt-LT" w:bidi="lt-LT"/>
        </w:rPr>
      </w:pPr>
      <w:proofErr w:type="spellStart"/>
      <w:r w:rsidRPr="00CE4C3C">
        <w:rPr>
          <w:rFonts w:ascii="Times New Roman" w:hAnsi="Times New Roman" w:cs="Times New Roman"/>
          <w:lang w:eastAsia="lt-LT" w:bidi="lt-LT"/>
        </w:rPr>
        <w:t>metastazinė</w:t>
      </w:r>
      <w:proofErr w:type="spellEnd"/>
      <w:r w:rsidRPr="00CE4C3C">
        <w:rPr>
          <w:rFonts w:ascii="Times New Roman" w:hAnsi="Times New Roman" w:cs="Times New Roman"/>
          <w:lang w:eastAsia="lt-LT" w:bidi="lt-LT"/>
        </w:rPr>
        <w:t xml:space="preserve"> inkstų ląstelių </w:t>
      </w:r>
      <w:proofErr w:type="spellStart"/>
      <w:r w:rsidRPr="00CE4C3C">
        <w:rPr>
          <w:rFonts w:ascii="Times New Roman" w:hAnsi="Times New Roman" w:cs="Times New Roman"/>
          <w:lang w:eastAsia="lt-LT" w:bidi="lt-LT"/>
        </w:rPr>
        <w:t>karcinoma</w:t>
      </w:r>
      <w:proofErr w:type="spellEnd"/>
      <w:r w:rsidRPr="00CE4C3C">
        <w:rPr>
          <w:rFonts w:ascii="Times New Roman" w:hAnsi="Times New Roman" w:cs="Times New Roman"/>
          <w:lang w:eastAsia="lt-LT" w:bidi="lt-LT"/>
        </w:rPr>
        <w:t xml:space="preserve"> (MILK), t. y. tam tikro tipo inkstų vėžys, k</w:t>
      </w:r>
      <w:r w:rsidR="007911E1">
        <w:rPr>
          <w:rFonts w:ascii="Times New Roman" w:hAnsi="Times New Roman" w:cs="Times New Roman"/>
          <w:lang w:eastAsia="lt-LT" w:bidi="lt-LT"/>
        </w:rPr>
        <w:t>ai</w:t>
      </w:r>
      <w:r w:rsidRPr="00CE4C3C">
        <w:rPr>
          <w:rFonts w:ascii="Times New Roman" w:hAnsi="Times New Roman" w:cs="Times New Roman"/>
          <w:lang w:eastAsia="lt-LT" w:bidi="lt-LT"/>
        </w:rPr>
        <w:t xml:space="preserve"> yra išplitęs į kitas kūno vietas;</w:t>
      </w:r>
    </w:p>
    <w:p w14:paraId="4AC31C16" w14:textId="6909A3DB" w:rsidR="007B4CBC" w:rsidRPr="00CE4C3C" w:rsidRDefault="007B4CBC" w:rsidP="00CE4C3C">
      <w:pPr>
        <w:numPr>
          <w:ilvl w:val="0"/>
          <w:numId w:val="39"/>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lang w:eastAsia="lt-LT" w:bidi="lt-LT"/>
        </w:rPr>
        <w:t xml:space="preserve">kasos </w:t>
      </w:r>
      <w:proofErr w:type="spellStart"/>
      <w:r w:rsidRPr="00CE4C3C">
        <w:rPr>
          <w:rFonts w:ascii="Times New Roman" w:hAnsi="Times New Roman" w:cs="Times New Roman"/>
          <w:lang w:eastAsia="lt-LT" w:bidi="lt-LT"/>
        </w:rPr>
        <w:t>neuroendokrininiai</w:t>
      </w:r>
      <w:proofErr w:type="spellEnd"/>
      <w:r w:rsidRPr="00CE4C3C">
        <w:rPr>
          <w:rFonts w:ascii="Times New Roman" w:hAnsi="Times New Roman" w:cs="Times New Roman"/>
          <w:lang w:eastAsia="lt-LT" w:bidi="lt-LT"/>
        </w:rPr>
        <w:t xml:space="preserve"> navikai (</w:t>
      </w:r>
      <w:proofErr w:type="spellStart"/>
      <w:r w:rsidRPr="00CE4C3C">
        <w:rPr>
          <w:rFonts w:ascii="Times New Roman" w:hAnsi="Times New Roman" w:cs="Times New Roman"/>
          <w:lang w:eastAsia="lt-LT" w:bidi="lt-LT"/>
        </w:rPr>
        <w:t>kNEN</w:t>
      </w:r>
      <w:proofErr w:type="spellEnd"/>
      <w:r w:rsidRPr="00CE4C3C">
        <w:rPr>
          <w:rFonts w:ascii="Times New Roman" w:hAnsi="Times New Roman" w:cs="Times New Roman"/>
          <w:lang w:eastAsia="lt-LT" w:bidi="lt-LT"/>
        </w:rPr>
        <w:t>) (hormonus išskiriančių kasos ląstelių navikai), k</w:t>
      </w:r>
      <w:r w:rsidR="007911E1">
        <w:rPr>
          <w:rFonts w:ascii="Times New Roman" w:hAnsi="Times New Roman" w:cs="Times New Roman"/>
          <w:lang w:eastAsia="lt-LT" w:bidi="lt-LT"/>
        </w:rPr>
        <w:t>ai</w:t>
      </w:r>
      <w:r w:rsidRPr="00CE4C3C">
        <w:rPr>
          <w:rFonts w:ascii="Times New Roman" w:hAnsi="Times New Roman" w:cs="Times New Roman"/>
          <w:lang w:eastAsia="lt-LT" w:bidi="lt-LT"/>
        </w:rPr>
        <w:t xml:space="preserve"> progresuoja arba jų negalima pašalinti operuojant.</w:t>
      </w:r>
    </w:p>
    <w:p w14:paraId="3A195A86" w14:textId="77777777" w:rsidR="007B4CBC" w:rsidRPr="00CE4C3C" w:rsidRDefault="007B4CBC" w:rsidP="00CE4C3C">
      <w:pPr>
        <w:spacing w:line="240" w:lineRule="auto"/>
        <w:ind w:right="-2"/>
        <w:rPr>
          <w:rFonts w:ascii="Times New Roman" w:hAnsi="Times New Roman" w:cs="Times New Roman"/>
          <w:lang w:eastAsia="lt-LT" w:bidi="lt-LT"/>
        </w:rPr>
      </w:pPr>
    </w:p>
    <w:p w14:paraId="79B29B0C" w14:textId="77777777" w:rsidR="007B4CBC" w:rsidRPr="00CE4C3C" w:rsidRDefault="007B4CBC" w:rsidP="00CE4C3C">
      <w:p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Jeigu kiltų klausimų apie taip, kaip veikia Klertis arba kodėl šis vaistas Jums buvo paskirtas, kreipkitės į gydytoją.</w:t>
      </w:r>
    </w:p>
    <w:p w14:paraId="53F3096E" w14:textId="77777777" w:rsidR="007B4CBC" w:rsidRPr="00CE4C3C" w:rsidRDefault="007B4CBC" w:rsidP="00CE4C3C">
      <w:pPr>
        <w:spacing w:line="240" w:lineRule="auto"/>
        <w:ind w:right="-2"/>
        <w:rPr>
          <w:rFonts w:ascii="Times New Roman" w:hAnsi="Times New Roman" w:cs="Times New Roman"/>
          <w:lang w:eastAsia="lt-LT" w:bidi="lt-LT"/>
        </w:rPr>
      </w:pPr>
    </w:p>
    <w:p w14:paraId="2DBD945C" w14:textId="77777777" w:rsidR="007B4CBC" w:rsidRPr="00CE4C3C" w:rsidRDefault="007B4CBC" w:rsidP="00CE4C3C">
      <w:pPr>
        <w:spacing w:line="240" w:lineRule="auto"/>
        <w:ind w:right="-2"/>
        <w:rPr>
          <w:rFonts w:ascii="Times New Roman" w:hAnsi="Times New Roman" w:cs="Times New Roman"/>
          <w:lang w:eastAsia="lt-LT" w:bidi="lt-LT"/>
        </w:rPr>
      </w:pPr>
    </w:p>
    <w:p w14:paraId="5CF14744" w14:textId="77777777" w:rsidR="007B4CBC" w:rsidRPr="00CE4C3C" w:rsidRDefault="007B4CBC" w:rsidP="00CE4C3C">
      <w:pPr>
        <w:keepNext/>
        <w:numPr>
          <w:ilvl w:val="0"/>
          <w:numId w:val="13"/>
        </w:numPr>
        <w:tabs>
          <w:tab w:val="left" w:pos="567"/>
        </w:tabs>
        <w:spacing w:line="240" w:lineRule="auto"/>
        <w:ind w:left="567" w:right="-2"/>
        <w:rPr>
          <w:rFonts w:ascii="Times New Roman" w:hAnsi="Times New Roman" w:cs="Times New Roman"/>
          <w:lang w:eastAsia="lt-LT" w:bidi="lt-LT"/>
        </w:rPr>
      </w:pPr>
      <w:r w:rsidRPr="00CE4C3C">
        <w:rPr>
          <w:rFonts w:ascii="Times New Roman" w:hAnsi="Times New Roman" w:cs="Times New Roman"/>
          <w:b/>
          <w:lang w:eastAsia="lt-LT" w:bidi="lt-LT"/>
        </w:rPr>
        <w:t>Kas žinotina prieš vartojant Klertis</w:t>
      </w:r>
    </w:p>
    <w:p w14:paraId="2F47DE3C" w14:textId="77777777" w:rsidR="007B4CBC" w:rsidRPr="00CE4C3C" w:rsidRDefault="007B4CBC" w:rsidP="00CE4C3C">
      <w:pPr>
        <w:keepNext/>
        <w:spacing w:line="240" w:lineRule="auto"/>
        <w:ind w:left="-3" w:right="-2"/>
        <w:rPr>
          <w:rFonts w:ascii="Times New Roman" w:hAnsi="Times New Roman" w:cs="Times New Roman"/>
          <w:b/>
          <w:lang w:eastAsia="lt-LT" w:bidi="lt-LT"/>
        </w:rPr>
      </w:pPr>
    </w:p>
    <w:p w14:paraId="7325782A" w14:textId="05BBF0FB" w:rsidR="007B4CBC" w:rsidRPr="00CE4C3C" w:rsidRDefault="007B4CBC" w:rsidP="00CE4C3C">
      <w:pPr>
        <w:keepNext/>
        <w:spacing w:line="240" w:lineRule="auto"/>
        <w:ind w:left="-3" w:right="-2"/>
        <w:rPr>
          <w:rFonts w:ascii="Times New Roman" w:hAnsi="Times New Roman" w:cs="Times New Roman"/>
          <w:lang w:eastAsia="lt-LT" w:bidi="lt-LT"/>
        </w:rPr>
      </w:pPr>
      <w:r w:rsidRPr="00CE4C3C">
        <w:rPr>
          <w:rFonts w:ascii="Times New Roman" w:hAnsi="Times New Roman" w:cs="Times New Roman"/>
          <w:b/>
          <w:lang w:eastAsia="lt-LT" w:bidi="lt-LT"/>
        </w:rPr>
        <w:t xml:space="preserve">Klertis vartoti </w:t>
      </w:r>
      <w:r w:rsidR="00B112E3">
        <w:rPr>
          <w:rFonts w:ascii="Times New Roman" w:hAnsi="Times New Roman" w:cs="Times New Roman"/>
          <w:b/>
          <w:lang w:eastAsia="lt-LT" w:bidi="lt-LT"/>
        </w:rPr>
        <w:t>draudžiama</w:t>
      </w:r>
      <w:r w:rsidRPr="00CE4C3C">
        <w:rPr>
          <w:rFonts w:ascii="Times New Roman" w:hAnsi="Times New Roman" w:cs="Times New Roman"/>
          <w:b/>
          <w:lang w:eastAsia="lt-LT" w:bidi="lt-LT"/>
        </w:rPr>
        <w:t>:</w:t>
      </w:r>
    </w:p>
    <w:p w14:paraId="7F7FD153" w14:textId="77777777" w:rsidR="007B4CBC" w:rsidRPr="00CE4C3C" w:rsidRDefault="007B4CBC" w:rsidP="00CE4C3C">
      <w:pPr>
        <w:numPr>
          <w:ilvl w:val="0"/>
          <w:numId w:val="12"/>
        </w:numPr>
        <w:spacing w:line="240" w:lineRule="auto"/>
        <w:ind w:left="567" w:hanging="567"/>
        <w:contextualSpacing/>
        <w:rPr>
          <w:rFonts w:ascii="Times New Roman" w:hAnsi="Times New Roman" w:cs="Times New Roman"/>
          <w:lang w:eastAsia="lt-LT" w:bidi="lt-LT"/>
        </w:rPr>
      </w:pPr>
      <w:r w:rsidRPr="00CE4C3C">
        <w:rPr>
          <w:rFonts w:ascii="Times New Roman" w:hAnsi="Times New Roman" w:cs="Times New Roman"/>
          <w:lang w:eastAsia="lt-LT" w:bidi="lt-LT"/>
        </w:rPr>
        <w:t xml:space="preserve">jeigu yra alergija </w:t>
      </w:r>
      <w:proofErr w:type="spellStart"/>
      <w:r w:rsidRPr="00CE4C3C">
        <w:rPr>
          <w:rFonts w:ascii="Times New Roman" w:hAnsi="Times New Roman" w:cs="Times New Roman"/>
          <w:lang w:eastAsia="lt-LT" w:bidi="lt-LT"/>
        </w:rPr>
        <w:t>sunitinibui</w:t>
      </w:r>
      <w:proofErr w:type="spellEnd"/>
      <w:r w:rsidRPr="00CE4C3C">
        <w:rPr>
          <w:rFonts w:ascii="Times New Roman" w:hAnsi="Times New Roman" w:cs="Times New Roman"/>
          <w:lang w:eastAsia="lt-LT" w:bidi="lt-LT"/>
        </w:rPr>
        <w:t xml:space="preserve"> arba bet kuriai pagalbinei Klertis medžiagai (jos išvardytos 6 skyriuje).</w:t>
      </w:r>
    </w:p>
    <w:p w14:paraId="658E56E9" w14:textId="77777777" w:rsidR="007B4CBC" w:rsidRPr="00CE4C3C" w:rsidRDefault="007B4CBC" w:rsidP="00CE4C3C">
      <w:pPr>
        <w:numPr>
          <w:ilvl w:val="12"/>
          <w:numId w:val="0"/>
        </w:numPr>
        <w:spacing w:line="240" w:lineRule="auto"/>
        <w:rPr>
          <w:rFonts w:ascii="Times New Roman" w:hAnsi="Times New Roman" w:cs="Times New Roman"/>
          <w:lang w:eastAsia="lt-LT" w:bidi="lt-LT"/>
        </w:rPr>
      </w:pPr>
    </w:p>
    <w:p w14:paraId="20A908EE" w14:textId="77777777" w:rsidR="007B4CBC" w:rsidRPr="00CE4C3C" w:rsidRDefault="007B4CBC" w:rsidP="00CE4C3C">
      <w:pPr>
        <w:numPr>
          <w:ilvl w:val="12"/>
          <w:numId w:val="0"/>
        </w:numPr>
        <w:spacing w:line="240" w:lineRule="auto"/>
        <w:outlineLvl w:val="0"/>
        <w:rPr>
          <w:rFonts w:ascii="Times New Roman" w:hAnsi="Times New Roman" w:cs="Times New Roman"/>
          <w:b/>
          <w:lang w:eastAsia="lt-LT" w:bidi="lt-LT"/>
        </w:rPr>
      </w:pPr>
      <w:r w:rsidRPr="00CE4C3C">
        <w:rPr>
          <w:rFonts w:ascii="Times New Roman" w:hAnsi="Times New Roman" w:cs="Times New Roman"/>
          <w:b/>
          <w:lang w:eastAsia="lt-LT" w:bidi="lt-LT"/>
        </w:rPr>
        <w:t>Įspėjimai ir atsargumo priemonės</w:t>
      </w:r>
    </w:p>
    <w:p w14:paraId="0FC8559A" w14:textId="77777777" w:rsidR="007B4CBC" w:rsidRPr="00CE4C3C" w:rsidRDefault="007B4CBC" w:rsidP="00CE4C3C">
      <w:pPr>
        <w:numPr>
          <w:ilvl w:val="12"/>
          <w:numId w:val="0"/>
        </w:numPr>
        <w:spacing w:line="240" w:lineRule="auto"/>
        <w:ind w:right="-2"/>
        <w:rPr>
          <w:rFonts w:ascii="Times New Roman" w:hAnsi="Times New Roman" w:cs="Times New Roman"/>
          <w:bCs/>
          <w:lang w:eastAsia="lt-LT" w:bidi="lt-LT"/>
        </w:rPr>
      </w:pPr>
      <w:r w:rsidRPr="00CE4C3C">
        <w:rPr>
          <w:rFonts w:ascii="Times New Roman" w:hAnsi="Times New Roman" w:cs="Times New Roman"/>
          <w:bCs/>
          <w:lang w:eastAsia="lt-LT" w:bidi="lt-LT"/>
        </w:rPr>
        <w:t>Pasitarkite su gydytoju prieš pradėdami vartoti Klertis:</w:t>
      </w:r>
    </w:p>
    <w:p w14:paraId="13889ED5" w14:textId="31DFF2CF" w:rsidR="007B4CBC" w:rsidRPr="00CE4C3C" w:rsidRDefault="007B4CBC" w:rsidP="00CE4C3C">
      <w:pPr>
        <w:numPr>
          <w:ilvl w:val="0"/>
          <w:numId w:val="40"/>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yra padidėjęs kraujospūdis</w:t>
      </w:r>
      <w:r w:rsidRPr="00CE4C3C">
        <w:rPr>
          <w:rFonts w:ascii="Times New Roman" w:hAnsi="Times New Roman" w:cs="Times New Roman"/>
          <w:lang w:eastAsia="lt-LT" w:bidi="lt-LT"/>
        </w:rPr>
        <w:t xml:space="preserve">. Klertis gali didinti kraujospūdį. Gydymo Klertis </w:t>
      </w:r>
      <w:proofErr w:type="spellStart"/>
      <w:r w:rsidRPr="00CE4C3C">
        <w:rPr>
          <w:rFonts w:ascii="Times New Roman" w:hAnsi="Times New Roman" w:cs="Times New Roman"/>
          <w:lang w:eastAsia="lt-LT" w:bidi="lt-LT"/>
        </w:rPr>
        <w:t>metugydytojas</w:t>
      </w:r>
      <w:proofErr w:type="spellEnd"/>
      <w:r w:rsidRPr="00CE4C3C">
        <w:rPr>
          <w:rFonts w:ascii="Times New Roman" w:hAnsi="Times New Roman" w:cs="Times New Roman"/>
          <w:lang w:eastAsia="lt-LT" w:bidi="lt-LT"/>
        </w:rPr>
        <w:t xml:space="preserve"> gali matuoti kraujospūdį ir, prireikus, Jums gali būti skiriami vaistai kraujospūdžiui mažinti;</w:t>
      </w:r>
    </w:p>
    <w:p w14:paraId="7B421975" w14:textId="77777777" w:rsidR="007B4CBC" w:rsidRPr="00CE4C3C" w:rsidRDefault="007B4CBC" w:rsidP="00CE4C3C">
      <w:pPr>
        <w:numPr>
          <w:ilvl w:val="0"/>
          <w:numId w:val="40"/>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lastRenderedPageBreak/>
        <w:t>jeigu sergate arba anksčiau sirgote kraujo liga, yra arba buvo kraujavimo sutrikimų arba kraujosruvų</w:t>
      </w:r>
      <w:r w:rsidRPr="00CE4C3C">
        <w:rPr>
          <w:rFonts w:ascii="Times New Roman" w:hAnsi="Times New Roman" w:cs="Times New Roman"/>
          <w:lang w:eastAsia="lt-LT" w:bidi="lt-LT"/>
        </w:rPr>
        <w:t xml:space="preserve">. Gydymas Klertis gali didinti kraujavimo riziką arba sukelti kai kurių kraujo ląstelių skaičiaus pokyčių, dėl kurių gali pasireikšti mažakraujystė arba sutrikti kraujo gebėjimas krešėti. Jeigu vartojate </w:t>
      </w:r>
      <w:proofErr w:type="spellStart"/>
      <w:r w:rsidRPr="00CE4C3C">
        <w:rPr>
          <w:rFonts w:ascii="Times New Roman" w:hAnsi="Times New Roman" w:cs="Times New Roman"/>
          <w:lang w:eastAsia="lt-LT" w:bidi="lt-LT"/>
        </w:rPr>
        <w:t>varfariną</w:t>
      </w:r>
      <w:proofErr w:type="spellEnd"/>
      <w:r w:rsidRPr="00CE4C3C">
        <w:rPr>
          <w:rFonts w:ascii="Times New Roman" w:hAnsi="Times New Roman" w:cs="Times New Roman"/>
          <w:lang w:eastAsia="lt-LT" w:bidi="lt-LT"/>
        </w:rPr>
        <w:t xml:space="preserve"> arba </w:t>
      </w:r>
      <w:proofErr w:type="spellStart"/>
      <w:r w:rsidRPr="00CE4C3C">
        <w:rPr>
          <w:rFonts w:ascii="Times New Roman" w:hAnsi="Times New Roman" w:cs="Times New Roman"/>
          <w:lang w:eastAsia="lt-LT" w:bidi="lt-LT"/>
        </w:rPr>
        <w:t>acenokumarolį</w:t>
      </w:r>
      <w:proofErr w:type="spellEnd"/>
      <w:r w:rsidRPr="00CE4C3C">
        <w:rPr>
          <w:rFonts w:ascii="Times New Roman" w:hAnsi="Times New Roman" w:cs="Times New Roman"/>
          <w:lang w:eastAsia="lt-LT" w:bidi="lt-LT"/>
        </w:rPr>
        <w:t>, t. y. vaistus, kurie skystina kraują ir padeda apsisaugoti nuo kraujo krešulių susidarymo, kraujavimo rizika gali būti didesnė. Pasakykite gydytojui, jeigu vartojant Klertis pasireiškia bet koks kraujavimas;</w:t>
      </w:r>
    </w:p>
    <w:p w14:paraId="31D793AB" w14:textId="77777777" w:rsidR="007B4CBC" w:rsidRPr="00CE4C3C" w:rsidRDefault="007B4CBC" w:rsidP="00CE4C3C">
      <w:pPr>
        <w:numPr>
          <w:ilvl w:val="0"/>
          <w:numId w:val="40"/>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yra širdies sutrikimų.</w:t>
      </w:r>
      <w:r w:rsidRPr="00CE4C3C">
        <w:rPr>
          <w:rFonts w:ascii="Times New Roman" w:hAnsi="Times New Roman" w:cs="Times New Roman"/>
          <w:lang w:eastAsia="lt-LT" w:bidi="lt-LT"/>
        </w:rPr>
        <w:t xml:space="preserve"> Klertis gali sukelti širdies sutrikimų. Pasakykite gydytojui, jeigu jaučiatės labai pavargę, pasireiškia dusulys arba patinsta pėdos ir kulkšnys;</w:t>
      </w:r>
    </w:p>
    <w:p w14:paraId="3648CBD5" w14:textId="77777777" w:rsidR="007B4CBC" w:rsidRPr="00CE4C3C" w:rsidRDefault="007B4CBC" w:rsidP="00CE4C3C">
      <w:pPr>
        <w:numPr>
          <w:ilvl w:val="0"/>
          <w:numId w:val="40"/>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atsirado nenormalių širdies plakimo pokyčių.</w:t>
      </w:r>
      <w:r w:rsidRPr="00CE4C3C">
        <w:rPr>
          <w:rFonts w:ascii="Times New Roman" w:hAnsi="Times New Roman" w:cs="Times New Roman"/>
          <w:lang w:eastAsia="lt-LT" w:bidi="lt-LT"/>
        </w:rPr>
        <w:t xml:space="preserve"> Klertis gali sukelti nenormalų širdies plakimą. Gydytojas gali užrašyti elektrokardiogramą, kad įvertintų šiuos sutrikimus gydymo Klertis metu. Pasakykite gydytojui, jeigu vartodami Klertis jaučiate svaigulį, alpulį arba nenormalų širdies plakimą;</w:t>
      </w:r>
    </w:p>
    <w:p w14:paraId="21C07383" w14:textId="77777777" w:rsidR="007B4CBC" w:rsidRPr="00CE4C3C" w:rsidRDefault="007B4CBC" w:rsidP="00CE4C3C">
      <w:pPr>
        <w:numPr>
          <w:ilvl w:val="0"/>
          <w:numId w:val="40"/>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neseniai buvo kilę su kraujo krešuliais venose ir (arba) arterijose (kraujagyslių rūšys) susijusių problemų, įskaitant insultą, širdies priepuolį, emboliją arba trombozę.</w:t>
      </w:r>
      <w:r w:rsidRPr="00CE4C3C">
        <w:rPr>
          <w:rFonts w:ascii="Times New Roman" w:hAnsi="Times New Roman" w:cs="Times New Roman"/>
          <w:lang w:eastAsia="lt-LT" w:bidi="lt-LT"/>
        </w:rPr>
        <w:t xml:space="preserve"> Nedelsdami praneškite gydytojui, jeigu Klertis vartojimo metu atsiranda tokių simptomų kaip krūtinės skausmas arba spaudimas, rankų, nugaros, kaklo ar žandikaulio skausmas, dusulys, vienos kūno pusės nutirpimas arba silpnumas, tampa sunku kalbėti, pasireiškia galvos skausmas arba svaigulys;</w:t>
      </w:r>
    </w:p>
    <w:p w14:paraId="6F1C26DA" w14:textId="77777777" w:rsidR="007B4CBC" w:rsidRPr="00CE4C3C" w:rsidRDefault="007B4CBC" w:rsidP="00CE4C3C">
      <w:pPr>
        <w:numPr>
          <w:ilvl w:val="0"/>
          <w:numId w:val="40"/>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bCs/>
          <w:lang w:eastAsia="lt-LT" w:bidi="lt-LT"/>
        </w:rPr>
        <w:t>jeigu yra arba anksčiau buvo nustatyta aneurizma</w:t>
      </w:r>
      <w:r w:rsidRPr="00CE4C3C">
        <w:rPr>
          <w:rFonts w:ascii="Times New Roman" w:hAnsi="Times New Roman" w:cs="Times New Roman"/>
          <w:lang w:eastAsia="lt-LT" w:bidi="lt-LT"/>
        </w:rPr>
        <w:t xml:space="preserve"> (kraujagyslės sienelės išsipūtimas ir susilpnėjimas) </w:t>
      </w:r>
      <w:r w:rsidRPr="00CE4C3C">
        <w:rPr>
          <w:rFonts w:ascii="Times New Roman" w:hAnsi="Times New Roman" w:cs="Times New Roman"/>
          <w:b/>
          <w:bCs/>
          <w:lang w:eastAsia="lt-LT" w:bidi="lt-LT"/>
        </w:rPr>
        <w:t>arba kraujagyslės sienelės įplyšimas</w:t>
      </w:r>
      <w:r w:rsidRPr="00CE4C3C">
        <w:rPr>
          <w:rFonts w:ascii="Times New Roman" w:hAnsi="Times New Roman" w:cs="Times New Roman"/>
          <w:lang w:eastAsia="lt-LT" w:bidi="lt-LT"/>
        </w:rPr>
        <w:t>;</w:t>
      </w:r>
    </w:p>
    <w:p w14:paraId="260B773A" w14:textId="77777777" w:rsidR="007B4CBC" w:rsidRPr="00CE4C3C" w:rsidRDefault="007B4CBC" w:rsidP="00CE4C3C">
      <w:pPr>
        <w:numPr>
          <w:ilvl w:val="0"/>
          <w:numId w:val="40"/>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 xml:space="preserve">jeigu yra arba </w:t>
      </w:r>
      <w:r w:rsidRPr="00CE4C3C">
        <w:rPr>
          <w:rFonts w:ascii="Times New Roman" w:hAnsi="Times New Roman" w:cs="Times New Roman"/>
          <w:b/>
          <w:bCs/>
          <w:lang w:eastAsia="lt-LT" w:bidi="lt-LT"/>
        </w:rPr>
        <w:t xml:space="preserve">anksčiau </w:t>
      </w:r>
      <w:r w:rsidRPr="00CE4C3C">
        <w:rPr>
          <w:rFonts w:ascii="Times New Roman" w:hAnsi="Times New Roman" w:cs="Times New Roman"/>
          <w:b/>
          <w:lang w:eastAsia="lt-LT" w:bidi="lt-LT"/>
        </w:rPr>
        <w:t xml:space="preserve">buvo smulkiausių kraujagyslių pažeidimų, vadinamų trombine </w:t>
      </w:r>
      <w:proofErr w:type="spellStart"/>
      <w:r w:rsidRPr="00CE4C3C">
        <w:rPr>
          <w:rFonts w:ascii="Times New Roman" w:hAnsi="Times New Roman" w:cs="Times New Roman"/>
          <w:b/>
          <w:lang w:eastAsia="lt-LT" w:bidi="lt-LT"/>
        </w:rPr>
        <w:t>mikroangiopatija</w:t>
      </w:r>
      <w:proofErr w:type="spellEnd"/>
      <w:r w:rsidRPr="00CE4C3C">
        <w:rPr>
          <w:rFonts w:ascii="Times New Roman" w:hAnsi="Times New Roman" w:cs="Times New Roman"/>
          <w:b/>
          <w:lang w:eastAsia="lt-LT" w:bidi="lt-LT"/>
        </w:rPr>
        <w:t xml:space="preserve"> (TMA).</w:t>
      </w:r>
      <w:r w:rsidRPr="00CE4C3C">
        <w:rPr>
          <w:rFonts w:ascii="Times New Roman" w:hAnsi="Times New Roman" w:cs="Times New Roman"/>
          <w:lang w:eastAsia="lt-LT" w:bidi="lt-LT"/>
        </w:rPr>
        <w:t xml:space="preserve"> Pasakykite gydytojui, jei pasireiškia karščiavimas, nuovargis, kraujosruvos, kraujavimas, patinimas, minčių susipainiojimas, apakimas ir traukuliai;</w:t>
      </w:r>
    </w:p>
    <w:p w14:paraId="20E9B3A1" w14:textId="77777777" w:rsidR="007B4CBC" w:rsidRPr="00CE4C3C" w:rsidRDefault="007B4CBC" w:rsidP="00CE4C3C">
      <w:pPr>
        <w:numPr>
          <w:ilvl w:val="0"/>
          <w:numId w:val="40"/>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yra skydliaukės sutrikimų</w:t>
      </w:r>
      <w:r w:rsidRPr="00CE4C3C">
        <w:rPr>
          <w:rFonts w:ascii="Times New Roman" w:hAnsi="Times New Roman" w:cs="Times New Roman"/>
          <w:lang w:eastAsia="lt-LT" w:bidi="lt-LT"/>
        </w:rPr>
        <w:t>. Klertis gali sukelti skydliaukės sutrikimus. Pasakykite gydytojui, jeigu Klertis vartojimo metu greičiau nuvargstate, esate jautresni šalčiui nei kiti žmonės arba pažemėja balsas. Jūsų skydliaukės būklė bus ištirta prieš pradedant gydymą Klertis ir reguliariai tiriama gydymo metu. Jeigu skydliaukės hormonų skydliaukėje gaminama nepakankamai, gali būti paskirtas pakeičiamasis gydymas skydliaukės hormonais;</w:t>
      </w:r>
    </w:p>
    <w:p w14:paraId="409CECDF" w14:textId="77777777" w:rsidR="007B4CBC" w:rsidRPr="00CE4C3C" w:rsidRDefault="007B4CBC" w:rsidP="00CE4C3C">
      <w:pPr>
        <w:numPr>
          <w:ilvl w:val="0"/>
          <w:numId w:val="40"/>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yra arba anksčiau buvo kasos ar tulžies pūslės sutrikimų</w:t>
      </w:r>
      <w:r w:rsidRPr="00CE4C3C">
        <w:rPr>
          <w:rFonts w:ascii="Times New Roman" w:hAnsi="Times New Roman" w:cs="Times New Roman"/>
          <w:lang w:eastAsia="lt-LT" w:bidi="lt-LT"/>
        </w:rPr>
        <w:t>. Pasakykite gydytojui, jeigu pasireiškia bet kuris iš išvardytų požymių arba simptomų: skrandžio srities (viršutinės pilvo dalies) skausmas, pykinimas, vėmimas ir karščiavimas. Juos gali sukelti kasos ar tulžies pūslės uždegimas;</w:t>
      </w:r>
    </w:p>
    <w:p w14:paraId="5F38087E" w14:textId="77777777" w:rsidR="007B4CBC" w:rsidRPr="00CE4C3C" w:rsidRDefault="007B4CBC" w:rsidP="00CE4C3C">
      <w:pPr>
        <w:numPr>
          <w:ilvl w:val="0"/>
          <w:numId w:val="40"/>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yra arba anksčiau buvo kepenų sutrikimų</w:t>
      </w:r>
      <w:r w:rsidRPr="00CE4C3C">
        <w:rPr>
          <w:rFonts w:ascii="Times New Roman" w:hAnsi="Times New Roman" w:cs="Times New Roman"/>
          <w:lang w:eastAsia="lt-LT" w:bidi="lt-LT"/>
        </w:rPr>
        <w:t>. Pasakykite gydytojui, jeigu gydymo Klertis metu pasireiškia bet kuris iš išvardytų kepenų sutrikimo požymių arba simptomų: niežulys, akių ar odos pageltimas, šlapimo patamsėjimas, viršutinės dešinės pilvo dalies skausmas ar diskomfortas. Gydytojas turės atlikti kraujo tyrimus, kad patikrintų Jūsų kepenų funkciją prieš gydymą bei gydymo Klertis metu ir tais atvejais, kai yra klinikinių indikacijų;</w:t>
      </w:r>
    </w:p>
    <w:p w14:paraId="03AAAFAE" w14:textId="77777777" w:rsidR="007B4CBC" w:rsidRPr="00CE4C3C" w:rsidRDefault="007B4CBC" w:rsidP="00CE4C3C">
      <w:pPr>
        <w:numPr>
          <w:ilvl w:val="0"/>
          <w:numId w:val="40"/>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yra arba anksčiau buvo inkstų sutrikimų</w:t>
      </w:r>
      <w:r w:rsidRPr="00CE4C3C">
        <w:rPr>
          <w:rFonts w:ascii="Times New Roman" w:hAnsi="Times New Roman" w:cs="Times New Roman"/>
          <w:lang w:eastAsia="lt-LT" w:bidi="lt-LT"/>
        </w:rPr>
        <w:t>. Gydytojas stebės Jūsų inkstų funkciją;</w:t>
      </w:r>
    </w:p>
    <w:p w14:paraId="46225AE3" w14:textId="77777777" w:rsidR="007B4CBC" w:rsidRPr="00CE4C3C" w:rsidRDefault="007B4CBC" w:rsidP="00CE4C3C">
      <w:pPr>
        <w:numPr>
          <w:ilvl w:val="0"/>
          <w:numId w:val="40"/>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yra numatyta atlikti chirurginę operaciją arba ji neseniai buvo atlikta</w:t>
      </w:r>
      <w:r w:rsidRPr="00CE4C3C">
        <w:rPr>
          <w:rFonts w:ascii="Times New Roman" w:hAnsi="Times New Roman" w:cs="Times New Roman"/>
          <w:lang w:eastAsia="lt-LT" w:bidi="lt-LT"/>
        </w:rPr>
        <w:t>. Klertis gali turėti įtakos žaizdų gijimui. Paprastai prieš operaciją Klertis vartojimas nutraukiamas. Gydytojas nuspręs, kada bus galima atnaujinti Klertis vartojimą;</w:t>
      </w:r>
    </w:p>
    <w:p w14:paraId="2F05848B" w14:textId="77777777" w:rsidR="007B4CBC" w:rsidRPr="00CE4C3C" w:rsidRDefault="007B4CBC" w:rsidP="00CE4C3C">
      <w:pPr>
        <w:numPr>
          <w:ilvl w:val="0"/>
          <w:numId w:val="40"/>
        </w:numPr>
        <w:tabs>
          <w:tab w:val="left" w:pos="567"/>
        </w:tabs>
        <w:spacing w:line="240" w:lineRule="auto"/>
        <w:ind w:left="567"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gali būti patarta pasitikrinti dantis prieš pradedant gydymą Klertis</w:t>
      </w:r>
      <w:r w:rsidRPr="00CE4C3C">
        <w:rPr>
          <w:rFonts w:ascii="Times New Roman" w:hAnsi="Times New Roman" w:cs="Times New Roman"/>
          <w:lang w:eastAsia="lt-LT" w:bidi="lt-LT"/>
        </w:rPr>
        <w:t>:</w:t>
      </w:r>
    </w:p>
    <w:p w14:paraId="01BA8651" w14:textId="77777777" w:rsidR="007B4CBC" w:rsidRPr="00CE4C3C" w:rsidRDefault="007B4CBC" w:rsidP="00CE4C3C">
      <w:pPr>
        <w:numPr>
          <w:ilvl w:val="0"/>
          <w:numId w:val="41"/>
        </w:numPr>
        <w:tabs>
          <w:tab w:val="left" w:pos="567"/>
        </w:tabs>
        <w:spacing w:line="240" w:lineRule="auto"/>
        <w:ind w:left="1134" w:hanging="567"/>
        <w:contextualSpacing/>
        <w:rPr>
          <w:rFonts w:ascii="Times New Roman" w:hAnsi="Times New Roman" w:cs="Times New Roman"/>
          <w:lang w:eastAsia="lt-LT" w:bidi="lt-LT"/>
        </w:rPr>
      </w:pPr>
      <w:r w:rsidRPr="00CE4C3C">
        <w:rPr>
          <w:rFonts w:ascii="Times New Roman" w:hAnsi="Times New Roman" w:cs="Times New Roman"/>
          <w:lang w:eastAsia="lt-LT" w:bidi="lt-LT"/>
        </w:rPr>
        <w:t>jeigu skauda arba anksčiau skaudėjo burną, dantis ir (arba) žandikaulį, buvo patinimas arba opų burnoje, pasireiškė žandikaulio nutirpimas ar sunkumas arba pradėjo klibėti dantys, apie tai nedelsdami pasakykite gydytojui ir odontologui;</w:t>
      </w:r>
    </w:p>
    <w:p w14:paraId="6BBF7F48" w14:textId="77777777" w:rsidR="007B4CBC" w:rsidRPr="00CE4C3C" w:rsidRDefault="007B4CBC" w:rsidP="00CE4C3C">
      <w:pPr>
        <w:numPr>
          <w:ilvl w:val="0"/>
          <w:numId w:val="41"/>
        </w:numPr>
        <w:tabs>
          <w:tab w:val="left" w:pos="567"/>
        </w:tabs>
        <w:spacing w:line="240" w:lineRule="auto"/>
        <w:ind w:left="1134" w:hanging="567"/>
        <w:contextualSpacing/>
        <w:rPr>
          <w:rFonts w:ascii="Times New Roman" w:hAnsi="Times New Roman" w:cs="Times New Roman"/>
          <w:lang w:eastAsia="lt-LT" w:bidi="lt-LT"/>
        </w:rPr>
      </w:pPr>
      <w:r w:rsidRPr="00CE4C3C">
        <w:rPr>
          <w:rFonts w:ascii="Times New Roman" w:hAnsi="Times New Roman" w:cs="Times New Roman"/>
          <w:lang w:eastAsia="lt-LT" w:bidi="lt-LT"/>
        </w:rPr>
        <w:t xml:space="preserve">jeigu reikia atlikti invazinį dantų gydymą arba odontologinę operaciją, odontologui pasakykite, kad gydotės Klertis, ypač jeigu kartu vartojate arba vartojote į veną leidžiamų </w:t>
      </w:r>
      <w:proofErr w:type="spellStart"/>
      <w:r w:rsidRPr="00CE4C3C">
        <w:rPr>
          <w:rFonts w:ascii="Times New Roman" w:hAnsi="Times New Roman" w:cs="Times New Roman"/>
          <w:lang w:eastAsia="lt-LT" w:bidi="lt-LT"/>
        </w:rPr>
        <w:t>bisfosfonatų</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Bisfosfonatai</w:t>
      </w:r>
      <w:proofErr w:type="spellEnd"/>
      <w:r w:rsidRPr="00CE4C3C">
        <w:rPr>
          <w:rFonts w:ascii="Times New Roman" w:hAnsi="Times New Roman" w:cs="Times New Roman"/>
          <w:lang w:eastAsia="lt-LT" w:bidi="lt-LT"/>
        </w:rPr>
        <w:t xml:space="preserve"> yra vaistai, kurių vartojama siekiant apsisaugoti nuo kaulų komplikacijų, kurias gali sukelti kitos medicininės būklės;</w:t>
      </w:r>
    </w:p>
    <w:p w14:paraId="2C82CD4B" w14:textId="77777777" w:rsidR="007B4CBC" w:rsidRPr="00CE4C3C" w:rsidRDefault="007B4CBC" w:rsidP="00CE4C3C">
      <w:pPr>
        <w:numPr>
          <w:ilvl w:val="0"/>
          <w:numId w:val="40"/>
        </w:numPr>
        <w:tabs>
          <w:tab w:val="left" w:pos="567"/>
        </w:tabs>
        <w:spacing w:line="240" w:lineRule="auto"/>
        <w:ind w:left="567"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yra arba anksčiau buvo odos ir poodinio audinio sutrikimų</w:t>
      </w:r>
      <w:r w:rsidRPr="00CE4C3C">
        <w:rPr>
          <w:rFonts w:ascii="Times New Roman" w:hAnsi="Times New Roman" w:cs="Times New Roman"/>
          <w:lang w:eastAsia="lt-LT" w:bidi="lt-LT"/>
        </w:rPr>
        <w:t xml:space="preserve">. Vartojant šį vaistą, gali pasireikšti gangreninė </w:t>
      </w:r>
      <w:proofErr w:type="spellStart"/>
      <w:r w:rsidRPr="00CE4C3C">
        <w:rPr>
          <w:rFonts w:ascii="Times New Roman" w:hAnsi="Times New Roman" w:cs="Times New Roman"/>
          <w:lang w:eastAsia="lt-LT" w:bidi="lt-LT"/>
        </w:rPr>
        <w:t>pioderma</w:t>
      </w:r>
      <w:proofErr w:type="spellEnd"/>
      <w:r w:rsidRPr="00CE4C3C">
        <w:rPr>
          <w:rFonts w:ascii="Times New Roman" w:hAnsi="Times New Roman" w:cs="Times New Roman"/>
          <w:lang w:eastAsia="lt-LT" w:bidi="lt-LT"/>
        </w:rPr>
        <w:t xml:space="preserve"> (skausmingas odos išopėjimas) arba </w:t>
      </w:r>
      <w:proofErr w:type="spellStart"/>
      <w:r w:rsidRPr="00CE4C3C">
        <w:rPr>
          <w:rFonts w:ascii="Times New Roman" w:hAnsi="Times New Roman" w:cs="Times New Roman"/>
          <w:lang w:eastAsia="lt-LT" w:bidi="lt-LT"/>
        </w:rPr>
        <w:t>nekrozuojantis</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fascitas</w:t>
      </w:r>
      <w:proofErr w:type="spellEnd"/>
      <w:r w:rsidRPr="00CE4C3C">
        <w:rPr>
          <w:rFonts w:ascii="Times New Roman" w:hAnsi="Times New Roman" w:cs="Times New Roman"/>
          <w:lang w:eastAsia="lt-LT" w:bidi="lt-LT"/>
        </w:rPr>
        <w:t xml:space="preserve"> (greitai plintanti odos ir minkštųjų audinių infekcija, kuri gali būti pavojinga gyvybei). Jeigu aplink odos pažeidimą atsiranda infekcinės ligos simptomų, įskaitant karščiavimą, skausmą, paraudimą, patinimą arba pūlių ar kraujo išsiskyrimą, nedelsdami kreipkitės į gydytoją. Toks reiškinys paprastai būna laikinas ir išnyksta nutraukus Klertis vartojimą. Vartojant Klertis, buvo pranešta apie sunkius odos išbėrimus (</w:t>
      </w:r>
      <w:proofErr w:type="spellStart"/>
      <w:r w:rsidRPr="00CE4C3C">
        <w:rPr>
          <w:rFonts w:ascii="Times New Roman" w:hAnsi="Times New Roman" w:cs="Times New Roman"/>
          <w:lang w:eastAsia="lt-LT" w:bidi="lt-LT"/>
        </w:rPr>
        <w:t>Stivenso</w:t>
      </w:r>
      <w:proofErr w:type="spellEnd"/>
      <w:r w:rsidRPr="00CE4C3C">
        <w:rPr>
          <w:rFonts w:ascii="Times New Roman" w:hAnsi="Times New Roman" w:cs="Times New Roman"/>
          <w:lang w:eastAsia="lt-LT" w:bidi="lt-LT"/>
        </w:rPr>
        <w:t>-Džonsono (</w:t>
      </w:r>
      <w:proofErr w:type="spellStart"/>
      <w:r w:rsidRPr="00CE4C3C">
        <w:rPr>
          <w:rFonts w:ascii="Times New Roman" w:hAnsi="Times New Roman" w:cs="Times New Roman"/>
          <w:i/>
          <w:lang w:eastAsia="lt-LT" w:bidi="lt-LT"/>
        </w:rPr>
        <w:t>Stevens-Johnson</w:t>
      </w:r>
      <w:proofErr w:type="spellEnd"/>
      <w:r w:rsidRPr="00CE4C3C">
        <w:rPr>
          <w:rFonts w:ascii="Times New Roman" w:hAnsi="Times New Roman" w:cs="Times New Roman"/>
          <w:iCs/>
          <w:lang w:eastAsia="lt-LT" w:bidi="lt-LT"/>
        </w:rPr>
        <w:t>)</w:t>
      </w:r>
      <w:r w:rsidRPr="00CE4C3C">
        <w:rPr>
          <w:rFonts w:ascii="Times New Roman" w:hAnsi="Times New Roman" w:cs="Times New Roman"/>
          <w:lang w:eastAsia="lt-LT" w:bidi="lt-LT"/>
        </w:rPr>
        <w:t xml:space="preserve"> sindromą, toksinę </w:t>
      </w:r>
      <w:r w:rsidRPr="00CE4C3C">
        <w:rPr>
          <w:rFonts w:ascii="Times New Roman" w:hAnsi="Times New Roman" w:cs="Times New Roman"/>
          <w:lang w:eastAsia="lt-LT" w:bidi="lt-LT"/>
        </w:rPr>
        <w:lastRenderedPageBreak/>
        <w:t xml:space="preserve">epidermio </w:t>
      </w:r>
      <w:proofErr w:type="spellStart"/>
      <w:r w:rsidRPr="00CE4C3C">
        <w:rPr>
          <w:rFonts w:ascii="Times New Roman" w:hAnsi="Times New Roman" w:cs="Times New Roman"/>
          <w:lang w:eastAsia="lt-LT" w:bidi="lt-LT"/>
        </w:rPr>
        <w:t>nekrolizę</w:t>
      </w:r>
      <w:proofErr w:type="spellEnd"/>
      <w:r w:rsidRPr="00CE4C3C">
        <w:rPr>
          <w:rFonts w:ascii="Times New Roman" w:hAnsi="Times New Roman" w:cs="Times New Roman"/>
          <w:lang w:eastAsia="lt-LT" w:bidi="lt-LT"/>
        </w:rPr>
        <w:t xml:space="preserve">, daugiaformę </w:t>
      </w:r>
      <w:proofErr w:type="spellStart"/>
      <w:r w:rsidRPr="00CE4C3C">
        <w:rPr>
          <w:rFonts w:ascii="Times New Roman" w:hAnsi="Times New Roman" w:cs="Times New Roman"/>
          <w:lang w:eastAsia="lt-LT" w:bidi="lt-LT"/>
        </w:rPr>
        <w:t>eritemą</w:t>
      </w:r>
      <w:proofErr w:type="spellEnd"/>
      <w:r w:rsidRPr="00CE4C3C">
        <w:rPr>
          <w:rFonts w:ascii="Times New Roman" w:hAnsi="Times New Roman" w:cs="Times New Roman"/>
          <w:lang w:eastAsia="lt-LT" w:bidi="lt-LT"/>
        </w:rPr>
        <w:t xml:space="preserve">), kurie iš pradžių pasireiškė į taikinius panašių rausvų dėmių ar žiedinių dėmių, dažnai su pūslele centre, atsiradimu ant liemens. Išbėrimas gali progresuoti iki išplitusio odos pūslių atsiradimo arba lupimosi ir kelti pavojų gyvybei. Jeigu atsiranda išbėrimas arba tokių odos simptomų, </w:t>
      </w:r>
      <w:r w:rsidRPr="00CE4C3C">
        <w:rPr>
          <w:rFonts w:ascii="Times New Roman" w:hAnsi="Times New Roman" w:cs="Times New Roman"/>
          <w:bCs/>
          <w:lang w:eastAsia="lt-LT" w:bidi="lt-LT"/>
        </w:rPr>
        <w:t>nedelsdami</w:t>
      </w:r>
      <w:r w:rsidRPr="00CE4C3C">
        <w:rPr>
          <w:rFonts w:ascii="Times New Roman" w:hAnsi="Times New Roman" w:cs="Times New Roman"/>
          <w:lang w:eastAsia="lt-LT" w:bidi="lt-LT"/>
        </w:rPr>
        <w:t xml:space="preserve"> kreipkitės į gydytoją;</w:t>
      </w:r>
    </w:p>
    <w:p w14:paraId="310A8273" w14:textId="77777777" w:rsidR="007B4CBC" w:rsidRPr="00CE4C3C" w:rsidRDefault="007B4CBC" w:rsidP="00CE4C3C">
      <w:pPr>
        <w:numPr>
          <w:ilvl w:val="0"/>
          <w:numId w:val="40"/>
        </w:numPr>
        <w:tabs>
          <w:tab w:val="left" w:pos="567"/>
        </w:tabs>
        <w:spacing w:line="240" w:lineRule="auto"/>
        <w:ind w:left="567"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pasireiškia arba anksčiau pasireiškė traukulių</w:t>
      </w:r>
      <w:r w:rsidRPr="00CE4C3C">
        <w:rPr>
          <w:rFonts w:ascii="Times New Roman" w:hAnsi="Times New Roman" w:cs="Times New Roman"/>
          <w:lang w:eastAsia="lt-LT" w:bidi="lt-LT"/>
        </w:rPr>
        <w:t xml:space="preserve">. Kiek įmanoma greičiau pasakykite gydytojui, jeigu padidėja kraujospūdis, pasireiškia galvos skausmas arba dingsta rega; </w:t>
      </w:r>
    </w:p>
    <w:p w14:paraId="7B3B4533" w14:textId="77777777" w:rsidR="007B4CBC" w:rsidRPr="00CE4C3C" w:rsidRDefault="007B4CBC" w:rsidP="00CE4C3C">
      <w:pPr>
        <w:numPr>
          <w:ilvl w:val="0"/>
          <w:numId w:val="40"/>
        </w:numPr>
        <w:tabs>
          <w:tab w:val="left" w:pos="567"/>
        </w:tabs>
        <w:spacing w:line="240" w:lineRule="auto"/>
        <w:ind w:left="567" w:hanging="567"/>
        <w:contextualSpacing/>
        <w:rPr>
          <w:rFonts w:ascii="Times New Roman" w:hAnsi="Times New Roman" w:cs="Times New Roman"/>
          <w:lang w:eastAsia="lt-LT" w:bidi="lt-LT"/>
        </w:rPr>
      </w:pPr>
      <w:r w:rsidRPr="00CE4C3C">
        <w:rPr>
          <w:rFonts w:ascii="Times New Roman" w:hAnsi="Times New Roman" w:cs="Times New Roman"/>
          <w:b/>
          <w:lang w:eastAsia="lt-LT" w:bidi="lt-LT"/>
        </w:rPr>
        <w:t>jeigu sergate cukriniu diabetu</w:t>
      </w:r>
      <w:r w:rsidRPr="00CE4C3C">
        <w:rPr>
          <w:rFonts w:ascii="Times New Roman" w:hAnsi="Times New Roman" w:cs="Times New Roman"/>
          <w:lang w:eastAsia="lt-LT" w:bidi="lt-LT"/>
        </w:rPr>
        <w:t>. Siekiant sumažinti mažo cukraus kiekio kraujyje riziką, diabetu sergantiems pacientams turi būti reguliariai tikrinamas cukraus kiekis kraujyje, kad būtų galima įvertinti, ar nereikia koreguoti vaisto nuo cukrinio diabeto dozės. Kiek įmanoma greičiau praneškite gydytojui, jeigu atsiranda bet kokių mažo cukraus kiekio kraujyje požymių ar simptomų (nuovargis, stiprus širdies plakimas, prakaitavimas, alkis ar sąmonės priblėsimas).</w:t>
      </w:r>
    </w:p>
    <w:p w14:paraId="2BDAA40C" w14:textId="77777777" w:rsidR="007B4CBC" w:rsidRPr="00CE4C3C" w:rsidRDefault="007B4CBC" w:rsidP="00CE4C3C">
      <w:pPr>
        <w:keepNext/>
        <w:numPr>
          <w:ilvl w:val="12"/>
          <w:numId w:val="0"/>
        </w:numPr>
        <w:spacing w:line="240" w:lineRule="auto"/>
        <w:rPr>
          <w:rFonts w:ascii="Times New Roman" w:hAnsi="Times New Roman" w:cs="Times New Roman"/>
          <w:b/>
          <w:lang w:eastAsia="lt-LT" w:bidi="lt-LT"/>
        </w:rPr>
      </w:pPr>
    </w:p>
    <w:p w14:paraId="7DD43733" w14:textId="77777777" w:rsidR="007B4CBC" w:rsidRPr="00CE4C3C" w:rsidRDefault="007B4CBC" w:rsidP="00CE4C3C">
      <w:pPr>
        <w:keepNext/>
        <w:numPr>
          <w:ilvl w:val="12"/>
          <w:numId w:val="0"/>
        </w:numPr>
        <w:spacing w:line="240" w:lineRule="auto"/>
        <w:rPr>
          <w:rFonts w:ascii="Times New Roman" w:hAnsi="Times New Roman" w:cs="Times New Roman"/>
          <w:b/>
          <w:bCs/>
          <w:lang w:eastAsia="lt-LT" w:bidi="lt-LT"/>
        </w:rPr>
      </w:pPr>
      <w:r w:rsidRPr="00CE4C3C">
        <w:rPr>
          <w:rFonts w:ascii="Times New Roman" w:hAnsi="Times New Roman" w:cs="Times New Roman"/>
          <w:b/>
          <w:lang w:eastAsia="lt-LT" w:bidi="lt-LT"/>
        </w:rPr>
        <w:t>Vaikams ir paaugliams</w:t>
      </w:r>
    </w:p>
    <w:p w14:paraId="51568D5F" w14:textId="77777777" w:rsidR="007B4CBC" w:rsidRPr="00CE4C3C" w:rsidRDefault="007B4CBC" w:rsidP="00CE4C3C">
      <w:pPr>
        <w:keepNext/>
        <w:numPr>
          <w:ilvl w:val="12"/>
          <w:numId w:val="0"/>
        </w:numPr>
        <w:spacing w:line="240" w:lineRule="auto"/>
        <w:ind w:right="-2"/>
        <w:rPr>
          <w:rFonts w:ascii="Times New Roman" w:hAnsi="Times New Roman" w:cs="Times New Roman"/>
          <w:b/>
          <w:lang w:eastAsia="lt-LT" w:bidi="lt-LT"/>
        </w:rPr>
      </w:pPr>
      <w:r w:rsidRPr="00CE4C3C">
        <w:rPr>
          <w:rFonts w:ascii="Times New Roman" w:hAnsi="Times New Roman" w:cs="Times New Roman"/>
          <w:lang w:eastAsia="lt-LT" w:bidi="lt-LT"/>
        </w:rPr>
        <w:t>Klertis</w:t>
      </w:r>
      <w:r w:rsidRPr="00CE4C3C">
        <w:rPr>
          <w:rFonts w:ascii="Times New Roman" w:hAnsi="Times New Roman" w:cs="Times New Roman"/>
          <w:bCs/>
          <w:lang w:eastAsia="lt-LT" w:bidi="lt-LT"/>
        </w:rPr>
        <w:t xml:space="preserve"> nerekomenduojama vartoti vaikams ir jaunesniems kaip 18 metų paaugliams.</w:t>
      </w:r>
    </w:p>
    <w:p w14:paraId="007A5A72" w14:textId="77777777" w:rsidR="007B4CBC" w:rsidRPr="00CE4C3C" w:rsidRDefault="007B4CBC" w:rsidP="00CE4C3C">
      <w:pPr>
        <w:keepNext/>
        <w:numPr>
          <w:ilvl w:val="12"/>
          <w:numId w:val="0"/>
        </w:numPr>
        <w:spacing w:line="240" w:lineRule="auto"/>
        <w:ind w:right="-2"/>
        <w:rPr>
          <w:rFonts w:ascii="Times New Roman" w:hAnsi="Times New Roman" w:cs="Times New Roman"/>
          <w:b/>
          <w:lang w:eastAsia="lt-LT" w:bidi="lt-LT"/>
        </w:rPr>
      </w:pPr>
    </w:p>
    <w:p w14:paraId="70EC6E39" w14:textId="77777777" w:rsidR="007B4CBC" w:rsidRPr="00CE4C3C" w:rsidRDefault="007B4CBC" w:rsidP="00CE4C3C">
      <w:pPr>
        <w:keepNext/>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b/>
          <w:lang w:eastAsia="lt-LT" w:bidi="lt-LT"/>
        </w:rPr>
        <w:t>Kiti vaistai ir Klertis</w:t>
      </w:r>
    </w:p>
    <w:p w14:paraId="394D845C"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Jeigu vartojate ar neseniai vartojote kitų vaistų, įskaitant įsigytus be recepto, arba dėl to nesate tikri, apie tai pasakykite gydytojui arba vaistininkui.</w:t>
      </w:r>
    </w:p>
    <w:p w14:paraId="6DDB81FB"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19165BBE" w14:textId="77777777" w:rsidR="007B4CBC" w:rsidRPr="00CE4C3C" w:rsidRDefault="007B4CBC" w:rsidP="00CE4C3C">
      <w:p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Kai kurie vaistai gali keisti Klertis kiekį organizme. Turite pasakyti gydytojui, jeigu vartojate vaistų, kurių sudėtyje yra tokių veikliųjų medžiagų:</w:t>
      </w:r>
    </w:p>
    <w:p w14:paraId="09CA4EAF" w14:textId="77777777" w:rsidR="007B4CBC" w:rsidRPr="00CE4C3C" w:rsidRDefault="007B4CBC" w:rsidP="00CE4C3C">
      <w:pPr>
        <w:numPr>
          <w:ilvl w:val="0"/>
          <w:numId w:val="19"/>
        </w:numPr>
        <w:spacing w:line="240" w:lineRule="auto"/>
        <w:ind w:left="567" w:right="-2" w:hanging="567"/>
        <w:contextualSpacing/>
        <w:rPr>
          <w:rFonts w:ascii="Times New Roman" w:hAnsi="Times New Roman" w:cs="Times New Roman"/>
          <w:lang w:eastAsia="lt-LT" w:bidi="lt-LT"/>
        </w:rPr>
      </w:pPr>
      <w:proofErr w:type="spellStart"/>
      <w:r w:rsidRPr="00CE4C3C">
        <w:rPr>
          <w:rFonts w:ascii="Times New Roman" w:hAnsi="Times New Roman" w:cs="Times New Roman"/>
          <w:lang w:eastAsia="lt-LT" w:bidi="lt-LT"/>
        </w:rPr>
        <w:t>ketokonazolo</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itrakonazolo</w:t>
      </w:r>
      <w:proofErr w:type="spellEnd"/>
      <w:r w:rsidRPr="00CE4C3C">
        <w:rPr>
          <w:rFonts w:ascii="Times New Roman" w:hAnsi="Times New Roman" w:cs="Times New Roman"/>
          <w:lang w:eastAsia="lt-LT" w:bidi="lt-LT"/>
        </w:rPr>
        <w:t xml:space="preserve"> (jų vartojama grybelių sukeltoms infekcinėms ligoms gydyti);</w:t>
      </w:r>
    </w:p>
    <w:p w14:paraId="31394E11" w14:textId="77777777" w:rsidR="007B4CBC" w:rsidRPr="00CE4C3C" w:rsidRDefault="007B4CBC" w:rsidP="00CE4C3C">
      <w:pPr>
        <w:numPr>
          <w:ilvl w:val="0"/>
          <w:numId w:val="19"/>
        </w:numPr>
        <w:spacing w:line="240" w:lineRule="auto"/>
        <w:ind w:left="567" w:right="-2" w:hanging="567"/>
        <w:contextualSpacing/>
        <w:rPr>
          <w:rFonts w:ascii="Times New Roman" w:hAnsi="Times New Roman" w:cs="Times New Roman"/>
          <w:lang w:eastAsia="lt-LT" w:bidi="lt-LT"/>
        </w:rPr>
      </w:pPr>
      <w:proofErr w:type="spellStart"/>
      <w:r w:rsidRPr="00CE4C3C">
        <w:rPr>
          <w:rFonts w:ascii="Times New Roman" w:hAnsi="Times New Roman" w:cs="Times New Roman"/>
          <w:lang w:eastAsia="lt-LT" w:bidi="lt-LT"/>
        </w:rPr>
        <w:t>eritromicino</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klaritromicino</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rifampicino</w:t>
      </w:r>
      <w:proofErr w:type="spellEnd"/>
      <w:r w:rsidRPr="00CE4C3C">
        <w:rPr>
          <w:rFonts w:ascii="Times New Roman" w:hAnsi="Times New Roman" w:cs="Times New Roman"/>
          <w:lang w:eastAsia="lt-LT" w:bidi="lt-LT"/>
        </w:rPr>
        <w:t xml:space="preserve"> (jų vartojama infekcinėms ligoms gydyti);</w:t>
      </w:r>
    </w:p>
    <w:p w14:paraId="7E74A861" w14:textId="77777777" w:rsidR="007B4CBC" w:rsidRPr="00CE4C3C" w:rsidRDefault="007B4CBC" w:rsidP="00CE4C3C">
      <w:pPr>
        <w:numPr>
          <w:ilvl w:val="0"/>
          <w:numId w:val="19"/>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lang w:eastAsia="lt-LT" w:bidi="lt-LT"/>
        </w:rPr>
        <w:t>ritonaviro (vaisto nuo žmogaus imunodeficito viruso (ŽIV));</w:t>
      </w:r>
    </w:p>
    <w:p w14:paraId="5C6C9902" w14:textId="77777777" w:rsidR="007B4CBC" w:rsidRPr="00CE4C3C" w:rsidRDefault="007B4CBC" w:rsidP="00CE4C3C">
      <w:pPr>
        <w:numPr>
          <w:ilvl w:val="0"/>
          <w:numId w:val="19"/>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lang w:eastAsia="lt-LT" w:bidi="lt-LT"/>
        </w:rPr>
        <w:t>deksametazono (kortikosteroido, kuriuo gydomos įvairios būklės, tokios kaip alergija ar kvėpavimo sutrikimai arba odos ligos);</w:t>
      </w:r>
    </w:p>
    <w:p w14:paraId="4D36C0A9" w14:textId="77777777" w:rsidR="007B4CBC" w:rsidRPr="00CE4C3C" w:rsidRDefault="007B4CBC" w:rsidP="00CE4C3C">
      <w:pPr>
        <w:numPr>
          <w:ilvl w:val="0"/>
          <w:numId w:val="19"/>
        </w:numPr>
        <w:spacing w:line="240" w:lineRule="auto"/>
        <w:ind w:left="567" w:right="-2" w:hanging="567"/>
        <w:contextualSpacing/>
        <w:rPr>
          <w:rFonts w:ascii="Times New Roman" w:hAnsi="Times New Roman" w:cs="Times New Roman"/>
          <w:lang w:eastAsia="lt-LT" w:bidi="lt-LT"/>
        </w:rPr>
      </w:pPr>
      <w:proofErr w:type="spellStart"/>
      <w:r w:rsidRPr="00CE4C3C">
        <w:rPr>
          <w:rFonts w:ascii="Times New Roman" w:hAnsi="Times New Roman" w:cs="Times New Roman"/>
          <w:lang w:eastAsia="lt-LT" w:bidi="lt-LT"/>
        </w:rPr>
        <w:t>fenitoino</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karbamazepino</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fenobarbitalio</w:t>
      </w:r>
      <w:proofErr w:type="spellEnd"/>
      <w:r w:rsidRPr="00CE4C3C">
        <w:rPr>
          <w:rFonts w:ascii="Times New Roman" w:hAnsi="Times New Roman" w:cs="Times New Roman"/>
          <w:lang w:eastAsia="lt-LT" w:bidi="lt-LT"/>
        </w:rPr>
        <w:t xml:space="preserve"> (jų vartojama epilepsijai ar kitokioms neurologinėms būklėms gydyti);</w:t>
      </w:r>
    </w:p>
    <w:p w14:paraId="4889F28E" w14:textId="77777777" w:rsidR="007B4CBC" w:rsidRPr="00CE4C3C" w:rsidRDefault="007B4CBC" w:rsidP="00CE4C3C">
      <w:pPr>
        <w:numPr>
          <w:ilvl w:val="0"/>
          <w:numId w:val="19"/>
        </w:numPr>
        <w:spacing w:line="240" w:lineRule="auto"/>
        <w:ind w:left="567" w:right="-2" w:hanging="567"/>
        <w:contextualSpacing/>
        <w:rPr>
          <w:rFonts w:ascii="Times New Roman" w:hAnsi="Times New Roman" w:cs="Times New Roman"/>
          <w:lang w:eastAsia="lt-LT" w:bidi="lt-LT"/>
        </w:rPr>
      </w:pPr>
      <w:r w:rsidRPr="00CE4C3C">
        <w:rPr>
          <w:rFonts w:ascii="Times New Roman" w:hAnsi="Times New Roman" w:cs="Times New Roman"/>
          <w:lang w:eastAsia="lt-LT" w:bidi="lt-LT"/>
        </w:rPr>
        <w:t>augalinių preparatų, kurių sudėtyje yra paprastųjų jonažolių (</w:t>
      </w:r>
      <w:proofErr w:type="spellStart"/>
      <w:r w:rsidRPr="00CE4C3C">
        <w:rPr>
          <w:rFonts w:ascii="Times New Roman" w:hAnsi="Times New Roman" w:cs="Times New Roman"/>
          <w:i/>
          <w:lang w:eastAsia="lt-LT" w:bidi="lt-LT"/>
        </w:rPr>
        <w:t>Hypericum</w:t>
      </w:r>
      <w:proofErr w:type="spellEnd"/>
      <w:r w:rsidRPr="00CE4C3C">
        <w:rPr>
          <w:rFonts w:ascii="Times New Roman" w:hAnsi="Times New Roman" w:cs="Times New Roman"/>
          <w:i/>
          <w:lang w:eastAsia="lt-LT" w:bidi="lt-LT"/>
        </w:rPr>
        <w:t xml:space="preserve"> </w:t>
      </w:r>
      <w:proofErr w:type="spellStart"/>
      <w:r w:rsidRPr="00CE4C3C">
        <w:rPr>
          <w:rFonts w:ascii="Times New Roman" w:hAnsi="Times New Roman" w:cs="Times New Roman"/>
          <w:i/>
          <w:lang w:eastAsia="lt-LT" w:bidi="lt-LT"/>
        </w:rPr>
        <w:t>perforatum</w:t>
      </w:r>
      <w:proofErr w:type="spellEnd"/>
      <w:r w:rsidRPr="00CE4C3C">
        <w:rPr>
          <w:rFonts w:ascii="Times New Roman" w:hAnsi="Times New Roman" w:cs="Times New Roman"/>
          <w:lang w:eastAsia="lt-LT" w:bidi="lt-LT"/>
        </w:rPr>
        <w:t>) (jų vartojama depresijai ir nerimui gydyti).</w:t>
      </w:r>
    </w:p>
    <w:p w14:paraId="6F2AFF49" w14:textId="77777777" w:rsidR="007B4CBC" w:rsidRPr="00CE4C3C" w:rsidRDefault="007B4CBC" w:rsidP="00CE4C3C">
      <w:pPr>
        <w:numPr>
          <w:ilvl w:val="12"/>
          <w:numId w:val="0"/>
        </w:numPr>
        <w:spacing w:line="240" w:lineRule="auto"/>
        <w:ind w:right="-2"/>
        <w:rPr>
          <w:rFonts w:ascii="Times New Roman" w:hAnsi="Times New Roman" w:cs="Times New Roman"/>
          <w:b/>
          <w:lang w:eastAsia="lt-LT" w:bidi="lt-LT"/>
        </w:rPr>
      </w:pPr>
    </w:p>
    <w:p w14:paraId="5F907B38" w14:textId="77777777" w:rsidR="007B4CBC" w:rsidRPr="00CE4C3C" w:rsidRDefault="007B4CBC" w:rsidP="00CE4C3C">
      <w:pPr>
        <w:numPr>
          <w:ilvl w:val="12"/>
          <w:numId w:val="0"/>
        </w:numPr>
        <w:spacing w:line="240" w:lineRule="auto"/>
        <w:ind w:right="-2"/>
        <w:rPr>
          <w:rFonts w:ascii="Times New Roman" w:hAnsi="Times New Roman" w:cs="Times New Roman"/>
          <w:b/>
          <w:lang w:eastAsia="lt-LT" w:bidi="lt-LT"/>
        </w:rPr>
      </w:pPr>
      <w:r w:rsidRPr="00CE4C3C">
        <w:rPr>
          <w:rFonts w:ascii="Times New Roman" w:hAnsi="Times New Roman" w:cs="Times New Roman"/>
          <w:b/>
          <w:lang w:eastAsia="lt-LT" w:bidi="lt-LT"/>
        </w:rPr>
        <w:t>Klertis</w:t>
      </w:r>
      <w:r w:rsidRPr="00CE4C3C">
        <w:rPr>
          <w:rFonts w:ascii="Times New Roman" w:hAnsi="Times New Roman" w:cs="Times New Roman"/>
          <w:lang w:eastAsia="lt-LT" w:bidi="lt-LT"/>
        </w:rPr>
        <w:t xml:space="preserve"> </w:t>
      </w:r>
      <w:r w:rsidRPr="00CE4C3C">
        <w:rPr>
          <w:rFonts w:ascii="Times New Roman" w:hAnsi="Times New Roman" w:cs="Times New Roman"/>
          <w:b/>
          <w:lang w:eastAsia="lt-LT" w:bidi="lt-LT"/>
        </w:rPr>
        <w:t>vartojimas su maistu ir gėrimais</w:t>
      </w:r>
    </w:p>
    <w:p w14:paraId="44D3FC2B" w14:textId="77777777" w:rsidR="007B4CBC" w:rsidRPr="00CE4C3C" w:rsidRDefault="007B4CBC" w:rsidP="00CE4C3C">
      <w:pPr>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lang w:eastAsia="lt-LT" w:bidi="lt-LT"/>
        </w:rPr>
        <w:t>Gydymo Klertis metu reikia vengti gerti greipfrutų sulčių.</w:t>
      </w:r>
    </w:p>
    <w:p w14:paraId="137DDBE2" w14:textId="77777777" w:rsidR="007B4CBC" w:rsidRPr="00CE4C3C" w:rsidRDefault="007B4CBC" w:rsidP="00CE4C3C">
      <w:pPr>
        <w:numPr>
          <w:ilvl w:val="12"/>
          <w:numId w:val="0"/>
        </w:numPr>
        <w:spacing w:line="240" w:lineRule="auto"/>
        <w:ind w:right="-2"/>
        <w:outlineLvl w:val="0"/>
        <w:rPr>
          <w:rFonts w:ascii="Times New Roman" w:hAnsi="Times New Roman" w:cs="Times New Roman"/>
          <w:b/>
          <w:lang w:eastAsia="lt-LT" w:bidi="lt-LT"/>
        </w:rPr>
      </w:pPr>
    </w:p>
    <w:p w14:paraId="5E6933E8" w14:textId="77777777" w:rsidR="007B4CBC" w:rsidRPr="00CE4C3C" w:rsidRDefault="007B4CBC" w:rsidP="00CE4C3C">
      <w:pPr>
        <w:numPr>
          <w:ilvl w:val="12"/>
          <w:numId w:val="0"/>
        </w:numPr>
        <w:spacing w:line="240" w:lineRule="auto"/>
        <w:ind w:right="-2"/>
        <w:outlineLvl w:val="0"/>
        <w:rPr>
          <w:rFonts w:ascii="Times New Roman" w:hAnsi="Times New Roman" w:cs="Times New Roman"/>
          <w:b/>
          <w:lang w:eastAsia="lt-LT" w:bidi="lt-LT"/>
        </w:rPr>
      </w:pPr>
      <w:r w:rsidRPr="00CE4C3C">
        <w:rPr>
          <w:rFonts w:ascii="Times New Roman" w:hAnsi="Times New Roman" w:cs="Times New Roman"/>
          <w:b/>
          <w:lang w:eastAsia="lt-LT" w:bidi="lt-LT"/>
        </w:rPr>
        <w:t xml:space="preserve">Nėštumas ir žindymo laikotarpis </w:t>
      </w:r>
    </w:p>
    <w:p w14:paraId="04F93E13" w14:textId="77777777" w:rsidR="007B4CBC" w:rsidRPr="00CE4C3C" w:rsidRDefault="007B4CBC" w:rsidP="00CE4C3C">
      <w:pPr>
        <w:numPr>
          <w:ilvl w:val="12"/>
          <w:numId w:val="0"/>
        </w:numPr>
        <w:spacing w:line="240" w:lineRule="auto"/>
        <w:rPr>
          <w:rFonts w:ascii="Times New Roman" w:hAnsi="Times New Roman" w:cs="Times New Roman"/>
          <w:lang w:eastAsia="lt-LT" w:bidi="lt-LT"/>
        </w:rPr>
      </w:pPr>
      <w:r w:rsidRPr="00CE4C3C">
        <w:rPr>
          <w:rFonts w:ascii="Times New Roman" w:hAnsi="Times New Roman" w:cs="Times New Roman"/>
          <w:lang w:eastAsia="lt-LT" w:bidi="lt-LT"/>
        </w:rPr>
        <w:t>Jeigu esate nėščia, žindote kūdikį, manote, kad galbūt esate nėščia arba planuojate pastoti, tai prieš vartodama šį vaistą pasitarkite su gydytoju arba vaistininku.</w:t>
      </w:r>
    </w:p>
    <w:p w14:paraId="68CF1CDE" w14:textId="77777777" w:rsidR="007B4CBC" w:rsidRPr="00CE4C3C" w:rsidRDefault="007B4CBC" w:rsidP="00CE4C3C">
      <w:pPr>
        <w:numPr>
          <w:ilvl w:val="12"/>
          <w:numId w:val="0"/>
        </w:numPr>
        <w:spacing w:line="240" w:lineRule="auto"/>
        <w:rPr>
          <w:rFonts w:ascii="Times New Roman" w:hAnsi="Times New Roman" w:cs="Times New Roman"/>
          <w:lang w:eastAsia="lt-LT" w:bidi="lt-LT"/>
        </w:rPr>
      </w:pPr>
    </w:p>
    <w:p w14:paraId="6C9352CD" w14:textId="77777777" w:rsidR="007B4CBC" w:rsidRPr="00CE4C3C" w:rsidRDefault="007B4CBC" w:rsidP="00CE4C3C">
      <w:pPr>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lang w:eastAsia="lt-LT" w:bidi="lt-LT"/>
        </w:rPr>
        <w:t>Jeigu galite pastoti, gydymo Klertis metu turite naudoti veiksmingą kontracepcijos metodą.</w:t>
      </w:r>
    </w:p>
    <w:p w14:paraId="6ADC80B9" w14:textId="77777777" w:rsidR="007B4CBC" w:rsidRPr="00CE4C3C" w:rsidRDefault="007B4CBC" w:rsidP="00CE4C3C">
      <w:pPr>
        <w:numPr>
          <w:ilvl w:val="12"/>
          <w:numId w:val="0"/>
        </w:numPr>
        <w:spacing w:line="240" w:lineRule="auto"/>
        <w:ind w:right="-2"/>
        <w:outlineLvl w:val="0"/>
        <w:rPr>
          <w:rFonts w:ascii="Times New Roman" w:hAnsi="Times New Roman" w:cs="Times New Roman"/>
          <w:lang w:eastAsia="lt-LT" w:bidi="lt-LT"/>
        </w:rPr>
      </w:pPr>
    </w:p>
    <w:p w14:paraId="28433BF5" w14:textId="77777777" w:rsidR="007B4CBC" w:rsidRPr="00CE4C3C" w:rsidRDefault="007B4CBC" w:rsidP="00CE4C3C">
      <w:pPr>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lang w:eastAsia="lt-LT" w:bidi="lt-LT"/>
        </w:rPr>
        <w:t>Jeigu žindote kūdikį, apie tai pasakykite gydytojui. Gydymo Klertis metu žindyti negalima.</w:t>
      </w:r>
    </w:p>
    <w:p w14:paraId="365FFE7F" w14:textId="77777777" w:rsidR="007B4CBC" w:rsidRPr="00CE4C3C" w:rsidRDefault="007B4CBC" w:rsidP="00CE4C3C">
      <w:pPr>
        <w:numPr>
          <w:ilvl w:val="12"/>
          <w:numId w:val="0"/>
        </w:numPr>
        <w:spacing w:line="240" w:lineRule="auto"/>
        <w:ind w:right="-2"/>
        <w:outlineLvl w:val="0"/>
        <w:rPr>
          <w:rFonts w:ascii="Times New Roman" w:hAnsi="Times New Roman" w:cs="Times New Roman"/>
          <w:b/>
          <w:lang w:eastAsia="lt-LT" w:bidi="lt-LT"/>
        </w:rPr>
      </w:pPr>
    </w:p>
    <w:p w14:paraId="1BB31579" w14:textId="77777777" w:rsidR="007B4CBC" w:rsidRPr="00CE4C3C" w:rsidRDefault="007B4CBC" w:rsidP="00CE4C3C">
      <w:pPr>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b/>
          <w:lang w:eastAsia="lt-LT" w:bidi="lt-LT"/>
        </w:rPr>
        <w:t>Vairavimas ir mechanizmų valdymas</w:t>
      </w:r>
    </w:p>
    <w:p w14:paraId="404B7370" w14:textId="77777777" w:rsidR="007B4CBC" w:rsidRPr="00CE4C3C" w:rsidRDefault="007B4CBC" w:rsidP="00CE4C3C">
      <w:pPr>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lang w:eastAsia="lt-LT" w:bidi="lt-LT"/>
        </w:rPr>
        <w:t>Jeigu jaučiate svaigulį arba neįprastą nuovargį, vairuokite ir mechanizmus valdykite itin atsargiai.</w:t>
      </w:r>
    </w:p>
    <w:p w14:paraId="2998572C" w14:textId="77777777" w:rsidR="007B4CBC" w:rsidRPr="00CE4C3C" w:rsidRDefault="007B4CBC" w:rsidP="00CE4C3C">
      <w:pPr>
        <w:numPr>
          <w:ilvl w:val="12"/>
          <w:numId w:val="0"/>
        </w:numPr>
        <w:spacing w:line="240" w:lineRule="auto"/>
        <w:ind w:right="-2"/>
        <w:outlineLvl w:val="0"/>
        <w:rPr>
          <w:rFonts w:ascii="Times New Roman" w:hAnsi="Times New Roman" w:cs="Times New Roman"/>
          <w:lang w:eastAsia="lt-LT" w:bidi="lt-LT"/>
        </w:rPr>
      </w:pPr>
    </w:p>
    <w:p w14:paraId="5454F166" w14:textId="77777777" w:rsidR="007B4CBC" w:rsidRPr="00CE4C3C" w:rsidRDefault="007B4CBC" w:rsidP="00CE4C3C">
      <w:pPr>
        <w:numPr>
          <w:ilvl w:val="12"/>
          <w:numId w:val="0"/>
        </w:numPr>
        <w:tabs>
          <w:tab w:val="left" w:pos="1296"/>
        </w:tabs>
        <w:spacing w:line="240" w:lineRule="auto"/>
        <w:ind w:right="-2"/>
        <w:outlineLvl w:val="0"/>
        <w:rPr>
          <w:rFonts w:ascii="Times New Roman" w:hAnsi="Times New Roman" w:cs="Times New Roman"/>
          <w:b/>
          <w:color w:val="000000"/>
          <w:lang w:eastAsia="lt-LT" w:bidi="lt-LT"/>
        </w:rPr>
      </w:pPr>
      <w:r w:rsidRPr="00CE4C3C">
        <w:rPr>
          <w:rFonts w:ascii="Times New Roman" w:hAnsi="Times New Roman" w:cs="Times New Roman"/>
          <w:b/>
          <w:lang w:eastAsia="lt-LT" w:bidi="lt-LT"/>
        </w:rPr>
        <w:t xml:space="preserve">Klertis sudėtyje yra </w:t>
      </w:r>
      <w:r w:rsidRPr="00CE4C3C">
        <w:rPr>
          <w:rFonts w:ascii="Times New Roman" w:hAnsi="Times New Roman" w:cs="Times New Roman"/>
          <w:b/>
          <w:color w:val="000000"/>
          <w:lang w:eastAsia="lt-LT" w:bidi="lt-LT"/>
        </w:rPr>
        <w:t>natrio</w:t>
      </w:r>
    </w:p>
    <w:p w14:paraId="59BDBBA8" w14:textId="77777777" w:rsidR="007B4CBC" w:rsidRPr="00CE4C3C" w:rsidRDefault="007B4CBC" w:rsidP="00CE4C3C">
      <w:pPr>
        <w:numPr>
          <w:ilvl w:val="12"/>
          <w:numId w:val="0"/>
        </w:numPr>
        <w:tabs>
          <w:tab w:val="left" w:pos="1296"/>
        </w:tabs>
        <w:spacing w:line="240" w:lineRule="auto"/>
        <w:ind w:right="-2"/>
        <w:outlineLvl w:val="0"/>
        <w:rPr>
          <w:rFonts w:ascii="Times New Roman" w:hAnsi="Times New Roman" w:cs="Times New Roman"/>
          <w:color w:val="000000"/>
          <w:lang w:eastAsia="lt-LT" w:bidi="lt-LT"/>
        </w:rPr>
      </w:pPr>
      <w:r w:rsidRPr="00CE4C3C">
        <w:rPr>
          <w:rFonts w:ascii="Times New Roman" w:hAnsi="Times New Roman" w:cs="Times New Roman"/>
          <w:lang w:eastAsia="lt-LT" w:bidi="lt-LT"/>
        </w:rPr>
        <w:t>Šio vaisto vienoje kietojoje kapsulėje yra mažiau kaip 1 </w:t>
      </w:r>
      <w:proofErr w:type="spellStart"/>
      <w:r w:rsidRPr="00CE4C3C">
        <w:rPr>
          <w:rFonts w:ascii="Times New Roman" w:hAnsi="Times New Roman" w:cs="Times New Roman"/>
          <w:lang w:eastAsia="lt-LT" w:bidi="lt-LT"/>
        </w:rPr>
        <w:t>mmol</w:t>
      </w:r>
      <w:proofErr w:type="spellEnd"/>
      <w:r w:rsidRPr="00CE4C3C">
        <w:rPr>
          <w:rFonts w:ascii="Times New Roman" w:hAnsi="Times New Roman" w:cs="Times New Roman"/>
          <w:lang w:eastAsia="lt-LT" w:bidi="lt-LT"/>
        </w:rPr>
        <w:t xml:space="preserve"> (23 mg) natrio, t. y. jis beveik neturi reikšmės.</w:t>
      </w:r>
    </w:p>
    <w:p w14:paraId="5ED5018F" w14:textId="77777777" w:rsidR="007B4CBC" w:rsidRPr="00CE4C3C" w:rsidRDefault="007B4CBC" w:rsidP="00CE4C3C">
      <w:pPr>
        <w:numPr>
          <w:ilvl w:val="12"/>
          <w:numId w:val="0"/>
        </w:numPr>
        <w:spacing w:line="240" w:lineRule="auto"/>
        <w:ind w:right="-2"/>
        <w:outlineLvl w:val="0"/>
        <w:rPr>
          <w:rFonts w:ascii="Times New Roman" w:hAnsi="Times New Roman" w:cs="Times New Roman"/>
          <w:lang w:eastAsia="lt-LT" w:bidi="lt-LT"/>
        </w:rPr>
      </w:pPr>
    </w:p>
    <w:p w14:paraId="2CA9A983" w14:textId="77777777" w:rsidR="007B4CBC" w:rsidRPr="00CE4C3C" w:rsidRDefault="007B4CBC" w:rsidP="00CE4C3C">
      <w:pPr>
        <w:numPr>
          <w:ilvl w:val="12"/>
          <w:numId w:val="0"/>
        </w:numPr>
        <w:spacing w:line="240" w:lineRule="auto"/>
        <w:ind w:right="-2"/>
        <w:outlineLvl w:val="0"/>
        <w:rPr>
          <w:rFonts w:ascii="Times New Roman" w:hAnsi="Times New Roman" w:cs="Times New Roman"/>
          <w:lang w:eastAsia="lt-LT" w:bidi="lt-LT"/>
        </w:rPr>
      </w:pPr>
    </w:p>
    <w:p w14:paraId="03D8C2E9" w14:textId="77777777" w:rsidR="007B4CBC" w:rsidRPr="00CE4C3C" w:rsidRDefault="007B4CBC" w:rsidP="00CE4C3C">
      <w:pPr>
        <w:keepNext/>
        <w:numPr>
          <w:ilvl w:val="0"/>
          <w:numId w:val="13"/>
        </w:numPr>
        <w:tabs>
          <w:tab w:val="left" w:pos="567"/>
        </w:tabs>
        <w:spacing w:line="240" w:lineRule="auto"/>
        <w:ind w:left="567" w:right="-2"/>
        <w:rPr>
          <w:rFonts w:ascii="Times New Roman" w:hAnsi="Times New Roman" w:cs="Times New Roman"/>
          <w:b/>
          <w:lang w:eastAsia="lt-LT" w:bidi="lt-LT"/>
        </w:rPr>
      </w:pPr>
      <w:r w:rsidRPr="00CE4C3C">
        <w:rPr>
          <w:rFonts w:ascii="Times New Roman" w:hAnsi="Times New Roman" w:cs="Times New Roman"/>
          <w:b/>
          <w:lang w:eastAsia="lt-LT" w:bidi="lt-LT"/>
        </w:rPr>
        <w:t>Kaip vartoti Klertis</w:t>
      </w:r>
    </w:p>
    <w:p w14:paraId="2DBA2097" w14:textId="77777777" w:rsidR="007B4CBC" w:rsidRPr="00CE4C3C" w:rsidRDefault="007B4CBC" w:rsidP="00CE4C3C">
      <w:pPr>
        <w:keepNext/>
        <w:numPr>
          <w:ilvl w:val="12"/>
          <w:numId w:val="0"/>
        </w:numPr>
        <w:spacing w:line="240" w:lineRule="auto"/>
        <w:ind w:right="-2"/>
        <w:rPr>
          <w:rFonts w:ascii="Times New Roman" w:hAnsi="Times New Roman" w:cs="Times New Roman"/>
          <w:lang w:eastAsia="lt-LT" w:bidi="lt-LT"/>
        </w:rPr>
      </w:pPr>
    </w:p>
    <w:p w14:paraId="58810052"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Visada vartokite šį vaistą tiksliai kaip nurodė gydytojas. Jeigu abejojate, kreipkitės į gydytoją.</w:t>
      </w:r>
    </w:p>
    <w:p w14:paraId="67F61DDB"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67E4531E"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Jums reikiamą dozę paskirs gydytojas, atsižvelgdamas į gydomo vėžio tipą. Jeigu esate gydomi nuo:</w:t>
      </w:r>
    </w:p>
    <w:p w14:paraId="3D5589B4"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lastRenderedPageBreak/>
        <w:t>VTSN arba MILK, rekomenduojama dozė yra 50 mg vieną kartą per parą, tokią dozę reikia vartoti per burną 28 dienas (4 savaites) ir po to daryti 14 dienų (2 savaičių) pertrauką (vaisto nevartoti), 6 savaičių ciklais;</w:t>
      </w:r>
    </w:p>
    <w:p w14:paraId="15909622"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proofErr w:type="spellStart"/>
      <w:r w:rsidRPr="00CE4C3C">
        <w:rPr>
          <w:rFonts w:ascii="Times New Roman" w:hAnsi="Times New Roman" w:cs="Times New Roman"/>
          <w:lang w:eastAsia="lt-LT" w:bidi="lt-LT"/>
        </w:rPr>
        <w:t>kNEN</w:t>
      </w:r>
      <w:proofErr w:type="spellEnd"/>
      <w:r w:rsidRPr="00CE4C3C">
        <w:rPr>
          <w:rFonts w:ascii="Times New Roman" w:hAnsi="Times New Roman" w:cs="Times New Roman"/>
          <w:lang w:eastAsia="lt-LT" w:bidi="lt-LT"/>
        </w:rPr>
        <w:t>, rekomenduojama dozė yra 37,5 mg vieną kartą per parą be pertraukos.</w:t>
      </w:r>
    </w:p>
    <w:p w14:paraId="66DC64B9"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30110D43"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Gydytojas nurodys Jums tinkamą dozę ir kada reikia nutraukti gydymą Klertis.</w:t>
      </w:r>
    </w:p>
    <w:p w14:paraId="19368714"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5BE8C588"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Klertis galima vartoti valgant arba nevalgius.</w:t>
      </w:r>
    </w:p>
    <w:p w14:paraId="0BEEE640"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6703D1AE" w14:textId="16186FBA" w:rsidR="007B4CBC" w:rsidRPr="00CE4C3C" w:rsidRDefault="007B4CBC" w:rsidP="00CE4C3C">
      <w:pPr>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b/>
          <w:lang w:eastAsia="lt-LT" w:bidi="lt-LT"/>
        </w:rPr>
        <w:t>Ką daryti pavartojus per didelę Klertis</w:t>
      </w:r>
      <w:r w:rsidRPr="00CE4C3C">
        <w:rPr>
          <w:rFonts w:ascii="Times New Roman" w:hAnsi="Times New Roman" w:cs="Times New Roman"/>
          <w:lang w:eastAsia="lt-LT" w:bidi="lt-LT"/>
        </w:rPr>
        <w:t xml:space="preserve"> </w:t>
      </w:r>
      <w:r w:rsidRPr="00CE4C3C">
        <w:rPr>
          <w:rFonts w:ascii="Times New Roman" w:hAnsi="Times New Roman" w:cs="Times New Roman"/>
          <w:b/>
          <w:lang w:eastAsia="lt-LT" w:bidi="lt-LT"/>
        </w:rPr>
        <w:t>dozę</w:t>
      </w:r>
    </w:p>
    <w:p w14:paraId="188FF567" w14:textId="77777777" w:rsidR="007B4CBC" w:rsidRPr="00CE4C3C" w:rsidRDefault="007B4CBC" w:rsidP="00CE4C3C">
      <w:pPr>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lang w:eastAsia="lt-LT" w:bidi="lt-LT"/>
        </w:rPr>
        <w:t xml:space="preserve">Jeigu atsitiktinai išgėrėte per daug kapsulių, apie tai </w:t>
      </w:r>
      <w:r w:rsidRPr="00CE4C3C">
        <w:rPr>
          <w:rFonts w:ascii="Times New Roman" w:hAnsi="Times New Roman" w:cs="Times New Roman"/>
          <w:bCs/>
          <w:lang w:eastAsia="lt-LT" w:bidi="lt-LT"/>
        </w:rPr>
        <w:t>nedelsdami</w:t>
      </w:r>
      <w:r w:rsidRPr="00CE4C3C">
        <w:rPr>
          <w:rFonts w:ascii="Times New Roman" w:hAnsi="Times New Roman" w:cs="Times New Roman"/>
          <w:lang w:eastAsia="lt-LT" w:bidi="lt-LT"/>
        </w:rPr>
        <w:t xml:space="preserve"> pasakykite gydytojui. Jums gali prireikti medicininės pagalbos.</w:t>
      </w:r>
    </w:p>
    <w:p w14:paraId="65C62730" w14:textId="77777777" w:rsidR="007B4CBC" w:rsidRPr="00CE4C3C" w:rsidRDefault="007B4CBC" w:rsidP="00CE4C3C">
      <w:pPr>
        <w:numPr>
          <w:ilvl w:val="12"/>
          <w:numId w:val="0"/>
        </w:numPr>
        <w:spacing w:line="240" w:lineRule="auto"/>
        <w:ind w:right="-2"/>
        <w:outlineLvl w:val="0"/>
        <w:rPr>
          <w:rFonts w:ascii="Times New Roman" w:hAnsi="Times New Roman" w:cs="Times New Roman"/>
          <w:lang w:eastAsia="lt-LT" w:bidi="lt-LT"/>
        </w:rPr>
      </w:pPr>
    </w:p>
    <w:p w14:paraId="7DDA542B" w14:textId="77777777" w:rsidR="007B4CBC" w:rsidRPr="00CE4C3C" w:rsidRDefault="007B4CBC" w:rsidP="00CE4C3C">
      <w:pPr>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b/>
          <w:lang w:eastAsia="lt-LT" w:bidi="lt-LT"/>
        </w:rPr>
        <w:t>Pamiršus pavartoti Klertis</w:t>
      </w:r>
    </w:p>
    <w:p w14:paraId="3BDBFFDD"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Negalima vartoti dvigubos dozės norint kompensuoti praleistą dozę.</w:t>
      </w:r>
    </w:p>
    <w:p w14:paraId="01F3A013"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7A50A3C2" w14:textId="77777777" w:rsidR="007B4CBC" w:rsidRPr="00CE4C3C" w:rsidRDefault="007B4CBC" w:rsidP="00CE4C3C">
      <w:pPr>
        <w:numPr>
          <w:ilvl w:val="12"/>
          <w:numId w:val="0"/>
        </w:numPr>
        <w:spacing w:line="240" w:lineRule="auto"/>
        <w:rPr>
          <w:rFonts w:ascii="Times New Roman" w:hAnsi="Times New Roman" w:cs="Times New Roman"/>
          <w:lang w:eastAsia="lt-LT" w:bidi="lt-LT"/>
        </w:rPr>
      </w:pPr>
    </w:p>
    <w:p w14:paraId="02A745CA" w14:textId="77777777" w:rsidR="007B4CBC" w:rsidRPr="00CE4C3C" w:rsidRDefault="007B4CBC" w:rsidP="00CE4C3C">
      <w:pPr>
        <w:keepNext/>
        <w:numPr>
          <w:ilvl w:val="0"/>
          <w:numId w:val="13"/>
        </w:numPr>
        <w:tabs>
          <w:tab w:val="left" w:pos="567"/>
        </w:tabs>
        <w:spacing w:line="240" w:lineRule="auto"/>
        <w:ind w:left="567" w:right="-2"/>
        <w:rPr>
          <w:rFonts w:ascii="Times New Roman" w:hAnsi="Times New Roman" w:cs="Times New Roman"/>
          <w:lang w:eastAsia="lt-LT" w:bidi="lt-LT"/>
        </w:rPr>
      </w:pPr>
      <w:r w:rsidRPr="00CE4C3C">
        <w:rPr>
          <w:rFonts w:ascii="Times New Roman" w:hAnsi="Times New Roman" w:cs="Times New Roman"/>
          <w:b/>
          <w:lang w:eastAsia="lt-LT" w:bidi="lt-LT"/>
        </w:rPr>
        <w:t>Galimas šalutinis poveikis</w:t>
      </w:r>
    </w:p>
    <w:p w14:paraId="662D079C" w14:textId="77777777" w:rsidR="007B4CBC" w:rsidRPr="00CE4C3C" w:rsidRDefault="007B4CBC" w:rsidP="00CE4C3C">
      <w:pPr>
        <w:keepNext/>
        <w:numPr>
          <w:ilvl w:val="12"/>
          <w:numId w:val="0"/>
        </w:numPr>
        <w:spacing w:line="240" w:lineRule="auto"/>
        <w:rPr>
          <w:rFonts w:ascii="Times New Roman" w:hAnsi="Times New Roman" w:cs="Times New Roman"/>
          <w:lang w:eastAsia="lt-LT" w:bidi="lt-LT"/>
        </w:rPr>
      </w:pPr>
    </w:p>
    <w:p w14:paraId="6889D279" w14:textId="77777777" w:rsidR="007B4CBC" w:rsidRPr="00CE4C3C" w:rsidRDefault="007B4CBC" w:rsidP="00CE4C3C">
      <w:pPr>
        <w:numPr>
          <w:ilvl w:val="12"/>
          <w:numId w:val="0"/>
        </w:numPr>
        <w:spacing w:line="240" w:lineRule="auto"/>
        <w:ind w:right="-29"/>
        <w:rPr>
          <w:rFonts w:ascii="Times New Roman" w:hAnsi="Times New Roman" w:cs="Times New Roman"/>
          <w:lang w:eastAsia="lt-LT" w:bidi="lt-LT"/>
        </w:rPr>
      </w:pPr>
      <w:r w:rsidRPr="00CE4C3C">
        <w:rPr>
          <w:rFonts w:ascii="Times New Roman" w:hAnsi="Times New Roman" w:cs="Times New Roman"/>
          <w:lang w:eastAsia="lt-LT" w:bidi="lt-LT"/>
        </w:rPr>
        <w:t>Šis vaistas, kaip ir visi kiti, gali sukelti šalutinį poveikį, nors jis pasireiškia ne visiems žmonėms.</w:t>
      </w:r>
    </w:p>
    <w:p w14:paraId="0A5C64E5" w14:textId="77777777" w:rsidR="007B4CBC" w:rsidRPr="00CE4C3C" w:rsidRDefault="007B4CBC" w:rsidP="00CE4C3C">
      <w:pPr>
        <w:numPr>
          <w:ilvl w:val="12"/>
          <w:numId w:val="0"/>
        </w:numPr>
        <w:spacing w:line="240" w:lineRule="auto"/>
        <w:ind w:right="-29"/>
        <w:rPr>
          <w:rFonts w:ascii="Times New Roman" w:hAnsi="Times New Roman" w:cs="Times New Roman"/>
          <w:lang w:eastAsia="lt-LT" w:bidi="lt-LT"/>
        </w:rPr>
      </w:pPr>
    </w:p>
    <w:p w14:paraId="15975F1D"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u w:val="single"/>
          <w:lang w:eastAsia="lt-LT" w:bidi="lt-LT"/>
        </w:rPr>
        <w:t>Turite nedelsdami kreiptis į gydytoją</w:t>
      </w:r>
      <w:r w:rsidRPr="00CE4C3C">
        <w:rPr>
          <w:rFonts w:ascii="Times New Roman" w:hAnsi="Times New Roman" w:cs="Times New Roman"/>
          <w:lang w:eastAsia="lt-LT" w:bidi="lt-LT"/>
        </w:rPr>
        <w:t>, jeigu pasireiškia bet koks sunkus šalutinis poveikis (taip pat žr. ,,Kas žinotina prieš vartojant Klertis“).</w:t>
      </w:r>
    </w:p>
    <w:p w14:paraId="6B289EAB"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105BFCBC"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b/>
          <w:lang w:eastAsia="lt-LT" w:bidi="lt-LT"/>
        </w:rPr>
        <w:t>Širdies sutrikimai</w:t>
      </w:r>
      <w:r w:rsidRPr="00CE4C3C">
        <w:rPr>
          <w:rFonts w:ascii="Times New Roman" w:hAnsi="Times New Roman" w:cs="Times New Roman"/>
          <w:lang w:eastAsia="lt-LT" w:bidi="lt-LT"/>
        </w:rPr>
        <w:t>. Pasakykite gydytojui, jeigu jaučiate stiprų nuovargį, pasunkėja kvėpavimas arba patinsta pėdos ir kulkšnys. Tai gali būti širdies sutrikimo, įskaitant širdies nepakankamumą ir širdies raumens sutrikimus (kardiomiopatiją) simptomai.</w:t>
      </w:r>
    </w:p>
    <w:p w14:paraId="33FB8074"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527BB8E8"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b/>
          <w:lang w:eastAsia="lt-LT" w:bidi="lt-LT"/>
        </w:rPr>
        <w:t>Plaučių arba kvėpavimo sutrikimai</w:t>
      </w:r>
      <w:r w:rsidRPr="00CE4C3C">
        <w:rPr>
          <w:rFonts w:ascii="Times New Roman" w:hAnsi="Times New Roman" w:cs="Times New Roman"/>
          <w:lang w:eastAsia="lt-LT" w:bidi="lt-LT"/>
        </w:rPr>
        <w:t>. Pasakykite gydytojui, jeigu pasireiškia kosulys, krūtinės skausmas, staiga atsiradęs dusulys arba atkosite kraujo. Tai gali būti būklės, kuri yra vadinama plaučių embolija ir pasireiškia dėl kraujo krešulių patekimo į plaučius, simptomai.</w:t>
      </w:r>
    </w:p>
    <w:p w14:paraId="6F718328"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70C17E6E"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b/>
          <w:lang w:eastAsia="lt-LT" w:bidi="lt-LT"/>
        </w:rPr>
        <w:t>Inkstų sutrikimai</w:t>
      </w:r>
      <w:r w:rsidRPr="00CE4C3C">
        <w:rPr>
          <w:rFonts w:ascii="Times New Roman" w:hAnsi="Times New Roman" w:cs="Times New Roman"/>
          <w:lang w:eastAsia="lt-LT" w:bidi="lt-LT"/>
        </w:rPr>
        <w:t>. Pasakykite gydytojui, jeigu pakito šlapinimosi dažnis arba nesišlapinate; tai gali būti inkstų nepakankamumo simptomai.</w:t>
      </w:r>
    </w:p>
    <w:p w14:paraId="4A1C2730"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35184590"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b/>
          <w:lang w:eastAsia="lt-LT" w:bidi="lt-LT"/>
        </w:rPr>
        <w:t>Kraujavimas</w:t>
      </w:r>
      <w:r w:rsidRPr="00CE4C3C">
        <w:rPr>
          <w:rFonts w:ascii="Times New Roman" w:hAnsi="Times New Roman" w:cs="Times New Roman"/>
          <w:lang w:eastAsia="lt-LT" w:bidi="lt-LT"/>
        </w:rPr>
        <w:t xml:space="preserve">. Pasakykite gydytojui, jeigu gydymo Klertis metu pasireiškia kuris nors iš šių simptomų arba sunkus kraujavimas: pilvo skausmas ar patinimas, vėmimas krauju, juodos lipnios išmatos, kruvinas šlapimas, galvos skausmas arba psichinės būklės pokyčiai, kosulys iki kraujo ar kraujingų skreplių atkosėjimo iš plaučių ar kvėpavimo takų. </w:t>
      </w:r>
    </w:p>
    <w:p w14:paraId="7F317914"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27FEF751"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b/>
          <w:lang w:eastAsia="lt-LT" w:bidi="lt-LT"/>
        </w:rPr>
        <w:t>Naviko irimas, dėl kurio atsiranda skylė žarnoje (žarnyno prakiurimas)</w:t>
      </w:r>
      <w:r w:rsidRPr="00CE4C3C">
        <w:rPr>
          <w:rFonts w:ascii="Times New Roman" w:hAnsi="Times New Roman" w:cs="Times New Roman"/>
          <w:lang w:eastAsia="lt-LT" w:bidi="lt-LT"/>
        </w:rPr>
        <w:t>. Pasakykite gydytojui, jeigu pasireiškia stiprus pilvo skausmas, karščiavimas, pykinimas, vėmimas, kraujas išmatose arba atsiranda tuštinimosi pokyčių.</w:t>
      </w:r>
    </w:p>
    <w:p w14:paraId="7B62AC6C"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137DAED0"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Toliau yra išvardytas kitoks šalutinis poveikis, galintis pasireikšti vartojant Klertis.</w:t>
      </w:r>
    </w:p>
    <w:p w14:paraId="57A8138A"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660274E4" w14:textId="4283024B" w:rsidR="007B4CBC" w:rsidRPr="002D191C" w:rsidRDefault="007B4CBC" w:rsidP="00CE4C3C">
      <w:pPr>
        <w:numPr>
          <w:ilvl w:val="12"/>
          <w:numId w:val="0"/>
        </w:numPr>
        <w:spacing w:line="240" w:lineRule="auto"/>
        <w:ind w:right="-2"/>
        <w:rPr>
          <w:rFonts w:ascii="Times New Roman" w:hAnsi="Times New Roman" w:cs="Times New Roman"/>
          <w:b/>
          <w:bCs/>
          <w:lang w:eastAsia="lt-LT" w:bidi="lt-LT"/>
        </w:rPr>
      </w:pPr>
      <w:r w:rsidRPr="002D191C">
        <w:rPr>
          <w:rFonts w:ascii="Times New Roman" w:hAnsi="Times New Roman" w:cs="Times New Roman"/>
          <w:b/>
          <w:bCs/>
          <w:lang w:eastAsia="lt-LT" w:bidi="lt-LT"/>
        </w:rPr>
        <w:t xml:space="preserve">Labai </w:t>
      </w:r>
      <w:r w:rsidR="00B112E3" w:rsidRPr="007F608C">
        <w:rPr>
          <w:rFonts w:ascii="Times New Roman" w:eastAsia="Times New Roman" w:hAnsi="Times New Roman" w:cs="Times New Roman"/>
          <w:b/>
          <w:bCs/>
          <w:noProof/>
          <w:snapToGrid w:val="0"/>
        </w:rPr>
        <w:t>dažni šalutinio poveikio reiškiniai (gali pasireikšti ne rečiau kaip 1 iš 10 asmenų):</w:t>
      </w:r>
    </w:p>
    <w:p w14:paraId="074B2DEA" w14:textId="7772B86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 xml:space="preserve">kraujo plokštelių (trombocitų), raudonųjų kraujo ląstelių ir (arba) baltųjų kraujo ląstelių (pvz., </w:t>
      </w:r>
      <w:proofErr w:type="spellStart"/>
      <w:r w:rsidRPr="00CE4C3C">
        <w:rPr>
          <w:rFonts w:ascii="Times New Roman" w:hAnsi="Times New Roman" w:cs="Times New Roman"/>
          <w:lang w:eastAsia="lt-LT" w:bidi="lt-LT"/>
        </w:rPr>
        <w:t>neutrofilų</w:t>
      </w:r>
      <w:proofErr w:type="spellEnd"/>
      <w:r w:rsidRPr="00CE4C3C">
        <w:rPr>
          <w:rFonts w:ascii="Times New Roman" w:hAnsi="Times New Roman" w:cs="Times New Roman"/>
          <w:lang w:eastAsia="lt-LT" w:bidi="lt-LT"/>
        </w:rPr>
        <w:t xml:space="preserve">) </w:t>
      </w:r>
      <w:r w:rsidR="001C55F9">
        <w:rPr>
          <w:rFonts w:ascii="Times New Roman" w:hAnsi="Times New Roman" w:cs="Times New Roman"/>
          <w:lang w:eastAsia="lt-LT" w:bidi="lt-LT"/>
        </w:rPr>
        <w:t>skaičiaus</w:t>
      </w:r>
      <w:r w:rsidR="001C55F9" w:rsidRPr="00CE4C3C">
        <w:rPr>
          <w:rFonts w:ascii="Times New Roman" w:hAnsi="Times New Roman" w:cs="Times New Roman"/>
          <w:lang w:eastAsia="lt-LT" w:bidi="lt-LT"/>
        </w:rPr>
        <w:t xml:space="preserve"> </w:t>
      </w:r>
      <w:r w:rsidRPr="00CE4C3C">
        <w:rPr>
          <w:rFonts w:ascii="Times New Roman" w:hAnsi="Times New Roman" w:cs="Times New Roman"/>
          <w:lang w:eastAsia="lt-LT" w:bidi="lt-LT"/>
        </w:rPr>
        <w:t>sumažėjimas;</w:t>
      </w:r>
    </w:p>
    <w:p w14:paraId="6A2D30BD"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 xml:space="preserve">dusulys; </w:t>
      </w:r>
    </w:p>
    <w:p w14:paraId="62B3AE7B"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aukštas kraujospūdis;</w:t>
      </w:r>
    </w:p>
    <w:p w14:paraId="22398D23"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labai didelis nuovargis, jėgų stoka;</w:t>
      </w:r>
    </w:p>
    <w:p w14:paraId="14E83323"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audinių patinimas dėl po oda ir aplink akis susikaupusio skysčio, gilus alerginis išbėrimas;</w:t>
      </w:r>
    </w:p>
    <w:p w14:paraId="2AFE7AC4"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burnos skausmas ir (arba) dirginimas, burnos išopėjimas, uždegimas ir (arba) džiūvimas, skonio pojūčio sutrikimai, skrandžio veiklos sutrikimas, pykinimas, vėmimas, viduriavimas, vidurių užkietėjimas, pilvo skausmas ir (arba) pabrinkimas, apetito nebuvimas ar sumažėjimas;</w:t>
      </w:r>
    </w:p>
    <w:p w14:paraId="7FB87BC1"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susilpnėjusi skydliaukės veikla (</w:t>
      </w:r>
      <w:proofErr w:type="spellStart"/>
      <w:r w:rsidRPr="00CE4C3C">
        <w:rPr>
          <w:rFonts w:ascii="Times New Roman" w:hAnsi="Times New Roman" w:cs="Times New Roman"/>
          <w:lang w:eastAsia="lt-LT" w:bidi="lt-LT"/>
        </w:rPr>
        <w:t>hipotirozė</w:t>
      </w:r>
      <w:proofErr w:type="spellEnd"/>
      <w:r w:rsidRPr="00CE4C3C">
        <w:rPr>
          <w:rFonts w:ascii="Times New Roman" w:hAnsi="Times New Roman" w:cs="Times New Roman"/>
          <w:lang w:eastAsia="lt-LT" w:bidi="lt-LT"/>
        </w:rPr>
        <w:t>);</w:t>
      </w:r>
    </w:p>
    <w:p w14:paraId="6370910C"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lastRenderedPageBreak/>
        <w:t>svaigulys;</w:t>
      </w:r>
    </w:p>
    <w:p w14:paraId="707975F6"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galvos skausmas;</w:t>
      </w:r>
    </w:p>
    <w:p w14:paraId="7EAF6130"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kraujavimas iš nosies;</w:t>
      </w:r>
    </w:p>
    <w:p w14:paraId="29307456"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nugaros skausmas, sąnarių skausmas;</w:t>
      </w:r>
    </w:p>
    <w:p w14:paraId="42EBD17F"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rankų ir kojų skausmas;</w:t>
      </w:r>
    </w:p>
    <w:p w14:paraId="6BD0CF33"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geltona odos spalva arba odos spalvos pokytis, pernelyg didelė odos pigmentacija, plaukų spalvos pokytis, delnų ir pėdų išbėrimas, išbėrimas, odos sausumas;</w:t>
      </w:r>
    </w:p>
    <w:p w14:paraId="44A9BE1B"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kosulys;</w:t>
      </w:r>
    </w:p>
    <w:p w14:paraId="3EEEDEE9"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karščiavimas;</w:t>
      </w:r>
    </w:p>
    <w:p w14:paraId="6CEA66F6"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miego sutrikimas.</w:t>
      </w:r>
    </w:p>
    <w:p w14:paraId="777CCECB"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0A164373" w14:textId="36FBDB47" w:rsidR="007B4CBC" w:rsidRPr="002D191C" w:rsidRDefault="00B112E3" w:rsidP="00CE4C3C">
      <w:pPr>
        <w:numPr>
          <w:ilvl w:val="12"/>
          <w:numId w:val="0"/>
        </w:numPr>
        <w:spacing w:line="240" w:lineRule="auto"/>
        <w:ind w:right="-2"/>
        <w:rPr>
          <w:rFonts w:ascii="Times New Roman" w:hAnsi="Times New Roman" w:cs="Times New Roman"/>
          <w:lang w:eastAsia="lt-LT" w:bidi="lt-LT"/>
        </w:rPr>
      </w:pPr>
      <w:r w:rsidRPr="007F608C">
        <w:rPr>
          <w:rFonts w:ascii="Times New Roman" w:eastAsia="Times New Roman" w:hAnsi="Times New Roman" w:cs="Times New Roman"/>
          <w:b/>
          <w:bCs/>
          <w:noProof/>
          <w:snapToGrid w:val="0"/>
        </w:rPr>
        <w:t>Dažni šalutinio poveikio reiškiniai (gali pasireikšti rečiau kaip 1 iš 10 asmenų):</w:t>
      </w:r>
    </w:p>
    <w:p w14:paraId="13265671"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kraujo krešulių susidarymas kraujagyslėse;</w:t>
      </w:r>
    </w:p>
    <w:p w14:paraId="40CEE15A"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nepakankamas širdies raumens aprūpinimas krauju dėl vainikinių arterijų obstrukcijos ar susiaurėjimo;</w:t>
      </w:r>
    </w:p>
    <w:p w14:paraId="5BA80B4A"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krūtinės skausmas;</w:t>
      </w:r>
    </w:p>
    <w:p w14:paraId="58C60EAB"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sumažėjęs širdies išstumiamo kraujo kiekis;</w:t>
      </w:r>
    </w:p>
    <w:p w14:paraId="412D8878"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skysčių kaupimasis, įskaitant kaupimąsi aplink plaučius;</w:t>
      </w:r>
    </w:p>
    <w:p w14:paraId="0AD92EFA"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infekcinės ligos;</w:t>
      </w:r>
    </w:p>
    <w:p w14:paraId="48EBD5F5"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sunkios infekcinės ligos komplikacija (esant kraujo užkrėtimui), dėl kurios gali būti pažeisti audiniai, pasireikšti organų nepakankamumas ir ištikti mirtis;</w:t>
      </w:r>
    </w:p>
    <w:p w14:paraId="1A7BE721"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sumažėjęs cukraus kiekis kraujyje (žr. 2 skyrių);</w:t>
      </w:r>
    </w:p>
    <w:p w14:paraId="1E5EAFA3"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baltymo netekimas su šlapimu, dėl kurio kartais gali pasireikšti patinimas (edema);</w:t>
      </w:r>
    </w:p>
    <w:p w14:paraId="3184C11B"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į gripą panašus sindromas;</w:t>
      </w:r>
    </w:p>
    <w:p w14:paraId="4CF0E7D3"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nenormalūs kraujo tyrimų rodmenys, įskaitant kasos ir kepenų fermentų rodmenis;</w:t>
      </w:r>
    </w:p>
    <w:p w14:paraId="50FA5A46"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didelis šlapimo rūgšties kiekis kraujyje;</w:t>
      </w:r>
    </w:p>
    <w:p w14:paraId="2F661A5B"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hemorojus, tiesiosios žarnos skausmas, kraujavimas iš dantenų, rijimo pasunkėjimas arba negalėjimas nuryti;</w:t>
      </w:r>
    </w:p>
    <w:p w14:paraId="7B0DD040"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liežuvio deginimas ar skausmingumas, virškinimo trakto gleivinės uždegimas, gausus dujų kaupimasis skrandyje ar žarnose;</w:t>
      </w:r>
    </w:p>
    <w:p w14:paraId="5BFB141F"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kūno svorio sumažėjimas;</w:t>
      </w:r>
    </w:p>
    <w:p w14:paraId="4A3FC041"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skeleto (kaulų) ir raumenų skausmas, raumenų silpnumas, raumenų nuovargis, raumenų skausmas, raumenų spazmai;</w:t>
      </w:r>
    </w:p>
    <w:p w14:paraId="0ABF5309"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nosies džiūvimas, nosies gleivinės paburkimas;</w:t>
      </w:r>
    </w:p>
    <w:p w14:paraId="68E13671"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pernelyg didelis ašarojimas;</w:t>
      </w:r>
    </w:p>
    <w:p w14:paraId="22F27368"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nenormalūs odos jutimai, niežulys, odos pleiskanojimas ir uždegimas, pūslės, spuogai, nagų spalvos pokytis, nuplikimas;</w:t>
      </w:r>
    </w:p>
    <w:p w14:paraId="4A4214E7"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nenormalūs jutimai galūnėse;</w:t>
      </w:r>
    </w:p>
    <w:p w14:paraId="6428BDA1"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nenormaliai sumažėjęs arba padidėjęs jautrumas, ypač lytėjimo;</w:t>
      </w:r>
    </w:p>
    <w:p w14:paraId="09FFAFEB"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rėmuo;</w:t>
      </w:r>
    </w:p>
    <w:p w14:paraId="310C8976"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dehidratacija;</w:t>
      </w:r>
    </w:p>
    <w:p w14:paraId="49024B75"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paraudimas su karščio pojūčiu;</w:t>
      </w:r>
    </w:p>
    <w:p w14:paraId="7815AE4D"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nenormali šlapimo spalva;</w:t>
      </w:r>
    </w:p>
    <w:p w14:paraId="72CCC844"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depresija;</w:t>
      </w:r>
    </w:p>
    <w:p w14:paraId="352BC221"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šaltkrėtis.</w:t>
      </w:r>
    </w:p>
    <w:p w14:paraId="6AC33557"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5DE24423" w14:textId="6DBB3646" w:rsidR="007B4CBC" w:rsidRPr="002D191C" w:rsidRDefault="00B112E3" w:rsidP="00CE4C3C">
      <w:pPr>
        <w:numPr>
          <w:ilvl w:val="12"/>
          <w:numId w:val="0"/>
        </w:numPr>
        <w:spacing w:line="240" w:lineRule="auto"/>
        <w:ind w:right="-2"/>
        <w:rPr>
          <w:rFonts w:ascii="Times New Roman" w:hAnsi="Times New Roman" w:cs="Times New Roman"/>
          <w:lang w:eastAsia="lt-LT" w:bidi="lt-LT"/>
        </w:rPr>
      </w:pPr>
      <w:r w:rsidRPr="002D191C">
        <w:rPr>
          <w:rFonts w:ascii="Times New Roman" w:hAnsi="Times New Roman" w:cs="Times New Roman"/>
          <w:b/>
          <w:bCs/>
          <w:noProof/>
          <w:snapToGrid w:val="0"/>
        </w:rPr>
        <w:t>Nedažni šalutinio poveikio reiškiniai (gali pasireikšti rečiau kaip 1 iš 100 asmenų)</w:t>
      </w:r>
      <w:r w:rsidRPr="002D191C">
        <w:rPr>
          <w:rFonts w:ascii="Times New Roman" w:hAnsi="Times New Roman" w:cs="Times New Roman"/>
          <w:b/>
          <w:bCs/>
          <w:lang w:eastAsia="lt-LT" w:bidi="lt-LT"/>
        </w:rPr>
        <w:t>:</w:t>
      </w:r>
    </w:p>
    <w:p w14:paraId="4C5CE461"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gyvybei pavojinga poodinio audinio, įskaitant išangės ir lytinių organų sritį, infekcija (žr. 2 skyrių);</w:t>
      </w:r>
    </w:p>
    <w:p w14:paraId="22B24C22"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insultas;</w:t>
      </w:r>
    </w:p>
    <w:p w14:paraId="2D1F8799"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širdies priepuolis dėl nutrūkusio arba sumažėjusio širdies aprūpinimo krauju;</w:t>
      </w:r>
    </w:p>
    <w:p w14:paraId="2DA1CADB"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širdies elektrinio aktyvumo pokyčiai arba nenormalus širdies plakimas;</w:t>
      </w:r>
    </w:p>
    <w:p w14:paraId="32EFF7F8"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skysčių kaupimasis aplink širdį (skystis perikardo ertmėje);</w:t>
      </w:r>
    </w:p>
    <w:p w14:paraId="3B08B8B7"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kepenų nepakankamumas;</w:t>
      </w:r>
    </w:p>
    <w:p w14:paraId="58A3133B"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lastRenderedPageBreak/>
        <w:t>kasos uždegimo sukeltas skrandžio (pilvo) skausmas;</w:t>
      </w:r>
    </w:p>
    <w:p w14:paraId="0325949B"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naviko irimas, dėl kurio žarnoje atsiranda skylė (žarnyno prakiurimas);</w:t>
      </w:r>
    </w:p>
    <w:p w14:paraId="53C2AD70"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tulžies pūslės uždegimas (patinimas ir paraudimas), susijęs su tulžies akmenimis arba su jais nesusijęs;</w:t>
      </w:r>
    </w:p>
    <w:p w14:paraId="6E848531"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nenormalus į vamzdelį panašus kanalas tarp vienos įprastos kūno ertmės ir kitos kūno ertmės arba odos;</w:t>
      </w:r>
    </w:p>
    <w:p w14:paraId="6CF6A208"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burnos, danties ir (arba) žandikaulio skausmas, burnos patinimas ar išopėjimas, žandikaulio nutirpimas arba sunkumo pojūtis arba dantų išklibimas. Tai gali būti žandikaulio pažeidimo požymiai ir simptomai (</w:t>
      </w:r>
      <w:proofErr w:type="spellStart"/>
      <w:r w:rsidRPr="00CE4C3C">
        <w:rPr>
          <w:rFonts w:ascii="Times New Roman" w:hAnsi="Times New Roman" w:cs="Times New Roman"/>
          <w:lang w:eastAsia="lt-LT" w:bidi="lt-LT"/>
        </w:rPr>
        <w:t>osteonekrozė</w:t>
      </w:r>
      <w:proofErr w:type="spellEnd"/>
      <w:r w:rsidRPr="00CE4C3C">
        <w:rPr>
          <w:rFonts w:ascii="Times New Roman" w:hAnsi="Times New Roman" w:cs="Times New Roman"/>
          <w:lang w:eastAsia="lt-LT" w:bidi="lt-LT"/>
        </w:rPr>
        <w:t>), žr. 2 skyrių;</w:t>
      </w:r>
    </w:p>
    <w:p w14:paraId="4CB30936"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 xml:space="preserve">pernelyg didelė skydliaukės hormonų gamyba, dėl kurios padidėja organizmo ramybėje sunaudojamos energijos kiekis; </w:t>
      </w:r>
    </w:p>
    <w:p w14:paraId="0B7543A6"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pooperacinių žaizdų gijimo sutrikimai;</w:t>
      </w:r>
    </w:p>
    <w:p w14:paraId="2CB0E16A"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padidėjęs raumenų išskiriamo fermento (</w:t>
      </w:r>
      <w:proofErr w:type="spellStart"/>
      <w:r w:rsidRPr="00CE4C3C">
        <w:rPr>
          <w:rFonts w:ascii="Times New Roman" w:hAnsi="Times New Roman" w:cs="Times New Roman"/>
          <w:lang w:eastAsia="lt-LT" w:bidi="lt-LT"/>
        </w:rPr>
        <w:t>kreatinfosfokinazės</w:t>
      </w:r>
      <w:proofErr w:type="spellEnd"/>
      <w:r w:rsidRPr="00CE4C3C">
        <w:rPr>
          <w:rFonts w:ascii="Times New Roman" w:hAnsi="Times New Roman" w:cs="Times New Roman"/>
          <w:lang w:eastAsia="lt-LT" w:bidi="lt-LT"/>
        </w:rPr>
        <w:t>) aktyvumas kraujyje;</w:t>
      </w:r>
    </w:p>
    <w:p w14:paraId="18C47C7F"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pernelyg stipri reakcija į alergeną, įskaitant šienligę, odos išbėrimą, odos niežėjimą, dilgėlinę, kūno dalių patinimą ir kvėpavimo pasunkėjimą;</w:t>
      </w:r>
    </w:p>
    <w:p w14:paraId="44E8D792"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gaubtinės žarnos uždegimas (kolitas, išeminis kolitas).</w:t>
      </w:r>
    </w:p>
    <w:p w14:paraId="33A2E829"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0BB14ADC" w14:textId="183F25CA" w:rsidR="007B4CBC" w:rsidRPr="002D191C" w:rsidRDefault="00B112E3" w:rsidP="00CE4C3C">
      <w:pPr>
        <w:numPr>
          <w:ilvl w:val="12"/>
          <w:numId w:val="0"/>
        </w:numPr>
        <w:spacing w:line="240" w:lineRule="auto"/>
        <w:ind w:right="-2"/>
        <w:rPr>
          <w:rFonts w:ascii="Times New Roman" w:hAnsi="Times New Roman" w:cs="Times New Roman"/>
          <w:b/>
          <w:bCs/>
          <w:lang w:eastAsia="lt-LT" w:bidi="lt-LT"/>
        </w:rPr>
      </w:pPr>
      <w:r w:rsidRPr="002D191C">
        <w:rPr>
          <w:rFonts w:ascii="Times New Roman" w:hAnsi="Times New Roman" w:cs="Times New Roman"/>
          <w:b/>
          <w:bCs/>
          <w:noProof/>
          <w:snapToGrid w:val="0"/>
        </w:rPr>
        <w:t>Reti šalutinio poveikio reiškiniai (gali pasireikšti rečiau kaip 1 iš 1 000 asmenų):</w:t>
      </w:r>
    </w:p>
    <w:p w14:paraId="2B9184DB"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sunki odos ir (arba) gleivinių reakcija (</w:t>
      </w:r>
      <w:proofErr w:type="spellStart"/>
      <w:r w:rsidRPr="00CE4C3C">
        <w:rPr>
          <w:rFonts w:ascii="Times New Roman" w:hAnsi="Times New Roman" w:cs="Times New Roman"/>
          <w:lang w:eastAsia="lt-LT" w:bidi="lt-LT"/>
        </w:rPr>
        <w:t>Stivenso</w:t>
      </w:r>
      <w:proofErr w:type="spellEnd"/>
      <w:r w:rsidRPr="00CE4C3C">
        <w:rPr>
          <w:rFonts w:ascii="Times New Roman" w:hAnsi="Times New Roman" w:cs="Times New Roman"/>
          <w:lang w:eastAsia="lt-LT" w:bidi="lt-LT"/>
        </w:rPr>
        <w:t>-Džonsono (</w:t>
      </w:r>
      <w:proofErr w:type="spellStart"/>
      <w:r w:rsidRPr="00CE4C3C">
        <w:rPr>
          <w:rFonts w:ascii="Times New Roman" w:hAnsi="Times New Roman" w:cs="Times New Roman"/>
          <w:i/>
          <w:lang w:eastAsia="lt-LT" w:bidi="lt-LT"/>
        </w:rPr>
        <w:t>Stevens-Johnson</w:t>
      </w:r>
      <w:proofErr w:type="spellEnd"/>
      <w:r w:rsidRPr="00CE4C3C">
        <w:rPr>
          <w:rFonts w:ascii="Times New Roman" w:hAnsi="Times New Roman" w:cs="Times New Roman"/>
          <w:iCs/>
          <w:lang w:eastAsia="lt-LT" w:bidi="lt-LT"/>
        </w:rPr>
        <w:t>)</w:t>
      </w:r>
      <w:r w:rsidRPr="00CE4C3C">
        <w:rPr>
          <w:rFonts w:ascii="Times New Roman" w:hAnsi="Times New Roman" w:cs="Times New Roman"/>
          <w:lang w:eastAsia="lt-LT" w:bidi="lt-LT"/>
        </w:rPr>
        <w:t xml:space="preserve"> sindromas, toksinė epidermio </w:t>
      </w:r>
      <w:proofErr w:type="spellStart"/>
      <w:r w:rsidRPr="00CE4C3C">
        <w:rPr>
          <w:rFonts w:ascii="Times New Roman" w:hAnsi="Times New Roman" w:cs="Times New Roman"/>
          <w:lang w:eastAsia="lt-LT" w:bidi="lt-LT"/>
        </w:rPr>
        <w:t>nekrolizė</w:t>
      </w:r>
      <w:proofErr w:type="spellEnd"/>
      <w:r w:rsidRPr="00CE4C3C">
        <w:rPr>
          <w:rFonts w:ascii="Times New Roman" w:hAnsi="Times New Roman" w:cs="Times New Roman"/>
          <w:lang w:eastAsia="lt-LT" w:bidi="lt-LT"/>
        </w:rPr>
        <w:t xml:space="preserve">, daugiaformė </w:t>
      </w:r>
      <w:proofErr w:type="spellStart"/>
      <w:r w:rsidRPr="00CE4C3C">
        <w:rPr>
          <w:rFonts w:ascii="Times New Roman" w:hAnsi="Times New Roman" w:cs="Times New Roman"/>
          <w:lang w:eastAsia="lt-LT" w:bidi="lt-LT"/>
        </w:rPr>
        <w:t>eritema</w:t>
      </w:r>
      <w:proofErr w:type="spellEnd"/>
      <w:r w:rsidRPr="00CE4C3C">
        <w:rPr>
          <w:rFonts w:ascii="Times New Roman" w:hAnsi="Times New Roman" w:cs="Times New Roman"/>
          <w:lang w:eastAsia="lt-LT" w:bidi="lt-LT"/>
        </w:rPr>
        <w:t>);</w:t>
      </w:r>
    </w:p>
    <w:p w14:paraId="08A2A279"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 xml:space="preserve">naviko </w:t>
      </w:r>
      <w:proofErr w:type="spellStart"/>
      <w:r w:rsidRPr="00CE4C3C">
        <w:rPr>
          <w:rFonts w:ascii="Times New Roman" w:hAnsi="Times New Roman" w:cs="Times New Roman"/>
          <w:lang w:eastAsia="lt-LT" w:bidi="lt-LT"/>
        </w:rPr>
        <w:t>lizės</w:t>
      </w:r>
      <w:proofErr w:type="spellEnd"/>
      <w:r w:rsidRPr="00CE4C3C">
        <w:rPr>
          <w:rFonts w:ascii="Times New Roman" w:hAnsi="Times New Roman" w:cs="Times New Roman"/>
          <w:lang w:eastAsia="lt-LT" w:bidi="lt-LT"/>
        </w:rPr>
        <w:t xml:space="preserve"> sindromas (NLS). Tai grupė medžiagų apykaitos komplikacijų, kurių gali pasireikšti gydant vėžį. Šias komplikacijas sukelia žuvusių vėžinių ląstelių skilimo produktai, gali pasireikšti pykinimas, dusulys, neritmiškas širdies plakimas, raumenų mėšlungis, traukuliai, šlapimo </w:t>
      </w:r>
      <w:proofErr w:type="spellStart"/>
      <w:r w:rsidRPr="00CE4C3C">
        <w:rPr>
          <w:rFonts w:ascii="Times New Roman" w:hAnsi="Times New Roman" w:cs="Times New Roman"/>
          <w:lang w:eastAsia="lt-LT" w:bidi="lt-LT"/>
        </w:rPr>
        <w:t>drumstumas</w:t>
      </w:r>
      <w:proofErr w:type="spellEnd"/>
      <w:r w:rsidRPr="00CE4C3C">
        <w:rPr>
          <w:rFonts w:ascii="Times New Roman" w:hAnsi="Times New Roman" w:cs="Times New Roman"/>
          <w:lang w:eastAsia="lt-LT" w:bidi="lt-LT"/>
        </w:rPr>
        <w:t xml:space="preserve"> ir nuovargis, susijęs su nenormaliais laboratorinių tyrimų rodmenimis (didelis kalio, šlapimo rūgšties ir fosforo kiekis bei mažas kalcio kiekis kraujyje), dėl to gali sutrikti inkstų funkcija ir pasireikšti ūminis inkstų nepakankamumas;</w:t>
      </w:r>
    </w:p>
    <w:p w14:paraId="623FB86C"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nenormalus raumenų irimas, galintis sukelti inkstų sutrikimų (</w:t>
      </w:r>
      <w:proofErr w:type="spellStart"/>
      <w:r w:rsidRPr="00CE4C3C">
        <w:rPr>
          <w:rFonts w:ascii="Times New Roman" w:hAnsi="Times New Roman" w:cs="Times New Roman"/>
          <w:lang w:eastAsia="lt-LT" w:bidi="lt-LT"/>
        </w:rPr>
        <w:t>rabdomiolizė</w:t>
      </w:r>
      <w:proofErr w:type="spellEnd"/>
      <w:r w:rsidRPr="00CE4C3C">
        <w:rPr>
          <w:rFonts w:ascii="Times New Roman" w:hAnsi="Times New Roman" w:cs="Times New Roman"/>
          <w:lang w:eastAsia="lt-LT" w:bidi="lt-LT"/>
        </w:rPr>
        <w:t>);</w:t>
      </w:r>
    </w:p>
    <w:p w14:paraId="4192F77A"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 xml:space="preserve">nenormalūs smegenų pokyčiai, dėl kurių gali pasireikšti simptomų derinys, įskaitant galvos skausmą, minčių susipainiojimą, traukulius ir apakimą (laikinas užpakalinės </w:t>
      </w:r>
      <w:proofErr w:type="spellStart"/>
      <w:r w:rsidRPr="00CE4C3C">
        <w:rPr>
          <w:rFonts w:ascii="Times New Roman" w:hAnsi="Times New Roman" w:cs="Times New Roman"/>
          <w:lang w:eastAsia="lt-LT" w:bidi="lt-LT"/>
        </w:rPr>
        <w:t>leukoencefalopatijos</w:t>
      </w:r>
      <w:proofErr w:type="spellEnd"/>
      <w:r w:rsidRPr="00CE4C3C">
        <w:rPr>
          <w:rFonts w:ascii="Times New Roman" w:hAnsi="Times New Roman" w:cs="Times New Roman"/>
          <w:lang w:eastAsia="lt-LT" w:bidi="lt-LT"/>
        </w:rPr>
        <w:t xml:space="preserve"> sindromas);</w:t>
      </w:r>
    </w:p>
    <w:p w14:paraId="3E2CE0E8"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 xml:space="preserve">skausmingas odos išopėjimas (gangreninė </w:t>
      </w:r>
      <w:proofErr w:type="spellStart"/>
      <w:r w:rsidRPr="00CE4C3C">
        <w:rPr>
          <w:rFonts w:ascii="Times New Roman" w:hAnsi="Times New Roman" w:cs="Times New Roman"/>
          <w:lang w:eastAsia="lt-LT" w:bidi="lt-LT"/>
        </w:rPr>
        <w:t>pioderma</w:t>
      </w:r>
      <w:proofErr w:type="spellEnd"/>
      <w:r w:rsidRPr="00CE4C3C">
        <w:rPr>
          <w:rFonts w:ascii="Times New Roman" w:hAnsi="Times New Roman" w:cs="Times New Roman"/>
          <w:lang w:eastAsia="lt-LT" w:bidi="lt-LT"/>
        </w:rPr>
        <w:t>);</w:t>
      </w:r>
    </w:p>
    <w:p w14:paraId="5ABCF919"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kepenų uždegimas (hepatitas);</w:t>
      </w:r>
    </w:p>
    <w:p w14:paraId="1EAD259A"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skydliaukės uždegimas;</w:t>
      </w:r>
    </w:p>
    <w:p w14:paraId="73883F89" w14:textId="77777777" w:rsidR="007B4CBC" w:rsidRPr="00CE4C3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 xml:space="preserve">smulkiausių kraujagyslių pažeidimai, vadinami trombine </w:t>
      </w:r>
      <w:proofErr w:type="spellStart"/>
      <w:r w:rsidRPr="00CE4C3C">
        <w:rPr>
          <w:rFonts w:ascii="Times New Roman" w:hAnsi="Times New Roman" w:cs="Times New Roman"/>
          <w:lang w:eastAsia="lt-LT" w:bidi="lt-LT"/>
        </w:rPr>
        <w:t>mikroangiopatija</w:t>
      </w:r>
      <w:proofErr w:type="spellEnd"/>
      <w:r w:rsidRPr="00CE4C3C">
        <w:rPr>
          <w:rFonts w:ascii="Times New Roman" w:hAnsi="Times New Roman" w:cs="Times New Roman"/>
          <w:lang w:eastAsia="lt-LT" w:bidi="lt-LT"/>
        </w:rPr>
        <w:t xml:space="preserve"> (TMA).</w:t>
      </w:r>
    </w:p>
    <w:p w14:paraId="4CFA6C9F" w14:textId="77777777" w:rsidR="007B4CBC" w:rsidRPr="00CE4C3C" w:rsidRDefault="007B4CBC" w:rsidP="00CE4C3C">
      <w:pPr>
        <w:numPr>
          <w:ilvl w:val="12"/>
          <w:numId w:val="0"/>
        </w:numPr>
        <w:spacing w:line="240" w:lineRule="auto"/>
        <w:ind w:left="567" w:right="-2" w:hanging="567"/>
        <w:rPr>
          <w:rFonts w:ascii="Times New Roman" w:hAnsi="Times New Roman" w:cs="Times New Roman"/>
          <w:lang w:eastAsia="lt-LT" w:bidi="lt-LT"/>
        </w:rPr>
      </w:pPr>
    </w:p>
    <w:p w14:paraId="3E25E15C" w14:textId="2153227F" w:rsidR="007B4CBC" w:rsidRPr="002D191C" w:rsidRDefault="00B112E3" w:rsidP="00CE4C3C">
      <w:pPr>
        <w:numPr>
          <w:ilvl w:val="12"/>
          <w:numId w:val="0"/>
        </w:numPr>
        <w:tabs>
          <w:tab w:val="left" w:pos="1296"/>
        </w:tabs>
        <w:spacing w:line="240" w:lineRule="auto"/>
        <w:jc w:val="both"/>
        <w:rPr>
          <w:rFonts w:ascii="Times New Roman" w:hAnsi="Times New Roman" w:cs="Times New Roman"/>
          <w:b/>
          <w:bCs/>
          <w:lang w:eastAsia="lt-LT" w:bidi="lt-LT"/>
        </w:rPr>
      </w:pPr>
      <w:r w:rsidRPr="002D191C">
        <w:rPr>
          <w:rFonts w:ascii="Times New Roman" w:hAnsi="Times New Roman" w:cs="Times New Roman"/>
          <w:b/>
          <w:bCs/>
          <w:noProof/>
          <w:snapToGrid w:val="0"/>
        </w:rPr>
        <w:t>Šalutinio poveikio reiškiniai, kurių dažnis nežinomas (negali būti apskaičiuotas pagal turimus duomenis):</w:t>
      </w:r>
    </w:p>
    <w:p w14:paraId="4E4358D8" w14:textId="0D5F2354" w:rsidR="007B4CBC" w:rsidRDefault="007B4CBC" w:rsidP="00CE4C3C">
      <w:pPr>
        <w:numPr>
          <w:ilvl w:val="0"/>
          <w:numId w:val="42"/>
        </w:numPr>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kraujagyslės sienelės išsipūtimas ir susilpnėjimas arba kraujagyslės sienelės įplyšimas (aneurizmos ir arterijų atsisluoksniavimas)</w:t>
      </w:r>
      <w:r w:rsidR="006124DB">
        <w:rPr>
          <w:rFonts w:ascii="Times New Roman" w:hAnsi="Times New Roman" w:cs="Times New Roman"/>
          <w:lang w:eastAsia="lt-LT" w:bidi="lt-LT"/>
        </w:rPr>
        <w:t>;</w:t>
      </w:r>
    </w:p>
    <w:p w14:paraId="127EE121" w14:textId="1E471B5E" w:rsidR="006124DB" w:rsidRPr="00CE4C3C" w:rsidRDefault="006124DB" w:rsidP="00CE4C3C">
      <w:pPr>
        <w:numPr>
          <w:ilvl w:val="0"/>
          <w:numId w:val="42"/>
        </w:numPr>
        <w:spacing w:line="240" w:lineRule="auto"/>
        <w:ind w:left="567" w:right="-2" w:hanging="567"/>
        <w:rPr>
          <w:rFonts w:ascii="Times New Roman" w:hAnsi="Times New Roman" w:cs="Times New Roman"/>
          <w:lang w:eastAsia="lt-LT" w:bidi="lt-LT"/>
        </w:rPr>
      </w:pPr>
      <w:r>
        <w:rPr>
          <w:rFonts w:ascii="Times New Roman" w:hAnsi="Times New Roman" w:cs="Times New Roman"/>
          <w:lang w:eastAsia="lt-LT" w:bidi="lt-LT"/>
        </w:rPr>
        <w:t>d</w:t>
      </w:r>
      <w:r w:rsidRPr="006124DB">
        <w:rPr>
          <w:rFonts w:ascii="Times New Roman" w:hAnsi="Times New Roman" w:cs="Times New Roman"/>
          <w:lang w:eastAsia="lt-LT" w:bidi="lt-LT"/>
        </w:rPr>
        <w:t>idelis amoniako kiekis kraujyje gali sukelti toksinį poveikį smegenims, pasireiškiantį tokiais simptomais kaip energijos trūkumas, sumišimas, mieguistumas, sąmonės netekimas arba koma (hiperamoneminė encefalopatija).</w:t>
      </w:r>
    </w:p>
    <w:p w14:paraId="08B428D2" w14:textId="77777777" w:rsidR="007B4CBC" w:rsidRPr="00CE4C3C" w:rsidRDefault="007B4CBC" w:rsidP="00CE4C3C">
      <w:pPr>
        <w:numPr>
          <w:ilvl w:val="12"/>
          <w:numId w:val="0"/>
        </w:numPr>
        <w:spacing w:line="240" w:lineRule="auto"/>
        <w:ind w:left="567" w:right="-2" w:hanging="567"/>
        <w:rPr>
          <w:rFonts w:ascii="Times New Roman" w:hAnsi="Times New Roman" w:cs="Times New Roman"/>
          <w:lang w:eastAsia="lt-LT" w:bidi="lt-LT"/>
        </w:rPr>
      </w:pPr>
    </w:p>
    <w:p w14:paraId="028EA54F" w14:textId="77777777" w:rsidR="007B4CBC" w:rsidRPr="00CE4C3C" w:rsidRDefault="007B4CBC" w:rsidP="00CE4C3C">
      <w:pPr>
        <w:numPr>
          <w:ilvl w:val="12"/>
          <w:numId w:val="0"/>
        </w:numPr>
        <w:spacing w:line="240" w:lineRule="auto"/>
        <w:outlineLvl w:val="0"/>
        <w:rPr>
          <w:rFonts w:ascii="Times New Roman" w:hAnsi="Times New Roman" w:cs="Times New Roman"/>
          <w:b/>
          <w:lang w:eastAsia="lt-LT" w:bidi="lt-LT"/>
        </w:rPr>
      </w:pPr>
      <w:r w:rsidRPr="00CE4C3C">
        <w:rPr>
          <w:rFonts w:ascii="Times New Roman" w:hAnsi="Times New Roman" w:cs="Times New Roman"/>
          <w:b/>
          <w:lang w:eastAsia="lt-LT" w:bidi="lt-LT"/>
        </w:rPr>
        <w:t>Pranešimas apie šalutinį poveikį</w:t>
      </w:r>
    </w:p>
    <w:p w14:paraId="02BD90DF" w14:textId="302A3179" w:rsidR="007B4CBC" w:rsidRDefault="007B4CBC" w:rsidP="002D191C">
      <w:pPr>
        <w:spacing w:line="240" w:lineRule="auto"/>
        <w:ind w:right="-449"/>
        <w:rPr>
          <w:rFonts w:ascii="Times New Roman" w:hAnsi="Times New Roman" w:cs="Times New Roman"/>
          <w:lang w:eastAsia="lt-LT" w:bidi="lt-LT"/>
        </w:rPr>
      </w:pPr>
      <w:r w:rsidRPr="00CE4C3C">
        <w:rPr>
          <w:rFonts w:ascii="Times New Roman" w:hAnsi="Times New Roman" w:cs="Times New Roman"/>
          <w:lang w:eastAsia="lt-LT" w:bidi="lt-LT"/>
        </w:rPr>
        <w:t xml:space="preserve">Jeigu pasireiškė šalutinis poveikis, įskaitant šiame lapelyje nenurodytą, pasakykite gydytojui. </w:t>
      </w:r>
      <w:r w:rsidR="00AF752C" w:rsidRPr="00AF752C">
        <w:rPr>
          <w:rFonts w:ascii="Times New Roman" w:eastAsia="Times New Roman" w:hAnsi="Times New Roman" w:cs="Times New Roman"/>
          <w:snapToGrid w:val="0"/>
          <w:szCs w:val="2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3F54385B" w14:textId="77777777" w:rsidR="00AF752C" w:rsidRPr="00CE4C3C" w:rsidRDefault="00AF752C" w:rsidP="002D191C">
      <w:pPr>
        <w:spacing w:line="240" w:lineRule="auto"/>
        <w:ind w:right="-449"/>
        <w:rPr>
          <w:rFonts w:ascii="Times New Roman" w:hAnsi="Times New Roman" w:cs="Times New Roman"/>
          <w:lang w:eastAsia="lt-LT" w:bidi="lt-LT"/>
        </w:rPr>
      </w:pPr>
    </w:p>
    <w:p w14:paraId="3D6B7E4C" w14:textId="77777777" w:rsidR="007B4CBC" w:rsidRPr="00CE4C3C" w:rsidRDefault="007B4CBC" w:rsidP="00CE4C3C">
      <w:pPr>
        <w:autoSpaceDE w:val="0"/>
        <w:autoSpaceDN w:val="0"/>
        <w:adjustRightInd w:val="0"/>
        <w:spacing w:line="240" w:lineRule="auto"/>
        <w:rPr>
          <w:rFonts w:ascii="Times New Roman" w:hAnsi="Times New Roman" w:cs="Times New Roman"/>
          <w:lang w:eastAsia="lt-LT" w:bidi="lt-LT"/>
        </w:rPr>
      </w:pPr>
    </w:p>
    <w:p w14:paraId="5FD907CC" w14:textId="77777777" w:rsidR="007B4CBC" w:rsidRPr="00CE4C3C" w:rsidRDefault="007B4CBC" w:rsidP="00CE4C3C">
      <w:pPr>
        <w:keepNext/>
        <w:numPr>
          <w:ilvl w:val="0"/>
          <w:numId w:val="13"/>
        </w:numPr>
        <w:tabs>
          <w:tab w:val="left" w:pos="567"/>
        </w:tabs>
        <w:spacing w:line="240" w:lineRule="auto"/>
        <w:ind w:left="567" w:right="-2"/>
        <w:rPr>
          <w:rFonts w:ascii="Times New Roman" w:hAnsi="Times New Roman" w:cs="Times New Roman"/>
          <w:b/>
          <w:lang w:eastAsia="lt-LT" w:bidi="lt-LT"/>
        </w:rPr>
      </w:pPr>
      <w:r w:rsidRPr="00CE4C3C">
        <w:rPr>
          <w:rFonts w:ascii="Times New Roman" w:hAnsi="Times New Roman" w:cs="Times New Roman"/>
          <w:b/>
          <w:lang w:eastAsia="lt-LT" w:bidi="lt-LT"/>
        </w:rPr>
        <w:t>Kaip laikyti Klertis</w:t>
      </w:r>
    </w:p>
    <w:p w14:paraId="240CF3F4" w14:textId="77777777" w:rsidR="007B4CBC" w:rsidRPr="00CE4C3C" w:rsidRDefault="007B4CBC" w:rsidP="00CE4C3C">
      <w:pPr>
        <w:keepNext/>
        <w:numPr>
          <w:ilvl w:val="12"/>
          <w:numId w:val="0"/>
        </w:numPr>
        <w:spacing w:line="240" w:lineRule="auto"/>
        <w:ind w:right="-2"/>
        <w:rPr>
          <w:rFonts w:ascii="Times New Roman" w:hAnsi="Times New Roman" w:cs="Times New Roman"/>
          <w:lang w:eastAsia="lt-LT" w:bidi="lt-LT"/>
        </w:rPr>
      </w:pPr>
    </w:p>
    <w:p w14:paraId="1FF79F20" w14:textId="77777777" w:rsidR="007B4CBC" w:rsidRPr="00CE4C3C" w:rsidRDefault="007B4CBC" w:rsidP="00CE4C3C">
      <w:p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Šį vaistą laikykite vaikams nepastebimoje ir nepasiekiamoje vietoje.</w:t>
      </w:r>
    </w:p>
    <w:p w14:paraId="79A04D09" w14:textId="77777777" w:rsidR="007B4CBC" w:rsidRPr="00CE4C3C" w:rsidRDefault="007B4CBC" w:rsidP="00CE4C3C">
      <w:pPr>
        <w:spacing w:line="240" w:lineRule="auto"/>
        <w:ind w:right="-2"/>
        <w:rPr>
          <w:rFonts w:ascii="Times New Roman" w:hAnsi="Times New Roman" w:cs="Times New Roman"/>
          <w:lang w:eastAsia="lt-LT" w:bidi="lt-LT"/>
        </w:rPr>
      </w:pPr>
    </w:p>
    <w:p w14:paraId="15B85E3D" w14:textId="77777777" w:rsidR="007B4CBC" w:rsidRPr="00CE4C3C" w:rsidRDefault="007B4CBC" w:rsidP="00CE4C3C">
      <w:p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lastRenderedPageBreak/>
        <w:t>Ant dėžutės, buteliuko ir lizdinės plokštelės po „EXP“ nurodytam tinkamumo laikui pasibaigus, šio vaisto vartoti negalima. Vaistas tinkamas vartoti iki paskutinės nurodyto mėnesio dienos.</w:t>
      </w:r>
    </w:p>
    <w:p w14:paraId="5D040953" w14:textId="77777777" w:rsidR="007B4CBC" w:rsidRPr="00CE4C3C" w:rsidRDefault="007B4CBC" w:rsidP="00CE4C3C">
      <w:pPr>
        <w:spacing w:line="240" w:lineRule="auto"/>
        <w:ind w:right="-2"/>
        <w:rPr>
          <w:rFonts w:ascii="Times New Roman" w:hAnsi="Times New Roman" w:cs="Times New Roman"/>
          <w:lang w:eastAsia="lt-LT" w:bidi="lt-LT"/>
        </w:rPr>
      </w:pPr>
    </w:p>
    <w:p w14:paraId="7EE693B5" w14:textId="77777777" w:rsidR="007B4CBC" w:rsidRPr="00CE4C3C" w:rsidRDefault="007B4CBC" w:rsidP="00CE4C3C">
      <w:p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Šiam vaistui specialių laikymo sąlygų nereikia.</w:t>
      </w:r>
    </w:p>
    <w:p w14:paraId="6EBD8FCC"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7942677D"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Vaistų negalima išmesti į kanalizaciją arba su buitinėmis atliekomis. Kaip išmesti nereikalingus vaistus, klauskite vaistininko. Šios priemonės padės apsaugoti aplinką.</w:t>
      </w:r>
    </w:p>
    <w:p w14:paraId="03891349"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3CB58826"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1B34EF3A" w14:textId="77777777" w:rsidR="007B4CBC" w:rsidRPr="00CE4C3C" w:rsidRDefault="007B4CBC" w:rsidP="00CE4C3C">
      <w:pPr>
        <w:keepNext/>
        <w:numPr>
          <w:ilvl w:val="0"/>
          <w:numId w:val="13"/>
        </w:numPr>
        <w:tabs>
          <w:tab w:val="left" w:pos="567"/>
        </w:tabs>
        <w:spacing w:line="240" w:lineRule="auto"/>
        <w:ind w:left="567" w:right="-2"/>
        <w:rPr>
          <w:rFonts w:ascii="Times New Roman" w:hAnsi="Times New Roman" w:cs="Times New Roman"/>
          <w:b/>
          <w:lang w:eastAsia="lt-LT" w:bidi="lt-LT"/>
        </w:rPr>
      </w:pPr>
      <w:r w:rsidRPr="00CE4C3C">
        <w:rPr>
          <w:rFonts w:ascii="Times New Roman" w:hAnsi="Times New Roman" w:cs="Times New Roman"/>
          <w:b/>
          <w:lang w:eastAsia="lt-LT" w:bidi="lt-LT"/>
        </w:rPr>
        <w:t>Pakuotės turinys ir kita informacija</w:t>
      </w:r>
    </w:p>
    <w:p w14:paraId="58CA3A3E" w14:textId="77777777" w:rsidR="007B4CBC" w:rsidRPr="00CE4C3C" w:rsidRDefault="007B4CBC" w:rsidP="00CE4C3C">
      <w:pPr>
        <w:keepNext/>
        <w:numPr>
          <w:ilvl w:val="12"/>
          <w:numId w:val="0"/>
        </w:numPr>
        <w:spacing w:line="240" w:lineRule="auto"/>
        <w:rPr>
          <w:rFonts w:ascii="Times New Roman" w:hAnsi="Times New Roman" w:cs="Times New Roman"/>
          <w:lang w:eastAsia="lt-LT" w:bidi="lt-LT"/>
        </w:rPr>
      </w:pPr>
    </w:p>
    <w:p w14:paraId="612942E0" w14:textId="77777777" w:rsidR="007B4CBC" w:rsidRPr="00CE4C3C" w:rsidRDefault="007B4CBC" w:rsidP="00CE4C3C">
      <w:pPr>
        <w:numPr>
          <w:ilvl w:val="12"/>
          <w:numId w:val="0"/>
        </w:numPr>
        <w:spacing w:line="240" w:lineRule="auto"/>
        <w:ind w:right="-2"/>
        <w:rPr>
          <w:rFonts w:ascii="Times New Roman" w:hAnsi="Times New Roman" w:cs="Times New Roman"/>
          <w:b/>
          <w:lang w:eastAsia="lt-LT" w:bidi="lt-LT"/>
        </w:rPr>
      </w:pPr>
      <w:r w:rsidRPr="00CE4C3C">
        <w:rPr>
          <w:rFonts w:ascii="Times New Roman" w:hAnsi="Times New Roman" w:cs="Times New Roman"/>
          <w:b/>
          <w:lang w:eastAsia="lt-LT" w:bidi="lt-LT"/>
        </w:rPr>
        <w:t xml:space="preserve">Klertis sudėtis </w:t>
      </w:r>
    </w:p>
    <w:p w14:paraId="06F769DD" w14:textId="77777777" w:rsidR="007B4CBC" w:rsidRPr="00CE4C3C" w:rsidRDefault="007B4CBC" w:rsidP="00CE4C3C">
      <w:pPr>
        <w:numPr>
          <w:ilvl w:val="12"/>
          <w:numId w:val="0"/>
        </w:numPr>
        <w:spacing w:line="240" w:lineRule="auto"/>
        <w:ind w:right="-2"/>
        <w:rPr>
          <w:rFonts w:ascii="Times New Roman" w:hAnsi="Times New Roman" w:cs="Times New Roman"/>
          <w:u w:val="single"/>
          <w:lang w:eastAsia="lt-LT" w:bidi="lt-LT"/>
        </w:rPr>
      </w:pPr>
    </w:p>
    <w:p w14:paraId="5CA4F8A2" w14:textId="77777777" w:rsidR="007B4CBC" w:rsidRPr="00CE4C3C" w:rsidRDefault="007B4CBC" w:rsidP="00CE4C3C">
      <w:pPr>
        <w:numPr>
          <w:ilvl w:val="0"/>
          <w:numId w:val="43"/>
        </w:numPr>
        <w:tabs>
          <w:tab w:val="left" w:pos="567"/>
        </w:tabs>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 xml:space="preserve">Veiklioji medžiaga yra sunitinibas. Kiekvienoje kietojoje kapsulėje yra </w:t>
      </w:r>
      <w:proofErr w:type="spellStart"/>
      <w:r w:rsidRPr="00CE4C3C">
        <w:rPr>
          <w:rFonts w:ascii="Times New Roman" w:hAnsi="Times New Roman" w:cs="Times New Roman"/>
          <w:lang w:eastAsia="lt-LT" w:bidi="lt-LT"/>
        </w:rPr>
        <w:t>sunitinibo</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ciklamato</w:t>
      </w:r>
      <w:proofErr w:type="spellEnd"/>
      <w:r w:rsidRPr="00CE4C3C">
        <w:rPr>
          <w:rFonts w:ascii="Times New Roman" w:hAnsi="Times New Roman" w:cs="Times New Roman"/>
          <w:lang w:eastAsia="lt-LT" w:bidi="lt-LT"/>
        </w:rPr>
        <w:t>, atitinkančio 12,5 mg, 25 mg arba 50 mg sunitinibo.</w:t>
      </w:r>
    </w:p>
    <w:p w14:paraId="3FE34547" w14:textId="07193305" w:rsidR="007B4CBC" w:rsidRPr="00CE4C3C" w:rsidRDefault="007B4CBC" w:rsidP="00CE4C3C">
      <w:pPr>
        <w:numPr>
          <w:ilvl w:val="0"/>
          <w:numId w:val="43"/>
        </w:numPr>
        <w:tabs>
          <w:tab w:val="left" w:pos="567"/>
        </w:tabs>
        <w:spacing w:line="240" w:lineRule="auto"/>
        <w:ind w:left="567" w:right="-2" w:hanging="567"/>
        <w:rPr>
          <w:rFonts w:ascii="Times New Roman" w:hAnsi="Times New Roman" w:cs="Times New Roman"/>
          <w:lang w:eastAsia="lt-LT" w:bidi="lt-LT"/>
        </w:rPr>
      </w:pPr>
      <w:r w:rsidRPr="00CE4C3C">
        <w:rPr>
          <w:rFonts w:ascii="Times New Roman" w:hAnsi="Times New Roman" w:cs="Times New Roman"/>
          <w:lang w:eastAsia="lt-LT" w:bidi="lt-LT"/>
        </w:rPr>
        <w:t xml:space="preserve">Pagalbinės medžiagos yra </w:t>
      </w:r>
      <w:proofErr w:type="spellStart"/>
      <w:r w:rsidRPr="00CE4C3C">
        <w:rPr>
          <w:rFonts w:ascii="Times New Roman" w:hAnsi="Times New Roman" w:cs="Times New Roman"/>
          <w:lang w:eastAsia="lt-LT" w:bidi="lt-LT"/>
        </w:rPr>
        <w:t>manitolis</w:t>
      </w:r>
      <w:proofErr w:type="spellEnd"/>
      <w:r w:rsidRPr="00CE4C3C">
        <w:rPr>
          <w:rFonts w:ascii="Times New Roman" w:hAnsi="Times New Roman" w:cs="Times New Roman"/>
          <w:lang w:eastAsia="lt-LT" w:bidi="lt-LT"/>
        </w:rPr>
        <w:t xml:space="preserve"> (E421), </w:t>
      </w:r>
      <w:proofErr w:type="spellStart"/>
      <w:r w:rsidRPr="00CE4C3C">
        <w:rPr>
          <w:rFonts w:ascii="Times New Roman" w:hAnsi="Times New Roman" w:cs="Times New Roman"/>
          <w:lang w:eastAsia="lt-LT" w:bidi="lt-LT"/>
        </w:rPr>
        <w:t>kroskarmeliozės</w:t>
      </w:r>
      <w:proofErr w:type="spellEnd"/>
      <w:r w:rsidRPr="00CE4C3C">
        <w:rPr>
          <w:rFonts w:ascii="Times New Roman" w:hAnsi="Times New Roman" w:cs="Times New Roman"/>
          <w:lang w:eastAsia="lt-LT" w:bidi="lt-LT"/>
        </w:rPr>
        <w:t xml:space="preserve"> natrio druska, povidonas K30 ir magnio stearatas.</w:t>
      </w:r>
    </w:p>
    <w:p w14:paraId="0CE59A40" w14:textId="77777777" w:rsidR="007B4CBC" w:rsidRPr="00CE4C3C" w:rsidRDefault="007B4CBC" w:rsidP="00CE4C3C">
      <w:p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Kapsulės apvalkalas:</w:t>
      </w:r>
    </w:p>
    <w:p w14:paraId="5F5B3A7A" w14:textId="77777777" w:rsidR="007B4CBC" w:rsidRPr="00CE4C3C" w:rsidRDefault="007B4CBC" w:rsidP="00CE4C3C">
      <w:pPr>
        <w:numPr>
          <w:ilvl w:val="0"/>
          <w:numId w:val="44"/>
        </w:numPr>
        <w:spacing w:line="240" w:lineRule="auto"/>
        <w:ind w:right="-2"/>
        <w:rPr>
          <w:rFonts w:ascii="Times New Roman" w:hAnsi="Times New Roman" w:cs="Times New Roman"/>
          <w:lang w:eastAsia="lt-LT" w:bidi="lt-LT"/>
        </w:rPr>
      </w:pPr>
      <w:r w:rsidRPr="00CE4C3C">
        <w:rPr>
          <w:rFonts w:ascii="Times New Roman" w:eastAsia="Calibri" w:hAnsi="Times New Roman" w:cs="Times New Roman"/>
        </w:rPr>
        <w:t xml:space="preserve">Klertis 12,5 mg kietosios </w:t>
      </w:r>
      <w:r w:rsidRPr="00CE4C3C">
        <w:rPr>
          <w:rFonts w:ascii="Times New Roman" w:eastAsia="Calibri" w:hAnsi="Times New Roman" w:cs="Times New Roman"/>
          <w:iCs/>
        </w:rPr>
        <w:t>kapsulės</w:t>
      </w:r>
      <w:r w:rsidRPr="00CE4C3C">
        <w:rPr>
          <w:rFonts w:ascii="Times New Roman" w:hAnsi="Times New Roman" w:cs="Times New Roman"/>
          <w:iCs/>
          <w:lang w:eastAsia="lt-LT" w:bidi="lt-LT"/>
        </w:rPr>
        <w:t xml:space="preserve">: </w:t>
      </w:r>
      <w:r w:rsidRPr="00CE4C3C">
        <w:rPr>
          <w:rFonts w:ascii="Times New Roman" w:hAnsi="Times New Roman" w:cs="Times New Roman"/>
          <w:lang w:eastAsia="lt-LT" w:bidi="lt-LT"/>
        </w:rPr>
        <w:t xml:space="preserve">titano dioksidas (E171), </w:t>
      </w:r>
      <w:r w:rsidRPr="00CE4C3C">
        <w:rPr>
          <w:rFonts w:ascii="Times New Roman" w:hAnsi="Times New Roman" w:cs="Times New Roman"/>
          <w:iCs/>
          <w:lang w:eastAsia="lt-LT" w:bidi="lt-LT"/>
        </w:rPr>
        <w:t>želatina</w:t>
      </w:r>
      <w:r w:rsidRPr="00CE4C3C">
        <w:rPr>
          <w:rFonts w:ascii="Times New Roman" w:hAnsi="Times New Roman" w:cs="Times New Roman"/>
          <w:lang w:eastAsia="lt-LT" w:bidi="lt-LT"/>
        </w:rPr>
        <w:t>, geltonasis geležies oksidas (E172), raudonasis geležies oksidas (E172);</w:t>
      </w:r>
    </w:p>
    <w:p w14:paraId="49DF411F" w14:textId="77777777" w:rsidR="007B4CBC" w:rsidRPr="00CE4C3C" w:rsidRDefault="007B4CBC" w:rsidP="00CE4C3C">
      <w:pPr>
        <w:numPr>
          <w:ilvl w:val="0"/>
          <w:numId w:val="44"/>
        </w:numPr>
        <w:spacing w:line="240" w:lineRule="auto"/>
        <w:ind w:right="-2"/>
        <w:rPr>
          <w:rFonts w:ascii="Times New Roman" w:hAnsi="Times New Roman" w:cs="Times New Roman"/>
          <w:lang w:eastAsia="lt-LT" w:bidi="lt-LT"/>
        </w:rPr>
      </w:pPr>
      <w:r w:rsidRPr="00CE4C3C">
        <w:rPr>
          <w:rFonts w:ascii="Times New Roman" w:eastAsia="Calibri" w:hAnsi="Times New Roman" w:cs="Times New Roman"/>
        </w:rPr>
        <w:t xml:space="preserve">Klertis 25 mg kietosios </w:t>
      </w:r>
      <w:r w:rsidRPr="00CE4C3C">
        <w:rPr>
          <w:rFonts w:ascii="Times New Roman" w:eastAsia="Calibri" w:hAnsi="Times New Roman" w:cs="Times New Roman"/>
          <w:iCs/>
        </w:rPr>
        <w:t>kapsulės</w:t>
      </w:r>
      <w:r w:rsidRPr="00CE4C3C">
        <w:rPr>
          <w:rFonts w:ascii="Times New Roman" w:hAnsi="Times New Roman" w:cs="Times New Roman"/>
          <w:iCs/>
          <w:lang w:eastAsia="lt-LT" w:bidi="lt-LT"/>
        </w:rPr>
        <w:t xml:space="preserve">: </w:t>
      </w:r>
      <w:r w:rsidRPr="00CE4C3C">
        <w:rPr>
          <w:rFonts w:ascii="Times New Roman" w:hAnsi="Times New Roman" w:cs="Times New Roman"/>
          <w:lang w:eastAsia="lt-LT" w:bidi="lt-LT"/>
        </w:rPr>
        <w:t xml:space="preserve">titano dioksidas (E171), geltonasis geležies oksidas (E172), juodasis geležies oksidas (E172), </w:t>
      </w:r>
      <w:r w:rsidRPr="00CE4C3C">
        <w:rPr>
          <w:rFonts w:ascii="Times New Roman" w:hAnsi="Times New Roman" w:cs="Times New Roman"/>
          <w:iCs/>
          <w:lang w:eastAsia="lt-LT" w:bidi="lt-LT"/>
        </w:rPr>
        <w:t>želatina</w:t>
      </w:r>
      <w:r w:rsidRPr="00CE4C3C">
        <w:rPr>
          <w:rFonts w:ascii="Times New Roman" w:hAnsi="Times New Roman" w:cs="Times New Roman"/>
          <w:lang w:eastAsia="lt-LT" w:bidi="lt-LT"/>
        </w:rPr>
        <w:t>, raudonasis geležies oksidas (E172);</w:t>
      </w:r>
    </w:p>
    <w:p w14:paraId="14D22432" w14:textId="77777777" w:rsidR="007B4CBC" w:rsidRPr="00CE4C3C" w:rsidRDefault="007B4CBC" w:rsidP="00CE4C3C">
      <w:pPr>
        <w:numPr>
          <w:ilvl w:val="0"/>
          <w:numId w:val="44"/>
        </w:numPr>
        <w:spacing w:line="240" w:lineRule="auto"/>
        <w:ind w:right="-2"/>
        <w:rPr>
          <w:rFonts w:ascii="Times New Roman" w:hAnsi="Times New Roman" w:cs="Times New Roman"/>
          <w:lang w:eastAsia="lt-LT" w:bidi="lt-LT"/>
        </w:rPr>
      </w:pPr>
      <w:r w:rsidRPr="00CE4C3C">
        <w:rPr>
          <w:rFonts w:ascii="Times New Roman" w:eastAsia="Calibri" w:hAnsi="Times New Roman" w:cs="Times New Roman"/>
        </w:rPr>
        <w:t xml:space="preserve">Klertis 50 mg kietosios </w:t>
      </w:r>
      <w:r w:rsidRPr="00CE4C3C">
        <w:rPr>
          <w:rFonts w:ascii="Times New Roman" w:eastAsia="Calibri" w:hAnsi="Times New Roman" w:cs="Times New Roman"/>
          <w:iCs/>
        </w:rPr>
        <w:t>kapsulės</w:t>
      </w:r>
      <w:r w:rsidRPr="00CE4C3C">
        <w:rPr>
          <w:rFonts w:ascii="Times New Roman" w:hAnsi="Times New Roman" w:cs="Times New Roman"/>
          <w:iCs/>
          <w:lang w:eastAsia="lt-LT" w:bidi="lt-LT"/>
        </w:rPr>
        <w:t xml:space="preserve">: </w:t>
      </w:r>
      <w:r w:rsidRPr="00CE4C3C">
        <w:rPr>
          <w:rFonts w:ascii="Times New Roman" w:hAnsi="Times New Roman" w:cs="Times New Roman"/>
          <w:lang w:eastAsia="lt-LT" w:bidi="lt-LT"/>
        </w:rPr>
        <w:t>titano dioksidas (E171), geltonasis geležies oksidas (E172), raudonasis geležies oksidas (E172),</w:t>
      </w:r>
      <w:r w:rsidRPr="00CE4C3C">
        <w:rPr>
          <w:rFonts w:ascii="Times New Roman" w:hAnsi="Times New Roman" w:cs="Times New Roman"/>
          <w:iCs/>
          <w:lang w:eastAsia="lt-LT" w:bidi="lt-LT"/>
        </w:rPr>
        <w:t xml:space="preserve"> želatina.</w:t>
      </w:r>
    </w:p>
    <w:p w14:paraId="5CC35526"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Žr. 2 skyrių.</w:t>
      </w:r>
    </w:p>
    <w:p w14:paraId="4CA67B7B"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29DBEE02" w14:textId="77777777" w:rsidR="007B4CBC" w:rsidRPr="00CE4C3C" w:rsidRDefault="007B4CBC" w:rsidP="00CE4C3C">
      <w:pPr>
        <w:numPr>
          <w:ilvl w:val="12"/>
          <w:numId w:val="0"/>
        </w:numPr>
        <w:spacing w:line="240" w:lineRule="auto"/>
        <w:ind w:right="-2"/>
        <w:rPr>
          <w:rFonts w:ascii="Times New Roman" w:hAnsi="Times New Roman" w:cs="Times New Roman"/>
          <w:b/>
          <w:lang w:eastAsia="lt-LT" w:bidi="lt-LT"/>
        </w:rPr>
      </w:pPr>
      <w:r w:rsidRPr="00CE4C3C">
        <w:rPr>
          <w:rFonts w:ascii="Times New Roman" w:hAnsi="Times New Roman" w:cs="Times New Roman"/>
          <w:b/>
          <w:lang w:eastAsia="lt-LT" w:bidi="lt-LT"/>
        </w:rPr>
        <w:t>Klertis išvaizda ir kiekis pakuotėje</w:t>
      </w:r>
    </w:p>
    <w:p w14:paraId="754691C6" w14:textId="77777777" w:rsidR="007B4CBC" w:rsidRPr="00CE4C3C" w:rsidRDefault="007B4CBC"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Klertis 12,5 mg kietosios kapsulės</w:t>
      </w:r>
    </w:p>
    <w:p w14:paraId="2F534AF9" w14:textId="77777777" w:rsidR="007B4CBC" w:rsidRPr="00CE4C3C" w:rsidRDefault="007B4CB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Nežymėta savaime užsidaranti </w:t>
      </w:r>
      <w:proofErr w:type="spellStart"/>
      <w:r w:rsidRPr="00CE4C3C">
        <w:rPr>
          <w:rFonts w:ascii="Times New Roman" w:eastAsia="Calibri" w:hAnsi="Times New Roman" w:cs="Times New Roman"/>
          <w:i/>
          <w:iCs/>
        </w:rPr>
        <w:t>Coni</w:t>
      </w:r>
      <w:proofErr w:type="spellEnd"/>
      <w:r w:rsidRPr="00CE4C3C">
        <w:rPr>
          <w:rFonts w:ascii="Times New Roman" w:eastAsia="Calibri" w:hAnsi="Times New Roman" w:cs="Times New Roman"/>
          <w:i/>
          <w:iCs/>
        </w:rPr>
        <w:t xml:space="preserve"> </w:t>
      </w:r>
      <w:proofErr w:type="spellStart"/>
      <w:r w:rsidRPr="00CE4C3C">
        <w:rPr>
          <w:rFonts w:ascii="Times New Roman" w:eastAsia="Calibri" w:hAnsi="Times New Roman" w:cs="Times New Roman"/>
          <w:i/>
          <w:iCs/>
        </w:rPr>
        <w:t>Snap</w:t>
      </w:r>
      <w:proofErr w:type="spellEnd"/>
      <w:r w:rsidRPr="00CE4C3C">
        <w:rPr>
          <w:rFonts w:ascii="Times New Roman" w:eastAsia="Calibri" w:hAnsi="Times New Roman" w:cs="Times New Roman"/>
        </w:rPr>
        <w:t xml:space="preserve"> tipo 3 dydžio kietoji želatininė kapsulė. Dangtelis yra nepermatomas, vidutinio intensyvumo oranžinės spalvos, korpusas yra nepermatomas, ryškiai geltonos spalvos, kapsulėje yra oranžinės spalvos granulių.</w:t>
      </w:r>
    </w:p>
    <w:p w14:paraId="296FF79E" w14:textId="77777777" w:rsidR="007B4CBC" w:rsidRPr="00CE4C3C" w:rsidRDefault="007B4CBC" w:rsidP="00CE4C3C">
      <w:pPr>
        <w:spacing w:line="240" w:lineRule="auto"/>
        <w:rPr>
          <w:rFonts w:ascii="Times New Roman" w:eastAsia="Calibri" w:hAnsi="Times New Roman" w:cs="Times New Roman"/>
        </w:rPr>
      </w:pPr>
    </w:p>
    <w:p w14:paraId="477B34FA" w14:textId="77777777" w:rsidR="007B4CBC" w:rsidRPr="00CE4C3C" w:rsidRDefault="007B4CBC"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Klertis 25 mg kietosios kapsulės</w:t>
      </w:r>
    </w:p>
    <w:p w14:paraId="5CAC26B9" w14:textId="7DDA64B8" w:rsidR="007B4CBC" w:rsidRPr="00CE4C3C" w:rsidRDefault="007B4CB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Nežymėta savaime užsidaranti </w:t>
      </w:r>
      <w:proofErr w:type="spellStart"/>
      <w:r w:rsidRPr="00CE4C3C">
        <w:rPr>
          <w:rFonts w:ascii="Times New Roman" w:eastAsia="Calibri" w:hAnsi="Times New Roman" w:cs="Times New Roman"/>
          <w:i/>
          <w:iCs/>
        </w:rPr>
        <w:t>Coni</w:t>
      </w:r>
      <w:proofErr w:type="spellEnd"/>
      <w:r w:rsidRPr="00CE4C3C">
        <w:rPr>
          <w:rFonts w:ascii="Times New Roman" w:eastAsia="Calibri" w:hAnsi="Times New Roman" w:cs="Times New Roman"/>
          <w:i/>
          <w:iCs/>
        </w:rPr>
        <w:t xml:space="preserve"> </w:t>
      </w:r>
      <w:proofErr w:type="spellStart"/>
      <w:r w:rsidRPr="00CE4C3C">
        <w:rPr>
          <w:rFonts w:ascii="Times New Roman" w:eastAsia="Calibri" w:hAnsi="Times New Roman" w:cs="Times New Roman"/>
          <w:i/>
          <w:iCs/>
        </w:rPr>
        <w:t>Snap</w:t>
      </w:r>
      <w:proofErr w:type="spellEnd"/>
      <w:r w:rsidRPr="00CE4C3C">
        <w:rPr>
          <w:rFonts w:ascii="Times New Roman" w:eastAsia="Calibri" w:hAnsi="Times New Roman" w:cs="Times New Roman"/>
        </w:rPr>
        <w:t xml:space="preserve"> tipo 2 dydžio kietoji želatininė kapsulė. Dangtelis yra nepermatomas, vidutinio intensyvumo oranžinės spalvos, korpusas yra </w:t>
      </w:r>
      <w:r w:rsidR="00307EFB">
        <w:rPr>
          <w:rFonts w:ascii="Times New Roman" w:eastAsia="Calibri" w:hAnsi="Times New Roman" w:cs="Times New Roman"/>
        </w:rPr>
        <w:t>alyvuogių žalumo</w:t>
      </w:r>
      <w:r w:rsidRPr="00CE4C3C">
        <w:rPr>
          <w:rFonts w:ascii="Times New Roman" w:eastAsia="Calibri" w:hAnsi="Times New Roman" w:cs="Times New Roman"/>
        </w:rPr>
        <w:t xml:space="preserve"> spalvos, kapsulėje yra oranžinės spalvos granulių.</w:t>
      </w:r>
    </w:p>
    <w:p w14:paraId="5356611F" w14:textId="77777777" w:rsidR="007B4CBC" w:rsidRPr="00CE4C3C" w:rsidRDefault="007B4CBC" w:rsidP="00CE4C3C">
      <w:pPr>
        <w:spacing w:line="240" w:lineRule="auto"/>
        <w:rPr>
          <w:rFonts w:ascii="Times New Roman" w:eastAsia="Calibri" w:hAnsi="Times New Roman" w:cs="Times New Roman"/>
        </w:rPr>
      </w:pPr>
    </w:p>
    <w:p w14:paraId="33D8BAE7" w14:textId="77777777" w:rsidR="007B4CBC" w:rsidRPr="00CE4C3C" w:rsidRDefault="007B4CBC" w:rsidP="00CE4C3C">
      <w:pPr>
        <w:spacing w:line="240" w:lineRule="auto"/>
        <w:rPr>
          <w:rFonts w:ascii="Times New Roman" w:eastAsia="Calibri" w:hAnsi="Times New Roman" w:cs="Times New Roman"/>
          <w:u w:val="single"/>
        </w:rPr>
      </w:pPr>
      <w:r w:rsidRPr="00CE4C3C">
        <w:rPr>
          <w:rFonts w:ascii="Times New Roman" w:eastAsia="Calibri" w:hAnsi="Times New Roman" w:cs="Times New Roman"/>
          <w:u w:val="single"/>
        </w:rPr>
        <w:t>Klertis 50 mg kietosios kapsulės</w:t>
      </w:r>
    </w:p>
    <w:p w14:paraId="1C870530" w14:textId="77777777" w:rsidR="007B4CBC" w:rsidRPr="00CE4C3C" w:rsidRDefault="007B4CBC" w:rsidP="00CE4C3C">
      <w:pPr>
        <w:spacing w:line="240" w:lineRule="auto"/>
        <w:rPr>
          <w:rFonts w:ascii="Times New Roman" w:eastAsia="Calibri" w:hAnsi="Times New Roman" w:cs="Times New Roman"/>
        </w:rPr>
      </w:pPr>
      <w:r w:rsidRPr="00CE4C3C">
        <w:rPr>
          <w:rFonts w:ascii="Times New Roman" w:eastAsia="Calibri" w:hAnsi="Times New Roman" w:cs="Times New Roman"/>
        </w:rPr>
        <w:t xml:space="preserve">Nežymėta savaime užsidaranti </w:t>
      </w:r>
      <w:proofErr w:type="spellStart"/>
      <w:r w:rsidRPr="00CE4C3C">
        <w:rPr>
          <w:rFonts w:ascii="Times New Roman" w:eastAsia="Calibri" w:hAnsi="Times New Roman" w:cs="Times New Roman"/>
          <w:i/>
          <w:iCs/>
        </w:rPr>
        <w:t>Coni</w:t>
      </w:r>
      <w:proofErr w:type="spellEnd"/>
      <w:r w:rsidRPr="00CE4C3C">
        <w:rPr>
          <w:rFonts w:ascii="Times New Roman" w:eastAsia="Calibri" w:hAnsi="Times New Roman" w:cs="Times New Roman"/>
          <w:i/>
          <w:iCs/>
        </w:rPr>
        <w:t xml:space="preserve"> </w:t>
      </w:r>
      <w:proofErr w:type="spellStart"/>
      <w:r w:rsidRPr="00CE4C3C">
        <w:rPr>
          <w:rFonts w:ascii="Times New Roman" w:eastAsia="Calibri" w:hAnsi="Times New Roman" w:cs="Times New Roman"/>
          <w:i/>
          <w:iCs/>
        </w:rPr>
        <w:t>Snap</w:t>
      </w:r>
      <w:proofErr w:type="spellEnd"/>
      <w:r w:rsidRPr="00CE4C3C">
        <w:rPr>
          <w:rFonts w:ascii="Times New Roman" w:eastAsia="Calibri" w:hAnsi="Times New Roman" w:cs="Times New Roman"/>
        </w:rPr>
        <w:t xml:space="preserve"> tipo 0 dydžio kietoji želatininė kapsulė. Dangtelis yra nepermatomas, vidutinio intensyvumo oranžinės spalvos, korpusas yra nepermatomas, vidutinio intensyvumo oranžinės spalvos, kapsulėje yra oranžinės spalvos granulių.</w:t>
      </w:r>
    </w:p>
    <w:p w14:paraId="02DED10B" w14:textId="77777777" w:rsidR="007B4CBC" w:rsidRPr="00CE4C3C" w:rsidRDefault="007B4CBC" w:rsidP="00CE4C3C">
      <w:pPr>
        <w:spacing w:line="240" w:lineRule="auto"/>
        <w:rPr>
          <w:rFonts w:ascii="Times New Roman" w:eastAsia="Calibri" w:hAnsi="Times New Roman" w:cs="Times New Roman"/>
        </w:rPr>
      </w:pPr>
    </w:p>
    <w:p w14:paraId="390634DD" w14:textId="77777777" w:rsidR="007B4CBC" w:rsidRPr="00CE4C3C" w:rsidRDefault="007B4CBC" w:rsidP="00CE4C3C">
      <w:pPr>
        <w:spacing w:line="240" w:lineRule="auto"/>
        <w:rPr>
          <w:rFonts w:ascii="Times New Roman" w:hAnsi="Times New Roman" w:cs="Times New Roman"/>
          <w:lang w:eastAsia="lt-LT" w:bidi="lt-LT"/>
        </w:rPr>
      </w:pPr>
      <w:r w:rsidRPr="00CE4C3C">
        <w:rPr>
          <w:rFonts w:ascii="Times New Roman" w:hAnsi="Times New Roman" w:cs="Times New Roman"/>
          <w:lang w:eastAsia="lt-LT" w:bidi="lt-LT"/>
        </w:rPr>
        <w:t>28</w:t>
      </w:r>
      <w:r w:rsidR="006D1A22">
        <w:rPr>
          <w:rFonts w:ascii="Times New Roman" w:hAnsi="Times New Roman" w:cs="Times New Roman"/>
          <w:lang w:eastAsia="lt-LT" w:bidi="lt-LT"/>
        </w:rPr>
        <w:t xml:space="preserve"> kietosios</w:t>
      </w:r>
      <w:r w:rsidRPr="00CE4C3C">
        <w:rPr>
          <w:rFonts w:ascii="Times New Roman" w:hAnsi="Times New Roman" w:cs="Times New Roman"/>
          <w:lang w:eastAsia="lt-LT" w:bidi="lt-LT"/>
        </w:rPr>
        <w:t> kapsulės PVC/</w:t>
      </w:r>
      <w:proofErr w:type="spellStart"/>
      <w:r w:rsidRPr="00CE4C3C">
        <w:rPr>
          <w:rFonts w:ascii="Times New Roman" w:hAnsi="Times New Roman" w:cs="Times New Roman"/>
          <w:lang w:eastAsia="lt-LT" w:bidi="lt-LT"/>
        </w:rPr>
        <w:t>Aclar</w:t>
      </w:r>
      <w:proofErr w:type="spellEnd"/>
      <w:r w:rsidRPr="00CE4C3C">
        <w:rPr>
          <w:rFonts w:ascii="Times New Roman" w:hAnsi="Times New Roman" w:cs="Times New Roman"/>
          <w:lang w:eastAsia="lt-LT" w:bidi="lt-LT"/>
        </w:rPr>
        <w:t>//aliuminio lizdinėje plokštelėje arba 30 </w:t>
      </w:r>
      <w:r w:rsidR="006D1A22">
        <w:rPr>
          <w:rFonts w:ascii="Times New Roman" w:hAnsi="Times New Roman" w:cs="Times New Roman"/>
          <w:lang w:eastAsia="lt-LT" w:bidi="lt-LT"/>
        </w:rPr>
        <w:t xml:space="preserve">kietųjų </w:t>
      </w:r>
      <w:r w:rsidRPr="00CE4C3C">
        <w:rPr>
          <w:rFonts w:ascii="Times New Roman" w:hAnsi="Times New Roman" w:cs="Times New Roman"/>
          <w:lang w:eastAsia="lt-LT" w:bidi="lt-LT"/>
        </w:rPr>
        <w:t>kapsulių DTPE buteliuke su vaikų sunkiai atidaromu balto polipropileno (PP) dangteliu.</w:t>
      </w:r>
    </w:p>
    <w:p w14:paraId="3E26E006" w14:textId="77777777" w:rsidR="007B4CBC" w:rsidRPr="00CE4C3C" w:rsidRDefault="007B4CBC" w:rsidP="00CE4C3C">
      <w:pPr>
        <w:spacing w:line="240" w:lineRule="auto"/>
        <w:rPr>
          <w:rFonts w:ascii="Times New Roman" w:hAnsi="Times New Roman" w:cs="Times New Roman"/>
          <w:lang w:eastAsia="lt-LT" w:bidi="lt-LT"/>
        </w:rPr>
      </w:pPr>
    </w:p>
    <w:p w14:paraId="746D1992" w14:textId="77777777" w:rsidR="007B4CBC" w:rsidRPr="00CE4C3C" w:rsidRDefault="007B4CBC" w:rsidP="00CE4C3C">
      <w:pPr>
        <w:spacing w:line="240" w:lineRule="auto"/>
        <w:rPr>
          <w:rFonts w:ascii="Times New Roman" w:hAnsi="Times New Roman" w:cs="Times New Roman"/>
          <w:lang w:eastAsia="lt-LT" w:bidi="lt-LT"/>
        </w:rPr>
      </w:pPr>
      <w:r w:rsidRPr="00CE4C3C">
        <w:rPr>
          <w:rFonts w:ascii="Times New Roman" w:hAnsi="Times New Roman" w:cs="Times New Roman"/>
          <w:lang w:eastAsia="lt-LT" w:bidi="lt-LT"/>
        </w:rPr>
        <w:t>Gali būti tiekiamos ne visų dydžių pakuotės.</w:t>
      </w:r>
    </w:p>
    <w:p w14:paraId="187AFC9D" w14:textId="77777777" w:rsidR="007B4CBC" w:rsidRPr="00CE4C3C" w:rsidRDefault="007B4CBC" w:rsidP="00CE4C3C">
      <w:pPr>
        <w:keepNext/>
        <w:numPr>
          <w:ilvl w:val="12"/>
          <w:numId w:val="0"/>
        </w:numPr>
        <w:spacing w:line="240" w:lineRule="auto"/>
        <w:ind w:right="-2"/>
        <w:rPr>
          <w:rFonts w:ascii="Times New Roman" w:hAnsi="Times New Roman" w:cs="Times New Roman"/>
          <w:lang w:eastAsia="lt-LT" w:bidi="lt-LT"/>
        </w:rPr>
      </w:pPr>
    </w:p>
    <w:p w14:paraId="4139CF34" w14:textId="77777777" w:rsidR="007B4CBC" w:rsidRPr="00CE4C3C" w:rsidRDefault="007B4CBC" w:rsidP="00CE4C3C">
      <w:pPr>
        <w:keepNext/>
        <w:numPr>
          <w:ilvl w:val="12"/>
          <w:numId w:val="0"/>
        </w:numPr>
        <w:spacing w:line="240" w:lineRule="auto"/>
        <w:ind w:right="-2"/>
        <w:rPr>
          <w:rFonts w:ascii="Times New Roman" w:hAnsi="Times New Roman" w:cs="Times New Roman"/>
          <w:b/>
          <w:lang w:eastAsia="lt-LT" w:bidi="lt-LT"/>
        </w:rPr>
      </w:pPr>
      <w:r w:rsidRPr="00CE4C3C">
        <w:rPr>
          <w:rFonts w:ascii="Times New Roman" w:hAnsi="Times New Roman" w:cs="Times New Roman"/>
          <w:b/>
          <w:lang w:eastAsia="lt-LT" w:bidi="lt-LT"/>
        </w:rPr>
        <w:t>Registruotojas</w:t>
      </w:r>
    </w:p>
    <w:p w14:paraId="61CED242" w14:textId="77777777" w:rsidR="007B4CBC" w:rsidRPr="00CE4C3C" w:rsidRDefault="007B4CBC" w:rsidP="00CE4C3C">
      <w:pPr>
        <w:numPr>
          <w:ilvl w:val="12"/>
          <w:numId w:val="0"/>
        </w:numPr>
        <w:spacing w:line="240" w:lineRule="auto"/>
        <w:ind w:right="-2"/>
        <w:rPr>
          <w:rFonts w:ascii="Times New Roman" w:hAnsi="Times New Roman" w:cs="Times New Roman"/>
          <w:bCs/>
          <w:lang w:eastAsia="lt-LT" w:bidi="lt-LT"/>
        </w:rPr>
      </w:pPr>
      <w:r w:rsidRPr="00CE4C3C">
        <w:rPr>
          <w:rFonts w:ascii="Times New Roman" w:hAnsi="Times New Roman" w:cs="Times New Roman"/>
          <w:bCs/>
          <w:lang w:eastAsia="lt-LT" w:bidi="lt-LT"/>
        </w:rPr>
        <w:t>Egis Pharmaceuticals PLC</w:t>
      </w:r>
    </w:p>
    <w:p w14:paraId="3AA13610" w14:textId="2AB2B219" w:rsidR="006E2D71" w:rsidRDefault="007B4CBC" w:rsidP="00CE4C3C">
      <w:pPr>
        <w:numPr>
          <w:ilvl w:val="12"/>
          <w:numId w:val="0"/>
        </w:numPr>
        <w:spacing w:line="240" w:lineRule="auto"/>
        <w:ind w:right="-2"/>
        <w:rPr>
          <w:rFonts w:ascii="Times New Roman" w:hAnsi="Times New Roman" w:cs="Times New Roman"/>
        </w:rPr>
      </w:pPr>
      <w:proofErr w:type="spellStart"/>
      <w:r w:rsidRPr="00CE4C3C">
        <w:rPr>
          <w:rFonts w:ascii="Times New Roman" w:hAnsi="Times New Roman" w:cs="Times New Roman"/>
        </w:rPr>
        <w:t>Keresztúri</w:t>
      </w:r>
      <w:proofErr w:type="spellEnd"/>
      <w:r w:rsidRPr="00CE4C3C">
        <w:rPr>
          <w:rFonts w:ascii="Times New Roman" w:hAnsi="Times New Roman" w:cs="Times New Roman"/>
        </w:rPr>
        <w:t xml:space="preserve"> </w:t>
      </w:r>
      <w:proofErr w:type="spellStart"/>
      <w:r w:rsidRPr="00CE4C3C">
        <w:rPr>
          <w:rFonts w:ascii="Times New Roman" w:hAnsi="Times New Roman" w:cs="Times New Roman"/>
        </w:rPr>
        <w:t>út</w:t>
      </w:r>
      <w:proofErr w:type="spellEnd"/>
      <w:r w:rsidRPr="00CE4C3C">
        <w:rPr>
          <w:rFonts w:ascii="Times New Roman" w:hAnsi="Times New Roman" w:cs="Times New Roman"/>
        </w:rPr>
        <w:t xml:space="preserve"> 30-38</w:t>
      </w:r>
    </w:p>
    <w:p w14:paraId="7FF1CBAD" w14:textId="246725C7" w:rsidR="004C374C" w:rsidRPr="00CE4C3C" w:rsidRDefault="004C374C" w:rsidP="00CE4C3C">
      <w:pPr>
        <w:numPr>
          <w:ilvl w:val="12"/>
          <w:numId w:val="0"/>
        </w:numPr>
        <w:spacing w:line="240" w:lineRule="auto"/>
        <w:ind w:right="-2"/>
        <w:rPr>
          <w:rFonts w:ascii="Times New Roman" w:hAnsi="Times New Roman" w:cs="Times New Roman"/>
          <w:bCs/>
          <w:lang w:eastAsia="lt-LT" w:bidi="lt-LT"/>
        </w:rPr>
      </w:pPr>
      <w:r w:rsidRPr="004C374C">
        <w:rPr>
          <w:rFonts w:ascii="Times New Roman" w:hAnsi="Times New Roman" w:cs="Times New Roman"/>
          <w:bCs/>
          <w:lang w:eastAsia="lt-LT" w:bidi="lt-LT"/>
        </w:rPr>
        <w:t xml:space="preserve">1106 </w:t>
      </w:r>
      <w:proofErr w:type="spellStart"/>
      <w:r w:rsidRPr="004C374C">
        <w:rPr>
          <w:rFonts w:ascii="Times New Roman" w:hAnsi="Times New Roman" w:cs="Times New Roman"/>
          <w:bCs/>
          <w:lang w:eastAsia="lt-LT" w:bidi="lt-LT"/>
        </w:rPr>
        <w:t>Budapest</w:t>
      </w:r>
      <w:proofErr w:type="spellEnd"/>
    </w:p>
    <w:p w14:paraId="7A1FAB73"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Vengrija</w:t>
      </w:r>
    </w:p>
    <w:p w14:paraId="2C014181" w14:textId="77777777" w:rsidR="007B4CBC" w:rsidRPr="00CE4C3C" w:rsidRDefault="007B4CBC" w:rsidP="00CE4C3C">
      <w:pPr>
        <w:numPr>
          <w:ilvl w:val="12"/>
          <w:numId w:val="0"/>
        </w:numPr>
        <w:spacing w:line="240" w:lineRule="auto"/>
        <w:ind w:right="-2"/>
        <w:rPr>
          <w:rFonts w:ascii="Times New Roman" w:hAnsi="Times New Roman" w:cs="Times New Roman"/>
          <w:bCs/>
          <w:lang w:eastAsia="lt-LT" w:bidi="lt-LT"/>
        </w:rPr>
      </w:pPr>
    </w:p>
    <w:p w14:paraId="473ACCE7" w14:textId="77777777" w:rsidR="007B4CBC" w:rsidRPr="00CE4C3C" w:rsidRDefault="007B4CBC" w:rsidP="00CE4C3C">
      <w:pPr>
        <w:numPr>
          <w:ilvl w:val="12"/>
          <w:numId w:val="0"/>
        </w:numPr>
        <w:spacing w:line="240" w:lineRule="auto"/>
        <w:ind w:right="-2"/>
        <w:rPr>
          <w:rFonts w:ascii="Times New Roman" w:hAnsi="Times New Roman" w:cs="Times New Roman"/>
          <w:b/>
          <w:lang w:eastAsia="lt-LT" w:bidi="lt-LT"/>
        </w:rPr>
      </w:pPr>
      <w:r w:rsidRPr="00CE4C3C">
        <w:rPr>
          <w:rFonts w:ascii="Times New Roman" w:hAnsi="Times New Roman" w:cs="Times New Roman"/>
          <w:b/>
          <w:lang w:eastAsia="lt-LT" w:bidi="lt-LT"/>
        </w:rPr>
        <w:t>Gamintojas</w:t>
      </w:r>
    </w:p>
    <w:p w14:paraId="35D387FF" w14:textId="20656CB4" w:rsidR="007B4CBC" w:rsidRPr="00CE4C3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Egis Pharmaceuticals PLC</w:t>
      </w:r>
    </w:p>
    <w:p w14:paraId="0F14FF75" w14:textId="6E080B55" w:rsidR="00D51694" w:rsidRDefault="007B4CBC" w:rsidP="00CE4C3C">
      <w:pPr>
        <w:numPr>
          <w:ilvl w:val="12"/>
          <w:numId w:val="0"/>
        </w:numPr>
        <w:spacing w:line="240" w:lineRule="auto"/>
        <w:ind w:right="-2"/>
        <w:rPr>
          <w:rFonts w:ascii="Times New Roman" w:hAnsi="Times New Roman" w:cs="Times New Roman"/>
          <w:lang w:eastAsia="lt-LT" w:bidi="lt-LT"/>
        </w:rPr>
      </w:pPr>
      <w:proofErr w:type="spellStart"/>
      <w:r w:rsidRPr="00CE4C3C">
        <w:rPr>
          <w:rFonts w:ascii="Times New Roman" w:hAnsi="Times New Roman" w:cs="Times New Roman"/>
          <w:lang w:eastAsia="lt-LT" w:bidi="lt-LT"/>
        </w:rPr>
        <w:t>Bökényföldi</w:t>
      </w:r>
      <w:proofErr w:type="spellEnd"/>
      <w:r w:rsidRPr="00CE4C3C">
        <w:rPr>
          <w:rFonts w:ascii="Times New Roman" w:hAnsi="Times New Roman" w:cs="Times New Roman"/>
          <w:lang w:eastAsia="lt-LT" w:bidi="lt-LT"/>
        </w:rPr>
        <w:t xml:space="preserve"> </w:t>
      </w:r>
      <w:proofErr w:type="spellStart"/>
      <w:r w:rsidRPr="00CE4C3C">
        <w:rPr>
          <w:rFonts w:ascii="Times New Roman" w:hAnsi="Times New Roman" w:cs="Times New Roman"/>
          <w:lang w:eastAsia="lt-LT" w:bidi="lt-LT"/>
        </w:rPr>
        <w:t>út</w:t>
      </w:r>
      <w:proofErr w:type="spellEnd"/>
      <w:r w:rsidRPr="00CE4C3C">
        <w:rPr>
          <w:rFonts w:ascii="Times New Roman" w:hAnsi="Times New Roman" w:cs="Times New Roman"/>
          <w:lang w:eastAsia="lt-LT" w:bidi="lt-LT"/>
        </w:rPr>
        <w:t xml:space="preserve"> 118-120</w:t>
      </w:r>
    </w:p>
    <w:p w14:paraId="3398D95C" w14:textId="6E6214F3" w:rsidR="00D51694" w:rsidRDefault="00D51694" w:rsidP="00CE4C3C">
      <w:pPr>
        <w:numPr>
          <w:ilvl w:val="12"/>
          <w:numId w:val="0"/>
        </w:numPr>
        <w:spacing w:line="240" w:lineRule="auto"/>
        <w:ind w:right="-2"/>
        <w:rPr>
          <w:rFonts w:ascii="Times New Roman" w:hAnsi="Times New Roman" w:cs="Times New Roman"/>
          <w:lang w:eastAsia="lt-LT" w:bidi="lt-LT"/>
        </w:rPr>
      </w:pPr>
      <w:r w:rsidRPr="00D51694">
        <w:rPr>
          <w:rFonts w:ascii="Times New Roman" w:hAnsi="Times New Roman" w:cs="Times New Roman"/>
          <w:lang w:eastAsia="lt-LT" w:bidi="lt-LT"/>
        </w:rPr>
        <w:lastRenderedPageBreak/>
        <w:t xml:space="preserve">1165 </w:t>
      </w:r>
      <w:proofErr w:type="spellStart"/>
      <w:r w:rsidRPr="00D51694">
        <w:rPr>
          <w:rFonts w:ascii="Times New Roman" w:hAnsi="Times New Roman" w:cs="Times New Roman"/>
          <w:lang w:eastAsia="lt-LT" w:bidi="lt-LT"/>
        </w:rPr>
        <w:t>Budapest</w:t>
      </w:r>
      <w:proofErr w:type="spellEnd"/>
    </w:p>
    <w:p w14:paraId="09D77E8F" w14:textId="4CEE6BF9" w:rsidR="007B4CBC" w:rsidRPr="00CE4C3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Vengrija</w:t>
      </w:r>
    </w:p>
    <w:p w14:paraId="2B1EE926"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5BE32F4B" w14:textId="77777777" w:rsidR="007B4CBC" w:rsidRDefault="007B4CBC" w:rsidP="00CE4C3C">
      <w:pPr>
        <w:numPr>
          <w:ilvl w:val="12"/>
          <w:numId w:val="0"/>
        </w:numPr>
        <w:spacing w:line="240" w:lineRule="auto"/>
        <w:ind w:right="-2"/>
        <w:rPr>
          <w:rFonts w:ascii="Times New Roman" w:hAnsi="Times New Roman" w:cs="Times New Roman"/>
          <w:lang w:eastAsia="lt-LT" w:bidi="lt-LT"/>
        </w:rPr>
      </w:pPr>
      <w:r w:rsidRPr="00CE4C3C">
        <w:rPr>
          <w:rFonts w:ascii="Times New Roman" w:hAnsi="Times New Roman" w:cs="Times New Roman"/>
          <w:lang w:eastAsia="lt-LT" w:bidi="lt-LT"/>
        </w:rPr>
        <w:t>Jeigu apie šį vaistą norite sužinoti daugiau, kreipkitės į vietinį registruotojo atstovą:</w:t>
      </w:r>
    </w:p>
    <w:p w14:paraId="359A3DF1" w14:textId="77777777" w:rsidR="00B92C6E" w:rsidRPr="00CE4C3C" w:rsidRDefault="00B92C6E" w:rsidP="00CE4C3C">
      <w:pPr>
        <w:numPr>
          <w:ilvl w:val="12"/>
          <w:numId w:val="0"/>
        </w:numPr>
        <w:spacing w:line="240" w:lineRule="auto"/>
        <w:ind w:right="-2"/>
        <w:rPr>
          <w:rFonts w:ascii="Times New Roman" w:hAnsi="Times New Roman" w:cs="Times New Roman"/>
          <w:lang w:eastAsia="lt-LT" w:bidi="lt-LT"/>
        </w:rPr>
      </w:pPr>
    </w:p>
    <w:p w14:paraId="79471D64" w14:textId="5DB8AF48" w:rsidR="007B4CBC" w:rsidRPr="00CE4C3C" w:rsidRDefault="007B4CBC" w:rsidP="00CE4C3C">
      <w:pPr>
        <w:spacing w:line="240" w:lineRule="auto"/>
        <w:jc w:val="both"/>
        <w:rPr>
          <w:rFonts w:ascii="Times New Roman" w:eastAsia="Calibri" w:hAnsi="Times New Roman" w:cs="Times New Roman"/>
        </w:rPr>
      </w:pPr>
      <w:proofErr w:type="spellStart"/>
      <w:r w:rsidRPr="00CE4C3C">
        <w:rPr>
          <w:rFonts w:ascii="Times New Roman" w:hAnsi="Times New Roman" w:cs="Times New Roman"/>
        </w:rPr>
        <w:t>Egis</w:t>
      </w:r>
      <w:proofErr w:type="spellEnd"/>
      <w:r w:rsidRPr="00CE4C3C">
        <w:rPr>
          <w:rFonts w:ascii="Times New Roman" w:hAnsi="Times New Roman" w:cs="Times New Roman"/>
        </w:rPr>
        <w:t xml:space="preserve"> </w:t>
      </w:r>
      <w:proofErr w:type="spellStart"/>
      <w:r w:rsidRPr="00CE4C3C">
        <w:rPr>
          <w:rFonts w:ascii="Times New Roman" w:hAnsi="Times New Roman" w:cs="Times New Roman"/>
        </w:rPr>
        <w:t>Pharmaceuticals</w:t>
      </w:r>
      <w:proofErr w:type="spellEnd"/>
      <w:r w:rsidRPr="00CE4C3C">
        <w:rPr>
          <w:rFonts w:ascii="Times New Roman" w:hAnsi="Times New Roman" w:cs="Times New Roman"/>
        </w:rPr>
        <w:t xml:space="preserve"> PLC atstovybė</w:t>
      </w:r>
    </w:p>
    <w:p w14:paraId="24643530" w14:textId="77777777" w:rsidR="007B4CBC" w:rsidRPr="00CE4C3C" w:rsidRDefault="007B4CBC" w:rsidP="00CE4C3C">
      <w:pPr>
        <w:spacing w:line="240" w:lineRule="auto"/>
        <w:jc w:val="both"/>
        <w:rPr>
          <w:rFonts w:ascii="Times New Roman" w:eastAsia="Calibri" w:hAnsi="Times New Roman" w:cs="Times New Roman"/>
        </w:rPr>
      </w:pPr>
      <w:r w:rsidRPr="00CE4C3C">
        <w:rPr>
          <w:rFonts w:ascii="Times New Roman" w:hAnsi="Times New Roman" w:cs="Times New Roman"/>
        </w:rPr>
        <w:t>Tel: (8 5) 23 14 658</w:t>
      </w:r>
    </w:p>
    <w:p w14:paraId="33592983" w14:textId="77777777" w:rsidR="007B4CBC" w:rsidRPr="00CE4C3C" w:rsidRDefault="007B4CBC" w:rsidP="00CE4C3C">
      <w:pPr>
        <w:keepNext/>
        <w:numPr>
          <w:ilvl w:val="12"/>
          <w:numId w:val="0"/>
        </w:numPr>
        <w:spacing w:line="240" w:lineRule="auto"/>
        <w:ind w:right="-2"/>
        <w:outlineLvl w:val="0"/>
        <w:rPr>
          <w:rFonts w:ascii="Times New Roman" w:hAnsi="Times New Roman" w:cs="Times New Roman"/>
          <w:b/>
          <w:lang w:eastAsia="lt-LT" w:bidi="lt-LT"/>
        </w:rPr>
      </w:pPr>
    </w:p>
    <w:p w14:paraId="7E9A4D78" w14:textId="77777777" w:rsidR="007B4CBC" w:rsidRPr="00CE4C3C" w:rsidRDefault="007B4CBC" w:rsidP="00CE4C3C">
      <w:pPr>
        <w:numPr>
          <w:ilvl w:val="12"/>
          <w:numId w:val="0"/>
        </w:numPr>
        <w:spacing w:line="240" w:lineRule="auto"/>
        <w:ind w:right="-2"/>
        <w:rPr>
          <w:rFonts w:ascii="Times New Roman" w:hAnsi="Times New Roman" w:cs="Times New Roman"/>
        </w:rPr>
      </w:pPr>
      <w:r w:rsidRPr="00CE4C3C">
        <w:rPr>
          <w:rFonts w:ascii="Times New Roman" w:hAnsi="Times New Roman" w:cs="Times New Roman"/>
          <w:b/>
        </w:rPr>
        <w:t>Šis vaistas EEE valstybėse narėse registruotas tokiais pavadinimais</w:t>
      </w:r>
      <w:r w:rsidRPr="00CE4C3C">
        <w:rPr>
          <w:rFonts w:ascii="Times New Roman" w:hAnsi="Times New Roman" w:cs="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6146"/>
      </w:tblGrid>
      <w:tr w:rsidR="007B4CBC" w:rsidRPr="00CE4C3C" w14:paraId="4AC8AA52" w14:textId="77777777" w:rsidTr="006E3B7D">
        <w:trPr>
          <w:trHeight w:val="320"/>
          <w:jc w:val="center"/>
        </w:trPr>
        <w:tc>
          <w:tcPr>
            <w:tcW w:w="1050" w:type="pct"/>
            <w:shd w:val="clear" w:color="auto" w:fill="auto"/>
          </w:tcPr>
          <w:p w14:paraId="009AEE5B" w14:textId="77777777" w:rsidR="007B4CBC" w:rsidRPr="00CE4C3C" w:rsidRDefault="007B4CBC" w:rsidP="00CE4C3C">
            <w:pPr>
              <w:spacing w:line="240" w:lineRule="auto"/>
              <w:rPr>
                <w:rFonts w:ascii="Times New Roman" w:hAnsi="Times New Roman" w:cs="Times New Roman"/>
              </w:rPr>
            </w:pPr>
            <w:r w:rsidRPr="00CE4C3C">
              <w:rPr>
                <w:rFonts w:ascii="Times New Roman" w:hAnsi="Times New Roman" w:cs="Times New Roman"/>
              </w:rPr>
              <w:t>Olandija</w:t>
            </w:r>
          </w:p>
        </w:tc>
        <w:tc>
          <w:tcPr>
            <w:tcW w:w="2214" w:type="pct"/>
            <w:shd w:val="clear" w:color="auto" w:fill="auto"/>
          </w:tcPr>
          <w:p w14:paraId="52B6D2FA" w14:textId="651043A1" w:rsidR="007B4CBC" w:rsidRPr="00CE4C3C" w:rsidRDefault="007B4CBC" w:rsidP="00CE4C3C">
            <w:pPr>
              <w:spacing w:line="240" w:lineRule="auto"/>
              <w:rPr>
                <w:rFonts w:ascii="Times New Roman" w:hAnsi="Times New Roman" w:cs="Times New Roman"/>
              </w:rPr>
            </w:pPr>
            <w:r w:rsidRPr="00CE4C3C">
              <w:rPr>
                <w:rFonts w:ascii="Times New Roman" w:hAnsi="Times New Roman" w:cs="Times New Roman"/>
              </w:rPr>
              <w:t>Klertis 12.5</w:t>
            </w:r>
            <w:r w:rsidR="00B92C6E">
              <w:rPr>
                <w:rFonts w:ascii="Times New Roman" w:hAnsi="Times New Roman" w:cs="Times New Roman"/>
              </w:rPr>
              <w:t> </w:t>
            </w:r>
            <w:r w:rsidRPr="00CE4C3C">
              <w:rPr>
                <w:rFonts w:ascii="Times New Roman" w:hAnsi="Times New Roman" w:cs="Times New Roman"/>
              </w:rPr>
              <w:t>mg, 25</w:t>
            </w:r>
            <w:r w:rsidR="00B92C6E">
              <w:rPr>
                <w:rFonts w:ascii="Times New Roman" w:hAnsi="Times New Roman" w:cs="Times New Roman"/>
              </w:rPr>
              <w:t> </w:t>
            </w:r>
            <w:r w:rsidRPr="00CE4C3C">
              <w:rPr>
                <w:rFonts w:ascii="Times New Roman" w:hAnsi="Times New Roman" w:cs="Times New Roman"/>
              </w:rPr>
              <w:t>mg, 50</w:t>
            </w:r>
            <w:r w:rsidR="00B92C6E">
              <w:rPr>
                <w:rFonts w:ascii="Times New Roman" w:hAnsi="Times New Roman" w:cs="Times New Roman"/>
              </w:rPr>
              <w:t> </w:t>
            </w:r>
            <w:r w:rsidRPr="00CE4C3C">
              <w:rPr>
                <w:rFonts w:ascii="Times New Roman" w:hAnsi="Times New Roman" w:cs="Times New Roman"/>
              </w:rPr>
              <w:t xml:space="preserve">mg </w:t>
            </w:r>
            <w:proofErr w:type="spellStart"/>
            <w:r w:rsidRPr="00CE4C3C">
              <w:rPr>
                <w:rFonts w:ascii="Times New Roman" w:hAnsi="Times New Roman" w:cs="Times New Roman"/>
              </w:rPr>
              <w:t>capsule</w:t>
            </w:r>
            <w:proofErr w:type="spellEnd"/>
            <w:r w:rsidRPr="00CE4C3C">
              <w:rPr>
                <w:rFonts w:ascii="Times New Roman" w:hAnsi="Times New Roman" w:cs="Times New Roman"/>
              </w:rPr>
              <w:t xml:space="preserve">, </w:t>
            </w:r>
            <w:proofErr w:type="spellStart"/>
            <w:r w:rsidRPr="00CE4C3C">
              <w:rPr>
                <w:rFonts w:ascii="Times New Roman" w:hAnsi="Times New Roman" w:cs="Times New Roman"/>
              </w:rPr>
              <w:t>hard</w:t>
            </w:r>
            <w:proofErr w:type="spellEnd"/>
          </w:p>
        </w:tc>
      </w:tr>
      <w:tr w:rsidR="007B4CBC" w:rsidRPr="00CE4C3C" w14:paraId="039A0C8E" w14:textId="77777777" w:rsidTr="006E3B7D">
        <w:trPr>
          <w:trHeight w:val="409"/>
          <w:jc w:val="center"/>
        </w:trPr>
        <w:tc>
          <w:tcPr>
            <w:tcW w:w="1050" w:type="pct"/>
            <w:shd w:val="clear" w:color="auto" w:fill="auto"/>
          </w:tcPr>
          <w:p w14:paraId="0F3AE781" w14:textId="77777777" w:rsidR="007B4CBC" w:rsidRPr="00CE4C3C" w:rsidRDefault="007B4CBC" w:rsidP="00CE4C3C">
            <w:pPr>
              <w:spacing w:line="240" w:lineRule="auto"/>
              <w:rPr>
                <w:rFonts w:ascii="Times New Roman" w:hAnsi="Times New Roman" w:cs="Times New Roman"/>
              </w:rPr>
            </w:pPr>
            <w:r w:rsidRPr="00CE4C3C">
              <w:rPr>
                <w:rFonts w:ascii="Times New Roman" w:hAnsi="Times New Roman" w:cs="Times New Roman"/>
              </w:rPr>
              <w:t>Bulgarija</w:t>
            </w:r>
          </w:p>
        </w:tc>
        <w:tc>
          <w:tcPr>
            <w:tcW w:w="2214" w:type="pct"/>
            <w:shd w:val="clear" w:color="auto" w:fill="auto"/>
          </w:tcPr>
          <w:p w14:paraId="61CFFFED" w14:textId="00EFDCB1" w:rsidR="007B4CBC" w:rsidRPr="00CE4C3C" w:rsidRDefault="007B4CBC" w:rsidP="00CE4C3C">
            <w:pPr>
              <w:spacing w:line="240" w:lineRule="auto"/>
              <w:rPr>
                <w:rFonts w:ascii="Times New Roman" w:hAnsi="Times New Roman" w:cs="Times New Roman"/>
              </w:rPr>
            </w:pPr>
            <w:r w:rsidRPr="00CE4C3C">
              <w:rPr>
                <w:rFonts w:ascii="Times New Roman" w:hAnsi="Times New Roman" w:cs="Times New Roman"/>
              </w:rPr>
              <w:t>Klertis 12.5</w:t>
            </w:r>
            <w:r w:rsidR="00B92C6E">
              <w:rPr>
                <w:rFonts w:ascii="Times New Roman" w:hAnsi="Times New Roman" w:cs="Times New Roman"/>
              </w:rPr>
              <w:t> </w:t>
            </w:r>
            <w:r w:rsidRPr="00CE4C3C">
              <w:rPr>
                <w:rFonts w:ascii="Times New Roman" w:hAnsi="Times New Roman" w:cs="Times New Roman"/>
              </w:rPr>
              <w:t>mg, 25</w:t>
            </w:r>
            <w:r w:rsidR="00B92C6E">
              <w:rPr>
                <w:rFonts w:ascii="Times New Roman" w:hAnsi="Times New Roman" w:cs="Times New Roman"/>
              </w:rPr>
              <w:t> </w:t>
            </w:r>
            <w:r w:rsidRPr="00CE4C3C">
              <w:rPr>
                <w:rFonts w:ascii="Times New Roman" w:hAnsi="Times New Roman" w:cs="Times New Roman"/>
              </w:rPr>
              <w:t>mg, 50</w:t>
            </w:r>
            <w:r w:rsidR="00B92C6E">
              <w:rPr>
                <w:rFonts w:ascii="Times New Roman" w:hAnsi="Times New Roman" w:cs="Times New Roman"/>
              </w:rPr>
              <w:t> </w:t>
            </w:r>
            <w:r w:rsidRPr="00CE4C3C">
              <w:rPr>
                <w:rFonts w:ascii="Times New Roman" w:hAnsi="Times New Roman" w:cs="Times New Roman"/>
              </w:rPr>
              <w:t xml:space="preserve">mg </w:t>
            </w:r>
            <w:proofErr w:type="spellStart"/>
            <w:r w:rsidRPr="00CE4C3C">
              <w:rPr>
                <w:rFonts w:ascii="Times New Roman" w:hAnsi="Times New Roman" w:cs="Times New Roman"/>
              </w:rPr>
              <w:t>твърдa</w:t>
            </w:r>
            <w:proofErr w:type="spellEnd"/>
            <w:r w:rsidRPr="00CE4C3C">
              <w:rPr>
                <w:rFonts w:ascii="Times New Roman" w:hAnsi="Times New Roman" w:cs="Times New Roman"/>
              </w:rPr>
              <w:t xml:space="preserve"> </w:t>
            </w:r>
            <w:proofErr w:type="spellStart"/>
            <w:r w:rsidRPr="00CE4C3C">
              <w:rPr>
                <w:rFonts w:ascii="Times New Roman" w:hAnsi="Times New Roman" w:cs="Times New Roman"/>
              </w:rPr>
              <w:t>капсулa</w:t>
            </w:r>
            <w:proofErr w:type="spellEnd"/>
          </w:p>
        </w:tc>
      </w:tr>
      <w:tr w:rsidR="007B4CBC" w:rsidRPr="00CE4C3C" w14:paraId="3DEF4FB8" w14:textId="77777777" w:rsidTr="006E3B7D">
        <w:trPr>
          <w:trHeight w:val="287"/>
          <w:jc w:val="center"/>
        </w:trPr>
        <w:tc>
          <w:tcPr>
            <w:tcW w:w="1050" w:type="pct"/>
            <w:shd w:val="clear" w:color="auto" w:fill="auto"/>
          </w:tcPr>
          <w:p w14:paraId="47E054D0" w14:textId="77777777" w:rsidR="007B4CBC" w:rsidRPr="00CE4C3C" w:rsidRDefault="007B4CBC" w:rsidP="00CE4C3C">
            <w:pPr>
              <w:spacing w:line="240" w:lineRule="auto"/>
              <w:rPr>
                <w:rFonts w:ascii="Times New Roman" w:hAnsi="Times New Roman" w:cs="Times New Roman"/>
              </w:rPr>
            </w:pPr>
            <w:r w:rsidRPr="00CE4C3C">
              <w:rPr>
                <w:rFonts w:ascii="Times New Roman" w:hAnsi="Times New Roman" w:cs="Times New Roman"/>
              </w:rPr>
              <w:t>Čekijos Respublika</w:t>
            </w:r>
          </w:p>
        </w:tc>
        <w:tc>
          <w:tcPr>
            <w:tcW w:w="2214" w:type="pct"/>
            <w:shd w:val="clear" w:color="auto" w:fill="auto"/>
          </w:tcPr>
          <w:p w14:paraId="0422965E" w14:textId="77777777" w:rsidR="007B4CBC" w:rsidRPr="00CE4C3C" w:rsidRDefault="007B4CBC" w:rsidP="00CE4C3C">
            <w:pPr>
              <w:spacing w:line="240" w:lineRule="auto"/>
              <w:rPr>
                <w:rFonts w:ascii="Times New Roman" w:hAnsi="Times New Roman" w:cs="Times New Roman"/>
              </w:rPr>
            </w:pPr>
            <w:r w:rsidRPr="00CE4C3C">
              <w:rPr>
                <w:rFonts w:ascii="Times New Roman" w:hAnsi="Times New Roman" w:cs="Times New Roman"/>
              </w:rPr>
              <w:t>Klertis</w:t>
            </w:r>
          </w:p>
        </w:tc>
      </w:tr>
      <w:tr w:rsidR="007B4CBC" w:rsidRPr="00CE4C3C" w14:paraId="68E0779F" w14:textId="77777777" w:rsidTr="006E3B7D">
        <w:trPr>
          <w:trHeight w:val="264"/>
          <w:jc w:val="center"/>
        </w:trPr>
        <w:tc>
          <w:tcPr>
            <w:tcW w:w="1050" w:type="pct"/>
            <w:shd w:val="clear" w:color="auto" w:fill="auto"/>
          </w:tcPr>
          <w:p w14:paraId="20D208D5" w14:textId="77777777" w:rsidR="007B4CBC" w:rsidRPr="00CE4C3C" w:rsidRDefault="007B4CBC" w:rsidP="00CE4C3C">
            <w:pPr>
              <w:spacing w:line="240" w:lineRule="auto"/>
              <w:rPr>
                <w:rFonts w:ascii="Times New Roman" w:hAnsi="Times New Roman" w:cs="Times New Roman"/>
              </w:rPr>
            </w:pPr>
            <w:r w:rsidRPr="00CE4C3C">
              <w:rPr>
                <w:rFonts w:ascii="Times New Roman" w:hAnsi="Times New Roman" w:cs="Times New Roman"/>
              </w:rPr>
              <w:t>Vengrija</w:t>
            </w:r>
          </w:p>
        </w:tc>
        <w:tc>
          <w:tcPr>
            <w:tcW w:w="2214" w:type="pct"/>
            <w:shd w:val="clear" w:color="auto" w:fill="auto"/>
          </w:tcPr>
          <w:p w14:paraId="34A995B1" w14:textId="4E5243E0" w:rsidR="007B4CBC" w:rsidRPr="00CE4C3C" w:rsidRDefault="007B4CBC" w:rsidP="00CE4C3C">
            <w:pPr>
              <w:spacing w:line="240" w:lineRule="auto"/>
              <w:rPr>
                <w:rFonts w:ascii="Times New Roman" w:hAnsi="Times New Roman" w:cs="Times New Roman"/>
              </w:rPr>
            </w:pPr>
            <w:r w:rsidRPr="00CE4C3C">
              <w:rPr>
                <w:rFonts w:ascii="Times New Roman" w:hAnsi="Times New Roman" w:cs="Times New Roman"/>
              </w:rPr>
              <w:t>Klertis 12.5</w:t>
            </w:r>
            <w:r w:rsidR="00B92C6E">
              <w:rPr>
                <w:rFonts w:ascii="Times New Roman" w:hAnsi="Times New Roman" w:cs="Times New Roman"/>
              </w:rPr>
              <w:t> </w:t>
            </w:r>
            <w:r w:rsidRPr="00CE4C3C">
              <w:rPr>
                <w:rFonts w:ascii="Times New Roman" w:hAnsi="Times New Roman" w:cs="Times New Roman"/>
              </w:rPr>
              <w:t>mg, 25</w:t>
            </w:r>
            <w:r w:rsidR="00B92C6E">
              <w:rPr>
                <w:rFonts w:ascii="Times New Roman" w:hAnsi="Times New Roman" w:cs="Times New Roman"/>
              </w:rPr>
              <w:t> </w:t>
            </w:r>
            <w:r w:rsidRPr="00CE4C3C">
              <w:rPr>
                <w:rFonts w:ascii="Times New Roman" w:hAnsi="Times New Roman" w:cs="Times New Roman"/>
              </w:rPr>
              <w:t>mg, 50</w:t>
            </w:r>
            <w:r w:rsidR="00B92C6E">
              <w:rPr>
                <w:rFonts w:ascii="Times New Roman" w:hAnsi="Times New Roman" w:cs="Times New Roman"/>
              </w:rPr>
              <w:t> </w:t>
            </w:r>
            <w:r w:rsidRPr="00CE4C3C">
              <w:rPr>
                <w:rFonts w:ascii="Times New Roman" w:hAnsi="Times New Roman" w:cs="Times New Roman"/>
              </w:rPr>
              <w:t xml:space="preserve">mg </w:t>
            </w:r>
            <w:proofErr w:type="spellStart"/>
            <w:r w:rsidRPr="00CE4C3C">
              <w:rPr>
                <w:rFonts w:ascii="Times New Roman" w:hAnsi="Times New Roman" w:cs="Times New Roman"/>
              </w:rPr>
              <w:t>kemény</w:t>
            </w:r>
            <w:proofErr w:type="spellEnd"/>
            <w:r w:rsidRPr="00CE4C3C">
              <w:rPr>
                <w:rFonts w:ascii="Times New Roman" w:hAnsi="Times New Roman" w:cs="Times New Roman"/>
              </w:rPr>
              <w:t xml:space="preserve"> </w:t>
            </w:r>
            <w:proofErr w:type="spellStart"/>
            <w:r w:rsidRPr="00CE4C3C">
              <w:rPr>
                <w:rFonts w:ascii="Times New Roman" w:hAnsi="Times New Roman" w:cs="Times New Roman"/>
              </w:rPr>
              <w:t>kapszula</w:t>
            </w:r>
            <w:proofErr w:type="spellEnd"/>
          </w:p>
        </w:tc>
      </w:tr>
      <w:tr w:rsidR="007B4CBC" w:rsidRPr="00CE4C3C" w14:paraId="4544178D" w14:textId="77777777" w:rsidTr="006E3B7D">
        <w:trPr>
          <w:trHeight w:val="282"/>
          <w:jc w:val="center"/>
        </w:trPr>
        <w:tc>
          <w:tcPr>
            <w:tcW w:w="1050" w:type="pct"/>
            <w:shd w:val="clear" w:color="auto" w:fill="auto"/>
          </w:tcPr>
          <w:p w14:paraId="065A042E" w14:textId="77777777" w:rsidR="007B4CBC" w:rsidRPr="00CE4C3C" w:rsidRDefault="007B4CBC" w:rsidP="00CE4C3C">
            <w:pPr>
              <w:spacing w:line="240" w:lineRule="auto"/>
              <w:rPr>
                <w:rFonts w:ascii="Times New Roman" w:hAnsi="Times New Roman" w:cs="Times New Roman"/>
              </w:rPr>
            </w:pPr>
            <w:r w:rsidRPr="00CE4C3C">
              <w:rPr>
                <w:rFonts w:ascii="Times New Roman" w:hAnsi="Times New Roman" w:cs="Times New Roman"/>
              </w:rPr>
              <w:t>Lietuva</w:t>
            </w:r>
          </w:p>
        </w:tc>
        <w:tc>
          <w:tcPr>
            <w:tcW w:w="2214" w:type="pct"/>
            <w:shd w:val="clear" w:color="auto" w:fill="auto"/>
          </w:tcPr>
          <w:p w14:paraId="465EFE06" w14:textId="72E346D1" w:rsidR="007B4CBC" w:rsidRPr="00CE4C3C" w:rsidRDefault="007B4CBC" w:rsidP="00CE4C3C">
            <w:pPr>
              <w:spacing w:line="240" w:lineRule="auto"/>
              <w:rPr>
                <w:rFonts w:ascii="Times New Roman" w:hAnsi="Times New Roman" w:cs="Times New Roman"/>
              </w:rPr>
            </w:pPr>
            <w:r w:rsidRPr="00CE4C3C">
              <w:rPr>
                <w:rFonts w:ascii="Times New Roman" w:hAnsi="Times New Roman" w:cs="Times New Roman"/>
              </w:rPr>
              <w:t>Klertis 12.5</w:t>
            </w:r>
            <w:r w:rsidR="00B92C6E">
              <w:rPr>
                <w:rFonts w:ascii="Times New Roman" w:hAnsi="Times New Roman" w:cs="Times New Roman"/>
              </w:rPr>
              <w:t> </w:t>
            </w:r>
            <w:r w:rsidRPr="00CE4C3C">
              <w:rPr>
                <w:rFonts w:ascii="Times New Roman" w:hAnsi="Times New Roman" w:cs="Times New Roman"/>
              </w:rPr>
              <w:t>mg, 25</w:t>
            </w:r>
            <w:r w:rsidR="00B92C6E">
              <w:rPr>
                <w:rFonts w:ascii="Times New Roman" w:hAnsi="Times New Roman" w:cs="Times New Roman"/>
              </w:rPr>
              <w:t> </w:t>
            </w:r>
            <w:r w:rsidRPr="00CE4C3C">
              <w:rPr>
                <w:rFonts w:ascii="Times New Roman" w:hAnsi="Times New Roman" w:cs="Times New Roman"/>
              </w:rPr>
              <w:t>mg, 50</w:t>
            </w:r>
            <w:r w:rsidR="00B92C6E">
              <w:rPr>
                <w:rFonts w:ascii="Times New Roman" w:hAnsi="Times New Roman" w:cs="Times New Roman"/>
              </w:rPr>
              <w:t> </w:t>
            </w:r>
            <w:r w:rsidRPr="00CE4C3C">
              <w:rPr>
                <w:rFonts w:ascii="Times New Roman" w:hAnsi="Times New Roman" w:cs="Times New Roman"/>
              </w:rPr>
              <w:t>mg kietosios kapsulės</w:t>
            </w:r>
          </w:p>
        </w:tc>
      </w:tr>
      <w:tr w:rsidR="007B4CBC" w:rsidRPr="00CE4C3C" w14:paraId="0B159126" w14:textId="77777777" w:rsidTr="006E3B7D">
        <w:trPr>
          <w:trHeight w:val="130"/>
          <w:jc w:val="center"/>
        </w:trPr>
        <w:tc>
          <w:tcPr>
            <w:tcW w:w="1050" w:type="pct"/>
            <w:shd w:val="clear" w:color="auto" w:fill="auto"/>
          </w:tcPr>
          <w:p w14:paraId="60486139" w14:textId="77777777" w:rsidR="007B4CBC" w:rsidRPr="00CE4C3C" w:rsidRDefault="007B4CBC" w:rsidP="00CE4C3C">
            <w:pPr>
              <w:spacing w:line="240" w:lineRule="auto"/>
              <w:rPr>
                <w:rFonts w:ascii="Times New Roman" w:hAnsi="Times New Roman" w:cs="Times New Roman"/>
              </w:rPr>
            </w:pPr>
            <w:r w:rsidRPr="00CE4C3C">
              <w:rPr>
                <w:rFonts w:ascii="Times New Roman" w:hAnsi="Times New Roman" w:cs="Times New Roman"/>
              </w:rPr>
              <w:t>Latvija</w:t>
            </w:r>
          </w:p>
        </w:tc>
        <w:tc>
          <w:tcPr>
            <w:tcW w:w="2214" w:type="pct"/>
            <w:shd w:val="clear" w:color="auto" w:fill="auto"/>
          </w:tcPr>
          <w:p w14:paraId="53C6C237" w14:textId="2B927770" w:rsidR="007B4CBC" w:rsidRPr="00CE4C3C" w:rsidRDefault="007B4CBC" w:rsidP="00CE4C3C">
            <w:pPr>
              <w:spacing w:line="240" w:lineRule="auto"/>
              <w:rPr>
                <w:rFonts w:ascii="Times New Roman" w:hAnsi="Times New Roman" w:cs="Times New Roman"/>
              </w:rPr>
            </w:pPr>
            <w:r w:rsidRPr="00CE4C3C">
              <w:rPr>
                <w:rFonts w:ascii="Times New Roman" w:hAnsi="Times New Roman" w:cs="Times New Roman"/>
              </w:rPr>
              <w:t>Klertis 12.5</w:t>
            </w:r>
            <w:r w:rsidR="00B92C6E">
              <w:rPr>
                <w:rFonts w:ascii="Times New Roman" w:hAnsi="Times New Roman" w:cs="Times New Roman"/>
              </w:rPr>
              <w:t> </w:t>
            </w:r>
            <w:r w:rsidRPr="00CE4C3C">
              <w:rPr>
                <w:rFonts w:ascii="Times New Roman" w:hAnsi="Times New Roman" w:cs="Times New Roman"/>
              </w:rPr>
              <w:t>mg, 25</w:t>
            </w:r>
            <w:r w:rsidR="00B92C6E">
              <w:rPr>
                <w:rFonts w:ascii="Times New Roman" w:hAnsi="Times New Roman" w:cs="Times New Roman"/>
              </w:rPr>
              <w:t> </w:t>
            </w:r>
            <w:r w:rsidRPr="00CE4C3C">
              <w:rPr>
                <w:rFonts w:ascii="Times New Roman" w:hAnsi="Times New Roman" w:cs="Times New Roman"/>
              </w:rPr>
              <w:t>mg, 50</w:t>
            </w:r>
            <w:r w:rsidR="00B92C6E">
              <w:rPr>
                <w:rFonts w:ascii="Times New Roman" w:hAnsi="Times New Roman" w:cs="Times New Roman"/>
              </w:rPr>
              <w:t> </w:t>
            </w:r>
            <w:r w:rsidRPr="00CE4C3C">
              <w:rPr>
                <w:rFonts w:ascii="Times New Roman" w:hAnsi="Times New Roman" w:cs="Times New Roman"/>
              </w:rPr>
              <w:t>mg</w:t>
            </w:r>
            <w:r w:rsidRPr="00CE4C3C">
              <w:rPr>
                <w:rFonts w:ascii="Times New Roman" w:eastAsia="Calibri" w:hAnsi="Times New Roman" w:cs="Times New Roman"/>
              </w:rPr>
              <w:t xml:space="preserve"> </w:t>
            </w:r>
            <w:proofErr w:type="spellStart"/>
            <w:r w:rsidRPr="00CE4C3C">
              <w:rPr>
                <w:rFonts w:ascii="Times New Roman" w:hAnsi="Times New Roman" w:cs="Times New Roman"/>
              </w:rPr>
              <w:t>cietās</w:t>
            </w:r>
            <w:proofErr w:type="spellEnd"/>
            <w:r w:rsidRPr="00CE4C3C">
              <w:rPr>
                <w:rFonts w:ascii="Times New Roman" w:hAnsi="Times New Roman" w:cs="Times New Roman"/>
              </w:rPr>
              <w:t xml:space="preserve"> </w:t>
            </w:r>
            <w:proofErr w:type="spellStart"/>
            <w:r w:rsidRPr="00CE4C3C">
              <w:rPr>
                <w:rFonts w:ascii="Times New Roman" w:hAnsi="Times New Roman" w:cs="Times New Roman"/>
              </w:rPr>
              <w:t>kapsulas</w:t>
            </w:r>
            <w:proofErr w:type="spellEnd"/>
          </w:p>
        </w:tc>
      </w:tr>
      <w:tr w:rsidR="007B4CBC" w:rsidRPr="00CE4C3C" w14:paraId="51EC52E0" w14:textId="77777777" w:rsidTr="006E3B7D">
        <w:trPr>
          <w:trHeight w:val="276"/>
          <w:jc w:val="center"/>
        </w:trPr>
        <w:tc>
          <w:tcPr>
            <w:tcW w:w="1050" w:type="pct"/>
            <w:shd w:val="clear" w:color="auto" w:fill="auto"/>
          </w:tcPr>
          <w:p w14:paraId="556E1820" w14:textId="77777777" w:rsidR="007B4CBC" w:rsidRPr="00CE4C3C" w:rsidRDefault="007B4CBC" w:rsidP="00CE4C3C">
            <w:pPr>
              <w:spacing w:line="240" w:lineRule="auto"/>
              <w:rPr>
                <w:rFonts w:ascii="Times New Roman" w:hAnsi="Times New Roman" w:cs="Times New Roman"/>
              </w:rPr>
            </w:pPr>
            <w:r w:rsidRPr="00CE4C3C">
              <w:rPr>
                <w:rFonts w:ascii="Times New Roman" w:hAnsi="Times New Roman" w:cs="Times New Roman"/>
              </w:rPr>
              <w:t>Lenkija</w:t>
            </w:r>
          </w:p>
        </w:tc>
        <w:tc>
          <w:tcPr>
            <w:tcW w:w="2214" w:type="pct"/>
            <w:shd w:val="clear" w:color="auto" w:fill="auto"/>
          </w:tcPr>
          <w:p w14:paraId="7BA05BBD" w14:textId="77777777" w:rsidR="007B4CBC" w:rsidRPr="00CE4C3C" w:rsidRDefault="007B4CBC" w:rsidP="00CE4C3C">
            <w:pPr>
              <w:spacing w:line="240" w:lineRule="auto"/>
              <w:rPr>
                <w:rFonts w:ascii="Times New Roman" w:hAnsi="Times New Roman" w:cs="Times New Roman"/>
              </w:rPr>
            </w:pPr>
            <w:r w:rsidRPr="00CE4C3C">
              <w:rPr>
                <w:rFonts w:ascii="Times New Roman" w:hAnsi="Times New Roman" w:cs="Times New Roman"/>
              </w:rPr>
              <w:t>Klertis</w:t>
            </w:r>
          </w:p>
        </w:tc>
      </w:tr>
      <w:tr w:rsidR="007B4CBC" w:rsidRPr="00CE4C3C" w14:paraId="7C0E8E67" w14:textId="77777777" w:rsidTr="006E3B7D">
        <w:trPr>
          <w:trHeight w:val="279"/>
          <w:jc w:val="center"/>
        </w:trPr>
        <w:tc>
          <w:tcPr>
            <w:tcW w:w="1050" w:type="pct"/>
            <w:shd w:val="clear" w:color="auto" w:fill="auto"/>
          </w:tcPr>
          <w:p w14:paraId="723446E5" w14:textId="77777777" w:rsidR="007B4CBC" w:rsidRPr="00CE4C3C" w:rsidRDefault="007B4CBC" w:rsidP="00CE4C3C">
            <w:pPr>
              <w:spacing w:line="240" w:lineRule="auto"/>
              <w:rPr>
                <w:rFonts w:ascii="Times New Roman" w:hAnsi="Times New Roman" w:cs="Times New Roman"/>
              </w:rPr>
            </w:pPr>
            <w:r w:rsidRPr="00CE4C3C">
              <w:rPr>
                <w:rFonts w:ascii="Times New Roman" w:hAnsi="Times New Roman" w:cs="Times New Roman"/>
              </w:rPr>
              <w:t>Rumunija</w:t>
            </w:r>
          </w:p>
        </w:tc>
        <w:tc>
          <w:tcPr>
            <w:tcW w:w="2214" w:type="pct"/>
            <w:shd w:val="clear" w:color="auto" w:fill="auto"/>
          </w:tcPr>
          <w:p w14:paraId="5A90B221" w14:textId="1BA16CBD" w:rsidR="007B4CBC" w:rsidRPr="00CE4C3C" w:rsidRDefault="007B4CBC" w:rsidP="00CE4C3C">
            <w:pPr>
              <w:spacing w:line="240" w:lineRule="auto"/>
              <w:rPr>
                <w:rFonts w:ascii="Times New Roman" w:hAnsi="Times New Roman" w:cs="Times New Roman"/>
              </w:rPr>
            </w:pPr>
            <w:r w:rsidRPr="00CE4C3C">
              <w:rPr>
                <w:rFonts w:ascii="Times New Roman" w:hAnsi="Times New Roman" w:cs="Times New Roman"/>
              </w:rPr>
              <w:t>Klertis 12.5</w:t>
            </w:r>
            <w:r w:rsidR="00B92C6E">
              <w:rPr>
                <w:rFonts w:ascii="Times New Roman" w:hAnsi="Times New Roman" w:cs="Times New Roman"/>
              </w:rPr>
              <w:t> </w:t>
            </w:r>
            <w:r w:rsidRPr="00CE4C3C">
              <w:rPr>
                <w:rFonts w:ascii="Times New Roman" w:hAnsi="Times New Roman" w:cs="Times New Roman"/>
              </w:rPr>
              <w:t>mg, 25</w:t>
            </w:r>
            <w:r w:rsidR="00B92C6E">
              <w:rPr>
                <w:rFonts w:ascii="Times New Roman" w:hAnsi="Times New Roman" w:cs="Times New Roman"/>
              </w:rPr>
              <w:t> </w:t>
            </w:r>
            <w:r w:rsidRPr="00CE4C3C">
              <w:rPr>
                <w:rFonts w:ascii="Times New Roman" w:hAnsi="Times New Roman" w:cs="Times New Roman"/>
              </w:rPr>
              <w:t>mg, 50</w:t>
            </w:r>
            <w:r w:rsidR="00B92C6E">
              <w:rPr>
                <w:rFonts w:ascii="Times New Roman" w:hAnsi="Times New Roman" w:cs="Times New Roman"/>
              </w:rPr>
              <w:t> </w:t>
            </w:r>
            <w:r w:rsidRPr="00CE4C3C">
              <w:rPr>
                <w:rFonts w:ascii="Times New Roman" w:hAnsi="Times New Roman" w:cs="Times New Roman"/>
              </w:rPr>
              <w:t xml:space="preserve">mg, </w:t>
            </w:r>
            <w:proofErr w:type="spellStart"/>
            <w:r w:rsidRPr="00CE4C3C">
              <w:rPr>
                <w:rFonts w:ascii="Times New Roman" w:hAnsi="Times New Roman" w:cs="Times New Roman"/>
              </w:rPr>
              <w:t>capsule</w:t>
            </w:r>
            <w:proofErr w:type="spellEnd"/>
          </w:p>
        </w:tc>
      </w:tr>
      <w:tr w:rsidR="007B4CBC" w:rsidRPr="00CE4C3C" w14:paraId="560BAAFD" w14:textId="77777777" w:rsidTr="006E3B7D">
        <w:trPr>
          <w:trHeight w:val="269"/>
          <w:jc w:val="center"/>
        </w:trPr>
        <w:tc>
          <w:tcPr>
            <w:tcW w:w="1050" w:type="pct"/>
            <w:shd w:val="clear" w:color="auto" w:fill="auto"/>
          </w:tcPr>
          <w:p w14:paraId="5579ED45" w14:textId="77777777" w:rsidR="007B4CBC" w:rsidRPr="00CE4C3C" w:rsidRDefault="007B4CBC" w:rsidP="00CE4C3C">
            <w:pPr>
              <w:spacing w:line="240" w:lineRule="auto"/>
              <w:rPr>
                <w:rFonts w:ascii="Times New Roman" w:hAnsi="Times New Roman" w:cs="Times New Roman"/>
              </w:rPr>
            </w:pPr>
            <w:r w:rsidRPr="00CE4C3C">
              <w:rPr>
                <w:rFonts w:ascii="Times New Roman" w:hAnsi="Times New Roman" w:cs="Times New Roman"/>
              </w:rPr>
              <w:t>Slovakija</w:t>
            </w:r>
          </w:p>
        </w:tc>
        <w:tc>
          <w:tcPr>
            <w:tcW w:w="2214" w:type="pct"/>
            <w:shd w:val="clear" w:color="auto" w:fill="auto"/>
          </w:tcPr>
          <w:p w14:paraId="4190409D" w14:textId="6D485396" w:rsidR="007B4CBC" w:rsidRPr="00CE4C3C" w:rsidRDefault="007B4CBC" w:rsidP="00CE4C3C">
            <w:pPr>
              <w:spacing w:line="240" w:lineRule="auto"/>
              <w:rPr>
                <w:rFonts w:ascii="Times New Roman" w:hAnsi="Times New Roman" w:cs="Times New Roman"/>
              </w:rPr>
            </w:pPr>
            <w:r w:rsidRPr="00CE4C3C">
              <w:rPr>
                <w:rFonts w:ascii="Times New Roman" w:hAnsi="Times New Roman" w:cs="Times New Roman"/>
              </w:rPr>
              <w:t>Klertis 12.5</w:t>
            </w:r>
            <w:r w:rsidR="00B92C6E">
              <w:rPr>
                <w:rFonts w:ascii="Times New Roman" w:hAnsi="Times New Roman" w:cs="Times New Roman"/>
              </w:rPr>
              <w:t> </w:t>
            </w:r>
            <w:r w:rsidRPr="00CE4C3C">
              <w:rPr>
                <w:rFonts w:ascii="Times New Roman" w:hAnsi="Times New Roman" w:cs="Times New Roman"/>
              </w:rPr>
              <w:t>mg, 25</w:t>
            </w:r>
            <w:r w:rsidR="00B92C6E">
              <w:rPr>
                <w:rFonts w:ascii="Times New Roman" w:hAnsi="Times New Roman" w:cs="Times New Roman"/>
              </w:rPr>
              <w:t> </w:t>
            </w:r>
            <w:r w:rsidRPr="00CE4C3C">
              <w:rPr>
                <w:rFonts w:ascii="Times New Roman" w:hAnsi="Times New Roman" w:cs="Times New Roman"/>
              </w:rPr>
              <w:t>mg, 50</w:t>
            </w:r>
            <w:r w:rsidR="00B92C6E">
              <w:rPr>
                <w:rFonts w:ascii="Times New Roman" w:hAnsi="Times New Roman" w:cs="Times New Roman"/>
              </w:rPr>
              <w:t> </w:t>
            </w:r>
            <w:r w:rsidRPr="00CE4C3C">
              <w:rPr>
                <w:rFonts w:ascii="Times New Roman" w:hAnsi="Times New Roman" w:cs="Times New Roman"/>
              </w:rPr>
              <w:t xml:space="preserve">mg </w:t>
            </w:r>
            <w:proofErr w:type="spellStart"/>
            <w:r w:rsidRPr="00CE4C3C">
              <w:rPr>
                <w:rFonts w:ascii="Times New Roman" w:hAnsi="Times New Roman" w:cs="Times New Roman"/>
              </w:rPr>
              <w:t>tvrdé</w:t>
            </w:r>
            <w:proofErr w:type="spellEnd"/>
            <w:r w:rsidRPr="00CE4C3C">
              <w:rPr>
                <w:rFonts w:ascii="Times New Roman" w:hAnsi="Times New Roman" w:cs="Times New Roman"/>
              </w:rPr>
              <w:t xml:space="preserve"> </w:t>
            </w:r>
            <w:proofErr w:type="spellStart"/>
            <w:r w:rsidRPr="00CE4C3C">
              <w:rPr>
                <w:rFonts w:ascii="Times New Roman" w:hAnsi="Times New Roman" w:cs="Times New Roman"/>
              </w:rPr>
              <w:t>kapsuly</w:t>
            </w:r>
            <w:proofErr w:type="spellEnd"/>
          </w:p>
        </w:tc>
      </w:tr>
    </w:tbl>
    <w:p w14:paraId="18AB9197"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08FD13FE"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6FF4AB59" w14:textId="74CA6A9B" w:rsidR="007B4CBC" w:rsidRPr="00CE4C3C" w:rsidRDefault="007B4CBC" w:rsidP="00CE4C3C">
      <w:pPr>
        <w:keepNext/>
        <w:numPr>
          <w:ilvl w:val="12"/>
          <w:numId w:val="0"/>
        </w:numPr>
        <w:spacing w:line="240" w:lineRule="auto"/>
        <w:ind w:right="-2"/>
        <w:outlineLvl w:val="0"/>
        <w:rPr>
          <w:rFonts w:ascii="Times New Roman" w:hAnsi="Times New Roman" w:cs="Times New Roman"/>
          <w:lang w:eastAsia="lt-LT" w:bidi="lt-LT"/>
        </w:rPr>
      </w:pPr>
      <w:r w:rsidRPr="00CE4C3C">
        <w:rPr>
          <w:rFonts w:ascii="Times New Roman" w:hAnsi="Times New Roman" w:cs="Times New Roman"/>
          <w:b/>
          <w:lang w:eastAsia="lt-LT" w:bidi="lt-LT"/>
        </w:rPr>
        <w:t>Šis pakuotės lapelis paskutinį kartą peržiūrėtas</w:t>
      </w:r>
      <w:r w:rsidR="00E25DC2">
        <w:rPr>
          <w:rFonts w:ascii="Times New Roman" w:hAnsi="Times New Roman" w:cs="Times New Roman"/>
          <w:b/>
          <w:lang w:eastAsia="lt-LT" w:bidi="lt-LT"/>
        </w:rPr>
        <w:t xml:space="preserve"> 2024-06-26</w:t>
      </w:r>
      <w:r w:rsidR="00575A1E">
        <w:rPr>
          <w:rFonts w:ascii="Times New Roman" w:eastAsia="Times New Roman" w:hAnsi="Times New Roman" w:cs="Times New Roman"/>
          <w:b/>
          <w:snapToGrid w:val="0"/>
          <w:szCs w:val="20"/>
        </w:rPr>
        <w:t>.</w:t>
      </w:r>
    </w:p>
    <w:p w14:paraId="185E5864" w14:textId="77777777" w:rsidR="007B4CBC" w:rsidRPr="00CE4C3C" w:rsidRDefault="007B4CBC" w:rsidP="00CE4C3C">
      <w:pPr>
        <w:numPr>
          <w:ilvl w:val="12"/>
          <w:numId w:val="0"/>
        </w:numPr>
        <w:spacing w:line="240" w:lineRule="auto"/>
        <w:ind w:right="-2"/>
        <w:rPr>
          <w:rFonts w:ascii="Times New Roman" w:hAnsi="Times New Roman" w:cs="Times New Roman"/>
          <w:lang w:eastAsia="lt-LT" w:bidi="lt-LT"/>
        </w:rPr>
      </w:pPr>
    </w:p>
    <w:p w14:paraId="7671ACE5" w14:textId="4650FDE2" w:rsidR="007B4CBC" w:rsidRPr="00CE4C3C" w:rsidRDefault="007B4CBC" w:rsidP="00CE4C3C">
      <w:pPr>
        <w:tabs>
          <w:tab w:val="left" w:pos="5954"/>
          <w:tab w:val="left" w:pos="6237"/>
          <w:tab w:val="left" w:pos="6663"/>
          <w:tab w:val="left" w:pos="6946"/>
        </w:tabs>
        <w:spacing w:line="240" w:lineRule="auto"/>
        <w:rPr>
          <w:rFonts w:ascii="Times New Roman" w:hAnsi="Times New Roman" w:cs="Times New Roman"/>
          <w:lang w:eastAsia="lt-LT" w:bidi="lt-LT"/>
        </w:rPr>
      </w:pPr>
      <w:r w:rsidRPr="00CE4C3C">
        <w:rPr>
          <w:rFonts w:ascii="Times New Roman" w:eastAsia="SimSun" w:hAnsi="Times New Roman" w:cs="Times New Roman"/>
        </w:rPr>
        <w:t>Išsami informacija apie šį vaistą pateikiama Valstybinės vaistų kontrolės tarnybos prie Lietuvos Respublikos sveikatos apsaugos ministerijos tinklalapyje</w:t>
      </w:r>
      <w:r w:rsidRPr="00CE4C3C">
        <w:rPr>
          <w:rFonts w:ascii="Times New Roman" w:eastAsia="SimSun" w:hAnsi="Times New Roman" w:cs="Times New Roman"/>
          <w:i/>
        </w:rPr>
        <w:t xml:space="preserve"> </w:t>
      </w:r>
      <w:r w:rsidR="00A11994" w:rsidRPr="002D191C">
        <w:rPr>
          <w:rFonts w:ascii="Times New Roman" w:hAnsi="Times New Roman" w:cs="Times New Roman"/>
          <w:color w:val="0000EE"/>
          <w:u w:val="single"/>
          <w:lang w:eastAsia="lt-LT"/>
        </w:rPr>
        <w:t>https://vvkt.lrv.lt/lt/</w:t>
      </w:r>
      <w:r w:rsidR="00A11994" w:rsidRPr="002D191C">
        <w:rPr>
          <w:rFonts w:ascii="Times New Roman" w:hAnsi="Times New Roman" w:cs="Times New Roman"/>
          <w:lang w:eastAsia="lt-LT"/>
        </w:rPr>
        <w:t>.</w:t>
      </w:r>
    </w:p>
    <w:p w14:paraId="0202D2B8" w14:textId="77777777" w:rsidR="007B4CBC" w:rsidRPr="00CE4C3C" w:rsidRDefault="007B4CBC" w:rsidP="00CE4C3C">
      <w:pPr>
        <w:spacing w:line="240" w:lineRule="auto"/>
        <w:rPr>
          <w:rFonts w:ascii="Times New Roman" w:hAnsi="Times New Roman" w:cs="Times New Roman"/>
        </w:rPr>
      </w:pPr>
    </w:p>
    <w:p w14:paraId="415A8455" w14:textId="77777777" w:rsidR="002A1EBD" w:rsidRPr="00CE4C3C" w:rsidRDefault="002A1EBD" w:rsidP="00CE4C3C">
      <w:pPr>
        <w:spacing w:line="240" w:lineRule="auto"/>
        <w:rPr>
          <w:rFonts w:ascii="Times New Roman" w:hAnsi="Times New Roman" w:cs="Times New Roman"/>
        </w:rPr>
      </w:pPr>
    </w:p>
    <w:sectPr w:rsidR="002A1EBD" w:rsidRPr="00CE4C3C" w:rsidSect="00D06CD8">
      <w:headerReference w:type="default" r:id="rId12"/>
      <w:footerReference w:type="default" r:id="rId13"/>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BC46D" w14:textId="77777777" w:rsidR="002D191C" w:rsidRDefault="002D191C" w:rsidP="00D06CD8">
      <w:pPr>
        <w:spacing w:line="240" w:lineRule="auto"/>
      </w:pPr>
      <w:r>
        <w:separator/>
      </w:r>
    </w:p>
  </w:endnote>
  <w:endnote w:type="continuationSeparator" w:id="0">
    <w:p w14:paraId="4D221F62" w14:textId="77777777" w:rsidR="002D191C" w:rsidRDefault="002D191C" w:rsidP="00D06CD8">
      <w:pPr>
        <w:spacing w:line="240" w:lineRule="auto"/>
      </w:pPr>
      <w:r>
        <w:continuationSeparator/>
      </w:r>
    </w:p>
  </w:endnote>
  <w:endnote w:type="continuationNotice" w:id="1">
    <w:p w14:paraId="6C7818D7" w14:textId="77777777" w:rsidR="002D191C" w:rsidRDefault="002D19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ymbolMT">
    <w:altName w:val="MS Gothic"/>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D937" w14:textId="77777777" w:rsidR="006B63A2" w:rsidRDefault="006B63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967F9" w14:textId="77777777" w:rsidR="002D191C" w:rsidRDefault="002D191C" w:rsidP="00D06CD8">
      <w:pPr>
        <w:spacing w:line="240" w:lineRule="auto"/>
      </w:pPr>
      <w:r>
        <w:separator/>
      </w:r>
    </w:p>
  </w:footnote>
  <w:footnote w:type="continuationSeparator" w:id="0">
    <w:p w14:paraId="7B758B0B" w14:textId="77777777" w:rsidR="002D191C" w:rsidRDefault="002D191C" w:rsidP="00D06CD8">
      <w:pPr>
        <w:spacing w:line="240" w:lineRule="auto"/>
      </w:pPr>
      <w:r>
        <w:continuationSeparator/>
      </w:r>
    </w:p>
  </w:footnote>
  <w:footnote w:type="continuationNotice" w:id="1">
    <w:p w14:paraId="06E5B36F" w14:textId="77777777" w:rsidR="002D191C" w:rsidRDefault="002D19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D7EF" w14:textId="77777777" w:rsidR="006B63A2" w:rsidRDefault="006B63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778C6"/>
    <w:multiLevelType w:val="hybridMultilevel"/>
    <w:tmpl w:val="91F0356A"/>
    <w:lvl w:ilvl="0" w:tplc="2C38D53A">
      <w:start w:val="1"/>
      <w:numFmt w:val="bullet"/>
      <w:lvlText w:val=""/>
      <w:lvlJc w:val="left"/>
      <w:pPr>
        <w:ind w:left="720" w:hanging="360"/>
      </w:pPr>
      <w:rPr>
        <w:rFonts w:ascii="Symbol" w:hAnsi="Symbol" w:hint="default"/>
      </w:rPr>
    </w:lvl>
    <w:lvl w:ilvl="1" w:tplc="A1248C40" w:tentative="1">
      <w:start w:val="1"/>
      <w:numFmt w:val="bullet"/>
      <w:lvlText w:val="o"/>
      <w:lvlJc w:val="left"/>
      <w:pPr>
        <w:ind w:left="1440" w:hanging="360"/>
      </w:pPr>
      <w:rPr>
        <w:rFonts w:ascii="Courier New" w:hAnsi="Courier New" w:cs="Courier New" w:hint="default"/>
      </w:rPr>
    </w:lvl>
    <w:lvl w:ilvl="2" w:tplc="F5740F44" w:tentative="1">
      <w:start w:val="1"/>
      <w:numFmt w:val="bullet"/>
      <w:lvlText w:val=""/>
      <w:lvlJc w:val="left"/>
      <w:pPr>
        <w:ind w:left="2160" w:hanging="360"/>
      </w:pPr>
      <w:rPr>
        <w:rFonts w:ascii="Wingdings" w:hAnsi="Wingdings" w:hint="default"/>
      </w:rPr>
    </w:lvl>
    <w:lvl w:ilvl="3" w:tplc="F970FD1E" w:tentative="1">
      <w:start w:val="1"/>
      <w:numFmt w:val="bullet"/>
      <w:lvlText w:val=""/>
      <w:lvlJc w:val="left"/>
      <w:pPr>
        <w:ind w:left="2880" w:hanging="360"/>
      </w:pPr>
      <w:rPr>
        <w:rFonts w:ascii="Symbol" w:hAnsi="Symbol" w:hint="default"/>
      </w:rPr>
    </w:lvl>
    <w:lvl w:ilvl="4" w:tplc="3504273A" w:tentative="1">
      <w:start w:val="1"/>
      <w:numFmt w:val="bullet"/>
      <w:lvlText w:val="o"/>
      <w:lvlJc w:val="left"/>
      <w:pPr>
        <w:ind w:left="3600" w:hanging="360"/>
      </w:pPr>
      <w:rPr>
        <w:rFonts w:ascii="Courier New" w:hAnsi="Courier New" w:cs="Courier New" w:hint="default"/>
      </w:rPr>
    </w:lvl>
    <w:lvl w:ilvl="5" w:tplc="679AF674" w:tentative="1">
      <w:start w:val="1"/>
      <w:numFmt w:val="bullet"/>
      <w:lvlText w:val=""/>
      <w:lvlJc w:val="left"/>
      <w:pPr>
        <w:ind w:left="4320" w:hanging="360"/>
      </w:pPr>
      <w:rPr>
        <w:rFonts w:ascii="Wingdings" w:hAnsi="Wingdings" w:hint="default"/>
      </w:rPr>
    </w:lvl>
    <w:lvl w:ilvl="6" w:tplc="438CB54C" w:tentative="1">
      <w:start w:val="1"/>
      <w:numFmt w:val="bullet"/>
      <w:lvlText w:val=""/>
      <w:lvlJc w:val="left"/>
      <w:pPr>
        <w:ind w:left="5040" w:hanging="360"/>
      </w:pPr>
      <w:rPr>
        <w:rFonts w:ascii="Symbol" w:hAnsi="Symbol" w:hint="default"/>
      </w:rPr>
    </w:lvl>
    <w:lvl w:ilvl="7" w:tplc="BA2A6134" w:tentative="1">
      <w:start w:val="1"/>
      <w:numFmt w:val="bullet"/>
      <w:lvlText w:val="o"/>
      <w:lvlJc w:val="left"/>
      <w:pPr>
        <w:ind w:left="5760" w:hanging="360"/>
      </w:pPr>
      <w:rPr>
        <w:rFonts w:ascii="Courier New" w:hAnsi="Courier New" w:cs="Courier New" w:hint="default"/>
      </w:rPr>
    </w:lvl>
    <w:lvl w:ilvl="8" w:tplc="79842940" w:tentative="1">
      <w:start w:val="1"/>
      <w:numFmt w:val="bullet"/>
      <w:lvlText w:val=""/>
      <w:lvlJc w:val="left"/>
      <w:pPr>
        <w:ind w:left="6480" w:hanging="360"/>
      </w:pPr>
      <w:rPr>
        <w:rFonts w:ascii="Wingdings" w:hAnsi="Wingdings" w:hint="default"/>
      </w:rPr>
    </w:lvl>
  </w:abstractNum>
  <w:abstractNum w:abstractNumId="2" w15:restartNumberingAfterBreak="0">
    <w:nsid w:val="02E70949"/>
    <w:multiLevelType w:val="hybridMultilevel"/>
    <w:tmpl w:val="CCAC7A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56629"/>
    <w:multiLevelType w:val="hybridMultilevel"/>
    <w:tmpl w:val="F8B278B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B034F5"/>
    <w:multiLevelType w:val="hybridMultilevel"/>
    <w:tmpl w:val="AFDC05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93322"/>
    <w:multiLevelType w:val="hybridMultilevel"/>
    <w:tmpl w:val="95E29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8798439E">
      <w:start w:val="1"/>
      <w:numFmt w:val="bullet"/>
      <w:lvlText w:val=""/>
      <w:lvlJc w:val="left"/>
      <w:pPr>
        <w:tabs>
          <w:tab w:val="num" w:pos="720"/>
        </w:tabs>
        <w:ind w:left="720" w:hanging="360"/>
      </w:pPr>
      <w:rPr>
        <w:rFonts w:ascii="Symbol" w:hAnsi="Symbol" w:hint="default"/>
      </w:rPr>
    </w:lvl>
    <w:lvl w:ilvl="1" w:tplc="60B2EECE" w:tentative="1">
      <w:start w:val="1"/>
      <w:numFmt w:val="bullet"/>
      <w:lvlText w:val="o"/>
      <w:lvlJc w:val="left"/>
      <w:pPr>
        <w:tabs>
          <w:tab w:val="num" w:pos="1440"/>
        </w:tabs>
        <w:ind w:left="1440" w:hanging="360"/>
      </w:pPr>
      <w:rPr>
        <w:rFonts w:ascii="Courier New" w:hAnsi="Courier New" w:cs="Courier New" w:hint="default"/>
      </w:rPr>
    </w:lvl>
    <w:lvl w:ilvl="2" w:tplc="FC8C2FC4" w:tentative="1">
      <w:start w:val="1"/>
      <w:numFmt w:val="bullet"/>
      <w:lvlText w:val=""/>
      <w:lvlJc w:val="left"/>
      <w:pPr>
        <w:tabs>
          <w:tab w:val="num" w:pos="2160"/>
        </w:tabs>
        <w:ind w:left="2160" w:hanging="360"/>
      </w:pPr>
      <w:rPr>
        <w:rFonts w:ascii="Wingdings" w:hAnsi="Wingdings" w:hint="default"/>
      </w:rPr>
    </w:lvl>
    <w:lvl w:ilvl="3" w:tplc="D6D67DEA" w:tentative="1">
      <w:start w:val="1"/>
      <w:numFmt w:val="bullet"/>
      <w:lvlText w:val=""/>
      <w:lvlJc w:val="left"/>
      <w:pPr>
        <w:tabs>
          <w:tab w:val="num" w:pos="2880"/>
        </w:tabs>
        <w:ind w:left="2880" w:hanging="360"/>
      </w:pPr>
      <w:rPr>
        <w:rFonts w:ascii="Symbol" w:hAnsi="Symbol" w:hint="default"/>
      </w:rPr>
    </w:lvl>
    <w:lvl w:ilvl="4" w:tplc="F3E4390A" w:tentative="1">
      <w:start w:val="1"/>
      <w:numFmt w:val="bullet"/>
      <w:lvlText w:val="o"/>
      <w:lvlJc w:val="left"/>
      <w:pPr>
        <w:tabs>
          <w:tab w:val="num" w:pos="3600"/>
        </w:tabs>
        <w:ind w:left="3600" w:hanging="360"/>
      </w:pPr>
      <w:rPr>
        <w:rFonts w:ascii="Courier New" w:hAnsi="Courier New" w:cs="Courier New" w:hint="default"/>
      </w:rPr>
    </w:lvl>
    <w:lvl w:ilvl="5" w:tplc="C0201C4A" w:tentative="1">
      <w:start w:val="1"/>
      <w:numFmt w:val="bullet"/>
      <w:lvlText w:val=""/>
      <w:lvlJc w:val="left"/>
      <w:pPr>
        <w:tabs>
          <w:tab w:val="num" w:pos="4320"/>
        </w:tabs>
        <w:ind w:left="4320" w:hanging="360"/>
      </w:pPr>
      <w:rPr>
        <w:rFonts w:ascii="Wingdings" w:hAnsi="Wingdings" w:hint="default"/>
      </w:rPr>
    </w:lvl>
    <w:lvl w:ilvl="6" w:tplc="9B42A102" w:tentative="1">
      <w:start w:val="1"/>
      <w:numFmt w:val="bullet"/>
      <w:lvlText w:val=""/>
      <w:lvlJc w:val="left"/>
      <w:pPr>
        <w:tabs>
          <w:tab w:val="num" w:pos="5040"/>
        </w:tabs>
        <w:ind w:left="5040" w:hanging="360"/>
      </w:pPr>
      <w:rPr>
        <w:rFonts w:ascii="Symbol" w:hAnsi="Symbol" w:hint="default"/>
      </w:rPr>
    </w:lvl>
    <w:lvl w:ilvl="7" w:tplc="59101D68" w:tentative="1">
      <w:start w:val="1"/>
      <w:numFmt w:val="bullet"/>
      <w:lvlText w:val="o"/>
      <w:lvlJc w:val="left"/>
      <w:pPr>
        <w:tabs>
          <w:tab w:val="num" w:pos="5760"/>
        </w:tabs>
        <w:ind w:left="5760" w:hanging="360"/>
      </w:pPr>
      <w:rPr>
        <w:rFonts w:ascii="Courier New" w:hAnsi="Courier New" w:cs="Courier New" w:hint="default"/>
      </w:rPr>
    </w:lvl>
    <w:lvl w:ilvl="8" w:tplc="91C0E8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6376A8"/>
    <w:multiLevelType w:val="hybridMultilevel"/>
    <w:tmpl w:val="D130D54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A133C6"/>
    <w:multiLevelType w:val="hybridMultilevel"/>
    <w:tmpl w:val="009E08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D0659C1"/>
    <w:multiLevelType w:val="hybridMultilevel"/>
    <w:tmpl w:val="272623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D67A20"/>
    <w:multiLevelType w:val="hybridMultilevel"/>
    <w:tmpl w:val="0446570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270E30"/>
    <w:multiLevelType w:val="hybridMultilevel"/>
    <w:tmpl w:val="DF2A0E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FD085D"/>
    <w:multiLevelType w:val="hybridMultilevel"/>
    <w:tmpl w:val="FAA41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0D44E4"/>
    <w:multiLevelType w:val="hybridMultilevel"/>
    <w:tmpl w:val="48F0839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EE3E02"/>
    <w:multiLevelType w:val="hybridMultilevel"/>
    <w:tmpl w:val="263E9FE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D143DAF"/>
    <w:multiLevelType w:val="hybridMultilevel"/>
    <w:tmpl w:val="3AA079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DD653F2"/>
    <w:multiLevelType w:val="hybridMultilevel"/>
    <w:tmpl w:val="9058E77E"/>
    <w:lvl w:ilvl="0" w:tplc="53FEC762">
      <w:start w:val="1"/>
      <w:numFmt w:val="upperLetter"/>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E69485B"/>
    <w:multiLevelType w:val="hybridMultilevel"/>
    <w:tmpl w:val="0C741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9" w15:restartNumberingAfterBreak="0">
    <w:nsid w:val="223E57E6"/>
    <w:multiLevelType w:val="hybridMultilevel"/>
    <w:tmpl w:val="ABDA5896"/>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E82A9E"/>
    <w:multiLevelType w:val="hybridMultilevel"/>
    <w:tmpl w:val="3142178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7116B53"/>
    <w:multiLevelType w:val="hybridMultilevel"/>
    <w:tmpl w:val="3E6891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329B31CB"/>
    <w:multiLevelType w:val="hybridMultilevel"/>
    <w:tmpl w:val="FBA6D6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C06FA3"/>
    <w:multiLevelType w:val="hybridMultilevel"/>
    <w:tmpl w:val="0628A9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1370F4"/>
    <w:multiLevelType w:val="hybridMultilevel"/>
    <w:tmpl w:val="1B6C3E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8F5665"/>
    <w:multiLevelType w:val="hybridMultilevel"/>
    <w:tmpl w:val="CEDC7A3E"/>
    <w:lvl w:ilvl="0" w:tplc="F15C0CF6">
      <w:start w:val="1"/>
      <w:numFmt w:val="bullet"/>
      <w:lvlText w:val="-"/>
      <w:lvlJc w:val="left"/>
      <w:pPr>
        <w:ind w:left="720" w:hanging="360"/>
      </w:pPr>
      <w:rPr>
        <w:rFonts w:hint="default"/>
      </w:rPr>
    </w:lvl>
    <w:lvl w:ilvl="1" w:tplc="821A8BAE" w:tentative="1">
      <w:start w:val="1"/>
      <w:numFmt w:val="bullet"/>
      <w:lvlText w:val="o"/>
      <w:lvlJc w:val="left"/>
      <w:pPr>
        <w:ind w:left="1440" w:hanging="360"/>
      </w:pPr>
      <w:rPr>
        <w:rFonts w:ascii="Courier New" w:hAnsi="Courier New" w:cs="Courier New" w:hint="default"/>
      </w:rPr>
    </w:lvl>
    <w:lvl w:ilvl="2" w:tplc="0D12B650" w:tentative="1">
      <w:start w:val="1"/>
      <w:numFmt w:val="bullet"/>
      <w:lvlText w:val=""/>
      <w:lvlJc w:val="left"/>
      <w:pPr>
        <w:ind w:left="2160" w:hanging="360"/>
      </w:pPr>
      <w:rPr>
        <w:rFonts w:ascii="Wingdings" w:hAnsi="Wingdings" w:hint="default"/>
      </w:rPr>
    </w:lvl>
    <w:lvl w:ilvl="3" w:tplc="BD8E9ED0" w:tentative="1">
      <w:start w:val="1"/>
      <w:numFmt w:val="bullet"/>
      <w:lvlText w:val=""/>
      <w:lvlJc w:val="left"/>
      <w:pPr>
        <w:ind w:left="2880" w:hanging="360"/>
      </w:pPr>
      <w:rPr>
        <w:rFonts w:ascii="Symbol" w:hAnsi="Symbol" w:hint="default"/>
      </w:rPr>
    </w:lvl>
    <w:lvl w:ilvl="4" w:tplc="10AA8E90" w:tentative="1">
      <w:start w:val="1"/>
      <w:numFmt w:val="bullet"/>
      <w:lvlText w:val="o"/>
      <w:lvlJc w:val="left"/>
      <w:pPr>
        <w:ind w:left="3600" w:hanging="360"/>
      </w:pPr>
      <w:rPr>
        <w:rFonts w:ascii="Courier New" w:hAnsi="Courier New" w:cs="Courier New" w:hint="default"/>
      </w:rPr>
    </w:lvl>
    <w:lvl w:ilvl="5" w:tplc="A03A3F1C" w:tentative="1">
      <w:start w:val="1"/>
      <w:numFmt w:val="bullet"/>
      <w:lvlText w:val=""/>
      <w:lvlJc w:val="left"/>
      <w:pPr>
        <w:ind w:left="4320" w:hanging="360"/>
      </w:pPr>
      <w:rPr>
        <w:rFonts w:ascii="Wingdings" w:hAnsi="Wingdings" w:hint="default"/>
      </w:rPr>
    </w:lvl>
    <w:lvl w:ilvl="6" w:tplc="6BDA2A0C" w:tentative="1">
      <w:start w:val="1"/>
      <w:numFmt w:val="bullet"/>
      <w:lvlText w:val=""/>
      <w:lvlJc w:val="left"/>
      <w:pPr>
        <w:ind w:left="5040" w:hanging="360"/>
      </w:pPr>
      <w:rPr>
        <w:rFonts w:ascii="Symbol" w:hAnsi="Symbol" w:hint="default"/>
      </w:rPr>
    </w:lvl>
    <w:lvl w:ilvl="7" w:tplc="7138ED20" w:tentative="1">
      <w:start w:val="1"/>
      <w:numFmt w:val="bullet"/>
      <w:lvlText w:val="o"/>
      <w:lvlJc w:val="left"/>
      <w:pPr>
        <w:ind w:left="5760" w:hanging="360"/>
      </w:pPr>
      <w:rPr>
        <w:rFonts w:ascii="Courier New" w:hAnsi="Courier New" w:cs="Courier New" w:hint="default"/>
      </w:rPr>
    </w:lvl>
    <w:lvl w:ilvl="8" w:tplc="7FD81C22" w:tentative="1">
      <w:start w:val="1"/>
      <w:numFmt w:val="bullet"/>
      <w:lvlText w:val=""/>
      <w:lvlJc w:val="left"/>
      <w:pPr>
        <w:ind w:left="6480" w:hanging="360"/>
      </w:pPr>
      <w:rPr>
        <w:rFonts w:ascii="Wingdings" w:hAnsi="Wingdings" w:hint="default"/>
      </w:rPr>
    </w:lvl>
  </w:abstractNum>
  <w:abstractNum w:abstractNumId="28" w15:restartNumberingAfterBreak="0">
    <w:nsid w:val="46585FD3"/>
    <w:multiLevelType w:val="hybridMultilevel"/>
    <w:tmpl w:val="83F851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79F6C4E"/>
    <w:multiLevelType w:val="hybridMultilevel"/>
    <w:tmpl w:val="9A5EB1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166108"/>
    <w:multiLevelType w:val="hybridMultilevel"/>
    <w:tmpl w:val="43101088"/>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4E555A3A"/>
    <w:multiLevelType w:val="hybridMultilevel"/>
    <w:tmpl w:val="0C546C60"/>
    <w:lvl w:ilvl="0" w:tplc="04270001">
      <w:start w:val="1"/>
      <w:numFmt w:val="bullet"/>
      <w:lvlText w:val=""/>
      <w:lvlJc w:val="left"/>
      <w:pPr>
        <w:ind w:left="771" w:hanging="360"/>
      </w:pPr>
      <w:rPr>
        <w:rFonts w:ascii="Symbol" w:hAnsi="Symbol" w:hint="default"/>
      </w:rPr>
    </w:lvl>
    <w:lvl w:ilvl="1" w:tplc="04270003" w:tentative="1">
      <w:start w:val="1"/>
      <w:numFmt w:val="bullet"/>
      <w:lvlText w:val="o"/>
      <w:lvlJc w:val="left"/>
      <w:pPr>
        <w:ind w:left="1491" w:hanging="360"/>
      </w:pPr>
      <w:rPr>
        <w:rFonts w:ascii="Courier New" w:hAnsi="Courier New" w:cs="Courier New" w:hint="default"/>
      </w:rPr>
    </w:lvl>
    <w:lvl w:ilvl="2" w:tplc="04270005" w:tentative="1">
      <w:start w:val="1"/>
      <w:numFmt w:val="bullet"/>
      <w:lvlText w:val=""/>
      <w:lvlJc w:val="left"/>
      <w:pPr>
        <w:ind w:left="2211" w:hanging="360"/>
      </w:pPr>
      <w:rPr>
        <w:rFonts w:ascii="Wingdings" w:hAnsi="Wingdings" w:hint="default"/>
      </w:rPr>
    </w:lvl>
    <w:lvl w:ilvl="3" w:tplc="04270001" w:tentative="1">
      <w:start w:val="1"/>
      <w:numFmt w:val="bullet"/>
      <w:lvlText w:val=""/>
      <w:lvlJc w:val="left"/>
      <w:pPr>
        <w:ind w:left="2931" w:hanging="360"/>
      </w:pPr>
      <w:rPr>
        <w:rFonts w:ascii="Symbol" w:hAnsi="Symbol" w:hint="default"/>
      </w:rPr>
    </w:lvl>
    <w:lvl w:ilvl="4" w:tplc="04270003" w:tentative="1">
      <w:start w:val="1"/>
      <w:numFmt w:val="bullet"/>
      <w:lvlText w:val="o"/>
      <w:lvlJc w:val="left"/>
      <w:pPr>
        <w:ind w:left="3651" w:hanging="360"/>
      </w:pPr>
      <w:rPr>
        <w:rFonts w:ascii="Courier New" w:hAnsi="Courier New" w:cs="Courier New" w:hint="default"/>
      </w:rPr>
    </w:lvl>
    <w:lvl w:ilvl="5" w:tplc="04270005" w:tentative="1">
      <w:start w:val="1"/>
      <w:numFmt w:val="bullet"/>
      <w:lvlText w:val=""/>
      <w:lvlJc w:val="left"/>
      <w:pPr>
        <w:ind w:left="4371" w:hanging="360"/>
      </w:pPr>
      <w:rPr>
        <w:rFonts w:ascii="Wingdings" w:hAnsi="Wingdings" w:hint="default"/>
      </w:rPr>
    </w:lvl>
    <w:lvl w:ilvl="6" w:tplc="04270001" w:tentative="1">
      <w:start w:val="1"/>
      <w:numFmt w:val="bullet"/>
      <w:lvlText w:val=""/>
      <w:lvlJc w:val="left"/>
      <w:pPr>
        <w:ind w:left="5091" w:hanging="360"/>
      </w:pPr>
      <w:rPr>
        <w:rFonts w:ascii="Symbol" w:hAnsi="Symbol" w:hint="default"/>
      </w:rPr>
    </w:lvl>
    <w:lvl w:ilvl="7" w:tplc="04270003" w:tentative="1">
      <w:start w:val="1"/>
      <w:numFmt w:val="bullet"/>
      <w:lvlText w:val="o"/>
      <w:lvlJc w:val="left"/>
      <w:pPr>
        <w:ind w:left="5811" w:hanging="360"/>
      </w:pPr>
      <w:rPr>
        <w:rFonts w:ascii="Courier New" w:hAnsi="Courier New" w:cs="Courier New" w:hint="default"/>
      </w:rPr>
    </w:lvl>
    <w:lvl w:ilvl="8" w:tplc="04270005" w:tentative="1">
      <w:start w:val="1"/>
      <w:numFmt w:val="bullet"/>
      <w:lvlText w:val=""/>
      <w:lvlJc w:val="left"/>
      <w:pPr>
        <w:ind w:left="6531" w:hanging="360"/>
      </w:pPr>
      <w:rPr>
        <w:rFonts w:ascii="Wingdings" w:hAnsi="Wingdings" w:hint="default"/>
      </w:rPr>
    </w:lvl>
  </w:abstractNum>
  <w:abstractNum w:abstractNumId="32" w15:restartNumberingAfterBreak="0">
    <w:nsid w:val="555B5A1A"/>
    <w:multiLevelType w:val="hybridMultilevel"/>
    <w:tmpl w:val="A7D2AFF0"/>
    <w:lvl w:ilvl="0" w:tplc="C7D0F7BA">
      <w:start w:val="1"/>
      <w:numFmt w:val="decimal"/>
      <w:pStyle w:val="QRD1"/>
      <w:lvlText w:val="%1."/>
      <w:lvlJc w:val="left"/>
      <w:pPr>
        <w:ind w:left="720" w:hanging="360"/>
      </w:pPr>
    </w:lvl>
    <w:lvl w:ilvl="1" w:tplc="6546B3B2">
      <w:start w:val="1"/>
      <w:numFmt w:val="lowerLetter"/>
      <w:lvlText w:val="%2."/>
      <w:lvlJc w:val="left"/>
      <w:pPr>
        <w:ind w:left="1440" w:hanging="360"/>
      </w:pPr>
    </w:lvl>
    <w:lvl w:ilvl="2" w:tplc="30C2CC28">
      <w:start w:val="1"/>
      <w:numFmt w:val="lowerRoman"/>
      <w:lvlText w:val="%3."/>
      <w:lvlJc w:val="right"/>
      <w:pPr>
        <w:ind w:left="2160" w:hanging="180"/>
      </w:pPr>
    </w:lvl>
    <w:lvl w:ilvl="3" w:tplc="BE2C3828">
      <w:start w:val="1"/>
      <w:numFmt w:val="decimal"/>
      <w:lvlText w:val="%4."/>
      <w:lvlJc w:val="left"/>
      <w:pPr>
        <w:ind w:left="2880" w:hanging="360"/>
      </w:pPr>
    </w:lvl>
    <w:lvl w:ilvl="4" w:tplc="A42233C8">
      <w:start w:val="1"/>
      <w:numFmt w:val="lowerLetter"/>
      <w:lvlText w:val="%5."/>
      <w:lvlJc w:val="left"/>
      <w:pPr>
        <w:ind w:left="3600" w:hanging="360"/>
      </w:pPr>
    </w:lvl>
    <w:lvl w:ilvl="5" w:tplc="F81027C0">
      <w:start w:val="1"/>
      <w:numFmt w:val="lowerRoman"/>
      <w:lvlText w:val="%6."/>
      <w:lvlJc w:val="right"/>
      <w:pPr>
        <w:ind w:left="4320" w:hanging="180"/>
      </w:pPr>
    </w:lvl>
    <w:lvl w:ilvl="6" w:tplc="7BFCFE36">
      <w:start w:val="1"/>
      <w:numFmt w:val="decimal"/>
      <w:lvlText w:val="%7."/>
      <w:lvlJc w:val="left"/>
      <w:pPr>
        <w:ind w:left="5040" w:hanging="360"/>
      </w:pPr>
    </w:lvl>
    <w:lvl w:ilvl="7" w:tplc="1B48E926">
      <w:start w:val="1"/>
      <w:numFmt w:val="lowerLetter"/>
      <w:lvlText w:val="%8."/>
      <w:lvlJc w:val="left"/>
      <w:pPr>
        <w:ind w:left="5760" w:hanging="360"/>
      </w:pPr>
    </w:lvl>
    <w:lvl w:ilvl="8" w:tplc="0494FC18">
      <w:start w:val="1"/>
      <w:numFmt w:val="lowerRoman"/>
      <w:lvlText w:val="%9."/>
      <w:lvlJc w:val="right"/>
      <w:pPr>
        <w:ind w:left="6480" w:hanging="180"/>
      </w:pPr>
    </w:lvl>
  </w:abstractNum>
  <w:abstractNum w:abstractNumId="33"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34" w15:restartNumberingAfterBreak="0">
    <w:nsid w:val="60462E60"/>
    <w:multiLevelType w:val="hybridMultilevel"/>
    <w:tmpl w:val="CC5A321E"/>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213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6" w15:restartNumberingAfterBreak="0">
    <w:nsid w:val="6476507D"/>
    <w:multiLevelType w:val="hybridMultilevel"/>
    <w:tmpl w:val="0E2AE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BB232B"/>
    <w:multiLevelType w:val="hybridMultilevel"/>
    <w:tmpl w:val="E4EE0FD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6372641"/>
    <w:multiLevelType w:val="hybridMultilevel"/>
    <w:tmpl w:val="59E056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F9337D0"/>
    <w:multiLevelType w:val="hybridMultilevel"/>
    <w:tmpl w:val="B6C885E6"/>
    <w:lvl w:ilvl="0" w:tplc="C2082D54">
      <w:start w:val="1"/>
      <w:numFmt w:val="bullet"/>
      <w:lvlText w:val=""/>
      <w:lvlJc w:val="left"/>
      <w:pPr>
        <w:tabs>
          <w:tab w:val="num" w:pos="720"/>
        </w:tabs>
        <w:ind w:left="720" w:hanging="360"/>
      </w:pPr>
      <w:rPr>
        <w:rFonts w:ascii="Symbol" w:hAnsi="Symbol" w:hint="default"/>
      </w:rPr>
    </w:lvl>
    <w:lvl w:ilvl="1" w:tplc="7D34C038" w:tentative="1">
      <w:start w:val="1"/>
      <w:numFmt w:val="bullet"/>
      <w:lvlText w:val="o"/>
      <w:lvlJc w:val="left"/>
      <w:pPr>
        <w:tabs>
          <w:tab w:val="num" w:pos="1440"/>
        </w:tabs>
        <w:ind w:left="1440" w:hanging="360"/>
      </w:pPr>
      <w:rPr>
        <w:rFonts w:ascii="Courier New" w:hAnsi="Courier New" w:cs="Courier New" w:hint="default"/>
      </w:rPr>
    </w:lvl>
    <w:lvl w:ilvl="2" w:tplc="D08C48CE" w:tentative="1">
      <w:start w:val="1"/>
      <w:numFmt w:val="bullet"/>
      <w:lvlText w:val=""/>
      <w:lvlJc w:val="left"/>
      <w:pPr>
        <w:tabs>
          <w:tab w:val="num" w:pos="2160"/>
        </w:tabs>
        <w:ind w:left="2160" w:hanging="360"/>
      </w:pPr>
      <w:rPr>
        <w:rFonts w:ascii="Wingdings" w:hAnsi="Wingdings" w:hint="default"/>
      </w:rPr>
    </w:lvl>
    <w:lvl w:ilvl="3" w:tplc="5E5EA284" w:tentative="1">
      <w:start w:val="1"/>
      <w:numFmt w:val="bullet"/>
      <w:lvlText w:val=""/>
      <w:lvlJc w:val="left"/>
      <w:pPr>
        <w:tabs>
          <w:tab w:val="num" w:pos="2880"/>
        </w:tabs>
        <w:ind w:left="2880" w:hanging="360"/>
      </w:pPr>
      <w:rPr>
        <w:rFonts w:ascii="Symbol" w:hAnsi="Symbol" w:hint="default"/>
      </w:rPr>
    </w:lvl>
    <w:lvl w:ilvl="4" w:tplc="4A982922" w:tentative="1">
      <w:start w:val="1"/>
      <w:numFmt w:val="bullet"/>
      <w:lvlText w:val="o"/>
      <w:lvlJc w:val="left"/>
      <w:pPr>
        <w:tabs>
          <w:tab w:val="num" w:pos="3600"/>
        </w:tabs>
        <w:ind w:left="3600" w:hanging="360"/>
      </w:pPr>
      <w:rPr>
        <w:rFonts w:ascii="Courier New" w:hAnsi="Courier New" w:cs="Courier New" w:hint="default"/>
      </w:rPr>
    </w:lvl>
    <w:lvl w:ilvl="5" w:tplc="50FE85E8" w:tentative="1">
      <w:start w:val="1"/>
      <w:numFmt w:val="bullet"/>
      <w:lvlText w:val=""/>
      <w:lvlJc w:val="left"/>
      <w:pPr>
        <w:tabs>
          <w:tab w:val="num" w:pos="4320"/>
        </w:tabs>
        <w:ind w:left="4320" w:hanging="360"/>
      </w:pPr>
      <w:rPr>
        <w:rFonts w:ascii="Wingdings" w:hAnsi="Wingdings" w:hint="default"/>
      </w:rPr>
    </w:lvl>
    <w:lvl w:ilvl="6" w:tplc="75FA9380" w:tentative="1">
      <w:start w:val="1"/>
      <w:numFmt w:val="bullet"/>
      <w:lvlText w:val=""/>
      <w:lvlJc w:val="left"/>
      <w:pPr>
        <w:tabs>
          <w:tab w:val="num" w:pos="5040"/>
        </w:tabs>
        <w:ind w:left="5040" w:hanging="360"/>
      </w:pPr>
      <w:rPr>
        <w:rFonts w:ascii="Symbol" w:hAnsi="Symbol" w:hint="default"/>
      </w:rPr>
    </w:lvl>
    <w:lvl w:ilvl="7" w:tplc="1494F122" w:tentative="1">
      <w:start w:val="1"/>
      <w:numFmt w:val="bullet"/>
      <w:lvlText w:val="o"/>
      <w:lvlJc w:val="left"/>
      <w:pPr>
        <w:tabs>
          <w:tab w:val="num" w:pos="5760"/>
        </w:tabs>
        <w:ind w:left="5760" w:hanging="360"/>
      </w:pPr>
      <w:rPr>
        <w:rFonts w:ascii="Courier New" w:hAnsi="Courier New" w:cs="Courier New" w:hint="default"/>
      </w:rPr>
    </w:lvl>
    <w:lvl w:ilvl="8" w:tplc="23C0EAA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90341"/>
    <w:multiLevelType w:val="hybridMultilevel"/>
    <w:tmpl w:val="1C0EA264"/>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9"/>
  </w:num>
  <w:num w:numId="3">
    <w:abstractNumId w:val="6"/>
  </w:num>
  <w:num w:numId="4">
    <w:abstractNumId w:val="27"/>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
  </w:num>
  <w:num w:numId="8">
    <w:abstractNumId w:val="32"/>
    <w:lvlOverride w:ilvl="0">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8"/>
  </w:num>
  <w:num w:numId="12">
    <w:abstractNumId w:val="0"/>
    <w:lvlOverride w:ilvl="0">
      <w:lvl w:ilvl="0">
        <w:start w:val="1"/>
        <w:numFmt w:val="bullet"/>
        <w:lvlText w:val="-"/>
        <w:lvlJc w:val="left"/>
        <w:pPr>
          <w:ind w:left="720" w:hanging="360"/>
        </w:pPr>
      </w:lvl>
    </w:lvlOverride>
  </w:num>
  <w:num w:numId="13">
    <w:abstractNumId w:val="23"/>
  </w:num>
  <w:num w:numId="14">
    <w:abstractNumId w:val="22"/>
  </w:num>
  <w:num w:numId="15">
    <w:abstractNumId w:val="11"/>
  </w:num>
  <w:num w:numId="16">
    <w:abstractNumId w:val="36"/>
  </w:num>
  <w:num w:numId="17">
    <w:abstractNumId w:val="9"/>
  </w:num>
  <w:num w:numId="18">
    <w:abstractNumId w:val="4"/>
  </w:num>
  <w:num w:numId="19">
    <w:abstractNumId w:val="12"/>
  </w:num>
  <w:num w:numId="20">
    <w:abstractNumId w:val="2"/>
  </w:num>
  <w:num w:numId="21">
    <w:abstractNumId w:val="26"/>
  </w:num>
  <w:num w:numId="22">
    <w:abstractNumId w:val="25"/>
  </w:num>
  <w:num w:numId="23">
    <w:abstractNumId w:val="21"/>
  </w:num>
  <w:num w:numId="24">
    <w:abstractNumId w:val="29"/>
  </w:num>
  <w:num w:numId="25">
    <w:abstractNumId w:val="5"/>
  </w:num>
  <w:num w:numId="26">
    <w:abstractNumId w:val="13"/>
  </w:num>
  <w:num w:numId="27">
    <w:abstractNumId w:val="19"/>
  </w:num>
  <w:num w:numId="28">
    <w:abstractNumId w:val="34"/>
  </w:num>
  <w:num w:numId="29">
    <w:abstractNumId w:val="40"/>
  </w:num>
  <w:num w:numId="30">
    <w:abstractNumId w:val="37"/>
  </w:num>
  <w:num w:numId="31">
    <w:abstractNumId w:val="28"/>
  </w:num>
  <w:num w:numId="32">
    <w:abstractNumId w:val="38"/>
  </w:num>
  <w:num w:numId="33">
    <w:abstractNumId w:val="15"/>
  </w:num>
  <w:num w:numId="34">
    <w:abstractNumId w:val="24"/>
  </w:num>
  <w:num w:numId="35">
    <w:abstractNumId w:val="20"/>
  </w:num>
  <w:num w:numId="36">
    <w:abstractNumId w:val="17"/>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0"/>
  </w:num>
  <w:num w:numId="40">
    <w:abstractNumId w:val="8"/>
  </w:num>
  <w:num w:numId="41">
    <w:abstractNumId w:val="7"/>
  </w:num>
  <w:num w:numId="42">
    <w:abstractNumId w:val="31"/>
  </w:num>
  <w:num w:numId="43">
    <w:abstractNumId w:val="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0C"/>
    <w:rsid w:val="00023D9B"/>
    <w:rsid w:val="000417F6"/>
    <w:rsid w:val="00043F2C"/>
    <w:rsid w:val="0008555B"/>
    <w:rsid w:val="000A04BF"/>
    <w:rsid w:val="000B3932"/>
    <w:rsid w:val="000C219B"/>
    <w:rsid w:val="000F5E3E"/>
    <w:rsid w:val="00101F09"/>
    <w:rsid w:val="00111CBF"/>
    <w:rsid w:val="0013158C"/>
    <w:rsid w:val="00170D9E"/>
    <w:rsid w:val="001779FF"/>
    <w:rsid w:val="00192BE6"/>
    <w:rsid w:val="001A1A34"/>
    <w:rsid w:val="001C0D1B"/>
    <w:rsid w:val="001C55F9"/>
    <w:rsid w:val="001D658E"/>
    <w:rsid w:val="001F043F"/>
    <w:rsid w:val="00204B9E"/>
    <w:rsid w:val="00207950"/>
    <w:rsid w:val="002149A6"/>
    <w:rsid w:val="00231C22"/>
    <w:rsid w:val="0023708D"/>
    <w:rsid w:val="002452EB"/>
    <w:rsid w:val="002563F9"/>
    <w:rsid w:val="00277C84"/>
    <w:rsid w:val="00290353"/>
    <w:rsid w:val="00295285"/>
    <w:rsid w:val="002A1EBD"/>
    <w:rsid w:val="002A71F1"/>
    <w:rsid w:val="002B3BF8"/>
    <w:rsid w:val="002D191C"/>
    <w:rsid w:val="002F2BEB"/>
    <w:rsid w:val="00307EFB"/>
    <w:rsid w:val="0033553C"/>
    <w:rsid w:val="00345AFE"/>
    <w:rsid w:val="0036398E"/>
    <w:rsid w:val="00364075"/>
    <w:rsid w:val="00365C14"/>
    <w:rsid w:val="003902CA"/>
    <w:rsid w:val="00390CD1"/>
    <w:rsid w:val="003C09FC"/>
    <w:rsid w:val="003C2066"/>
    <w:rsid w:val="003C5782"/>
    <w:rsid w:val="003D2FA2"/>
    <w:rsid w:val="003D5F79"/>
    <w:rsid w:val="003D7B53"/>
    <w:rsid w:val="0042322B"/>
    <w:rsid w:val="00440622"/>
    <w:rsid w:val="00444230"/>
    <w:rsid w:val="00477ACA"/>
    <w:rsid w:val="00486EB2"/>
    <w:rsid w:val="0049178D"/>
    <w:rsid w:val="004C374C"/>
    <w:rsid w:val="004C3B5C"/>
    <w:rsid w:val="004C6B19"/>
    <w:rsid w:val="004E44DA"/>
    <w:rsid w:val="004F139D"/>
    <w:rsid w:val="004F4091"/>
    <w:rsid w:val="004F476E"/>
    <w:rsid w:val="004F6113"/>
    <w:rsid w:val="00501483"/>
    <w:rsid w:val="005265B0"/>
    <w:rsid w:val="00537E9F"/>
    <w:rsid w:val="00551296"/>
    <w:rsid w:val="00562251"/>
    <w:rsid w:val="00575A1E"/>
    <w:rsid w:val="0058616C"/>
    <w:rsid w:val="00597B10"/>
    <w:rsid w:val="005A7B02"/>
    <w:rsid w:val="005B56A9"/>
    <w:rsid w:val="005C3769"/>
    <w:rsid w:val="005C4925"/>
    <w:rsid w:val="005D5BD2"/>
    <w:rsid w:val="005F2B9C"/>
    <w:rsid w:val="005F4DD0"/>
    <w:rsid w:val="005F5F39"/>
    <w:rsid w:val="006124DB"/>
    <w:rsid w:val="00612530"/>
    <w:rsid w:val="00632CDE"/>
    <w:rsid w:val="00667A41"/>
    <w:rsid w:val="006B63A2"/>
    <w:rsid w:val="006D1A22"/>
    <w:rsid w:val="006E2D71"/>
    <w:rsid w:val="006E3B7D"/>
    <w:rsid w:val="00730E47"/>
    <w:rsid w:val="00787AD0"/>
    <w:rsid w:val="007911E1"/>
    <w:rsid w:val="007B4CBC"/>
    <w:rsid w:val="007E7E44"/>
    <w:rsid w:val="007F3479"/>
    <w:rsid w:val="007F608C"/>
    <w:rsid w:val="00821D46"/>
    <w:rsid w:val="008313CB"/>
    <w:rsid w:val="00866B75"/>
    <w:rsid w:val="00867275"/>
    <w:rsid w:val="008C0224"/>
    <w:rsid w:val="008E19A7"/>
    <w:rsid w:val="008F0BB2"/>
    <w:rsid w:val="00932031"/>
    <w:rsid w:val="00937B2B"/>
    <w:rsid w:val="00944B6F"/>
    <w:rsid w:val="009500CF"/>
    <w:rsid w:val="00957F1A"/>
    <w:rsid w:val="00962D55"/>
    <w:rsid w:val="00996AC3"/>
    <w:rsid w:val="009D637D"/>
    <w:rsid w:val="009F0E8A"/>
    <w:rsid w:val="009F5B08"/>
    <w:rsid w:val="00A11994"/>
    <w:rsid w:val="00A25B8E"/>
    <w:rsid w:val="00A26CAF"/>
    <w:rsid w:val="00A43BD7"/>
    <w:rsid w:val="00A4513B"/>
    <w:rsid w:val="00A54CE1"/>
    <w:rsid w:val="00A82E6D"/>
    <w:rsid w:val="00A86F40"/>
    <w:rsid w:val="00AB5CE1"/>
    <w:rsid w:val="00AC05F2"/>
    <w:rsid w:val="00AC5F96"/>
    <w:rsid w:val="00AD08B6"/>
    <w:rsid w:val="00AD140F"/>
    <w:rsid w:val="00AF0049"/>
    <w:rsid w:val="00AF1E2A"/>
    <w:rsid w:val="00AF2CC3"/>
    <w:rsid w:val="00AF752C"/>
    <w:rsid w:val="00B108A4"/>
    <w:rsid w:val="00B112E3"/>
    <w:rsid w:val="00B360C7"/>
    <w:rsid w:val="00B8382B"/>
    <w:rsid w:val="00B91A3D"/>
    <w:rsid w:val="00B92C6E"/>
    <w:rsid w:val="00BD4F90"/>
    <w:rsid w:val="00C139A0"/>
    <w:rsid w:val="00C512B8"/>
    <w:rsid w:val="00C5179E"/>
    <w:rsid w:val="00C9237C"/>
    <w:rsid w:val="00CE4C3C"/>
    <w:rsid w:val="00CF4231"/>
    <w:rsid w:val="00D033A6"/>
    <w:rsid w:val="00D06CD8"/>
    <w:rsid w:val="00D210A7"/>
    <w:rsid w:val="00D31097"/>
    <w:rsid w:val="00D41F8D"/>
    <w:rsid w:val="00D51694"/>
    <w:rsid w:val="00D87F94"/>
    <w:rsid w:val="00D967A2"/>
    <w:rsid w:val="00DD1152"/>
    <w:rsid w:val="00E05615"/>
    <w:rsid w:val="00E07D49"/>
    <w:rsid w:val="00E25DC2"/>
    <w:rsid w:val="00E56994"/>
    <w:rsid w:val="00E77B39"/>
    <w:rsid w:val="00EA2788"/>
    <w:rsid w:val="00EC2F35"/>
    <w:rsid w:val="00ED69D1"/>
    <w:rsid w:val="00EF7AD1"/>
    <w:rsid w:val="00F03340"/>
    <w:rsid w:val="00F05C15"/>
    <w:rsid w:val="00F17A0C"/>
    <w:rsid w:val="00F24CBE"/>
    <w:rsid w:val="00F33A8C"/>
    <w:rsid w:val="00F556C7"/>
    <w:rsid w:val="00FA68B9"/>
    <w:rsid w:val="00FB661F"/>
    <w:rsid w:val="00FE61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EFEA"/>
  <w15:chartTrackingRefBased/>
  <w15:docId w15:val="{58751417-BBAC-441A-8A58-E7A4D548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4CBC"/>
    <w:pPr>
      <w:spacing w:after="0"/>
    </w:pPr>
  </w:style>
  <w:style w:type="paragraph" w:styleId="Antrat1">
    <w:name w:val="heading 1"/>
    <w:basedOn w:val="prastasis"/>
    <w:next w:val="prastasis"/>
    <w:link w:val="Antrat1Diagrama"/>
    <w:qFormat/>
    <w:rsid w:val="00F17A0C"/>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qFormat/>
    <w:rsid w:val="00F17A0C"/>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qFormat/>
    <w:rsid w:val="00F17A0C"/>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qFormat/>
    <w:rsid w:val="00F17A0C"/>
    <w:pPr>
      <w:keepNext/>
      <w:tabs>
        <w:tab w:val="left" w:pos="567"/>
      </w:tabs>
      <w:spacing w:line="260" w:lineRule="exact"/>
      <w:jc w:val="both"/>
      <w:outlineLvl w:val="3"/>
    </w:pPr>
    <w:rPr>
      <w:rFonts w:ascii="Times New Roman" w:eastAsia="Times New Roman" w:hAnsi="Times New Roman" w:cs="Times New Roman"/>
      <w:b/>
      <w:noProof/>
      <w:szCs w:val="20"/>
      <w:lang w:val="en-GB"/>
    </w:rPr>
  </w:style>
  <w:style w:type="paragraph" w:styleId="Antrat5">
    <w:name w:val="heading 5"/>
    <w:basedOn w:val="prastasis"/>
    <w:next w:val="prastasis"/>
    <w:link w:val="Antrat5Diagrama"/>
    <w:qFormat/>
    <w:rsid w:val="00F17A0C"/>
    <w:pPr>
      <w:keepNext/>
      <w:tabs>
        <w:tab w:val="left" w:pos="567"/>
      </w:tabs>
      <w:spacing w:line="260" w:lineRule="exact"/>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qFormat/>
    <w:rsid w:val="00F17A0C"/>
    <w:pPr>
      <w:keepNext/>
      <w:tabs>
        <w:tab w:val="left" w:pos="-720"/>
        <w:tab w:val="left" w:pos="567"/>
        <w:tab w:val="left" w:pos="4536"/>
      </w:tabs>
      <w:suppressAutoHyphens/>
      <w:spacing w:line="260" w:lineRule="exact"/>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qFormat/>
    <w:rsid w:val="00F17A0C"/>
    <w:pPr>
      <w:keepNext/>
      <w:tabs>
        <w:tab w:val="left" w:pos="-720"/>
        <w:tab w:val="left" w:pos="567"/>
        <w:tab w:val="left" w:pos="4536"/>
      </w:tabs>
      <w:suppressAutoHyphens/>
      <w:spacing w:line="260" w:lineRule="exact"/>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qFormat/>
    <w:rsid w:val="00F17A0C"/>
    <w:pPr>
      <w:keepNext/>
      <w:tabs>
        <w:tab w:val="left" w:pos="567"/>
      </w:tabs>
      <w:spacing w:line="260" w:lineRule="exact"/>
      <w:ind w:left="567" w:hanging="567"/>
      <w:jc w:val="both"/>
      <w:outlineLvl w:val="7"/>
    </w:pPr>
    <w:rPr>
      <w:rFonts w:ascii="Times New Roman" w:eastAsia="Times New Roman" w:hAnsi="Times New Roman" w:cs="Times New Roman"/>
      <w:b/>
      <w:i/>
      <w:szCs w:val="20"/>
      <w:lang w:val="en-GB"/>
    </w:rPr>
  </w:style>
  <w:style w:type="paragraph" w:styleId="Antrat9">
    <w:name w:val="heading 9"/>
    <w:basedOn w:val="prastasis"/>
    <w:next w:val="prastasis"/>
    <w:link w:val="Antrat9Diagrama"/>
    <w:qFormat/>
    <w:rsid w:val="00F17A0C"/>
    <w:pPr>
      <w:keepNext/>
      <w:tabs>
        <w:tab w:val="left" w:pos="567"/>
      </w:tabs>
      <w:spacing w:line="260" w:lineRule="exact"/>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17A0C"/>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F17A0C"/>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F17A0C"/>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F17A0C"/>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F17A0C"/>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F17A0C"/>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F17A0C"/>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F17A0C"/>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F17A0C"/>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F17A0C"/>
  </w:style>
  <w:style w:type="paragraph" w:styleId="Porat">
    <w:name w:val="footer"/>
    <w:basedOn w:val="prastasis"/>
    <w:link w:val="PoratDiagrama"/>
    <w:uiPriority w:val="99"/>
    <w:rsid w:val="00F17A0C"/>
    <w:pPr>
      <w:tabs>
        <w:tab w:val="left" w:pos="567"/>
        <w:tab w:val="center" w:pos="4536"/>
        <w:tab w:val="right" w:pos="8306"/>
      </w:tabs>
      <w:spacing w:line="260" w:lineRule="exact"/>
    </w:pPr>
    <w:rPr>
      <w:rFonts w:ascii="Arial" w:eastAsia="Times New Roman" w:hAnsi="Arial" w:cs="Times New Roman"/>
      <w:noProof/>
      <w:sz w:val="16"/>
      <w:szCs w:val="20"/>
      <w:lang w:eastAsia="lt-LT"/>
    </w:rPr>
  </w:style>
  <w:style w:type="character" w:customStyle="1" w:styleId="PoratDiagrama">
    <w:name w:val="Poraštė Diagrama"/>
    <w:basedOn w:val="Numatytasispastraiposriftas"/>
    <w:link w:val="Porat"/>
    <w:uiPriority w:val="99"/>
    <w:rsid w:val="00F17A0C"/>
    <w:rPr>
      <w:rFonts w:ascii="Arial" w:eastAsia="Times New Roman" w:hAnsi="Arial" w:cs="Times New Roman"/>
      <w:noProof/>
      <w:sz w:val="16"/>
      <w:szCs w:val="20"/>
      <w:lang w:eastAsia="lt-LT"/>
    </w:rPr>
  </w:style>
  <w:style w:type="paragraph" w:styleId="Antrats">
    <w:name w:val="header"/>
    <w:basedOn w:val="prastasis"/>
    <w:link w:val="AntratsDiagrama"/>
    <w:uiPriority w:val="99"/>
    <w:rsid w:val="00F17A0C"/>
    <w:pPr>
      <w:tabs>
        <w:tab w:val="left" w:pos="567"/>
        <w:tab w:val="center" w:pos="4153"/>
        <w:tab w:val="right" w:pos="8306"/>
      </w:tabs>
      <w:spacing w:line="260" w:lineRule="exact"/>
    </w:pPr>
    <w:rPr>
      <w:rFonts w:ascii="Arial" w:eastAsia="Times New Roman" w:hAnsi="Arial" w:cs="Times New Roman"/>
      <w:sz w:val="20"/>
      <w:szCs w:val="20"/>
      <w:lang w:eastAsia="lt-LT"/>
    </w:rPr>
  </w:style>
  <w:style w:type="character" w:customStyle="1" w:styleId="AntratsDiagrama">
    <w:name w:val="Antraštės Diagrama"/>
    <w:basedOn w:val="Numatytasispastraiposriftas"/>
    <w:link w:val="Antrats"/>
    <w:uiPriority w:val="99"/>
    <w:rsid w:val="00F17A0C"/>
    <w:rPr>
      <w:rFonts w:ascii="Arial" w:eastAsia="Times New Roman" w:hAnsi="Arial" w:cs="Times New Roman"/>
      <w:sz w:val="20"/>
      <w:szCs w:val="20"/>
      <w:lang w:eastAsia="lt-LT"/>
    </w:rPr>
  </w:style>
  <w:style w:type="paragraph" w:customStyle="1" w:styleId="MemoHeaderStyle">
    <w:name w:val="MemoHeaderStyle"/>
    <w:basedOn w:val="prastasis"/>
    <w:next w:val="prastasis"/>
    <w:rsid w:val="00F17A0C"/>
    <w:pPr>
      <w:tabs>
        <w:tab w:val="left" w:pos="567"/>
      </w:tabs>
      <w:spacing w:line="120" w:lineRule="atLeast"/>
      <w:ind w:left="1418"/>
      <w:jc w:val="both"/>
    </w:pPr>
    <w:rPr>
      <w:rFonts w:ascii="Arial" w:eastAsia="Times New Roman" w:hAnsi="Arial" w:cs="Times New Roman"/>
      <w:b/>
      <w:smallCaps/>
      <w:szCs w:val="20"/>
      <w:lang w:eastAsia="lt-LT"/>
    </w:rPr>
  </w:style>
  <w:style w:type="character" w:styleId="Puslapionumeris">
    <w:name w:val="page number"/>
    <w:basedOn w:val="Numatytasispastraiposriftas"/>
    <w:rsid w:val="00F17A0C"/>
  </w:style>
  <w:style w:type="paragraph" w:styleId="Pagrindinistekstas">
    <w:name w:val="Body Text"/>
    <w:basedOn w:val="prastasis"/>
    <w:link w:val="PagrindinistekstasDiagrama"/>
    <w:rsid w:val="00F17A0C"/>
    <w:pPr>
      <w:spacing w:line="240" w:lineRule="auto"/>
    </w:pPr>
    <w:rPr>
      <w:rFonts w:ascii="Times New Roman" w:eastAsia="Times New Roman" w:hAnsi="Times New Roman" w:cs="Times New Roman"/>
      <w:i/>
      <w:color w:val="008000"/>
      <w:szCs w:val="20"/>
      <w:lang w:eastAsia="lt-LT"/>
    </w:rPr>
  </w:style>
  <w:style w:type="character" w:customStyle="1" w:styleId="PagrindinistekstasDiagrama">
    <w:name w:val="Pagrindinis tekstas Diagrama"/>
    <w:basedOn w:val="Numatytasispastraiposriftas"/>
    <w:link w:val="Pagrindinistekstas"/>
    <w:rsid w:val="00F17A0C"/>
    <w:rPr>
      <w:rFonts w:ascii="Times New Roman" w:eastAsia="Times New Roman" w:hAnsi="Times New Roman" w:cs="Times New Roman"/>
      <w:i/>
      <w:color w:val="008000"/>
      <w:szCs w:val="20"/>
      <w:lang w:eastAsia="lt-LT"/>
    </w:rPr>
  </w:style>
  <w:style w:type="paragraph" w:styleId="Komentarotekstas">
    <w:name w:val="annotation text"/>
    <w:basedOn w:val="prastasis"/>
    <w:link w:val="KomentarotekstasDiagrama"/>
    <w:uiPriority w:val="99"/>
    <w:rsid w:val="00F17A0C"/>
    <w:pPr>
      <w:tabs>
        <w:tab w:val="left" w:pos="567"/>
      </w:tabs>
      <w:spacing w:line="260" w:lineRule="exact"/>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F17A0C"/>
    <w:rPr>
      <w:rFonts w:ascii="Times New Roman" w:eastAsia="Times New Roman" w:hAnsi="Times New Roman" w:cs="Times New Roman"/>
      <w:sz w:val="20"/>
      <w:szCs w:val="20"/>
      <w:lang w:eastAsia="lt-LT"/>
    </w:rPr>
  </w:style>
  <w:style w:type="character" w:styleId="Hipersaitas">
    <w:name w:val="Hyperlink"/>
    <w:uiPriority w:val="99"/>
    <w:rsid w:val="00F17A0C"/>
    <w:rPr>
      <w:color w:val="0000FF"/>
      <w:u w:val="single"/>
      <w:lang w:val="lt-LT" w:eastAsia="lt-LT"/>
    </w:rPr>
  </w:style>
  <w:style w:type="paragraph" w:customStyle="1" w:styleId="EMEAEnBodyText">
    <w:name w:val="EMEA En Body Text"/>
    <w:basedOn w:val="prastasis"/>
    <w:rsid w:val="00F17A0C"/>
    <w:pPr>
      <w:spacing w:before="120" w:after="120" w:line="240" w:lineRule="auto"/>
      <w:jc w:val="both"/>
    </w:pPr>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rsid w:val="00F17A0C"/>
    <w:pPr>
      <w:tabs>
        <w:tab w:val="left" w:pos="567"/>
      </w:tabs>
      <w:spacing w:line="260" w:lineRule="exact"/>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F17A0C"/>
    <w:rPr>
      <w:rFonts w:ascii="Tahoma" w:eastAsia="Times New Roman" w:hAnsi="Tahoma" w:cs="Tahoma"/>
      <w:sz w:val="16"/>
      <w:szCs w:val="16"/>
      <w:lang w:eastAsia="lt-LT"/>
    </w:rPr>
  </w:style>
  <w:style w:type="paragraph" w:customStyle="1" w:styleId="BodytextAgency">
    <w:name w:val="Body text (Agency)"/>
    <w:basedOn w:val="prastasis"/>
    <w:link w:val="BodytextAgencyChar"/>
    <w:rsid w:val="00F17A0C"/>
    <w:pPr>
      <w:spacing w:after="140" w:line="280" w:lineRule="atLeast"/>
    </w:pPr>
    <w:rPr>
      <w:rFonts w:ascii="Verdana" w:eastAsia="Verdana" w:hAnsi="Verdana" w:cs="Verdana"/>
      <w:sz w:val="18"/>
      <w:szCs w:val="18"/>
      <w:lang w:eastAsia="lt-LT"/>
    </w:rPr>
  </w:style>
  <w:style w:type="character" w:customStyle="1" w:styleId="BodytextAgencyChar">
    <w:name w:val="Body text (Agency) Char"/>
    <w:link w:val="BodytextAgency"/>
    <w:rsid w:val="00F17A0C"/>
    <w:rPr>
      <w:rFonts w:ascii="Verdana" w:eastAsia="Verdana" w:hAnsi="Verdana" w:cs="Verdana"/>
      <w:sz w:val="18"/>
      <w:szCs w:val="18"/>
      <w:lang w:eastAsia="lt-LT"/>
    </w:rPr>
  </w:style>
  <w:style w:type="paragraph" w:customStyle="1" w:styleId="DraftingNotesAgency">
    <w:name w:val="Drafting Notes (Agency)"/>
    <w:basedOn w:val="prastasis"/>
    <w:next w:val="BodytextAgency"/>
    <w:link w:val="DraftingNotesAgencyChar"/>
    <w:rsid w:val="00F17A0C"/>
    <w:pPr>
      <w:spacing w:after="140" w:line="280" w:lineRule="atLeast"/>
    </w:pPr>
    <w:rPr>
      <w:rFonts w:ascii="Courier New" w:eastAsia="Verdana" w:hAnsi="Courier New" w:cs="Times New Roman"/>
      <w:i/>
      <w:color w:val="339966"/>
      <w:szCs w:val="18"/>
      <w:lang w:eastAsia="lt-LT"/>
    </w:rPr>
  </w:style>
  <w:style w:type="character" w:customStyle="1" w:styleId="DraftingNotesAgencyChar">
    <w:name w:val="Drafting Notes (Agency) Char"/>
    <w:link w:val="DraftingNotesAgency"/>
    <w:rsid w:val="00F17A0C"/>
    <w:rPr>
      <w:rFonts w:ascii="Courier New" w:eastAsia="Verdana" w:hAnsi="Courier New" w:cs="Times New Roman"/>
      <w:i/>
      <w:color w:val="339966"/>
      <w:szCs w:val="18"/>
      <w:lang w:eastAsia="lt-LT"/>
    </w:rPr>
  </w:style>
  <w:style w:type="paragraph" w:customStyle="1" w:styleId="NormalAgency">
    <w:name w:val="Normal (Agency)"/>
    <w:link w:val="NormalAgencyChar"/>
    <w:rsid w:val="00F17A0C"/>
    <w:pPr>
      <w:spacing w:after="0" w:line="240" w:lineRule="auto"/>
    </w:pPr>
    <w:rPr>
      <w:rFonts w:ascii="Verdana" w:eastAsia="Verdana" w:hAnsi="Verdana" w:cs="Verdana"/>
      <w:sz w:val="18"/>
      <w:szCs w:val="18"/>
      <w:lang w:eastAsia="lt-LT"/>
    </w:rPr>
  </w:style>
  <w:style w:type="table" w:customStyle="1" w:styleId="TablegridAgencyblack">
    <w:name w:val="Table grid (Agency) black"/>
    <w:basedOn w:val="prastojilentel"/>
    <w:semiHidden/>
    <w:rsid w:val="00F17A0C"/>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F17A0C"/>
    <w:pPr>
      <w:keepNext/>
    </w:pPr>
    <w:rPr>
      <w:rFonts w:eastAsia="Times New Roman"/>
      <w:b/>
    </w:rPr>
  </w:style>
  <w:style w:type="paragraph" w:customStyle="1" w:styleId="TabletextrowsAgency">
    <w:name w:val="Table text rows (Agency)"/>
    <w:basedOn w:val="prastasis"/>
    <w:rsid w:val="00F17A0C"/>
    <w:pPr>
      <w:spacing w:line="280" w:lineRule="exact"/>
    </w:pPr>
    <w:rPr>
      <w:rFonts w:ascii="Verdana" w:eastAsia="Times New Roman" w:hAnsi="Verdana" w:cs="Verdana"/>
      <w:sz w:val="18"/>
      <w:szCs w:val="18"/>
      <w:lang w:eastAsia="lt-LT"/>
    </w:rPr>
  </w:style>
  <w:style w:type="character" w:customStyle="1" w:styleId="NormalAgencyChar">
    <w:name w:val="Normal (Agency) Char"/>
    <w:link w:val="NormalAgency"/>
    <w:rsid w:val="00F17A0C"/>
    <w:rPr>
      <w:rFonts w:ascii="Verdana" w:eastAsia="Verdana" w:hAnsi="Verdana" w:cs="Verdana"/>
      <w:sz w:val="18"/>
      <w:szCs w:val="18"/>
      <w:lang w:eastAsia="lt-LT"/>
    </w:rPr>
  </w:style>
  <w:style w:type="character" w:styleId="Komentaronuoroda">
    <w:name w:val="annotation reference"/>
    <w:uiPriority w:val="99"/>
    <w:rsid w:val="00F17A0C"/>
    <w:rPr>
      <w:sz w:val="16"/>
      <w:szCs w:val="16"/>
      <w:lang w:val="lt-LT" w:eastAsia="lt-LT"/>
    </w:rPr>
  </w:style>
  <w:style w:type="paragraph" w:styleId="Komentarotema">
    <w:name w:val="annotation subject"/>
    <w:basedOn w:val="Komentarotekstas"/>
    <w:next w:val="Komentarotekstas"/>
    <w:link w:val="KomentarotemaDiagrama"/>
    <w:uiPriority w:val="99"/>
    <w:rsid w:val="00F17A0C"/>
    <w:rPr>
      <w:b/>
      <w:bCs/>
    </w:rPr>
  </w:style>
  <w:style w:type="character" w:customStyle="1" w:styleId="KomentarotemaDiagrama">
    <w:name w:val="Komentaro tema Diagrama"/>
    <w:basedOn w:val="KomentarotekstasDiagrama"/>
    <w:link w:val="Komentarotema"/>
    <w:uiPriority w:val="99"/>
    <w:rsid w:val="00F17A0C"/>
    <w:rPr>
      <w:rFonts w:ascii="Times New Roman" w:eastAsia="Times New Roman" w:hAnsi="Times New Roman" w:cs="Times New Roman"/>
      <w:b/>
      <w:bCs/>
      <w:sz w:val="20"/>
      <w:szCs w:val="20"/>
      <w:lang w:eastAsia="lt-LT"/>
    </w:rPr>
  </w:style>
  <w:style w:type="paragraph" w:customStyle="1" w:styleId="ColorfulShading-Accent11">
    <w:name w:val="Colorful Shading - Accent 11"/>
    <w:hidden/>
    <w:uiPriority w:val="99"/>
    <w:semiHidden/>
    <w:rsid w:val="00F17A0C"/>
    <w:pPr>
      <w:spacing w:after="0" w:line="240" w:lineRule="auto"/>
    </w:pPr>
    <w:rPr>
      <w:rFonts w:ascii="Times New Roman" w:eastAsia="Times New Roman" w:hAnsi="Times New Roman" w:cs="Times New Roman"/>
      <w:szCs w:val="20"/>
      <w:lang w:eastAsia="lt-LT"/>
    </w:rPr>
  </w:style>
  <w:style w:type="paragraph" w:styleId="prastasiniatinklio">
    <w:name w:val="Normal (Web)"/>
    <w:basedOn w:val="prastasis"/>
    <w:uiPriority w:val="99"/>
    <w:unhideWhenUsed/>
    <w:rsid w:val="00F17A0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ocText">
    <w:name w:val="Doc Text"/>
    <w:basedOn w:val="prastasis"/>
    <w:link w:val="DocTextChar"/>
    <w:qFormat/>
    <w:rsid w:val="00F17A0C"/>
    <w:pPr>
      <w:spacing w:before="120" w:after="240" w:line="288" w:lineRule="auto"/>
    </w:pPr>
    <w:rPr>
      <w:rFonts w:ascii="Times New Roman" w:eastAsia="Batang" w:hAnsi="Times New Roman" w:cs="Times New Roman"/>
      <w:sz w:val="24"/>
      <w:szCs w:val="24"/>
      <w:lang w:eastAsia="lt-LT"/>
    </w:rPr>
  </w:style>
  <w:style w:type="character" w:customStyle="1" w:styleId="DocTextChar">
    <w:name w:val="Doc Text Char"/>
    <w:link w:val="DocText"/>
    <w:locked/>
    <w:rsid w:val="00F17A0C"/>
    <w:rPr>
      <w:rFonts w:ascii="Times New Roman" w:eastAsia="Batang" w:hAnsi="Times New Roman" w:cs="Times New Roman"/>
      <w:sz w:val="24"/>
      <w:szCs w:val="24"/>
      <w:lang w:eastAsia="lt-LT"/>
    </w:rPr>
  </w:style>
  <w:style w:type="paragraph" w:customStyle="1" w:styleId="Default">
    <w:name w:val="Default"/>
    <w:rsid w:val="00F17A0C"/>
    <w:pPr>
      <w:autoSpaceDE w:val="0"/>
      <w:autoSpaceDN w:val="0"/>
      <w:adjustRightInd w:val="0"/>
      <w:spacing w:after="0" w:line="240" w:lineRule="auto"/>
    </w:pPr>
    <w:rPr>
      <w:rFonts w:ascii="Verdana" w:eastAsia="SimSun" w:hAnsi="Verdana" w:cs="Verdana"/>
      <w:color w:val="000000"/>
      <w:sz w:val="24"/>
      <w:szCs w:val="24"/>
      <w:lang w:eastAsia="lt-LT"/>
    </w:rPr>
  </w:style>
  <w:style w:type="character" w:customStyle="1" w:styleId="st">
    <w:name w:val="st"/>
    <w:rsid w:val="00F17A0C"/>
  </w:style>
  <w:style w:type="paragraph" w:styleId="Antrat">
    <w:name w:val="caption"/>
    <w:basedOn w:val="prastasis"/>
    <w:next w:val="prastasis"/>
    <w:qFormat/>
    <w:rsid w:val="00F17A0C"/>
    <w:pPr>
      <w:tabs>
        <w:tab w:val="left" w:pos="567"/>
      </w:tabs>
      <w:spacing w:line="260" w:lineRule="exact"/>
    </w:pPr>
    <w:rPr>
      <w:rFonts w:ascii="Times New Roman" w:eastAsia="Times New Roman" w:hAnsi="Times New Roman" w:cs="Times New Roman"/>
      <w:b/>
      <w:bCs/>
      <w:sz w:val="20"/>
      <w:szCs w:val="20"/>
      <w:lang w:eastAsia="lt-LT"/>
    </w:rPr>
  </w:style>
  <w:style w:type="table" w:customStyle="1" w:styleId="TableGridLight1">
    <w:name w:val="Table Grid Light1"/>
    <w:basedOn w:val="prastojilentel"/>
    <w:uiPriority w:val="40"/>
    <w:rsid w:val="00F17A0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lorfulList-Accent11">
    <w:name w:val="Colorful List - Accent 11"/>
    <w:basedOn w:val="prastasis"/>
    <w:uiPriority w:val="34"/>
    <w:qFormat/>
    <w:rsid w:val="00F17A0C"/>
    <w:pPr>
      <w:ind w:left="720"/>
      <w:contextualSpacing/>
    </w:pPr>
    <w:rPr>
      <w:rFonts w:ascii="SymbolMT" w:eastAsia="SymbolMT" w:hAnsi="SymbolMT" w:cs="Times New Roman"/>
      <w:lang w:eastAsia="lt-LT"/>
    </w:rPr>
  </w:style>
  <w:style w:type="character" w:customStyle="1" w:styleId="QRD1Char">
    <w:name w:val="QRD1 Char"/>
    <w:link w:val="QRD1"/>
    <w:locked/>
    <w:rsid w:val="00F17A0C"/>
    <w:rPr>
      <w:rFonts w:eastAsia="Times New Roman"/>
      <w:b/>
      <w:noProof/>
    </w:rPr>
  </w:style>
  <w:style w:type="paragraph" w:customStyle="1" w:styleId="QRD1">
    <w:name w:val="QRD1"/>
    <w:basedOn w:val="prastasis"/>
    <w:link w:val="QRD1Char"/>
    <w:qFormat/>
    <w:rsid w:val="00F17A0C"/>
    <w:pPr>
      <w:numPr>
        <w:numId w:val="5"/>
      </w:numPr>
      <w:spacing w:line="240" w:lineRule="auto"/>
      <w:ind w:left="360"/>
      <w:outlineLvl w:val="0"/>
    </w:pPr>
    <w:rPr>
      <w:rFonts w:eastAsia="Times New Roman"/>
      <w:b/>
      <w:noProof/>
    </w:rPr>
  </w:style>
  <w:style w:type="paragraph" w:customStyle="1" w:styleId="QRDheading1">
    <w:name w:val="QRD heading 1"/>
    <w:basedOn w:val="Antrats"/>
    <w:link w:val="QRDheading1Char"/>
    <w:qFormat/>
    <w:rsid w:val="00F17A0C"/>
    <w:pPr>
      <w:spacing w:line="240" w:lineRule="auto"/>
      <w:ind w:right="-2"/>
    </w:pPr>
    <w:rPr>
      <w:rFonts w:ascii="Times New Roman" w:hAnsi="Times New Roman"/>
      <w:b/>
      <w:noProof/>
      <w:sz w:val="22"/>
      <w:szCs w:val="22"/>
    </w:rPr>
  </w:style>
  <w:style w:type="character" w:customStyle="1" w:styleId="QRDheading1Char">
    <w:name w:val="QRD heading 1 Char"/>
    <w:link w:val="QRDheading1"/>
    <w:rsid w:val="00F17A0C"/>
    <w:rPr>
      <w:rFonts w:ascii="Times New Roman" w:eastAsia="Times New Roman" w:hAnsi="Times New Roman" w:cs="Times New Roman"/>
      <w:b/>
      <w:noProof/>
      <w:lang w:eastAsia="lt-LT"/>
    </w:rPr>
  </w:style>
  <w:style w:type="table" w:styleId="Lentelstinklelis">
    <w:name w:val="Table Grid"/>
    <w:basedOn w:val="prastojilentel"/>
    <w:uiPriority w:val="39"/>
    <w:rsid w:val="00F17A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F17A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17A0C"/>
    <w:rPr>
      <w:i/>
      <w:iCs/>
      <w:lang w:val="lt-LT" w:eastAsia="lt-LT"/>
    </w:rPr>
  </w:style>
  <w:style w:type="character" w:customStyle="1" w:styleId="DoNotTranslateExternal1">
    <w:name w:val="DoNotTranslateExternal1"/>
    <w:qFormat/>
    <w:rsid w:val="00F17A0C"/>
    <w:rPr>
      <w:b/>
      <w:bCs w:val="0"/>
      <w:noProof/>
      <w:szCs w:val="22"/>
    </w:rPr>
  </w:style>
  <w:style w:type="character" w:customStyle="1" w:styleId="TitleAChar">
    <w:name w:val="Title A Char"/>
    <w:link w:val="TitleA"/>
    <w:locked/>
    <w:rsid w:val="00F17A0C"/>
    <w:rPr>
      <w:rFonts w:eastAsia="Times New Roman"/>
      <w:b/>
      <w:lang w:val="is-IS"/>
    </w:rPr>
  </w:style>
  <w:style w:type="paragraph" w:customStyle="1" w:styleId="TitleA">
    <w:name w:val="Title A"/>
    <w:basedOn w:val="prastasis"/>
    <w:link w:val="TitleAChar"/>
    <w:qFormat/>
    <w:rsid w:val="00F17A0C"/>
    <w:pPr>
      <w:spacing w:line="240" w:lineRule="auto"/>
      <w:jc w:val="center"/>
      <w:outlineLvl w:val="0"/>
    </w:pPr>
    <w:rPr>
      <w:rFonts w:eastAsia="Times New Roman"/>
      <w:b/>
      <w:lang w:val="is-IS"/>
    </w:rPr>
  </w:style>
  <w:style w:type="character" w:customStyle="1" w:styleId="TitleBChar">
    <w:name w:val="Title B Char"/>
    <w:link w:val="TitleB"/>
    <w:locked/>
    <w:rsid w:val="00F17A0C"/>
    <w:rPr>
      <w:rFonts w:eastAsia="Times New Roman"/>
      <w:b/>
      <w:noProof/>
      <w:lang w:val="is-IS"/>
    </w:rPr>
  </w:style>
  <w:style w:type="paragraph" w:customStyle="1" w:styleId="TitleB">
    <w:name w:val="Title B"/>
    <w:basedOn w:val="prastasis"/>
    <w:link w:val="TitleBChar"/>
    <w:qFormat/>
    <w:rsid w:val="00F17A0C"/>
    <w:pPr>
      <w:spacing w:line="240" w:lineRule="auto"/>
      <w:ind w:left="567" w:hanging="567"/>
      <w:outlineLvl w:val="0"/>
    </w:pPr>
    <w:rPr>
      <w:rFonts w:eastAsia="Times New Roman"/>
      <w:b/>
      <w:noProof/>
      <w:lang w:val="is-IS"/>
    </w:rPr>
  </w:style>
  <w:style w:type="numbering" w:customStyle="1" w:styleId="NoList11">
    <w:name w:val="No List11"/>
    <w:next w:val="Sraonra"/>
    <w:uiPriority w:val="99"/>
    <w:semiHidden/>
    <w:unhideWhenUsed/>
    <w:rsid w:val="00F17A0C"/>
  </w:style>
  <w:style w:type="paragraph" w:styleId="Pagrindiniotekstotrauka">
    <w:name w:val="Body Text Indent"/>
    <w:basedOn w:val="prastasis"/>
    <w:link w:val="PagrindiniotekstotraukaDiagrama"/>
    <w:rsid w:val="00F17A0C"/>
    <w:pPr>
      <w:autoSpaceDE w:val="0"/>
      <w:autoSpaceDN w:val="0"/>
      <w:adjustRightInd w:val="0"/>
      <w:spacing w:line="240" w:lineRule="auto"/>
      <w:ind w:left="720"/>
      <w:jc w:val="both"/>
    </w:pPr>
    <w:rPr>
      <w:rFonts w:ascii="Times New Roman" w:eastAsia="Times New Roma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F17A0C"/>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F17A0C"/>
    <w:pPr>
      <w:autoSpaceDE w:val="0"/>
      <w:autoSpaceDN w:val="0"/>
      <w:adjustRightInd w:val="0"/>
      <w:spacing w:line="240" w:lineRule="auto"/>
      <w:jc w:val="both"/>
    </w:pPr>
    <w:rPr>
      <w:rFonts w:ascii="Times New Roman" w:eastAsia="Times New Roma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F17A0C"/>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F17A0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Times New Roma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F17A0C"/>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F17A0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eastAsia="Times New Roma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F17A0C"/>
    <w:rPr>
      <w:rFonts w:ascii="Times New Roman" w:eastAsia="Times New Roman" w:hAnsi="Times New Roman" w:cs="Times New Roman"/>
      <w:b/>
      <w:bCs/>
      <w:color w:val="0000FF"/>
      <w:u w:val="single"/>
      <w:lang w:val="en-GB"/>
    </w:rPr>
  </w:style>
  <w:style w:type="paragraph" w:styleId="Dokumentostruktra">
    <w:name w:val="Document Map"/>
    <w:basedOn w:val="prastasis"/>
    <w:link w:val="DokumentostruktraDiagrama"/>
    <w:rsid w:val="00F17A0C"/>
    <w:pPr>
      <w:shd w:val="clear" w:color="auto" w:fill="000080"/>
      <w:tabs>
        <w:tab w:val="left" w:pos="567"/>
      </w:tabs>
      <w:spacing w:line="260" w:lineRule="exact"/>
    </w:pPr>
    <w:rPr>
      <w:rFonts w:ascii="Tahoma" w:eastAsia="Times New Roman" w:hAnsi="Tahoma" w:cs="Tahoma"/>
      <w:szCs w:val="20"/>
      <w:lang w:val="en-GB"/>
    </w:rPr>
  </w:style>
  <w:style w:type="character" w:customStyle="1" w:styleId="DokumentostruktraDiagrama">
    <w:name w:val="Dokumento struktūra Diagrama"/>
    <w:basedOn w:val="Numatytasispastraiposriftas"/>
    <w:link w:val="Dokumentostruktra"/>
    <w:rsid w:val="00F17A0C"/>
    <w:rPr>
      <w:rFonts w:ascii="Tahoma" w:eastAsia="Times New Roman" w:hAnsi="Tahoma" w:cs="Tahoma"/>
      <w:szCs w:val="20"/>
      <w:shd w:val="clear" w:color="auto" w:fill="000080"/>
      <w:lang w:val="en-GB"/>
    </w:rPr>
  </w:style>
  <w:style w:type="paragraph" w:customStyle="1" w:styleId="AHeader1">
    <w:name w:val="AHeader 1"/>
    <w:basedOn w:val="prastasis"/>
    <w:rsid w:val="00F17A0C"/>
    <w:pPr>
      <w:numPr>
        <w:numId w:val="1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F17A0C"/>
    <w:pPr>
      <w:numPr>
        <w:ilvl w:val="1"/>
      </w:numPr>
      <w:tabs>
        <w:tab w:val="clear" w:pos="709"/>
        <w:tab w:val="num" w:pos="360"/>
      </w:tabs>
    </w:pPr>
    <w:rPr>
      <w:sz w:val="22"/>
    </w:rPr>
  </w:style>
  <w:style w:type="paragraph" w:customStyle="1" w:styleId="AHeader3">
    <w:name w:val="AHeader 3"/>
    <w:basedOn w:val="AHeader2"/>
    <w:rsid w:val="00F17A0C"/>
    <w:pPr>
      <w:numPr>
        <w:ilvl w:val="2"/>
      </w:numPr>
      <w:tabs>
        <w:tab w:val="clear" w:pos="1276"/>
        <w:tab w:val="num" w:pos="360"/>
      </w:tabs>
    </w:pPr>
  </w:style>
  <w:style w:type="paragraph" w:customStyle="1" w:styleId="AHeader2abc">
    <w:name w:val="AHeader 2 abc"/>
    <w:basedOn w:val="AHeader3"/>
    <w:rsid w:val="00F17A0C"/>
    <w:pPr>
      <w:numPr>
        <w:ilvl w:val="3"/>
      </w:numPr>
      <w:tabs>
        <w:tab w:val="clear" w:pos="1276"/>
        <w:tab w:val="num" w:pos="360"/>
      </w:tabs>
      <w:jc w:val="both"/>
    </w:pPr>
    <w:rPr>
      <w:b w:val="0"/>
      <w:bCs w:val="0"/>
    </w:rPr>
  </w:style>
  <w:style w:type="paragraph" w:customStyle="1" w:styleId="AHeader3abc">
    <w:name w:val="AHeader 3 abc"/>
    <w:basedOn w:val="AHeader2abc"/>
    <w:rsid w:val="00F17A0C"/>
    <w:pPr>
      <w:numPr>
        <w:ilvl w:val="4"/>
      </w:numPr>
      <w:tabs>
        <w:tab w:val="clear" w:pos="1701"/>
        <w:tab w:val="num" w:pos="360"/>
      </w:tabs>
    </w:pPr>
  </w:style>
  <w:style w:type="paragraph" w:styleId="Pagrindiniotekstotrauka3">
    <w:name w:val="Body Text Indent 3"/>
    <w:basedOn w:val="prastasis"/>
    <w:link w:val="Pagrindiniotekstotrauka3Diagrama"/>
    <w:rsid w:val="00F17A0C"/>
    <w:pPr>
      <w:tabs>
        <w:tab w:val="left" w:pos="567"/>
        <w:tab w:val="left" w:pos="1134"/>
      </w:tabs>
      <w:autoSpaceDE w:val="0"/>
      <w:autoSpaceDN w:val="0"/>
      <w:adjustRightInd w:val="0"/>
      <w:spacing w:line="260" w:lineRule="exact"/>
      <w:ind w:left="633"/>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F17A0C"/>
    <w:rPr>
      <w:rFonts w:ascii="Times New Roman" w:eastAsia="Times New Roman" w:hAnsi="Times New Roman" w:cs="Times New Roman"/>
      <w:szCs w:val="21"/>
      <w:lang w:val="en-GB"/>
    </w:rPr>
  </w:style>
  <w:style w:type="character" w:styleId="Perirtashipersaitas">
    <w:name w:val="FollowedHyperlink"/>
    <w:rsid w:val="00F17A0C"/>
    <w:rPr>
      <w:color w:val="800080"/>
      <w:u w:val="single"/>
    </w:rPr>
  </w:style>
  <w:style w:type="table" w:customStyle="1" w:styleId="TableGrid2">
    <w:name w:val="Table Grid2"/>
    <w:basedOn w:val="prastojilentel"/>
    <w:next w:val="Lentelstinklelis"/>
    <w:uiPriority w:val="59"/>
    <w:rsid w:val="00F17A0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uiPriority w:val="99"/>
    <w:semiHidden/>
    <w:rsid w:val="00F17A0C"/>
    <w:pPr>
      <w:spacing w:after="0" w:line="240" w:lineRule="auto"/>
    </w:pPr>
    <w:rPr>
      <w:rFonts w:ascii="Times New Roman" w:eastAsia="Times New Roman" w:hAnsi="Times New Roman" w:cs="Times New Roman"/>
      <w:szCs w:val="20"/>
      <w:lang w:eastAsia="lt-LT"/>
    </w:rPr>
  </w:style>
  <w:style w:type="paragraph" w:customStyle="1" w:styleId="Spalvotassraas1parykinimas1">
    <w:name w:val="Spalvotas sąrašas – 1 paryškinimas1"/>
    <w:basedOn w:val="prastasis"/>
    <w:uiPriority w:val="34"/>
    <w:qFormat/>
    <w:rsid w:val="00F17A0C"/>
    <w:pPr>
      <w:ind w:left="720"/>
      <w:contextualSpacing/>
    </w:pPr>
    <w:rPr>
      <w:rFonts w:ascii="SymbolMT" w:eastAsia="SymbolMT" w:hAnsi="SymbolMT" w:cs="Times New Roman"/>
      <w:lang w:eastAsia="lt-LT"/>
    </w:rPr>
  </w:style>
  <w:style w:type="paragraph" w:styleId="Pataisymai">
    <w:name w:val="Revision"/>
    <w:hidden/>
    <w:uiPriority w:val="99"/>
    <w:semiHidden/>
    <w:rsid w:val="00BD4F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010917">
      <w:bodyDiv w:val="1"/>
      <w:marLeft w:val="0"/>
      <w:marRight w:val="0"/>
      <w:marTop w:val="0"/>
      <w:marBottom w:val="0"/>
      <w:divBdr>
        <w:top w:val="none" w:sz="0" w:space="0" w:color="auto"/>
        <w:left w:val="none" w:sz="0" w:space="0" w:color="auto"/>
        <w:bottom w:val="none" w:sz="0" w:space="0" w:color="auto"/>
        <w:right w:val="none" w:sz="0" w:space="0" w:color="auto"/>
      </w:divBdr>
    </w:div>
    <w:div w:id="572740524">
      <w:bodyDiv w:val="1"/>
      <w:marLeft w:val="0"/>
      <w:marRight w:val="0"/>
      <w:marTop w:val="0"/>
      <w:marBottom w:val="0"/>
      <w:divBdr>
        <w:top w:val="none" w:sz="0" w:space="0" w:color="auto"/>
        <w:left w:val="none" w:sz="0" w:space="0" w:color="auto"/>
        <w:bottom w:val="none" w:sz="0" w:space="0" w:color="auto"/>
        <w:right w:val="none" w:sz="0" w:space="0" w:color="auto"/>
      </w:divBdr>
    </w:div>
    <w:div w:id="782917011">
      <w:bodyDiv w:val="1"/>
      <w:marLeft w:val="0"/>
      <w:marRight w:val="0"/>
      <w:marTop w:val="0"/>
      <w:marBottom w:val="0"/>
      <w:divBdr>
        <w:top w:val="none" w:sz="0" w:space="0" w:color="auto"/>
        <w:left w:val="none" w:sz="0" w:space="0" w:color="auto"/>
        <w:bottom w:val="none" w:sz="0" w:space="0" w:color="auto"/>
        <w:right w:val="none" w:sz="0" w:space="0" w:color="auto"/>
      </w:divBdr>
    </w:div>
    <w:div w:id="978219185">
      <w:bodyDiv w:val="1"/>
      <w:marLeft w:val="0"/>
      <w:marRight w:val="0"/>
      <w:marTop w:val="0"/>
      <w:marBottom w:val="0"/>
      <w:divBdr>
        <w:top w:val="none" w:sz="0" w:space="0" w:color="auto"/>
        <w:left w:val="none" w:sz="0" w:space="0" w:color="auto"/>
        <w:bottom w:val="none" w:sz="0" w:space="0" w:color="auto"/>
        <w:right w:val="none" w:sz="0" w:space="0" w:color="auto"/>
      </w:divBdr>
    </w:div>
    <w:div w:id="1260329081">
      <w:bodyDiv w:val="1"/>
      <w:marLeft w:val="0"/>
      <w:marRight w:val="0"/>
      <w:marTop w:val="0"/>
      <w:marBottom w:val="0"/>
      <w:divBdr>
        <w:top w:val="none" w:sz="0" w:space="0" w:color="auto"/>
        <w:left w:val="none" w:sz="0" w:space="0" w:color="auto"/>
        <w:bottom w:val="none" w:sz="0" w:space="0" w:color="auto"/>
        <w:right w:val="none" w:sz="0" w:space="0" w:color="auto"/>
      </w:divBdr>
    </w:div>
    <w:div w:id="12777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a881ab242ce6ba47ae62d1a6aa45eb86">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75a82d99e774c35b7abe3f1054a6482"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F1298-3CD9-447F-BC79-7D5B10296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129C5-0076-4606-A0CB-E24CC03E8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3DE77-0019-4E13-B1FE-24BFD9A1BDDA}">
  <ds:schemaRefs>
    <ds:schemaRef ds:uri="http://www.w3.org/XML/1998/namespace"/>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cb0b4dfd-1452-42df-bcc2-835b32a0f636"/>
    <ds:schemaRef ds:uri="8c54d1d4-8a50-4b16-b050-2289fc7c4d80"/>
    <ds:schemaRef ds:uri="http://purl.org/dc/terms/"/>
  </ds:schemaRefs>
</ds:datastoreItem>
</file>

<file path=customXml/itemProps4.xml><?xml version="1.0" encoding="utf-8"?>
<ds:datastoreItem xmlns:ds="http://schemas.openxmlformats.org/officeDocument/2006/customXml" ds:itemID="{3BAE0180-2D6E-45F9-B188-4C64ED92F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77359</Words>
  <Characters>44096</Characters>
  <Application>Microsoft Office Word</Application>
  <DocSecurity>4</DocSecurity>
  <Lines>367</Lines>
  <Paragraphs>242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451</dc:creator>
  <cp:keywords/>
  <dc:description/>
  <cp:lastModifiedBy>Albina Burkauskaitė</cp:lastModifiedBy>
  <cp:revision>2</cp:revision>
  <dcterms:created xsi:type="dcterms:W3CDTF">2024-07-23T12:59:00Z</dcterms:created>
  <dcterms:modified xsi:type="dcterms:W3CDTF">2024-07-23T12:59:00Z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