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D1F3" w14:textId="77777777" w:rsidR="009A4BFE" w:rsidRDefault="009A4BFE">
      <w:pPr>
        <w:pStyle w:val="Paprastasistekstas"/>
        <w:tabs>
          <w:tab w:val="left" w:pos="4962"/>
        </w:tabs>
        <w:rPr>
          <w:rFonts w:ascii="Times New Roman" w:hAnsi="Times New Roman"/>
          <w:snapToGrid w:val="0"/>
          <w:sz w:val="24"/>
          <w:lang w:val="lt-LT"/>
        </w:rPr>
      </w:pPr>
    </w:p>
    <w:p w14:paraId="21E73DA2" w14:textId="77777777" w:rsidR="009A4BFE" w:rsidRDefault="009A4BFE">
      <w:pPr>
        <w:pStyle w:val="Paprastasistekstas"/>
        <w:tabs>
          <w:tab w:val="left" w:pos="4962"/>
        </w:tabs>
        <w:rPr>
          <w:rFonts w:ascii="Times New Roman" w:hAnsi="Times New Roman"/>
          <w:snapToGrid w:val="0"/>
          <w:sz w:val="24"/>
          <w:lang w:val="lt-LT"/>
        </w:rPr>
      </w:pPr>
    </w:p>
    <w:p w14:paraId="3F3427F9" w14:textId="77777777" w:rsidR="009A4BFE" w:rsidRDefault="009A4BFE">
      <w:pPr>
        <w:pStyle w:val="Paprastasistekstas"/>
        <w:tabs>
          <w:tab w:val="left" w:pos="4962"/>
        </w:tabs>
        <w:rPr>
          <w:rFonts w:ascii="Times New Roman" w:hAnsi="Times New Roman"/>
          <w:snapToGrid w:val="0"/>
          <w:sz w:val="24"/>
          <w:lang w:val="lt-LT"/>
        </w:rPr>
      </w:pPr>
    </w:p>
    <w:p w14:paraId="4EEE572B" w14:textId="77777777" w:rsidR="009A4BFE" w:rsidRDefault="009A4BFE">
      <w:pPr>
        <w:pStyle w:val="Paprastasistekstas"/>
        <w:tabs>
          <w:tab w:val="left" w:pos="4962"/>
        </w:tabs>
        <w:rPr>
          <w:rFonts w:ascii="Times New Roman" w:hAnsi="Times New Roman"/>
          <w:sz w:val="24"/>
          <w:lang w:val="lt-LT"/>
        </w:rPr>
      </w:pPr>
    </w:p>
    <w:p w14:paraId="2892F30D" w14:textId="77777777" w:rsidR="009A4BFE" w:rsidRDefault="009A4BFE">
      <w:pPr>
        <w:pStyle w:val="Paprastasistekstas"/>
        <w:rPr>
          <w:rFonts w:ascii="Times New Roman" w:hAnsi="Times New Roman"/>
          <w:sz w:val="24"/>
          <w:szCs w:val="24"/>
          <w:lang w:val="lt-LT"/>
        </w:rPr>
      </w:pPr>
    </w:p>
    <w:p w14:paraId="2882F8D0" w14:textId="77777777" w:rsidR="009A4BFE" w:rsidRDefault="009A4BFE">
      <w:pPr>
        <w:widowControl w:val="0"/>
        <w:tabs>
          <w:tab w:val="clear" w:pos="567"/>
        </w:tabs>
        <w:spacing w:line="240" w:lineRule="auto"/>
        <w:rPr>
          <w:lang w:val="lt-LT"/>
        </w:rPr>
      </w:pPr>
    </w:p>
    <w:p w14:paraId="43901B27" w14:textId="77777777" w:rsidR="009A4BFE" w:rsidRDefault="009A4BFE">
      <w:pPr>
        <w:outlineLvl w:val="0"/>
        <w:rPr>
          <w:b/>
          <w:lang w:val="lt-LT"/>
        </w:rPr>
      </w:pPr>
    </w:p>
    <w:p w14:paraId="0A6E8DF9" w14:textId="77777777" w:rsidR="009A4BFE" w:rsidRDefault="009A4BFE">
      <w:pPr>
        <w:outlineLvl w:val="0"/>
        <w:rPr>
          <w:b/>
          <w:lang w:val="lt-LT"/>
        </w:rPr>
      </w:pPr>
    </w:p>
    <w:p w14:paraId="4E494506" w14:textId="77777777" w:rsidR="009A4BFE" w:rsidRDefault="009A4BFE">
      <w:pPr>
        <w:outlineLvl w:val="0"/>
        <w:rPr>
          <w:b/>
          <w:lang w:val="lt-LT"/>
        </w:rPr>
      </w:pPr>
    </w:p>
    <w:p w14:paraId="6BE9E087" w14:textId="77777777" w:rsidR="009A4BFE" w:rsidRDefault="009A4BFE">
      <w:pPr>
        <w:outlineLvl w:val="0"/>
        <w:rPr>
          <w:b/>
          <w:lang w:val="lt-LT"/>
        </w:rPr>
      </w:pPr>
    </w:p>
    <w:p w14:paraId="065783B9" w14:textId="77777777" w:rsidR="009A4BFE" w:rsidRDefault="009A4BFE">
      <w:pPr>
        <w:tabs>
          <w:tab w:val="left" w:pos="-1440"/>
          <w:tab w:val="left" w:pos="-720"/>
        </w:tabs>
        <w:rPr>
          <w:b/>
          <w:lang w:val="lt-LT"/>
        </w:rPr>
      </w:pPr>
    </w:p>
    <w:p w14:paraId="6664FA3D" w14:textId="77777777" w:rsidR="009A4BFE" w:rsidRDefault="009A4BFE">
      <w:pPr>
        <w:tabs>
          <w:tab w:val="left" w:pos="-1440"/>
          <w:tab w:val="left" w:pos="-720"/>
        </w:tabs>
        <w:rPr>
          <w:b/>
          <w:lang w:val="lt-LT"/>
        </w:rPr>
      </w:pPr>
    </w:p>
    <w:p w14:paraId="4AE0F28A" w14:textId="77777777" w:rsidR="009A4BFE" w:rsidRDefault="009A4BFE">
      <w:pPr>
        <w:tabs>
          <w:tab w:val="left" w:pos="-1440"/>
          <w:tab w:val="left" w:pos="-720"/>
        </w:tabs>
        <w:rPr>
          <w:b/>
          <w:lang w:val="lt-LT"/>
        </w:rPr>
      </w:pPr>
    </w:p>
    <w:p w14:paraId="32C5860E" w14:textId="77777777" w:rsidR="009A4BFE" w:rsidRDefault="009A4BFE">
      <w:pPr>
        <w:tabs>
          <w:tab w:val="left" w:pos="-1440"/>
          <w:tab w:val="left" w:pos="-720"/>
        </w:tabs>
        <w:rPr>
          <w:b/>
          <w:lang w:val="lt-LT"/>
        </w:rPr>
      </w:pPr>
    </w:p>
    <w:p w14:paraId="5EB48C78" w14:textId="77777777" w:rsidR="009A4BFE" w:rsidRDefault="009A4BFE">
      <w:pPr>
        <w:tabs>
          <w:tab w:val="left" w:pos="-1440"/>
          <w:tab w:val="left" w:pos="-720"/>
        </w:tabs>
        <w:rPr>
          <w:b/>
          <w:lang w:val="lt-LT"/>
        </w:rPr>
      </w:pPr>
    </w:p>
    <w:p w14:paraId="4F7DB913" w14:textId="77777777" w:rsidR="009A4BFE" w:rsidRDefault="009A4BFE">
      <w:pPr>
        <w:tabs>
          <w:tab w:val="left" w:pos="-1440"/>
          <w:tab w:val="left" w:pos="-720"/>
        </w:tabs>
        <w:rPr>
          <w:b/>
          <w:lang w:val="lt-LT"/>
        </w:rPr>
      </w:pPr>
    </w:p>
    <w:p w14:paraId="2531F3CF" w14:textId="77777777" w:rsidR="009A4BFE" w:rsidRDefault="009A4BFE">
      <w:pPr>
        <w:tabs>
          <w:tab w:val="left" w:pos="-1440"/>
          <w:tab w:val="left" w:pos="-720"/>
        </w:tabs>
        <w:rPr>
          <w:b/>
          <w:lang w:val="lt-LT"/>
        </w:rPr>
      </w:pPr>
    </w:p>
    <w:p w14:paraId="086300E1" w14:textId="77777777" w:rsidR="009A4BFE" w:rsidRDefault="009A4BFE">
      <w:pPr>
        <w:tabs>
          <w:tab w:val="left" w:pos="-1440"/>
          <w:tab w:val="left" w:pos="-720"/>
        </w:tabs>
        <w:rPr>
          <w:b/>
          <w:lang w:val="lt-LT"/>
        </w:rPr>
      </w:pPr>
    </w:p>
    <w:p w14:paraId="59255F73" w14:textId="77777777" w:rsidR="009A4BFE" w:rsidRDefault="009A4BFE">
      <w:pPr>
        <w:tabs>
          <w:tab w:val="left" w:pos="-1440"/>
          <w:tab w:val="left" w:pos="-720"/>
        </w:tabs>
        <w:rPr>
          <w:b/>
          <w:lang w:val="lt-LT"/>
        </w:rPr>
      </w:pPr>
    </w:p>
    <w:p w14:paraId="09CBA2F6" w14:textId="77777777" w:rsidR="009A4BFE" w:rsidRDefault="009A4BFE">
      <w:pPr>
        <w:tabs>
          <w:tab w:val="left" w:pos="-1440"/>
          <w:tab w:val="left" w:pos="-720"/>
        </w:tabs>
        <w:rPr>
          <w:b/>
          <w:lang w:val="lt-LT"/>
        </w:rPr>
      </w:pPr>
    </w:p>
    <w:p w14:paraId="64376539" w14:textId="77777777" w:rsidR="009A4BFE" w:rsidRDefault="009A4BFE">
      <w:pPr>
        <w:tabs>
          <w:tab w:val="left" w:pos="-1440"/>
          <w:tab w:val="left" w:pos="-720"/>
        </w:tabs>
        <w:rPr>
          <w:b/>
          <w:lang w:val="lt-LT"/>
        </w:rPr>
      </w:pPr>
    </w:p>
    <w:p w14:paraId="3C331BD7" w14:textId="77777777" w:rsidR="009A4BFE" w:rsidRDefault="009A4BFE">
      <w:pPr>
        <w:tabs>
          <w:tab w:val="left" w:pos="-1440"/>
          <w:tab w:val="left" w:pos="-720"/>
        </w:tabs>
        <w:rPr>
          <w:b/>
          <w:lang w:val="lt-LT"/>
        </w:rPr>
      </w:pPr>
    </w:p>
    <w:p w14:paraId="0FBFE2AC" w14:textId="77777777" w:rsidR="009A4BFE" w:rsidRDefault="009A4BFE">
      <w:pPr>
        <w:tabs>
          <w:tab w:val="left" w:pos="-1440"/>
          <w:tab w:val="left" w:pos="-720"/>
        </w:tabs>
        <w:rPr>
          <w:b/>
          <w:lang w:val="lt-LT"/>
        </w:rPr>
      </w:pPr>
    </w:p>
    <w:p w14:paraId="4F67929C" w14:textId="77777777" w:rsidR="009A4BFE" w:rsidRDefault="0051186A">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5370585E" w14:textId="77777777" w:rsidR="009A4BFE" w:rsidRDefault="009A4BFE">
      <w:pPr>
        <w:spacing w:line="240" w:lineRule="auto"/>
        <w:rPr>
          <w:szCs w:val="24"/>
          <w:lang w:val="lt-LT"/>
        </w:rPr>
      </w:pPr>
    </w:p>
    <w:p w14:paraId="17FAE4FE" w14:textId="77777777" w:rsidR="009A4BFE" w:rsidRDefault="0051186A">
      <w:pPr>
        <w:tabs>
          <w:tab w:val="left" w:pos="-1440"/>
          <w:tab w:val="left" w:pos="-720"/>
        </w:tabs>
        <w:jc w:val="center"/>
        <w:rPr>
          <w:b/>
          <w:lang w:val="lt-LT"/>
        </w:rPr>
      </w:pPr>
      <w:r>
        <w:rPr>
          <w:b/>
          <w:lang w:val="lt-LT"/>
        </w:rPr>
        <w:t>PREPARATO CHARAKTERISTIKŲ SANTRAUKA</w:t>
      </w:r>
    </w:p>
    <w:p w14:paraId="0F2FABC2" w14:textId="77777777" w:rsidR="009A4BFE" w:rsidRDefault="0051186A">
      <w:pPr>
        <w:tabs>
          <w:tab w:val="left" w:pos="-1440"/>
          <w:tab w:val="left" w:pos="-720"/>
        </w:tabs>
        <w:jc w:val="center"/>
        <w:rPr>
          <w:szCs w:val="24"/>
          <w:lang w:val="lt-LT"/>
        </w:rPr>
      </w:pPr>
      <w:r>
        <w:rPr>
          <w:lang w:val="lt-LT" w:eastAsia="zh-CN"/>
        </w:rPr>
        <w:br w:type="page"/>
      </w:r>
    </w:p>
    <w:p w14:paraId="32DCEFE5"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60EBE36E" w14:textId="77777777" w:rsidR="009A4BFE" w:rsidRDefault="009A4BFE">
      <w:pPr>
        <w:rPr>
          <w:szCs w:val="24"/>
          <w:lang w:val="lt-LT"/>
        </w:rPr>
      </w:pPr>
    </w:p>
    <w:p w14:paraId="5480D87D" w14:textId="77777777" w:rsidR="009A4BFE" w:rsidRDefault="0051186A">
      <w:pPr>
        <w:autoSpaceDE w:val="0"/>
        <w:autoSpaceDN w:val="0"/>
        <w:rPr>
          <w:lang w:val="lt-LT"/>
        </w:rPr>
      </w:pPr>
      <w:proofErr w:type="spellStart"/>
      <w:r w:rsidRPr="0022257B">
        <w:rPr>
          <w:lang w:val="lt-LT"/>
        </w:rPr>
        <w:t>Atixarso</w:t>
      </w:r>
      <w:proofErr w:type="spellEnd"/>
      <w:r>
        <w:rPr>
          <w:lang w:val="lt-LT"/>
        </w:rPr>
        <w:t xml:space="preserve"> 60</w:t>
      </w:r>
      <w:r>
        <w:rPr>
          <w:rFonts w:eastAsia="TimesNewRoman"/>
          <w:snapToGrid/>
          <w:szCs w:val="22"/>
          <w:lang w:val="lt-LT"/>
        </w:rPr>
        <w:t> </w:t>
      </w:r>
      <w:r>
        <w:rPr>
          <w:lang w:val="lt-LT"/>
        </w:rPr>
        <w:t>mg plėvele dengtos tabletės</w:t>
      </w:r>
    </w:p>
    <w:p w14:paraId="6DFE11F8" w14:textId="77777777" w:rsidR="009A4BFE" w:rsidRDefault="0051186A">
      <w:pPr>
        <w:autoSpaceDE w:val="0"/>
        <w:autoSpaceDN w:val="0"/>
        <w:rPr>
          <w:lang w:val="lt-LT"/>
        </w:rPr>
      </w:pPr>
      <w:proofErr w:type="spellStart"/>
      <w:r w:rsidRPr="0022257B">
        <w:rPr>
          <w:lang w:val="lt-LT"/>
        </w:rPr>
        <w:t>Atixarso</w:t>
      </w:r>
      <w:proofErr w:type="spellEnd"/>
      <w:r>
        <w:rPr>
          <w:lang w:val="lt-LT"/>
        </w:rPr>
        <w:t xml:space="preserve"> 90</w:t>
      </w:r>
      <w:r>
        <w:rPr>
          <w:rFonts w:eastAsia="TimesNewRoman"/>
          <w:snapToGrid/>
          <w:szCs w:val="22"/>
          <w:lang w:val="lt-LT"/>
        </w:rPr>
        <w:t> </w:t>
      </w:r>
      <w:r>
        <w:rPr>
          <w:lang w:val="lt-LT"/>
        </w:rPr>
        <w:t>mg plėvele dengtos tabletės</w:t>
      </w:r>
    </w:p>
    <w:p w14:paraId="470439C6" w14:textId="77777777" w:rsidR="009A4BFE" w:rsidRDefault="009A4BFE">
      <w:pPr>
        <w:rPr>
          <w:szCs w:val="24"/>
          <w:lang w:val="lt-LT"/>
        </w:rPr>
      </w:pPr>
    </w:p>
    <w:p w14:paraId="08294350" w14:textId="77777777" w:rsidR="009A4BFE" w:rsidRDefault="009A4BFE">
      <w:pPr>
        <w:rPr>
          <w:szCs w:val="24"/>
          <w:lang w:val="lt-LT"/>
        </w:rPr>
      </w:pPr>
    </w:p>
    <w:p w14:paraId="32081A7F"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7BED4A15" w14:textId="77777777" w:rsidR="009A4BFE" w:rsidRDefault="009A4BFE">
      <w:pPr>
        <w:rPr>
          <w:szCs w:val="24"/>
          <w:lang w:val="lt-LT"/>
        </w:rPr>
      </w:pPr>
    </w:p>
    <w:p w14:paraId="59400090" w14:textId="77777777" w:rsidR="009A4BFE" w:rsidRDefault="0051186A">
      <w:pPr>
        <w:autoSpaceDE w:val="0"/>
        <w:autoSpaceDN w:val="0"/>
        <w:rPr>
          <w:i/>
          <w:lang w:val="lt-LT"/>
        </w:rPr>
      </w:pPr>
      <w:proofErr w:type="spellStart"/>
      <w:r w:rsidRPr="0022257B">
        <w:rPr>
          <w:i/>
          <w:lang w:val="lt-LT"/>
        </w:rPr>
        <w:t>Atixarso</w:t>
      </w:r>
      <w:proofErr w:type="spellEnd"/>
      <w:r>
        <w:rPr>
          <w:i/>
          <w:lang w:val="lt-LT"/>
        </w:rPr>
        <w:t xml:space="preserve"> 60</w:t>
      </w:r>
      <w:r>
        <w:rPr>
          <w:rFonts w:eastAsia="TimesNewRoman"/>
          <w:i/>
          <w:snapToGrid/>
          <w:szCs w:val="22"/>
          <w:lang w:val="lt-LT"/>
        </w:rPr>
        <w:t> </w:t>
      </w:r>
      <w:r>
        <w:rPr>
          <w:i/>
          <w:lang w:val="lt-LT"/>
        </w:rPr>
        <w:t>mg plėvele dengtos tabletės</w:t>
      </w:r>
    </w:p>
    <w:p w14:paraId="076274C0" w14:textId="77777777" w:rsidR="009A4BFE" w:rsidRDefault="0051186A">
      <w:pPr>
        <w:rPr>
          <w:szCs w:val="24"/>
          <w:lang w:val="lt-LT"/>
        </w:rPr>
      </w:pPr>
      <w:r>
        <w:rPr>
          <w:rFonts w:eastAsia="TimesNewRoman"/>
          <w:snapToGrid/>
          <w:szCs w:val="22"/>
          <w:lang w:val="lt-LT"/>
        </w:rPr>
        <w:t xml:space="preserve">Kiekvienoje plėvele dengtoje tabletėje yra 60 mg </w:t>
      </w:r>
      <w:proofErr w:type="spellStart"/>
      <w:r>
        <w:rPr>
          <w:rFonts w:eastAsia="TimesNewRoman"/>
          <w:snapToGrid/>
          <w:szCs w:val="22"/>
          <w:lang w:val="lt-LT"/>
        </w:rPr>
        <w:t>tikagreloro</w:t>
      </w:r>
      <w:proofErr w:type="spellEnd"/>
      <w:r>
        <w:rPr>
          <w:rFonts w:eastAsia="TimesNewRoman"/>
          <w:snapToGrid/>
          <w:szCs w:val="22"/>
          <w:lang w:val="lt-LT"/>
        </w:rPr>
        <w:t>.</w:t>
      </w:r>
    </w:p>
    <w:p w14:paraId="67259475" w14:textId="77777777" w:rsidR="009A4BFE" w:rsidRDefault="009A4BFE">
      <w:pPr>
        <w:rPr>
          <w:noProof/>
          <w:szCs w:val="24"/>
          <w:lang w:val="lt-LT"/>
        </w:rPr>
      </w:pPr>
    </w:p>
    <w:p w14:paraId="27BD3AE0" w14:textId="77777777" w:rsidR="009A4BFE" w:rsidRDefault="0051186A">
      <w:pPr>
        <w:autoSpaceDE w:val="0"/>
        <w:autoSpaceDN w:val="0"/>
        <w:rPr>
          <w:i/>
          <w:lang w:val="lt-LT"/>
        </w:rPr>
      </w:pPr>
      <w:proofErr w:type="spellStart"/>
      <w:r w:rsidRPr="0022257B">
        <w:rPr>
          <w:i/>
          <w:lang w:val="lt-LT"/>
        </w:rPr>
        <w:t>Atixarso</w:t>
      </w:r>
      <w:proofErr w:type="spellEnd"/>
      <w:r>
        <w:rPr>
          <w:i/>
          <w:lang w:val="lt-LT"/>
        </w:rPr>
        <w:t xml:space="preserve"> 90</w:t>
      </w:r>
      <w:r>
        <w:rPr>
          <w:rFonts w:eastAsia="TimesNewRoman"/>
          <w:i/>
          <w:snapToGrid/>
          <w:szCs w:val="22"/>
          <w:lang w:val="lt-LT"/>
        </w:rPr>
        <w:t> </w:t>
      </w:r>
      <w:r>
        <w:rPr>
          <w:i/>
          <w:lang w:val="lt-LT"/>
        </w:rPr>
        <w:t>mg plėvele dengtos tabletės</w:t>
      </w:r>
    </w:p>
    <w:p w14:paraId="21886C35" w14:textId="77777777" w:rsidR="009A4BFE" w:rsidRDefault="0051186A">
      <w:pPr>
        <w:rPr>
          <w:szCs w:val="24"/>
          <w:lang w:val="lt-LT"/>
        </w:rPr>
      </w:pPr>
      <w:r>
        <w:rPr>
          <w:rFonts w:eastAsia="TimesNewRoman"/>
          <w:snapToGrid/>
          <w:szCs w:val="22"/>
          <w:lang w:val="lt-LT"/>
        </w:rPr>
        <w:t xml:space="preserve">Kiekvienoje plėvele dengtoje tabletėje yra 90 mg </w:t>
      </w:r>
      <w:proofErr w:type="spellStart"/>
      <w:r>
        <w:rPr>
          <w:rFonts w:eastAsia="TimesNewRoman"/>
          <w:snapToGrid/>
          <w:szCs w:val="22"/>
          <w:lang w:val="lt-LT"/>
        </w:rPr>
        <w:t>tikagreloro</w:t>
      </w:r>
      <w:proofErr w:type="spellEnd"/>
      <w:r>
        <w:rPr>
          <w:rFonts w:eastAsia="TimesNewRoman"/>
          <w:snapToGrid/>
          <w:szCs w:val="22"/>
          <w:lang w:val="lt-LT"/>
        </w:rPr>
        <w:t>.</w:t>
      </w:r>
    </w:p>
    <w:p w14:paraId="09ABF603" w14:textId="77777777" w:rsidR="009A4BFE" w:rsidRDefault="009A4BFE">
      <w:pPr>
        <w:rPr>
          <w:noProof/>
          <w:szCs w:val="24"/>
          <w:lang w:val="lt-LT"/>
        </w:rPr>
      </w:pPr>
    </w:p>
    <w:p w14:paraId="250992E1" w14:textId="77777777" w:rsidR="009A4BFE" w:rsidRDefault="0051186A">
      <w:pPr>
        <w:rPr>
          <w:szCs w:val="24"/>
          <w:lang w:val="lt-LT"/>
        </w:rPr>
      </w:pPr>
      <w:r>
        <w:rPr>
          <w:noProof/>
          <w:szCs w:val="24"/>
          <w:lang w:val="lt-LT"/>
        </w:rPr>
        <w:t>Visos pagalbinės medžiagos išvardytos 6.1</w:t>
      </w:r>
      <w:r>
        <w:rPr>
          <w:snapToGrid/>
          <w:szCs w:val="24"/>
          <w:lang w:val="lt-LT"/>
        </w:rPr>
        <w:t> </w:t>
      </w:r>
      <w:r>
        <w:rPr>
          <w:noProof/>
          <w:szCs w:val="24"/>
          <w:lang w:val="lt-LT"/>
        </w:rPr>
        <w:t>skyriuje.</w:t>
      </w:r>
    </w:p>
    <w:p w14:paraId="7B5487A5" w14:textId="77777777" w:rsidR="009A4BFE" w:rsidRDefault="009A4BFE">
      <w:pPr>
        <w:rPr>
          <w:szCs w:val="24"/>
          <w:lang w:val="lt-LT"/>
        </w:rPr>
      </w:pPr>
    </w:p>
    <w:p w14:paraId="74E4B0D6" w14:textId="77777777" w:rsidR="009A4BFE" w:rsidRDefault="009A4BFE">
      <w:pPr>
        <w:rPr>
          <w:szCs w:val="24"/>
          <w:lang w:val="lt-LT"/>
        </w:rPr>
      </w:pPr>
    </w:p>
    <w:p w14:paraId="0460F12A"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16108FA2" w14:textId="77777777" w:rsidR="009A4BFE" w:rsidRDefault="009A4BFE">
      <w:pPr>
        <w:rPr>
          <w:szCs w:val="24"/>
          <w:lang w:val="lt-LT"/>
        </w:rPr>
      </w:pPr>
    </w:p>
    <w:p w14:paraId="1462F63F" w14:textId="77777777" w:rsidR="009A4BFE" w:rsidRDefault="0051186A">
      <w:pPr>
        <w:rPr>
          <w:rFonts w:eastAsia="TimesNewRoman"/>
          <w:snapToGrid/>
          <w:szCs w:val="22"/>
          <w:lang w:val="lt-LT"/>
        </w:rPr>
      </w:pPr>
      <w:r>
        <w:rPr>
          <w:rFonts w:eastAsia="TimesNewRoman"/>
          <w:snapToGrid/>
          <w:szCs w:val="22"/>
          <w:lang w:val="lt-LT"/>
        </w:rPr>
        <w:t>Plėvele dengta tabletė (tabletė).</w:t>
      </w:r>
    </w:p>
    <w:p w14:paraId="338D91CC" w14:textId="77777777" w:rsidR="009A4BFE" w:rsidRDefault="009A4BFE">
      <w:pPr>
        <w:rPr>
          <w:rFonts w:eastAsia="TimesNewRoman"/>
          <w:snapToGrid/>
          <w:szCs w:val="22"/>
          <w:lang w:val="lt-LT"/>
        </w:rPr>
      </w:pPr>
    </w:p>
    <w:p w14:paraId="591F20D1" w14:textId="77777777" w:rsidR="009A4BFE" w:rsidRDefault="0051186A">
      <w:pPr>
        <w:autoSpaceDE w:val="0"/>
        <w:autoSpaceDN w:val="0"/>
        <w:rPr>
          <w:i/>
          <w:lang w:val="lt-LT"/>
        </w:rPr>
      </w:pPr>
      <w:proofErr w:type="spellStart"/>
      <w:r w:rsidRPr="0022257B">
        <w:rPr>
          <w:i/>
          <w:lang w:val="lt-LT"/>
        </w:rPr>
        <w:t>Atixarso</w:t>
      </w:r>
      <w:proofErr w:type="spellEnd"/>
      <w:r>
        <w:rPr>
          <w:i/>
          <w:lang w:val="lt-LT"/>
        </w:rPr>
        <w:t xml:space="preserve"> 60</w:t>
      </w:r>
      <w:r>
        <w:rPr>
          <w:rFonts w:eastAsia="TimesNewRoman"/>
          <w:i/>
          <w:snapToGrid/>
          <w:szCs w:val="22"/>
          <w:lang w:val="lt-LT"/>
        </w:rPr>
        <w:t> </w:t>
      </w:r>
      <w:r>
        <w:rPr>
          <w:i/>
          <w:lang w:val="lt-LT"/>
        </w:rPr>
        <w:t>mg plėvele dengtos tabletės:</w:t>
      </w:r>
    </w:p>
    <w:p w14:paraId="1A3AC65F" w14:textId="77777777" w:rsidR="009A4BFE" w:rsidRDefault="0051186A">
      <w:pPr>
        <w:rPr>
          <w:rFonts w:eastAsia="TimesNewRoman"/>
          <w:snapToGrid/>
          <w:szCs w:val="22"/>
          <w:lang w:val="lt-LT"/>
        </w:rPr>
      </w:pPr>
      <w:r>
        <w:rPr>
          <w:rFonts w:eastAsia="TimesNewRoman"/>
          <w:snapToGrid/>
          <w:szCs w:val="22"/>
          <w:lang w:val="lt-LT"/>
        </w:rPr>
        <w:t>Šviesiai rožinės, apvalios, abipus išgaubtos plėvele dengtos tabletės, kurių vienoje pusėje yra įspaudas 60.</w:t>
      </w:r>
    </w:p>
    <w:p w14:paraId="5BD8F92F" w14:textId="77777777" w:rsidR="009A4BFE" w:rsidRDefault="0051186A">
      <w:pPr>
        <w:rPr>
          <w:rFonts w:eastAsia="TimesNewRoman"/>
          <w:snapToGrid/>
          <w:szCs w:val="22"/>
          <w:lang w:val="lt-LT"/>
        </w:rPr>
      </w:pPr>
      <w:r>
        <w:rPr>
          <w:rFonts w:eastAsia="TimesNewRoman"/>
          <w:snapToGrid/>
          <w:szCs w:val="22"/>
          <w:lang w:val="lt-LT"/>
        </w:rPr>
        <w:t xml:space="preserve">Tabletės matmenys: apytiksliai </w:t>
      </w:r>
      <w:r>
        <w:rPr>
          <w:szCs w:val="22"/>
          <w:lang w:val="lt-LT"/>
        </w:rPr>
        <w:t>8</w:t>
      </w:r>
      <w:r>
        <w:rPr>
          <w:snapToGrid/>
          <w:szCs w:val="22"/>
          <w:lang w:val="lt-LT"/>
        </w:rPr>
        <w:t> </w:t>
      </w:r>
      <w:r>
        <w:rPr>
          <w:szCs w:val="22"/>
          <w:lang w:val="lt-LT"/>
        </w:rPr>
        <w:t>mm skersmens.</w:t>
      </w:r>
    </w:p>
    <w:p w14:paraId="2DDC75A3" w14:textId="77777777" w:rsidR="009A4BFE" w:rsidRDefault="009A4BFE">
      <w:pPr>
        <w:rPr>
          <w:rFonts w:ascii="TimesNewRoman" w:eastAsia="TimesNewRoman" w:hAnsi="Calibri" w:cs="TimesNewRoman"/>
          <w:i/>
          <w:snapToGrid/>
          <w:szCs w:val="22"/>
          <w:u w:val="single"/>
          <w:lang w:val="lt-LT"/>
        </w:rPr>
      </w:pPr>
    </w:p>
    <w:p w14:paraId="7D99C7D3" w14:textId="77777777" w:rsidR="009A4BFE" w:rsidRDefault="0051186A">
      <w:pPr>
        <w:autoSpaceDE w:val="0"/>
        <w:autoSpaceDN w:val="0"/>
        <w:rPr>
          <w:i/>
          <w:lang w:val="lt-LT"/>
        </w:rPr>
      </w:pPr>
      <w:proofErr w:type="spellStart"/>
      <w:r w:rsidRPr="0022257B">
        <w:rPr>
          <w:i/>
          <w:lang w:val="lt-LT"/>
        </w:rPr>
        <w:t>Atixarso</w:t>
      </w:r>
      <w:proofErr w:type="spellEnd"/>
      <w:r>
        <w:rPr>
          <w:i/>
          <w:lang w:val="lt-LT"/>
        </w:rPr>
        <w:t xml:space="preserve"> 90</w:t>
      </w:r>
      <w:r>
        <w:rPr>
          <w:rFonts w:eastAsia="TimesNewRoman"/>
          <w:i/>
          <w:snapToGrid/>
          <w:szCs w:val="22"/>
          <w:lang w:val="lt-LT"/>
        </w:rPr>
        <w:t> </w:t>
      </w:r>
      <w:r>
        <w:rPr>
          <w:i/>
          <w:lang w:val="lt-LT"/>
        </w:rPr>
        <w:t>mg plėvele dengtos tabletės:</w:t>
      </w:r>
    </w:p>
    <w:p w14:paraId="0F93F326" w14:textId="77777777" w:rsidR="009A4BFE" w:rsidRDefault="0051186A">
      <w:pPr>
        <w:rPr>
          <w:rFonts w:eastAsia="TimesNewRoman"/>
          <w:snapToGrid/>
          <w:szCs w:val="22"/>
          <w:lang w:val="lt-LT"/>
        </w:rPr>
      </w:pPr>
      <w:r>
        <w:rPr>
          <w:rStyle w:val="tlid-translation"/>
          <w:rFonts w:eastAsia="SimSun"/>
          <w:lang w:val="lt-LT"/>
        </w:rPr>
        <w:t>Šviesiai rusvai geltonos</w:t>
      </w:r>
      <w:r>
        <w:rPr>
          <w:rFonts w:eastAsia="TimesNewRoman"/>
          <w:snapToGrid/>
          <w:szCs w:val="22"/>
          <w:lang w:val="lt-LT"/>
        </w:rPr>
        <w:t>, apvalios, abipus išgaubtos plėvele dengtos tabletės, kurių vienoje pusėje yra įspaudas 90.</w:t>
      </w:r>
    </w:p>
    <w:p w14:paraId="39E3B845" w14:textId="77777777" w:rsidR="009A4BFE" w:rsidRDefault="0051186A">
      <w:pPr>
        <w:rPr>
          <w:szCs w:val="24"/>
          <w:lang w:val="lt-LT"/>
        </w:rPr>
      </w:pPr>
      <w:r>
        <w:rPr>
          <w:rStyle w:val="tlid-translation"/>
          <w:rFonts w:eastAsia="SimSun"/>
          <w:lang w:val="lt-LT"/>
        </w:rPr>
        <w:t>Tabletės matmenys: apytiksliai 9</w:t>
      </w:r>
      <w:r>
        <w:rPr>
          <w:snapToGrid/>
          <w:szCs w:val="22"/>
          <w:lang w:val="lt-LT"/>
        </w:rPr>
        <w:t> </w:t>
      </w:r>
      <w:r>
        <w:rPr>
          <w:rStyle w:val="tlid-translation"/>
          <w:rFonts w:eastAsia="SimSun"/>
          <w:lang w:val="lt-LT"/>
        </w:rPr>
        <w:t>mm skersmens.</w:t>
      </w:r>
    </w:p>
    <w:p w14:paraId="70210322" w14:textId="77777777" w:rsidR="009A4BFE" w:rsidRDefault="009A4BFE">
      <w:pPr>
        <w:rPr>
          <w:szCs w:val="24"/>
          <w:lang w:val="lt-LT"/>
        </w:rPr>
      </w:pPr>
    </w:p>
    <w:p w14:paraId="3D8227E9" w14:textId="77777777" w:rsidR="009A4BFE" w:rsidRDefault="009A4BFE">
      <w:pPr>
        <w:rPr>
          <w:szCs w:val="24"/>
          <w:lang w:val="lt-LT"/>
        </w:rPr>
      </w:pPr>
    </w:p>
    <w:p w14:paraId="4541F986"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0F0E6864" w14:textId="77777777" w:rsidR="009A4BFE" w:rsidRDefault="009A4BFE">
      <w:pPr>
        <w:rPr>
          <w:szCs w:val="24"/>
          <w:lang w:val="lt-LT"/>
        </w:rPr>
      </w:pPr>
    </w:p>
    <w:p w14:paraId="36C78E95" w14:textId="77777777" w:rsidR="009A4BFE" w:rsidRDefault="0051186A">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20B5C432" w14:textId="77777777" w:rsidR="009A4BFE" w:rsidRDefault="009A4BFE">
      <w:pPr>
        <w:rPr>
          <w:szCs w:val="24"/>
          <w:lang w:val="lt-LT"/>
        </w:rPr>
      </w:pPr>
    </w:p>
    <w:p w14:paraId="78347260"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sidRPr="0022257B">
        <w:rPr>
          <w:lang w:val="lt-LT"/>
        </w:rPr>
        <w:t>Atixarso</w:t>
      </w:r>
      <w:proofErr w:type="spellEnd"/>
      <w:r>
        <w:rPr>
          <w:rFonts w:eastAsia="TimesNewRoman"/>
          <w:snapToGrid/>
          <w:szCs w:val="22"/>
          <w:lang w:val="lt-LT"/>
        </w:rPr>
        <w:t xml:space="preserve"> derinyje su </w:t>
      </w:r>
      <w:proofErr w:type="spellStart"/>
      <w:r>
        <w:rPr>
          <w:rFonts w:eastAsia="TimesNewRoman"/>
          <w:snapToGrid/>
          <w:szCs w:val="22"/>
          <w:lang w:val="lt-LT"/>
        </w:rPr>
        <w:t>acetilsalicilo</w:t>
      </w:r>
      <w:proofErr w:type="spellEnd"/>
      <w:r>
        <w:rPr>
          <w:rFonts w:eastAsia="TimesNewRoman"/>
          <w:snapToGrid/>
          <w:szCs w:val="22"/>
          <w:lang w:val="lt-LT"/>
        </w:rPr>
        <w:t xml:space="preserve"> rūgštimi (ASR), skirtas </w:t>
      </w:r>
      <w:proofErr w:type="spellStart"/>
      <w:r>
        <w:rPr>
          <w:rFonts w:eastAsia="TimesNewRoman"/>
          <w:snapToGrid/>
          <w:szCs w:val="22"/>
          <w:lang w:val="lt-LT"/>
        </w:rPr>
        <w:t>aterotrombozinių</w:t>
      </w:r>
      <w:proofErr w:type="spellEnd"/>
      <w:r>
        <w:rPr>
          <w:rFonts w:eastAsia="TimesNewRoman"/>
          <w:snapToGrid/>
          <w:szCs w:val="22"/>
          <w:lang w:val="lt-LT"/>
        </w:rPr>
        <w:t xml:space="preserve"> reiškinių profilaktikai suaugusiems pacientams:</w:t>
      </w:r>
    </w:p>
    <w:p w14:paraId="0F14C045" w14:textId="77777777" w:rsidR="009A4BFE" w:rsidRDefault="0051186A">
      <w:pPr>
        <w:autoSpaceDE w:val="0"/>
        <w:autoSpaceDN w:val="0"/>
        <w:adjustRightInd w:val="0"/>
        <w:spacing w:line="240" w:lineRule="auto"/>
        <w:rPr>
          <w:rFonts w:eastAsia="TimesNewRoman"/>
          <w:snapToGrid/>
          <w:szCs w:val="22"/>
          <w:lang w:val="lt-LT"/>
        </w:rPr>
      </w:pPr>
      <w:r>
        <w:rPr>
          <w:rFonts w:eastAsia="TimesNewRoman"/>
          <w:snapToGrid/>
          <w:szCs w:val="22"/>
          <w:lang w:val="lt-LT"/>
        </w:rPr>
        <w:t>-</w:t>
      </w:r>
      <w:r>
        <w:rPr>
          <w:rFonts w:eastAsia="TimesNewRoman"/>
          <w:snapToGrid/>
          <w:szCs w:val="22"/>
          <w:lang w:val="lt-LT"/>
        </w:rPr>
        <w:tab/>
        <w:t>sergantiems ūminiais koronariniais sindromais (ŪKS) arba</w:t>
      </w:r>
    </w:p>
    <w:p w14:paraId="2A20C00E" w14:textId="77777777" w:rsidR="009A4BFE" w:rsidRDefault="0051186A">
      <w:p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anksčiau patyrusiems miokardo infarktą (MI) ir jei yra didelė </w:t>
      </w:r>
      <w:proofErr w:type="spellStart"/>
      <w:r>
        <w:rPr>
          <w:rFonts w:eastAsia="TimesNewRoman"/>
          <w:snapToGrid/>
          <w:szCs w:val="22"/>
          <w:lang w:val="lt-LT"/>
        </w:rPr>
        <w:t>aterotrombozinio</w:t>
      </w:r>
      <w:proofErr w:type="spellEnd"/>
      <w:r>
        <w:rPr>
          <w:rFonts w:eastAsia="TimesNewRoman"/>
          <w:snapToGrid/>
          <w:szCs w:val="22"/>
          <w:lang w:val="lt-LT"/>
        </w:rPr>
        <w:t xml:space="preserve"> reiškinio išsivystymo rizika (žr. 4.2 ir 5.1 skyrius).</w:t>
      </w:r>
    </w:p>
    <w:p w14:paraId="45749A46" w14:textId="77777777" w:rsidR="009A4BFE" w:rsidRDefault="009A4BFE">
      <w:pPr>
        <w:rPr>
          <w:szCs w:val="22"/>
          <w:lang w:val="lt-LT"/>
        </w:rPr>
      </w:pPr>
    </w:p>
    <w:p w14:paraId="254F4A52" w14:textId="77777777" w:rsidR="009A4BFE" w:rsidRDefault="0051186A">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6DE2EBED" w14:textId="77777777" w:rsidR="009A4BFE" w:rsidRDefault="009A4BFE">
      <w:pPr>
        <w:rPr>
          <w:szCs w:val="24"/>
          <w:lang w:val="lt-LT"/>
        </w:rPr>
      </w:pPr>
    </w:p>
    <w:p w14:paraId="3581CF85" w14:textId="77777777" w:rsidR="009A4BFE" w:rsidRDefault="0051186A">
      <w:pPr>
        <w:rPr>
          <w:szCs w:val="24"/>
          <w:u w:val="single"/>
          <w:lang w:val="lt-LT"/>
        </w:rPr>
      </w:pPr>
      <w:r>
        <w:rPr>
          <w:noProof/>
          <w:szCs w:val="24"/>
          <w:u w:val="single"/>
          <w:lang w:val="lt-LT"/>
        </w:rPr>
        <w:t>Dozavimas</w:t>
      </w:r>
    </w:p>
    <w:p w14:paraId="5002F4DC" w14:textId="77777777" w:rsidR="009A4BFE" w:rsidRDefault="009A4BFE">
      <w:pPr>
        <w:rPr>
          <w:szCs w:val="24"/>
          <w:lang w:val="lt-LT"/>
        </w:rPr>
      </w:pPr>
    </w:p>
    <w:p w14:paraId="1C788A12"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Pacientai, vartojantys </w:t>
      </w:r>
      <w:proofErr w:type="spellStart"/>
      <w:r w:rsidRPr="0022257B">
        <w:rPr>
          <w:lang w:val="lt-LT"/>
        </w:rPr>
        <w:t>Atixarso</w:t>
      </w:r>
      <w:proofErr w:type="spellEnd"/>
      <w:r>
        <w:rPr>
          <w:rFonts w:eastAsia="TimesNewRoman"/>
          <w:snapToGrid/>
          <w:szCs w:val="22"/>
          <w:lang w:val="lt-LT"/>
        </w:rPr>
        <w:t>, taip pat kasdien turi vartoti mažą palaikomąją ASR dozę (75-150 mg), išskyrus atvejus, kai yra konkrečių kontraindikacijų.</w:t>
      </w:r>
    </w:p>
    <w:p w14:paraId="57558877"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0761125A"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Ūminiai koronariniai sindromai</w:t>
      </w:r>
    </w:p>
    <w:p w14:paraId="3209C75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sidRPr="0022257B">
        <w:rPr>
          <w:lang w:val="lt-LT"/>
        </w:rPr>
        <w:t xml:space="preserve">Gydymas </w:t>
      </w:r>
      <w:proofErr w:type="spellStart"/>
      <w:r w:rsidRPr="0022257B">
        <w:rPr>
          <w:lang w:val="lt-LT"/>
        </w:rPr>
        <w:t>Atixarso</w:t>
      </w:r>
      <w:proofErr w:type="spellEnd"/>
      <w:r>
        <w:rPr>
          <w:rFonts w:eastAsia="TimesNewRoman"/>
          <w:snapToGrid/>
          <w:szCs w:val="22"/>
          <w:lang w:val="lt-LT"/>
        </w:rPr>
        <w:t xml:space="preserve"> turi būti pradedamas nuo vienkartinės 180 mg įsotinimo dozės (2 tabletės po 90 mg), vėliau tęsiamas po 90 mg du kartus per parą. ŪKS sergantiems pacientams rekomenduojama vartoti 90 mg </w:t>
      </w:r>
      <w:proofErr w:type="spellStart"/>
      <w:r w:rsidRPr="0022257B">
        <w:rPr>
          <w:lang w:val="lt-LT"/>
        </w:rPr>
        <w:t>Atixarso</w:t>
      </w:r>
      <w:proofErr w:type="spellEnd"/>
      <w:r>
        <w:rPr>
          <w:rFonts w:eastAsia="TimesNewRoman"/>
          <w:snapToGrid/>
          <w:szCs w:val="22"/>
          <w:lang w:val="lt-LT"/>
        </w:rPr>
        <w:t xml:space="preserve"> du kartus per parą 12 mėnesių, išskyrus atvejus, kai gydymą juo reikia nutraukti dėl klinikinės situacijos (žr. 5.1 skyrių).</w:t>
      </w:r>
    </w:p>
    <w:p w14:paraId="3C31E4E5" w14:textId="77777777" w:rsidR="009A4BFE" w:rsidRPr="0022257B" w:rsidRDefault="009A4BFE">
      <w:pPr>
        <w:tabs>
          <w:tab w:val="clear" w:pos="567"/>
        </w:tabs>
        <w:autoSpaceDE w:val="0"/>
        <w:autoSpaceDN w:val="0"/>
        <w:adjustRightInd w:val="0"/>
        <w:spacing w:line="240" w:lineRule="auto"/>
        <w:rPr>
          <w:lang w:val="lt-LT"/>
        </w:rPr>
      </w:pPr>
    </w:p>
    <w:p w14:paraId="6127022D" w14:textId="178B18DA" w:rsidR="009A4BFE" w:rsidRPr="0022257B" w:rsidRDefault="0051186A">
      <w:pPr>
        <w:tabs>
          <w:tab w:val="clear" w:pos="567"/>
        </w:tabs>
        <w:autoSpaceDE w:val="0"/>
        <w:autoSpaceDN w:val="0"/>
        <w:adjustRightInd w:val="0"/>
        <w:spacing w:line="240" w:lineRule="auto"/>
      </w:pPr>
      <w:r w:rsidRPr="0022257B">
        <w:lastRenderedPageBreak/>
        <w:t xml:space="preserve">Jei ŪKS </w:t>
      </w:r>
      <w:proofErr w:type="spellStart"/>
      <w:r w:rsidRPr="0022257B">
        <w:t>ištiktam</w:t>
      </w:r>
      <w:proofErr w:type="spellEnd"/>
      <w:r w:rsidRPr="0022257B">
        <w:t xml:space="preserve"> </w:t>
      </w:r>
      <w:proofErr w:type="spellStart"/>
      <w:r w:rsidRPr="0022257B">
        <w:t>pacientui</w:t>
      </w:r>
      <w:proofErr w:type="spellEnd"/>
      <w:r w:rsidRPr="0022257B">
        <w:t xml:space="preserve">, </w:t>
      </w:r>
      <w:proofErr w:type="spellStart"/>
      <w:r w:rsidRPr="0022257B">
        <w:t>kuriam</w:t>
      </w:r>
      <w:proofErr w:type="spellEnd"/>
      <w:r w:rsidRPr="0022257B">
        <w:t xml:space="preserve"> </w:t>
      </w:r>
      <w:proofErr w:type="spellStart"/>
      <w:r w:rsidRPr="0022257B">
        <w:t>atlikta</w:t>
      </w:r>
      <w:proofErr w:type="spellEnd"/>
      <w:r w:rsidRPr="0022257B">
        <w:t xml:space="preserve"> </w:t>
      </w:r>
      <w:proofErr w:type="spellStart"/>
      <w:r w:rsidRPr="0022257B">
        <w:t>perkutaninė</w:t>
      </w:r>
      <w:proofErr w:type="spellEnd"/>
      <w:r w:rsidRPr="0022257B">
        <w:t xml:space="preserve"> </w:t>
      </w:r>
      <w:proofErr w:type="spellStart"/>
      <w:r w:rsidRPr="0022257B">
        <w:t>koronarinė</w:t>
      </w:r>
      <w:proofErr w:type="spellEnd"/>
      <w:r w:rsidRPr="0022257B">
        <w:t xml:space="preserve"> </w:t>
      </w:r>
      <w:proofErr w:type="spellStart"/>
      <w:r w:rsidRPr="0022257B">
        <w:t>intervencija</w:t>
      </w:r>
      <w:proofErr w:type="spellEnd"/>
      <w:r w:rsidRPr="0022257B">
        <w:t xml:space="preserve"> (</w:t>
      </w:r>
      <w:proofErr w:type="spellStart"/>
      <w:r w:rsidRPr="0022257B">
        <w:t>angl.</w:t>
      </w:r>
      <w:proofErr w:type="spellEnd"/>
      <w:r w:rsidRPr="0022257B">
        <w:t xml:space="preserve"> </w:t>
      </w:r>
      <w:r w:rsidRPr="0022257B">
        <w:rPr>
          <w:i/>
        </w:rPr>
        <w:t>percutaneous coronary intervention</w:t>
      </w:r>
      <w:r w:rsidRPr="0022257B">
        <w:t xml:space="preserve">, PCI), </w:t>
      </w:r>
      <w:proofErr w:type="spellStart"/>
      <w:r w:rsidRPr="0022257B">
        <w:t>padidėjusi</w:t>
      </w:r>
      <w:proofErr w:type="spellEnd"/>
      <w:r w:rsidRPr="0022257B">
        <w:t xml:space="preserve"> </w:t>
      </w:r>
      <w:proofErr w:type="spellStart"/>
      <w:r w:rsidRPr="0022257B">
        <w:t>kraujavimo</w:t>
      </w:r>
      <w:proofErr w:type="spellEnd"/>
      <w:r w:rsidRPr="0022257B">
        <w:t xml:space="preserve"> </w:t>
      </w:r>
      <w:proofErr w:type="spellStart"/>
      <w:r w:rsidRPr="0022257B">
        <w:t>rizika</w:t>
      </w:r>
      <w:proofErr w:type="spellEnd"/>
      <w:r w:rsidRPr="0022257B">
        <w:t xml:space="preserve">, tai </w:t>
      </w:r>
      <w:proofErr w:type="spellStart"/>
      <w:r w:rsidRPr="0022257B">
        <w:t>praėjus</w:t>
      </w:r>
      <w:proofErr w:type="spellEnd"/>
      <w:r w:rsidRPr="0022257B">
        <w:t xml:space="preserve"> 3 </w:t>
      </w:r>
      <w:proofErr w:type="spellStart"/>
      <w:r w:rsidRPr="0022257B">
        <w:t>mėn</w:t>
      </w:r>
      <w:proofErr w:type="spellEnd"/>
      <w:r w:rsidRPr="0022257B">
        <w:t xml:space="preserve">. </w:t>
      </w:r>
      <w:proofErr w:type="spellStart"/>
      <w:r w:rsidRPr="0022257B">
        <w:t>galima</w:t>
      </w:r>
      <w:proofErr w:type="spellEnd"/>
      <w:r w:rsidRPr="0022257B">
        <w:t xml:space="preserve"> </w:t>
      </w:r>
      <w:proofErr w:type="spellStart"/>
      <w:r w:rsidRPr="0022257B">
        <w:t>svarstyti</w:t>
      </w:r>
      <w:proofErr w:type="spellEnd"/>
      <w:r w:rsidRPr="0022257B">
        <w:t xml:space="preserve"> </w:t>
      </w:r>
      <w:proofErr w:type="spellStart"/>
      <w:r w:rsidRPr="0022257B">
        <w:t>galimybę</w:t>
      </w:r>
      <w:proofErr w:type="spellEnd"/>
      <w:r w:rsidRPr="0022257B">
        <w:t xml:space="preserve"> </w:t>
      </w:r>
      <w:proofErr w:type="spellStart"/>
      <w:r w:rsidRPr="0022257B">
        <w:t>nutraukti</w:t>
      </w:r>
      <w:proofErr w:type="spellEnd"/>
      <w:r w:rsidRPr="0022257B">
        <w:t xml:space="preserve"> ASR </w:t>
      </w:r>
      <w:proofErr w:type="spellStart"/>
      <w:r w:rsidRPr="0022257B">
        <w:t>vartojimą</w:t>
      </w:r>
      <w:proofErr w:type="spellEnd"/>
      <w:r w:rsidRPr="0022257B">
        <w:t xml:space="preserve">. </w:t>
      </w:r>
      <w:proofErr w:type="spellStart"/>
      <w:r w:rsidRPr="0022257B">
        <w:t>Tokiu</w:t>
      </w:r>
      <w:proofErr w:type="spellEnd"/>
      <w:r w:rsidRPr="0022257B">
        <w:t xml:space="preserve"> </w:t>
      </w:r>
      <w:proofErr w:type="spellStart"/>
      <w:r w:rsidRPr="0022257B">
        <w:t>atveju</w:t>
      </w:r>
      <w:proofErr w:type="spellEnd"/>
      <w:r w:rsidRPr="0022257B">
        <w:t xml:space="preserve"> 9 </w:t>
      </w:r>
      <w:proofErr w:type="spellStart"/>
      <w:r w:rsidRPr="0022257B">
        <w:t>mėn</w:t>
      </w:r>
      <w:proofErr w:type="spellEnd"/>
      <w:r w:rsidRPr="0022257B">
        <w:t xml:space="preserve">. </w:t>
      </w:r>
      <w:proofErr w:type="spellStart"/>
      <w:r w:rsidRPr="0022257B">
        <w:t>gydymą</w:t>
      </w:r>
      <w:proofErr w:type="spellEnd"/>
      <w:r w:rsidRPr="0022257B">
        <w:t xml:space="preserve"> </w:t>
      </w:r>
      <w:proofErr w:type="spellStart"/>
      <w:r w:rsidRPr="0022257B">
        <w:t>reikia</w:t>
      </w:r>
      <w:proofErr w:type="spellEnd"/>
      <w:r w:rsidRPr="0022257B">
        <w:t xml:space="preserve"> </w:t>
      </w:r>
      <w:proofErr w:type="spellStart"/>
      <w:r w:rsidRPr="0022257B">
        <w:t>tęsti</w:t>
      </w:r>
      <w:proofErr w:type="spellEnd"/>
      <w:r w:rsidRPr="0022257B">
        <w:t xml:space="preserve"> </w:t>
      </w:r>
      <w:proofErr w:type="spellStart"/>
      <w:r w:rsidRPr="0022257B">
        <w:t>vieninteliu</w:t>
      </w:r>
      <w:proofErr w:type="spellEnd"/>
      <w:r w:rsidRPr="0022257B">
        <w:t xml:space="preserve"> </w:t>
      </w:r>
      <w:proofErr w:type="spellStart"/>
      <w:r w:rsidRPr="0022257B">
        <w:t>antiagregantu</w:t>
      </w:r>
      <w:proofErr w:type="spellEnd"/>
      <w:r w:rsidRPr="0022257B">
        <w:t xml:space="preserve"> – </w:t>
      </w:r>
      <w:proofErr w:type="spellStart"/>
      <w:r w:rsidRPr="0022257B">
        <w:t>tikagreloru</w:t>
      </w:r>
      <w:proofErr w:type="spellEnd"/>
      <w:r w:rsidRPr="0022257B">
        <w:t xml:space="preserve"> (</w:t>
      </w:r>
      <w:proofErr w:type="spellStart"/>
      <w:r w:rsidRPr="0022257B">
        <w:t>žr</w:t>
      </w:r>
      <w:proofErr w:type="spellEnd"/>
      <w:r w:rsidRPr="0022257B">
        <w:t xml:space="preserve">. 4.4 </w:t>
      </w:r>
      <w:proofErr w:type="spellStart"/>
      <w:r w:rsidRPr="0022257B">
        <w:t>skyrių</w:t>
      </w:r>
      <w:proofErr w:type="spellEnd"/>
      <w:r w:rsidRPr="0022257B">
        <w:t>).</w:t>
      </w:r>
    </w:p>
    <w:p w14:paraId="308B6226"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6E41118F"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Anksčiau buvęs miokardo infarktas</w:t>
      </w:r>
    </w:p>
    <w:p w14:paraId="514B9F4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Prieš 1 metus ar seniau MI patyrusiems pacientams, kuriems yra didelė </w:t>
      </w:r>
      <w:proofErr w:type="spellStart"/>
      <w:r>
        <w:rPr>
          <w:rFonts w:eastAsia="TimesNewRoman"/>
          <w:snapToGrid/>
          <w:szCs w:val="22"/>
          <w:lang w:val="lt-LT"/>
        </w:rPr>
        <w:t>aterotrombozės</w:t>
      </w:r>
      <w:proofErr w:type="spellEnd"/>
      <w:r>
        <w:rPr>
          <w:rFonts w:eastAsia="TimesNewRoman"/>
          <w:snapToGrid/>
          <w:szCs w:val="22"/>
          <w:lang w:val="lt-LT"/>
        </w:rPr>
        <w:t xml:space="preserve"> rizika ir reikia ilgalaikio gydymo, rekomenduojama skirti 60 mg </w:t>
      </w:r>
      <w:proofErr w:type="spellStart"/>
      <w:r w:rsidRPr="0022257B">
        <w:rPr>
          <w:lang w:val="lt-LT"/>
        </w:rPr>
        <w:t>Atixarso</w:t>
      </w:r>
      <w:proofErr w:type="spellEnd"/>
      <w:r>
        <w:rPr>
          <w:rFonts w:eastAsia="TimesNewRoman"/>
          <w:snapToGrid/>
          <w:szCs w:val="22"/>
          <w:lang w:val="lt-LT"/>
        </w:rPr>
        <w:t xml:space="preserve"> du kartus per parą (žr. 5.1 skyrių). Tokį ŪKS sergančių pacientų, turinčių didelę </w:t>
      </w:r>
      <w:proofErr w:type="spellStart"/>
      <w:r>
        <w:rPr>
          <w:rFonts w:eastAsia="TimesNewRoman"/>
          <w:snapToGrid/>
          <w:szCs w:val="22"/>
          <w:lang w:val="lt-LT"/>
        </w:rPr>
        <w:t>aterotrombozės</w:t>
      </w:r>
      <w:proofErr w:type="spellEnd"/>
      <w:r>
        <w:rPr>
          <w:rFonts w:eastAsia="TimesNewRoman"/>
          <w:snapToGrid/>
          <w:szCs w:val="22"/>
          <w:lang w:val="lt-LT"/>
        </w:rPr>
        <w:t xml:space="preserve"> riziką, gydymą galima pradėti be pertraukos, kaip vienerių metų pradinio gydymo </w:t>
      </w:r>
      <w:proofErr w:type="spellStart"/>
      <w:r w:rsidRPr="0022257B">
        <w:rPr>
          <w:lang w:val="lt-LT"/>
        </w:rPr>
        <w:t>Atixarso</w:t>
      </w:r>
      <w:proofErr w:type="spellEnd"/>
      <w:r>
        <w:rPr>
          <w:rFonts w:eastAsia="TimesNewRoman"/>
          <w:snapToGrid/>
          <w:szCs w:val="22"/>
          <w:lang w:val="lt-LT"/>
        </w:rPr>
        <w:t xml:space="preserve"> 90 mg doze arba kitu </w:t>
      </w:r>
      <w:proofErr w:type="spellStart"/>
      <w:r>
        <w:rPr>
          <w:rFonts w:eastAsia="TimesNewRoman"/>
          <w:snapToGrid/>
          <w:szCs w:val="22"/>
          <w:lang w:val="lt-LT"/>
        </w:rPr>
        <w:t>adenozino</w:t>
      </w:r>
      <w:proofErr w:type="spellEnd"/>
      <w:r>
        <w:rPr>
          <w:rFonts w:eastAsia="TimesNewRoman"/>
          <w:snapToGrid/>
          <w:szCs w:val="22"/>
          <w:lang w:val="lt-LT"/>
        </w:rPr>
        <w:t xml:space="preserve"> </w:t>
      </w:r>
      <w:proofErr w:type="spellStart"/>
      <w:r>
        <w:rPr>
          <w:rFonts w:eastAsia="TimesNewRoman"/>
          <w:snapToGrid/>
          <w:szCs w:val="22"/>
          <w:lang w:val="lt-LT"/>
        </w:rPr>
        <w:t>difosfato</w:t>
      </w:r>
      <w:proofErr w:type="spellEnd"/>
      <w:r>
        <w:rPr>
          <w:rFonts w:eastAsia="TimesNewRoman"/>
          <w:snapToGrid/>
          <w:szCs w:val="22"/>
          <w:lang w:val="lt-LT"/>
        </w:rPr>
        <w:t xml:space="preserve"> (ADF) receptorių inhibitoriumi pratęsimą. Be to, gydymą galima pradėti per 2 metus po MI arba per 1 metus po ankstesnio gydymo ADF receptorių inhibitoriumi nutraukimo. Ilgesnės kaip 3 metų trukmės gydymo </w:t>
      </w:r>
      <w:proofErr w:type="spellStart"/>
      <w:r>
        <w:rPr>
          <w:rFonts w:eastAsia="TimesNewRoman"/>
          <w:snapToGrid/>
          <w:szCs w:val="22"/>
          <w:lang w:val="lt-LT"/>
        </w:rPr>
        <w:t>tikagreloru</w:t>
      </w:r>
      <w:proofErr w:type="spellEnd"/>
      <w:r>
        <w:rPr>
          <w:rFonts w:eastAsia="TimesNewRoman"/>
          <w:snapToGrid/>
          <w:szCs w:val="22"/>
          <w:lang w:val="lt-LT"/>
        </w:rPr>
        <w:t xml:space="preserve"> saugumo ir veiksmingumo duomenų yra nedaug.</w:t>
      </w:r>
    </w:p>
    <w:p w14:paraId="5D2A11E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1FCA939" w14:textId="77777777" w:rsidR="009A4BFE" w:rsidRDefault="0051186A">
      <w:pPr>
        <w:tabs>
          <w:tab w:val="clear" w:pos="567"/>
        </w:tabs>
        <w:autoSpaceDE w:val="0"/>
        <w:autoSpaceDN w:val="0"/>
        <w:adjustRightInd w:val="0"/>
        <w:spacing w:line="240" w:lineRule="auto"/>
        <w:rPr>
          <w:rFonts w:ascii="TimesNewRoman" w:eastAsia="TimesNewRoman" w:hAnsi="Calibri" w:cs="TimesNewRoman"/>
          <w:snapToGrid/>
          <w:szCs w:val="22"/>
          <w:lang w:val="lt-LT"/>
        </w:rPr>
      </w:pPr>
      <w:r>
        <w:rPr>
          <w:rFonts w:eastAsia="TimesNewRoman"/>
          <w:snapToGrid/>
          <w:szCs w:val="22"/>
          <w:lang w:val="lt-LT"/>
        </w:rPr>
        <w:t xml:space="preserve">Jeigu reikia pakeisti vaistinį preparatą, pirmą </w:t>
      </w:r>
      <w:proofErr w:type="spellStart"/>
      <w:r w:rsidRPr="0022257B">
        <w:rPr>
          <w:lang w:val="lt-LT"/>
        </w:rPr>
        <w:t>Atixarso</w:t>
      </w:r>
      <w:proofErr w:type="spellEnd"/>
      <w:r>
        <w:rPr>
          <w:rFonts w:eastAsia="TimesNewRoman"/>
          <w:snapToGrid/>
          <w:szCs w:val="22"/>
          <w:lang w:val="lt-LT"/>
        </w:rPr>
        <w:t xml:space="preserve"> dozę reikia vartoti praėjus 24 val. po paskutinės kito trombocitų funkciją slopinančio vaistinio preparato dozės.</w:t>
      </w:r>
    </w:p>
    <w:p w14:paraId="44F4CA4C" w14:textId="77777777" w:rsidR="009A4BFE" w:rsidRDefault="009A4BFE">
      <w:pPr>
        <w:rPr>
          <w:rFonts w:ascii="TimesNewRoman,Italic" w:eastAsia="TimesNewRoman" w:hAnsi="TimesNewRoman,Italic" w:cs="TimesNewRoman,Italic"/>
          <w:i/>
          <w:iCs/>
          <w:snapToGrid/>
          <w:szCs w:val="22"/>
          <w:lang w:val="lt-LT"/>
        </w:rPr>
      </w:pPr>
    </w:p>
    <w:p w14:paraId="7E01903C" w14:textId="77777777" w:rsidR="009A4BFE" w:rsidRDefault="0051186A">
      <w:pPr>
        <w:rPr>
          <w:rFonts w:eastAsia="TimesNewRoman"/>
          <w:i/>
          <w:iCs/>
          <w:snapToGrid/>
          <w:szCs w:val="22"/>
          <w:u w:val="single"/>
          <w:lang w:val="lt-LT"/>
        </w:rPr>
      </w:pPr>
      <w:r>
        <w:rPr>
          <w:rFonts w:eastAsia="TimesNewRoman"/>
          <w:i/>
          <w:iCs/>
          <w:snapToGrid/>
          <w:szCs w:val="22"/>
          <w:u w:val="single"/>
          <w:lang w:val="lt-LT"/>
        </w:rPr>
        <w:t>Praleista dozė</w:t>
      </w:r>
    </w:p>
    <w:p w14:paraId="1D074AB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Gydymo klaidų taip pat reikia vengti. Pacientas, užmiršęs išgerti </w:t>
      </w:r>
      <w:proofErr w:type="spellStart"/>
      <w:r w:rsidRPr="0022257B">
        <w:rPr>
          <w:lang w:val="lt-LT"/>
        </w:rPr>
        <w:t>Atixarso</w:t>
      </w:r>
      <w:proofErr w:type="spellEnd"/>
      <w:r>
        <w:rPr>
          <w:rFonts w:eastAsia="TimesNewRoman"/>
          <w:snapToGrid/>
          <w:szCs w:val="22"/>
          <w:lang w:val="lt-LT"/>
        </w:rPr>
        <w:t xml:space="preserve"> dozę, turi vartoti tik vieną tabletę (kitą savo dozę) įprastu laiku.</w:t>
      </w:r>
    </w:p>
    <w:p w14:paraId="3BC9AD70" w14:textId="77777777" w:rsidR="009A4BFE" w:rsidRDefault="009A4BFE">
      <w:pPr>
        <w:rPr>
          <w:rFonts w:ascii="TimesNewRoman" w:eastAsia="TimesNewRoman" w:hAnsi="Calibri" w:cs="TimesNewRoman"/>
          <w:snapToGrid/>
          <w:szCs w:val="22"/>
          <w:lang w:val="lt-LT"/>
        </w:rPr>
      </w:pPr>
    </w:p>
    <w:p w14:paraId="430F778E" w14:textId="77777777" w:rsidR="009A4BFE" w:rsidRDefault="0051186A">
      <w:pPr>
        <w:tabs>
          <w:tab w:val="clear" w:pos="567"/>
        </w:tabs>
        <w:autoSpaceDE w:val="0"/>
        <w:autoSpaceDN w:val="0"/>
        <w:adjustRightInd w:val="0"/>
        <w:spacing w:line="240" w:lineRule="auto"/>
        <w:rPr>
          <w:rFonts w:eastAsia="Calibri"/>
          <w:i/>
          <w:iCs/>
          <w:snapToGrid/>
          <w:szCs w:val="22"/>
          <w:u w:val="single"/>
          <w:lang w:val="lt-LT"/>
        </w:rPr>
      </w:pPr>
      <w:r>
        <w:rPr>
          <w:rFonts w:eastAsia="Calibri"/>
          <w:i/>
          <w:iCs/>
          <w:snapToGrid/>
          <w:szCs w:val="22"/>
          <w:u w:val="single"/>
          <w:lang w:val="lt-LT"/>
        </w:rPr>
        <w:t>Ypatingos populiacijos</w:t>
      </w:r>
    </w:p>
    <w:p w14:paraId="436A6292"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Senyviems pacientams</w:t>
      </w:r>
    </w:p>
    <w:p w14:paraId="635448A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Senyviems pacientams dozės koreguoti nereikia (žr. 5.2 skyrių).</w:t>
      </w:r>
    </w:p>
    <w:p w14:paraId="3374827E" w14:textId="77777777" w:rsidR="009A4BFE" w:rsidRDefault="009A4BFE">
      <w:pPr>
        <w:tabs>
          <w:tab w:val="clear" w:pos="567"/>
        </w:tabs>
        <w:autoSpaceDE w:val="0"/>
        <w:autoSpaceDN w:val="0"/>
        <w:adjustRightInd w:val="0"/>
        <w:spacing w:line="240" w:lineRule="auto"/>
        <w:rPr>
          <w:rFonts w:eastAsia="Calibri"/>
          <w:i/>
          <w:iCs/>
          <w:snapToGrid/>
          <w:szCs w:val="22"/>
          <w:lang w:val="lt-LT"/>
        </w:rPr>
      </w:pPr>
    </w:p>
    <w:p w14:paraId="17BEE25C" w14:textId="77777777" w:rsidR="009A4BFE" w:rsidRPr="0022257B" w:rsidRDefault="0051186A">
      <w:pPr>
        <w:tabs>
          <w:tab w:val="clear" w:pos="567"/>
        </w:tabs>
        <w:autoSpaceDE w:val="0"/>
        <w:autoSpaceDN w:val="0"/>
        <w:adjustRightInd w:val="0"/>
        <w:spacing w:line="240" w:lineRule="auto"/>
        <w:rPr>
          <w:rFonts w:eastAsia="Calibri"/>
          <w:i/>
          <w:iCs/>
          <w:snapToGrid/>
          <w:szCs w:val="22"/>
          <w:lang w:val="lt-LT"/>
        </w:rPr>
      </w:pPr>
      <w:r w:rsidRPr="0022257B">
        <w:rPr>
          <w:i/>
          <w:iCs/>
          <w:szCs w:val="22"/>
          <w:lang w:val="lt-LT"/>
        </w:rPr>
        <w:t>Pacientams, kurių inkstų funkcija sutrikusi</w:t>
      </w:r>
      <w:r w:rsidRPr="0022257B">
        <w:rPr>
          <w:rFonts w:eastAsia="Calibri"/>
          <w:i/>
          <w:iCs/>
          <w:snapToGrid/>
          <w:szCs w:val="22"/>
          <w:lang w:val="lt-LT"/>
        </w:rPr>
        <w:t xml:space="preserve"> </w:t>
      </w:r>
    </w:p>
    <w:p w14:paraId="10FE9AF2"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Pacientams, kurių inkstų funkcija sutrikusi, dozės koreguoti nereikia (žr. 5.2 skyrių).</w:t>
      </w:r>
    </w:p>
    <w:p w14:paraId="128B003F" w14:textId="77777777" w:rsidR="009A4BFE" w:rsidRDefault="009A4BFE">
      <w:pPr>
        <w:tabs>
          <w:tab w:val="clear" w:pos="567"/>
        </w:tabs>
        <w:autoSpaceDE w:val="0"/>
        <w:autoSpaceDN w:val="0"/>
        <w:adjustRightInd w:val="0"/>
        <w:spacing w:line="240" w:lineRule="auto"/>
        <w:rPr>
          <w:rFonts w:eastAsia="Calibri"/>
          <w:i/>
          <w:iCs/>
          <w:snapToGrid/>
          <w:szCs w:val="22"/>
          <w:lang w:val="lt-LT"/>
        </w:rPr>
      </w:pPr>
    </w:p>
    <w:p w14:paraId="79952B8D" w14:textId="77777777" w:rsidR="009A4BFE" w:rsidRPr="0022257B" w:rsidRDefault="0051186A">
      <w:pPr>
        <w:tabs>
          <w:tab w:val="clear" w:pos="567"/>
        </w:tabs>
        <w:autoSpaceDE w:val="0"/>
        <w:autoSpaceDN w:val="0"/>
        <w:adjustRightInd w:val="0"/>
        <w:spacing w:line="240" w:lineRule="auto"/>
        <w:rPr>
          <w:rFonts w:eastAsia="Calibri"/>
          <w:i/>
          <w:iCs/>
          <w:snapToGrid/>
          <w:szCs w:val="22"/>
          <w:lang w:val="lt-LT"/>
        </w:rPr>
      </w:pPr>
      <w:r w:rsidRPr="0022257B">
        <w:rPr>
          <w:i/>
          <w:iCs/>
          <w:szCs w:val="22"/>
          <w:lang w:val="lt-LT"/>
        </w:rPr>
        <w:t>Pacientams, kurių kepenų funkcija sutrikusi</w:t>
      </w:r>
      <w:r w:rsidRPr="0022257B">
        <w:rPr>
          <w:rFonts w:eastAsia="Calibri"/>
          <w:i/>
          <w:iCs/>
          <w:snapToGrid/>
          <w:szCs w:val="22"/>
          <w:lang w:val="lt-LT"/>
        </w:rPr>
        <w:t xml:space="preserve"> </w:t>
      </w:r>
    </w:p>
    <w:p w14:paraId="6AB4C90A"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poveikis pacientams, kuriems yra sunkus kepenų funkcijos sutrikimas, netirtas, todėl jo vartoti šiems pacientams negalima (žr. 4.3 skyrių). Apie pacientus, kuriems yra vidutinio sunkumo kepenų funkcijos sutrikimas, duomenų yra nedaug. Jiems dozės koreguoti nerekomenduojama, tačiau </w:t>
      </w:r>
      <w:proofErr w:type="spellStart"/>
      <w:r>
        <w:rPr>
          <w:rFonts w:eastAsia="TimesNewRoman"/>
          <w:snapToGrid/>
          <w:szCs w:val="22"/>
          <w:lang w:val="lt-LT"/>
        </w:rPr>
        <w:t>tikagrelorą</w:t>
      </w:r>
      <w:proofErr w:type="spellEnd"/>
      <w:r>
        <w:rPr>
          <w:rFonts w:eastAsia="TimesNewRoman"/>
          <w:snapToGrid/>
          <w:szCs w:val="22"/>
          <w:lang w:val="lt-LT"/>
        </w:rPr>
        <w:t xml:space="preserve"> reikia vartoti atsargiai (žr. 4.4 ir 5.2 skyrius). Pacientams, kuriems yra lengvas kepenų funkcijos sutrikimas, dozės koreguoti nereikia (žr. 5.2 skyrių).</w:t>
      </w:r>
    </w:p>
    <w:p w14:paraId="3491788C" w14:textId="77777777" w:rsidR="009A4BFE" w:rsidRDefault="009A4BFE">
      <w:pPr>
        <w:tabs>
          <w:tab w:val="clear" w:pos="567"/>
        </w:tabs>
        <w:autoSpaceDE w:val="0"/>
        <w:autoSpaceDN w:val="0"/>
        <w:adjustRightInd w:val="0"/>
        <w:spacing w:line="240" w:lineRule="auto"/>
        <w:rPr>
          <w:rFonts w:eastAsia="Calibri"/>
          <w:i/>
          <w:iCs/>
          <w:snapToGrid/>
          <w:szCs w:val="22"/>
          <w:lang w:val="lt-LT"/>
        </w:rPr>
      </w:pPr>
    </w:p>
    <w:p w14:paraId="4BCA6CA0" w14:textId="77777777" w:rsidR="009A4BFE" w:rsidRPr="0022257B" w:rsidRDefault="0051186A">
      <w:pPr>
        <w:tabs>
          <w:tab w:val="clear" w:pos="567"/>
        </w:tabs>
        <w:autoSpaceDE w:val="0"/>
        <w:autoSpaceDN w:val="0"/>
        <w:adjustRightInd w:val="0"/>
        <w:spacing w:line="240" w:lineRule="auto"/>
        <w:rPr>
          <w:rFonts w:eastAsia="Calibri"/>
          <w:i/>
          <w:iCs/>
          <w:snapToGrid/>
          <w:szCs w:val="22"/>
          <w:lang w:val="lt-LT"/>
        </w:rPr>
      </w:pPr>
      <w:r w:rsidRPr="0022257B">
        <w:rPr>
          <w:rFonts w:eastAsia="Calibri"/>
          <w:i/>
          <w:iCs/>
          <w:snapToGrid/>
          <w:szCs w:val="22"/>
          <w:lang w:val="lt-LT"/>
        </w:rPr>
        <w:t>Vaikų populiacija</w:t>
      </w:r>
    </w:p>
    <w:p w14:paraId="2FB600D4"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saugumas ir veiksmingumas vaikams iki 18 metų nenustatytas. </w:t>
      </w:r>
    </w:p>
    <w:p w14:paraId="744AA286"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nėra skirtas vaikams, sergantiems pjautuvo pavidalo ląstelių liga (žr. 5.1 ir 5.2 skyrius).</w:t>
      </w:r>
    </w:p>
    <w:p w14:paraId="6E49E2E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3923A8B"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Vartojimo metodas</w:t>
      </w:r>
    </w:p>
    <w:p w14:paraId="3BDCA7C2"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Vartoti per burną.</w:t>
      </w:r>
    </w:p>
    <w:p w14:paraId="1B1C9F5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sidRPr="0022257B">
        <w:rPr>
          <w:lang w:val="pt-PT"/>
        </w:rPr>
        <w:t>Atixarso</w:t>
      </w:r>
      <w:r>
        <w:rPr>
          <w:rFonts w:eastAsia="TimesNewRoman"/>
          <w:snapToGrid/>
          <w:szCs w:val="22"/>
          <w:lang w:val="lt-LT"/>
        </w:rPr>
        <w:t xml:space="preserve"> galima vartoti valgio metu arba nevalgius.</w:t>
      </w:r>
    </w:p>
    <w:p w14:paraId="34196243"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r>
        <w:rPr>
          <w:rFonts w:eastAsia="TimesNewRoman"/>
          <w:snapToGrid/>
          <w:szCs w:val="22"/>
          <w:lang w:val="lt-LT"/>
        </w:rPr>
        <w:t xml:space="preserve">Pacientams, kurie negali nuryti visos tabletės (tablečių), jas galima susmulkinti į miltelius, sumaišyti pusėje stiklinės vandens ir nedelsiant išgerti. Paskui stiklinę reikia praskalauti dar puse stiklinės vandens ir vėl išgerti. Be to, gautą mišinį galima vartoti per </w:t>
      </w:r>
      <w:proofErr w:type="spellStart"/>
      <w:r>
        <w:rPr>
          <w:rFonts w:eastAsia="TimesNewRoman"/>
          <w:snapToGrid/>
          <w:szCs w:val="22"/>
          <w:lang w:val="lt-LT"/>
        </w:rPr>
        <w:t>nazogastrinį</w:t>
      </w:r>
      <w:proofErr w:type="spellEnd"/>
      <w:r>
        <w:rPr>
          <w:rFonts w:eastAsia="TimesNewRoman"/>
          <w:snapToGrid/>
          <w:szCs w:val="22"/>
          <w:lang w:val="lt-LT"/>
        </w:rPr>
        <w:t xml:space="preserve"> zondą. Daugiau informacijos žr. 6.6 skyriuje.</w:t>
      </w:r>
    </w:p>
    <w:p w14:paraId="4CDB6AC6" w14:textId="77777777" w:rsidR="009A4BFE" w:rsidRDefault="009A4BFE">
      <w:pPr>
        <w:rPr>
          <w:szCs w:val="24"/>
          <w:lang w:val="lt-LT"/>
        </w:rPr>
      </w:pPr>
    </w:p>
    <w:p w14:paraId="189BFDE2" w14:textId="77777777" w:rsidR="009A4BFE" w:rsidRDefault="0051186A">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3367734F" w14:textId="77777777" w:rsidR="009A4BFE" w:rsidRDefault="009A4BFE">
      <w:pPr>
        <w:rPr>
          <w:szCs w:val="24"/>
          <w:lang w:val="lt-LT"/>
        </w:rPr>
      </w:pPr>
    </w:p>
    <w:p w14:paraId="22BF7DFC" w14:textId="77777777" w:rsidR="009A4BFE" w:rsidRDefault="0051186A">
      <w:pPr>
        <w:numPr>
          <w:ilvl w:val="0"/>
          <w:numId w:val="6"/>
        </w:numPr>
        <w:ind w:left="567" w:hanging="567"/>
        <w:rPr>
          <w:rFonts w:eastAsia="TimesNewRoman"/>
          <w:snapToGrid/>
          <w:szCs w:val="22"/>
          <w:lang w:val="lt-LT"/>
        </w:rPr>
      </w:pPr>
      <w:r>
        <w:rPr>
          <w:noProof/>
          <w:szCs w:val="22"/>
          <w:lang w:val="lt-LT"/>
        </w:rPr>
        <w:t>Padidėjęs jautrumas veikliajai arba bet kuriai 6.1 skyriuje nurodytai pagalbinei medžiagai (</w:t>
      </w:r>
      <w:r>
        <w:rPr>
          <w:rFonts w:eastAsia="TimesNewRoman"/>
          <w:snapToGrid/>
          <w:szCs w:val="22"/>
          <w:lang w:val="lt-LT"/>
        </w:rPr>
        <w:t>žr. 4.8 skyrių).</w:t>
      </w:r>
    </w:p>
    <w:p w14:paraId="2750EFAF" w14:textId="77777777" w:rsidR="009A4BFE" w:rsidRDefault="0051186A">
      <w:pPr>
        <w:numPr>
          <w:ilvl w:val="0"/>
          <w:numId w:val="6"/>
        </w:num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Aktyvus patologinis kraujavimas.</w:t>
      </w:r>
    </w:p>
    <w:p w14:paraId="6707DCD2" w14:textId="77777777" w:rsidR="009A4BFE" w:rsidRDefault="0051186A">
      <w:pPr>
        <w:numPr>
          <w:ilvl w:val="0"/>
          <w:numId w:val="6"/>
        </w:numPr>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Intrakranijinis</w:t>
      </w:r>
      <w:proofErr w:type="spellEnd"/>
      <w:r>
        <w:rPr>
          <w:rFonts w:eastAsia="TimesNewRoman"/>
          <w:snapToGrid/>
          <w:szCs w:val="22"/>
          <w:lang w:val="lt-LT"/>
        </w:rPr>
        <w:t xml:space="preserve"> kraujavimas anamnezėje (žr. 4.8 skyrių).</w:t>
      </w:r>
    </w:p>
    <w:p w14:paraId="33AF52BC" w14:textId="77777777" w:rsidR="009A4BFE" w:rsidRDefault="0051186A">
      <w:pPr>
        <w:numPr>
          <w:ilvl w:val="0"/>
          <w:numId w:val="6"/>
        </w:num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Sunkus kepenų funkcijos sutrikimas (žr. 4.2, 4.4 ir 5.2 skyrius).</w:t>
      </w:r>
    </w:p>
    <w:p w14:paraId="6805C618" w14:textId="77777777" w:rsidR="009A4BFE" w:rsidRDefault="0051186A">
      <w:pPr>
        <w:numPr>
          <w:ilvl w:val="0"/>
          <w:numId w:val="6"/>
        </w:numPr>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vartojimas derinyje su stipriai veikiančiais CYP3A4 inhibitoriais (pvz., </w:t>
      </w:r>
      <w:proofErr w:type="spellStart"/>
      <w:r>
        <w:rPr>
          <w:rFonts w:eastAsia="TimesNewRoman"/>
          <w:snapToGrid/>
          <w:szCs w:val="22"/>
          <w:lang w:val="lt-LT"/>
        </w:rPr>
        <w:t>ketokonazolu</w:t>
      </w:r>
      <w:proofErr w:type="spellEnd"/>
      <w:r>
        <w:rPr>
          <w:rFonts w:eastAsia="TimesNewRoman"/>
          <w:snapToGrid/>
          <w:szCs w:val="22"/>
          <w:lang w:val="lt-LT"/>
        </w:rPr>
        <w:t xml:space="preserve">, </w:t>
      </w:r>
      <w:proofErr w:type="spellStart"/>
      <w:r>
        <w:rPr>
          <w:rFonts w:eastAsia="TimesNewRoman"/>
          <w:snapToGrid/>
          <w:szCs w:val="22"/>
          <w:lang w:val="lt-LT"/>
        </w:rPr>
        <w:t>klaritromicinu</w:t>
      </w:r>
      <w:proofErr w:type="spellEnd"/>
      <w:r>
        <w:rPr>
          <w:rFonts w:eastAsia="TimesNewRoman"/>
          <w:snapToGrid/>
          <w:szCs w:val="22"/>
          <w:lang w:val="lt-LT"/>
        </w:rPr>
        <w:t xml:space="preserve">, </w:t>
      </w:r>
      <w:proofErr w:type="spellStart"/>
      <w:r>
        <w:rPr>
          <w:rFonts w:eastAsia="TimesNewRoman"/>
          <w:snapToGrid/>
          <w:szCs w:val="22"/>
          <w:lang w:val="lt-LT"/>
        </w:rPr>
        <w:t>nefazodonu</w:t>
      </w:r>
      <w:proofErr w:type="spellEnd"/>
      <w:r>
        <w:rPr>
          <w:rFonts w:eastAsia="TimesNewRoman"/>
          <w:snapToGrid/>
          <w:szCs w:val="22"/>
          <w:lang w:val="lt-LT"/>
        </w:rPr>
        <w:t xml:space="preserve">, ritonaviru, </w:t>
      </w:r>
      <w:proofErr w:type="spellStart"/>
      <w:r>
        <w:rPr>
          <w:rFonts w:eastAsia="TimesNewRoman"/>
          <w:snapToGrid/>
          <w:szCs w:val="22"/>
          <w:lang w:val="lt-LT"/>
        </w:rPr>
        <w:t>atazanaviru</w:t>
      </w:r>
      <w:proofErr w:type="spellEnd"/>
      <w:r>
        <w:rPr>
          <w:rFonts w:eastAsia="TimesNewRoman"/>
          <w:snapToGrid/>
          <w:szCs w:val="22"/>
          <w:lang w:val="lt-LT"/>
        </w:rPr>
        <w:t xml:space="preserve">), kadangi tokiame derinyje gali gerokai padidėti </w:t>
      </w:r>
      <w:proofErr w:type="spellStart"/>
      <w:r>
        <w:rPr>
          <w:rFonts w:eastAsia="TimesNewRoman"/>
          <w:snapToGrid/>
          <w:szCs w:val="22"/>
          <w:lang w:val="lt-LT"/>
        </w:rPr>
        <w:t>tikagreloro</w:t>
      </w:r>
      <w:proofErr w:type="spellEnd"/>
      <w:r>
        <w:rPr>
          <w:rFonts w:eastAsia="TimesNewRoman"/>
          <w:snapToGrid/>
          <w:szCs w:val="22"/>
          <w:lang w:val="lt-LT"/>
        </w:rPr>
        <w:t xml:space="preserve"> ekspozicija (žr. 4.5 skyrių).</w:t>
      </w:r>
    </w:p>
    <w:p w14:paraId="408D71B7" w14:textId="77777777" w:rsidR="009A4BFE" w:rsidRDefault="009A4BFE">
      <w:pPr>
        <w:pStyle w:val="Antrat4"/>
        <w:rPr>
          <w:rFonts w:ascii="Times New Roman" w:hAnsi="Times New Roman"/>
          <w:sz w:val="22"/>
          <w:lang w:val="lt-LT"/>
        </w:rPr>
      </w:pPr>
    </w:p>
    <w:p w14:paraId="0D506202" w14:textId="77777777" w:rsidR="009A4BFE" w:rsidRDefault="0051186A">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5FCCA91D" w14:textId="77777777" w:rsidR="009A4BFE" w:rsidRDefault="009A4BFE">
      <w:pPr>
        <w:keepNext/>
        <w:rPr>
          <w:szCs w:val="24"/>
          <w:lang w:val="lt-LT"/>
        </w:rPr>
      </w:pPr>
    </w:p>
    <w:p w14:paraId="498094D4" w14:textId="77777777" w:rsidR="009A4BFE" w:rsidRDefault="0051186A">
      <w:pPr>
        <w:keepNext/>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Kraujavimo rizika</w:t>
      </w:r>
    </w:p>
    <w:p w14:paraId="64DA53F1"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skiriant pacientams, kuriems nustatyta padidėjusi kraujavimo rizika, reikia įvertinti kraujavimo rizikos ir </w:t>
      </w:r>
      <w:proofErr w:type="spellStart"/>
      <w:r>
        <w:rPr>
          <w:rFonts w:eastAsia="TimesNewRoman"/>
          <w:snapToGrid/>
          <w:szCs w:val="22"/>
          <w:lang w:val="lt-LT"/>
        </w:rPr>
        <w:t>aterotrombozinių</w:t>
      </w:r>
      <w:proofErr w:type="spellEnd"/>
      <w:r>
        <w:rPr>
          <w:rFonts w:eastAsia="TimesNewRoman"/>
          <w:snapToGrid/>
          <w:szCs w:val="22"/>
          <w:lang w:val="lt-LT"/>
        </w:rPr>
        <w:t xml:space="preserve"> reiškinių profilaktikos naudos santykį (žr. 4.8 ir 5.1 skyrius).</w:t>
      </w:r>
    </w:p>
    <w:p w14:paraId="26D336F8"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Esant klinikinei būtinybei, </w:t>
      </w:r>
      <w:proofErr w:type="spellStart"/>
      <w:r>
        <w:rPr>
          <w:rFonts w:eastAsia="TimesNewRoman"/>
          <w:snapToGrid/>
          <w:szCs w:val="22"/>
          <w:lang w:val="lt-LT"/>
        </w:rPr>
        <w:t>tikagreloro</w:t>
      </w:r>
      <w:proofErr w:type="spellEnd"/>
      <w:r>
        <w:rPr>
          <w:rFonts w:eastAsia="TimesNewRoman"/>
          <w:snapToGrid/>
          <w:szCs w:val="22"/>
          <w:lang w:val="lt-LT"/>
        </w:rPr>
        <w:t xml:space="preserve"> atsargiai skiriama šių grupių pacientams:</w:t>
      </w:r>
    </w:p>
    <w:p w14:paraId="0FF08996" w14:textId="77777777" w:rsidR="009A4BFE" w:rsidRDefault="0051186A">
      <w:pPr>
        <w:numPr>
          <w:ilvl w:val="0"/>
          <w:numId w:val="7"/>
        </w:num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turintiems polinkį kraujuoti (pvz., neseniai patyrusiems traumą, neseniai operuotiems, turintiems </w:t>
      </w:r>
      <w:proofErr w:type="spellStart"/>
      <w:r>
        <w:rPr>
          <w:rFonts w:eastAsia="TimesNewRoman"/>
          <w:snapToGrid/>
          <w:szCs w:val="22"/>
          <w:lang w:val="lt-LT"/>
        </w:rPr>
        <w:t>koaguliacijos</w:t>
      </w:r>
      <w:proofErr w:type="spellEnd"/>
      <w:r>
        <w:rPr>
          <w:rFonts w:eastAsia="TimesNewRoman"/>
          <w:snapToGrid/>
          <w:szCs w:val="22"/>
          <w:lang w:val="lt-LT"/>
        </w:rPr>
        <w:t xml:space="preserve"> sutrikimų, esant ar neseniai buvus kraujavimui iš virškinimo trakto) arba didesnę traumos riziką. Esant aktyviam patologiniam kraujavimui, buvus </w:t>
      </w:r>
      <w:proofErr w:type="spellStart"/>
      <w:r>
        <w:rPr>
          <w:rFonts w:eastAsia="TimesNewRoman"/>
          <w:snapToGrid/>
          <w:szCs w:val="22"/>
          <w:lang w:val="lt-LT"/>
        </w:rPr>
        <w:t>intrakranijiniam</w:t>
      </w:r>
      <w:proofErr w:type="spellEnd"/>
      <w:r>
        <w:rPr>
          <w:rFonts w:eastAsia="TimesNewRoman"/>
          <w:snapToGrid/>
          <w:szCs w:val="22"/>
          <w:lang w:val="lt-LT"/>
        </w:rPr>
        <w:t xml:space="preserve"> kraujavimui arba pacientams, kuriems yra sunkus kepenų funkcijos sutrikimas, </w:t>
      </w:r>
      <w:proofErr w:type="spellStart"/>
      <w:r>
        <w:rPr>
          <w:rFonts w:eastAsia="TimesNewRoman"/>
          <w:snapToGrid/>
          <w:szCs w:val="22"/>
          <w:lang w:val="lt-LT"/>
        </w:rPr>
        <w:t>tikagreloro</w:t>
      </w:r>
      <w:proofErr w:type="spellEnd"/>
      <w:r>
        <w:rPr>
          <w:rFonts w:eastAsia="TimesNewRoman"/>
          <w:snapToGrid/>
          <w:szCs w:val="22"/>
          <w:lang w:val="lt-LT"/>
        </w:rPr>
        <w:t xml:space="preserve"> vartoti negalima (žr. 4.3 skyrių);</w:t>
      </w:r>
    </w:p>
    <w:p w14:paraId="19DAE988" w14:textId="77777777" w:rsidR="009A4BFE" w:rsidRDefault="0051186A">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derinyje vartojantiems vaistinių preparatų, kurie gali didinti kraujavimo riziką, (pvz., nesteroidinių vaistinių preparatų nuo uždegimo (NVPNU), geriamųjų antikoaguliantų ir (arba) </w:t>
      </w:r>
      <w:proofErr w:type="spellStart"/>
      <w:r>
        <w:rPr>
          <w:rFonts w:eastAsia="TimesNewRoman"/>
          <w:snapToGrid/>
          <w:szCs w:val="22"/>
          <w:lang w:val="lt-LT"/>
        </w:rPr>
        <w:t>fibrinolizinių</w:t>
      </w:r>
      <w:proofErr w:type="spellEnd"/>
      <w:r>
        <w:rPr>
          <w:rFonts w:eastAsia="TimesNewRoman"/>
          <w:snapToGrid/>
          <w:szCs w:val="22"/>
          <w:lang w:val="lt-LT"/>
        </w:rPr>
        <w:t xml:space="preserve"> vaistinių preparatų), jei pertrauka tarp jų ir </w:t>
      </w:r>
      <w:proofErr w:type="spellStart"/>
      <w:r>
        <w:rPr>
          <w:rFonts w:eastAsia="TimesNewRoman"/>
          <w:snapToGrid/>
          <w:szCs w:val="22"/>
          <w:lang w:val="lt-LT"/>
        </w:rPr>
        <w:t>tikagreloro</w:t>
      </w:r>
      <w:proofErr w:type="spellEnd"/>
      <w:r>
        <w:rPr>
          <w:rFonts w:eastAsia="TimesNewRoman"/>
          <w:snapToGrid/>
          <w:szCs w:val="22"/>
          <w:lang w:val="lt-LT"/>
        </w:rPr>
        <w:t xml:space="preserve"> vartojimo yra mažesnė kaip 24 val.</w:t>
      </w:r>
    </w:p>
    <w:p w14:paraId="7E3DB60F" w14:textId="77777777" w:rsidR="009A4BFE" w:rsidRPr="0022257B" w:rsidRDefault="009A4BFE">
      <w:pPr>
        <w:tabs>
          <w:tab w:val="clear" w:pos="567"/>
        </w:tabs>
        <w:autoSpaceDE w:val="0"/>
        <w:autoSpaceDN w:val="0"/>
        <w:adjustRightInd w:val="0"/>
        <w:spacing w:line="240" w:lineRule="auto"/>
        <w:rPr>
          <w:lang w:val="lt-LT"/>
        </w:rPr>
      </w:pPr>
    </w:p>
    <w:p w14:paraId="207E4B5F" w14:textId="4E4523C8" w:rsidR="009A4BFE" w:rsidRPr="0022257B" w:rsidRDefault="0051186A">
      <w:pPr>
        <w:tabs>
          <w:tab w:val="clear" w:pos="567"/>
        </w:tabs>
        <w:autoSpaceDE w:val="0"/>
        <w:autoSpaceDN w:val="0"/>
        <w:adjustRightInd w:val="0"/>
        <w:spacing w:line="240" w:lineRule="auto"/>
      </w:pPr>
      <w:proofErr w:type="spellStart"/>
      <w:r w:rsidRPr="0022257B">
        <w:t>Dviejuose</w:t>
      </w:r>
      <w:proofErr w:type="spellEnd"/>
      <w:r w:rsidRPr="0022257B">
        <w:t xml:space="preserve"> </w:t>
      </w:r>
      <w:proofErr w:type="spellStart"/>
      <w:r w:rsidRPr="0022257B">
        <w:t>atsitiktinių</w:t>
      </w:r>
      <w:proofErr w:type="spellEnd"/>
      <w:r w:rsidRPr="0022257B">
        <w:t xml:space="preserve"> </w:t>
      </w:r>
      <w:proofErr w:type="spellStart"/>
      <w:r w:rsidRPr="0022257B">
        <w:t>imčių</w:t>
      </w:r>
      <w:proofErr w:type="spellEnd"/>
      <w:r w:rsidRPr="0022257B">
        <w:t xml:space="preserve"> </w:t>
      </w:r>
      <w:proofErr w:type="spellStart"/>
      <w:r w:rsidRPr="0022257B">
        <w:t>kontroliuojamuose</w:t>
      </w:r>
      <w:proofErr w:type="spellEnd"/>
      <w:r w:rsidRPr="0022257B">
        <w:t xml:space="preserve"> </w:t>
      </w:r>
      <w:proofErr w:type="spellStart"/>
      <w:r w:rsidRPr="0022257B">
        <w:t>tyrimuose</w:t>
      </w:r>
      <w:proofErr w:type="spellEnd"/>
      <w:r w:rsidRPr="0022257B">
        <w:t xml:space="preserve"> (TICO </w:t>
      </w:r>
      <w:proofErr w:type="spellStart"/>
      <w:r w:rsidRPr="0022257B">
        <w:t>ir</w:t>
      </w:r>
      <w:proofErr w:type="spellEnd"/>
      <w:r w:rsidRPr="0022257B">
        <w:t xml:space="preserve"> TWILIGHT) </w:t>
      </w:r>
      <w:proofErr w:type="spellStart"/>
      <w:r w:rsidRPr="0022257B">
        <w:t>dalyvavo</w:t>
      </w:r>
      <w:proofErr w:type="spellEnd"/>
      <w:r w:rsidRPr="0022257B">
        <w:t xml:space="preserve"> ŪKS </w:t>
      </w:r>
      <w:proofErr w:type="spellStart"/>
      <w:r w:rsidRPr="0022257B">
        <w:t>ištikti</w:t>
      </w:r>
      <w:proofErr w:type="spellEnd"/>
      <w:r w:rsidRPr="0022257B">
        <w:t xml:space="preserve"> </w:t>
      </w:r>
      <w:proofErr w:type="spellStart"/>
      <w:r w:rsidRPr="0022257B">
        <w:t>pacientai</w:t>
      </w:r>
      <w:proofErr w:type="spellEnd"/>
      <w:r w:rsidRPr="0022257B">
        <w:t xml:space="preserve">, </w:t>
      </w:r>
      <w:proofErr w:type="spellStart"/>
      <w:r w:rsidRPr="0022257B">
        <w:t>kuriems</w:t>
      </w:r>
      <w:proofErr w:type="spellEnd"/>
      <w:r w:rsidRPr="0022257B">
        <w:t xml:space="preserve"> </w:t>
      </w:r>
      <w:proofErr w:type="spellStart"/>
      <w:r w:rsidRPr="0022257B">
        <w:t>buvo</w:t>
      </w:r>
      <w:proofErr w:type="spellEnd"/>
      <w:r w:rsidRPr="0022257B">
        <w:t xml:space="preserve"> </w:t>
      </w:r>
      <w:proofErr w:type="spellStart"/>
      <w:r w:rsidRPr="0022257B">
        <w:t>atlikta</w:t>
      </w:r>
      <w:proofErr w:type="spellEnd"/>
      <w:r w:rsidRPr="0022257B">
        <w:t xml:space="preserve"> PCI </w:t>
      </w:r>
      <w:proofErr w:type="spellStart"/>
      <w:r w:rsidRPr="0022257B">
        <w:t>įstatant</w:t>
      </w:r>
      <w:proofErr w:type="spellEnd"/>
      <w:r w:rsidRPr="0022257B">
        <w:t xml:space="preserve"> </w:t>
      </w:r>
      <w:proofErr w:type="spellStart"/>
      <w:r w:rsidRPr="0022257B">
        <w:t>vaist</w:t>
      </w:r>
      <w:r w:rsidR="00C16B85" w:rsidRPr="0022257B">
        <w:t>inį</w:t>
      </w:r>
      <w:proofErr w:type="spellEnd"/>
      <w:r w:rsidR="00C16B85" w:rsidRPr="0022257B">
        <w:t xml:space="preserve"> </w:t>
      </w:r>
      <w:proofErr w:type="spellStart"/>
      <w:r w:rsidR="00C16B85" w:rsidRPr="0022257B">
        <w:t>preparatą</w:t>
      </w:r>
      <w:proofErr w:type="spellEnd"/>
      <w:r w:rsidRPr="0022257B">
        <w:t xml:space="preserve"> </w:t>
      </w:r>
      <w:proofErr w:type="spellStart"/>
      <w:r w:rsidRPr="0022257B">
        <w:t>išskiriantį</w:t>
      </w:r>
      <w:proofErr w:type="spellEnd"/>
      <w:r w:rsidRPr="0022257B">
        <w:t xml:space="preserve"> </w:t>
      </w:r>
      <w:proofErr w:type="spellStart"/>
      <w:r w:rsidRPr="0022257B">
        <w:t>stentą</w:t>
      </w:r>
      <w:proofErr w:type="spellEnd"/>
      <w:r w:rsidRPr="0022257B">
        <w:t xml:space="preserve">. </w:t>
      </w:r>
      <w:proofErr w:type="spellStart"/>
      <w:r w:rsidRPr="0022257B">
        <w:t>Šių</w:t>
      </w:r>
      <w:proofErr w:type="spellEnd"/>
      <w:r w:rsidRPr="0022257B">
        <w:t xml:space="preserve"> </w:t>
      </w:r>
      <w:proofErr w:type="spellStart"/>
      <w:r w:rsidRPr="0022257B">
        <w:t>tyrimų</w:t>
      </w:r>
      <w:proofErr w:type="spellEnd"/>
      <w:r w:rsidRPr="0022257B">
        <w:t xml:space="preserve"> </w:t>
      </w:r>
      <w:proofErr w:type="spellStart"/>
      <w:r w:rsidRPr="0022257B">
        <w:t>metu</w:t>
      </w:r>
      <w:proofErr w:type="spellEnd"/>
      <w:r w:rsidRPr="0022257B">
        <w:t xml:space="preserve"> </w:t>
      </w:r>
      <w:proofErr w:type="spellStart"/>
      <w:r w:rsidRPr="0022257B">
        <w:t>nutraukus</w:t>
      </w:r>
      <w:proofErr w:type="spellEnd"/>
      <w:r w:rsidRPr="0022257B">
        <w:t xml:space="preserve"> ASR </w:t>
      </w:r>
      <w:proofErr w:type="spellStart"/>
      <w:r w:rsidRPr="0022257B">
        <w:t>vartojimą</w:t>
      </w:r>
      <w:proofErr w:type="spellEnd"/>
      <w:r w:rsidRPr="0022257B">
        <w:t xml:space="preserve"> po 3 </w:t>
      </w:r>
      <w:proofErr w:type="spellStart"/>
      <w:r w:rsidRPr="0022257B">
        <w:t>mėn</w:t>
      </w:r>
      <w:proofErr w:type="spellEnd"/>
      <w:r w:rsidRPr="0022257B">
        <w:t xml:space="preserve">. </w:t>
      </w:r>
      <w:proofErr w:type="spellStart"/>
      <w:r w:rsidRPr="0022257B">
        <w:t>gydymo</w:t>
      </w:r>
      <w:proofErr w:type="spellEnd"/>
      <w:r w:rsidRPr="0022257B">
        <w:t xml:space="preserve"> </w:t>
      </w:r>
      <w:proofErr w:type="spellStart"/>
      <w:r w:rsidRPr="0022257B">
        <w:t>dviem</w:t>
      </w:r>
      <w:proofErr w:type="spellEnd"/>
      <w:r w:rsidRPr="0022257B">
        <w:t xml:space="preserve"> </w:t>
      </w:r>
      <w:proofErr w:type="spellStart"/>
      <w:r w:rsidRPr="0022257B">
        <w:t>antiagregantais</w:t>
      </w:r>
      <w:proofErr w:type="spellEnd"/>
      <w:r w:rsidRPr="0022257B">
        <w:t xml:space="preserve"> (</w:t>
      </w:r>
      <w:proofErr w:type="spellStart"/>
      <w:r w:rsidRPr="0022257B">
        <w:t>tikagreloru</w:t>
      </w:r>
      <w:proofErr w:type="spellEnd"/>
      <w:r w:rsidRPr="0022257B">
        <w:t xml:space="preserve"> </w:t>
      </w:r>
      <w:proofErr w:type="spellStart"/>
      <w:r w:rsidRPr="0022257B">
        <w:t>ir</w:t>
      </w:r>
      <w:proofErr w:type="spellEnd"/>
      <w:r w:rsidRPr="0022257B">
        <w:t xml:space="preserve"> ASR) </w:t>
      </w:r>
      <w:proofErr w:type="spellStart"/>
      <w:r w:rsidRPr="0022257B">
        <w:t>ir</w:t>
      </w:r>
      <w:proofErr w:type="spellEnd"/>
      <w:r w:rsidRPr="0022257B">
        <w:t xml:space="preserve"> </w:t>
      </w:r>
      <w:proofErr w:type="spellStart"/>
      <w:r w:rsidRPr="0022257B">
        <w:t>toliau</w:t>
      </w:r>
      <w:proofErr w:type="spellEnd"/>
      <w:r w:rsidRPr="0022257B">
        <w:t xml:space="preserve"> </w:t>
      </w:r>
      <w:proofErr w:type="spellStart"/>
      <w:r w:rsidRPr="0022257B">
        <w:t>atitinkamai</w:t>
      </w:r>
      <w:proofErr w:type="spellEnd"/>
      <w:r w:rsidRPr="0022257B">
        <w:t xml:space="preserve"> 9 </w:t>
      </w:r>
      <w:proofErr w:type="spellStart"/>
      <w:r w:rsidRPr="0022257B">
        <w:t>ir</w:t>
      </w:r>
      <w:proofErr w:type="spellEnd"/>
      <w:r w:rsidRPr="0022257B">
        <w:t xml:space="preserve"> 12 </w:t>
      </w:r>
      <w:proofErr w:type="spellStart"/>
      <w:r w:rsidRPr="0022257B">
        <w:t>mėn</w:t>
      </w:r>
      <w:proofErr w:type="spellEnd"/>
      <w:r w:rsidRPr="0022257B">
        <w:t xml:space="preserve">. </w:t>
      </w:r>
      <w:proofErr w:type="spellStart"/>
      <w:r w:rsidRPr="0022257B">
        <w:t>gydžius</w:t>
      </w:r>
      <w:proofErr w:type="spellEnd"/>
      <w:r w:rsidRPr="0022257B">
        <w:t xml:space="preserve"> </w:t>
      </w:r>
      <w:proofErr w:type="spellStart"/>
      <w:r w:rsidRPr="0022257B">
        <w:t>vienu</w:t>
      </w:r>
      <w:proofErr w:type="spellEnd"/>
      <w:r w:rsidRPr="0022257B">
        <w:t xml:space="preserve"> </w:t>
      </w:r>
      <w:proofErr w:type="spellStart"/>
      <w:r w:rsidRPr="0022257B">
        <w:t>antiagregantu</w:t>
      </w:r>
      <w:proofErr w:type="spellEnd"/>
      <w:r w:rsidRPr="0022257B">
        <w:t xml:space="preserve"> </w:t>
      </w:r>
      <w:proofErr w:type="spellStart"/>
      <w:r w:rsidRPr="0022257B">
        <w:t>tikagreloru</w:t>
      </w:r>
      <w:proofErr w:type="spellEnd"/>
      <w:r w:rsidRPr="0022257B">
        <w:t xml:space="preserve"> </w:t>
      </w:r>
      <w:proofErr w:type="spellStart"/>
      <w:r w:rsidRPr="0022257B">
        <w:t>kraujavimo</w:t>
      </w:r>
      <w:proofErr w:type="spellEnd"/>
      <w:r w:rsidRPr="0022257B">
        <w:t xml:space="preserve"> </w:t>
      </w:r>
      <w:proofErr w:type="spellStart"/>
      <w:r w:rsidRPr="0022257B">
        <w:t>rizika</w:t>
      </w:r>
      <w:proofErr w:type="spellEnd"/>
      <w:r w:rsidRPr="0022257B">
        <w:t xml:space="preserve"> </w:t>
      </w:r>
      <w:proofErr w:type="spellStart"/>
      <w:r w:rsidRPr="0022257B">
        <w:t>sumažėjo</w:t>
      </w:r>
      <w:proofErr w:type="spellEnd"/>
      <w:r w:rsidRPr="0022257B">
        <w:t xml:space="preserve">, o </w:t>
      </w:r>
      <w:proofErr w:type="spellStart"/>
      <w:r w:rsidRPr="0022257B">
        <w:t>didžiųjų</w:t>
      </w:r>
      <w:proofErr w:type="spellEnd"/>
      <w:r w:rsidRPr="0022257B">
        <w:t xml:space="preserve"> </w:t>
      </w:r>
      <w:proofErr w:type="spellStart"/>
      <w:r w:rsidRPr="0022257B">
        <w:t>kardiovaskulinių</w:t>
      </w:r>
      <w:proofErr w:type="spellEnd"/>
      <w:r w:rsidRPr="0022257B">
        <w:t xml:space="preserve"> </w:t>
      </w:r>
      <w:proofErr w:type="spellStart"/>
      <w:r w:rsidRPr="0022257B">
        <w:t>komplikacijų</w:t>
      </w:r>
      <w:proofErr w:type="spellEnd"/>
      <w:r w:rsidRPr="0022257B">
        <w:t xml:space="preserve"> (</w:t>
      </w:r>
      <w:proofErr w:type="spellStart"/>
      <w:r w:rsidRPr="0022257B">
        <w:t>angl.</w:t>
      </w:r>
      <w:proofErr w:type="spellEnd"/>
      <w:r w:rsidRPr="0022257B">
        <w:t xml:space="preserve"> </w:t>
      </w:r>
      <w:r w:rsidRPr="0022257B">
        <w:rPr>
          <w:i/>
        </w:rPr>
        <w:t>major adverse cardiovascular events</w:t>
      </w:r>
      <w:r w:rsidRPr="0022257B">
        <w:t xml:space="preserve">, MACE) </w:t>
      </w:r>
      <w:proofErr w:type="spellStart"/>
      <w:r w:rsidRPr="0022257B">
        <w:t>rizika</w:t>
      </w:r>
      <w:proofErr w:type="spellEnd"/>
      <w:r w:rsidRPr="0022257B">
        <w:t xml:space="preserve"> </w:t>
      </w:r>
      <w:proofErr w:type="spellStart"/>
      <w:r w:rsidRPr="0022257B">
        <w:t>nebuvo</w:t>
      </w:r>
      <w:proofErr w:type="spellEnd"/>
      <w:r w:rsidRPr="0022257B">
        <w:t xml:space="preserve"> </w:t>
      </w:r>
      <w:proofErr w:type="spellStart"/>
      <w:r w:rsidRPr="0022257B">
        <w:t>didesnė</w:t>
      </w:r>
      <w:proofErr w:type="spellEnd"/>
      <w:r w:rsidRPr="0022257B">
        <w:t xml:space="preserve"> </w:t>
      </w:r>
      <w:proofErr w:type="spellStart"/>
      <w:r w:rsidRPr="0022257B">
        <w:t>negu</w:t>
      </w:r>
      <w:proofErr w:type="spellEnd"/>
      <w:r w:rsidRPr="0022257B">
        <w:t xml:space="preserve"> </w:t>
      </w:r>
      <w:proofErr w:type="spellStart"/>
      <w:r w:rsidRPr="0022257B">
        <w:t>tęsiant</w:t>
      </w:r>
      <w:proofErr w:type="spellEnd"/>
      <w:r w:rsidRPr="0022257B">
        <w:t xml:space="preserve"> </w:t>
      </w:r>
      <w:proofErr w:type="spellStart"/>
      <w:r w:rsidRPr="0022257B">
        <w:t>gydymą</w:t>
      </w:r>
      <w:proofErr w:type="spellEnd"/>
      <w:r w:rsidRPr="0022257B">
        <w:t xml:space="preserve"> </w:t>
      </w:r>
      <w:proofErr w:type="spellStart"/>
      <w:r w:rsidRPr="0022257B">
        <w:t>dviem</w:t>
      </w:r>
      <w:proofErr w:type="spellEnd"/>
      <w:r w:rsidRPr="0022257B">
        <w:t xml:space="preserve"> </w:t>
      </w:r>
      <w:proofErr w:type="spellStart"/>
      <w:r w:rsidRPr="0022257B">
        <w:t>antiagregantais</w:t>
      </w:r>
      <w:proofErr w:type="spellEnd"/>
      <w:r w:rsidRPr="0022257B">
        <w:t xml:space="preserve">. </w:t>
      </w:r>
      <w:proofErr w:type="spellStart"/>
      <w:r w:rsidRPr="0022257B">
        <w:t>Esant</w:t>
      </w:r>
      <w:proofErr w:type="spellEnd"/>
      <w:r w:rsidRPr="0022257B">
        <w:t xml:space="preserve"> </w:t>
      </w:r>
      <w:proofErr w:type="spellStart"/>
      <w:r w:rsidRPr="0022257B">
        <w:t>padidėjusiai</w:t>
      </w:r>
      <w:proofErr w:type="spellEnd"/>
      <w:r w:rsidRPr="0022257B">
        <w:t xml:space="preserve"> </w:t>
      </w:r>
      <w:proofErr w:type="spellStart"/>
      <w:r w:rsidRPr="0022257B">
        <w:t>kraujavimo</w:t>
      </w:r>
      <w:proofErr w:type="spellEnd"/>
      <w:r w:rsidRPr="0022257B">
        <w:t xml:space="preserve"> </w:t>
      </w:r>
      <w:proofErr w:type="spellStart"/>
      <w:r w:rsidRPr="0022257B">
        <w:t>rizikai</w:t>
      </w:r>
      <w:proofErr w:type="spellEnd"/>
      <w:r w:rsidRPr="0022257B">
        <w:t xml:space="preserve">, </w:t>
      </w:r>
      <w:proofErr w:type="spellStart"/>
      <w:r w:rsidRPr="0022257B">
        <w:t>sprendimas</w:t>
      </w:r>
      <w:proofErr w:type="spellEnd"/>
      <w:r w:rsidRPr="0022257B">
        <w:t xml:space="preserve"> </w:t>
      </w:r>
      <w:proofErr w:type="spellStart"/>
      <w:r w:rsidRPr="0022257B">
        <w:t>nutraukti</w:t>
      </w:r>
      <w:proofErr w:type="spellEnd"/>
      <w:r w:rsidRPr="0022257B">
        <w:t xml:space="preserve"> </w:t>
      </w:r>
      <w:proofErr w:type="spellStart"/>
      <w:r w:rsidRPr="0022257B">
        <w:t>gydymą</w:t>
      </w:r>
      <w:proofErr w:type="spellEnd"/>
      <w:r w:rsidRPr="0022257B">
        <w:t xml:space="preserve"> ASR po 3 </w:t>
      </w:r>
      <w:proofErr w:type="spellStart"/>
      <w:r w:rsidRPr="0022257B">
        <w:t>mėn</w:t>
      </w:r>
      <w:proofErr w:type="spellEnd"/>
      <w:r w:rsidRPr="0022257B">
        <w:t xml:space="preserve">. </w:t>
      </w:r>
      <w:proofErr w:type="spellStart"/>
      <w:r w:rsidRPr="0022257B">
        <w:t>ir</w:t>
      </w:r>
      <w:proofErr w:type="spellEnd"/>
      <w:r w:rsidRPr="0022257B">
        <w:t xml:space="preserve"> </w:t>
      </w:r>
      <w:proofErr w:type="spellStart"/>
      <w:r w:rsidRPr="0022257B">
        <w:t>toliau</w:t>
      </w:r>
      <w:proofErr w:type="spellEnd"/>
      <w:r w:rsidRPr="0022257B">
        <w:t xml:space="preserve"> 9 </w:t>
      </w:r>
      <w:proofErr w:type="spellStart"/>
      <w:r w:rsidRPr="0022257B">
        <w:t>mėn</w:t>
      </w:r>
      <w:proofErr w:type="spellEnd"/>
      <w:r w:rsidRPr="0022257B">
        <w:t xml:space="preserve">. </w:t>
      </w:r>
      <w:proofErr w:type="spellStart"/>
      <w:r w:rsidRPr="0022257B">
        <w:t>vartoti</w:t>
      </w:r>
      <w:proofErr w:type="spellEnd"/>
      <w:r w:rsidRPr="0022257B">
        <w:t xml:space="preserve"> </w:t>
      </w:r>
      <w:proofErr w:type="spellStart"/>
      <w:r w:rsidRPr="0022257B">
        <w:t>vienintelį</w:t>
      </w:r>
      <w:proofErr w:type="spellEnd"/>
      <w:r w:rsidRPr="0022257B">
        <w:t xml:space="preserve"> </w:t>
      </w:r>
      <w:proofErr w:type="spellStart"/>
      <w:r w:rsidRPr="0022257B">
        <w:t>antiagregantą</w:t>
      </w:r>
      <w:proofErr w:type="spellEnd"/>
      <w:r w:rsidRPr="0022257B">
        <w:t xml:space="preserve"> – </w:t>
      </w:r>
      <w:proofErr w:type="spellStart"/>
      <w:r w:rsidRPr="0022257B">
        <w:t>tikagrelorą</w:t>
      </w:r>
      <w:proofErr w:type="spellEnd"/>
      <w:r w:rsidRPr="0022257B">
        <w:t xml:space="preserve"> </w:t>
      </w:r>
      <w:proofErr w:type="spellStart"/>
      <w:r w:rsidRPr="0022257B">
        <w:t>turi</w:t>
      </w:r>
      <w:proofErr w:type="spellEnd"/>
      <w:r w:rsidRPr="0022257B">
        <w:t xml:space="preserve"> </w:t>
      </w:r>
      <w:proofErr w:type="spellStart"/>
      <w:r w:rsidRPr="0022257B">
        <w:t>būti</w:t>
      </w:r>
      <w:proofErr w:type="spellEnd"/>
      <w:r w:rsidRPr="0022257B">
        <w:t xml:space="preserve"> </w:t>
      </w:r>
      <w:proofErr w:type="spellStart"/>
      <w:r w:rsidRPr="0022257B">
        <w:t>pagrįstas</w:t>
      </w:r>
      <w:proofErr w:type="spellEnd"/>
      <w:r w:rsidRPr="0022257B">
        <w:t xml:space="preserve"> </w:t>
      </w:r>
      <w:proofErr w:type="spellStart"/>
      <w:r w:rsidRPr="0022257B">
        <w:t>klinikiniu</w:t>
      </w:r>
      <w:proofErr w:type="spellEnd"/>
      <w:r w:rsidRPr="0022257B">
        <w:t xml:space="preserve"> </w:t>
      </w:r>
      <w:proofErr w:type="spellStart"/>
      <w:r w:rsidRPr="0022257B">
        <w:t>vertinimu</w:t>
      </w:r>
      <w:proofErr w:type="spellEnd"/>
      <w:r w:rsidRPr="0022257B">
        <w:t xml:space="preserve">, </w:t>
      </w:r>
      <w:proofErr w:type="spellStart"/>
      <w:r w:rsidRPr="0022257B">
        <w:t>atsižvelgiant</w:t>
      </w:r>
      <w:proofErr w:type="spellEnd"/>
      <w:r w:rsidRPr="0022257B">
        <w:t xml:space="preserve"> į </w:t>
      </w:r>
      <w:proofErr w:type="spellStart"/>
      <w:r w:rsidRPr="0022257B">
        <w:t>kraujavimo</w:t>
      </w:r>
      <w:proofErr w:type="spellEnd"/>
      <w:r w:rsidRPr="0022257B">
        <w:t xml:space="preserve"> </w:t>
      </w:r>
      <w:proofErr w:type="spellStart"/>
      <w:r w:rsidRPr="0022257B">
        <w:t>ir</w:t>
      </w:r>
      <w:proofErr w:type="spellEnd"/>
      <w:r w:rsidRPr="0022257B">
        <w:t xml:space="preserve"> </w:t>
      </w:r>
      <w:proofErr w:type="spellStart"/>
      <w:r w:rsidRPr="0022257B">
        <w:t>trombozinių</w:t>
      </w:r>
      <w:proofErr w:type="spellEnd"/>
      <w:r w:rsidRPr="0022257B">
        <w:t xml:space="preserve"> </w:t>
      </w:r>
      <w:proofErr w:type="spellStart"/>
      <w:r w:rsidRPr="0022257B">
        <w:t>reiškinių</w:t>
      </w:r>
      <w:proofErr w:type="spellEnd"/>
      <w:r w:rsidRPr="0022257B">
        <w:t xml:space="preserve"> </w:t>
      </w:r>
      <w:proofErr w:type="spellStart"/>
      <w:r w:rsidRPr="0022257B">
        <w:t>riziką</w:t>
      </w:r>
      <w:proofErr w:type="spellEnd"/>
      <w:r w:rsidRPr="0022257B">
        <w:t xml:space="preserve"> (</w:t>
      </w:r>
      <w:proofErr w:type="spellStart"/>
      <w:r w:rsidRPr="0022257B">
        <w:t>žr</w:t>
      </w:r>
      <w:proofErr w:type="spellEnd"/>
      <w:r w:rsidRPr="0022257B">
        <w:t xml:space="preserve">. 4.2 </w:t>
      </w:r>
      <w:proofErr w:type="spellStart"/>
      <w:r w:rsidRPr="0022257B">
        <w:t>skyrių</w:t>
      </w:r>
      <w:proofErr w:type="spellEnd"/>
      <w:r w:rsidRPr="0022257B">
        <w:t>).</w:t>
      </w:r>
    </w:p>
    <w:p w14:paraId="281E40F9"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BAF528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Trombocitų transfuzija nepašalino </w:t>
      </w:r>
      <w:proofErr w:type="spellStart"/>
      <w:r>
        <w:rPr>
          <w:rFonts w:eastAsia="TimesNewRoman"/>
          <w:snapToGrid/>
          <w:szCs w:val="22"/>
          <w:lang w:val="lt-LT"/>
        </w:rPr>
        <w:t>antitrombocitinio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poveikio sveikiems savanoriams ir neturi būti kliniškai naudinga pacientams kraujavimo metu.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vartojamas </w:t>
      </w:r>
      <w:proofErr w:type="spellStart"/>
      <w:r>
        <w:rPr>
          <w:rFonts w:eastAsia="TimesNewRoman"/>
          <w:snapToGrid/>
          <w:szCs w:val="22"/>
          <w:lang w:val="lt-LT"/>
        </w:rPr>
        <w:t>desmopresinas</w:t>
      </w:r>
      <w:proofErr w:type="spellEnd"/>
      <w:r>
        <w:rPr>
          <w:rFonts w:eastAsia="TimesNewRoman"/>
          <w:snapToGrid/>
          <w:szCs w:val="22"/>
          <w:lang w:val="lt-LT"/>
        </w:rPr>
        <w:t xml:space="preserve"> nesutrumpino modelinės kraujavimo trukmės, todėl </w:t>
      </w:r>
      <w:proofErr w:type="spellStart"/>
      <w:r>
        <w:rPr>
          <w:rFonts w:eastAsia="TimesNewRoman"/>
          <w:snapToGrid/>
          <w:szCs w:val="22"/>
          <w:lang w:val="lt-LT"/>
        </w:rPr>
        <w:t>desmopresinas</w:t>
      </w:r>
      <w:proofErr w:type="spellEnd"/>
      <w:r>
        <w:rPr>
          <w:rFonts w:eastAsia="TimesNewRoman"/>
          <w:snapToGrid/>
          <w:szCs w:val="22"/>
          <w:lang w:val="lt-LT"/>
        </w:rPr>
        <w:t xml:space="preserve"> klinikiniams kraujavimo reiškiniams gydyti neturi būti veiksmingas (žr. 4.5 skyrių).</w:t>
      </w:r>
    </w:p>
    <w:p w14:paraId="7FFE8046"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18BFF3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Hemostazę gali skatinti </w:t>
      </w:r>
      <w:proofErr w:type="spellStart"/>
      <w:r>
        <w:rPr>
          <w:rFonts w:eastAsia="TimesNewRoman"/>
          <w:snapToGrid/>
          <w:szCs w:val="22"/>
          <w:lang w:val="lt-LT"/>
        </w:rPr>
        <w:t>antifibrinoliziniai</w:t>
      </w:r>
      <w:proofErr w:type="spellEnd"/>
      <w:r>
        <w:rPr>
          <w:rFonts w:eastAsia="TimesNewRoman"/>
          <w:snapToGrid/>
          <w:szCs w:val="22"/>
          <w:lang w:val="lt-LT"/>
        </w:rPr>
        <w:t xml:space="preserve"> vaistiniai preparatai (</w:t>
      </w:r>
      <w:proofErr w:type="spellStart"/>
      <w:r>
        <w:rPr>
          <w:rFonts w:eastAsia="TimesNewRoman"/>
          <w:snapToGrid/>
          <w:szCs w:val="22"/>
          <w:lang w:val="lt-LT"/>
        </w:rPr>
        <w:t>aminokaprono</w:t>
      </w:r>
      <w:proofErr w:type="spellEnd"/>
      <w:r>
        <w:rPr>
          <w:rFonts w:eastAsia="TimesNewRoman"/>
          <w:snapToGrid/>
          <w:szCs w:val="22"/>
          <w:lang w:val="lt-LT"/>
        </w:rPr>
        <w:t xml:space="preserve"> rūgštis ar </w:t>
      </w:r>
      <w:proofErr w:type="spellStart"/>
      <w:r>
        <w:rPr>
          <w:rFonts w:eastAsia="TimesNewRoman"/>
          <w:snapToGrid/>
          <w:szCs w:val="22"/>
          <w:lang w:val="lt-LT"/>
        </w:rPr>
        <w:t>traneksamo</w:t>
      </w:r>
      <w:proofErr w:type="spellEnd"/>
      <w:r>
        <w:rPr>
          <w:rFonts w:eastAsia="TimesNewRoman"/>
          <w:snapToGrid/>
          <w:szCs w:val="22"/>
          <w:lang w:val="lt-LT"/>
        </w:rPr>
        <w:t xml:space="preserve"> rūgštis) ir (arba) </w:t>
      </w:r>
      <w:proofErr w:type="spellStart"/>
      <w:r>
        <w:rPr>
          <w:rFonts w:eastAsia="TimesNewRoman"/>
          <w:snapToGrid/>
          <w:szCs w:val="22"/>
          <w:lang w:val="lt-LT"/>
        </w:rPr>
        <w:t>rekombinantinis</w:t>
      </w:r>
      <w:proofErr w:type="spellEnd"/>
      <w:r>
        <w:rPr>
          <w:rFonts w:eastAsia="TimesNewRoman"/>
          <w:snapToGrid/>
          <w:szCs w:val="22"/>
          <w:lang w:val="lt-LT"/>
        </w:rPr>
        <w:t xml:space="preserve"> </w:t>
      </w:r>
      <w:proofErr w:type="spellStart"/>
      <w:r>
        <w:rPr>
          <w:rFonts w:eastAsia="TimesNewRoman"/>
          <w:snapToGrid/>
          <w:szCs w:val="22"/>
          <w:lang w:val="lt-LT"/>
        </w:rPr>
        <w:t>VIIa</w:t>
      </w:r>
      <w:proofErr w:type="spellEnd"/>
      <w:r>
        <w:rPr>
          <w:rFonts w:eastAsia="TimesNewRoman"/>
          <w:snapToGrid/>
          <w:szCs w:val="22"/>
          <w:lang w:val="lt-LT"/>
        </w:rPr>
        <w:t xml:space="preserve"> faktorius. </w:t>
      </w:r>
      <w:proofErr w:type="spellStart"/>
      <w:r>
        <w:rPr>
          <w:rFonts w:eastAsia="TimesNewRoman"/>
          <w:snapToGrid/>
          <w:szCs w:val="22"/>
          <w:lang w:val="lt-LT"/>
        </w:rPr>
        <w:t>Tikagrelorą</w:t>
      </w:r>
      <w:proofErr w:type="spellEnd"/>
      <w:r>
        <w:rPr>
          <w:rFonts w:eastAsia="TimesNewRoman"/>
          <w:snapToGrid/>
          <w:szCs w:val="22"/>
          <w:lang w:val="lt-LT"/>
        </w:rPr>
        <w:t xml:space="preserve"> galima vėl pradėti vartoti nustačius kraujavimo priežastį ir jį sustabdžius.</w:t>
      </w:r>
    </w:p>
    <w:p w14:paraId="52CA5ECF"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8A3FAC6"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Operacijos</w:t>
      </w:r>
    </w:p>
    <w:p w14:paraId="05D8540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Pacientams reikia pasakyti, kad informuotų gydytoją ar odontologą apie </w:t>
      </w:r>
      <w:proofErr w:type="spellStart"/>
      <w:r>
        <w:rPr>
          <w:rFonts w:eastAsia="TimesNewRoman"/>
          <w:snapToGrid/>
          <w:szCs w:val="22"/>
          <w:lang w:val="lt-LT"/>
        </w:rPr>
        <w:t>tikagreloro</w:t>
      </w:r>
      <w:proofErr w:type="spellEnd"/>
      <w:r>
        <w:rPr>
          <w:rFonts w:eastAsia="TimesNewRoman"/>
          <w:snapToGrid/>
          <w:szCs w:val="22"/>
          <w:lang w:val="lt-LT"/>
        </w:rPr>
        <w:t xml:space="preserve"> vartojimą prieš atliekant bet kokią operaciją ir prieš pradedant kokio nors kito vaistinio preparato vartojimą.</w:t>
      </w:r>
    </w:p>
    <w:p w14:paraId="571C38B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0B8390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metu nutraukus </w:t>
      </w:r>
      <w:proofErr w:type="spellStart"/>
      <w:r>
        <w:rPr>
          <w:rFonts w:eastAsia="TimesNewRoman"/>
          <w:snapToGrid/>
          <w:szCs w:val="22"/>
          <w:lang w:val="lt-LT"/>
        </w:rPr>
        <w:t>tikagreloro</w:t>
      </w:r>
      <w:proofErr w:type="spellEnd"/>
      <w:r>
        <w:rPr>
          <w:rFonts w:eastAsia="TimesNewRoman"/>
          <w:snapToGrid/>
          <w:szCs w:val="22"/>
          <w:lang w:val="lt-LT"/>
        </w:rPr>
        <w:t xml:space="preserve"> vartojimą paskutinę parą prieš šuntuojant koronarines arterijas, didysis kraujavimas prasidėdavo dažniau negu nutraukus </w:t>
      </w:r>
      <w:proofErr w:type="spellStart"/>
      <w:r>
        <w:rPr>
          <w:rFonts w:eastAsia="TimesNewRoman"/>
          <w:snapToGrid/>
          <w:szCs w:val="22"/>
          <w:lang w:val="lt-LT"/>
        </w:rPr>
        <w:t>klopidogrelį</w:t>
      </w:r>
      <w:proofErr w:type="spellEnd"/>
      <w:r>
        <w:rPr>
          <w:rFonts w:eastAsia="TimesNewRoman"/>
          <w:snapToGrid/>
          <w:szCs w:val="22"/>
          <w:lang w:val="lt-LT"/>
        </w:rPr>
        <w:t xml:space="preserve">, o nutraukus jį likus 2 paroms ar daugiau – tokiu pačiu dažnumu, kaip nutraukus </w:t>
      </w:r>
      <w:proofErr w:type="spellStart"/>
      <w:r>
        <w:rPr>
          <w:rFonts w:eastAsia="TimesNewRoman"/>
          <w:snapToGrid/>
          <w:szCs w:val="22"/>
          <w:lang w:val="lt-LT"/>
        </w:rPr>
        <w:t>klopidogrelio</w:t>
      </w:r>
      <w:proofErr w:type="spellEnd"/>
      <w:r>
        <w:rPr>
          <w:rFonts w:eastAsia="TimesNewRoman"/>
          <w:snapToGrid/>
          <w:szCs w:val="22"/>
          <w:lang w:val="lt-LT"/>
        </w:rPr>
        <w:t xml:space="preserve"> vartojimą (žr. 4.8 skyrių). Jei pacientas ruošiamas planinei operacijai ir </w:t>
      </w:r>
      <w:proofErr w:type="spellStart"/>
      <w:r>
        <w:rPr>
          <w:rFonts w:eastAsia="TimesNewRoman"/>
          <w:snapToGrid/>
          <w:szCs w:val="22"/>
          <w:lang w:val="lt-LT"/>
        </w:rPr>
        <w:t>antitrombocitinis</w:t>
      </w:r>
      <w:proofErr w:type="spellEnd"/>
      <w:r>
        <w:rPr>
          <w:rFonts w:eastAsia="TimesNewRoman"/>
          <w:snapToGrid/>
          <w:szCs w:val="22"/>
          <w:lang w:val="lt-LT"/>
        </w:rPr>
        <w:t xml:space="preserve"> poveikis yra nepageidaujamas, </w:t>
      </w:r>
      <w:proofErr w:type="spellStart"/>
      <w:r>
        <w:rPr>
          <w:rFonts w:eastAsia="TimesNewRoman"/>
          <w:snapToGrid/>
          <w:szCs w:val="22"/>
          <w:lang w:val="lt-LT"/>
        </w:rPr>
        <w:t>tikagreloro</w:t>
      </w:r>
      <w:proofErr w:type="spellEnd"/>
      <w:r>
        <w:rPr>
          <w:rFonts w:eastAsia="TimesNewRoman"/>
          <w:snapToGrid/>
          <w:szCs w:val="22"/>
          <w:lang w:val="lt-LT"/>
        </w:rPr>
        <w:t xml:space="preserve"> vartojimą reikia nutraukti likus 5 paroms iki operacijos (žr. 5.1 skyrių).</w:t>
      </w:r>
    </w:p>
    <w:p w14:paraId="6670304F"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8FA293A"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Pacientams, anksčiau patyrusiems išeminį insultą</w:t>
      </w:r>
    </w:p>
    <w:p w14:paraId="300C90CE"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duomenimis, ŪKS sergantys pacientai, anksčiau patyrę išeminį insultą, </w:t>
      </w:r>
      <w:proofErr w:type="spellStart"/>
      <w:r>
        <w:rPr>
          <w:rFonts w:eastAsia="TimesNewRoman"/>
          <w:snapToGrid/>
          <w:szCs w:val="22"/>
          <w:lang w:val="lt-LT"/>
        </w:rPr>
        <w:t>tikagreloru</w:t>
      </w:r>
      <w:proofErr w:type="spellEnd"/>
      <w:r>
        <w:rPr>
          <w:rFonts w:eastAsia="TimesNewRoman"/>
          <w:snapToGrid/>
          <w:szCs w:val="22"/>
          <w:lang w:val="lt-LT"/>
        </w:rPr>
        <w:t xml:space="preserve"> gali būti gydomi iki 12 mėn.</w:t>
      </w:r>
    </w:p>
    <w:p w14:paraId="6D1BF6B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Į PEGASUS tyrimą nebuvo įtraukta pacientų, anksčiau patyrusių ne tik MI, bet ir išeminį insultą, todėl nesant duomenų, tokiems pacientams taikyti gydymą ilgiau kaip 1 metus nerekomenduojama.</w:t>
      </w:r>
    </w:p>
    <w:p w14:paraId="64D3C58E"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B4ED019"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Sutrikusi kepenų funkcija</w:t>
      </w:r>
    </w:p>
    <w:p w14:paraId="09921E0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Pacientams, kuriems yra sunkus kepenų funkcijos sutrikimas, </w:t>
      </w:r>
      <w:proofErr w:type="spellStart"/>
      <w:r>
        <w:rPr>
          <w:rFonts w:eastAsia="TimesNewRoman"/>
          <w:snapToGrid/>
          <w:szCs w:val="22"/>
          <w:lang w:val="lt-LT"/>
        </w:rPr>
        <w:t>tikagreloro</w:t>
      </w:r>
      <w:proofErr w:type="spellEnd"/>
      <w:r>
        <w:rPr>
          <w:rFonts w:eastAsia="TimesNewRoman"/>
          <w:snapToGrid/>
          <w:szCs w:val="22"/>
          <w:lang w:val="lt-LT"/>
        </w:rPr>
        <w:t xml:space="preserve"> vartoti negalima (žr. 4.2 ir 4.3 skyrius). </w:t>
      </w:r>
      <w:proofErr w:type="spellStart"/>
      <w:r>
        <w:rPr>
          <w:rFonts w:eastAsia="TimesNewRoman"/>
          <w:snapToGrid/>
          <w:szCs w:val="22"/>
          <w:lang w:val="lt-LT"/>
        </w:rPr>
        <w:t>Tikagreloro</w:t>
      </w:r>
      <w:proofErr w:type="spellEnd"/>
      <w:r>
        <w:rPr>
          <w:rFonts w:eastAsia="TimesNewRoman"/>
          <w:snapToGrid/>
          <w:szCs w:val="22"/>
          <w:lang w:val="lt-LT"/>
        </w:rPr>
        <w:t xml:space="preserve"> vartojimo pacientams, kuriems yra vidutinio sunkumo kepenų funkcijos sutrikimas, duomenų yra nedaug, todėl jiems patartinos atsargumo priemonės (žr. 4.2 ir 5.2 skyrius).</w:t>
      </w:r>
    </w:p>
    <w:p w14:paraId="4597EA29"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FFEF006"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lastRenderedPageBreak/>
        <w:t>Pacientai, kuriems yra bradikardijos reiškinių rizika</w:t>
      </w:r>
    </w:p>
    <w:p w14:paraId="224AFAC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tikagrelorą</w:t>
      </w:r>
      <w:proofErr w:type="spellEnd"/>
      <w:r>
        <w:rPr>
          <w:rFonts w:eastAsia="TimesNewRoman"/>
          <w:snapToGrid/>
          <w:szCs w:val="22"/>
          <w:lang w:val="lt-LT"/>
        </w:rPr>
        <w:t xml:space="preserve">, </w:t>
      </w:r>
      <w:proofErr w:type="spellStart"/>
      <w:r>
        <w:rPr>
          <w:rFonts w:eastAsia="TimesNewRoman"/>
          <w:snapToGrid/>
          <w:szCs w:val="22"/>
          <w:lang w:val="lt-LT"/>
        </w:rPr>
        <w:t>Holter</w:t>
      </w:r>
      <w:proofErr w:type="spellEnd"/>
      <w:r>
        <w:rPr>
          <w:rFonts w:eastAsia="TimesNewRoman"/>
          <w:snapToGrid/>
          <w:szCs w:val="22"/>
          <w:lang w:val="lt-LT"/>
        </w:rPr>
        <w:t xml:space="preserve"> EKG stebėjimo prietaisu skilvelių veiklos pauzių EKG (dauguma atvejų be simptomų) užregistruota dažniau negu vartojant </w:t>
      </w:r>
      <w:proofErr w:type="spellStart"/>
      <w:r>
        <w:rPr>
          <w:rFonts w:eastAsia="TimesNewRoman"/>
          <w:snapToGrid/>
          <w:szCs w:val="22"/>
          <w:lang w:val="lt-LT"/>
        </w:rPr>
        <w:t>klopidogrelį</w:t>
      </w:r>
      <w:proofErr w:type="spellEnd"/>
      <w:r>
        <w:rPr>
          <w:rFonts w:eastAsia="TimesNewRoman"/>
          <w:snapToGrid/>
          <w:szCs w:val="22"/>
          <w:lang w:val="lt-LT"/>
        </w:rPr>
        <w:t xml:space="preserve">. Į pagrindinius </w:t>
      </w:r>
      <w:proofErr w:type="spellStart"/>
      <w:r>
        <w:rPr>
          <w:rFonts w:eastAsia="TimesNewRoman"/>
          <w:snapToGrid/>
          <w:szCs w:val="22"/>
          <w:lang w:val="lt-LT"/>
        </w:rPr>
        <w:t>tikagreloro</w:t>
      </w:r>
      <w:proofErr w:type="spellEnd"/>
      <w:r>
        <w:rPr>
          <w:rFonts w:eastAsia="TimesNewRoman"/>
          <w:snapToGrid/>
          <w:szCs w:val="22"/>
          <w:lang w:val="lt-LT"/>
        </w:rPr>
        <w:t xml:space="preserve"> saugumo ir veiksmingumo tyrimus nebuvo įtraukta pacientų, kuriems </w:t>
      </w:r>
      <w:proofErr w:type="spellStart"/>
      <w:r>
        <w:rPr>
          <w:rFonts w:eastAsia="TimesNewRoman"/>
          <w:snapToGrid/>
          <w:szCs w:val="22"/>
          <w:lang w:val="lt-LT"/>
        </w:rPr>
        <w:t>bradikardinių</w:t>
      </w:r>
      <w:proofErr w:type="spellEnd"/>
      <w:r>
        <w:rPr>
          <w:rFonts w:eastAsia="TimesNewRoman"/>
          <w:snapToGrid/>
          <w:szCs w:val="22"/>
          <w:lang w:val="lt-LT"/>
        </w:rPr>
        <w:t xml:space="preserve"> reiškinių rizika buvo didesnė (pvz., pacientai be širdies stimuliatoriaus, kuriems yra sinusinio mazgo silpnumo sindromas, antro ar trečio laipsnio </w:t>
      </w:r>
      <w:proofErr w:type="spellStart"/>
      <w:r>
        <w:rPr>
          <w:rFonts w:eastAsia="TimesNewRoman"/>
          <w:snapToGrid/>
          <w:szCs w:val="22"/>
          <w:lang w:val="lt-LT"/>
        </w:rPr>
        <w:t>atrioventrikulinė</w:t>
      </w:r>
      <w:proofErr w:type="spellEnd"/>
      <w:r>
        <w:rPr>
          <w:rFonts w:eastAsia="TimesNewRoman"/>
          <w:snapToGrid/>
          <w:szCs w:val="22"/>
          <w:lang w:val="lt-LT"/>
        </w:rPr>
        <w:t xml:space="preserve"> blokada arba būna su bradikardija susijusi sinkopė). Atsižvelgiant į tai, dėl ribotos klinikinės patirties tokiems pacientams </w:t>
      </w:r>
      <w:proofErr w:type="spellStart"/>
      <w:r>
        <w:rPr>
          <w:rFonts w:eastAsia="TimesNewRoman"/>
          <w:snapToGrid/>
          <w:szCs w:val="22"/>
          <w:lang w:val="lt-LT"/>
        </w:rPr>
        <w:t>tikagreloro</w:t>
      </w:r>
      <w:proofErr w:type="spellEnd"/>
      <w:r>
        <w:rPr>
          <w:rFonts w:eastAsia="TimesNewRoman"/>
          <w:snapToGrid/>
          <w:szCs w:val="22"/>
          <w:lang w:val="lt-LT"/>
        </w:rPr>
        <w:t xml:space="preserve"> turi būti skiriama atsargiai (žr. 5.1 skyrių).</w:t>
      </w:r>
    </w:p>
    <w:p w14:paraId="3184AEF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4A3821E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w:t>
      </w:r>
      <w:proofErr w:type="spellStart"/>
      <w:r>
        <w:rPr>
          <w:rFonts w:eastAsia="TimesNewRoman"/>
          <w:snapToGrid/>
          <w:szCs w:val="22"/>
          <w:lang w:val="lt-LT"/>
        </w:rPr>
        <w:t>tikagreloro</w:t>
      </w:r>
      <w:proofErr w:type="spellEnd"/>
      <w:r>
        <w:rPr>
          <w:rFonts w:eastAsia="TimesNewRoman"/>
          <w:snapToGrid/>
          <w:szCs w:val="22"/>
          <w:lang w:val="lt-LT"/>
        </w:rPr>
        <w:t xml:space="preserve"> atsargiai skiriama derinyje su bradikardiją sukeliančiais vaistiniais preparatais. Vis dėlto PLATO tyrimo metu derinyje vartojus vieno ar kelių bradikardiją sukeliančių vaistinių preparatų (pvz., 96 % pacientų vartojo beta </w:t>
      </w:r>
      <w:proofErr w:type="spellStart"/>
      <w:r>
        <w:rPr>
          <w:rFonts w:eastAsia="TimesNewRoman"/>
          <w:snapToGrid/>
          <w:szCs w:val="22"/>
          <w:lang w:val="lt-LT"/>
        </w:rPr>
        <w:t>adrenoblokatorių</w:t>
      </w:r>
      <w:proofErr w:type="spellEnd"/>
      <w:r>
        <w:rPr>
          <w:rFonts w:eastAsia="TimesNewRoman"/>
          <w:snapToGrid/>
          <w:szCs w:val="22"/>
          <w:lang w:val="lt-LT"/>
        </w:rPr>
        <w:t xml:space="preserve">, 33 % – kalcio kanalų blokatorių </w:t>
      </w:r>
      <w:proofErr w:type="spellStart"/>
      <w:r>
        <w:rPr>
          <w:rFonts w:eastAsia="TimesNewRoman"/>
          <w:snapToGrid/>
          <w:szCs w:val="22"/>
          <w:lang w:val="lt-LT"/>
        </w:rPr>
        <w:t>diltiazemo</w:t>
      </w:r>
      <w:proofErr w:type="spellEnd"/>
      <w:r>
        <w:rPr>
          <w:rFonts w:eastAsia="TimesNewRoman"/>
          <w:snapToGrid/>
          <w:szCs w:val="22"/>
          <w:lang w:val="lt-LT"/>
        </w:rPr>
        <w:t xml:space="preserve"> ar </w:t>
      </w:r>
      <w:proofErr w:type="spellStart"/>
      <w:r>
        <w:rPr>
          <w:rFonts w:eastAsia="TimesNewRoman"/>
          <w:snapToGrid/>
          <w:szCs w:val="22"/>
          <w:lang w:val="lt-LT"/>
        </w:rPr>
        <w:t>verapamilio</w:t>
      </w:r>
      <w:proofErr w:type="spellEnd"/>
      <w:r>
        <w:rPr>
          <w:rFonts w:eastAsia="TimesNewRoman"/>
          <w:snapToGrid/>
          <w:szCs w:val="22"/>
          <w:lang w:val="lt-LT"/>
        </w:rPr>
        <w:t xml:space="preserve"> ir 4 % – </w:t>
      </w:r>
      <w:proofErr w:type="spellStart"/>
      <w:r>
        <w:rPr>
          <w:rFonts w:eastAsia="TimesNewRoman"/>
          <w:snapToGrid/>
          <w:szCs w:val="22"/>
          <w:lang w:val="lt-LT"/>
        </w:rPr>
        <w:t>digoksino</w:t>
      </w:r>
      <w:proofErr w:type="spellEnd"/>
      <w:r>
        <w:rPr>
          <w:rFonts w:eastAsia="TimesNewRoman"/>
          <w:snapToGrid/>
          <w:szCs w:val="22"/>
          <w:lang w:val="lt-LT"/>
        </w:rPr>
        <w:t>) kliniškai reikšmingų nepageidaujamų reakcijų požymių nenustatyta (žr. 4.5 skyrių).</w:t>
      </w:r>
    </w:p>
    <w:p w14:paraId="667A5AC9"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EF9BB1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metu </w:t>
      </w:r>
      <w:proofErr w:type="spellStart"/>
      <w:r>
        <w:rPr>
          <w:rFonts w:eastAsia="TimesNewRoman"/>
          <w:snapToGrid/>
          <w:szCs w:val="22"/>
          <w:lang w:val="lt-LT"/>
        </w:rPr>
        <w:t>Holter</w:t>
      </w:r>
      <w:proofErr w:type="spellEnd"/>
      <w:r>
        <w:rPr>
          <w:rFonts w:eastAsia="TimesNewRoman"/>
          <w:snapToGrid/>
          <w:szCs w:val="22"/>
          <w:lang w:val="lt-LT"/>
        </w:rPr>
        <w:t xml:space="preserve"> prietaisu ūminės koronarinių sindromų fazės metu 3 sekundžių ar ilgesnės trukmės skilvelių veiklos pauzių nustatyta daugiau </w:t>
      </w:r>
      <w:proofErr w:type="spellStart"/>
      <w:r>
        <w:rPr>
          <w:rFonts w:eastAsia="TimesNewRoman"/>
          <w:snapToGrid/>
          <w:szCs w:val="22"/>
          <w:lang w:val="lt-LT"/>
        </w:rPr>
        <w:t>tikagrelorą</w:t>
      </w:r>
      <w:proofErr w:type="spellEnd"/>
      <w:r>
        <w:rPr>
          <w:rFonts w:eastAsia="TimesNewRoman"/>
          <w:snapToGrid/>
          <w:szCs w:val="22"/>
          <w:lang w:val="lt-LT"/>
        </w:rPr>
        <w:t xml:space="preserve">, negu </w:t>
      </w:r>
      <w:proofErr w:type="spellStart"/>
      <w:r>
        <w:rPr>
          <w:rFonts w:eastAsia="TimesNewRoman"/>
          <w:snapToGrid/>
          <w:szCs w:val="22"/>
          <w:lang w:val="lt-LT"/>
        </w:rPr>
        <w:t>klopidogrelį</w:t>
      </w:r>
      <w:proofErr w:type="spellEnd"/>
      <w:r>
        <w:rPr>
          <w:rFonts w:eastAsia="TimesNewRoman"/>
          <w:snapToGrid/>
          <w:szCs w:val="22"/>
          <w:lang w:val="lt-LT"/>
        </w:rPr>
        <w:t xml:space="preserve">, vartojusių pacientų. </w:t>
      </w:r>
      <w:proofErr w:type="spellStart"/>
      <w:r>
        <w:rPr>
          <w:rFonts w:eastAsia="TimesNewRoman"/>
          <w:snapToGrid/>
          <w:szCs w:val="22"/>
          <w:lang w:val="lt-LT"/>
        </w:rPr>
        <w:t>Holter</w:t>
      </w:r>
      <w:proofErr w:type="spellEnd"/>
      <w:r>
        <w:rPr>
          <w:rFonts w:eastAsia="TimesNewRoman"/>
          <w:snapToGrid/>
          <w:szCs w:val="22"/>
          <w:lang w:val="lt-LT"/>
        </w:rPr>
        <w:t xml:space="preserve"> pagalba tokių skilvelių veiklos pauzių ūminės koronarinių sindromų fazės metu vartojant </w:t>
      </w:r>
      <w:proofErr w:type="spellStart"/>
      <w:r>
        <w:rPr>
          <w:rFonts w:eastAsia="TimesNewRoman"/>
          <w:snapToGrid/>
          <w:szCs w:val="22"/>
          <w:lang w:val="lt-LT"/>
        </w:rPr>
        <w:t>tikagrelorą</w:t>
      </w:r>
      <w:proofErr w:type="spellEnd"/>
      <w:r>
        <w:rPr>
          <w:rFonts w:eastAsia="TimesNewRoman"/>
          <w:snapToGrid/>
          <w:szCs w:val="22"/>
          <w:lang w:val="lt-LT"/>
        </w:rPr>
        <w:t xml:space="preserve"> dažniau nustatyta lėtiniu širdies nepakankamumu sirgusiems pacientams negu visai tirtai populiacijai, tačiau praėjus mėnesiui jų padažnėjimo nenustatyta nei </w:t>
      </w:r>
      <w:proofErr w:type="spellStart"/>
      <w:r>
        <w:rPr>
          <w:rFonts w:eastAsia="TimesNewRoman"/>
          <w:snapToGrid/>
          <w:szCs w:val="22"/>
          <w:lang w:val="lt-LT"/>
        </w:rPr>
        <w:t>tikagrelorą</w:t>
      </w:r>
      <w:proofErr w:type="spellEnd"/>
      <w:r>
        <w:rPr>
          <w:rFonts w:eastAsia="TimesNewRoman"/>
          <w:snapToGrid/>
          <w:szCs w:val="22"/>
          <w:lang w:val="lt-LT"/>
        </w:rPr>
        <w:t xml:space="preserve"> vartojusiems pacientams, nei lyginant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klopidogrelio</w:t>
      </w:r>
      <w:proofErr w:type="spellEnd"/>
      <w:r>
        <w:rPr>
          <w:rFonts w:eastAsia="TimesNewRoman"/>
          <w:snapToGrid/>
          <w:szCs w:val="22"/>
          <w:lang w:val="lt-LT"/>
        </w:rPr>
        <w:t xml:space="preserve"> grupes. Neigiamų klinikinių pasekmių (sinkopės ar būtinybės dėti stimuliatorių), susijusių su šiuo skirtumu, šioje pacientų populiacijoje nebuvo (žr. 5.1 skyrių).</w:t>
      </w:r>
    </w:p>
    <w:p w14:paraId="4D8C4F88"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AD3E1F6" w14:textId="77777777" w:rsidR="009A4BFE" w:rsidRPr="0022257B" w:rsidRDefault="0051186A">
      <w:pPr>
        <w:tabs>
          <w:tab w:val="clear" w:pos="567"/>
        </w:tabs>
        <w:autoSpaceDE w:val="0"/>
        <w:autoSpaceDN w:val="0"/>
        <w:adjustRightInd w:val="0"/>
        <w:spacing w:line="240" w:lineRule="auto"/>
        <w:rPr>
          <w:lang w:val="lt-LT"/>
        </w:rPr>
      </w:pPr>
      <w:r w:rsidRPr="0022257B">
        <w:rPr>
          <w:lang w:val="lt-LT"/>
        </w:rPr>
        <w:t xml:space="preserve">Po vaistinio preparato pateikimo į rinką gauta pranešimų apie </w:t>
      </w:r>
      <w:proofErr w:type="spellStart"/>
      <w:r w:rsidRPr="0022257B">
        <w:rPr>
          <w:lang w:val="lt-LT"/>
        </w:rPr>
        <w:t>tikagrelorą</w:t>
      </w:r>
      <w:proofErr w:type="spellEnd"/>
      <w:r w:rsidRPr="0022257B">
        <w:rPr>
          <w:lang w:val="lt-LT"/>
        </w:rPr>
        <w:t xml:space="preserve"> vartojantiems pacientams pasireiškusius </w:t>
      </w:r>
      <w:proofErr w:type="spellStart"/>
      <w:r w:rsidRPr="0022257B">
        <w:rPr>
          <w:lang w:val="lt-LT"/>
        </w:rPr>
        <w:t>bradiaritmijos</w:t>
      </w:r>
      <w:proofErr w:type="spellEnd"/>
      <w:r w:rsidRPr="0022257B">
        <w:rPr>
          <w:lang w:val="lt-LT"/>
        </w:rPr>
        <w:t xml:space="preserve"> atvejus ir </w:t>
      </w:r>
      <w:proofErr w:type="spellStart"/>
      <w:r w:rsidRPr="0022257B">
        <w:rPr>
          <w:lang w:val="lt-LT"/>
        </w:rPr>
        <w:t>atrioventrikulinę</w:t>
      </w:r>
      <w:proofErr w:type="spellEnd"/>
      <w:r w:rsidRPr="0022257B">
        <w:rPr>
          <w:lang w:val="lt-LT"/>
        </w:rPr>
        <w:t xml:space="preserve"> (AV) blokadą (žr. 4.8 skyrių), visų pirma ŪKS sergantiems pacientams, kuriems gali atsirasti sutrikimų dėl širdies išemijos ir kartu vartojamų vaistinių preparatų, retinančių širdies susitraukimų dažnį arba veikiančių širdies laidumą. Prieš koreguojant gydymą, reikia atsižvelgti į tai, kad sutrikimų priežastimi galėjo būti paciento klinikinė būklė ir kartu vartojami vaistiniai preparatai.</w:t>
      </w:r>
    </w:p>
    <w:p w14:paraId="4D904DC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4044945"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Dusulys</w:t>
      </w:r>
    </w:p>
    <w:p w14:paraId="237BB99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Pranešta apie </w:t>
      </w:r>
      <w:proofErr w:type="spellStart"/>
      <w:r>
        <w:rPr>
          <w:rFonts w:eastAsia="TimesNewRoman"/>
          <w:snapToGrid/>
          <w:szCs w:val="22"/>
          <w:lang w:val="lt-LT"/>
        </w:rPr>
        <w:t>tikagrelorą</w:t>
      </w:r>
      <w:proofErr w:type="spellEnd"/>
      <w:r>
        <w:rPr>
          <w:rFonts w:eastAsia="TimesNewRoman"/>
          <w:snapToGrid/>
          <w:szCs w:val="22"/>
          <w:lang w:val="lt-LT"/>
        </w:rPr>
        <w:t xml:space="preserve">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w:t>
      </w:r>
      <w:proofErr w:type="spellStart"/>
      <w:r>
        <w:rPr>
          <w:rFonts w:eastAsia="TimesNewRoman"/>
          <w:snapToGrid/>
          <w:szCs w:val="22"/>
          <w:lang w:val="lt-LT"/>
        </w:rPr>
        <w:t>tikagrelorą</w:t>
      </w:r>
      <w:proofErr w:type="spellEnd"/>
      <w:r>
        <w:rPr>
          <w:rFonts w:eastAsia="TimesNewRoman"/>
          <w:snapToGrid/>
          <w:szCs w:val="22"/>
          <w:lang w:val="lt-LT"/>
        </w:rPr>
        <w:t xml:space="preserve"> gali būti didesnė, todėl jiems </w:t>
      </w:r>
      <w:proofErr w:type="spellStart"/>
      <w:r>
        <w:rPr>
          <w:rFonts w:eastAsia="TimesNewRoman"/>
          <w:snapToGrid/>
          <w:szCs w:val="22"/>
          <w:lang w:val="lt-LT"/>
        </w:rPr>
        <w:t>tikagreloro</w:t>
      </w:r>
      <w:proofErr w:type="spellEnd"/>
      <w:r>
        <w:rPr>
          <w:rFonts w:eastAsia="TimesNewRoman"/>
          <w:snapToGrid/>
          <w:szCs w:val="22"/>
          <w:lang w:val="lt-LT"/>
        </w:rPr>
        <w:t xml:space="preserve"> turi būti skiriama atsargiai. Dusulio mechanizmas neištirtas. Jei </w:t>
      </w:r>
      <w:proofErr w:type="spellStart"/>
      <w:r>
        <w:rPr>
          <w:rFonts w:eastAsia="TimesNewRoman"/>
          <w:snapToGrid/>
          <w:szCs w:val="22"/>
          <w:lang w:val="lt-LT"/>
        </w:rPr>
        <w:t>tikagreloro</w:t>
      </w:r>
      <w:proofErr w:type="spellEnd"/>
      <w:r>
        <w:rPr>
          <w:rFonts w:eastAsia="TimesNewRoman"/>
          <w:snapToGrid/>
          <w:szCs w:val="22"/>
          <w:lang w:val="lt-LT"/>
        </w:rPr>
        <w:t xml:space="preserve"> vartojančiam pacientui dusulys pasireiškia iš naujo, trunka ilgai arba sunkėja, tai reikia jį pilnai ištirti, o jeigu dusulio pacientas netoleruoja – nutraukti gydymą </w:t>
      </w:r>
      <w:proofErr w:type="spellStart"/>
      <w:r>
        <w:rPr>
          <w:rFonts w:eastAsia="TimesNewRoman"/>
          <w:snapToGrid/>
          <w:szCs w:val="22"/>
          <w:lang w:val="lt-LT"/>
        </w:rPr>
        <w:t>tikagreloru</w:t>
      </w:r>
      <w:proofErr w:type="spellEnd"/>
      <w:r>
        <w:rPr>
          <w:rFonts w:eastAsia="TimesNewRoman"/>
          <w:snapToGrid/>
          <w:szCs w:val="22"/>
          <w:lang w:val="lt-LT"/>
        </w:rPr>
        <w:t>. Išsamesnė informacija pateikiama 4.8 skyriuje.</w:t>
      </w:r>
    </w:p>
    <w:p w14:paraId="5C8B309D"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2D4ECAC"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Centrinė miego </w:t>
      </w:r>
      <w:proofErr w:type="spellStart"/>
      <w:r>
        <w:rPr>
          <w:rFonts w:eastAsia="TimesNewRoman"/>
          <w:snapToGrid/>
          <w:szCs w:val="22"/>
          <w:u w:val="single"/>
          <w:lang w:val="lt-LT"/>
        </w:rPr>
        <w:t>apnėja</w:t>
      </w:r>
      <w:proofErr w:type="spellEnd"/>
    </w:p>
    <w:p w14:paraId="1D886312"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į rinką pateiktą </w:t>
      </w:r>
      <w:proofErr w:type="spellStart"/>
      <w:r>
        <w:rPr>
          <w:rFonts w:eastAsia="TimesNewRoman"/>
          <w:snapToGrid/>
          <w:szCs w:val="22"/>
          <w:lang w:val="lt-LT"/>
        </w:rPr>
        <w:t>tikagrelorą</w:t>
      </w:r>
      <w:proofErr w:type="spellEnd"/>
      <w:r>
        <w:rPr>
          <w:rFonts w:eastAsia="TimesNewRoman"/>
          <w:snapToGrid/>
          <w:szCs w:val="22"/>
          <w:lang w:val="lt-LT"/>
        </w:rPr>
        <w:t xml:space="preserve">, užfiksuota centrinės miego </w:t>
      </w:r>
      <w:proofErr w:type="spellStart"/>
      <w:r>
        <w:rPr>
          <w:rFonts w:eastAsia="TimesNewRoman"/>
          <w:snapToGrid/>
          <w:szCs w:val="22"/>
          <w:lang w:val="lt-LT"/>
        </w:rPr>
        <w:t>apnėjos</w:t>
      </w:r>
      <w:proofErr w:type="spellEnd"/>
      <w:r>
        <w:rPr>
          <w:rFonts w:eastAsia="TimesNewRoman"/>
          <w:snapToGrid/>
          <w:szCs w:val="22"/>
          <w:lang w:val="lt-LT"/>
        </w:rPr>
        <w:t xml:space="preserve">, įskaitant </w:t>
      </w:r>
      <w:proofErr w:type="spellStart"/>
      <w:r>
        <w:rPr>
          <w:rFonts w:eastAsia="TimesNewRoman"/>
          <w:i/>
          <w:snapToGrid/>
          <w:szCs w:val="22"/>
          <w:lang w:val="lt-LT"/>
        </w:rPr>
        <w:t>Cheyne-Stokes</w:t>
      </w:r>
      <w:proofErr w:type="spellEnd"/>
      <w:r>
        <w:rPr>
          <w:rFonts w:eastAsia="TimesNewRoman"/>
          <w:snapToGrid/>
          <w:szCs w:val="22"/>
          <w:lang w:val="lt-LT"/>
        </w:rPr>
        <w:t xml:space="preserve"> kvėpavimą, atvejų. Įtarus centrinę miego </w:t>
      </w:r>
      <w:proofErr w:type="spellStart"/>
      <w:r>
        <w:rPr>
          <w:rFonts w:eastAsia="TimesNewRoman"/>
          <w:snapToGrid/>
          <w:szCs w:val="22"/>
          <w:lang w:val="lt-LT"/>
        </w:rPr>
        <w:t>apnėją</w:t>
      </w:r>
      <w:proofErr w:type="spellEnd"/>
      <w:r>
        <w:rPr>
          <w:rFonts w:eastAsia="TimesNewRoman"/>
          <w:snapToGrid/>
          <w:szCs w:val="22"/>
          <w:lang w:val="lt-LT"/>
        </w:rPr>
        <w:t>, reikia įvertinti tolesnio klinikinio ištyrimo poreikį.</w:t>
      </w:r>
    </w:p>
    <w:p w14:paraId="144D623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7BC8B33"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Padidėjusi kreatinino koncentracija</w:t>
      </w:r>
    </w:p>
    <w:p w14:paraId="17351379"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tikagrelorą</w:t>
      </w:r>
      <w:proofErr w:type="spellEnd"/>
      <w:r>
        <w:rPr>
          <w:rFonts w:eastAsia="TimesNewRoman"/>
          <w:snapToGrid/>
          <w:szCs w:val="22"/>
          <w:lang w:val="lt-LT"/>
        </w:rPr>
        <w:t xml:space="preserve"> gali padidėti kreatinino koncentracija. Šio padidėjimo mechanizmas neištirtas. Reikia patikrinti inkstų funkciją kaip numato įprasta medicininė praktika. ŪKS sergančių pacientų inkstų funkciją taip pat rekomenduojama ištirti praėjus vienam mėnesiui po </w:t>
      </w:r>
      <w:proofErr w:type="spellStart"/>
      <w:r>
        <w:rPr>
          <w:rFonts w:eastAsia="TimesNewRoman"/>
          <w:snapToGrid/>
          <w:szCs w:val="22"/>
          <w:lang w:val="lt-LT"/>
        </w:rPr>
        <w:t>tikagreloro</w:t>
      </w:r>
      <w:proofErr w:type="spellEnd"/>
      <w:r>
        <w:rPr>
          <w:rFonts w:eastAsia="TimesNewRoman"/>
          <w:snapToGrid/>
          <w:szCs w:val="22"/>
          <w:lang w:val="lt-LT"/>
        </w:rPr>
        <w:t xml:space="preserve"> vartojimo pradžios, ypatingą dėmesį skiriant pacientams, kurie yra 75 metų ar vyresni, kuriems yra vidutinio sunkumo ar sunkus inkstų funkcijos sutrikimas arba kurie derinyje vartoja </w:t>
      </w:r>
      <w:proofErr w:type="spellStart"/>
      <w:r>
        <w:rPr>
          <w:rFonts w:eastAsia="TimesNewRoman"/>
          <w:snapToGrid/>
          <w:szCs w:val="22"/>
          <w:lang w:val="lt-LT"/>
        </w:rPr>
        <w:t>angiotenzino</w:t>
      </w:r>
      <w:proofErr w:type="spellEnd"/>
      <w:r>
        <w:rPr>
          <w:rFonts w:eastAsia="TimesNewRoman"/>
          <w:snapToGrid/>
          <w:szCs w:val="22"/>
          <w:lang w:val="lt-LT"/>
        </w:rPr>
        <w:t xml:space="preserve"> receptorių blokatorių (ARB).</w:t>
      </w:r>
    </w:p>
    <w:p w14:paraId="6A38CAD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FC9A72B"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Padidėjusi šlapimo rūgšties koncentracija</w:t>
      </w:r>
    </w:p>
    <w:p w14:paraId="161EDE09"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tikagrelorą</w:t>
      </w:r>
      <w:proofErr w:type="spellEnd"/>
      <w:r>
        <w:rPr>
          <w:rFonts w:eastAsia="TimesNewRoman"/>
          <w:snapToGrid/>
          <w:szCs w:val="22"/>
          <w:lang w:val="lt-LT"/>
        </w:rPr>
        <w:t xml:space="preserve">, gali pasireikšti </w:t>
      </w:r>
      <w:proofErr w:type="spellStart"/>
      <w:r>
        <w:rPr>
          <w:rFonts w:eastAsia="TimesNewRoman"/>
          <w:snapToGrid/>
          <w:szCs w:val="22"/>
          <w:lang w:val="lt-LT"/>
        </w:rPr>
        <w:t>hiperurikemija</w:t>
      </w:r>
      <w:proofErr w:type="spellEnd"/>
      <w:r>
        <w:rPr>
          <w:rFonts w:eastAsia="TimesNewRoman"/>
          <w:snapToGrid/>
          <w:szCs w:val="22"/>
          <w:lang w:val="lt-LT"/>
        </w:rPr>
        <w:t xml:space="preserve"> (žr. 4.8 skyrių). Pacientams, kuriems anksčiau buvo pasireiškusi </w:t>
      </w:r>
      <w:proofErr w:type="spellStart"/>
      <w:r>
        <w:rPr>
          <w:rFonts w:eastAsia="TimesNewRoman"/>
          <w:snapToGrid/>
          <w:szCs w:val="22"/>
          <w:lang w:val="lt-LT"/>
        </w:rPr>
        <w:t>hiperurikemija</w:t>
      </w:r>
      <w:proofErr w:type="spellEnd"/>
      <w:r>
        <w:rPr>
          <w:rFonts w:eastAsia="TimesNewRoman"/>
          <w:snapToGrid/>
          <w:szCs w:val="22"/>
          <w:lang w:val="lt-LT"/>
        </w:rPr>
        <w:t xml:space="preserve"> arba podagrinis artritas, rekomenduojamos atsargumo priemonės. Kaip atsargumo priemonė, pacientams, kuriems yra šlapimo rūgšties sukelta </w:t>
      </w:r>
      <w:proofErr w:type="spellStart"/>
      <w:r>
        <w:rPr>
          <w:rFonts w:eastAsia="TimesNewRoman"/>
          <w:snapToGrid/>
          <w:szCs w:val="22"/>
          <w:lang w:val="lt-LT"/>
        </w:rPr>
        <w:t>nefropatija</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vartojimas turi būti ribojamas.</w:t>
      </w:r>
    </w:p>
    <w:p w14:paraId="3938C8B3"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278552A"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Trombinė </w:t>
      </w:r>
      <w:proofErr w:type="spellStart"/>
      <w:r>
        <w:rPr>
          <w:rFonts w:eastAsia="TimesNewRoman"/>
          <w:snapToGrid/>
          <w:szCs w:val="22"/>
          <w:u w:val="single"/>
          <w:lang w:val="lt-LT"/>
        </w:rPr>
        <w:t>trombocitopeninė</w:t>
      </w:r>
      <w:proofErr w:type="spellEnd"/>
      <w:r>
        <w:rPr>
          <w:rFonts w:eastAsia="TimesNewRoman"/>
          <w:snapToGrid/>
          <w:szCs w:val="22"/>
          <w:u w:val="single"/>
          <w:lang w:val="lt-LT"/>
        </w:rPr>
        <w:t xml:space="preserve"> purpura (TTP)</w:t>
      </w:r>
    </w:p>
    <w:p w14:paraId="6D6819C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Vartojant </w:t>
      </w:r>
      <w:proofErr w:type="spellStart"/>
      <w:r>
        <w:rPr>
          <w:rFonts w:eastAsia="TimesNewRoman"/>
          <w:snapToGrid/>
          <w:szCs w:val="22"/>
          <w:lang w:val="lt-LT"/>
        </w:rPr>
        <w:t>tikagrelorą</w:t>
      </w:r>
      <w:proofErr w:type="spellEnd"/>
      <w:r>
        <w:rPr>
          <w:rFonts w:eastAsia="TimesNewRoman"/>
          <w:snapToGrid/>
          <w:szCs w:val="22"/>
          <w:lang w:val="lt-LT"/>
        </w:rPr>
        <w:t xml:space="preserve">, labai retai gauta pranešimų apie trombinės </w:t>
      </w:r>
      <w:proofErr w:type="spellStart"/>
      <w:r>
        <w:rPr>
          <w:rFonts w:eastAsia="TimesNewRoman"/>
          <w:snapToGrid/>
          <w:szCs w:val="22"/>
          <w:lang w:val="lt-LT"/>
        </w:rPr>
        <w:t>trombocitopeninės</w:t>
      </w:r>
      <w:proofErr w:type="spellEnd"/>
      <w:r>
        <w:rPr>
          <w:rFonts w:eastAsia="TimesNewRoman"/>
          <w:snapToGrid/>
          <w:szCs w:val="22"/>
          <w:lang w:val="lt-LT"/>
        </w:rPr>
        <w:t xml:space="preserve"> purpuros (TTP) atvejus. Jai būdinga </w:t>
      </w:r>
      <w:proofErr w:type="spellStart"/>
      <w:r>
        <w:rPr>
          <w:rFonts w:eastAsia="TimesNewRoman"/>
          <w:snapToGrid/>
          <w:szCs w:val="22"/>
          <w:lang w:val="lt-LT"/>
        </w:rPr>
        <w:t>trombocitopenija</w:t>
      </w:r>
      <w:proofErr w:type="spellEnd"/>
      <w:r>
        <w:rPr>
          <w:rFonts w:eastAsia="TimesNewRoman"/>
          <w:snapToGrid/>
          <w:szCs w:val="22"/>
          <w:lang w:val="lt-LT"/>
        </w:rPr>
        <w:t xml:space="preserve"> ir </w:t>
      </w:r>
      <w:proofErr w:type="spellStart"/>
      <w:r>
        <w:rPr>
          <w:rFonts w:eastAsia="TimesNewRoman"/>
          <w:snapToGrid/>
          <w:szCs w:val="22"/>
          <w:lang w:val="lt-LT"/>
        </w:rPr>
        <w:t>mikroangiopatinė</w:t>
      </w:r>
      <w:proofErr w:type="spellEnd"/>
      <w:r>
        <w:rPr>
          <w:rFonts w:eastAsia="TimesNewRoman"/>
          <w:snapToGrid/>
          <w:szCs w:val="22"/>
          <w:lang w:val="lt-LT"/>
        </w:rPr>
        <w:t xml:space="preserve"> hemolizinė anemija, su jomis susiję neurologiniai pokyčiai, sutrikusi inkstų funkcija arba karščiavimas. TTP yra potencialiai mirtina liga, kurią reikia skubiai gydyti, įskaitant </w:t>
      </w:r>
      <w:proofErr w:type="spellStart"/>
      <w:r>
        <w:rPr>
          <w:rFonts w:eastAsia="TimesNewRoman"/>
          <w:snapToGrid/>
          <w:szCs w:val="22"/>
          <w:lang w:val="lt-LT"/>
        </w:rPr>
        <w:t>plazmaferezės</w:t>
      </w:r>
      <w:proofErr w:type="spellEnd"/>
      <w:r>
        <w:rPr>
          <w:rFonts w:eastAsia="TimesNewRoman"/>
          <w:snapToGrid/>
          <w:szCs w:val="22"/>
          <w:lang w:val="lt-LT"/>
        </w:rPr>
        <w:t xml:space="preserve"> atlikimą.</w:t>
      </w:r>
    </w:p>
    <w:p w14:paraId="4DB2BCBE"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CFF94D2"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Įtaka trombocitų funkcijos mėginiams, skirtiems diagnozuoti heparino sukeltą </w:t>
      </w:r>
      <w:proofErr w:type="spellStart"/>
      <w:r>
        <w:rPr>
          <w:rFonts w:eastAsia="TimesNewRoman"/>
          <w:snapToGrid/>
          <w:szCs w:val="22"/>
          <w:u w:val="single"/>
          <w:lang w:val="lt-LT"/>
        </w:rPr>
        <w:t>trombocitopeniją</w:t>
      </w:r>
      <w:proofErr w:type="spellEnd"/>
      <w:r>
        <w:rPr>
          <w:rFonts w:eastAsia="TimesNewRoman"/>
          <w:snapToGrid/>
          <w:szCs w:val="22"/>
          <w:u w:val="single"/>
          <w:lang w:val="lt-LT"/>
        </w:rPr>
        <w:t xml:space="preserve"> (angl.</w:t>
      </w:r>
    </w:p>
    <w:p w14:paraId="53FD2749"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i/>
          <w:iCs/>
          <w:snapToGrid/>
          <w:szCs w:val="22"/>
          <w:u w:val="single"/>
          <w:lang w:val="lt-LT"/>
        </w:rPr>
        <w:t>heparin-induced</w:t>
      </w:r>
      <w:proofErr w:type="spellEnd"/>
      <w:r>
        <w:rPr>
          <w:rFonts w:eastAsia="TimesNewRoman"/>
          <w:i/>
          <w:iCs/>
          <w:snapToGrid/>
          <w:szCs w:val="22"/>
          <w:u w:val="single"/>
          <w:lang w:val="lt-LT"/>
        </w:rPr>
        <w:t xml:space="preserve"> </w:t>
      </w:r>
      <w:proofErr w:type="spellStart"/>
      <w:r>
        <w:rPr>
          <w:rFonts w:eastAsia="TimesNewRoman"/>
          <w:i/>
          <w:iCs/>
          <w:snapToGrid/>
          <w:szCs w:val="22"/>
          <w:u w:val="single"/>
          <w:lang w:val="lt-LT"/>
        </w:rPr>
        <w:t>thrombocytopenia</w:t>
      </w:r>
      <w:proofErr w:type="spellEnd"/>
      <w:r>
        <w:rPr>
          <w:rFonts w:eastAsia="TimesNewRoman"/>
          <w:i/>
          <w:iCs/>
          <w:snapToGrid/>
          <w:szCs w:val="22"/>
          <w:u w:val="single"/>
          <w:lang w:val="lt-LT"/>
        </w:rPr>
        <w:t xml:space="preserve">, </w:t>
      </w:r>
      <w:r>
        <w:rPr>
          <w:rFonts w:eastAsia="TimesNewRoman"/>
          <w:iCs/>
          <w:snapToGrid/>
          <w:szCs w:val="22"/>
          <w:u w:val="single"/>
          <w:lang w:val="lt-LT"/>
        </w:rPr>
        <w:t>HIT</w:t>
      </w:r>
      <w:r>
        <w:rPr>
          <w:rFonts w:eastAsia="TimesNewRoman"/>
          <w:snapToGrid/>
          <w:szCs w:val="22"/>
          <w:u w:val="single"/>
          <w:lang w:val="lt-LT"/>
        </w:rPr>
        <w:t>)</w:t>
      </w:r>
    </w:p>
    <w:p w14:paraId="31D9040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Atliekant heparino sukeliamo trombocitų aktyvinimo (angl. </w:t>
      </w:r>
      <w:proofErr w:type="spellStart"/>
      <w:r>
        <w:rPr>
          <w:rFonts w:eastAsia="TimesNewRoman"/>
          <w:i/>
          <w:iCs/>
          <w:snapToGrid/>
          <w:szCs w:val="22"/>
          <w:lang w:val="lt-LT"/>
        </w:rPr>
        <w:t>heparin</w:t>
      </w:r>
      <w:proofErr w:type="spellEnd"/>
      <w:r>
        <w:rPr>
          <w:rFonts w:eastAsia="TimesNewRoman"/>
          <w:i/>
          <w:iCs/>
          <w:snapToGrid/>
          <w:szCs w:val="22"/>
          <w:lang w:val="lt-LT"/>
        </w:rPr>
        <w:t xml:space="preserve"> </w:t>
      </w:r>
      <w:proofErr w:type="spellStart"/>
      <w:r>
        <w:rPr>
          <w:rFonts w:eastAsia="TimesNewRoman"/>
          <w:i/>
          <w:iCs/>
          <w:snapToGrid/>
          <w:szCs w:val="22"/>
          <w:lang w:val="lt-LT"/>
        </w:rPr>
        <w:t>induced</w:t>
      </w:r>
      <w:proofErr w:type="spellEnd"/>
      <w:r>
        <w:rPr>
          <w:rFonts w:eastAsia="TimesNewRoman"/>
          <w:i/>
          <w:iCs/>
          <w:snapToGrid/>
          <w:szCs w:val="22"/>
          <w:lang w:val="lt-LT"/>
        </w:rPr>
        <w:t xml:space="preserve"> </w:t>
      </w:r>
      <w:proofErr w:type="spellStart"/>
      <w:r>
        <w:rPr>
          <w:rFonts w:eastAsia="TimesNewRoman"/>
          <w:i/>
          <w:iCs/>
          <w:snapToGrid/>
          <w:szCs w:val="22"/>
          <w:lang w:val="lt-LT"/>
        </w:rPr>
        <w:t>platelet</w:t>
      </w:r>
      <w:proofErr w:type="spellEnd"/>
      <w:r>
        <w:rPr>
          <w:rFonts w:eastAsia="TimesNewRoman"/>
          <w:i/>
          <w:iCs/>
          <w:snapToGrid/>
          <w:szCs w:val="22"/>
          <w:lang w:val="lt-LT"/>
        </w:rPr>
        <w:t xml:space="preserve"> </w:t>
      </w:r>
      <w:proofErr w:type="spellStart"/>
      <w:r>
        <w:rPr>
          <w:rFonts w:eastAsia="TimesNewRoman"/>
          <w:i/>
          <w:iCs/>
          <w:snapToGrid/>
          <w:szCs w:val="22"/>
          <w:lang w:val="lt-LT"/>
        </w:rPr>
        <w:t>activation</w:t>
      </w:r>
      <w:proofErr w:type="spellEnd"/>
      <w:r>
        <w:rPr>
          <w:rFonts w:eastAsia="TimesNewRoman"/>
          <w:i/>
          <w:iCs/>
          <w:snapToGrid/>
          <w:szCs w:val="22"/>
          <w:lang w:val="lt-LT"/>
        </w:rPr>
        <w:t xml:space="preserve">, </w:t>
      </w:r>
      <w:r>
        <w:rPr>
          <w:rFonts w:eastAsia="TimesNewRoman"/>
          <w:iCs/>
          <w:snapToGrid/>
          <w:szCs w:val="22"/>
          <w:lang w:val="lt-LT"/>
        </w:rPr>
        <w:t>HIPA</w:t>
      </w:r>
      <w:r>
        <w:rPr>
          <w:rFonts w:eastAsia="TimesNewRoman"/>
          <w:snapToGrid/>
          <w:szCs w:val="22"/>
          <w:lang w:val="lt-LT"/>
        </w:rPr>
        <w:t xml:space="preserve">) mėginį, naudojamą diagnozuoti </w:t>
      </w:r>
      <w:r>
        <w:rPr>
          <w:rFonts w:eastAsia="TimesNewRoman"/>
          <w:i/>
          <w:snapToGrid/>
          <w:szCs w:val="22"/>
          <w:lang w:val="lt-LT"/>
        </w:rPr>
        <w:t>HIT</w:t>
      </w:r>
      <w:r>
        <w:rPr>
          <w:rFonts w:eastAsia="TimesNewRoman"/>
          <w:snapToGrid/>
          <w:szCs w:val="22"/>
          <w:lang w:val="lt-LT"/>
        </w:rPr>
        <w:t>, paciento serume esantys antikūnai prieš trombocitų IV faktoriaus ir heparino kompleksą aktyvina sveikų donorų trombocitus, kai aplinkoje yra heparino.</w:t>
      </w:r>
    </w:p>
    <w:p w14:paraId="6D7D02BE"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Gauta pranešimų apie </w:t>
      </w:r>
      <w:proofErr w:type="spellStart"/>
      <w:r>
        <w:rPr>
          <w:rFonts w:eastAsia="TimesNewRoman"/>
          <w:snapToGrid/>
          <w:szCs w:val="22"/>
          <w:lang w:val="lt-LT"/>
        </w:rPr>
        <w:t>tikagrelorą</w:t>
      </w:r>
      <w:proofErr w:type="spellEnd"/>
      <w:r>
        <w:rPr>
          <w:rFonts w:eastAsia="TimesNewRoman"/>
          <w:snapToGrid/>
          <w:szCs w:val="22"/>
          <w:lang w:val="lt-LT"/>
        </w:rPr>
        <w:t xml:space="preserve"> vartojantiems pacientams nustatytus klaidingai neigiamus trombocitų funkcijos aktyvinimo mėginių, skirtų diagnozuoti </w:t>
      </w:r>
      <w:r>
        <w:rPr>
          <w:rFonts w:eastAsia="TimesNewRoman"/>
          <w:i/>
          <w:snapToGrid/>
          <w:szCs w:val="22"/>
          <w:lang w:val="lt-LT"/>
        </w:rPr>
        <w:t>HIT</w:t>
      </w:r>
      <w:r>
        <w:rPr>
          <w:rFonts w:eastAsia="TimesNewRoman"/>
          <w:iCs/>
          <w:snapToGrid/>
          <w:szCs w:val="22"/>
          <w:lang w:val="lt-LT"/>
        </w:rPr>
        <w:t xml:space="preserve"> </w:t>
      </w:r>
      <w:r>
        <w:rPr>
          <w:rFonts w:eastAsia="TimesNewRoman"/>
          <w:snapToGrid/>
          <w:szCs w:val="22"/>
          <w:lang w:val="lt-LT"/>
        </w:rPr>
        <w:t>(</w:t>
      </w:r>
      <w:r>
        <w:rPr>
          <w:rFonts w:eastAsia="TimesNewRoman"/>
          <w:i/>
          <w:snapToGrid/>
          <w:szCs w:val="22"/>
          <w:lang w:val="lt-LT"/>
        </w:rPr>
        <w:t>HIPA</w:t>
      </w:r>
      <w:r>
        <w:rPr>
          <w:rFonts w:eastAsia="TimesNewRoman"/>
          <w:i/>
          <w:iCs/>
          <w:snapToGrid/>
          <w:szCs w:val="22"/>
          <w:lang w:val="lt-LT"/>
        </w:rPr>
        <w:t xml:space="preserve"> </w:t>
      </w:r>
      <w:r>
        <w:rPr>
          <w:rFonts w:eastAsia="TimesNewRoman"/>
          <w:snapToGrid/>
          <w:szCs w:val="22"/>
          <w:lang w:val="lt-LT"/>
        </w:rPr>
        <w:t xml:space="preserve">ir galimai kitų), rezultatus. Tai susiję su </w:t>
      </w:r>
      <w:proofErr w:type="spellStart"/>
      <w:r>
        <w:rPr>
          <w:rFonts w:eastAsia="TimesNewRoman"/>
          <w:snapToGrid/>
          <w:szCs w:val="22"/>
          <w:lang w:val="lt-LT"/>
        </w:rPr>
        <w:t>tikagreloro</w:t>
      </w:r>
      <w:proofErr w:type="spellEnd"/>
      <w:r>
        <w:rPr>
          <w:rFonts w:eastAsia="TimesNewRoman"/>
          <w:snapToGrid/>
          <w:szCs w:val="22"/>
          <w:lang w:val="lt-LT"/>
        </w:rPr>
        <w:t xml:space="preserve"> sukeliamu sveikų donorų trombocitų P2Y12 receptorių slopinimu pacientų serume ar plazmoje atliekant šį mėginį. Norint tinkamai įvertinti </w:t>
      </w:r>
      <w:r>
        <w:rPr>
          <w:rFonts w:eastAsia="TimesNewRoman"/>
          <w:i/>
          <w:snapToGrid/>
          <w:szCs w:val="22"/>
          <w:lang w:val="lt-LT"/>
        </w:rPr>
        <w:t>HIT</w:t>
      </w:r>
      <w:r>
        <w:rPr>
          <w:rFonts w:eastAsia="TimesNewRoman"/>
          <w:i/>
          <w:iCs/>
          <w:snapToGrid/>
          <w:szCs w:val="22"/>
          <w:lang w:val="lt-LT"/>
        </w:rPr>
        <w:t xml:space="preserve"> </w:t>
      </w:r>
      <w:r>
        <w:rPr>
          <w:rFonts w:eastAsia="TimesNewRoman"/>
          <w:snapToGrid/>
          <w:szCs w:val="22"/>
          <w:lang w:val="lt-LT"/>
        </w:rPr>
        <w:t xml:space="preserve">trombocitų funkcijos mėginių duomenis, būtina žinoti, kad derinyje vartojamas </w:t>
      </w:r>
      <w:proofErr w:type="spellStart"/>
      <w:r>
        <w:rPr>
          <w:rFonts w:eastAsia="TimesNewRoman"/>
          <w:snapToGrid/>
          <w:szCs w:val="22"/>
          <w:lang w:val="lt-LT"/>
        </w:rPr>
        <w:t>tikagreloras</w:t>
      </w:r>
      <w:proofErr w:type="spellEnd"/>
      <w:r>
        <w:rPr>
          <w:rFonts w:eastAsia="TimesNewRoman"/>
          <w:snapToGrid/>
          <w:szCs w:val="22"/>
          <w:lang w:val="lt-LT"/>
        </w:rPr>
        <w:t>.</w:t>
      </w:r>
    </w:p>
    <w:p w14:paraId="6FDF30A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Pasireiškus </w:t>
      </w:r>
      <w:r>
        <w:rPr>
          <w:rFonts w:eastAsia="TimesNewRoman"/>
          <w:i/>
          <w:snapToGrid/>
          <w:szCs w:val="22"/>
          <w:lang w:val="lt-LT"/>
        </w:rPr>
        <w:t>HIT</w:t>
      </w:r>
      <w:r>
        <w:rPr>
          <w:rFonts w:eastAsia="TimesNewRoman"/>
          <w:snapToGrid/>
          <w:szCs w:val="22"/>
          <w:lang w:val="lt-LT"/>
        </w:rPr>
        <w:t xml:space="preserve">, reikia įvertinti tolesnio </w:t>
      </w:r>
      <w:proofErr w:type="spellStart"/>
      <w:r>
        <w:rPr>
          <w:rFonts w:eastAsia="TimesNewRoman"/>
          <w:snapToGrid/>
          <w:szCs w:val="22"/>
          <w:lang w:val="lt-LT"/>
        </w:rPr>
        <w:t>tikagreloro</w:t>
      </w:r>
      <w:proofErr w:type="spellEnd"/>
      <w:r>
        <w:rPr>
          <w:rFonts w:eastAsia="TimesNewRoman"/>
          <w:snapToGrid/>
          <w:szCs w:val="22"/>
          <w:lang w:val="lt-LT"/>
        </w:rPr>
        <w:t xml:space="preserve"> vartojimo naudos ir rizikos santykį atsižvelgiant į</w:t>
      </w:r>
      <w:r>
        <w:rPr>
          <w:rFonts w:eastAsia="TimesNewRoman"/>
          <w:iCs/>
          <w:snapToGrid/>
          <w:szCs w:val="22"/>
          <w:lang w:val="lt-LT"/>
        </w:rPr>
        <w:t xml:space="preserve"> </w:t>
      </w:r>
      <w:r>
        <w:rPr>
          <w:rFonts w:eastAsia="TimesNewRoman"/>
          <w:i/>
          <w:snapToGrid/>
          <w:szCs w:val="22"/>
          <w:lang w:val="lt-LT"/>
        </w:rPr>
        <w:t>HIT</w:t>
      </w:r>
      <w:r>
        <w:rPr>
          <w:rFonts w:eastAsia="TimesNewRoman"/>
          <w:iCs/>
          <w:snapToGrid/>
          <w:szCs w:val="22"/>
          <w:lang w:val="lt-LT"/>
        </w:rPr>
        <w:t xml:space="preserve"> </w:t>
      </w:r>
      <w:r>
        <w:rPr>
          <w:rFonts w:eastAsia="TimesNewRoman"/>
          <w:snapToGrid/>
          <w:szCs w:val="22"/>
          <w:lang w:val="lt-LT"/>
        </w:rPr>
        <w:t xml:space="preserve">sukeliamą trombozę skatinančią būklę ir padidėjusią kraujavimo riziką derinyje vartojant antikoaguliantų ir </w:t>
      </w:r>
      <w:proofErr w:type="spellStart"/>
      <w:r>
        <w:rPr>
          <w:rFonts w:eastAsia="TimesNewRoman"/>
          <w:snapToGrid/>
          <w:szCs w:val="22"/>
          <w:lang w:val="lt-LT"/>
        </w:rPr>
        <w:t>tikagrelorą</w:t>
      </w:r>
      <w:proofErr w:type="spellEnd"/>
      <w:r>
        <w:rPr>
          <w:rFonts w:eastAsia="TimesNewRoman"/>
          <w:snapToGrid/>
          <w:szCs w:val="22"/>
          <w:lang w:val="lt-LT"/>
        </w:rPr>
        <w:t>.</w:t>
      </w:r>
    </w:p>
    <w:p w14:paraId="605B4E36"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9D46714"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Kiti</w:t>
      </w:r>
    </w:p>
    <w:p w14:paraId="54832E99"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Atsižvelgiant į PLATO tyrimo metu nustatytą ryšį tarp ASR palaikomosios dozės ir </w:t>
      </w:r>
      <w:proofErr w:type="spellStart"/>
      <w:r>
        <w:rPr>
          <w:rFonts w:eastAsia="TimesNewRoman"/>
          <w:snapToGrid/>
          <w:szCs w:val="22"/>
          <w:lang w:val="lt-LT"/>
        </w:rPr>
        <w:t>tikagreloro</w:t>
      </w:r>
      <w:proofErr w:type="spellEnd"/>
      <w:r>
        <w:rPr>
          <w:rFonts w:eastAsia="TimesNewRoman"/>
          <w:snapToGrid/>
          <w:szCs w:val="22"/>
          <w:lang w:val="lt-LT"/>
        </w:rPr>
        <w:t xml:space="preserve"> santykinio veiksmingumo, lyginant su </w:t>
      </w:r>
      <w:proofErr w:type="spellStart"/>
      <w:r>
        <w:rPr>
          <w:rFonts w:eastAsia="TimesNewRoman"/>
          <w:snapToGrid/>
          <w:szCs w:val="22"/>
          <w:lang w:val="lt-LT"/>
        </w:rPr>
        <w:t>klopidogreliu</w:t>
      </w:r>
      <w:proofErr w:type="spellEnd"/>
      <w:r>
        <w:rPr>
          <w:rFonts w:eastAsia="TimesNewRoman"/>
          <w:snapToGrid/>
          <w:szCs w:val="22"/>
          <w:lang w:val="lt-LT"/>
        </w:rPr>
        <w:t xml:space="preserve">, didelių (&gt; 300 mg) ASR palaikomųjų dozių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vartoti nerekomenduojama (žr. 5.1 skyrių).</w:t>
      </w:r>
    </w:p>
    <w:p w14:paraId="479F9699"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50613E74" w14:textId="77777777" w:rsidR="009A4BFE" w:rsidRDefault="0051186A">
      <w:pPr>
        <w:tabs>
          <w:tab w:val="clear" w:pos="567"/>
        </w:tabs>
        <w:autoSpaceDE w:val="0"/>
        <w:autoSpaceDN w:val="0"/>
        <w:adjustRightInd w:val="0"/>
        <w:spacing w:line="240" w:lineRule="auto"/>
        <w:rPr>
          <w:rFonts w:eastAsia="TimesNewRoman"/>
          <w:iCs/>
          <w:snapToGrid/>
          <w:szCs w:val="22"/>
          <w:u w:val="single"/>
          <w:lang w:val="lt-LT"/>
        </w:rPr>
      </w:pPr>
      <w:r>
        <w:rPr>
          <w:rFonts w:eastAsia="TimesNewRoman"/>
          <w:iCs/>
          <w:snapToGrid/>
          <w:szCs w:val="22"/>
          <w:u w:val="single"/>
          <w:lang w:val="lt-LT"/>
        </w:rPr>
        <w:t>Priešlaikinis gydymo nutraukimas</w:t>
      </w:r>
    </w:p>
    <w:p w14:paraId="3DA5BDE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Per anksti nutraukus bet kurio trombocitų </w:t>
      </w:r>
      <w:proofErr w:type="spellStart"/>
      <w:r>
        <w:rPr>
          <w:rFonts w:eastAsia="TimesNewRoman"/>
          <w:snapToGrid/>
          <w:szCs w:val="22"/>
          <w:lang w:val="lt-LT"/>
        </w:rPr>
        <w:t>agregacijos</w:t>
      </w:r>
      <w:proofErr w:type="spellEnd"/>
      <w:r>
        <w:rPr>
          <w:rFonts w:eastAsia="TimesNewRoman"/>
          <w:snapToGrid/>
          <w:szCs w:val="22"/>
          <w:lang w:val="lt-LT"/>
        </w:rPr>
        <w:t xml:space="preserve"> inhibitoriaus, įskaitant </w:t>
      </w:r>
      <w:proofErr w:type="spellStart"/>
      <w:r>
        <w:rPr>
          <w:szCs w:val="22"/>
          <w:lang w:val="lt-LT"/>
        </w:rPr>
        <w:t>Atixarso</w:t>
      </w:r>
      <w:proofErr w:type="spellEnd"/>
      <w:r>
        <w:rPr>
          <w:rFonts w:eastAsia="TimesNewRoman"/>
          <w:snapToGrid/>
          <w:szCs w:val="22"/>
          <w:lang w:val="lt-LT"/>
        </w:rPr>
        <w:t>, vartojimą, gali padidėti kardiovaskulinės (KV) mirties, MI ar insulto dėl pagrindinės ligos rizika. Dėl to per anksti nutraukti gydymą šiuo vaistiniu preparatu turi būti vengiama.</w:t>
      </w:r>
    </w:p>
    <w:p w14:paraId="1A7452D7" w14:textId="77777777" w:rsidR="009A4BFE" w:rsidRDefault="009A4BFE">
      <w:pPr>
        <w:rPr>
          <w:szCs w:val="22"/>
          <w:lang w:val="lt-LT"/>
        </w:rPr>
      </w:pPr>
    </w:p>
    <w:p w14:paraId="7B9AD3D9" w14:textId="26E7AC9F" w:rsidR="009A4BFE" w:rsidRDefault="0051186A">
      <w:pPr>
        <w:numPr>
          <w:ilvl w:val="12"/>
          <w:numId w:val="0"/>
        </w:numPr>
        <w:tabs>
          <w:tab w:val="clear" w:pos="567"/>
        </w:tabs>
        <w:spacing w:line="240" w:lineRule="auto"/>
        <w:rPr>
          <w:szCs w:val="24"/>
          <w:lang w:val="lt-LT"/>
        </w:rPr>
      </w:pPr>
      <w:r>
        <w:rPr>
          <w:rFonts w:eastAsia="TimesNewRoman"/>
          <w:snapToGrid/>
          <w:szCs w:val="22"/>
          <w:lang w:val="lt-LT"/>
        </w:rPr>
        <w:t xml:space="preserve">Šio vaistinio preparato </w:t>
      </w:r>
      <w:r w:rsidR="003F1FE5">
        <w:rPr>
          <w:rFonts w:eastAsia="TimesNewRoman"/>
          <w:snapToGrid/>
          <w:szCs w:val="22"/>
          <w:lang w:val="lt-LT"/>
        </w:rPr>
        <w:t>kiek</w:t>
      </w:r>
      <w:r>
        <w:rPr>
          <w:rFonts w:eastAsia="TimesNewRoman"/>
          <w:snapToGrid/>
          <w:szCs w:val="22"/>
          <w:lang w:val="lt-LT"/>
        </w:rPr>
        <w:t>vienoje tabletėje yra mažiau kaip 1 </w:t>
      </w:r>
      <w:proofErr w:type="spellStart"/>
      <w:r>
        <w:rPr>
          <w:rFonts w:eastAsia="TimesNewRoman"/>
          <w:snapToGrid/>
          <w:szCs w:val="22"/>
          <w:lang w:val="lt-LT"/>
        </w:rPr>
        <w:t>mmol</w:t>
      </w:r>
      <w:proofErr w:type="spellEnd"/>
      <w:r>
        <w:rPr>
          <w:rFonts w:eastAsia="TimesNewRoman"/>
          <w:snapToGrid/>
          <w:szCs w:val="22"/>
          <w:lang w:val="lt-LT"/>
        </w:rPr>
        <w:t xml:space="preserve"> (23 mg) natrio, t.</w:t>
      </w:r>
      <w:r>
        <w:rPr>
          <w:snapToGrid/>
          <w:szCs w:val="22"/>
          <w:lang w:val="lt-LT"/>
        </w:rPr>
        <w:t> </w:t>
      </w:r>
      <w:r>
        <w:rPr>
          <w:rFonts w:eastAsia="TimesNewRoman"/>
          <w:snapToGrid/>
          <w:szCs w:val="22"/>
          <w:lang w:val="lt-LT"/>
        </w:rPr>
        <w:t>y. jis beveik neturi reikšmės.</w:t>
      </w:r>
    </w:p>
    <w:p w14:paraId="7DBE328D" w14:textId="77777777" w:rsidR="009A4BFE" w:rsidRDefault="009A4BFE">
      <w:pPr>
        <w:rPr>
          <w:szCs w:val="22"/>
          <w:lang w:val="lt-LT"/>
        </w:rPr>
      </w:pPr>
    </w:p>
    <w:p w14:paraId="04A63BD8" w14:textId="77777777" w:rsidR="009A4BFE" w:rsidRDefault="0051186A">
      <w:pPr>
        <w:pStyle w:val="Antrat4"/>
        <w:rPr>
          <w:rFonts w:ascii="Times New Roman" w:hAnsi="Times New Roman"/>
          <w:sz w:val="22"/>
          <w:szCs w:val="22"/>
          <w:lang w:val="lt-LT"/>
        </w:rPr>
      </w:pPr>
      <w:r>
        <w:rPr>
          <w:rFonts w:ascii="Times New Roman" w:hAnsi="Times New Roman"/>
          <w:sz w:val="22"/>
          <w:szCs w:val="22"/>
          <w:lang w:val="lt-LT"/>
        </w:rPr>
        <w:t>4.5</w:t>
      </w:r>
      <w:r>
        <w:rPr>
          <w:rFonts w:ascii="Times New Roman" w:hAnsi="Times New Roman"/>
          <w:sz w:val="22"/>
          <w:szCs w:val="22"/>
          <w:lang w:val="lt-LT"/>
        </w:rPr>
        <w:tab/>
        <w:t>Sąveika su kitais vaistiniais preparatais ir kitokia sąveika</w:t>
      </w:r>
    </w:p>
    <w:p w14:paraId="7852813E" w14:textId="77777777" w:rsidR="009A4BFE" w:rsidRDefault="009A4BFE">
      <w:pPr>
        <w:rPr>
          <w:szCs w:val="22"/>
          <w:lang w:val="lt-LT"/>
        </w:rPr>
      </w:pPr>
    </w:p>
    <w:p w14:paraId="10351512"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visų pirma yra CYP3A4 substratas ir taip pat silpnai slopina CYP3A4. Be to, </w:t>
      </w:r>
      <w:proofErr w:type="spellStart"/>
      <w:r>
        <w:rPr>
          <w:rFonts w:eastAsia="TimesNewRoman"/>
          <w:snapToGrid/>
          <w:szCs w:val="22"/>
          <w:lang w:val="lt-LT"/>
        </w:rPr>
        <w:t>tikagreloras</w:t>
      </w:r>
      <w:proofErr w:type="spellEnd"/>
      <w:r>
        <w:rPr>
          <w:rFonts w:eastAsia="TimesNewRoman"/>
          <w:snapToGrid/>
          <w:szCs w:val="22"/>
          <w:lang w:val="lt-LT"/>
        </w:rPr>
        <w:t xml:space="preserve"> yra P-</w:t>
      </w:r>
      <w:proofErr w:type="spellStart"/>
      <w:r>
        <w:rPr>
          <w:rFonts w:eastAsia="TimesNewRoman"/>
          <w:snapToGrid/>
          <w:szCs w:val="22"/>
          <w:lang w:val="lt-LT"/>
        </w:rPr>
        <w:t>glikoproteino</w:t>
      </w:r>
      <w:proofErr w:type="spellEnd"/>
      <w:r>
        <w:rPr>
          <w:rFonts w:eastAsia="TimesNewRoman"/>
          <w:snapToGrid/>
          <w:szCs w:val="22"/>
          <w:lang w:val="lt-LT"/>
        </w:rPr>
        <w:t xml:space="preserve"> (P-</w:t>
      </w:r>
      <w:proofErr w:type="spellStart"/>
      <w:r>
        <w:rPr>
          <w:rFonts w:eastAsia="TimesNewRoman"/>
          <w:snapToGrid/>
          <w:szCs w:val="22"/>
          <w:lang w:val="lt-LT"/>
        </w:rPr>
        <w:t>gP</w:t>
      </w:r>
      <w:proofErr w:type="spellEnd"/>
      <w:r>
        <w:rPr>
          <w:rFonts w:eastAsia="TimesNewRoman"/>
          <w:snapToGrid/>
          <w:szCs w:val="22"/>
          <w:lang w:val="lt-LT"/>
        </w:rPr>
        <w:t>) substratas ir silpnas jo inhibitorius, todėl gali didinti P-</w:t>
      </w:r>
      <w:proofErr w:type="spellStart"/>
      <w:r>
        <w:rPr>
          <w:rFonts w:eastAsia="TimesNewRoman"/>
          <w:snapToGrid/>
          <w:szCs w:val="22"/>
          <w:lang w:val="lt-LT"/>
        </w:rPr>
        <w:t>gP</w:t>
      </w:r>
      <w:proofErr w:type="spellEnd"/>
      <w:r>
        <w:rPr>
          <w:rFonts w:eastAsia="TimesNewRoman"/>
          <w:snapToGrid/>
          <w:szCs w:val="22"/>
          <w:lang w:val="lt-LT"/>
        </w:rPr>
        <w:t xml:space="preserve"> substratų ekspoziciją. </w:t>
      </w:r>
      <w:proofErr w:type="spellStart"/>
      <w:r>
        <w:rPr>
          <w:rFonts w:eastAsia="TimesNewRoman"/>
          <w:snapToGrid/>
          <w:szCs w:val="22"/>
          <w:lang w:val="lt-LT"/>
        </w:rPr>
        <w:t>Tikagreloras</w:t>
      </w:r>
      <w:proofErr w:type="spellEnd"/>
      <w:r>
        <w:rPr>
          <w:rFonts w:eastAsia="TimesNewRoman"/>
          <w:snapToGrid/>
          <w:szCs w:val="22"/>
          <w:lang w:val="lt-LT"/>
        </w:rPr>
        <w:t xml:space="preserve"> yra krūties vėžiui atsparaus baltymo (BCRP) inhibitorius.</w:t>
      </w:r>
    </w:p>
    <w:p w14:paraId="5F761C98"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133D0E1"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 xml:space="preserve">Kitų vaistinių preparatų ir kitokių medžiagų įtaka </w:t>
      </w:r>
      <w:proofErr w:type="spellStart"/>
      <w:r>
        <w:rPr>
          <w:rFonts w:eastAsia="TimesNewRoman"/>
          <w:snapToGrid/>
          <w:szCs w:val="22"/>
          <w:u w:val="single"/>
          <w:lang w:val="lt-LT"/>
        </w:rPr>
        <w:t>tikagreloro</w:t>
      </w:r>
      <w:proofErr w:type="spellEnd"/>
      <w:r>
        <w:rPr>
          <w:rFonts w:eastAsia="TimesNewRoman"/>
          <w:snapToGrid/>
          <w:szCs w:val="22"/>
          <w:u w:val="single"/>
          <w:lang w:val="lt-LT"/>
        </w:rPr>
        <w:t xml:space="preserve"> poveikiui</w:t>
      </w:r>
    </w:p>
    <w:p w14:paraId="4BE12386"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171CB914"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CYP3A4 inhibitoriai</w:t>
      </w:r>
    </w:p>
    <w:p w14:paraId="43F4EF3C" w14:textId="77777777" w:rsidR="009A4BFE" w:rsidRDefault="0051186A">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i/>
          <w:iCs/>
          <w:snapToGrid/>
          <w:szCs w:val="22"/>
          <w:lang w:val="lt-LT"/>
        </w:rPr>
        <w:t>Stiprūs CYP3A4 inhibitoriai</w:t>
      </w:r>
      <w:r>
        <w:rPr>
          <w:rFonts w:eastAsia="TimesNewRoman"/>
          <w:snapToGrid/>
          <w:szCs w:val="22"/>
          <w:lang w:val="lt-LT"/>
        </w:rPr>
        <w:t xml:space="preserve">. Derinyje vartojant </w:t>
      </w:r>
      <w:proofErr w:type="spellStart"/>
      <w:r>
        <w:rPr>
          <w:rFonts w:eastAsia="TimesNewRoman"/>
          <w:snapToGrid/>
          <w:szCs w:val="22"/>
          <w:lang w:val="lt-LT"/>
        </w:rPr>
        <w:t>ketokonazolą</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2,4 karto ir AUC – 7,3 karto, o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sumažėjo 89 %, AUC – 56 %.</w:t>
      </w:r>
      <w:r>
        <w:rPr>
          <w:noProof/>
          <w:szCs w:val="22"/>
          <w:lang w:val="lt-LT"/>
        </w:rPr>
        <w:t xml:space="preserve"> </w:t>
      </w:r>
      <w:r>
        <w:rPr>
          <w:rFonts w:eastAsia="TimesNewRoman"/>
          <w:snapToGrid/>
          <w:szCs w:val="22"/>
          <w:lang w:val="lt-LT"/>
        </w:rPr>
        <w:t>Tikėtina, kad panašiai turi veikti ir kiti stiprūs CYP3A4 inhibitoriai (</w:t>
      </w:r>
      <w:proofErr w:type="spellStart"/>
      <w:r>
        <w:rPr>
          <w:rFonts w:eastAsia="TimesNewRoman"/>
          <w:snapToGrid/>
          <w:szCs w:val="22"/>
          <w:lang w:val="lt-LT"/>
        </w:rPr>
        <w:t>klaritromicinas</w:t>
      </w:r>
      <w:proofErr w:type="spellEnd"/>
      <w:r>
        <w:rPr>
          <w:rFonts w:eastAsia="TimesNewRoman"/>
          <w:snapToGrid/>
          <w:szCs w:val="22"/>
          <w:lang w:val="lt-LT"/>
        </w:rPr>
        <w:t xml:space="preserve">, </w:t>
      </w:r>
      <w:proofErr w:type="spellStart"/>
      <w:r>
        <w:rPr>
          <w:rFonts w:eastAsia="TimesNewRoman"/>
          <w:snapToGrid/>
          <w:szCs w:val="22"/>
          <w:lang w:val="lt-LT"/>
        </w:rPr>
        <w:t>nefazodonas</w:t>
      </w:r>
      <w:proofErr w:type="spellEnd"/>
      <w:r>
        <w:rPr>
          <w:rFonts w:eastAsia="TimesNewRoman"/>
          <w:snapToGrid/>
          <w:szCs w:val="22"/>
          <w:lang w:val="lt-LT"/>
        </w:rPr>
        <w:t xml:space="preserve">, ritonaviras ir </w:t>
      </w:r>
      <w:proofErr w:type="spellStart"/>
      <w:r>
        <w:rPr>
          <w:rFonts w:eastAsia="TimesNewRoman"/>
          <w:snapToGrid/>
          <w:szCs w:val="22"/>
          <w:lang w:val="lt-LT"/>
        </w:rPr>
        <w:t>atazanaviras</w:t>
      </w:r>
      <w:proofErr w:type="spellEnd"/>
      <w:r>
        <w:rPr>
          <w:rFonts w:eastAsia="TimesNewRoman"/>
          <w:snapToGrid/>
          <w:szCs w:val="22"/>
          <w:lang w:val="lt-LT"/>
        </w:rPr>
        <w:t xml:space="preserve">), todėl stipriai veikiančių CYP3A4 inhibitorių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vartoti negalima (žr. 4.3 skyrių).</w:t>
      </w:r>
    </w:p>
    <w:p w14:paraId="268AA8C4" w14:textId="77777777" w:rsidR="009A4BFE" w:rsidRDefault="0051186A">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i/>
          <w:iCs/>
          <w:snapToGrid/>
          <w:szCs w:val="22"/>
          <w:lang w:val="lt-LT"/>
        </w:rPr>
        <w:t xml:space="preserve">Vidutinio stiprumo CYP3A4 inhibitoriai. </w:t>
      </w:r>
      <w:r>
        <w:rPr>
          <w:rFonts w:eastAsia="TimesNewRoman"/>
          <w:snapToGrid/>
          <w:szCs w:val="22"/>
          <w:lang w:val="lt-LT"/>
        </w:rPr>
        <w:t xml:space="preserve">Derinyje vartojant </w:t>
      </w:r>
      <w:proofErr w:type="spellStart"/>
      <w:r>
        <w:rPr>
          <w:rFonts w:eastAsia="TimesNewRoman"/>
          <w:snapToGrid/>
          <w:szCs w:val="22"/>
          <w:lang w:val="lt-LT"/>
        </w:rPr>
        <w:t>diltiazemą</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69 % ir AUC – 2,7 karto, o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sumažėjo 38 %, o AUC nepakito. </w:t>
      </w:r>
      <w:proofErr w:type="spellStart"/>
      <w:r>
        <w:rPr>
          <w:rFonts w:eastAsia="TimesNewRoman"/>
          <w:snapToGrid/>
          <w:szCs w:val="22"/>
          <w:lang w:val="lt-LT"/>
        </w:rPr>
        <w:t>Tikagreloras</w:t>
      </w:r>
      <w:proofErr w:type="spellEnd"/>
      <w:r>
        <w:rPr>
          <w:rFonts w:eastAsia="TimesNewRoman"/>
          <w:snapToGrid/>
          <w:szCs w:val="22"/>
          <w:lang w:val="lt-LT"/>
        </w:rPr>
        <w:t xml:space="preserve"> </w:t>
      </w:r>
      <w:proofErr w:type="spellStart"/>
      <w:r>
        <w:rPr>
          <w:rFonts w:eastAsia="TimesNewRoman"/>
          <w:snapToGrid/>
          <w:szCs w:val="22"/>
          <w:lang w:val="lt-LT"/>
        </w:rPr>
        <w:t>diltiazemo</w:t>
      </w:r>
      <w:proofErr w:type="spellEnd"/>
      <w:r>
        <w:rPr>
          <w:rFonts w:eastAsia="TimesNewRoman"/>
          <w:snapToGrid/>
          <w:szCs w:val="22"/>
          <w:lang w:val="lt-LT"/>
        </w:rPr>
        <w:t xml:space="preserve"> koncentracijos plazmoje neveikė. Kitų vidutinio stiprumo CYP3A4 inhibitorių (pvz., </w:t>
      </w:r>
      <w:proofErr w:type="spellStart"/>
      <w:r>
        <w:rPr>
          <w:rFonts w:eastAsia="TimesNewRoman"/>
          <w:snapToGrid/>
          <w:szCs w:val="22"/>
          <w:lang w:val="lt-LT"/>
        </w:rPr>
        <w:t>amprenaviro</w:t>
      </w:r>
      <w:proofErr w:type="spellEnd"/>
      <w:r>
        <w:rPr>
          <w:rFonts w:eastAsia="TimesNewRoman"/>
          <w:snapToGrid/>
          <w:szCs w:val="22"/>
          <w:lang w:val="lt-LT"/>
        </w:rPr>
        <w:t xml:space="preserve">, </w:t>
      </w:r>
      <w:proofErr w:type="spellStart"/>
      <w:r>
        <w:rPr>
          <w:rFonts w:eastAsia="TimesNewRoman"/>
          <w:snapToGrid/>
          <w:szCs w:val="22"/>
          <w:lang w:val="lt-LT"/>
        </w:rPr>
        <w:t>aprepitanto</w:t>
      </w:r>
      <w:proofErr w:type="spellEnd"/>
      <w:r>
        <w:rPr>
          <w:rFonts w:eastAsia="TimesNewRoman"/>
          <w:snapToGrid/>
          <w:szCs w:val="22"/>
          <w:lang w:val="lt-LT"/>
        </w:rPr>
        <w:t xml:space="preserve">, </w:t>
      </w:r>
      <w:proofErr w:type="spellStart"/>
      <w:r>
        <w:rPr>
          <w:rFonts w:eastAsia="TimesNewRoman"/>
          <w:snapToGrid/>
          <w:szCs w:val="22"/>
          <w:lang w:val="lt-LT"/>
        </w:rPr>
        <w:t>eritromicino</w:t>
      </w:r>
      <w:proofErr w:type="spellEnd"/>
      <w:r>
        <w:rPr>
          <w:rFonts w:eastAsia="TimesNewRoman"/>
          <w:snapToGrid/>
          <w:szCs w:val="22"/>
          <w:lang w:val="lt-LT"/>
        </w:rPr>
        <w:t xml:space="preserve">, </w:t>
      </w:r>
      <w:proofErr w:type="spellStart"/>
      <w:r>
        <w:rPr>
          <w:rFonts w:eastAsia="TimesNewRoman"/>
          <w:snapToGrid/>
          <w:szCs w:val="22"/>
          <w:lang w:val="lt-LT"/>
        </w:rPr>
        <w:t>flukonazolo</w:t>
      </w:r>
      <w:proofErr w:type="spellEnd"/>
      <w:r>
        <w:rPr>
          <w:rFonts w:eastAsia="TimesNewRoman"/>
          <w:snapToGrid/>
          <w:szCs w:val="22"/>
          <w:lang w:val="lt-LT"/>
        </w:rPr>
        <w:t xml:space="preserve">) poveikis turi būti panašus, juos galima vartoti derinyje su </w:t>
      </w:r>
      <w:proofErr w:type="spellStart"/>
      <w:r>
        <w:rPr>
          <w:rFonts w:eastAsia="TimesNewRoman"/>
          <w:snapToGrid/>
          <w:szCs w:val="22"/>
          <w:lang w:val="lt-LT"/>
        </w:rPr>
        <w:t>tikagreloru</w:t>
      </w:r>
      <w:proofErr w:type="spellEnd"/>
      <w:r>
        <w:rPr>
          <w:rFonts w:eastAsia="TimesNewRoman"/>
          <w:snapToGrid/>
          <w:szCs w:val="22"/>
          <w:lang w:val="lt-LT"/>
        </w:rPr>
        <w:t>.</w:t>
      </w:r>
    </w:p>
    <w:p w14:paraId="3079241F" w14:textId="77777777" w:rsidR="009A4BFE" w:rsidRDefault="0051186A">
      <w:pPr>
        <w:numPr>
          <w:ilvl w:val="0"/>
          <w:numId w:val="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Kasdien geriant daug (3 kartus po 200 ml) greipfrutų sulčių, nustatyta 2 kartus padidėjusi </w:t>
      </w:r>
      <w:proofErr w:type="spellStart"/>
      <w:r>
        <w:rPr>
          <w:rFonts w:eastAsia="TimesNewRoman"/>
          <w:snapToGrid/>
          <w:szCs w:val="22"/>
          <w:lang w:val="lt-LT"/>
        </w:rPr>
        <w:t>tikagreloro</w:t>
      </w:r>
      <w:proofErr w:type="spellEnd"/>
      <w:r>
        <w:rPr>
          <w:rFonts w:eastAsia="TimesNewRoman"/>
          <w:snapToGrid/>
          <w:szCs w:val="22"/>
          <w:lang w:val="lt-LT"/>
        </w:rPr>
        <w:t xml:space="preserve"> ekspozicija. Vis dėlto daugumai pacientų toks padidėjimas neturėtų būti kliniškai reikšmingas.</w:t>
      </w:r>
    </w:p>
    <w:p w14:paraId="326B8697"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621713B6"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lastRenderedPageBreak/>
        <w:t xml:space="preserve">CYP3A </w:t>
      </w:r>
      <w:proofErr w:type="spellStart"/>
      <w:r>
        <w:rPr>
          <w:rFonts w:eastAsia="TimesNewRoman"/>
          <w:i/>
          <w:iCs/>
          <w:snapToGrid/>
          <w:szCs w:val="22"/>
          <w:lang w:val="lt-LT"/>
        </w:rPr>
        <w:t>induktoriai</w:t>
      </w:r>
      <w:proofErr w:type="spellEnd"/>
    </w:p>
    <w:p w14:paraId="2A5C2A8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vartojant </w:t>
      </w:r>
      <w:proofErr w:type="spellStart"/>
      <w:r>
        <w:rPr>
          <w:rFonts w:eastAsia="TimesNewRoman"/>
          <w:snapToGrid/>
          <w:szCs w:val="22"/>
          <w:lang w:val="lt-LT"/>
        </w:rPr>
        <w:t>rifampiciną</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sidRPr="0022257B">
        <w:rPr>
          <w:position w:val="2"/>
          <w:lang w:val="lt-LT"/>
        </w:rPr>
        <w:t>C</w:t>
      </w:r>
      <w:r w:rsidRPr="0022257B">
        <w:rPr>
          <w:position w:val="2"/>
          <w:vertAlign w:val="subscript"/>
          <w:lang w:val="lt-LT"/>
        </w:rPr>
        <w:t>max</w:t>
      </w:r>
      <w:proofErr w:type="spellEnd"/>
      <w:r>
        <w:rPr>
          <w:rFonts w:eastAsia="TimesNewRoman"/>
          <w:snapToGrid/>
          <w:szCs w:val="22"/>
          <w:lang w:val="lt-LT"/>
        </w:rPr>
        <w:t xml:space="preserve"> sumažėjo 73 % ir AUC – 86 %,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nepakito, o AUC sumažėjo 46 %. Manoma, kad kiti CYP3A </w:t>
      </w:r>
      <w:proofErr w:type="spellStart"/>
      <w:r>
        <w:rPr>
          <w:rFonts w:eastAsia="TimesNewRoman"/>
          <w:snapToGrid/>
          <w:szCs w:val="22"/>
          <w:lang w:val="lt-LT"/>
        </w:rPr>
        <w:t>induktoriai</w:t>
      </w:r>
      <w:proofErr w:type="spellEnd"/>
      <w:r>
        <w:rPr>
          <w:rFonts w:eastAsia="TimesNewRoman"/>
          <w:snapToGrid/>
          <w:szCs w:val="22"/>
          <w:lang w:val="lt-LT"/>
        </w:rPr>
        <w:t xml:space="preserve"> (pvz., </w:t>
      </w:r>
      <w:proofErr w:type="spellStart"/>
      <w:r>
        <w:rPr>
          <w:rFonts w:eastAsia="TimesNewRoman"/>
          <w:snapToGrid/>
          <w:szCs w:val="22"/>
          <w:lang w:val="lt-LT"/>
        </w:rPr>
        <w:t>fenitoinas</w:t>
      </w:r>
      <w:proofErr w:type="spellEnd"/>
      <w:r>
        <w:rPr>
          <w:rFonts w:eastAsia="TimesNewRoman"/>
          <w:snapToGrid/>
          <w:szCs w:val="22"/>
          <w:lang w:val="lt-LT"/>
        </w:rPr>
        <w:t xml:space="preserve">, </w:t>
      </w:r>
      <w:proofErr w:type="spellStart"/>
      <w:r>
        <w:rPr>
          <w:rFonts w:eastAsia="TimesNewRoman"/>
          <w:snapToGrid/>
          <w:szCs w:val="22"/>
          <w:lang w:val="lt-LT"/>
        </w:rPr>
        <w:t>karbamazepinas</w:t>
      </w:r>
      <w:proofErr w:type="spellEnd"/>
      <w:r>
        <w:rPr>
          <w:rFonts w:eastAsia="TimesNewRoman"/>
          <w:snapToGrid/>
          <w:szCs w:val="22"/>
          <w:lang w:val="lt-LT"/>
        </w:rPr>
        <w:t xml:space="preserve"> ir </w:t>
      </w:r>
      <w:proofErr w:type="spellStart"/>
      <w:r>
        <w:rPr>
          <w:rFonts w:eastAsia="TimesNewRoman"/>
          <w:snapToGrid/>
          <w:szCs w:val="22"/>
          <w:lang w:val="lt-LT"/>
        </w:rPr>
        <w:t>fenobarbitalis</w:t>
      </w:r>
      <w:proofErr w:type="spellEnd"/>
      <w:r>
        <w:rPr>
          <w:rFonts w:eastAsia="TimesNewRoman"/>
          <w:snapToGrid/>
          <w:szCs w:val="22"/>
          <w:lang w:val="lt-LT"/>
        </w:rPr>
        <w:t xml:space="preserve">) taip pat turi mažinti </w:t>
      </w:r>
      <w:proofErr w:type="spellStart"/>
      <w:r>
        <w:rPr>
          <w:rFonts w:eastAsia="TimesNewRoman"/>
          <w:snapToGrid/>
          <w:szCs w:val="22"/>
          <w:lang w:val="lt-LT"/>
        </w:rPr>
        <w:t>tikagreloro</w:t>
      </w:r>
      <w:proofErr w:type="spellEnd"/>
      <w:r>
        <w:rPr>
          <w:rFonts w:eastAsia="TimesNewRoman"/>
          <w:snapToGrid/>
          <w:szCs w:val="22"/>
          <w:lang w:val="lt-LT"/>
        </w:rPr>
        <w:t xml:space="preserve"> ekspoziciją. Derinyje vartojant vaistinių preparatų, kurie stipriai indukuoja CYP3A, gali sumažėti </w:t>
      </w:r>
      <w:proofErr w:type="spellStart"/>
      <w:r>
        <w:rPr>
          <w:rFonts w:eastAsia="TimesNewRoman"/>
          <w:snapToGrid/>
          <w:szCs w:val="22"/>
          <w:lang w:val="lt-LT"/>
        </w:rPr>
        <w:t>tikagreloro</w:t>
      </w:r>
      <w:proofErr w:type="spellEnd"/>
      <w:r>
        <w:rPr>
          <w:rFonts w:eastAsia="TimesNewRoman"/>
          <w:snapToGrid/>
          <w:szCs w:val="22"/>
          <w:lang w:val="lt-LT"/>
        </w:rPr>
        <w:t xml:space="preserve"> ekspozicija ir veiksmingumas, todėl derinyje su </w:t>
      </w:r>
      <w:proofErr w:type="spellStart"/>
      <w:r>
        <w:rPr>
          <w:rFonts w:eastAsia="TimesNewRoman"/>
          <w:snapToGrid/>
          <w:szCs w:val="22"/>
          <w:lang w:val="lt-LT"/>
        </w:rPr>
        <w:t>tikagreloru</w:t>
      </w:r>
      <w:proofErr w:type="spellEnd"/>
      <w:r>
        <w:rPr>
          <w:rFonts w:eastAsia="TimesNewRoman"/>
          <w:snapToGrid/>
          <w:szCs w:val="22"/>
          <w:lang w:val="lt-LT"/>
        </w:rPr>
        <w:t xml:space="preserve"> jų vartoti nepatartina.</w:t>
      </w:r>
    </w:p>
    <w:p w14:paraId="2CD9193F"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1FAA5E4E"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proofErr w:type="spellStart"/>
      <w:r>
        <w:rPr>
          <w:rFonts w:eastAsia="TimesNewRoman"/>
          <w:i/>
          <w:iCs/>
          <w:snapToGrid/>
          <w:szCs w:val="22"/>
          <w:lang w:val="lt-LT"/>
        </w:rPr>
        <w:t>Ciklosporinas</w:t>
      </w:r>
      <w:proofErr w:type="spellEnd"/>
      <w:r>
        <w:rPr>
          <w:rFonts w:eastAsia="TimesNewRoman"/>
          <w:i/>
          <w:iCs/>
          <w:snapToGrid/>
          <w:szCs w:val="22"/>
          <w:lang w:val="lt-LT"/>
        </w:rPr>
        <w:t xml:space="preserve"> (P-</w:t>
      </w:r>
      <w:proofErr w:type="spellStart"/>
      <w:r>
        <w:rPr>
          <w:rFonts w:eastAsia="TimesNewRoman"/>
          <w:i/>
          <w:iCs/>
          <w:snapToGrid/>
          <w:szCs w:val="22"/>
          <w:lang w:val="lt-LT"/>
        </w:rPr>
        <w:t>gp</w:t>
      </w:r>
      <w:proofErr w:type="spellEnd"/>
      <w:r>
        <w:rPr>
          <w:rFonts w:eastAsia="TimesNewRoman"/>
          <w:i/>
          <w:iCs/>
          <w:snapToGrid/>
          <w:szCs w:val="22"/>
          <w:lang w:val="lt-LT"/>
        </w:rPr>
        <w:t xml:space="preserve"> ir CYP3A inhibitorius)</w:t>
      </w:r>
    </w:p>
    <w:p w14:paraId="65F096B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vartojant 600 mg </w:t>
      </w:r>
      <w:proofErr w:type="spellStart"/>
      <w:r>
        <w:rPr>
          <w:rFonts w:eastAsia="TimesNewRoman"/>
          <w:snapToGrid/>
          <w:szCs w:val="22"/>
          <w:lang w:val="lt-LT"/>
        </w:rPr>
        <w:t>ciklosporino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2,3, o AUC – 2,8 karto. Organizme esant </w:t>
      </w:r>
      <w:proofErr w:type="spellStart"/>
      <w:r>
        <w:rPr>
          <w:rFonts w:eastAsia="TimesNewRoman"/>
          <w:snapToGrid/>
          <w:szCs w:val="22"/>
          <w:lang w:val="lt-LT"/>
        </w:rPr>
        <w:t>ciklosporino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aktyvaus metabolito AUC padidėjo 32 %, 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sumažėjo 15 %.</w:t>
      </w:r>
    </w:p>
    <w:p w14:paraId="59D22BFD"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EEE766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Nėra duomenų apie </w:t>
      </w:r>
      <w:proofErr w:type="spellStart"/>
      <w:r>
        <w:rPr>
          <w:rFonts w:eastAsia="TimesNewRoman"/>
          <w:snapToGrid/>
          <w:szCs w:val="22"/>
          <w:lang w:val="lt-LT"/>
        </w:rPr>
        <w:t>tikagreloro</w:t>
      </w:r>
      <w:proofErr w:type="spellEnd"/>
      <w:r>
        <w:rPr>
          <w:rFonts w:eastAsia="TimesNewRoman"/>
          <w:snapToGrid/>
          <w:szCs w:val="22"/>
          <w:lang w:val="lt-LT"/>
        </w:rPr>
        <w:t xml:space="preserve"> vartojimą derinyje su kitomis veikliosiomis medžiagomis, kurios gali padidinti </w:t>
      </w:r>
      <w:proofErr w:type="spellStart"/>
      <w:r>
        <w:rPr>
          <w:rFonts w:eastAsia="TimesNewRoman"/>
          <w:snapToGrid/>
          <w:szCs w:val="22"/>
          <w:lang w:val="lt-LT"/>
        </w:rPr>
        <w:t>tikagreloro</w:t>
      </w:r>
      <w:proofErr w:type="spellEnd"/>
      <w:r>
        <w:rPr>
          <w:rFonts w:eastAsia="TimesNewRoman"/>
          <w:snapToGrid/>
          <w:szCs w:val="22"/>
          <w:lang w:val="lt-LT"/>
        </w:rPr>
        <w:t xml:space="preserve"> ekspoziciją, stipriai slopindamos P-</w:t>
      </w:r>
      <w:proofErr w:type="spellStart"/>
      <w:r>
        <w:rPr>
          <w:rFonts w:eastAsia="TimesNewRoman"/>
          <w:snapToGrid/>
          <w:szCs w:val="22"/>
          <w:lang w:val="lt-LT"/>
        </w:rPr>
        <w:t>gp</w:t>
      </w:r>
      <w:proofErr w:type="spellEnd"/>
      <w:r>
        <w:rPr>
          <w:rFonts w:eastAsia="TimesNewRoman"/>
          <w:snapToGrid/>
          <w:szCs w:val="22"/>
          <w:lang w:val="lt-LT"/>
        </w:rPr>
        <w:t xml:space="preserve"> ir vidutiniškai – CYP3A4 (pvz., </w:t>
      </w:r>
      <w:proofErr w:type="spellStart"/>
      <w:r>
        <w:rPr>
          <w:rFonts w:eastAsia="TimesNewRoman"/>
          <w:snapToGrid/>
          <w:szCs w:val="22"/>
          <w:lang w:val="lt-LT"/>
        </w:rPr>
        <w:t>verapamiliu</w:t>
      </w:r>
      <w:proofErr w:type="spellEnd"/>
      <w:r>
        <w:rPr>
          <w:rFonts w:eastAsia="TimesNewRoman"/>
          <w:snapToGrid/>
          <w:szCs w:val="22"/>
          <w:lang w:val="lt-LT"/>
        </w:rPr>
        <w:t xml:space="preserve">, </w:t>
      </w:r>
      <w:proofErr w:type="spellStart"/>
      <w:r>
        <w:rPr>
          <w:rFonts w:eastAsia="TimesNewRoman"/>
          <w:snapToGrid/>
          <w:szCs w:val="22"/>
          <w:lang w:val="lt-LT"/>
        </w:rPr>
        <w:t>chinidinu</w:t>
      </w:r>
      <w:proofErr w:type="spellEnd"/>
      <w:r>
        <w:rPr>
          <w:rFonts w:eastAsia="TimesNewRoman"/>
          <w:snapToGrid/>
          <w:szCs w:val="22"/>
          <w:lang w:val="lt-LT"/>
        </w:rPr>
        <w:t>). Jei jų vartojimas derinyje neišvengiamas, rekomenduojama imtis atsargumo priemonių.</w:t>
      </w:r>
    </w:p>
    <w:p w14:paraId="4D404F8A"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373834FA"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Kiti</w:t>
      </w:r>
    </w:p>
    <w:p w14:paraId="02553E7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Klinikiniai farmakologiniai sąveikos tyrimai parodė, kad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vartojami heparinas, </w:t>
      </w:r>
      <w:proofErr w:type="spellStart"/>
      <w:r>
        <w:rPr>
          <w:rFonts w:eastAsia="TimesNewRoman"/>
          <w:snapToGrid/>
          <w:szCs w:val="22"/>
          <w:lang w:val="lt-LT"/>
        </w:rPr>
        <w:t>enoksaparinas</w:t>
      </w:r>
      <w:proofErr w:type="spellEnd"/>
      <w:r>
        <w:rPr>
          <w:rFonts w:eastAsia="TimesNewRoman"/>
          <w:snapToGrid/>
          <w:szCs w:val="22"/>
          <w:lang w:val="lt-LT"/>
        </w:rPr>
        <w:t xml:space="preserve">, ASR ar </w:t>
      </w:r>
      <w:proofErr w:type="spellStart"/>
      <w:r>
        <w:rPr>
          <w:rFonts w:eastAsia="TimesNewRoman"/>
          <w:snapToGrid/>
          <w:szCs w:val="22"/>
          <w:lang w:val="lt-LT"/>
        </w:rPr>
        <w:t>desmopresinas</w:t>
      </w:r>
      <w:proofErr w:type="spellEnd"/>
      <w:r>
        <w:rPr>
          <w:rFonts w:eastAsia="TimesNewRoman"/>
          <w:snapToGrid/>
          <w:szCs w:val="22"/>
          <w:lang w:val="lt-LT"/>
        </w:rPr>
        <w:t xml:space="preserve"> neturi įtakos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farmakokinetikai bei ADF sukeltai trombocitų </w:t>
      </w:r>
      <w:proofErr w:type="spellStart"/>
      <w:r>
        <w:rPr>
          <w:rFonts w:eastAsia="TimesNewRoman"/>
          <w:snapToGrid/>
          <w:szCs w:val="22"/>
          <w:lang w:val="lt-LT"/>
        </w:rPr>
        <w:t>agregacijai</w:t>
      </w:r>
      <w:proofErr w:type="spellEnd"/>
      <w:r>
        <w:rPr>
          <w:rFonts w:eastAsia="TimesNewRoman"/>
          <w:snapToGrid/>
          <w:szCs w:val="22"/>
          <w:lang w:val="lt-LT"/>
        </w:rPr>
        <w:t xml:space="preserve">, palyginus su atskirai vartojamu </w:t>
      </w:r>
      <w:proofErr w:type="spellStart"/>
      <w:r>
        <w:rPr>
          <w:rFonts w:eastAsia="TimesNewRoman"/>
          <w:snapToGrid/>
          <w:szCs w:val="22"/>
          <w:lang w:val="lt-LT"/>
        </w:rPr>
        <w:t>tikagreloru</w:t>
      </w:r>
      <w:proofErr w:type="spellEnd"/>
      <w:r>
        <w:rPr>
          <w:rFonts w:eastAsia="TimesNewRoman"/>
          <w:snapToGrid/>
          <w:szCs w:val="22"/>
          <w:lang w:val="lt-LT"/>
        </w:rPr>
        <w:t xml:space="preserve">. Esant terapinei indikacijai, hemostazę veikiančių vaistinių preparatų derinyje su </w:t>
      </w:r>
      <w:proofErr w:type="spellStart"/>
      <w:r>
        <w:rPr>
          <w:rFonts w:eastAsia="TimesNewRoman"/>
          <w:snapToGrid/>
          <w:szCs w:val="22"/>
          <w:lang w:val="lt-LT"/>
        </w:rPr>
        <w:t>tikagreloru</w:t>
      </w:r>
      <w:proofErr w:type="spellEnd"/>
      <w:r>
        <w:rPr>
          <w:rFonts w:eastAsia="TimesNewRoman"/>
          <w:snapToGrid/>
          <w:szCs w:val="22"/>
          <w:lang w:val="lt-LT"/>
        </w:rPr>
        <w:t xml:space="preserve"> turi būti skiriama atsargiai.</w:t>
      </w:r>
    </w:p>
    <w:p w14:paraId="1B4A982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7BADA3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ŪKS sergančius pacientus gydant morfinu, geriamųjų </w:t>
      </w:r>
      <w:r w:rsidRPr="0022257B">
        <w:rPr>
          <w:position w:val="2"/>
          <w:lang w:val="lt-LT"/>
        </w:rPr>
        <w:t>P2Y</w:t>
      </w:r>
      <w:r w:rsidRPr="0022257B">
        <w:rPr>
          <w:position w:val="2"/>
          <w:vertAlign w:val="subscript"/>
          <w:lang w:val="lt-LT"/>
        </w:rPr>
        <w:t>12</w:t>
      </w:r>
      <w:r>
        <w:rPr>
          <w:rFonts w:eastAsia="TimesNewRoman"/>
          <w:snapToGrid/>
          <w:szCs w:val="22"/>
          <w:lang w:val="lt-LT"/>
        </w:rPr>
        <w:t xml:space="preserve"> inhibitorių, įskaitant </w:t>
      </w:r>
      <w:proofErr w:type="spellStart"/>
      <w:r>
        <w:rPr>
          <w:rFonts w:eastAsia="TimesNewRoman"/>
          <w:snapToGrid/>
          <w:szCs w:val="22"/>
          <w:lang w:val="lt-LT"/>
        </w:rPr>
        <w:t>tikagrelorą</w:t>
      </w:r>
      <w:proofErr w:type="spellEnd"/>
      <w:r>
        <w:rPr>
          <w:rFonts w:eastAsia="TimesNewRoman"/>
          <w:snapToGrid/>
          <w:szCs w:val="22"/>
          <w:lang w:val="lt-LT"/>
        </w:rPr>
        <w:t xml:space="preserve"> ir jo aktyvų metabolitą, ekspozicija susidarė vėliau ir buvo mažesnė (</w:t>
      </w:r>
      <w:proofErr w:type="spellStart"/>
      <w:r>
        <w:rPr>
          <w:rFonts w:eastAsia="TimesNewRoman"/>
          <w:snapToGrid/>
          <w:szCs w:val="22"/>
          <w:lang w:val="lt-LT"/>
        </w:rPr>
        <w:t>tikagreloro</w:t>
      </w:r>
      <w:proofErr w:type="spellEnd"/>
      <w:r>
        <w:rPr>
          <w:rFonts w:eastAsia="TimesNewRoman"/>
          <w:snapToGrid/>
          <w:szCs w:val="22"/>
          <w:lang w:val="lt-LT"/>
        </w:rPr>
        <w:t xml:space="preserve"> ekspozicija – 35 % mažesnė). Ši sąveika gali būti susijusi su sulėtėjusia virškinimo trakto peristaltika ir taip pat pasireikšti vartojant kitų </w:t>
      </w:r>
      <w:proofErr w:type="spellStart"/>
      <w:r>
        <w:rPr>
          <w:rFonts w:eastAsia="TimesNewRoman"/>
          <w:snapToGrid/>
          <w:szCs w:val="22"/>
          <w:lang w:val="lt-LT"/>
        </w:rPr>
        <w:t>opioidų</w:t>
      </w:r>
      <w:proofErr w:type="spellEnd"/>
      <w:r>
        <w:rPr>
          <w:rFonts w:eastAsia="TimesNewRoman"/>
          <w:snapToGrid/>
          <w:szCs w:val="22"/>
          <w:lang w:val="lt-LT"/>
        </w:rPr>
        <w:t xml:space="preserve">. Klinikinė reikšmė neaiški, bet turimi duomenys rodo mažesnio </w:t>
      </w:r>
      <w:proofErr w:type="spellStart"/>
      <w:r>
        <w:rPr>
          <w:rFonts w:eastAsia="TimesNewRoman"/>
          <w:snapToGrid/>
          <w:szCs w:val="22"/>
          <w:lang w:val="lt-LT"/>
        </w:rPr>
        <w:t>tikagreloro</w:t>
      </w:r>
      <w:proofErr w:type="spellEnd"/>
      <w:r>
        <w:rPr>
          <w:rFonts w:eastAsia="TimesNewRoman"/>
          <w:snapToGrid/>
          <w:szCs w:val="22"/>
          <w:lang w:val="lt-LT"/>
        </w:rPr>
        <w:t xml:space="preserve"> veiksmingumo galimybę jį vartojant derinyje su morfinu. Jei ŪKS sergančiam pacientui morfino vartojimo atidėti negalima, o skubiai slopinti </w:t>
      </w:r>
      <w:r w:rsidRPr="0022257B">
        <w:rPr>
          <w:position w:val="2"/>
          <w:lang w:val="lt-LT"/>
        </w:rPr>
        <w:t>P2Y</w:t>
      </w:r>
      <w:r w:rsidRPr="0022257B">
        <w:rPr>
          <w:position w:val="2"/>
          <w:vertAlign w:val="subscript"/>
          <w:lang w:val="lt-LT"/>
        </w:rPr>
        <w:t>12</w:t>
      </w:r>
      <w:r>
        <w:rPr>
          <w:rFonts w:eastAsia="TimesNewRoman"/>
          <w:snapToGrid/>
          <w:szCs w:val="22"/>
          <w:lang w:val="lt-LT"/>
        </w:rPr>
        <w:t xml:space="preserve"> yra gyvybiškai svarbu, galima svarstyti galimybę skirti </w:t>
      </w:r>
      <w:r w:rsidRPr="0022257B">
        <w:rPr>
          <w:position w:val="2"/>
          <w:lang w:val="lt-LT"/>
        </w:rPr>
        <w:t>P2Y</w:t>
      </w:r>
      <w:r w:rsidRPr="0022257B">
        <w:rPr>
          <w:position w:val="2"/>
          <w:vertAlign w:val="subscript"/>
          <w:lang w:val="lt-LT"/>
        </w:rPr>
        <w:t>12</w:t>
      </w:r>
      <w:r>
        <w:rPr>
          <w:rFonts w:eastAsia="TimesNewRoman"/>
          <w:snapToGrid/>
          <w:szCs w:val="22"/>
          <w:lang w:val="lt-LT"/>
        </w:rPr>
        <w:t xml:space="preserve"> inhibitorių </w:t>
      </w:r>
      <w:proofErr w:type="spellStart"/>
      <w:r>
        <w:rPr>
          <w:rFonts w:eastAsia="TimesNewRoman"/>
          <w:snapToGrid/>
          <w:szCs w:val="22"/>
          <w:lang w:val="lt-LT"/>
        </w:rPr>
        <w:t>parenteraliai</w:t>
      </w:r>
      <w:proofErr w:type="spellEnd"/>
      <w:r>
        <w:rPr>
          <w:rFonts w:eastAsia="TimesNewRoman"/>
          <w:snapToGrid/>
          <w:szCs w:val="22"/>
          <w:lang w:val="lt-LT"/>
        </w:rPr>
        <w:t>.</w:t>
      </w:r>
    </w:p>
    <w:p w14:paraId="76536C77"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974F94D"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Tikagreloro</w:t>
      </w:r>
      <w:proofErr w:type="spellEnd"/>
      <w:r>
        <w:rPr>
          <w:rFonts w:eastAsia="TimesNewRoman"/>
          <w:snapToGrid/>
          <w:szCs w:val="22"/>
          <w:u w:val="single"/>
          <w:lang w:val="lt-LT"/>
        </w:rPr>
        <w:t xml:space="preserve"> įtaka kitų vaistinių preparatų poveikiui</w:t>
      </w:r>
    </w:p>
    <w:p w14:paraId="178D0AB7"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18E0DF2E"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 xml:space="preserve">Vaistiniai preparatai, kuriuos </w:t>
      </w:r>
      <w:proofErr w:type="spellStart"/>
      <w:r>
        <w:rPr>
          <w:rFonts w:eastAsia="TimesNewRoman"/>
          <w:i/>
          <w:iCs/>
          <w:snapToGrid/>
          <w:szCs w:val="22"/>
          <w:u w:val="single"/>
          <w:lang w:val="lt-LT"/>
        </w:rPr>
        <w:t>metabolizuoja</w:t>
      </w:r>
      <w:proofErr w:type="spellEnd"/>
      <w:r>
        <w:rPr>
          <w:rFonts w:eastAsia="TimesNewRoman"/>
          <w:i/>
          <w:iCs/>
          <w:snapToGrid/>
          <w:szCs w:val="22"/>
          <w:u w:val="single"/>
          <w:lang w:val="lt-LT"/>
        </w:rPr>
        <w:t xml:space="preserve"> CYP3A4</w:t>
      </w:r>
    </w:p>
    <w:p w14:paraId="05DEB33E" w14:textId="77777777" w:rsidR="009A4BFE" w:rsidRDefault="0051186A">
      <w:pPr>
        <w:numPr>
          <w:ilvl w:val="0"/>
          <w:numId w:val="7"/>
        </w:numPr>
        <w:tabs>
          <w:tab w:val="clear" w:pos="567"/>
        </w:tabs>
        <w:autoSpaceDE w:val="0"/>
        <w:autoSpaceDN w:val="0"/>
        <w:adjustRightInd w:val="0"/>
        <w:spacing w:line="240" w:lineRule="auto"/>
        <w:ind w:hanging="720"/>
        <w:rPr>
          <w:rFonts w:eastAsia="TimesNewRoman"/>
          <w:snapToGrid/>
          <w:szCs w:val="22"/>
          <w:lang w:val="lt-LT"/>
        </w:rPr>
      </w:pPr>
      <w:proofErr w:type="spellStart"/>
      <w:r>
        <w:rPr>
          <w:rFonts w:eastAsia="TimesNewRoman"/>
          <w:i/>
          <w:iCs/>
          <w:snapToGrid/>
          <w:szCs w:val="22"/>
          <w:lang w:val="lt-LT"/>
        </w:rPr>
        <w:t>Simvastatinas</w:t>
      </w:r>
      <w:proofErr w:type="spellEnd"/>
      <w:r>
        <w:rPr>
          <w:rFonts w:eastAsia="TimesNewRoman"/>
          <w:i/>
          <w:iCs/>
          <w:snapToGrid/>
          <w:szCs w:val="22"/>
          <w:lang w:val="lt-LT"/>
        </w:rPr>
        <w:t xml:space="preserve">. </w:t>
      </w: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simvastatino</w:t>
      </w:r>
      <w:proofErr w:type="spellEnd"/>
      <w:r>
        <w:rPr>
          <w:rFonts w:eastAsia="TimesNewRoman"/>
          <w:snapToGrid/>
          <w:szCs w:val="22"/>
          <w:lang w:val="lt-LT"/>
        </w:rPr>
        <w:t xml:space="preserve"> derinį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81 % ir AUC – 56 %, </w:t>
      </w:r>
      <w:proofErr w:type="spellStart"/>
      <w:r>
        <w:rPr>
          <w:rFonts w:eastAsia="TimesNewRoman"/>
          <w:snapToGrid/>
          <w:szCs w:val="22"/>
          <w:lang w:val="lt-LT"/>
        </w:rPr>
        <w:t>simvastatino</w:t>
      </w:r>
      <w:proofErr w:type="spellEnd"/>
      <w:r>
        <w:rPr>
          <w:rFonts w:eastAsia="TimesNewRoman"/>
          <w:snapToGrid/>
          <w:szCs w:val="22"/>
          <w:lang w:val="lt-LT"/>
        </w:rPr>
        <w:t xml:space="preserve"> rūgšties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64 % ir AUC – 52 %, tačiau atskiriems individams užfiksuota padidėjimo 2-3 kartus atvejų. Derinyje su didesnėmis kaip 40 mg </w:t>
      </w:r>
      <w:proofErr w:type="spellStart"/>
      <w:r>
        <w:rPr>
          <w:rFonts w:eastAsia="TimesNewRoman"/>
          <w:snapToGrid/>
          <w:szCs w:val="22"/>
          <w:lang w:val="lt-LT"/>
        </w:rPr>
        <w:t>simvastatino</w:t>
      </w:r>
      <w:proofErr w:type="spellEnd"/>
      <w:r>
        <w:rPr>
          <w:rFonts w:eastAsia="TimesNewRoman"/>
          <w:snapToGrid/>
          <w:szCs w:val="22"/>
          <w:lang w:val="lt-LT"/>
        </w:rPr>
        <w:t xml:space="preserve"> paros dozėmis vartojant </w:t>
      </w:r>
      <w:proofErr w:type="spellStart"/>
      <w:r>
        <w:rPr>
          <w:rFonts w:eastAsia="TimesNewRoman"/>
          <w:snapToGrid/>
          <w:szCs w:val="22"/>
          <w:lang w:val="lt-LT"/>
        </w:rPr>
        <w:t>tikagrelorą</w:t>
      </w:r>
      <w:proofErr w:type="spellEnd"/>
      <w:r>
        <w:rPr>
          <w:rFonts w:eastAsia="TimesNewRoman"/>
          <w:snapToGrid/>
          <w:szCs w:val="22"/>
          <w:lang w:val="lt-LT"/>
        </w:rPr>
        <w:t xml:space="preserve">, gali pasireikšti </w:t>
      </w:r>
      <w:proofErr w:type="spellStart"/>
      <w:r>
        <w:rPr>
          <w:rFonts w:eastAsia="TimesNewRoman"/>
          <w:snapToGrid/>
          <w:szCs w:val="22"/>
          <w:lang w:val="lt-LT"/>
        </w:rPr>
        <w:t>simvastatino</w:t>
      </w:r>
      <w:proofErr w:type="spellEnd"/>
      <w:r>
        <w:rPr>
          <w:rFonts w:eastAsia="TimesNewRoman"/>
          <w:snapToGrid/>
          <w:szCs w:val="22"/>
          <w:lang w:val="lt-LT"/>
        </w:rPr>
        <w:t xml:space="preserve"> nepageidaujamų reakcijų, kurių riziką reikia palyginti su galima šio derinio nauda. </w:t>
      </w:r>
      <w:proofErr w:type="spellStart"/>
      <w:r>
        <w:rPr>
          <w:rFonts w:eastAsia="TimesNewRoman"/>
          <w:snapToGrid/>
          <w:szCs w:val="22"/>
          <w:lang w:val="lt-LT"/>
        </w:rPr>
        <w:t>Simvastatinas</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koncentracijos plazmoje neveikė. </w:t>
      </w:r>
      <w:proofErr w:type="spellStart"/>
      <w:r>
        <w:rPr>
          <w:rFonts w:eastAsia="TimesNewRoman"/>
          <w:snapToGrid/>
          <w:szCs w:val="22"/>
          <w:lang w:val="lt-LT"/>
        </w:rPr>
        <w:t>Tikagreloras</w:t>
      </w:r>
      <w:proofErr w:type="spellEnd"/>
      <w:r>
        <w:rPr>
          <w:rFonts w:eastAsia="TimesNewRoman"/>
          <w:snapToGrid/>
          <w:szCs w:val="22"/>
          <w:lang w:val="lt-LT"/>
        </w:rPr>
        <w:t xml:space="preserve"> gali turėti panašios įtakos ir </w:t>
      </w:r>
      <w:proofErr w:type="spellStart"/>
      <w:r>
        <w:rPr>
          <w:rFonts w:eastAsia="TimesNewRoman"/>
          <w:snapToGrid/>
          <w:szCs w:val="22"/>
          <w:lang w:val="lt-LT"/>
        </w:rPr>
        <w:t>lovastatino</w:t>
      </w:r>
      <w:proofErr w:type="spellEnd"/>
      <w:r>
        <w:rPr>
          <w:rFonts w:eastAsia="TimesNewRoman"/>
          <w:snapToGrid/>
          <w:szCs w:val="22"/>
          <w:lang w:val="lt-LT"/>
        </w:rPr>
        <w:t xml:space="preserve"> koncentracijai. Derinyje su </w:t>
      </w:r>
      <w:proofErr w:type="spellStart"/>
      <w:r>
        <w:rPr>
          <w:rFonts w:eastAsia="TimesNewRoman"/>
          <w:snapToGrid/>
          <w:szCs w:val="22"/>
          <w:lang w:val="lt-LT"/>
        </w:rPr>
        <w:t>tikagreloru</w:t>
      </w:r>
      <w:proofErr w:type="spellEnd"/>
      <w:r>
        <w:rPr>
          <w:rFonts w:eastAsia="TimesNewRoman"/>
          <w:snapToGrid/>
          <w:szCs w:val="22"/>
          <w:lang w:val="lt-LT"/>
        </w:rPr>
        <w:t xml:space="preserve"> nerekomenduojama vartoti didesnių kaip 40 mg </w:t>
      </w:r>
      <w:proofErr w:type="spellStart"/>
      <w:r>
        <w:rPr>
          <w:rFonts w:eastAsia="TimesNewRoman"/>
          <w:snapToGrid/>
          <w:szCs w:val="22"/>
          <w:lang w:val="lt-LT"/>
        </w:rPr>
        <w:t>simvastatino</w:t>
      </w:r>
      <w:proofErr w:type="spellEnd"/>
      <w:r>
        <w:rPr>
          <w:rFonts w:eastAsia="TimesNewRoman"/>
          <w:snapToGrid/>
          <w:szCs w:val="22"/>
          <w:lang w:val="lt-LT"/>
        </w:rPr>
        <w:t xml:space="preserve"> ir </w:t>
      </w:r>
      <w:proofErr w:type="spellStart"/>
      <w:r>
        <w:rPr>
          <w:rFonts w:eastAsia="TimesNewRoman"/>
          <w:snapToGrid/>
          <w:szCs w:val="22"/>
          <w:lang w:val="lt-LT"/>
        </w:rPr>
        <w:t>lovastatino</w:t>
      </w:r>
      <w:proofErr w:type="spellEnd"/>
      <w:r>
        <w:rPr>
          <w:rFonts w:eastAsia="TimesNewRoman"/>
          <w:snapToGrid/>
          <w:szCs w:val="22"/>
          <w:lang w:val="lt-LT"/>
        </w:rPr>
        <w:t xml:space="preserve"> dozių.</w:t>
      </w:r>
    </w:p>
    <w:p w14:paraId="4B8F0898" w14:textId="77777777" w:rsidR="009A4BFE" w:rsidRDefault="0051186A">
      <w:pPr>
        <w:numPr>
          <w:ilvl w:val="0"/>
          <w:numId w:val="7"/>
        </w:numPr>
        <w:tabs>
          <w:tab w:val="clear" w:pos="567"/>
        </w:tabs>
        <w:autoSpaceDE w:val="0"/>
        <w:autoSpaceDN w:val="0"/>
        <w:adjustRightInd w:val="0"/>
        <w:spacing w:line="240" w:lineRule="auto"/>
        <w:ind w:hanging="720"/>
        <w:rPr>
          <w:rFonts w:eastAsia="TimesNewRoman"/>
          <w:snapToGrid/>
          <w:szCs w:val="22"/>
          <w:lang w:val="lt-LT"/>
        </w:rPr>
      </w:pPr>
      <w:proofErr w:type="spellStart"/>
      <w:r>
        <w:rPr>
          <w:rFonts w:eastAsia="TimesNewRoman"/>
          <w:i/>
          <w:iCs/>
          <w:snapToGrid/>
          <w:szCs w:val="22"/>
          <w:lang w:val="lt-LT"/>
        </w:rPr>
        <w:t>Atorvastatinas</w:t>
      </w:r>
      <w:proofErr w:type="spellEnd"/>
      <w:r>
        <w:rPr>
          <w:rFonts w:eastAsia="TimesNewRoman"/>
          <w:i/>
          <w:iCs/>
          <w:snapToGrid/>
          <w:szCs w:val="22"/>
          <w:lang w:val="lt-LT"/>
        </w:rPr>
        <w:t xml:space="preserve">. </w:t>
      </w:r>
      <w:r>
        <w:rPr>
          <w:rFonts w:eastAsia="TimesNewRoman"/>
          <w:snapToGrid/>
          <w:szCs w:val="22"/>
          <w:lang w:val="lt-LT"/>
        </w:rPr>
        <w:t xml:space="preserve">Vartojant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atorvastatino</w:t>
      </w:r>
      <w:proofErr w:type="spellEnd"/>
      <w:r>
        <w:rPr>
          <w:rFonts w:eastAsia="TimesNewRoman"/>
          <w:snapToGrid/>
          <w:szCs w:val="22"/>
          <w:lang w:val="lt-LT"/>
        </w:rPr>
        <w:t xml:space="preserve"> derinį </w:t>
      </w:r>
      <w:proofErr w:type="spellStart"/>
      <w:r>
        <w:rPr>
          <w:rFonts w:eastAsia="TimesNewRoman"/>
          <w:snapToGrid/>
          <w:szCs w:val="22"/>
          <w:lang w:val="lt-LT"/>
        </w:rPr>
        <w:t>atorvastatino</w:t>
      </w:r>
      <w:proofErr w:type="spellEnd"/>
      <w:r>
        <w:rPr>
          <w:rFonts w:eastAsia="TimesNewRoman"/>
          <w:snapToGrid/>
          <w:szCs w:val="22"/>
          <w:lang w:val="lt-LT"/>
        </w:rPr>
        <w:t xml:space="preserve"> rūgšties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23 % ir AUC – 36</w:t>
      </w:r>
      <w:r>
        <w:rPr>
          <w:rFonts w:eastAsia="TimesNewRoman"/>
          <w:snapToGrid/>
          <w:sz w:val="20"/>
          <w:szCs w:val="22"/>
          <w:lang w:val="lt-LT"/>
        </w:rPr>
        <w:t> </w:t>
      </w:r>
      <w:r>
        <w:rPr>
          <w:rFonts w:eastAsia="TimesNewRoman"/>
          <w:snapToGrid/>
          <w:szCs w:val="22"/>
          <w:lang w:val="lt-LT"/>
        </w:rPr>
        <w:t xml:space="preserve">%. Taip pat nustatytas panašus visų </w:t>
      </w:r>
      <w:proofErr w:type="spellStart"/>
      <w:r>
        <w:rPr>
          <w:rFonts w:eastAsia="TimesNewRoman"/>
          <w:snapToGrid/>
          <w:szCs w:val="22"/>
          <w:lang w:val="lt-LT"/>
        </w:rPr>
        <w:t>atorvastatino</w:t>
      </w:r>
      <w:proofErr w:type="spellEnd"/>
      <w:r>
        <w:rPr>
          <w:rFonts w:eastAsia="TimesNewRoman"/>
          <w:snapToGrid/>
          <w:szCs w:val="22"/>
          <w:lang w:val="lt-LT"/>
        </w:rPr>
        <w:t xml:space="preserve"> rūgšties metabolitų AUC ir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padidėjimas. Šie padidėjimai kliniškai reikšmingais nelaikomi.</w:t>
      </w:r>
    </w:p>
    <w:p w14:paraId="49499C77" w14:textId="77777777" w:rsidR="009A4BFE" w:rsidRDefault="0051186A">
      <w:pPr>
        <w:numPr>
          <w:ilvl w:val="0"/>
          <w:numId w:val="7"/>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 xml:space="preserve">Negalima atmesti panašaus poveikio kitiems </w:t>
      </w:r>
      <w:proofErr w:type="spellStart"/>
      <w:r>
        <w:rPr>
          <w:rFonts w:eastAsia="TimesNewRoman"/>
          <w:snapToGrid/>
          <w:szCs w:val="22"/>
          <w:lang w:val="lt-LT"/>
        </w:rPr>
        <w:t>statinams</w:t>
      </w:r>
      <w:proofErr w:type="spellEnd"/>
      <w:r>
        <w:rPr>
          <w:rFonts w:eastAsia="TimesNewRoman"/>
          <w:snapToGrid/>
          <w:szCs w:val="22"/>
          <w:lang w:val="lt-LT"/>
        </w:rPr>
        <w:t xml:space="preserve">, kuriuos </w:t>
      </w:r>
      <w:proofErr w:type="spellStart"/>
      <w:r>
        <w:rPr>
          <w:rFonts w:eastAsia="TimesNewRoman"/>
          <w:snapToGrid/>
          <w:szCs w:val="22"/>
          <w:lang w:val="lt-LT"/>
        </w:rPr>
        <w:t>metabolizuoja</w:t>
      </w:r>
      <w:proofErr w:type="spellEnd"/>
      <w:r>
        <w:rPr>
          <w:rFonts w:eastAsia="TimesNewRoman"/>
          <w:snapToGrid/>
          <w:szCs w:val="22"/>
          <w:lang w:val="lt-LT"/>
        </w:rPr>
        <w:t xml:space="preserve"> CYP3A4, galimybės. PLATO tyrimo metu pacientams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vartojus įvairių kitų </w:t>
      </w:r>
      <w:proofErr w:type="spellStart"/>
      <w:r>
        <w:rPr>
          <w:rFonts w:eastAsia="TimesNewRoman"/>
          <w:snapToGrid/>
          <w:szCs w:val="22"/>
          <w:lang w:val="lt-LT"/>
        </w:rPr>
        <w:t>statinų</w:t>
      </w:r>
      <w:proofErr w:type="spellEnd"/>
      <w:r>
        <w:rPr>
          <w:rFonts w:eastAsia="TimesNewRoman"/>
          <w:snapToGrid/>
          <w:szCs w:val="22"/>
          <w:lang w:val="lt-LT"/>
        </w:rPr>
        <w:t xml:space="preserve"> (</w:t>
      </w:r>
      <w:proofErr w:type="spellStart"/>
      <w:r>
        <w:rPr>
          <w:rFonts w:eastAsia="TimesNewRoman"/>
          <w:snapToGrid/>
          <w:szCs w:val="22"/>
          <w:lang w:val="lt-LT"/>
        </w:rPr>
        <w:t>statinų</w:t>
      </w:r>
      <w:proofErr w:type="spellEnd"/>
      <w:r>
        <w:rPr>
          <w:rFonts w:eastAsia="TimesNewRoman"/>
          <w:snapToGrid/>
          <w:szCs w:val="22"/>
          <w:lang w:val="lt-LT"/>
        </w:rPr>
        <w:t xml:space="preserve"> vartojusių pacientų kohorta sudarė 93 %), abejonių dėl </w:t>
      </w:r>
      <w:proofErr w:type="spellStart"/>
      <w:r>
        <w:rPr>
          <w:rFonts w:eastAsia="TimesNewRoman"/>
          <w:snapToGrid/>
          <w:szCs w:val="22"/>
          <w:lang w:val="lt-LT"/>
        </w:rPr>
        <w:t>statinų</w:t>
      </w:r>
      <w:proofErr w:type="spellEnd"/>
      <w:r>
        <w:rPr>
          <w:rFonts w:eastAsia="TimesNewRoman"/>
          <w:snapToGrid/>
          <w:szCs w:val="22"/>
          <w:lang w:val="lt-LT"/>
        </w:rPr>
        <w:t xml:space="preserve"> saugumo nekilo.</w:t>
      </w:r>
    </w:p>
    <w:p w14:paraId="280454A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492F5E55"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silpnai slopina CYP3A4. </w:t>
      </w:r>
      <w:proofErr w:type="spellStart"/>
      <w:r>
        <w:rPr>
          <w:rFonts w:eastAsia="TimesNewRoman"/>
          <w:snapToGrid/>
          <w:szCs w:val="22"/>
          <w:lang w:val="lt-LT"/>
        </w:rPr>
        <w:t>Tikagreloro</w:t>
      </w:r>
      <w:proofErr w:type="spellEnd"/>
      <w:r>
        <w:rPr>
          <w:rFonts w:eastAsia="TimesNewRoman"/>
          <w:snapToGrid/>
          <w:szCs w:val="22"/>
          <w:lang w:val="lt-LT"/>
        </w:rPr>
        <w:t xml:space="preserve"> nerekomenduojama vartoti derinyje su CYP3A4 substratais, kurių terapinis indeksas siauras (pvz., </w:t>
      </w:r>
      <w:proofErr w:type="spellStart"/>
      <w:r>
        <w:rPr>
          <w:rFonts w:eastAsia="TimesNewRoman"/>
          <w:snapToGrid/>
          <w:szCs w:val="22"/>
          <w:lang w:val="lt-LT"/>
        </w:rPr>
        <w:t>cisapridu</w:t>
      </w:r>
      <w:proofErr w:type="spellEnd"/>
      <w:r>
        <w:rPr>
          <w:rFonts w:eastAsia="TimesNewRoman"/>
          <w:snapToGrid/>
          <w:szCs w:val="22"/>
          <w:lang w:val="lt-LT"/>
        </w:rPr>
        <w:t xml:space="preserve"> ir skalsių alkaloidais), kadangi dėl </w:t>
      </w:r>
      <w:proofErr w:type="spellStart"/>
      <w:r>
        <w:rPr>
          <w:rFonts w:eastAsia="TimesNewRoman"/>
          <w:snapToGrid/>
          <w:szCs w:val="22"/>
          <w:lang w:val="lt-LT"/>
        </w:rPr>
        <w:t>tikagreloro</w:t>
      </w:r>
      <w:proofErr w:type="spellEnd"/>
      <w:r>
        <w:rPr>
          <w:rFonts w:eastAsia="TimesNewRoman"/>
          <w:snapToGrid/>
          <w:szCs w:val="22"/>
          <w:lang w:val="lt-LT"/>
        </w:rPr>
        <w:t xml:space="preserve"> poveikio gali padidėti šių vaistinių preparatų ekspozicija.</w:t>
      </w:r>
    </w:p>
    <w:p w14:paraId="3942C569"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519C2183"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proofErr w:type="spellStart"/>
      <w:r>
        <w:rPr>
          <w:rFonts w:eastAsia="TimesNewRoman"/>
          <w:i/>
          <w:iCs/>
          <w:snapToGrid/>
          <w:szCs w:val="22"/>
          <w:u w:val="single"/>
          <w:lang w:val="lt-LT"/>
        </w:rPr>
        <w:t>PgP</w:t>
      </w:r>
      <w:proofErr w:type="spellEnd"/>
      <w:r>
        <w:rPr>
          <w:rFonts w:eastAsia="TimesNewRoman"/>
          <w:i/>
          <w:iCs/>
          <w:snapToGrid/>
          <w:szCs w:val="22"/>
          <w:u w:val="single"/>
          <w:lang w:val="lt-LT"/>
        </w:rPr>
        <w:t xml:space="preserve"> substratai, įskaitant </w:t>
      </w:r>
      <w:proofErr w:type="spellStart"/>
      <w:r>
        <w:rPr>
          <w:rFonts w:eastAsia="TimesNewRoman"/>
          <w:i/>
          <w:iCs/>
          <w:snapToGrid/>
          <w:szCs w:val="22"/>
          <w:u w:val="single"/>
          <w:lang w:val="lt-LT"/>
        </w:rPr>
        <w:t>digoksiną</w:t>
      </w:r>
      <w:proofErr w:type="spellEnd"/>
      <w:r>
        <w:rPr>
          <w:rFonts w:eastAsia="TimesNewRoman"/>
          <w:i/>
          <w:iCs/>
          <w:snapToGrid/>
          <w:szCs w:val="22"/>
          <w:u w:val="single"/>
          <w:lang w:val="lt-LT"/>
        </w:rPr>
        <w:t xml:space="preserve"> ir </w:t>
      </w:r>
      <w:proofErr w:type="spellStart"/>
      <w:r>
        <w:rPr>
          <w:rFonts w:eastAsia="TimesNewRoman"/>
          <w:i/>
          <w:iCs/>
          <w:snapToGrid/>
          <w:szCs w:val="22"/>
          <w:u w:val="single"/>
          <w:lang w:val="lt-LT"/>
        </w:rPr>
        <w:t>ciklosporiną</w:t>
      </w:r>
      <w:proofErr w:type="spellEnd"/>
    </w:p>
    <w:p w14:paraId="6DBE8CA8"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vartojant </w:t>
      </w:r>
      <w:proofErr w:type="spellStart"/>
      <w:r>
        <w:rPr>
          <w:rFonts w:eastAsia="TimesNewRoman"/>
          <w:snapToGrid/>
          <w:szCs w:val="22"/>
          <w:lang w:val="lt-LT"/>
        </w:rPr>
        <w:t>tikagrelorą</w:t>
      </w:r>
      <w:proofErr w:type="spellEnd"/>
      <w:r>
        <w:rPr>
          <w:rFonts w:eastAsia="TimesNewRoman"/>
          <w:snapToGrid/>
          <w:szCs w:val="22"/>
          <w:lang w:val="lt-LT"/>
        </w:rPr>
        <w:t xml:space="preserve">, </w:t>
      </w:r>
      <w:proofErr w:type="spellStart"/>
      <w:r>
        <w:rPr>
          <w:rFonts w:eastAsia="TimesNewRoman"/>
          <w:snapToGrid/>
          <w:szCs w:val="22"/>
          <w:lang w:val="lt-LT"/>
        </w:rPr>
        <w:t>digoksino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padidėjo 75 %, o AUC – 28 %. Vidutinė minimali </w:t>
      </w:r>
      <w:proofErr w:type="spellStart"/>
      <w:r>
        <w:rPr>
          <w:rFonts w:eastAsia="TimesNewRoman"/>
          <w:snapToGrid/>
          <w:szCs w:val="22"/>
          <w:lang w:val="lt-LT"/>
        </w:rPr>
        <w:t>digoksino</w:t>
      </w:r>
      <w:proofErr w:type="spellEnd"/>
      <w:r>
        <w:rPr>
          <w:rFonts w:eastAsia="TimesNewRoman"/>
          <w:snapToGrid/>
          <w:szCs w:val="22"/>
          <w:lang w:val="lt-LT"/>
        </w:rPr>
        <w:t xml:space="preserve"> koncentracija derinyje vartojant </w:t>
      </w:r>
      <w:proofErr w:type="spellStart"/>
      <w:r>
        <w:rPr>
          <w:rFonts w:eastAsia="TimesNewRoman"/>
          <w:snapToGrid/>
          <w:szCs w:val="22"/>
          <w:lang w:val="lt-LT"/>
        </w:rPr>
        <w:t>tikagrelorą</w:t>
      </w:r>
      <w:proofErr w:type="spellEnd"/>
      <w:r>
        <w:rPr>
          <w:rFonts w:eastAsia="TimesNewRoman"/>
          <w:snapToGrid/>
          <w:szCs w:val="22"/>
          <w:lang w:val="lt-LT"/>
        </w:rPr>
        <w:t xml:space="preserve"> padidėjo maždaug 30 %, o kai kuriems asmenims didžiausias jos padidėjimas buvo dvigubas. </w:t>
      </w:r>
      <w:proofErr w:type="spellStart"/>
      <w:r>
        <w:rPr>
          <w:rFonts w:eastAsia="TimesNewRoman"/>
          <w:snapToGrid/>
          <w:szCs w:val="22"/>
          <w:lang w:val="lt-LT"/>
        </w:rPr>
        <w:t>Digoksinas</w:t>
      </w:r>
      <w:proofErr w:type="spellEnd"/>
      <w:r>
        <w:rPr>
          <w:rFonts w:eastAsia="TimesNewRoman"/>
          <w:snapToGrid/>
          <w:szCs w:val="22"/>
          <w:lang w:val="lt-LT"/>
        </w:rPr>
        <w:t xml:space="preserve"> įtakos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bei AUC neturėjo. Dėl to derinyje su </w:t>
      </w:r>
      <w:proofErr w:type="spellStart"/>
      <w:r>
        <w:rPr>
          <w:rFonts w:eastAsia="TimesNewRoman"/>
          <w:snapToGrid/>
          <w:szCs w:val="22"/>
          <w:lang w:val="lt-LT"/>
        </w:rPr>
        <w:t>tikagreloru</w:t>
      </w:r>
      <w:proofErr w:type="spellEnd"/>
      <w:r>
        <w:rPr>
          <w:rFonts w:eastAsia="TimesNewRoman"/>
          <w:snapToGrid/>
          <w:szCs w:val="22"/>
          <w:lang w:val="lt-LT"/>
        </w:rPr>
        <w:t xml:space="preserve"> vartojant siauro terapinio indekso </w:t>
      </w:r>
      <w:r>
        <w:rPr>
          <w:rFonts w:eastAsia="TimesNewRoman"/>
          <w:snapToGrid/>
          <w:szCs w:val="22"/>
          <w:lang w:val="lt-LT"/>
        </w:rPr>
        <w:lastRenderedPageBreak/>
        <w:t>vaistinių preparatų, kurių koncentracija priklauso nuo P-</w:t>
      </w:r>
      <w:proofErr w:type="spellStart"/>
      <w:r>
        <w:rPr>
          <w:rFonts w:eastAsia="TimesNewRoman"/>
          <w:snapToGrid/>
          <w:szCs w:val="22"/>
          <w:lang w:val="lt-LT"/>
        </w:rPr>
        <w:t>gp</w:t>
      </w:r>
      <w:proofErr w:type="spellEnd"/>
      <w:r>
        <w:rPr>
          <w:rFonts w:eastAsia="TimesNewRoman"/>
          <w:snapToGrid/>
          <w:szCs w:val="22"/>
          <w:lang w:val="lt-LT"/>
        </w:rPr>
        <w:t xml:space="preserve"> (pvz., </w:t>
      </w:r>
      <w:proofErr w:type="spellStart"/>
      <w:r>
        <w:rPr>
          <w:rFonts w:eastAsia="TimesNewRoman"/>
          <w:snapToGrid/>
          <w:szCs w:val="22"/>
          <w:lang w:val="lt-LT"/>
        </w:rPr>
        <w:t>digoksino</w:t>
      </w:r>
      <w:proofErr w:type="spellEnd"/>
      <w:r>
        <w:rPr>
          <w:rFonts w:eastAsia="TimesNewRoman"/>
          <w:snapToGrid/>
          <w:szCs w:val="22"/>
          <w:lang w:val="lt-LT"/>
        </w:rPr>
        <w:t>), rekomenduojamas atitinkamas klinikinis ir (arba) laboratorinis stebėjimas.</w:t>
      </w:r>
    </w:p>
    <w:p w14:paraId="422702B7"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D9FFFB8"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Įtakos </w:t>
      </w:r>
      <w:proofErr w:type="spellStart"/>
      <w:r>
        <w:rPr>
          <w:rFonts w:eastAsia="TimesNewRoman"/>
          <w:snapToGrid/>
          <w:szCs w:val="22"/>
          <w:lang w:val="lt-LT"/>
        </w:rPr>
        <w:t>ciklosporino</w:t>
      </w:r>
      <w:proofErr w:type="spellEnd"/>
      <w:r>
        <w:rPr>
          <w:rFonts w:eastAsia="TimesNewRoman"/>
          <w:snapToGrid/>
          <w:szCs w:val="22"/>
          <w:lang w:val="lt-LT"/>
        </w:rPr>
        <w:t xml:space="preserve"> koncentracijai kraujyje </w:t>
      </w:r>
      <w:proofErr w:type="spellStart"/>
      <w:r>
        <w:rPr>
          <w:rFonts w:eastAsia="TimesNewRoman"/>
          <w:snapToGrid/>
          <w:szCs w:val="22"/>
          <w:lang w:val="lt-LT"/>
        </w:rPr>
        <w:t>tikagreloras</w:t>
      </w:r>
      <w:proofErr w:type="spellEnd"/>
      <w:r>
        <w:rPr>
          <w:rFonts w:eastAsia="TimesNewRoman"/>
          <w:snapToGrid/>
          <w:szCs w:val="22"/>
          <w:lang w:val="lt-LT"/>
        </w:rPr>
        <w:t xml:space="preserve"> nedaro. </w:t>
      </w:r>
      <w:proofErr w:type="spellStart"/>
      <w:r>
        <w:rPr>
          <w:rFonts w:eastAsia="TimesNewRoman"/>
          <w:snapToGrid/>
          <w:szCs w:val="22"/>
          <w:lang w:val="lt-LT"/>
        </w:rPr>
        <w:t>Tikagreloro</w:t>
      </w:r>
      <w:proofErr w:type="spellEnd"/>
      <w:r>
        <w:rPr>
          <w:rFonts w:eastAsia="TimesNewRoman"/>
          <w:snapToGrid/>
          <w:szCs w:val="22"/>
          <w:lang w:val="lt-LT"/>
        </w:rPr>
        <w:t xml:space="preserve"> poveikis kitų P-</w:t>
      </w:r>
      <w:proofErr w:type="spellStart"/>
      <w:r>
        <w:rPr>
          <w:rFonts w:eastAsia="TimesNewRoman"/>
          <w:snapToGrid/>
          <w:szCs w:val="22"/>
          <w:lang w:val="lt-LT"/>
        </w:rPr>
        <w:t>gp</w:t>
      </w:r>
      <w:proofErr w:type="spellEnd"/>
      <w:r>
        <w:rPr>
          <w:rFonts w:eastAsia="TimesNewRoman"/>
          <w:snapToGrid/>
          <w:szCs w:val="22"/>
          <w:lang w:val="lt-LT"/>
        </w:rPr>
        <w:t xml:space="preserve"> substratų koncentracijai netirtas.</w:t>
      </w:r>
    </w:p>
    <w:p w14:paraId="2E221C7F"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6DAC0847"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 xml:space="preserve">Vaistiniai preparatai, kuriuos </w:t>
      </w:r>
      <w:proofErr w:type="spellStart"/>
      <w:r>
        <w:rPr>
          <w:rFonts w:eastAsia="TimesNewRoman"/>
          <w:i/>
          <w:iCs/>
          <w:snapToGrid/>
          <w:szCs w:val="22"/>
          <w:u w:val="single"/>
          <w:lang w:val="lt-LT"/>
        </w:rPr>
        <w:t>metabolizuoja</w:t>
      </w:r>
      <w:proofErr w:type="spellEnd"/>
      <w:r>
        <w:rPr>
          <w:rFonts w:eastAsia="TimesNewRoman"/>
          <w:i/>
          <w:iCs/>
          <w:snapToGrid/>
          <w:szCs w:val="22"/>
          <w:u w:val="single"/>
          <w:lang w:val="lt-LT"/>
        </w:rPr>
        <w:t xml:space="preserve"> CYP2C9</w:t>
      </w:r>
    </w:p>
    <w:p w14:paraId="7BC68B5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vartojant </w:t>
      </w:r>
      <w:proofErr w:type="spellStart"/>
      <w:r>
        <w:rPr>
          <w:rFonts w:eastAsia="TimesNewRoman"/>
          <w:snapToGrid/>
          <w:szCs w:val="22"/>
          <w:lang w:val="lt-LT"/>
        </w:rPr>
        <w:t>tikagrelorą</w:t>
      </w:r>
      <w:proofErr w:type="spellEnd"/>
      <w:r>
        <w:rPr>
          <w:rFonts w:eastAsia="TimesNewRoman"/>
          <w:snapToGrid/>
          <w:szCs w:val="22"/>
          <w:lang w:val="lt-LT"/>
        </w:rPr>
        <w:t xml:space="preserve"> ir </w:t>
      </w:r>
      <w:proofErr w:type="spellStart"/>
      <w:r>
        <w:rPr>
          <w:rFonts w:eastAsia="TimesNewRoman"/>
          <w:snapToGrid/>
          <w:szCs w:val="22"/>
          <w:lang w:val="lt-LT"/>
        </w:rPr>
        <w:t>tolbutamidą</w:t>
      </w:r>
      <w:proofErr w:type="spellEnd"/>
      <w:r>
        <w:rPr>
          <w:rFonts w:eastAsia="TimesNewRoman"/>
          <w:snapToGrid/>
          <w:szCs w:val="22"/>
          <w:lang w:val="lt-LT"/>
        </w:rPr>
        <w:t xml:space="preserve">, nė vieno iš jų koncentracija plazmoje nepakito. Dėl to reikia manyti, kad </w:t>
      </w:r>
      <w:proofErr w:type="spellStart"/>
      <w:r>
        <w:rPr>
          <w:rFonts w:eastAsia="TimesNewRoman"/>
          <w:snapToGrid/>
          <w:szCs w:val="22"/>
          <w:lang w:val="lt-LT"/>
        </w:rPr>
        <w:t>tikagreloras</w:t>
      </w:r>
      <w:proofErr w:type="spellEnd"/>
      <w:r>
        <w:rPr>
          <w:rFonts w:eastAsia="TimesNewRoman"/>
          <w:snapToGrid/>
          <w:szCs w:val="22"/>
          <w:lang w:val="lt-LT"/>
        </w:rPr>
        <w:t xml:space="preserve"> neslopina CYP2C9 ir neturi veikti nuo CYP2C9 priklausomo vaistinių preparatų (pvz., varfarino ir </w:t>
      </w:r>
      <w:proofErr w:type="spellStart"/>
      <w:r>
        <w:rPr>
          <w:rFonts w:eastAsia="TimesNewRoman"/>
          <w:snapToGrid/>
          <w:szCs w:val="22"/>
          <w:lang w:val="lt-LT"/>
        </w:rPr>
        <w:t>tolbutamido</w:t>
      </w:r>
      <w:proofErr w:type="spellEnd"/>
      <w:r>
        <w:rPr>
          <w:rFonts w:eastAsia="TimesNewRoman"/>
          <w:snapToGrid/>
          <w:szCs w:val="22"/>
          <w:lang w:val="lt-LT"/>
        </w:rPr>
        <w:t>) metabolizmo.</w:t>
      </w:r>
    </w:p>
    <w:p w14:paraId="0ADBA8A0"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27E0C1E4"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proofErr w:type="spellStart"/>
      <w:r>
        <w:rPr>
          <w:rFonts w:eastAsia="TimesNewRoman"/>
          <w:i/>
          <w:iCs/>
          <w:snapToGrid/>
          <w:szCs w:val="22"/>
          <w:u w:val="single"/>
          <w:lang w:val="lt-LT"/>
        </w:rPr>
        <w:t>Rozuvastatinas</w:t>
      </w:r>
      <w:proofErr w:type="spellEnd"/>
      <w:r>
        <w:rPr>
          <w:rFonts w:eastAsia="TimesNewRoman"/>
          <w:i/>
          <w:iCs/>
          <w:snapToGrid/>
          <w:szCs w:val="22"/>
          <w:u w:val="single"/>
          <w:lang w:val="lt-LT"/>
        </w:rPr>
        <w:t xml:space="preserve"> (BCRP substratas)</w:t>
      </w:r>
    </w:p>
    <w:p w14:paraId="1DF04B33" w14:textId="00B57EA2" w:rsidR="00EB66CA" w:rsidRDefault="0051186A">
      <w:pPr>
        <w:tabs>
          <w:tab w:val="clear" w:pos="567"/>
        </w:tabs>
        <w:autoSpaceDE w:val="0"/>
        <w:autoSpaceDN w:val="0"/>
        <w:adjustRightInd w:val="0"/>
        <w:spacing w:line="240" w:lineRule="auto"/>
        <w:rPr>
          <w:rFonts w:eastAsia="TimesNewRoman"/>
          <w:iCs/>
          <w:snapToGrid/>
          <w:szCs w:val="22"/>
          <w:lang w:val="lt-LT"/>
        </w:rPr>
      </w:pPr>
      <w:r>
        <w:rPr>
          <w:rFonts w:eastAsia="TimesNewRoman"/>
          <w:iCs/>
          <w:snapToGrid/>
          <w:szCs w:val="22"/>
          <w:lang w:val="lt-LT"/>
        </w:rPr>
        <w:t xml:space="preserve">Nustatyta, kad </w:t>
      </w:r>
      <w:proofErr w:type="spellStart"/>
      <w:r>
        <w:rPr>
          <w:rFonts w:eastAsia="TimesNewRoman"/>
          <w:iCs/>
          <w:snapToGrid/>
          <w:szCs w:val="22"/>
          <w:lang w:val="lt-LT"/>
        </w:rPr>
        <w:t>tikagreloras</w:t>
      </w:r>
      <w:proofErr w:type="spellEnd"/>
      <w:r>
        <w:rPr>
          <w:rFonts w:eastAsia="TimesNewRoman"/>
          <w:iCs/>
          <w:snapToGrid/>
          <w:szCs w:val="22"/>
          <w:lang w:val="lt-LT"/>
        </w:rPr>
        <w:t xml:space="preserve"> padidina </w:t>
      </w:r>
      <w:proofErr w:type="spellStart"/>
      <w:r>
        <w:rPr>
          <w:rFonts w:eastAsia="TimesNewRoman"/>
          <w:iCs/>
          <w:snapToGrid/>
          <w:szCs w:val="22"/>
          <w:lang w:val="lt-LT"/>
        </w:rPr>
        <w:t>rozuvastatino</w:t>
      </w:r>
      <w:proofErr w:type="spellEnd"/>
      <w:r>
        <w:rPr>
          <w:rFonts w:eastAsia="TimesNewRoman"/>
          <w:iCs/>
          <w:snapToGrid/>
          <w:szCs w:val="22"/>
          <w:lang w:val="lt-LT"/>
        </w:rPr>
        <w:t xml:space="preserve"> koncentraciją, todėl gali padidėti </w:t>
      </w:r>
      <w:proofErr w:type="spellStart"/>
      <w:r>
        <w:rPr>
          <w:rFonts w:eastAsia="TimesNewRoman"/>
          <w:iCs/>
          <w:snapToGrid/>
          <w:szCs w:val="22"/>
          <w:lang w:val="lt-LT"/>
        </w:rPr>
        <w:t>miopatijos</w:t>
      </w:r>
      <w:proofErr w:type="spellEnd"/>
      <w:r>
        <w:rPr>
          <w:rFonts w:eastAsia="TimesNewRoman"/>
          <w:iCs/>
          <w:snapToGrid/>
          <w:szCs w:val="22"/>
          <w:lang w:val="lt-LT"/>
        </w:rPr>
        <w:t xml:space="preserve">, įskaitant </w:t>
      </w:r>
      <w:proofErr w:type="spellStart"/>
      <w:r>
        <w:rPr>
          <w:rFonts w:eastAsia="TimesNewRoman"/>
          <w:iCs/>
          <w:snapToGrid/>
          <w:szCs w:val="22"/>
          <w:lang w:val="lt-LT"/>
        </w:rPr>
        <w:t>rabdomiolizę</w:t>
      </w:r>
      <w:proofErr w:type="spellEnd"/>
      <w:r>
        <w:rPr>
          <w:rFonts w:eastAsia="TimesNewRoman"/>
          <w:iCs/>
          <w:snapToGrid/>
          <w:szCs w:val="22"/>
          <w:lang w:val="lt-LT"/>
        </w:rPr>
        <w:t xml:space="preserve">, rizika. Reikia </w:t>
      </w:r>
      <w:r w:rsidR="003104A2">
        <w:rPr>
          <w:rFonts w:eastAsia="TimesNewRoman"/>
          <w:iCs/>
          <w:snapToGrid/>
          <w:szCs w:val="22"/>
          <w:lang w:val="lt-LT"/>
        </w:rPr>
        <w:t>apsvar</w:t>
      </w:r>
      <w:r w:rsidR="00023960">
        <w:rPr>
          <w:rFonts w:eastAsia="TimesNewRoman"/>
          <w:iCs/>
          <w:snapToGrid/>
          <w:szCs w:val="22"/>
          <w:lang w:val="lt-LT"/>
        </w:rPr>
        <w:t>s</w:t>
      </w:r>
      <w:r w:rsidR="003104A2">
        <w:rPr>
          <w:rFonts w:eastAsia="TimesNewRoman"/>
          <w:iCs/>
          <w:snapToGrid/>
          <w:szCs w:val="22"/>
          <w:lang w:val="lt-LT"/>
        </w:rPr>
        <w:t xml:space="preserve">tyti </w:t>
      </w:r>
      <w:proofErr w:type="spellStart"/>
      <w:r w:rsidR="003104A2">
        <w:rPr>
          <w:rFonts w:eastAsia="TimesNewRoman"/>
          <w:iCs/>
          <w:snapToGrid/>
          <w:szCs w:val="22"/>
          <w:lang w:val="lt-LT"/>
        </w:rPr>
        <w:t>rozuvastatino</w:t>
      </w:r>
      <w:proofErr w:type="spellEnd"/>
      <w:r>
        <w:rPr>
          <w:rFonts w:eastAsia="TimesNewRoman"/>
          <w:iCs/>
          <w:snapToGrid/>
          <w:szCs w:val="22"/>
          <w:lang w:val="lt-LT"/>
        </w:rPr>
        <w:t xml:space="preserve"> </w:t>
      </w:r>
      <w:r w:rsidR="003104A2">
        <w:rPr>
          <w:rFonts w:eastAsia="TimesNewRoman"/>
          <w:iCs/>
          <w:snapToGrid/>
          <w:szCs w:val="22"/>
          <w:lang w:val="lt-LT"/>
        </w:rPr>
        <w:t>pagrindinių</w:t>
      </w:r>
      <w:r>
        <w:rPr>
          <w:rFonts w:eastAsia="TimesNewRoman"/>
          <w:iCs/>
          <w:snapToGrid/>
          <w:szCs w:val="22"/>
          <w:lang w:val="lt-LT"/>
        </w:rPr>
        <w:t xml:space="preserve"> nepageidaujamų širdies ir kraujagyslių reiškinių prevencijos naudą </w:t>
      </w:r>
      <w:r w:rsidR="003104A2">
        <w:rPr>
          <w:rFonts w:eastAsia="TimesNewRoman"/>
          <w:iCs/>
          <w:snapToGrid/>
          <w:szCs w:val="22"/>
          <w:lang w:val="lt-LT"/>
        </w:rPr>
        <w:t>ir</w:t>
      </w:r>
      <w:r>
        <w:rPr>
          <w:rFonts w:eastAsia="TimesNewRoman"/>
          <w:iCs/>
          <w:snapToGrid/>
          <w:szCs w:val="22"/>
          <w:lang w:val="lt-LT"/>
        </w:rPr>
        <w:t xml:space="preserve"> palyginti su rizika, </w:t>
      </w:r>
      <w:r w:rsidR="00F9747A">
        <w:rPr>
          <w:rFonts w:eastAsia="TimesNewRoman"/>
          <w:iCs/>
          <w:snapToGrid/>
          <w:szCs w:val="22"/>
          <w:lang w:val="lt-LT"/>
        </w:rPr>
        <w:t xml:space="preserve">kuri kyla, </w:t>
      </w:r>
      <w:r>
        <w:rPr>
          <w:rFonts w:eastAsia="TimesNewRoman"/>
          <w:iCs/>
          <w:snapToGrid/>
          <w:szCs w:val="22"/>
          <w:lang w:val="lt-LT"/>
        </w:rPr>
        <w:t xml:space="preserve">kai </w:t>
      </w:r>
      <w:proofErr w:type="spellStart"/>
      <w:r>
        <w:rPr>
          <w:rFonts w:eastAsia="TimesNewRoman"/>
          <w:iCs/>
          <w:snapToGrid/>
          <w:szCs w:val="22"/>
          <w:lang w:val="lt-LT"/>
        </w:rPr>
        <w:t>rozuvastatino</w:t>
      </w:r>
      <w:proofErr w:type="spellEnd"/>
      <w:r>
        <w:rPr>
          <w:rFonts w:eastAsia="TimesNewRoman"/>
          <w:iCs/>
          <w:snapToGrid/>
          <w:szCs w:val="22"/>
          <w:lang w:val="lt-LT"/>
        </w:rPr>
        <w:t xml:space="preserve"> koncentracija plazmoje padidėja.</w:t>
      </w:r>
    </w:p>
    <w:p w14:paraId="3057AADC"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2E4278F0"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Geriamieji kontraceptikai</w:t>
      </w:r>
    </w:p>
    <w:p w14:paraId="47265FC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vartojant </w:t>
      </w:r>
      <w:proofErr w:type="spellStart"/>
      <w:r>
        <w:rPr>
          <w:rFonts w:eastAsia="TimesNewRoman"/>
          <w:snapToGrid/>
          <w:szCs w:val="22"/>
          <w:lang w:val="lt-LT"/>
        </w:rPr>
        <w:t>tikagrelorą</w:t>
      </w:r>
      <w:proofErr w:type="spellEnd"/>
      <w:r>
        <w:rPr>
          <w:rFonts w:eastAsia="TimesNewRoman"/>
          <w:snapToGrid/>
          <w:szCs w:val="22"/>
          <w:lang w:val="lt-LT"/>
        </w:rPr>
        <w:t xml:space="preserve">, </w:t>
      </w:r>
      <w:proofErr w:type="spellStart"/>
      <w:r>
        <w:rPr>
          <w:rFonts w:eastAsia="TimesNewRoman"/>
          <w:snapToGrid/>
          <w:szCs w:val="22"/>
          <w:lang w:val="lt-LT"/>
        </w:rPr>
        <w:t>levonorgestrelį</w:t>
      </w:r>
      <w:proofErr w:type="spellEnd"/>
      <w:r>
        <w:rPr>
          <w:rFonts w:eastAsia="TimesNewRoman"/>
          <w:snapToGrid/>
          <w:szCs w:val="22"/>
          <w:lang w:val="lt-LT"/>
        </w:rPr>
        <w:t xml:space="preserve"> ir </w:t>
      </w:r>
      <w:proofErr w:type="spellStart"/>
      <w:r>
        <w:rPr>
          <w:rFonts w:eastAsia="TimesNewRoman"/>
          <w:snapToGrid/>
          <w:szCs w:val="22"/>
          <w:lang w:val="lt-LT"/>
        </w:rPr>
        <w:t>etinilestradiolį</w:t>
      </w:r>
      <w:proofErr w:type="spellEnd"/>
      <w:r>
        <w:rPr>
          <w:rFonts w:eastAsia="TimesNewRoman"/>
          <w:snapToGrid/>
          <w:szCs w:val="22"/>
          <w:lang w:val="lt-LT"/>
        </w:rPr>
        <w:t xml:space="preserve">, maždaug 20 % padidėjo </w:t>
      </w:r>
      <w:proofErr w:type="spellStart"/>
      <w:r>
        <w:rPr>
          <w:rFonts w:eastAsia="TimesNewRoman"/>
          <w:snapToGrid/>
          <w:szCs w:val="22"/>
          <w:lang w:val="lt-LT"/>
        </w:rPr>
        <w:t>etinilestradiolio</w:t>
      </w:r>
      <w:proofErr w:type="spellEnd"/>
      <w:r>
        <w:rPr>
          <w:rFonts w:eastAsia="TimesNewRoman"/>
          <w:snapToGrid/>
          <w:szCs w:val="22"/>
          <w:lang w:val="lt-LT"/>
        </w:rPr>
        <w:t xml:space="preserve"> ekspozicija, bet </w:t>
      </w:r>
      <w:proofErr w:type="spellStart"/>
      <w:r>
        <w:rPr>
          <w:rFonts w:eastAsia="TimesNewRoman"/>
          <w:snapToGrid/>
          <w:szCs w:val="22"/>
          <w:lang w:val="lt-LT"/>
        </w:rPr>
        <w:t>levonorgestrelio</w:t>
      </w:r>
      <w:proofErr w:type="spellEnd"/>
      <w:r>
        <w:rPr>
          <w:rFonts w:eastAsia="TimesNewRoman"/>
          <w:snapToGrid/>
          <w:szCs w:val="22"/>
          <w:lang w:val="lt-LT"/>
        </w:rPr>
        <w:t xml:space="preserve"> farmakokinetika nepakito. Derinyje su </w:t>
      </w:r>
      <w:proofErr w:type="spellStart"/>
      <w:r>
        <w:rPr>
          <w:rFonts w:eastAsia="TimesNewRoman"/>
          <w:snapToGrid/>
          <w:szCs w:val="22"/>
          <w:lang w:val="lt-LT"/>
        </w:rPr>
        <w:t>levonorgestreliu</w:t>
      </w:r>
      <w:proofErr w:type="spellEnd"/>
      <w:r>
        <w:rPr>
          <w:rFonts w:eastAsia="TimesNewRoman"/>
          <w:snapToGrid/>
          <w:szCs w:val="22"/>
          <w:lang w:val="lt-LT"/>
        </w:rPr>
        <w:t xml:space="preserve"> ir </w:t>
      </w:r>
      <w:proofErr w:type="spellStart"/>
      <w:r>
        <w:rPr>
          <w:rFonts w:eastAsia="TimesNewRoman"/>
          <w:snapToGrid/>
          <w:szCs w:val="22"/>
          <w:lang w:val="lt-LT"/>
        </w:rPr>
        <w:t>etinilestradioliu</w:t>
      </w:r>
      <w:proofErr w:type="spellEnd"/>
      <w:r>
        <w:rPr>
          <w:rFonts w:eastAsia="TimesNewRoman"/>
          <w:snapToGrid/>
          <w:szCs w:val="22"/>
          <w:lang w:val="lt-LT"/>
        </w:rPr>
        <w:t xml:space="preserve"> vartojant </w:t>
      </w:r>
      <w:proofErr w:type="spellStart"/>
      <w:r>
        <w:rPr>
          <w:rFonts w:eastAsia="TimesNewRoman"/>
          <w:snapToGrid/>
          <w:szCs w:val="22"/>
          <w:lang w:val="lt-LT"/>
        </w:rPr>
        <w:t>tikagrelorą</w:t>
      </w:r>
      <w:proofErr w:type="spellEnd"/>
      <w:r>
        <w:rPr>
          <w:rFonts w:eastAsia="TimesNewRoman"/>
          <w:snapToGrid/>
          <w:szCs w:val="22"/>
          <w:lang w:val="lt-LT"/>
        </w:rPr>
        <w:t>, kliniškai reikšmingo poveikio geriamojo kontraceptiko veiksmingumui nereikia tikėtis.</w:t>
      </w:r>
    </w:p>
    <w:p w14:paraId="26367320"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11EB4DD2"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Bradikardiją sukeliantys vaistiniai preparatai</w:t>
      </w:r>
    </w:p>
    <w:p w14:paraId="0B1537C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Užfiksuota skilvelių veiklos pauzių ir bradikardijos atvejų (dauguma atvejų simptomų nepasireiškė), todėl derinyje su bradikardiją sukeliančiais vaistiniais preparatais </w:t>
      </w:r>
      <w:proofErr w:type="spellStart"/>
      <w:r>
        <w:rPr>
          <w:rFonts w:eastAsia="TimesNewRoman"/>
          <w:snapToGrid/>
          <w:szCs w:val="22"/>
          <w:lang w:val="lt-LT"/>
        </w:rPr>
        <w:t>tikagreloro</w:t>
      </w:r>
      <w:proofErr w:type="spellEnd"/>
      <w:r>
        <w:rPr>
          <w:rFonts w:eastAsia="TimesNewRoman"/>
          <w:snapToGrid/>
          <w:szCs w:val="22"/>
          <w:lang w:val="lt-LT"/>
        </w:rPr>
        <w:t xml:space="preserve"> skiriama atsargiai (žr. 4.4 skyrių). Vis dėlto PLATO tyrimo metu derinyje vartojus vieną ar kelis bradikardiją sukeliančius vaistinius preparatus (pvz., 96 %pacientų vartojo beta </w:t>
      </w:r>
      <w:proofErr w:type="spellStart"/>
      <w:r>
        <w:rPr>
          <w:rFonts w:eastAsia="TimesNewRoman"/>
          <w:snapToGrid/>
          <w:szCs w:val="22"/>
          <w:lang w:val="lt-LT"/>
        </w:rPr>
        <w:t>adrenoblokatorių</w:t>
      </w:r>
      <w:proofErr w:type="spellEnd"/>
      <w:r>
        <w:rPr>
          <w:rFonts w:eastAsia="TimesNewRoman"/>
          <w:snapToGrid/>
          <w:szCs w:val="22"/>
          <w:lang w:val="lt-LT"/>
        </w:rPr>
        <w:t xml:space="preserve">, 33 % – kalcio kanalų blokatorių </w:t>
      </w:r>
      <w:proofErr w:type="spellStart"/>
      <w:r>
        <w:rPr>
          <w:rFonts w:eastAsia="TimesNewRoman"/>
          <w:snapToGrid/>
          <w:szCs w:val="22"/>
          <w:lang w:val="lt-LT"/>
        </w:rPr>
        <w:t>diltiazemo</w:t>
      </w:r>
      <w:proofErr w:type="spellEnd"/>
      <w:r>
        <w:rPr>
          <w:rFonts w:eastAsia="TimesNewRoman"/>
          <w:snapToGrid/>
          <w:szCs w:val="22"/>
          <w:lang w:val="lt-LT"/>
        </w:rPr>
        <w:t xml:space="preserve"> ar </w:t>
      </w:r>
      <w:proofErr w:type="spellStart"/>
      <w:r>
        <w:rPr>
          <w:rFonts w:eastAsia="TimesNewRoman"/>
          <w:snapToGrid/>
          <w:szCs w:val="22"/>
          <w:lang w:val="lt-LT"/>
        </w:rPr>
        <w:t>verapamilo</w:t>
      </w:r>
      <w:proofErr w:type="spellEnd"/>
      <w:r>
        <w:rPr>
          <w:rFonts w:eastAsia="TimesNewRoman"/>
          <w:snapToGrid/>
          <w:szCs w:val="22"/>
          <w:lang w:val="lt-LT"/>
        </w:rPr>
        <w:t xml:space="preserve"> ir 4 % – </w:t>
      </w:r>
      <w:proofErr w:type="spellStart"/>
      <w:r>
        <w:rPr>
          <w:rFonts w:eastAsia="TimesNewRoman"/>
          <w:snapToGrid/>
          <w:szCs w:val="22"/>
          <w:lang w:val="lt-LT"/>
        </w:rPr>
        <w:t>digoksino</w:t>
      </w:r>
      <w:proofErr w:type="spellEnd"/>
      <w:r>
        <w:rPr>
          <w:rFonts w:eastAsia="TimesNewRoman"/>
          <w:snapToGrid/>
          <w:szCs w:val="22"/>
          <w:lang w:val="lt-LT"/>
        </w:rPr>
        <w:t>) kliniškai reikšmingų nepageidaujamų reakcijų požymių nenustatyta.</w:t>
      </w:r>
    </w:p>
    <w:p w14:paraId="480A6407"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51AC2EFE"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Kiti derinyje vartojami vaistiniai preparatai</w:t>
      </w:r>
    </w:p>
    <w:p w14:paraId="5593A6EE"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Klinikinių tyrimų metu </w:t>
      </w:r>
      <w:proofErr w:type="spellStart"/>
      <w:r>
        <w:rPr>
          <w:rFonts w:eastAsia="TimesNewRoman"/>
          <w:snapToGrid/>
          <w:szCs w:val="22"/>
          <w:lang w:val="lt-LT"/>
        </w:rPr>
        <w:t>tikagreloras</w:t>
      </w:r>
      <w:proofErr w:type="spellEnd"/>
      <w:r>
        <w:rPr>
          <w:rFonts w:eastAsia="TimesNewRoman"/>
          <w:snapToGrid/>
          <w:szCs w:val="22"/>
          <w:lang w:val="lt-LT"/>
        </w:rPr>
        <w:t xml:space="preserve"> pagal poreikį (atsižvelgiant į pacientų ligas) dažnai būdavo ilgai vartojamas derinyje su ASR, protonų siurblio inhibitoriais, </w:t>
      </w:r>
      <w:proofErr w:type="spellStart"/>
      <w:r>
        <w:rPr>
          <w:rFonts w:eastAsia="TimesNewRoman"/>
          <w:snapToGrid/>
          <w:szCs w:val="22"/>
          <w:lang w:val="lt-LT"/>
        </w:rPr>
        <w:t>statinais</w:t>
      </w:r>
      <w:proofErr w:type="spellEnd"/>
      <w:r>
        <w:rPr>
          <w:rFonts w:eastAsia="TimesNewRoman"/>
          <w:snapToGrid/>
          <w:szCs w:val="22"/>
          <w:lang w:val="lt-LT"/>
        </w:rPr>
        <w:t xml:space="preserve">, beta blokatoriais, </w:t>
      </w:r>
      <w:proofErr w:type="spellStart"/>
      <w:r>
        <w:rPr>
          <w:rFonts w:eastAsia="TimesNewRoman"/>
          <w:snapToGrid/>
          <w:szCs w:val="22"/>
          <w:lang w:val="lt-LT"/>
        </w:rPr>
        <w:t>angiotenziną</w:t>
      </w:r>
      <w:proofErr w:type="spellEnd"/>
      <w:r>
        <w:rPr>
          <w:rFonts w:eastAsia="TimesNewRoman"/>
          <w:snapToGrid/>
          <w:szCs w:val="22"/>
          <w:lang w:val="lt-LT"/>
        </w:rPr>
        <w:t xml:space="preserve"> konvertuojančio fermento inhibitoriais (AKF) ir </w:t>
      </w:r>
      <w:proofErr w:type="spellStart"/>
      <w:r>
        <w:rPr>
          <w:rFonts w:eastAsia="TimesNewRoman"/>
          <w:snapToGrid/>
          <w:szCs w:val="22"/>
          <w:lang w:val="lt-LT"/>
        </w:rPr>
        <w:t>angiotenzino</w:t>
      </w:r>
      <w:proofErr w:type="spellEnd"/>
      <w:r>
        <w:rPr>
          <w:rFonts w:eastAsia="TimesNewRoman"/>
          <w:snapToGrid/>
          <w:szCs w:val="22"/>
          <w:lang w:val="lt-LT"/>
        </w:rPr>
        <w:t xml:space="preserve"> receptorių blokatoriais bei trumpai – derinyje su heparinu, mažo molekulinio svorio heparinu ir intraveniniais </w:t>
      </w:r>
      <w:proofErr w:type="spellStart"/>
      <w:r>
        <w:rPr>
          <w:rFonts w:eastAsia="TimesNewRoman"/>
          <w:snapToGrid/>
          <w:szCs w:val="22"/>
          <w:lang w:val="lt-LT"/>
        </w:rPr>
        <w:t>GpIIb</w:t>
      </w:r>
      <w:proofErr w:type="spellEnd"/>
      <w:r>
        <w:rPr>
          <w:rFonts w:eastAsia="TimesNewRoman"/>
          <w:snapToGrid/>
          <w:szCs w:val="22"/>
          <w:lang w:val="lt-LT"/>
        </w:rPr>
        <w:t>/</w:t>
      </w:r>
      <w:proofErr w:type="spellStart"/>
      <w:r>
        <w:rPr>
          <w:rFonts w:eastAsia="TimesNewRoman"/>
          <w:snapToGrid/>
          <w:szCs w:val="22"/>
          <w:lang w:val="lt-LT"/>
        </w:rPr>
        <w:t>IIIa</w:t>
      </w:r>
      <w:proofErr w:type="spellEnd"/>
      <w:r>
        <w:rPr>
          <w:rFonts w:eastAsia="TimesNewRoman"/>
          <w:snapToGrid/>
          <w:szCs w:val="22"/>
          <w:lang w:val="lt-LT"/>
        </w:rPr>
        <w:t xml:space="preserve"> inhibitoriais (žr. 5.1 skyrių). Duomenų apie kliniškai reikšmingą nepageidaujamą sąveiką su šiais vaistiniais preparatais negauta.</w:t>
      </w:r>
    </w:p>
    <w:p w14:paraId="1C77DE7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D9D50B2"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su heparinu, </w:t>
      </w:r>
      <w:proofErr w:type="spellStart"/>
      <w:r>
        <w:rPr>
          <w:rFonts w:eastAsia="TimesNewRoman"/>
          <w:snapToGrid/>
          <w:szCs w:val="22"/>
          <w:lang w:val="lt-LT"/>
        </w:rPr>
        <w:t>enoksaparinu</w:t>
      </w:r>
      <w:proofErr w:type="spellEnd"/>
      <w:r>
        <w:rPr>
          <w:rFonts w:eastAsia="TimesNewRoman"/>
          <w:snapToGrid/>
          <w:szCs w:val="22"/>
          <w:lang w:val="lt-LT"/>
        </w:rPr>
        <w:t xml:space="preserve"> ar </w:t>
      </w:r>
      <w:proofErr w:type="spellStart"/>
      <w:r>
        <w:rPr>
          <w:rFonts w:eastAsia="TimesNewRoman"/>
          <w:snapToGrid/>
          <w:szCs w:val="22"/>
          <w:lang w:val="lt-LT"/>
        </w:rPr>
        <w:t>desmopresinu</w:t>
      </w:r>
      <w:proofErr w:type="spellEnd"/>
      <w:r>
        <w:rPr>
          <w:rFonts w:eastAsia="TimesNewRoman"/>
          <w:snapToGrid/>
          <w:szCs w:val="22"/>
          <w:lang w:val="lt-LT"/>
        </w:rPr>
        <w:t xml:space="preserve"> vartotas </w:t>
      </w:r>
      <w:proofErr w:type="spellStart"/>
      <w:r>
        <w:rPr>
          <w:rFonts w:eastAsia="TimesNewRoman"/>
          <w:snapToGrid/>
          <w:szCs w:val="22"/>
          <w:lang w:val="lt-LT"/>
        </w:rPr>
        <w:t>tikagreloras</w:t>
      </w:r>
      <w:proofErr w:type="spellEnd"/>
      <w:r>
        <w:rPr>
          <w:rFonts w:eastAsia="TimesNewRoman"/>
          <w:snapToGrid/>
          <w:szCs w:val="22"/>
          <w:lang w:val="lt-LT"/>
        </w:rPr>
        <w:t xml:space="preserve"> neturėjo įtakos dalinio aktyvinto </w:t>
      </w:r>
      <w:proofErr w:type="spellStart"/>
      <w:r>
        <w:rPr>
          <w:rFonts w:eastAsia="TimesNewRoman"/>
          <w:snapToGrid/>
          <w:szCs w:val="22"/>
          <w:lang w:val="lt-LT"/>
        </w:rPr>
        <w:t>tromboplastino</w:t>
      </w:r>
      <w:proofErr w:type="spellEnd"/>
      <w:r>
        <w:rPr>
          <w:rFonts w:eastAsia="TimesNewRoman"/>
          <w:snapToGrid/>
          <w:szCs w:val="22"/>
          <w:lang w:val="lt-LT"/>
        </w:rPr>
        <w:t xml:space="preserve"> laiko (DATL), aktyvintos </w:t>
      </w:r>
      <w:proofErr w:type="spellStart"/>
      <w:r>
        <w:rPr>
          <w:rFonts w:eastAsia="TimesNewRoman"/>
          <w:snapToGrid/>
          <w:szCs w:val="22"/>
          <w:lang w:val="lt-LT"/>
        </w:rPr>
        <w:t>koaguliacijos</w:t>
      </w:r>
      <w:proofErr w:type="spellEnd"/>
      <w:r>
        <w:rPr>
          <w:rFonts w:eastAsia="TimesNewRoman"/>
          <w:snapToGrid/>
          <w:szCs w:val="22"/>
          <w:lang w:val="lt-LT"/>
        </w:rPr>
        <w:t xml:space="preserve"> laiko (AKL) ir </w:t>
      </w:r>
      <w:proofErr w:type="spellStart"/>
      <w:r>
        <w:rPr>
          <w:rFonts w:eastAsia="TimesNewRoman"/>
          <w:snapToGrid/>
          <w:szCs w:val="22"/>
          <w:lang w:val="lt-LT"/>
        </w:rPr>
        <w:t>Xa</w:t>
      </w:r>
      <w:proofErr w:type="spellEnd"/>
      <w:r>
        <w:rPr>
          <w:rFonts w:eastAsia="TimesNewRoman"/>
          <w:snapToGrid/>
          <w:szCs w:val="22"/>
          <w:lang w:val="lt-LT"/>
        </w:rPr>
        <w:t xml:space="preserve"> faktoriaus tyrimų duomenims. Vis dėlto, dėl galimos </w:t>
      </w:r>
      <w:proofErr w:type="spellStart"/>
      <w:r>
        <w:rPr>
          <w:rFonts w:eastAsia="TimesNewRoman"/>
          <w:snapToGrid/>
          <w:szCs w:val="22"/>
          <w:lang w:val="lt-LT"/>
        </w:rPr>
        <w:t>farmakodinaminės</w:t>
      </w:r>
      <w:proofErr w:type="spellEnd"/>
      <w:r>
        <w:rPr>
          <w:rFonts w:eastAsia="TimesNewRoman"/>
          <w:snapToGrid/>
          <w:szCs w:val="22"/>
          <w:lang w:val="lt-LT"/>
        </w:rPr>
        <w:t xml:space="preserve"> sąveikos derinyje su hemostazę veikiančiais vaistiniais preparatais </w:t>
      </w:r>
      <w:proofErr w:type="spellStart"/>
      <w:r>
        <w:rPr>
          <w:rFonts w:eastAsia="TimesNewRoman"/>
          <w:snapToGrid/>
          <w:szCs w:val="22"/>
          <w:lang w:val="lt-LT"/>
        </w:rPr>
        <w:t>tikagreloro</w:t>
      </w:r>
      <w:proofErr w:type="spellEnd"/>
      <w:r>
        <w:rPr>
          <w:rFonts w:eastAsia="TimesNewRoman"/>
          <w:snapToGrid/>
          <w:szCs w:val="22"/>
          <w:lang w:val="lt-LT"/>
        </w:rPr>
        <w:t xml:space="preserve"> skiriama atsargiai.</w:t>
      </w:r>
    </w:p>
    <w:p w14:paraId="572D869E"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08923FF5" w14:textId="77777777" w:rsidR="009A4BFE" w:rsidRDefault="0051186A">
      <w:pPr>
        <w:tabs>
          <w:tab w:val="clear" w:pos="567"/>
        </w:tabs>
        <w:autoSpaceDE w:val="0"/>
        <w:autoSpaceDN w:val="0"/>
        <w:adjustRightInd w:val="0"/>
        <w:spacing w:line="240" w:lineRule="auto"/>
        <w:rPr>
          <w:noProof/>
          <w:szCs w:val="22"/>
          <w:lang w:val="lt-LT"/>
        </w:rPr>
      </w:pPr>
      <w:r>
        <w:rPr>
          <w:rFonts w:eastAsia="TimesNewRoman"/>
          <w:snapToGrid/>
          <w:szCs w:val="22"/>
          <w:lang w:val="lt-LT"/>
        </w:rPr>
        <w:t xml:space="preserve">Gauta pranešimų apie kraujavimą odoje derinyje vartojant SSRI (pvz., </w:t>
      </w:r>
      <w:proofErr w:type="spellStart"/>
      <w:r>
        <w:rPr>
          <w:rFonts w:eastAsia="TimesNewRoman"/>
          <w:snapToGrid/>
          <w:szCs w:val="22"/>
          <w:lang w:val="lt-LT"/>
        </w:rPr>
        <w:t>paroksetino</w:t>
      </w:r>
      <w:proofErr w:type="spellEnd"/>
      <w:r>
        <w:rPr>
          <w:rFonts w:eastAsia="TimesNewRoman"/>
          <w:snapToGrid/>
          <w:szCs w:val="22"/>
          <w:lang w:val="lt-LT"/>
        </w:rPr>
        <w:t xml:space="preserve">, </w:t>
      </w:r>
      <w:proofErr w:type="spellStart"/>
      <w:r>
        <w:rPr>
          <w:rFonts w:eastAsia="TimesNewRoman"/>
          <w:snapToGrid/>
          <w:szCs w:val="22"/>
          <w:lang w:val="lt-LT"/>
        </w:rPr>
        <w:t>sertralino</w:t>
      </w:r>
      <w:proofErr w:type="spellEnd"/>
      <w:r>
        <w:rPr>
          <w:rFonts w:eastAsia="TimesNewRoman"/>
          <w:snapToGrid/>
          <w:szCs w:val="22"/>
          <w:lang w:val="lt-LT"/>
        </w:rPr>
        <w:t xml:space="preserve"> ir </w:t>
      </w:r>
      <w:proofErr w:type="spellStart"/>
      <w:r>
        <w:rPr>
          <w:rFonts w:eastAsia="TimesNewRoman"/>
          <w:snapToGrid/>
          <w:szCs w:val="22"/>
          <w:lang w:val="lt-LT"/>
        </w:rPr>
        <w:t>citalopramo</w:t>
      </w:r>
      <w:proofErr w:type="spellEnd"/>
      <w:r>
        <w:rPr>
          <w:rFonts w:eastAsia="TimesNewRoman"/>
          <w:snapToGrid/>
          <w:szCs w:val="22"/>
          <w:lang w:val="lt-LT"/>
        </w:rPr>
        <w:t xml:space="preserve">), todėl SSRI derinyje su </w:t>
      </w:r>
      <w:proofErr w:type="spellStart"/>
      <w:r>
        <w:rPr>
          <w:rFonts w:eastAsia="TimesNewRoman"/>
          <w:snapToGrid/>
          <w:szCs w:val="22"/>
          <w:lang w:val="lt-LT"/>
        </w:rPr>
        <w:t>tikagreloru</w:t>
      </w:r>
      <w:proofErr w:type="spellEnd"/>
      <w:r>
        <w:rPr>
          <w:rFonts w:eastAsia="TimesNewRoman"/>
          <w:snapToGrid/>
          <w:szCs w:val="22"/>
          <w:lang w:val="lt-LT"/>
        </w:rPr>
        <w:t xml:space="preserve"> skiriama atsargiai (gali padidėti kraujavimo pavojus).</w:t>
      </w:r>
    </w:p>
    <w:p w14:paraId="6DAC4456" w14:textId="77777777" w:rsidR="009A4BFE" w:rsidRDefault="009A4BFE">
      <w:pPr>
        <w:rPr>
          <w:szCs w:val="24"/>
          <w:lang w:val="lt-LT"/>
        </w:rPr>
      </w:pPr>
    </w:p>
    <w:p w14:paraId="04C68923" w14:textId="77777777" w:rsidR="009A4BFE" w:rsidRDefault="0051186A">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4F87BAC9" w14:textId="77777777" w:rsidR="009A4BFE" w:rsidRDefault="009A4BFE">
      <w:pPr>
        <w:rPr>
          <w:szCs w:val="24"/>
          <w:lang w:val="lt-LT"/>
        </w:rPr>
      </w:pPr>
    </w:p>
    <w:p w14:paraId="25159E44"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Vaisingos moterys</w:t>
      </w:r>
    </w:p>
    <w:p w14:paraId="49656A19"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Tikagrelorą</w:t>
      </w:r>
      <w:proofErr w:type="spellEnd"/>
      <w:r>
        <w:rPr>
          <w:rFonts w:eastAsia="TimesNewRoman"/>
          <w:snapToGrid/>
          <w:szCs w:val="22"/>
          <w:lang w:val="lt-LT"/>
        </w:rPr>
        <w:t xml:space="preserve"> vartojančios vaisingos moterys turi naudoti veiksmingą kontracepcijos metodą, kad išvengtų nėštumo.</w:t>
      </w:r>
    </w:p>
    <w:p w14:paraId="52A4214A"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D9DF669"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Nėštumas</w:t>
      </w:r>
    </w:p>
    <w:p w14:paraId="300314E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Duomenų apie </w:t>
      </w:r>
      <w:proofErr w:type="spellStart"/>
      <w:r>
        <w:rPr>
          <w:rFonts w:eastAsia="TimesNewRoman"/>
          <w:snapToGrid/>
          <w:szCs w:val="22"/>
          <w:lang w:val="lt-LT"/>
        </w:rPr>
        <w:t>tikagreloro</w:t>
      </w:r>
      <w:proofErr w:type="spellEnd"/>
      <w:r>
        <w:rPr>
          <w:rFonts w:eastAsia="TimesNewRoman"/>
          <w:snapToGrid/>
          <w:szCs w:val="22"/>
          <w:lang w:val="lt-LT"/>
        </w:rPr>
        <w:t xml:space="preserve"> vartojimą nėščioms moterims duomenų nėra arba jų yra nedaug. Su gyvūnais atlikti tyrimai parodė toksinį poveikį reprodukcijai (žr. 5.3 skyrių). Nėštumo laikotarpiu </w:t>
      </w:r>
      <w:proofErr w:type="spellStart"/>
      <w:r>
        <w:rPr>
          <w:rFonts w:eastAsia="TimesNewRoman"/>
          <w:snapToGrid/>
          <w:szCs w:val="22"/>
          <w:lang w:val="lt-LT"/>
        </w:rPr>
        <w:t>tikagreloro</w:t>
      </w:r>
      <w:proofErr w:type="spellEnd"/>
      <w:r>
        <w:rPr>
          <w:rFonts w:eastAsia="TimesNewRoman"/>
          <w:snapToGrid/>
          <w:szCs w:val="22"/>
          <w:lang w:val="lt-LT"/>
        </w:rPr>
        <w:t xml:space="preserve"> vartoti nerekomenduojama.</w:t>
      </w:r>
    </w:p>
    <w:p w14:paraId="0144C399"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46107F7A"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Žindymas</w:t>
      </w:r>
    </w:p>
    <w:p w14:paraId="01F73C5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Esami farmakodinamikos ir toksikologijos tyrimų su gyvūnais duomenys rodo, kad </w:t>
      </w:r>
      <w:proofErr w:type="spellStart"/>
      <w:r>
        <w:rPr>
          <w:rFonts w:eastAsia="TimesNewRoman"/>
          <w:snapToGrid/>
          <w:szCs w:val="22"/>
          <w:lang w:val="lt-LT"/>
        </w:rPr>
        <w:t>tikagreloro</w:t>
      </w:r>
      <w:proofErr w:type="spellEnd"/>
      <w:r>
        <w:rPr>
          <w:rFonts w:eastAsia="TimesNewRoman"/>
          <w:snapToGrid/>
          <w:szCs w:val="22"/>
          <w:lang w:val="lt-LT"/>
        </w:rPr>
        <w:t xml:space="preserve"> ir jo aktyvių metabolitų išskiriama į pieną (žr. 5.3 skyrių). </w:t>
      </w:r>
      <w:r>
        <w:rPr>
          <w:rFonts w:eastAsia="SimSun"/>
          <w:color w:val="000000"/>
          <w:szCs w:val="22"/>
          <w:lang w:val="lt-LT" w:eastAsia="zh-CN"/>
        </w:rPr>
        <w:t xml:space="preserve">Pavojaus žindomiems naujagimiams </w:t>
      </w:r>
      <w:r>
        <w:rPr>
          <w:rFonts w:eastAsia="SimSun"/>
          <w:szCs w:val="22"/>
          <w:lang w:val="lt-LT" w:eastAsia="zh-CN"/>
        </w:rPr>
        <w:t>ar</w:t>
      </w:r>
      <w:r>
        <w:rPr>
          <w:rFonts w:eastAsia="SimSun"/>
          <w:i/>
          <w:iCs/>
          <w:color w:val="000000"/>
          <w:szCs w:val="22"/>
          <w:lang w:val="lt-LT" w:eastAsia="zh-CN"/>
        </w:rPr>
        <w:t xml:space="preserve"> </w:t>
      </w:r>
      <w:r>
        <w:rPr>
          <w:rFonts w:eastAsia="SimSun"/>
          <w:color w:val="000000"/>
          <w:szCs w:val="22"/>
          <w:lang w:val="lt-LT" w:eastAsia="zh-CN"/>
        </w:rPr>
        <w:t>kūdikiams negalima atmesti</w:t>
      </w:r>
      <w:r>
        <w:rPr>
          <w:rFonts w:eastAsia="TimesNewRoman"/>
          <w:snapToGrid/>
          <w:szCs w:val="22"/>
          <w:lang w:val="lt-LT"/>
        </w:rPr>
        <w:t xml:space="preserve">. </w:t>
      </w:r>
      <w:r>
        <w:rPr>
          <w:rFonts w:eastAsia="SimSun"/>
          <w:color w:val="000000"/>
          <w:szCs w:val="22"/>
          <w:lang w:val="lt-LT" w:eastAsia="zh-CN"/>
        </w:rPr>
        <w:t xml:space="preserve">Atsižvelgiant į žindymo naudą kūdikiui ir </w:t>
      </w:r>
      <w:proofErr w:type="spellStart"/>
      <w:r>
        <w:rPr>
          <w:rFonts w:eastAsia="SimSun"/>
          <w:color w:val="000000"/>
          <w:szCs w:val="22"/>
          <w:lang w:val="lt-LT" w:eastAsia="zh-CN"/>
        </w:rPr>
        <w:t>tikagrelolo</w:t>
      </w:r>
      <w:proofErr w:type="spellEnd"/>
      <w:r>
        <w:rPr>
          <w:rFonts w:eastAsia="SimSun"/>
          <w:color w:val="000000"/>
          <w:szCs w:val="22"/>
          <w:lang w:val="lt-LT" w:eastAsia="zh-CN"/>
        </w:rPr>
        <w:t xml:space="preserve"> vartojimo naudą motinai, reikia nuspręsti, ar nutraukti žindymą ar nutraukti/susilaikyti nuo gydymo </w:t>
      </w:r>
      <w:proofErr w:type="spellStart"/>
      <w:r>
        <w:rPr>
          <w:rFonts w:eastAsia="SimSun"/>
          <w:color w:val="000000"/>
          <w:szCs w:val="22"/>
          <w:lang w:val="lt-LT" w:eastAsia="zh-CN"/>
        </w:rPr>
        <w:t>tikagreloru</w:t>
      </w:r>
      <w:proofErr w:type="spellEnd"/>
      <w:r>
        <w:rPr>
          <w:rFonts w:eastAsia="TimesNewRoman"/>
          <w:snapToGrid/>
          <w:szCs w:val="22"/>
          <w:lang w:val="lt-LT"/>
        </w:rPr>
        <w:t>.</w:t>
      </w:r>
    </w:p>
    <w:p w14:paraId="04D1E24B"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02E31C30"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Vaisingumas</w:t>
      </w:r>
    </w:p>
    <w:p w14:paraId="5DBD05BD" w14:textId="77777777" w:rsidR="009A4BFE" w:rsidRDefault="0051186A">
      <w:pPr>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gyvūnų patinų ir patelių vaisingumo neveikia (žr. 5.3 skyrių).</w:t>
      </w:r>
    </w:p>
    <w:p w14:paraId="379209F8" w14:textId="77777777" w:rsidR="009A4BFE" w:rsidRDefault="009A4BFE">
      <w:pPr>
        <w:rPr>
          <w:szCs w:val="24"/>
          <w:lang w:val="lt-LT"/>
        </w:rPr>
      </w:pPr>
    </w:p>
    <w:p w14:paraId="78953EAA" w14:textId="77777777" w:rsidR="009A4BFE" w:rsidRDefault="0051186A">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1091FC38" w14:textId="77777777" w:rsidR="009A4BFE" w:rsidRDefault="009A4BFE">
      <w:pPr>
        <w:rPr>
          <w:szCs w:val="24"/>
          <w:lang w:val="lt-LT"/>
        </w:rPr>
      </w:pPr>
    </w:p>
    <w:p w14:paraId="4B85989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noProof/>
          <w:szCs w:val="22"/>
          <w:lang w:val="lt-LT"/>
        </w:rPr>
        <w:t>Tikagreloras g</w:t>
      </w:r>
      <w:proofErr w:type="spellStart"/>
      <w:r>
        <w:rPr>
          <w:rFonts w:eastAsia="TimesNewRoman"/>
          <w:snapToGrid/>
          <w:szCs w:val="22"/>
          <w:lang w:val="lt-LT"/>
        </w:rPr>
        <w:t>ebėjimo</w:t>
      </w:r>
      <w:proofErr w:type="spellEnd"/>
      <w:r>
        <w:rPr>
          <w:rFonts w:eastAsia="TimesNewRoman"/>
          <w:snapToGrid/>
          <w:szCs w:val="22"/>
          <w:lang w:val="lt-LT"/>
        </w:rPr>
        <w:t xml:space="preserve"> vairuoti ir valdyti mechanizmus neveikia arba veikia nereikšmingai. Buvo pranešimų apie svaigulio ir sumišimo atvejus vartojant </w:t>
      </w:r>
      <w:proofErr w:type="spellStart"/>
      <w:r>
        <w:rPr>
          <w:rFonts w:eastAsia="TimesNewRoman"/>
          <w:snapToGrid/>
          <w:szCs w:val="22"/>
          <w:lang w:val="lt-LT"/>
        </w:rPr>
        <w:t>tikagrelorą</w:t>
      </w:r>
      <w:proofErr w:type="spellEnd"/>
      <w:r>
        <w:rPr>
          <w:rFonts w:eastAsia="TimesNewRoman"/>
          <w:snapToGrid/>
          <w:szCs w:val="22"/>
          <w:lang w:val="lt-LT"/>
        </w:rPr>
        <w:t>. Jeigu pacientams pasireiškė tokių simptomų, vairuoti ir valdyti mechanizmus reikia atsargiai.</w:t>
      </w:r>
    </w:p>
    <w:p w14:paraId="5F3B545C" w14:textId="77777777" w:rsidR="009A4BFE" w:rsidRDefault="009A4BFE">
      <w:pPr>
        <w:rPr>
          <w:szCs w:val="24"/>
          <w:lang w:val="lt-LT"/>
        </w:rPr>
      </w:pPr>
    </w:p>
    <w:p w14:paraId="02202B29" w14:textId="77777777" w:rsidR="009A4BFE" w:rsidRDefault="0051186A">
      <w:pPr>
        <w:spacing w:line="240" w:lineRule="auto"/>
        <w:outlineLvl w:val="0"/>
        <w:rPr>
          <w:lang w:val="lt-LT"/>
        </w:rPr>
      </w:pPr>
      <w:r>
        <w:rPr>
          <w:b/>
          <w:lang w:val="lt-LT"/>
        </w:rPr>
        <w:t>4.8</w:t>
      </w:r>
      <w:r>
        <w:rPr>
          <w:b/>
          <w:lang w:val="lt-LT"/>
        </w:rPr>
        <w:tab/>
        <w:t>Nepageidaujamas poveikis</w:t>
      </w:r>
    </w:p>
    <w:p w14:paraId="2724804A" w14:textId="77777777" w:rsidR="009A4BFE" w:rsidRDefault="009A4BFE">
      <w:pPr>
        <w:rPr>
          <w:u w:val="single"/>
          <w:lang w:val="lt-LT"/>
        </w:rPr>
      </w:pPr>
    </w:p>
    <w:p w14:paraId="3E5A59CC" w14:textId="77777777" w:rsidR="009A4BFE" w:rsidRDefault="0051186A">
      <w:pPr>
        <w:rPr>
          <w:iCs/>
          <w:szCs w:val="22"/>
          <w:u w:val="single"/>
          <w:lang w:val="lt-LT" w:eastAsia="lt-LT"/>
        </w:rPr>
      </w:pPr>
      <w:r>
        <w:rPr>
          <w:iCs/>
          <w:szCs w:val="22"/>
          <w:u w:val="single"/>
          <w:lang w:val="lt-LT" w:eastAsia="lt-LT"/>
        </w:rPr>
        <w:t>Saugumo duomenų santrauka</w:t>
      </w:r>
    </w:p>
    <w:p w14:paraId="2B33B975" w14:textId="6E57373B"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saugumas vertintas atliekant 2 didelius 3 fazės vertinamųjų baigčių (PLATO ir PEGASUS) tyrimus, kuriuose dalyvavo daugiau kaip 39</w:t>
      </w:r>
      <w:r w:rsidR="003F1FE5">
        <w:rPr>
          <w:rFonts w:eastAsia="TimesNewRoman"/>
          <w:snapToGrid/>
          <w:szCs w:val="22"/>
          <w:lang w:val="lt-LT"/>
        </w:rPr>
        <w:t> </w:t>
      </w:r>
      <w:r>
        <w:rPr>
          <w:rFonts w:eastAsia="TimesNewRoman"/>
          <w:snapToGrid/>
          <w:szCs w:val="22"/>
          <w:lang w:val="lt-LT"/>
        </w:rPr>
        <w:t>000 pacientų (žr. 5.1 skyrių).</w:t>
      </w:r>
    </w:p>
    <w:p w14:paraId="7A5E88E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metu </w:t>
      </w:r>
      <w:proofErr w:type="spellStart"/>
      <w:r>
        <w:rPr>
          <w:rFonts w:eastAsia="TimesNewRoman"/>
          <w:snapToGrid/>
          <w:szCs w:val="22"/>
          <w:lang w:val="lt-LT"/>
        </w:rPr>
        <w:t>tikagreloro</w:t>
      </w:r>
      <w:proofErr w:type="spellEnd"/>
      <w:r>
        <w:rPr>
          <w:rFonts w:eastAsia="TimesNewRoman"/>
          <w:snapToGrid/>
          <w:szCs w:val="22"/>
          <w:lang w:val="lt-LT"/>
        </w:rPr>
        <w:t xml:space="preserve"> vartojimą dėl nepageidaujamų reiškinių nutraukė daugiau pacientų negu </w:t>
      </w:r>
      <w:proofErr w:type="spellStart"/>
      <w:r>
        <w:rPr>
          <w:rFonts w:eastAsia="TimesNewRoman"/>
          <w:snapToGrid/>
          <w:szCs w:val="22"/>
          <w:lang w:val="lt-LT"/>
        </w:rPr>
        <w:t>klopidogrelio</w:t>
      </w:r>
      <w:proofErr w:type="spellEnd"/>
      <w:r>
        <w:rPr>
          <w:rFonts w:eastAsia="TimesNewRoman"/>
          <w:snapToGrid/>
          <w:szCs w:val="22"/>
          <w:lang w:val="lt-LT"/>
        </w:rPr>
        <w:t xml:space="preserve"> (7,4 %, palyginti su ir 5,4 %). PEGASUS tyrimo metu </w:t>
      </w:r>
      <w:proofErr w:type="spellStart"/>
      <w:r>
        <w:rPr>
          <w:rFonts w:eastAsia="TimesNewRoman"/>
          <w:snapToGrid/>
          <w:szCs w:val="22"/>
          <w:lang w:val="lt-LT"/>
        </w:rPr>
        <w:t>tikagreloro</w:t>
      </w:r>
      <w:proofErr w:type="spellEnd"/>
      <w:r>
        <w:rPr>
          <w:rFonts w:eastAsia="TimesNewRoman"/>
          <w:snapToGrid/>
          <w:szCs w:val="22"/>
          <w:lang w:val="lt-LT"/>
        </w:rPr>
        <w:t xml:space="preserve"> vartojimą dėl nepageidaujamų reiškinių nutraukė daugiau pacientų negu tik ASR (16,1 % vartojusių 60 mg </w:t>
      </w:r>
      <w:proofErr w:type="spellStart"/>
      <w:r>
        <w:rPr>
          <w:rFonts w:eastAsia="TimesNewRoman"/>
          <w:snapToGrid/>
          <w:szCs w:val="22"/>
          <w:lang w:val="lt-LT"/>
        </w:rPr>
        <w:t>tikagreloro</w:t>
      </w:r>
      <w:proofErr w:type="spellEnd"/>
      <w:r>
        <w:rPr>
          <w:rFonts w:eastAsia="TimesNewRoman"/>
          <w:snapToGrid/>
          <w:szCs w:val="22"/>
          <w:lang w:val="lt-LT"/>
        </w:rPr>
        <w:t xml:space="preserve"> derinyje su ASR, palyginti su 8,5 % vartojusių tik ASR). </w:t>
      </w:r>
      <w:proofErr w:type="spellStart"/>
      <w:r>
        <w:rPr>
          <w:rFonts w:eastAsia="TimesNewRoman"/>
          <w:snapToGrid/>
          <w:szCs w:val="22"/>
          <w:lang w:val="lt-LT"/>
        </w:rPr>
        <w:t>Tikagrelorą</w:t>
      </w:r>
      <w:proofErr w:type="spellEnd"/>
      <w:r>
        <w:rPr>
          <w:rFonts w:eastAsia="TimesNewRoman"/>
          <w:snapToGrid/>
          <w:szCs w:val="22"/>
          <w:lang w:val="lt-LT"/>
        </w:rPr>
        <w:t xml:space="preserve"> vartojusiems pacientams dažniausiai pranešamos nepageidaujamos reakcijos buvo kraujavimas ir dusulys (žr. 4.4 skyrių).</w:t>
      </w:r>
    </w:p>
    <w:p w14:paraId="17B6159A" w14:textId="77777777" w:rsidR="009A4BFE" w:rsidRDefault="009A4BFE">
      <w:pPr>
        <w:rPr>
          <w:iCs/>
          <w:szCs w:val="22"/>
          <w:u w:val="single"/>
          <w:lang w:val="lt-LT" w:eastAsia="lt-LT"/>
        </w:rPr>
      </w:pPr>
    </w:p>
    <w:p w14:paraId="3F678425" w14:textId="77777777" w:rsidR="009A4BFE" w:rsidRDefault="0051186A">
      <w:pPr>
        <w:keepNext/>
        <w:rPr>
          <w:u w:val="single"/>
          <w:lang w:val="lt-LT"/>
        </w:rPr>
      </w:pPr>
      <w:r>
        <w:rPr>
          <w:iCs/>
          <w:szCs w:val="22"/>
          <w:u w:val="single"/>
          <w:lang w:val="lt-LT" w:eastAsia="lt-LT"/>
        </w:rPr>
        <w:t>Nepageidaujamų reakcijų santrauka lentelėje</w:t>
      </w:r>
    </w:p>
    <w:p w14:paraId="0145590F" w14:textId="77777777" w:rsidR="009A4BFE" w:rsidRDefault="0051186A">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Toliau (1 lentelėje) išvardytos nepageidaujamos reakcijos, nustatytos </w:t>
      </w:r>
      <w:proofErr w:type="spellStart"/>
      <w:r>
        <w:rPr>
          <w:rFonts w:eastAsia="TimesNewRoman"/>
          <w:snapToGrid/>
          <w:szCs w:val="22"/>
          <w:lang w:val="lt-LT"/>
        </w:rPr>
        <w:t>tikagreloro</w:t>
      </w:r>
      <w:proofErr w:type="spellEnd"/>
      <w:r>
        <w:rPr>
          <w:rFonts w:eastAsia="TimesNewRoman"/>
          <w:snapToGrid/>
          <w:szCs w:val="22"/>
          <w:lang w:val="lt-LT"/>
        </w:rPr>
        <w:t xml:space="preserve"> tyrimų metu arba iš pranešimų, gautų </w:t>
      </w:r>
      <w:proofErr w:type="spellStart"/>
      <w:r>
        <w:rPr>
          <w:rFonts w:eastAsia="TimesNewRoman"/>
          <w:snapToGrid/>
          <w:szCs w:val="22"/>
          <w:lang w:val="lt-LT"/>
        </w:rPr>
        <w:t>tikagrelorą</w:t>
      </w:r>
      <w:proofErr w:type="spellEnd"/>
      <w:r>
        <w:rPr>
          <w:rFonts w:eastAsia="TimesNewRoman"/>
          <w:snapToGrid/>
          <w:szCs w:val="22"/>
          <w:lang w:val="lt-LT"/>
        </w:rPr>
        <w:t xml:space="preserve"> pateikus į rinką.</w:t>
      </w:r>
    </w:p>
    <w:p w14:paraId="5C765137"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421690BC" w14:textId="568D1496" w:rsidR="009A4BFE" w:rsidRDefault="0051186A">
      <w:pPr>
        <w:tabs>
          <w:tab w:val="clear" w:pos="567"/>
        </w:tabs>
        <w:autoSpaceDE w:val="0"/>
        <w:autoSpaceDN w:val="0"/>
        <w:adjustRightInd w:val="0"/>
        <w:spacing w:line="240" w:lineRule="auto"/>
        <w:rPr>
          <w:lang w:val="lt-LT"/>
        </w:rPr>
      </w:pPr>
      <w:r>
        <w:rPr>
          <w:rFonts w:eastAsia="TimesNewRoman"/>
          <w:snapToGrid/>
          <w:szCs w:val="22"/>
          <w:lang w:val="lt-LT"/>
        </w:rPr>
        <w:t xml:space="preserve">Nepageidaujamos reakcijos yra išvardytos pagal </w:t>
      </w:r>
      <w:proofErr w:type="spellStart"/>
      <w:r>
        <w:rPr>
          <w:rFonts w:eastAsia="TimesNewRoman"/>
          <w:snapToGrid/>
          <w:szCs w:val="22"/>
          <w:lang w:val="lt-LT"/>
        </w:rPr>
        <w:t>MedDRA</w:t>
      </w:r>
      <w:proofErr w:type="spellEnd"/>
      <w:r>
        <w:rPr>
          <w:rFonts w:eastAsia="TimesNewRoman"/>
          <w:snapToGrid/>
          <w:szCs w:val="22"/>
          <w:lang w:val="lt-LT"/>
        </w:rPr>
        <w:t xml:space="preserve"> organų sistemų klases. Kiekvienos organų sistemų klasės nepageidaujamų reakcijų atvejai suklasifikuoti į dažnio kategorijas. </w:t>
      </w:r>
      <w:r>
        <w:rPr>
          <w:szCs w:val="22"/>
          <w:lang w:val="lt-LT"/>
        </w:rPr>
        <w:t xml:space="preserve">Nepageidaujamo poveikio </w:t>
      </w:r>
      <w:r>
        <w:rPr>
          <w:lang w:val="lt-LT"/>
        </w:rPr>
        <w:t>dažnis apibūdinamas taip: labai dažnas (≥ 1/10), dažnas (nuo ≥ 1/100 iki &lt; 1/10), nedažnas (nuo ≥ 1/1 000 iki &lt; 1/100), retas (nuo ≥ 1/10 000 iki &lt; 1/1 000), labai retas (&lt; 1/10 000) ir nežinomas (negali būti apskaičiuotas pagal turimus duomenis).</w:t>
      </w:r>
    </w:p>
    <w:p w14:paraId="76BB54DC" w14:textId="77777777" w:rsidR="009A4BFE" w:rsidRDefault="009A4BFE">
      <w:pPr>
        <w:tabs>
          <w:tab w:val="clear" w:pos="567"/>
        </w:tabs>
        <w:autoSpaceDE w:val="0"/>
        <w:autoSpaceDN w:val="0"/>
        <w:adjustRightInd w:val="0"/>
        <w:spacing w:line="240" w:lineRule="auto"/>
        <w:rPr>
          <w:rFonts w:eastAsia="TimesNewRoman"/>
          <w:snapToGrid/>
          <w:szCs w:val="22"/>
          <w:u w:val="single"/>
          <w:lang w:val="lt-LT"/>
        </w:rPr>
      </w:pPr>
    </w:p>
    <w:p w14:paraId="0BB37097" w14:textId="77777777" w:rsidR="009A4BFE" w:rsidRDefault="0051186A">
      <w:pPr>
        <w:spacing w:line="240" w:lineRule="auto"/>
        <w:contextualSpacing/>
        <w:outlineLvl w:val="0"/>
        <w:rPr>
          <w:rFonts w:eastAsia="TimesNewRoman,Bold"/>
          <w:snapToGrid/>
          <w:szCs w:val="22"/>
          <w:u w:val="single"/>
          <w:lang w:val="lt-LT"/>
        </w:rPr>
      </w:pPr>
      <w:r>
        <w:rPr>
          <w:rFonts w:eastAsia="TimesNewRoman,Bold"/>
          <w:snapToGrid/>
          <w:szCs w:val="22"/>
          <w:u w:val="single"/>
          <w:lang w:val="lt-LT"/>
        </w:rPr>
        <w:t>1 lentelė. Nepageidaujamos reakcijos pagal dažnį ir organų sistemų klases (OSK)</w:t>
      </w:r>
    </w:p>
    <w:p w14:paraId="7DF2FD49" w14:textId="77777777" w:rsidR="009A4BFE" w:rsidRDefault="009A4BFE">
      <w:pPr>
        <w:spacing w:line="240" w:lineRule="auto"/>
        <w:contextualSpacing/>
        <w:outlineLvl w:val="0"/>
        <w:rPr>
          <w:rFonts w:eastAsia="TimesNewRoman,Bold"/>
          <w:b/>
          <w:bCs/>
          <w:snapToGrid/>
          <w:szCs w:val="22"/>
          <w:lang w:val="lt-LT"/>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969"/>
        <w:gridCol w:w="1968"/>
        <w:gridCol w:w="2068"/>
        <w:gridCol w:w="1976"/>
      </w:tblGrid>
      <w:tr w:rsidR="009A4BFE" w14:paraId="39F0060C" w14:textId="77777777">
        <w:tc>
          <w:tcPr>
            <w:tcW w:w="1965" w:type="dxa"/>
          </w:tcPr>
          <w:p w14:paraId="6DEBCEB4" w14:textId="77777777" w:rsidR="009A4BFE" w:rsidRDefault="0051186A">
            <w:pPr>
              <w:tabs>
                <w:tab w:val="clear" w:pos="567"/>
              </w:tabs>
              <w:autoSpaceDE w:val="0"/>
              <w:autoSpaceDN w:val="0"/>
              <w:adjustRightInd w:val="0"/>
              <w:spacing w:line="240" w:lineRule="auto"/>
              <w:jc w:val="center"/>
              <w:rPr>
                <w:rFonts w:eastAsia="TimesNewRoman,Bold"/>
                <w:b/>
                <w:bCs/>
                <w:snapToGrid/>
                <w:szCs w:val="22"/>
                <w:lang w:val="lt-LT"/>
              </w:rPr>
            </w:pPr>
            <w:r>
              <w:rPr>
                <w:rFonts w:eastAsia="TimesNewRoman,Bold"/>
                <w:b/>
                <w:bCs/>
                <w:snapToGrid/>
                <w:szCs w:val="22"/>
                <w:lang w:val="lt-LT"/>
              </w:rPr>
              <w:t>OSK</w:t>
            </w:r>
          </w:p>
        </w:tc>
        <w:tc>
          <w:tcPr>
            <w:tcW w:w="1969" w:type="dxa"/>
          </w:tcPr>
          <w:p w14:paraId="0A65D2E5"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Labai dažnas</w:t>
            </w:r>
          </w:p>
        </w:tc>
        <w:tc>
          <w:tcPr>
            <w:tcW w:w="1968" w:type="dxa"/>
          </w:tcPr>
          <w:p w14:paraId="7F584646"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Dažnas</w:t>
            </w:r>
          </w:p>
        </w:tc>
        <w:tc>
          <w:tcPr>
            <w:tcW w:w="2068" w:type="dxa"/>
          </w:tcPr>
          <w:p w14:paraId="788CD646"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Nedažnas</w:t>
            </w:r>
          </w:p>
        </w:tc>
        <w:tc>
          <w:tcPr>
            <w:tcW w:w="1976" w:type="dxa"/>
          </w:tcPr>
          <w:p w14:paraId="4E053C88"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Dažnis nežinomas</w:t>
            </w:r>
          </w:p>
        </w:tc>
      </w:tr>
      <w:tr w:rsidR="009A4BFE" w14:paraId="2095EAEE" w14:textId="77777777">
        <w:tc>
          <w:tcPr>
            <w:tcW w:w="1965" w:type="dxa"/>
          </w:tcPr>
          <w:p w14:paraId="4824CFA1"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Gerybiniai, piktybiniai ir nepatikslinti navikai (tarp jų cistos ir polipai)</w:t>
            </w:r>
          </w:p>
        </w:tc>
        <w:tc>
          <w:tcPr>
            <w:tcW w:w="1969" w:type="dxa"/>
          </w:tcPr>
          <w:p w14:paraId="473E2217"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35AE9496" w14:textId="77777777" w:rsidR="009A4BFE" w:rsidRDefault="009A4BFE">
            <w:pPr>
              <w:spacing w:line="240" w:lineRule="auto"/>
              <w:contextualSpacing/>
              <w:outlineLvl w:val="0"/>
              <w:rPr>
                <w:rFonts w:eastAsia="TimesNewRoman,Bold"/>
                <w:b/>
                <w:bCs/>
                <w:snapToGrid/>
                <w:szCs w:val="22"/>
                <w:lang w:val="lt-LT"/>
              </w:rPr>
            </w:pPr>
          </w:p>
        </w:tc>
        <w:tc>
          <w:tcPr>
            <w:tcW w:w="2068" w:type="dxa"/>
          </w:tcPr>
          <w:p w14:paraId="05871C3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Kraujavimai iš </w:t>
            </w:r>
            <w:proofErr w:type="spellStart"/>
            <w:r>
              <w:rPr>
                <w:rFonts w:eastAsia="TimesNewRoman"/>
                <w:snapToGrid/>
                <w:szCs w:val="22"/>
                <w:lang w:val="lt-LT"/>
              </w:rPr>
              <w:t>naviko</w:t>
            </w:r>
            <w:r>
              <w:rPr>
                <w:rFonts w:eastAsia="TimesNewRoman"/>
                <w:snapToGrid/>
                <w:szCs w:val="22"/>
                <w:vertAlign w:val="superscript"/>
                <w:lang w:val="lt-LT"/>
              </w:rPr>
              <w:t>a</w:t>
            </w:r>
            <w:proofErr w:type="spellEnd"/>
          </w:p>
        </w:tc>
        <w:tc>
          <w:tcPr>
            <w:tcW w:w="1976" w:type="dxa"/>
          </w:tcPr>
          <w:p w14:paraId="2B52BFD4" w14:textId="77777777" w:rsidR="009A4BFE" w:rsidRDefault="009A4BFE">
            <w:pPr>
              <w:spacing w:line="240" w:lineRule="auto"/>
              <w:contextualSpacing/>
              <w:outlineLvl w:val="0"/>
              <w:rPr>
                <w:rFonts w:eastAsia="TimesNewRoman,Bold"/>
                <w:b/>
                <w:bCs/>
                <w:snapToGrid/>
                <w:szCs w:val="22"/>
                <w:lang w:val="lt-LT"/>
              </w:rPr>
            </w:pPr>
          </w:p>
        </w:tc>
      </w:tr>
      <w:tr w:rsidR="009A4BFE" w14:paraId="17F4775F" w14:textId="77777777">
        <w:tc>
          <w:tcPr>
            <w:tcW w:w="1965" w:type="dxa"/>
          </w:tcPr>
          <w:p w14:paraId="326267CE"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Kraujo ir limfinės sistemos sutrikimai</w:t>
            </w:r>
          </w:p>
        </w:tc>
        <w:tc>
          <w:tcPr>
            <w:tcW w:w="1969" w:type="dxa"/>
          </w:tcPr>
          <w:p w14:paraId="04351E49"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Kraujo sutrikimai, kraujavimas </w:t>
            </w:r>
            <w:r>
              <w:rPr>
                <w:rFonts w:eastAsia="TimesNewRoman"/>
                <w:snapToGrid/>
                <w:szCs w:val="22"/>
                <w:vertAlign w:val="superscript"/>
                <w:lang w:val="lt-LT"/>
              </w:rPr>
              <w:t>b</w:t>
            </w:r>
          </w:p>
        </w:tc>
        <w:tc>
          <w:tcPr>
            <w:tcW w:w="1968" w:type="dxa"/>
          </w:tcPr>
          <w:p w14:paraId="04D77ED6" w14:textId="77777777" w:rsidR="009A4BFE" w:rsidRDefault="009A4BFE">
            <w:pPr>
              <w:spacing w:line="240" w:lineRule="auto"/>
              <w:contextualSpacing/>
              <w:outlineLvl w:val="0"/>
              <w:rPr>
                <w:rFonts w:eastAsia="TimesNewRoman,Bold"/>
                <w:b/>
                <w:bCs/>
                <w:snapToGrid/>
                <w:szCs w:val="22"/>
                <w:lang w:val="lt-LT"/>
              </w:rPr>
            </w:pPr>
          </w:p>
        </w:tc>
        <w:tc>
          <w:tcPr>
            <w:tcW w:w="2068" w:type="dxa"/>
          </w:tcPr>
          <w:p w14:paraId="5A298094" w14:textId="77777777" w:rsidR="009A4BFE" w:rsidRDefault="009A4BFE">
            <w:pPr>
              <w:spacing w:line="240" w:lineRule="auto"/>
              <w:contextualSpacing/>
              <w:outlineLvl w:val="0"/>
              <w:rPr>
                <w:rFonts w:eastAsia="TimesNewRoman,Bold"/>
                <w:b/>
                <w:bCs/>
                <w:snapToGrid/>
                <w:szCs w:val="22"/>
                <w:lang w:val="lt-LT"/>
              </w:rPr>
            </w:pPr>
          </w:p>
        </w:tc>
        <w:tc>
          <w:tcPr>
            <w:tcW w:w="1976" w:type="dxa"/>
          </w:tcPr>
          <w:p w14:paraId="05368762"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Trombinė </w:t>
            </w:r>
            <w:proofErr w:type="spellStart"/>
            <w:r>
              <w:rPr>
                <w:rFonts w:eastAsia="TimesNewRoman"/>
                <w:snapToGrid/>
                <w:szCs w:val="22"/>
                <w:lang w:val="lt-LT"/>
              </w:rPr>
              <w:t>trombocitopeninė</w:t>
            </w:r>
            <w:proofErr w:type="spellEnd"/>
            <w:r>
              <w:rPr>
                <w:rFonts w:eastAsia="TimesNewRoman"/>
                <w:snapToGrid/>
                <w:szCs w:val="22"/>
                <w:lang w:val="lt-LT"/>
              </w:rPr>
              <w:t xml:space="preserve"> </w:t>
            </w:r>
            <w:proofErr w:type="spellStart"/>
            <w:r>
              <w:rPr>
                <w:rFonts w:eastAsia="TimesNewRoman"/>
                <w:snapToGrid/>
                <w:szCs w:val="22"/>
                <w:lang w:val="lt-LT"/>
              </w:rPr>
              <w:t>purpura</w:t>
            </w:r>
            <w:r>
              <w:rPr>
                <w:rFonts w:eastAsia="TimesNewRoman"/>
                <w:snapToGrid/>
                <w:szCs w:val="22"/>
                <w:vertAlign w:val="superscript"/>
                <w:lang w:val="lt-LT"/>
              </w:rPr>
              <w:t>c</w:t>
            </w:r>
            <w:proofErr w:type="spellEnd"/>
          </w:p>
        </w:tc>
      </w:tr>
      <w:tr w:rsidR="009A4BFE" w:rsidRPr="0022257B" w14:paraId="5A931B5A" w14:textId="77777777">
        <w:tc>
          <w:tcPr>
            <w:tcW w:w="1965" w:type="dxa"/>
          </w:tcPr>
          <w:p w14:paraId="189436E7"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Imuninės sistemos sutrikimai</w:t>
            </w:r>
          </w:p>
        </w:tc>
        <w:tc>
          <w:tcPr>
            <w:tcW w:w="1969" w:type="dxa"/>
          </w:tcPr>
          <w:p w14:paraId="090B0906"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0765DB23" w14:textId="77777777" w:rsidR="009A4BFE" w:rsidRDefault="009A4BFE">
            <w:pPr>
              <w:spacing w:line="240" w:lineRule="auto"/>
              <w:contextualSpacing/>
              <w:outlineLvl w:val="0"/>
              <w:rPr>
                <w:rFonts w:eastAsia="TimesNewRoman,Bold"/>
                <w:b/>
                <w:bCs/>
                <w:snapToGrid/>
                <w:szCs w:val="22"/>
                <w:lang w:val="lt-LT"/>
              </w:rPr>
            </w:pPr>
          </w:p>
        </w:tc>
        <w:tc>
          <w:tcPr>
            <w:tcW w:w="2068" w:type="dxa"/>
          </w:tcPr>
          <w:p w14:paraId="69948AC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Padidėjęs jautrumas, įskaitant </w:t>
            </w:r>
            <w:proofErr w:type="spellStart"/>
            <w:r>
              <w:rPr>
                <w:rFonts w:eastAsia="TimesNewRoman"/>
                <w:snapToGrid/>
                <w:szCs w:val="22"/>
                <w:lang w:val="lt-LT"/>
              </w:rPr>
              <w:t>angioneurozinę</w:t>
            </w:r>
            <w:proofErr w:type="spellEnd"/>
            <w:r>
              <w:rPr>
                <w:rFonts w:eastAsia="TimesNewRoman"/>
                <w:snapToGrid/>
                <w:szCs w:val="22"/>
                <w:lang w:val="lt-LT"/>
              </w:rPr>
              <w:t xml:space="preserve"> </w:t>
            </w:r>
            <w:proofErr w:type="spellStart"/>
            <w:r>
              <w:rPr>
                <w:rFonts w:eastAsia="TimesNewRoman"/>
                <w:snapToGrid/>
                <w:szCs w:val="22"/>
                <w:lang w:val="lt-LT"/>
              </w:rPr>
              <w:t>edemą</w:t>
            </w:r>
            <w:r>
              <w:rPr>
                <w:rFonts w:eastAsia="TimesNewRoman"/>
                <w:snapToGrid/>
                <w:szCs w:val="22"/>
                <w:vertAlign w:val="superscript"/>
                <w:lang w:val="lt-LT"/>
              </w:rPr>
              <w:t>c</w:t>
            </w:r>
            <w:proofErr w:type="spellEnd"/>
          </w:p>
        </w:tc>
        <w:tc>
          <w:tcPr>
            <w:tcW w:w="1976" w:type="dxa"/>
          </w:tcPr>
          <w:p w14:paraId="029CF5EC" w14:textId="77777777" w:rsidR="009A4BFE" w:rsidRDefault="009A4BFE">
            <w:pPr>
              <w:spacing w:line="240" w:lineRule="auto"/>
              <w:contextualSpacing/>
              <w:outlineLvl w:val="0"/>
              <w:rPr>
                <w:rFonts w:eastAsia="TimesNewRoman,Bold"/>
                <w:b/>
                <w:bCs/>
                <w:snapToGrid/>
                <w:szCs w:val="22"/>
                <w:lang w:val="lt-LT"/>
              </w:rPr>
            </w:pPr>
          </w:p>
        </w:tc>
      </w:tr>
      <w:tr w:rsidR="009A4BFE" w14:paraId="1BCF88A6" w14:textId="77777777">
        <w:tc>
          <w:tcPr>
            <w:tcW w:w="1965" w:type="dxa"/>
          </w:tcPr>
          <w:p w14:paraId="588D2383"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Metabolizmo ir mitybos sutrikimai</w:t>
            </w:r>
          </w:p>
        </w:tc>
        <w:tc>
          <w:tcPr>
            <w:tcW w:w="1969" w:type="dxa"/>
          </w:tcPr>
          <w:p w14:paraId="399844F0" w14:textId="77777777" w:rsidR="009A4BFE" w:rsidRDefault="0051186A">
            <w:pPr>
              <w:spacing w:line="240" w:lineRule="auto"/>
              <w:contextualSpacing/>
              <w:outlineLvl w:val="0"/>
              <w:rPr>
                <w:rFonts w:eastAsia="TimesNewRoman,Bold"/>
                <w:b/>
                <w:bCs/>
                <w:snapToGrid/>
                <w:szCs w:val="22"/>
                <w:lang w:val="lt-LT"/>
              </w:rPr>
            </w:pPr>
            <w:proofErr w:type="spellStart"/>
            <w:r>
              <w:rPr>
                <w:rFonts w:eastAsia="TimesNewRoman"/>
                <w:snapToGrid/>
                <w:szCs w:val="22"/>
                <w:lang w:val="lt-LT"/>
              </w:rPr>
              <w:t>Hiperurikemija</w:t>
            </w:r>
            <w:r>
              <w:rPr>
                <w:rFonts w:eastAsia="TimesNewRoman"/>
                <w:snapToGrid/>
                <w:szCs w:val="22"/>
                <w:vertAlign w:val="superscript"/>
                <w:lang w:val="lt-LT"/>
              </w:rPr>
              <w:t>d</w:t>
            </w:r>
            <w:proofErr w:type="spellEnd"/>
          </w:p>
        </w:tc>
        <w:tc>
          <w:tcPr>
            <w:tcW w:w="1968" w:type="dxa"/>
          </w:tcPr>
          <w:p w14:paraId="219977B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Podagra ar podagrinis artritas</w:t>
            </w:r>
          </w:p>
        </w:tc>
        <w:tc>
          <w:tcPr>
            <w:tcW w:w="2068" w:type="dxa"/>
          </w:tcPr>
          <w:p w14:paraId="1791863D" w14:textId="77777777" w:rsidR="009A4BFE" w:rsidRDefault="009A4BFE">
            <w:pPr>
              <w:spacing w:line="240" w:lineRule="auto"/>
              <w:contextualSpacing/>
              <w:outlineLvl w:val="0"/>
              <w:rPr>
                <w:rFonts w:eastAsia="TimesNewRoman,Bold"/>
                <w:b/>
                <w:bCs/>
                <w:snapToGrid/>
                <w:szCs w:val="22"/>
                <w:lang w:val="lt-LT"/>
              </w:rPr>
            </w:pPr>
          </w:p>
        </w:tc>
        <w:tc>
          <w:tcPr>
            <w:tcW w:w="1976" w:type="dxa"/>
          </w:tcPr>
          <w:p w14:paraId="44D789D5" w14:textId="77777777" w:rsidR="009A4BFE" w:rsidRDefault="009A4BFE">
            <w:pPr>
              <w:spacing w:line="240" w:lineRule="auto"/>
              <w:contextualSpacing/>
              <w:outlineLvl w:val="0"/>
              <w:rPr>
                <w:rFonts w:eastAsia="TimesNewRoman,Bold"/>
                <w:b/>
                <w:bCs/>
                <w:snapToGrid/>
                <w:szCs w:val="22"/>
                <w:lang w:val="lt-LT"/>
              </w:rPr>
            </w:pPr>
          </w:p>
        </w:tc>
      </w:tr>
      <w:tr w:rsidR="009A4BFE" w14:paraId="59C9448B" w14:textId="77777777">
        <w:tc>
          <w:tcPr>
            <w:tcW w:w="1965" w:type="dxa"/>
          </w:tcPr>
          <w:p w14:paraId="03B9FABC"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Psichikos sutrikimai</w:t>
            </w:r>
          </w:p>
        </w:tc>
        <w:tc>
          <w:tcPr>
            <w:tcW w:w="1969" w:type="dxa"/>
          </w:tcPr>
          <w:p w14:paraId="10D4BB24"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4C1C1A6F" w14:textId="77777777" w:rsidR="009A4BFE" w:rsidRDefault="009A4BFE">
            <w:pPr>
              <w:spacing w:line="240" w:lineRule="auto"/>
              <w:contextualSpacing/>
              <w:outlineLvl w:val="0"/>
              <w:rPr>
                <w:rFonts w:eastAsia="TimesNewRoman,Bold"/>
                <w:b/>
                <w:bCs/>
                <w:snapToGrid/>
                <w:szCs w:val="22"/>
                <w:lang w:val="lt-LT"/>
              </w:rPr>
            </w:pPr>
          </w:p>
        </w:tc>
        <w:tc>
          <w:tcPr>
            <w:tcW w:w="2068" w:type="dxa"/>
          </w:tcPr>
          <w:p w14:paraId="6D2F03AA" w14:textId="77777777" w:rsidR="009A4BFE" w:rsidRDefault="0051186A">
            <w:pPr>
              <w:spacing w:line="240" w:lineRule="auto"/>
              <w:contextualSpacing/>
              <w:outlineLvl w:val="0"/>
              <w:rPr>
                <w:rFonts w:eastAsia="TimesNewRoman,Bold"/>
                <w:b/>
                <w:bCs/>
                <w:snapToGrid/>
                <w:szCs w:val="22"/>
                <w:lang w:val="lt-LT"/>
              </w:rPr>
            </w:pPr>
            <w:proofErr w:type="spellStart"/>
            <w:r>
              <w:rPr>
                <w:rFonts w:eastAsia="TimesNewRoman"/>
                <w:snapToGrid/>
                <w:szCs w:val="22"/>
              </w:rPr>
              <w:t>Sumišimas</w:t>
            </w:r>
            <w:proofErr w:type="spellEnd"/>
          </w:p>
        </w:tc>
        <w:tc>
          <w:tcPr>
            <w:tcW w:w="1976" w:type="dxa"/>
          </w:tcPr>
          <w:p w14:paraId="3FAC8DD0" w14:textId="77777777" w:rsidR="009A4BFE" w:rsidRDefault="009A4BFE">
            <w:pPr>
              <w:spacing w:line="240" w:lineRule="auto"/>
              <w:contextualSpacing/>
              <w:outlineLvl w:val="0"/>
              <w:rPr>
                <w:rFonts w:eastAsia="TimesNewRoman,Bold"/>
                <w:b/>
                <w:bCs/>
                <w:snapToGrid/>
                <w:szCs w:val="22"/>
                <w:lang w:val="lt-LT"/>
              </w:rPr>
            </w:pPr>
          </w:p>
        </w:tc>
      </w:tr>
      <w:tr w:rsidR="009A4BFE" w14:paraId="5F565CF8" w14:textId="77777777">
        <w:tc>
          <w:tcPr>
            <w:tcW w:w="1965" w:type="dxa"/>
          </w:tcPr>
          <w:p w14:paraId="19577C7D"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lastRenderedPageBreak/>
              <w:t>Nervų sistemos sutrikimai</w:t>
            </w:r>
          </w:p>
        </w:tc>
        <w:tc>
          <w:tcPr>
            <w:tcW w:w="1969" w:type="dxa"/>
          </w:tcPr>
          <w:p w14:paraId="4C4F81C7"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21329C3E"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Svaigulys, sinkopė, galvos skausmas</w:t>
            </w:r>
          </w:p>
        </w:tc>
        <w:tc>
          <w:tcPr>
            <w:tcW w:w="2068" w:type="dxa"/>
          </w:tcPr>
          <w:p w14:paraId="2DA0AE0C" w14:textId="77777777" w:rsidR="009A4BFE" w:rsidRDefault="0051186A">
            <w:pPr>
              <w:spacing w:line="240" w:lineRule="auto"/>
              <w:contextualSpacing/>
              <w:outlineLvl w:val="0"/>
              <w:rPr>
                <w:rFonts w:eastAsia="TimesNewRoman,Bold"/>
                <w:b/>
                <w:bCs/>
                <w:snapToGrid/>
                <w:szCs w:val="22"/>
                <w:lang w:val="lt-LT"/>
              </w:rPr>
            </w:pPr>
            <w:proofErr w:type="spellStart"/>
            <w:r>
              <w:rPr>
                <w:rFonts w:eastAsia="TimesNewRoman"/>
                <w:snapToGrid/>
                <w:szCs w:val="22"/>
                <w:lang w:val="lt-LT"/>
              </w:rPr>
              <w:t>Intrakranijinis</w:t>
            </w:r>
            <w:proofErr w:type="spellEnd"/>
            <w:r>
              <w:rPr>
                <w:rFonts w:eastAsia="TimesNewRoman"/>
                <w:snapToGrid/>
                <w:szCs w:val="22"/>
                <w:lang w:val="lt-LT"/>
              </w:rPr>
              <w:t xml:space="preserve"> kraujavimas</w:t>
            </w:r>
            <w:r>
              <w:rPr>
                <w:rFonts w:eastAsia="TimesNewRoman"/>
                <w:snapToGrid/>
                <w:szCs w:val="22"/>
                <w:vertAlign w:val="superscript"/>
                <w:lang w:val="sl-SI"/>
              </w:rPr>
              <w:t>m</w:t>
            </w:r>
          </w:p>
        </w:tc>
        <w:tc>
          <w:tcPr>
            <w:tcW w:w="1976" w:type="dxa"/>
          </w:tcPr>
          <w:p w14:paraId="0841CCB1" w14:textId="77777777" w:rsidR="009A4BFE" w:rsidRDefault="009A4BFE">
            <w:pPr>
              <w:spacing w:line="240" w:lineRule="auto"/>
              <w:contextualSpacing/>
              <w:outlineLvl w:val="0"/>
              <w:rPr>
                <w:rFonts w:eastAsia="TimesNewRoman,Bold"/>
                <w:b/>
                <w:bCs/>
                <w:snapToGrid/>
                <w:szCs w:val="22"/>
                <w:lang w:val="lt-LT"/>
              </w:rPr>
            </w:pPr>
          </w:p>
        </w:tc>
      </w:tr>
      <w:tr w:rsidR="009A4BFE" w14:paraId="6D1E27A8" w14:textId="77777777">
        <w:tc>
          <w:tcPr>
            <w:tcW w:w="1965" w:type="dxa"/>
          </w:tcPr>
          <w:p w14:paraId="0F39788E"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Akių sutrikimai</w:t>
            </w:r>
          </w:p>
        </w:tc>
        <w:tc>
          <w:tcPr>
            <w:tcW w:w="1969" w:type="dxa"/>
          </w:tcPr>
          <w:p w14:paraId="2AD286A0"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698373F3"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2068" w:type="dxa"/>
          </w:tcPr>
          <w:p w14:paraId="73042A95" w14:textId="77777777" w:rsidR="009A4BFE" w:rsidRDefault="0051186A">
            <w:pPr>
              <w:tabs>
                <w:tab w:val="clear" w:pos="567"/>
              </w:tabs>
              <w:autoSpaceDE w:val="0"/>
              <w:autoSpaceDN w:val="0"/>
              <w:adjustRightInd w:val="0"/>
              <w:spacing w:line="240" w:lineRule="auto"/>
              <w:rPr>
                <w:rFonts w:eastAsia="TimesNewRoman"/>
                <w:snapToGrid/>
                <w:szCs w:val="22"/>
                <w:vertAlign w:val="superscript"/>
                <w:lang w:val="lt-LT"/>
              </w:rPr>
            </w:pPr>
            <w:r>
              <w:rPr>
                <w:rFonts w:eastAsia="TimesNewRoman"/>
                <w:snapToGrid/>
                <w:szCs w:val="22"/>
                <w:lang w:val="lt-LT"/>
              </w:rPr>
              <w:t xml:space="preserve">Kraujosruva </w:t>
            </w:r>
            <w:proofErr w:type="spellStart"/>
            <w:r>
              <w:rPr>
                <w:rFonts w:eastAsia="TimesNewRoman"/>
                <w:snapToGrid/>
                <w:szCs w:val="22"/>
                <w:lang w:val="lt-LT"/>
              </w:rPr>
              <w:t>akyje</w:t>
            </w:r>
            <w:r>
              <w:rPr>
                <w:rFonts w:eastAsia="TimesNewRoman"/>
                <w:snapToGrid/>
                <w:szCs w:val="22"/>
                <w:vertAlign w:val="superscript"/>
                <w:lang w:val="lt-LT"/>
              </w:rPr>
              <w:t>e</w:t>
            </w:r>
            <w:proofErr w:type="spellEnd"/>
          </w:p>
        </w:tc>
        <w:tc>
          <w:tcPr>
            <w:tcW w:w="1976" w:type="dxa"/>
          </w:tcPr>
          <w:p w14:paraId="01E29942" w14:textId="77777777" w:rsidR="009A4BFE" w:rsidRDefault="009A4BFE">
            <w:pPr>
              <w:spacing w:line="240" w:lineRule="auto"/>
              <w:contextualSpacing/>
              <w:outlineLvl w:val="0"/>
              <w:rPr>
                <w:rFonts w:eastAsia="TimesNewRoman,Bold"/>
                <w:b/>
                <w:bCs/>
                <w:snapToGrid/>
                <w:szCs w:val="22"/>
                <w:lang w:val="lt-LT"/>
              </w:rPr>
            </w:pPr>
          </w:p>
        </w:tc>
      </w:tr>
      <w:tr w:rsidR="009A4BFE" w14:paraId="147AB358" w14:textId="77777777">
        <w:tc>
          <w:tcPr>
            <w:tcW w:w="1965" w:type="dxa"/>
          </w:tcPr>
          <w:p w14:paraId="38E43818"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Ausų ir labirintų sutrikimai</w:t>
            </w:r>
          </w:p>
        </w:tc>
        <w:tc>
          <w:tcPr>
            <w:tcW w:w="1969" w:type="dxa"/>
          </w:tcPr>
          <w:p w14:paraId="2648B608"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4E7C050E"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Svaigimas (</w:t>
            </w:r>
            <w:r>
              <w:rPr>
                <w:rFonts w:eastAsia="TimesNewRoman"/>
                <w:i/>
                <w:snapToGrid/>
                <w:szCs w:val="22"/>
              </w:rPr>
              <w:t>vertigo</w:t>
            </w:r>
            <w:r>
              <w:rPr>
                <w:rFonts w:eastAsia="TimesNewRoman"/>
                <w:snapToGrid/>
                <w:szCs w:val="22"/>
              </w:rPr>
              <w:t>)</w:t>
            </w:r>
          </w:p>
        </w:tc>
        <w:tc>
          <w:tcPr>
            <w:tcW w:w="2068" w:type="dxa"/>
          </w:tcPr>
          <w:p w14:paraId="06DAD41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Kraujavimas iš ausies</w:t>
            </w:r>
          </w:p>
        </w:tc>
        <w:tc>
          <w:tcPr>
            <w:tcW w:w="1976" w:type="dxa"/>
          </w:tcPr>
          <w:p w14:paraId="140810D7" w14:textId="77777777" w:rsidR="009A4BFE" w:rsidRDefault="009A4BFE">
            <w:pPr>
              <w:spacing w:line="240" w:lineRule="auto"/>
              <w:contextualSpacing/>
              <w:outlineLvl w:val="0"/>
              <w:rPr>
                <w:rFonts w:eastAsia="TimesNewRoman,Bold"/>
                <w:b/>
                <w:bCs/>
                <w:snapToGrid/>
                <w:szCs w:val="22"/>
                <w:lang w:val="lt-LT"/>
              </w:rPr>
            </w:pPr>
          </w:p>
        </w:tc>
      </w:tr>
      <w:tr w:rsidR="009A4BFE" w14:paraId="336EA505" w14:textId="77777777">
        <w:tc>
          <w:tcPr>
            <w:tcW w:w="1965" w:type="dxa"/>
          </w:tcPr>
          <w:p w14:paraId="423EE307"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Širdies sutrikimai</w:t>
            </w:r>
          </w:p>
        </w:tc>
        <w:tc>
          <w:tcPr>
            <w:tcW w:w="1969" w:type="dxa"/>
          </w:tcPr>
          <w:p w14:paraId="019855E5"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4C23D735"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2068" w:type="dxa"/>
          </w:tcPr>
          <w:p w14:paraId="1603DBC2"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1976" w:type="dxa"/>
          </w:tcPr>
          <w:p w14:paraId="2D1255B4" w14:textId="77777777" w:rsidR="009A4BFE" w:rsidRDefault="0051186A">
            <w:pPr>
              <w:spacing w:line="240" w:lineRule="auto"/>
              <w:contextualSpacing/>
              <w:outlineLvl w:val="0"/>
              <w:rPr>
                <w:rFonts w:eastAsia="TimesNewRoman,Bold"/>
                <w:b/>
                <w:bCs/>
                <w:snapToGrid/>
                <w:szCs w:val="22"/>
                <w:lang w:val="lt-LT"/>
              </w:rPr>
            </w:pPr>
            <w:proofErr w:type="spellStart"/>
            <w:r>
              <w:t>Bradiaritmija</w:t>
            </w:r>
            <w:proofErr w:type="spellEnd"/>
            <w:r>
              <w:t xml:space="preserve">, AV </w:t>
            </w:r>
            <w:proofErr w:type="spellStart"/>
            <w:r>
              <w:t>blokada</w:t>
            </w:r>
            <w:r>
              <w:rPr>
                <w:vertAlign w:val="superscript"/>
              </w:rPr>
              <w:t>c</w:t>
            </w:r>
            <w:proofErr w:type="spellEnd"/>
          </w:p>
        </w:tc>
      </w:tr>
      <w:tr w:rsidR="009A4BFE" w14:paraId="314532A7" w14:textId="77777777">
        <w:tc>
          <w:tcPr>
            <w:tcW w:w="1965" w:type="dxa"/>
          </w:tcPr>
          <w:p w14:paraId="36BD875C"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Kraujagyslių sutrikimai</w:t>
            </w:r>
          </w:p>
        </w:tc>
        <w:tc>
          <w:tcPr>
            <w:tcW w:w="1969" w:type="dxa"/>
          </w:tcPr>
          <w:p w14:paraId="1FFEA665"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07423F98"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Hipotenzija</w:t>
            </w:r>
            <w:proofErr w:type="spellEnd"/>
          </w:p>
        </w:tc>
        <w:tc>
          <w:tcPr>
            <w:tcW w:w="2068" w:type="dxa"/>
          </w:tcPr>
          <w:p w14:paraId="138E67F6"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1976" w:type="dxa"/>
          </w:tcPr>
          <w:p w14:paraId="5937159E" w14:textId="77777777" w:rsidR="009A4BFE" w:rsidRDefault="009A4BFE">
            <w:pPr>
              <w:spacing w:line="240" w:lineRule="auto"/>
              <w:contextualSpacing/>
              <w:outlineLvl w:val="0"/>
              <w:rPr>
                <w:rFonts w:eastAsia="TimesNewRoman,Bold"/>
                <w:b/>
                <w:bCs/>
                <w:snapToGrid/>
                <w:szCs w:val="22"/>
                <w:lang w:val="lt-LT"/>
              </w:rPr>
            </w:pPr>
          </w:p>
        </w:tc>
      </w:tr>
      <w:tr w:rsidR="009A4BFE" w14:paraId="043ADBAD" w14:textId="77777777">
        <w:tc>
          <w:tcPr>
            <w:tcW w:w="1965" w:type="dxa"/>
          </w:tcPr>
          <w:p w14:paraId="46B50BDB"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Kvėpavimo sistemos, krūtinės ląstos ir tarpuplaučio sutrikimai</w:t>
            </w:r>
          </w:p>
        </w:tc>
        <w:tc>
          <w:tcPr>
            <w:tcW w:w="1969" w:type="dxa"/>
          </w:tcPr>
          <w:p w14:paraId="2A94AC92"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Dusulys</w:t>
            </w:r>
          </w:p>
        </w:tc>
        <w:tc>
          <w:tcPr>
            <w:tcW w:w="1968" w:type="dxa"/>
          </w:tcPr>
          <w:p w14:paraId="24AD38F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Kraujavimai kvėpavimo </w:t>
            </w:r>
            <w:proofErr w:type="spellStart"/>
            <w:r>
              <w:rPr>
                <w:rFonts w:eastAsia="TimesNewRoman"/>
                <w:snapToGrid/>
                <w:szCs w:val="22"/>
                <w:lang w:val="lt-LT"/>
              </w:rPr>
              <w:t>sistemoje</w:t>
            </w:r>
            <w:r>
              <w:rPr>
                <w:rFonts w:eastAsia="TimesNewRoman"/>
                <w:snapToGrid/>
                <w:szCs w:val="22"/>
                <w:vertAlign w:val="superscript"/>
                <w:lang w:val="lt-LT"/>
              </w:rPr>
              <w:t>f</w:t>
            </w:r>
            <w:proofErr w:type="spellEnd"/>
          </w:p>
        </w:tc>
        <w:tc>
          <w:tcPr>
            <w:tcW w:w="2068" w:type="dxa"/>
          </w:tcPr>
          <w:p w14:paraId="246FA3CA"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1976" w:type="dxa"/>
          </w:tcPr>
          <w:p w14:paraId="69EB5578" w14:textId="77777777" w:rsidR="009A4BFE" w:rsidRDefault="009A4BFE">
            <w:pPr>
              <w:spacing w:line="240" w:lineRule="auto"/>
              <w:contextualSpacing/>
              <w:outlineLvl w:val="0"/>
              <w:rPr>
                <w:rFonts w:eastAsia="TimesNewRoman,Bold"/>
                <w:b/>
                <w:bCs/>
                <w:snapToGrid/>
                <w:szCs w:val="22"/>
                <w:lang w:val="lt-LT"/>
              </w:rPr>
            </w:pPr>
          </w:p>
        </w:tc>
      </w:tr>
      <w:tr w:rsidR="009A4BFE" w14:paraId="78BD15EC" w14:textId="77777777">
        <w:tc>
          <w:tcPr>
            <w:tcW w:w="1965" w:type="dxa"/>
          </w:tcPr>
          <w:p w14:paraId="610A31B8"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Virškinimo trakto sutrikimai</w:t>
            </w:r>
          </w:p>
        </w:tc>
        <w:tc>
          <w:tcPr>
            <w:tcW w:w="1969" w:type="dxa"/>
          </w:tcPr>
          <w:p w14:paraId="5F2250AF"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427E388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Kraujavimas iš virškinimo </w:t>
            </w:r>
            <w:proofErr w:type="spellStart"/>
            <w:r>
              <w:rPr>
                <w:rFonts w:eastAsia="TimesNewRoman"/>
                <w:snapToGrid/>
                <w:szCs w:val="22"/>
                <w:lang w:val="lt-LT"/>
              </w:rPr>
              <w:t>trakto</w:t>
            </w:r>
            <w:r>
              <w:rPr>
                <w:rFonts w:eastAsia="TimesNewRoman"/>
                <w:snapToGrid/>
                <w:szCs w:val="22"/>
                <w:vertAlign w:val="superscript"/>
                <w:lang w:val="lt-LT"/>
              </w:rPr>
              <w:t>g</w:t>
            </w:r>
            <w:proofErr w:type="spellEnd"/>
            <w:r>
              <w:rPr>
                <w:rFonts w:eastAsia="TimesNewRoman"/>
                <w:snapToGrid/>
                <w:szCs w:val="22"/>
                <w:lang w:val="lt-LT"/>
              </w:rPr>
              <w:t>, viduriavimas, pykinimas, dispepsija, vidurių užkietėjimas</w:t>
            </w:r>
          </w:p>
        </w:tc>
        <w:tc>
          <w:tcPr>
            <w:tcW w:w="2068" w:type="dxa"/>
          </w:tcPr>
          <w:p w14:paraId="7F4C06B5"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Retroperitoninis</w:t>
            </w:r>
            <w:proofErr w:type="spellEnd"/>
            <w:r>
              <w:rPr>
                <w:rFonts w:eastAsia="TimesNewRoman"/>
                <w:snapToGrid/>
                <w:szCs w:val="22"/>
                <w:lang w:val="lt-LT"/>
              </w:rPr>
              <w:t xml:space="preserve"> kraujavimas</w:t>
            </w:r>
          </w:p>
        </w:tc>
        <w:tc>
          <w:tcPr>
            <w:tcW w:w="1976" w:type="dxa"/>
          </w:tcPr>
          <w:p w14:paraId="22AA4245" w14:textId="77777777" w:rsidR="009A4BFE" w:rsidRDefault="009A4BFE">
            <w:pPr>
              <w:spacing w:line="240" w:lineRule="auto"/>
              <w:contextualSpacing/>
              <w:outlineLvl w:val="0"/>
              <w:rPr>
                <w:rFonts w:eastAsia="TimesNewRoman,Bold"/>
                <w:b/>
                <w:bCs/>
                <w:snapToGrid/>
                <w:szCs w:val="22"/>
                <w:lang w:val="lt-LT"/>
              </w:rPr>
            </w:pPr>
          </w:p>
        </w:tc>
      </w:tr>
      <w:tr w:rsidR="009A4BFE" w:rsidRPr="0022257B" w14:paraId="42403C64" w14:textId="77777777">
        <w:tc>
          <w:tcPr>
            <w:tcW w:w="1965" w:type="dxa"/>
          </w:tcPr>
          <w:p w14:paraId="08FEFC2B"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Odos ir poodinio audinio sutrikimai</w:t>
            </w:r>
          </w:p>
        </w:tc>
        <w:tc>
          <w:tcPr>
            <w:tcW w:w="1969" w:type="dxa"/>
          </w:tcPr>
          <w:p w14:paraId="391CB3CC"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1D2A591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Poodinis arba dermos </w:t>
            </w:r>
            <w:proofErr w:type="spellStart"/>
            <w:r>
              <w:rPr>
                <w:rFonts w:eastAsia="TimesNewRoman"/>
                <w:snapToGrid/>
                <w:szCs w:val="22"/>
                <w:lang w:val="lt-LT"/>
              </w:rPr>
              <w:t>kraujavimas</w:t>
            </w:r>
            <w:r>
              <w:rPr>
                <w:rFonts w:eastAsia="TimesNewRoman"/>
                <w:snapToGrid/>
                <w:szCs w:val="22"/>
                <w:vertAlign w:val="superscript"/>
                <w:lang w:val="lt-LT"/>
              </w:rPr>
              <w:t>h</w:t>
            </w:r>
            <w:proofErr w:type="spellEnd"/>
            <w:r>
              <w:rPr>
                <w:rFonts w:eastAsia="TimesNewRoman"/>
                <w:snapToGrid/>
                <w:szCs w:val="22"/>
                <w:lang w:val="lt-LT"/>
              </w:rPr>
              <w:t>, išbėrimas, niežėjimas</w:t>
            </w:r>
          </w:p>
        </w:tc>
        <w:tc>
          <w:tcPr>
            <w:tcW w:w="2068" w:type="dxa"/>
          </w:tcPr>
          <w:p w14:paraId="7CA8F290"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1976" w:type="dxa"/>
          </w:tcPr>
          <w:p w14:paraId="786E8063" w14:textId="77777777" w:rsidR="009A4BFE" w:rsidRDefault="009A4BFE">
            <w:pPr>
              <w:spacing w:line="240" w:lineRule="auto"/>
              <w:contextualSpacing/>
              <w:outlineLvl w:val="0"/>
              <w:rPr>
                <w:rFonts w:eastAsia="TimesNewRoman,Bold"/>
                <w:b/>
                <w:bCs/>
                <w:snapToGrid/>
                <w:szCs w:val="22"/>
                <w:lang w:val="lt-LT"/>
              </w:rPr>
            </w:pPr>
          </w:p>
        </w:tc>
      </w:tr>
      <w:tr w:rsidR="009A4BFE" w14:paraId="56F97038" w14:textId="77777777">
        <w:tc>
          <w:tcPr>
            <w:tcW w:w="1965" w:type="dxa"/>
          </w:tcPr>
          <w:p w14:paraId="3559ADDB"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Skeleto, raumenų ir jungiamojo audinio sutrikimai</w:t>
            </w:r>
          </w:p>
        </w:tc>
        <w:tc>
          <w:tcPr>
            <w:tcW w:w="1969" w:type="dxa"/>
          </w:tcPr>
          <w:p w14:paraId="4C6F891E"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6DEC2694"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2068" w:type="dxa"/>
          </w:tcPr>
          <w:p w14:paraId="1790DE1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Kraujavimai į </w:t>
            </w:r>
            <w:proofErr w:type="spellStart"/>
            <w:r>
              <w:rPr>
                <w:rFonts w:eastAsia="TimesNewRoman"/>
                <w:snapToGrid/>
                <w:szCs w:val="22"/>
                <w:lang w:val="lt-LT"/>
              </w:rPr>
              <w:t>raumenis</w:t>
            </w:r>
            <w:r>
              <w:rPr>
                <w:rFonts w:eastAsia="TimesNewRoman"/>
                <w:snapToGrid/>
                <w:szCs w:val="22"/>
                <w:vertAlign w:val="superscript"/>
                <w:lang w:val="lt-LT"/>
              </w:rPr>
              <w:t>i</w:t>
            </w:r>
            <w:proofErr w:type="spellEnd"/>
          </w:p>
        </w:tc>
        <w:tc>
          <w:tcPr>
            <w:tcW w:w="1976" w:type="dxa"/>
          </w:tcPr>
          <w:p w14:paraId="2BA43E5E" w14:textId="77777777" w:rsidR="009A4BFE" w:rsidRDefault="009A4BFE">
            <w:pPr>
              <w:spacing w:line="240" w:lineRule="auto"/>
              <w:contextualSpacing/>
              <w:outlineLvl w:val="0"/>
              <w:rPr>
                <w:rFonts w:eastAsia="TimesNewRoman,Bold"/>
                <w:b/>
                <w:bCs/>
                <w:snapToGrid/>
                <w:szCs w:val="22"/>
                <w:lang w:val="lt-LT"/>
              </w:rPr>
            </w:pPr>
          </w:p>
        </w:tc>
      </w:tr>
      <w:tr w:rsidR="009A4BFE" w14:paraId="3D405223" w14:textId="77777777">
        <w:tc>
          <w:tcPr>
            <w:tcW w:w="1965" w:type="dxa"/>
          </w:tcPr>
          <w:p w14:paraId="3A52E68A"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Inkstų ir šlapimo takų sutrikimai</w:t>
            </w:r>
          </w:p>
        </w:tc>
        <w:tc>
          <w:tcPr>
            <w:tcW w:w="1969" w:type="dxa"/>
          </w:tcPr>
          <w:p w14:paraId="19631FF1"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0ACD11E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Kraujavimas iš šlapimo </w:t>
            </w:r>
            <w:proofErr w:type="spellStart"/>
            <w:r>
              <w:rPr>
                <w:rFonts w:eastAsia="TimesNewRoman"/>
                <w:snapToGrid/>
                <w:szCs w:val="22"/>
                <w:lang w:val="lt-LT"/>
              </w:rPr>
              <w:t>takų</w:t>
            </w:r>
            <w:r>
              <w:rPr>
                <w:rFonts w:eastAsia="TimesNewRoman"/>
                <w:snapToGrid/>
                <w:szCs w:val="22"/>
                <w:vertAlign w:val="superscript"/>
                <w:lang w:val="lt-LT"/>
              </w:rPr>
              <w:t>j</w:t>
            </w:r>
            <w:proofErr w:type="spellEnd"/>
          </w:p>
        </w:tc>
        <w:tc>
          <w:tcPr>
            <w:tcW w:w="2068" w:type="dxa"/>
          </w:tcPr>
          <w:p w14:paraId="7835A5D5"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1976" w:type="dxa"/>
          </w:tcPr>
          <w:p w14:paraId="3D27DC6F" w14:textId="77777777" w:rsidR="009A4BFE" w:rsidRDefault="009A4BFE">
            <w:pPr>
              <w:spacing w:line="240" w:lineRule="auto"/>
              <w:contextualSpacing/>
              <w:outlineLvl w:val="0"/>
              <w:rPr>
                <w:rFonts w:eastAsia="TimesNewRoman,Bold"/>
                <w:b/>
                <w:bCs/>
                <w:snapToGrid/>
                <w:szCs w:val="22"/>
                <w:lang w:val="lt-LT"/>
              </w:rPr>
            </w:pPr>
          </w:p>
        </w:tc>
      </w:tr>
      <w:tr w:rsidR="009A4BFE" w14:paraId="37BCA6F0" w14:textId="77777777">
        <w:tc>
          <w:tcPr>
            <w:tcW w:w="1965" w:type="dxa"/>
          </w:tcPr>
          <w:p w14:paraId="679BCAF3"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Lytinės sistemos ir krūties sutrikimai</w:t>
            </w:r>
          </w:p>
        </w:tc>
        <w:tc>
          <w:tcPr>
            <w:tcW w:w="1969" w:type="dxa"/>
          </w:tcPr>
          <w:p w14:paraId="5EC5BBFE"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62C9F8CE"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2068" w:type="dxa"/>
          </w:tcPr>
          <w:p w14:paraId="795AE880"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Kraujavimas iš lytinių </w:t>
            </w:r>
            <w:proofErr w:type="spellStart"/>
            <w:r>
              <w:rPr>
                <w:rFonts w:eastAsia="TimesNewRoman"/>
                <w:snapToGrid/>
                <w:szCs w:val="22"/>
                <w:lang w:val="lt-LT"/>
              </w:rPr>
              <w:t>organų</w:t>
            </w:r>
            <w:r>
              <w:rPr>
                <w:rFonts w:eastAsia="TimesNewRoman"/>
                <w:snapToGrid/>
                <w:szCs w:val="22"/>
                <w:vertAlign w:val="superscript"/>
                <w:lang w:val="lt-LT"/>
              </w:rPr>
              <w:t>k</w:t>
            </w:r>
            <w:proofErr w:type="spellEnd"/>
          </w:p>
        </w:tc>
        <w:tc>
          <w:tcPr>
            <w:tcW w:w="1976" w:type="dxa"/>
          </w:tcPr>
          <w:p w14:paraId="2F966565" w14:textId="77777777" w:rsidR="009A4BFE" w:rsidRDefault="009A4BFE">
            <w:pPr>
              <w:spacing w:line="240" w:lineRule="auto"/>
              <w:contextualSpacing/>
              <w:outlineLvl w:val="0"/>
              <w:rPr>
                <w:rFonts w:eastAsia="TimesNewRoman,Bold"/>
                <w:b/>
                <w:bCs/>
                <w:snapToGrid/>
                <w:szCs w:val="22"/>
                <w:lang w:val="lt-LT"/>
              </w:rPr>
            </w:pPr>
          </w:p>
        </w:tc>
      </w:tr>
      <w:tr w:rsidR="009A4BFE" w14:paraId="22C46D16" w14:textId="77777777">
        <w:tc>
          <w:tcPr>
            <w:tcW w:w="1965" w:type="dxa"/>
          </w:tcPr>
          <w:p w14:paraId="5B5D1775"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Tyrimai</w:t>
            </w:r>
          </w:p>
        </w:tc>
        <w:tc>
          <w:tcPr>
            <w:tcW w:w="1969" w:type="dxa"/>
          </w:tcPr>
          <w:p w14:paraId="1D59CE47"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194B4D6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Padidėjusi kreatinino koncentracija </w:t>
            </w:r>
            <w:proofErr w:type="spellStart"/>
            <w:r>
              <w:rPr>
                <w:rFonts w:eastAsia="TimesNewRoman"/>
                <w:snapToGrid/>
                <w:szCs w:val="22"/>
                <w:lang w:val="lt-LT"/>
              </w:rPr>
              <w:t>kraujyje</w:t>
            </w:r>
            <w:r>
              <w:rPr>
                <w:rFonts w:eastAsia="TimesNewRoman"/>
                <w:snapToGrid/>
                <w:szCs w:val="22"/>
                <w:vertAlign w:val="superscript"/>
                <w:lang w:val="lt-LT"/>
              </w:rPr>
              <w:t>d</w:t>
            </w:r>
            <w:proofErr w:type="spellEnd"/>
          </w:p>
        </w:tc>
        <w:tc>
          <w:tcPr>
            <w:tcW w:w="2068" w:type="dxa"/>
          </w:tcPr>
          <w:p w14:paraId="78E5AA41"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1976" w:type="dxa"/>
          </w:tcPr>
          <w:p w14:paraId="1DC17C26" w14:textId="77777777" w:rsidR="009A4BFE" w:rsidRDefault="009A4BFE">
            <w:pPr>
              <w:spacing w:line="240" w:lineRule="auto"/>
              <w:contextualSpacing/>
              <w:outlineLvl w:val="0"/>
              <w:rPr>
                <w:rFonts w:eastAsia="TimesNewRoman,Bold"/>
                <w:b/>
                <w:bCs/>
                <w:snapToGrid/>
                <w:szCs w:val="22"/>
                <w:lang w:val="lt-LT"/>
              </w:rPr>
            </w:pPr>
          </w:p>
        </w:tc>
      </w:tr>
      <w:tr w:rsidR="009A4BFE" w:rsidRPr="0022257B" w14:paraId="7AEAA6A0" w14:textId="77777777">
        <w:tc>
          <w:tcPr>
            <w:tcW w:w="1965" w:type="dxa"/>
          </w:tcPr>
          <w:p w14:paraId="6499B012"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Sužalojimai, apsinuodijimai ir procedūrų komplikacijos</w:t>
            </w:r>
          </w:p>
        </w:tc>
        <w:tc>
          <w:tcPr>
            <w:tcW w:w="1969" w:type="dxa"/>
          </w:tcPr>
          <w:p w14:paraId="77047C86" w14:textId="77777777" w:rsidR="009A4BFE" w:rsidRDefault="009A4BFE">
            <w:pPr>
              <w:spacing w:line="240" w:lineRule="auto"/>
              <w:contextualSpacing/>
              <w:outlineLvl w:val="0"/>
              <w:rPr>
                <w:rFonts w:eastAsia="TimesNewRoman,Bold"/>
                <w:b/>
                <w:bCs/>
                <w:snapToGrid/>
                <w:szCs w:val="22"/>
                <w:lang w:val="lt-LT"/>
              </w:rPr>
            </w:pPr>
          </w:p>
        </w:tc>
        <w:tc>
          <w:tcPr>
            <w:tcW w:w="1968" w:type="dxa"/>
          </w:tcPr>
          <w:p w14:paraId="022A26A8"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Kraujosruva po procedūros, trauminis </w:t>
            </w:r>
            <w:proofErr w:type="spellStart"/>
            <w:r>
              <w:rPr>
                <w:rFonts w:eastAsia="TimesNewRoman"/>
                <w:snapToGrid/>
                <w:szCs w:val="22"/>
                <w:lang w:val="lt-LT"/>
              </w:rPr>
              <w:t>kraujavimas</w:t>
            </w:r>
            <w:r>
              <w:rPr>
                <w:rFonts w:eastAsia="TimesNewRoman"/>
                <w:snapToGrid/>
                <w:szCs w:val="22"/>
                <w:vertAlign w:val="superscript"/>
                <w:lang w:val="lt-LT"/>
              </w:rPr>
              <w:t>l</w:t>
            </w:r>
            <w:proofErr w:type="spellEnd"/>
          </w:p>
        </w:tc>
        <w:tc>
          <w:tcPr>
            <w:tcW w:w="2068" w:type="dxa"/>
          </w:tcPr>
          <w:p w14:paraId="2619A5D1" w14:textId="77777777" w:rsidR="009A4BFE" w:rsidRDefault="009A4BFE">
            <w:pPr>
              <w:tabs>
                <w:tab w:val="clear" w:pos="567"/>
              </w:tabs>
              <w:autoSpaceDE w:val="0"/>
              <w:autoSpaceDN w:val="0"/>
              <w:adjustRightInd w:val="0"/>
              <w:spacing w:line="240" w:lineRule="auto"/>
              <w:rPr>
                <w:rFonts w:eastAsia="TimesNewRoman"/>
                <w:snapToGrid/>
                <w:szCs w:val="22"/>
                <w:lang w:val="lt-LT"/>
              </w:rPr>
            </w:pPr>
          </w:p>
        </w:tc>
        <w:tc>
          <w:tcPr>
            <w:tcW w:w="1976" w:type="dxa"/>
          </w:tcPr>
          <w:p w14:paraId="40FB11E7" w14:textId="77777777" w:rsidR="009A4BFE" w:rsidRDefault="009A4BFE">
            <w:pPr>
              <w:spacing w:line="240" w:lineRule="auto"/>
              <w:contextualSpacing/>
              <w:outlineLvl w:val="0"/>
              <w:rPr>
                <w:rFonts w:eastAsia="TimesNewRoman,Bold"/>
                <w:b/>
                <w:bCs/>
                <w:snapToGrid/>
                <w:szCs w:val="22"/>
                <w:lang w:val="lt-LT"/>
              </w:rPr>
            </w:pPr>
          </w:p>
        </w:tc>
      </w:tr>
    </w:tbl>
    <w:p w14:paraId="170754E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a.</w:t>
      </w:r>
      <w:r>
        <w:rPr>
          <w:rFonts w:eastAsia="TimesNewRoman"/>
          <w:snapToGrid/>
          <w:szCs w:val="22"/>
          <w:lang w:val="lt-LT"/>
        </w:rPr>
        <w:t xml:space="preserve"> Pvz., kraujavimas iš šlapimo pūslės vėžio, skrandžio vėžio, storosios žarnos vėžio.</w:t>
      </w:r>
    </w:p>
    <w:p w14:paraId="0F517A8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b.</w:t>
      </w:r>
      <w:r>
        <w:rPr>
          <w:rFonts w:eastAsia="TimesNewRoman"/>
          <w:snapToGrid/>
          <w:szCs w:val="22"/>
          <w:lang w:val="lt-LT"/>
        </w:rPr>
        <w:t xml:space="preserve"> Pvz., padidėjęs polinkis kraujosruvoms, savaiminės hematomos, hemoraginė diatezė.</w:t>
      </w:r>
    </w:p>
    <w:p w14:paraId="43D6B85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c.</w:t>
      </w:r>
      <w:r>
        <w:rPr>
          <w:rFonts w:eastAsia="TimesNewRoman"/>
          <w:snapToGrid/>
          <w:szCs w:val="22"/>
          <w:lang w:val="lt-LT"/>
        </w:rPr>
        <w:t xml:space="preserve"> Nustatyta po vaistinio preparato pateikimo į rinką.</w:t>
      </w:r>
    </w:p>
    <w:p w14:paraId="1F6A513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d.</w:t>
      </w:r>
      <w:r>
        <w:rPr>
          <w:rFonts w:eastAsia="TimesNewRoman"/>
          <w:snapToGrid/>
          <w:szCs w:val="22"/>
          <w:lang w:val="lt-LT"/>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50 % palyginus su pradine) ir nėra apytikriai nustatytas pranešto nepageidaujamo reiškinio dažnis.</w:t>
      </w:r>
    </w:p>
    <w:p w14:paraId="4CB9CD78"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e.</w:t>
      </w:r>
      <w:r>
        <w:rPr>
          <w:rFonts w:eastAsia="TimesNewRoman"/>
          <w:snapToGrid/>
          <w:szCs w:val="22"/>
          <w:lang w:val="lt-LT"/>
        </w:rPr>
        <w:t xml:space="preserve"> Pvz., junginės, tinklainės arba </w:t>
      </w:r>
      <w:proofErr w:type="spellStart"/>
      <w:r>
        <w:rPr>
          <w:rFonts w:eastAsia="TimesNewRoman"/>
          <w:snapToGrid/>
          <w:szCs w:val="22"/>
          <w:lang w:val="lt-LT"/>
        </w:rPr>
        <w:t>intraokulinis</w:t>
      </w:r>
      <w:proofErr w:type="spellEnd"/>
      <w:r>
        <w:rPr>
          <w:rFonts w:eastAsia="TimesNewRoman"/>
          <w:snapToGrid/>
          <w:szCs w:val="22"/>
          <w:lang w:val="lt-LT"/>
        </w:rPr>
        <w:t xml:space="preserve"> kraujavimas.</w:t>
      </w:r>
    </w:p>
    <w:p w14:paraId="0F0C5A6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f.</w:t>
      </w:r>
      <w:r>
        <w:rPr>
          <w:rFonts w:eastAsia="TimesNewRoman"/>
          <w:snapToGrid/>
          <w:szCs w:val="22"/>
          <w:lang w:val="lt-LT"/>
        </w:rPr>
        <w:t xml:space="preserve"> Pvz., kraujavimas iš nosies, </w:t>
      </w:r>
      <w:proofErr w:type="spellStart"/>
      <w:r>
        <w:rPr>
          <w:rFonts w:eastAsia="TimesNewRoman"/>
          <w:snapToGrid/>
          <w:szCs w:val="22"/>
          <w:lang w:val="lt-LT"/>
        </w:rPr>
        <w:t>hemoptozė</w:t>
      </w:r>
      <w:proofErr w:type="spellEnd"/>
      <w:r>
        <w:rPr>
          <w:rFonts w:eastAsia="TimesNewRoman"/>
          <w:snapToGrid/>
          <w:szCs w:val="22"/>
          <w:lang w:val="lt-LT"/>
        </w:rPr>
        <w:t xml:space="preserve"> (atsikosėjimas krauju).</w:t>
      </w:r>
    </w:p>
    <w:p w14:paraId="67F5B54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g.</w:t>
      </w:r>
      <w:r>
        <w:rPr>
          <w:rFonts w:eastAsia="TimesNewRoman"/>
          <w:snapToGrid/>
          <w:szCs w:val="22"/>
          <w:lang w:val="lt-LT"/>
        </w:rPr>
        <w:t xml:space="preserve"> Pvz., kraujavimas iš dantenų, kraujavimas iš tiesiosios žarnos, kraujavimas iš skrandžio opos.</w:t>
      </w:r>
    </w:p>
    <w:p w14:paraId="58394388"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h.</w:t>
      </w:r>
      <w:r>
        <w:rPr>
          <w:rFonts w:eastAsia="TimesNewRoman"/>
          <w:snapToGrid/>
          <w:szCs w:val="22"/>
          <w:lang w:val="lt-LT"/>
        </w:rPr>
        <w:t xml:space="preserve"> Pvz., </w:t>
      </w:r>
      <w:proofErr w:type="spellStart"/>
      <w:r>
        <w:rPr>
          <w:rFonts w:eastAsia="TimesNewRoman"/>
          <w:snapToGrid/>
          <w:szCs w:val="22"/>
          <w:lang w:val="lt-LT"/>
        </w:rPr>
        <w:t>ekchimozės</w:t>
      </w:r>
      <w:proofErr w:type="spellEnd"/>
      <w:r>
        <w:rPr>
          <w:rFonts w:eastAsia="TimesNewRoman"/>
          <w:snapToGrid/>
          <w:szCs w:val="22"/>
          <w:lang w:val="lt-LT"/>
        </w:rPr>
        <w:t xml:space="preserve">, kraujavimas iš odos, </w:t>
      </w:r>
      <w:proofErr w:type="spellStart"/>
      <w:r>
        <w:rPr>
          <w:rFonts w:eastAsia="TimesNewRoman"/>
          <w:snapToGrid/>
          <w:szCs w:val="22"/>
          <w:lang w:val="lt-LT"/>
        </w:rPr>
        <w:t>petechijos</w:t>
      </w:r>
      <w:proofErr w:type="spellEnd"/>
      <w:r>
        <w:rPr>
          <w:rFonts w:eastAsia="TimesNewRoman"/>
          <w:snapToGrid/>
          <w:szCs w:val="22"/>
          <w:lang w:val="lt-LT"/>
        </w:rPr>
        <w:t>.</w:t>
      </w:r>
    </w:p>
    <w:p w14:paraId="27E09C3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i.</w:t>
      </w:r>
      <w:r>
        <w:rPr>
          <w:rFonts w:eastAsia="TimesNewRoman"/>
          <w:snapToGrid/>
          <w:szCs w:val="22"/>
          <w:lang w:val="lt-LT"/>
        </w:rPr>
        <w:t xml:space="preserve"> Pvz., </w:t>
      </w:r>
      <w:proofErr w:type="spellStart"/>
      <w:r>
        <w:rPr>
          <w:rFonts w:eastAsia="TimesNewRoman"/>
          <w:snapToGrid/>
          <w:szCs w:val="22"/>
          <w:lang w:val="lt-LT"/>
        </w:rPr>
        <w:t>hemartrozė</w:t>
      </w:r>
      <w:proofErr w:type="spellEnd"/>
      <w:r>
        <w:rPr>
          <w:rFonts w:eastAsia="TimesNewRoman"/>
          <w:snapToGrid/>
          <w:szCs w:val="22"/>
          <w:lang w:val="lt-LT"/>
        </w:rPr>
        <w:t>, kraujavimas į raumenis.</w:t>
      </w:r>
    </w:p>
    <w:p w14:paraId="6ED59B5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j.</w:t>
      </w:r>
      <w:r>
        <w:rPr>
          <w:rFonts w:eastAsia="TimesNewRoman"/>
          <w:snapToGrid/>
          <w:szCs w:val="22"/>
          <w:lang w:val="lt-LT"/>
        </w:rPr>
        <w:t xml:space="preserve"> Pvz., </w:t>
      </w:r>
      <w:proofErr w:type="spellStart"/>
      <w:r>
        <w:rPr>
          <w:rFonts w:eastAsia="TimesNewRoman"/>
          <w:snapToGrid/>
          <w:szCs w:val="22"/>
          <w:lang w:val="lt-LT"/>
        </w:rPr>
        <w:t>hematurija</w:t>
      </w:r>
      <w:proofErr w:type="spellEnd"/>
      <w:r>
        <w:rPr>
          <w:rFonts w:eastAsia="TimesNewRoman"/>
          <w:snapToGrid/>
          <w:szCs w:val="22"/>
          <w:lang w:val="lt-LT"/>
        </w:rPr>
        <w:t>, hemoraginis cistitas.</w:t>
      </w:r>
    </w:p>
    <w:p w14:paraId="13B5E6C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k.</w:t>
      </w:r>
      <w:r>
        <w:rPr>
          <w:rFonts w:eastAsia="TimesNewRoman"/>
          <w:snapToGrid/>
          <w:szCs w:val="22"/>
          <w:lang w:val="lt-LT"/>
        </w:rPr>
        <w:t xml:space="preserve"> Pvz., kraujavimas iš makšties, </w:t>
      </w:r>
      <w:proofErr w:type="spellStart"/>
      <w:r>
        <w:rPr>
          <w:rFonts w:eastAsia="TimesNewRoman"/>
          <w:snapToGrid/>
          <w:szCs w:val="22"/>
          <w:lang w:val="lt-LT"/>
        </w:rPr>
        <w:t>hematospermija</w:t>
      </w:r>
      <w:proofErr w:type="spellEnd"/>
      <w:r>
        <w:rPr>
          <w:rFonts w:eastAsia="TimesNewRoman"/>
          <w:snapToGrid/>
          <w:szCs w:val="22"/>
          <w:lang w:val="lt-LT"/>
        </w:rPr>
        <w:t>, kraujavimas po menopauzės.</w:t>
      </w:r>
    </w:p>
    <w:p w14:paraId="4463F9F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l.</w:t>
      </w:r>
      <w:r>
        <w:rPr>
          <w:rFonts w:eastAsia="TimesNewRoman"/>
          <w:snapToGrid/>
          <w:szCs w:val="22"/>
          <w:lang w:val="lt-LT"/>
        </w:rPr>
        <w:t xml:space="preserve"> Pvz., sumušimas, trauminė hematoma, trauminis kraujavimas.</w:t>
      </w:r>
    </w:p>
    <w:p w14:paraId="4A78B0F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m</w:t>
      </w:r>
      <w:r>
        <w:rPr>
          <w:rFonts w:eastAsia="TimesNewRoman"/>
          <w:snapToGrid/>
          <w:szCs w:val="22"/>
          <w:lang w:val="lt-LT"/>
        </w:rPr>
        <w:t xml:space="preserve"> Pvz., spontaninis, susijęs su procedūra arba vidinis galvos kraujavimas po traumos.</w:t>
      </w:r>
    </w:p>
    <w:p w14:paraId="132933AB"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EAFF559"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lastRenderedPageBreak/>
        <w:t>Atrinktų nepageidaujamų reakcijų apibūdinimas</w:t>
      </w:r>
    </w:p>
    <w:p w14:paraId="2F642316"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2FA2CEF9"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Kraujavimas</w:t>
      </w:r>
    </w:p>
    <w:p w14:paraId="13EAE0FB"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34C5AB57"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Kraujavimas PLATO tyrimo metu</w:t>
      </w:r>
    </w:p>
    <w:p w14:paraId="1E4AFE40" w14:textId="77777777" w:rsidR="009A4BFE" w:rsidRDefault="0051186A">
      <w:pPr>
        <w:spacing w:line="240" w:lineRule="auto"/>
        <w:contextualSpacing/>
        <w:outlineLvl w:val="0"/>
        <w:rPr>
          <w:rFonts w:eastAsia="TimesNewRoman,Bold"/>
          <w:snapToGrid/>
          <w:szCs w:val="22"/>
          <w:lang w:val="lt-LT"/>
        </w:rPr>
      </w:pPr>
      <w:r>
        <w:rPr>
          <w:rFonts w:eastAsia="TimesNewRoman"/>
          <w:snapToGrid/>
          <w:szCs w:val="22"/>
          <w:lang w:val="lt-LT"/>
        </w:rPr>
        <w:t>Bendri kraujavimo dažnių duomenys, gauti PLATO tyrimo metu, pateikiami 2 lentelėje.</w:t>
      </w:r>
    </w:p>
    <w:p w14:paraId="3E08A854" w14:textId="77777777" w:rsidR="009A4BFE" w:rsidRDefault="009A4BFE">
      <w:pPr>
        <w:spacing w:line="240" w:lineRule="auto"/>
        <w:contextualSpacing/>
        <w:outlineLvl w:val="0"/>
        <w:rPr>
          <w:rFonts w:ascii="TimesNewRoman,Bold" w:eastAsia="TimesNewRoman,Bold" w:hAnsi="Calibri" w:cs="TimesNewRoman,Bold"/>
          <w:snapToGrid/>
          <w:szCs w:val="22"/>
          <w:lang w:val="lt-LT"/>
        </w:rPr>
      </w:pPr>
    </w:p>
    <w:p w14:paraId="6D2E7881" w14:textId="77777777" w:rsidR="009A4BFE" w:rsidRDefault="0051186A">
      <w:pPr>
        <w:tabs>
          <w:tab w:val="clear" w:pos="567"/>
        </w:tabs>
        <w:autoSpaceDE w:val="0"/>
        <w:autoSpaceDN w:val="0"/>
        <w:adjustRightInd w:val="0"/>
        <w:spacing w:line="240" w:lineRule="auto"/>
        <w:rPr>
          <w:rFonts w:eastAsia="TimesNewRoman,Bold"/>
          <w:snapToGrid/>
          <w:szCs w:val="22"/>
          <w:u w:val="single"/>
          <w:lang w:val="lt-LT"/>
        </w:rPr>
      </w:pPr>
      <w:r>
        <w:rPr>
          <w:rFonts w:eastAsia="TimesNewRoman,Bold"/>
          <w:snapToGrid/>
          <w:szCs w:val="22"/>
          <w:u w:val="single"/>
          <w:lang w:val="lt-LT"/>
        </w:rPr>
        <w:t xml:space="preserve">2 lentelė. Bendra kraujavimo reiškinių analizė </w:t>
      </w:r>
      <w:proofErr w:type="spellStart"/>
      <w:r>
        <w:rPr>
          <w:rFonts w:eastAsia="TimesNewRoman,Bold"/>
          <w:i/>
          <w:snapToGrid/>
          <w:szCs w:val="22"/>
          <w:u w:val="single"/>
          <w:lang w:val="lt-LT"/>
        </w:rPr>
        <w:t>Kaplan-Meier</w:t>
      </w:r>
      <w:proofErr w:type="spellEnd"/>
      <w:r>
        <w:rPr>
          <w:rFonts w:eastAsia="TimesNewRoman,Bold"/>
          <w:snapToGrid/>
          <w:szCs w:val="22"/>
          <w:u w:val="single"/>
          <w:lang w:val="lt-LT"/>
        </w:rPr>
        <w:t xml:space="preserve"> metodu po 12 mėn. (PLATO</w:t>
      </w:r>
    </w:p>
    <w:p w14:paraId="2AD1CC79" w14:textId="77777777" w:rsidR="009A4BFE" w:rsidRDefault="0051186A">
      <w:pPr>
        <w:spacing w:line="240" w:lineRule="auto"/>
        <w:contextualSpacing/>
        <w:outlineLvl w:val="0"/>
        <w:rPr>
          <w:rFonts w:eastAsia="TimesNewRoman,Bold"/>
          <w:snapToGrid/>
          <w:szCs w:val="22"/>
          <w:u w:val="single"/>
          <w:lang w:val="lt-LT"/>
        </w:rPr>
      </w:pPr>
      <w:r>
        <w:rPr>
          <w:rFonts w:eastAsia="TimesNewRoman,Bold"/>
          <w:snapToGrid/>
          <w:szCs w:val="22"/>
          <w:u w:val="single"/>
          <w:lang w:val="lt-LT"/>
        </w:rPr>
        <w:t>tyrimas)</w:t>
      </w:r>
    </w:p>
    <w:p w14:paraId="4D9E0F1B" w14:textId="77777777" w:rsidR="009A4BFE" w:rsidRDefault="009A4BFE">
      <w:pPr>
        <w:spacing w:line="240" w:lineRule="auto"/>
        <w:contextualSpacing/>
        <w:outlineLvl w:val="0"/>
        <w:rPr>
          <w:rFonts w:eastAsia="TimesNewRoman,Bold"/>
          <w:b/>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985"/>
        <w:gridCol w:w="1559"/>
        <w:gridCol w:w="1524"/>
      </w:tblGrid>
      <w:tr w:rsidR="009A4BFE" w14:paraId="1025BA23" w14:textId="77777777">
        <w:tc>
          <w:tcPr>
            <w:tcW w:w="4786" w:type="dxa"/>
          </w:tcPr>
          <w:p w14:paraId="43B64DC8" w14:textId="77777777" w:rsidR="009A4BFE" w:rsidRDefault="009A4BFE">
            <w:pPr>
              <w:spacing w:line="240" w:lineRule="auto"/>
              <w:contextualSpacing/>
              <w:outlineLvl w:val="0"/>
              <w:rPr>
                <w:rFonts w:eastAsia="TimesNewRoman,Bold"/>
                <w:b/>
                <w:bCs/>
                <w:snapToGrid/>
                <w:szCs w:val="22"/>
                <w:lang w:val="lt-LT"/>
              </w:rPr>
            </w:pPr>
          </w:p>
        </w:tc>
        <w:tc>
          <w:tcPr>
            <w:tcW w:w="1985" w:type="dxa"/>
          </w:tcPr>
          <w:p w14:paraId="43D2DCBB" w14:textId="77777777" w:rsidR="009A4BFE" w:rsidRDefault="0051186A">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Tikagreloras</w:t>
            </w:r>
            <w:proofErr w:type="spellEnd"/>
            <w:r>
              <w:rPr>
                <w:rFonts w:eastAsia="TimesNewRoman,Bold"/>
                <w:b/>
                <w:bCs/>
                <w:snapToGrid/>
                <w:szCs w:val="22"/>
                <w:lang w:val="lt-LT"/>
              </w:rPr>
              <w:t xml:space="preserve"> 90 mg 2 kartus per parą</w:t>
            </w:r>
          </w:p>
          <w:p w14:paraId="0B6ABB11"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 9235</w:t>
            </w:r>
          </w:p>
        </w:tc>
        <w:tc>
          <w:tcPr>
            <w:tcW w:w="1559" w:type="dxa"/>
          </w:tcPr>
          <w:p w14:paraId="18973972" w14:textId="77777777" w:rsidR="009A4BFE" w:rsidRDefault="0051186A">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Klopidogrelis</w:t>
            </w:r>
            <w:proofErr w:type="spellEnd"/>
          </w:p>
          <w:p w14:paraId="7C837BB7"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 9186</w:t>
            </w:r>
          </w:p>
        </w:tc>
        <w:tc>
          <w:tcPr>
            <w:tcW w:w="1524" w:type="dxa"/>
          </w:tcPr>
          <w:p w14:paraId="5B2E0940" w14:textId="77777777" w:rsidR="009A4BFE" w:rsidRDefault="0051186A">
            <w:pPr>
              <w:tabs>
                <w:tab w:val="clear" w:pos="567"/>
              </w:tabs>
              <w:autoSpaceDE w:val="0"/>
              <w:autoSpaceDN w:val="0"/>
              <w:adjustRightInd w:val="0"/>
              <w:spacing w:line="240" w:lineRule="auto"/>
              <w:jc w:val="center"/>
              <w:rPr>
                <w:rFonts w:eastAsia="Calibri"/>
                <w:b/>
                <w:bCs/>
                <w:i/>
                <w:iCs/>
                <w:snapToGrid/>
                <w:szCs w:val="22"/>
                <w:lang w:val="lt-LT"/>
              </w:rPr>
            </w:pPr>
            <w:r>
              <w:rPr>
                <w:rFonts w:eastAsia="Calibri"/>
                <w:b/>
                <w:bCs/>
                <w:i/>
                <w:iCs/>
                <w:snapToGrid/>
                <w:szCs w:val="22"/>
                <w:lang w:val="lt-LT"/>
              </w:rPr>
              <w:t xml:space="preserve">p </w:t>
            </w:r>
            <w:r>
              <w:rPr>
                <w:rFonts w:eastAsia="TimesNewRoman,Bold"/>
                <w:b/>
                <w:bCs/>
                <w:snapToGrid/>
                <w:szCs w:val="22"/>
                <w:lang w:val="lt-LT"/>
              </w:rPr>
              <w:t>reikšmė*</w:t>
            </w:r>
          </w:p>
        </w:tc>
      </w:tr>
      <w:tr w:rsidR="009A4BFE" w14:paraId="6238490F" w14:textId="77777777">
        <w:tc>
          <w:tcPr>
            <w:tcW w:w="4786" w:type="dxa"/>
          </w:tcPr>
          <w:p w14:paraId="12629B0C"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PLATO didesnieji, iš viso</w:t>
            </w:r>
          </w:p>
        </w:tc>
        <w:tc>
          <w:tcPr>
            <w:tcW w:w="1985" w:type="dxa"/>
          </w:tcPr>
          <w:p w14:paraId="6BE2D607"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11,6</w:t>
            </w:r>
          </w:p>
        </w:tc>
        <w:tc>
          <w:tcPr>
            <w:tcW w:w="1559" w:type="dxa"/>
          </w:tcPr>
          <w:p w14:paraId="7839ACFF"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11,2</w:t>
            </w:r>
          </w:p>
        </w:tc>
        <w:tc>
          <w:tcPr>
            <w:tcW w:w="1524" w:type="dxa"/>
          </w:tcPr>
          <w:p w14:paraId="57AEA68D"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0,4336</w:t>
            </w:r>
          </w:p>
        </w:tc>
      </w:tr>
      <w:tr w:rsidR="009A4BFE" w14:paraId="59FF58D1" w14:textId="77777777">
        <w:tc>
          <w:tcPr>
            <w:tcW w:w="4786" w:type="dxa"/>
          </w:tcPr>
          <w:p w14:paraId="2457BC7D"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PLATO didesnieji, mirtini arba pavojingi gyvybei</w:t>
            </w:r>
          </w:p>
        </w:tc>
        <w:tc>
          <w:tcPr>
            <w:tcW w:w="1985" w:type="dxa"/>
          </w:tcPr>
          <w:p w14:paraId="54E6BA6F"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5,8</w:t>
            </w:r>
          </w:p>
        </w:tc>
        <w:tc>
          <w:tcPr>
            <w:tcW w:w="1559" w:type="dxa"/>
          </w:tcPr>
          <w:p w14:paraId="328B28EA"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5,8</w:t>
            </w:r>
          </w:p>
        </w:tc>
        <w:tc>
          <w:tcPr>
            <w:tcW w:w="1524" w:type="dxa"/>
          </w:tcPr>
          <w:p w14:paraId="1FAD64C3"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0,6988</w:t>
            </w:r>
          </w:p>
        </w:tc>
      </w:tr>
      <w:tr w:rsidR="009A4BFE" w14:paraId="64937266" w14:textId="77777777">
        <w:tc>
          <w:tcPr>
            <w:tcW w:w="4786" w:type="dxa"/>
          </w:tcPr>
          <w:p w14:paraId="33FF2AC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PLATO didesnieji, nesusiję su koronarinių arterijų šuntavimu</w:t>
            </w:r>
          </w:p>
        </w:tc>
        <w:tc>
          <w:tcPr>
            <w:tcW w:w="1985" w:type="dxa"/>
          </w:tcPr>
          <w:p w14:paraId="5F1A1BB7"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4,5</w:t>
            </w:r>
          </w:p>
        </w:tc>
        <w:tc>
          <w:tcPr>
            <w:tcW w:w="1559" w:type="dxa"/>
          </w:tcPr>
          <w:p w14:paraId="07A6377E"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3,8</w:t>
            </w:r>
          </w:p>
        </w:tc>
        <w:tc>
          <w:tcPr>
            <w:tcW w:w="1524" w:type="dxa"/>
          </w:tcPr>
          <w:p w14:paraId="0EAB817E"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0,0264</w:t>
            </w:r>
          </w:p>
        </w:tc>
      </w:tr>
      <w:tr w:rsidR="009A4BFE" w14:paraId="3A105712" w14:textId="77777777">
        <w:tc>
          <w:tcPr>
            <w:tcW w:w="4786" w:type="dxa"/>
          </w:tcPr>
          <w:p w14:paraId="079892AB"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PLATO didesnieji, nesusiję su procedūra</w:t>
            </w:r>
          </w:p>
        </w:tc>
        <w:tc>
          <w:tcPr>
            <w:tcW w:w="1985" w:type="dxa"/>
          </w:tcPr>
          <w:p w14:paraId="033F54E9"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3,1</w:t>
            </w:r>
          </w:p>
        </w:tc>
        <w:tc>
          <w:tcPr>
            <w:tcW w:w="1559" w:type="dxa"/>
          </w:tcPr>
          <w:p w14:paraId="2FA91742"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2,3</w:t>
            </w:r>
          </w:p>
        </w:tc>
        <w:tc>
          <w:tcPr>
            <w:tcW w:w="1524" w:type="dxa"/>
          </w:tcPr>
          <w:p w14:paraId="04EE03B1"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0,0058</w:t>
            </w:r>
          </w:p>
        </w:tc>
      </w:tr>
      <w:tr w:rsidR="009A4BFE" w14:paraId="4998D560" w14:textId="77777777">
        <w:tc>
          <w:tcPr>
            <w:tcW w:w="4786" w:type="dxa"/>
          </w:tcPr>
          <w:p w14:paraId="1FE9291B"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PLATO didesnieji ir nedideli, iš viso</w:t>
            </w:r>
          </w:p>
        </w:tc>
        <w:tc>
          <w:tcPr>
            <w:tcW w:w="1985" w:type="dxa"/>
          </w:tcPr>
          <w:p w14:paraId="4EDAA2EF"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16,1</w:t>
            </w:r>
          </w:p>
        </w:tc>
        <w:tc>
          <w:tcPr>
            <w:tcW w:w="1559" w:type="dxa"/>
          </w:tcPr>
          <w:p w14:paraId="34A99885"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14,6</w:t>
            </w:r>
          </w:p>
        </w:tc>
        <w:tc>
          <w:tcPr>
            <w:tcW w:w="1524" w:type="dxa"/>
          </w:tcPr>
          <w:p w14:paraId="694CFD28"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0,0084</w:t>
            </w:r>
          </w:p>
        </w:tc>
      </w:tr>
      <w:tr w:rsidR="009A4BFE" w14:paraId="3E0285F9" w14:textId="77777777">
        <w:tc>
          <w:tcPr>
            <w:tcW w:w="4786" w:type="dxa"/>
          </w:tcPr>
          <w:p w14:paraId="073EA8A8"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PLATO didesnieji ir nedideli, nesusiję su procedūra</w:t>
            </w:r>
          </w:p>
        </w:tc>
        <w:tc>
          <w:tcPr>
            <w:tcW w:w="1985" w:type="dxa"/>
          </w:tcPr>
          <w:p w14:paraId="09D8F446"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5,9</w:t>
            </w:r>
          </w:p>
        </w:tc>
        <w:tc>
          <w:tcPr>
            <w:tcW w:w="1559" w:type="dxa"/>
          </w:tcPr>
          <w:p w14:paraId="631FE098"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4,3</w:t>
            </w:r>
          </w:p>
        </w:tc>
        <w:tc>
          <w:tcPr>
            <w:tcW w:w="1524" w:type="dxa"/>
          </w:tcPr>
          <w:p w14:paraId="58F805C7" w14:textId="77777777" w:rsidR="009A4BFE" w:rsidRDefault="0051186A">
            <w:pPr>
              <w:spacing w:line="240" w:lineRule="auto"/>
              <w:contextualSpacing/>
              <w:jc w:val="center"/>
              <w:outlineLvl w:val="0"/>
              <w:rPr>
                <w:rFonts w:eastAsia="TimesNewRoman,Bold"/>
                <w:b/>
                <w:bCs/>
                <w:snapToGrid/>
                <w:szCs w:val="22"/>
                <w:lang w:val="lt-LT"/>
              </w:rPr>
            </w:pPr>
            <w:r>
              <w:rPr>
                <w:rFonts w:eastAsia="Calibri"/>
                <w:snapToGrid/>
                <w:szCs w:val="22"/>
                <w:lang w:val="lt-LT"/>
              </w:rPr>
              <w:t>&lt; </w:t>
            </w:r>
            <w:r>
              <w:rPr>
                <w:rFonts w:eastAsia="TimesNewRoman"/>
                <w:snapToGrid/>
                <w:szCs w:val="22"/>
                <w:lang w:val="lt-LT"/>
              </w:rPr>
              <w:t>0,0001</w:t>
            </w:r>
          </w:p>
        </w:tc>
      </w:tr>
      <w:tr w:rsidR="009A4BFE" w14:paraId="2B4014BD" w14:textId="77777777">
        <w:tc>
          <w:tcPr>
            <w:tcW w:w="4786" w:type="dxa"/>
          </w:tcPr>
          <w:p w14:paraId="01DA83C4"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Didesnieji pagal TIMI kriterijus</w:t>
            </w:r>
          </w:p>
        </w:tc>
        <w:tc>
          <w:tcPr>
            <w:tcW w:w="1985" w:type="dxa"/>
          </w:tcPr>
          <w:p w14:paraId="36FDB5AB"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7,9</w:t>
            </w:r>
          </w:p>
        </w:tc>
        <w:tc>
          <w:tcPr>
            <w:tcW w:w="1559" w:type="dxa"/>
          </w:tcPr>
          <w:p w14:paraId="3E2F3532"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7,7</w:t>
            </w:r>
          </w:p>
        </w:tc>
        <w:tc>
          <w:tcPr>
            <w:tcW w:w="1524" w:type="dxa"/>
          </w:tcPr>
          <w:p w14:paraId="34188200"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0,5669</w:t>
            </w:r>
          </w:p>
        </w:tc>
      </w:tr>
      <w:tr w:rsidR="009A4BFE" w14:paraId="6E2D59EC" w14:textId="77777777">
        <w:tc>
          <w:tcPr>
            <w:tcW w:w="4786" w:type="dxa"/>
          </w:tcPr>
          <w:p w14:paraId="54686F39"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Didesnieji ir nedideli pagal TIMI kriterijus</w:t>
            </w:r>
          </w:p>
        </w:tc>
        <w:tc>
          <w:tcPr>
            <w:tcW w:w="1985" w:type="dxa"/>
          </w:tcPr>
          <w:p w14:paraId="457FD25F"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11,4</w:t>
            </w:r>
          </w:p>
        </w:tc>
        <w:tc>
          <w:tcPr>
            <w:tcW w:w="1559" w:type="dxa"/>
          </w:tcPr>
          <w:p w14:paraId="53B6593B"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10,9</w:t>
            </w:r>
          </w:p>
        </w:tc>
        <w:tc>
          <w:tcPr>
            <w:tcW w:w="1524" w:type="dxa"/>
          </w:tcPr>
          <w:p w14:paraId="158A1AA8"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0,3272</w:t>
            </w:r>
          </w:p>
        </w:tc>
      </w:tr>
    </w:tbl>
    <w:p w14:paraId="5CDFAA18" w14:textId="77777777" w:rsidR="009A4BFE" w:rsidRDefault="0051186A">
      <w:pPr>
        <w:tabs>
          <w:tab w:val="clear" w:pos="567"/>
        </w:tabs>
        <w:autoSpaceDE w:val="0"/>
        <w:autoSpaceDN w:val="0"/>
        <w:adjustRightInd w:val="0"/>
        <w:spacing w:line="240" w:lineRule="auto"/>
        <w:rPr>
          <w:rFonts w:eastAsia="TimesNewRoman,Bold"/>
          <w:snapToGrid/>
          <w:szCs w:val="22"/>
          <w:u w:val="single"/>
          <w:lang w:val="lt-LT"/>
        </w:rPr>
      </w:pPr>
      <w:r>
        <w:rPr>
          <w:rFonts w:eastAsia="TimesNewRoman,Bold"/>
          <w:snapToGrid/>
          <w:szCs w:val="22"/>
          <w:u w:val="single"/>
          <w:lang w:val="lt-LT"/>
        </w:rPr>
        <w:t>Kraujavimo kategorijų sąvokos</w:t>
      </w:r>
    </w:p>
    <w:p w14:paraId="0B8D423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Didesnysis mirtinas ar pavojingas gyvybei kraujavimas</w:t>
      </w:r>
      <w:r>
        <w:rPr>
          <w:rFonts w:eastAsia="TimesNewRoman,Bold"/>
          <w:b/>
          <w:bCs/>
          <w:snapToGrid/>
          <w:szCs w:val="22"/>
          <w:lang w:val="lt-LT"/>
        </w:rPr>
        <w:t xml:space="preserve">: </w:t>
      </w:r>
      <w:r>
        <w:rPr>
          <w:rFonts w:eastAsia="TimesNewRoman"/>
          <w:snapToGrid/>
          <w:szCs w:val="22"/>
          <w:lang w:val="lt-LT"/>
        </w:rPr>
        <w:t xml:space="preserve">kliniškai pastebimas kraujavimas, dėl kurio hemoglobino koncentracija sumažėjo &gt; 50 g/l ar buvo perpilti ≥ 4 eritrocitų masės vienetai; </w:t>
      </w:r>
      <w:r>
        <w:rPr>
          <w:rFonts w:eastAsia="TimesNewRoman,Bold"/>
          <w:iCs/>
          <w:snapToGrid/>
          <w:szCs w:val="22"/>
          <w:u w:val="single"/>
          <w:lang w:val="lt-LT"/>
        </w:rPr>
        <w:t>arba</w:t>
      </w:r>
      <w:r>
        <w:rPr>
          <w:rFonts w:eastAsia="TimesNewRoman,Bold"/>
          <w:i/>
          <w:iCs/>
          <w:snapToGrid/>
          <w:szCs w:val="22"/>
          <w:lang w:val="lt-LT"/>
        </w:rPr>
        <w:t xml:space="preserve"> </w:t>
      </w:r>
      <w:r>
        <w:rPr>
          <w:rFonts w:eastAsia="TimesNewRoman"/>
          <w:snapToGrid/>
          <w:szCs w:val="22"/>
          <w:lang w:val="lt-LT"/>
        </w:rPr>
        <w:t xml:space="preserve">mirtinas; </w:t>
      </w:r>
      <w:r>
        <w:rPr>
          <w:rFonts w:eastAsia="TimesNewRoman,Bold"/>
          <w:iCs/>
          <w:snapToGrid/>
          <w:szCs w:val="22"/>
          <w:u w:val="single"/>
          <w:lang w:val="lt-LT"/>
        </w:rPr>
        <w:t>arba</w:t>
      </w:r>
      <w:r>
        <w:rPr>
          <w:rFonts w:eastAsia="TimesNewRoman,Bold"/>
          <w:i/>
          <w:iCs/>
          <w:snapToGrid/>
          <w:szCs w:val="22"/>
          <w:lang w:val="lt-LT"/>
        </w:rPr>
        <w:t xml:space="preserve"> </w:t>
      </w:r>
      <w:proofErr w:type="spellStart"/>
      <w:r>
        <w:rPr>
          <w:rFonts w:eastAsia="TimesNewRoman"/>
          <w:snapToGrid/>
          <w:szCs w:val="22"/>
          <w:lang w:val="lt-LT"/>
        </w:rPr>
        <w:t>intrakranijinis</w:t>
      </w:r>
      <w:proofErr w:type="spellEnd"/>
      <w:r>
        <w:rPr>
          <w:rFonts w:eastAsia="TimesNewRoman"/>
          <w:snapToGrid/>
          <w:szCs w:val="22"/>
          <w:lang w:val="lt-LT"/>
        </w:rPr>
        <w:t xml:space="preserve">; </w:t>
      </w:r>
      <w:r>
        <w:rPr>
          <w:rFonts w:eastAsia="TimesNewRoman,Bold"/>
          <w:iCs/>
          <w:snapToGrid/>
          <w:szCs w:val="22"/>
          <w:u w:val="single"/>
          <w:lang w:val="lt-LT"/>
        </w:rPr>
        <w:t>arba</w:t>
      </w:r>
      <w:r>
        <w:rPr>
          <w:rFonts w:eastAsia="TimesNewRoman,Bold"/>
          <w:i/>
          <w:iCs/>
          <w:snapToGrid/>
          <w:szCs w:val="22"/>
          <w:lang w:val="lt-LT"/>
        </w:rPr>
        <w:t xml:space="preserve"> </w:t>
      </w:r>
      <w:r>
        <w:rPr>
          <w:rFonts w:eastAsia="TimesNewRoman"/>
          <w:snapToGrid/>
          <w:szCs w:val="22"/>
          <w:lang w:val="lt-LT"/>
        </w:rPr>
        <w:t xml:space="preserve">vidinis perikardo su širdies </w:t>
      </w:r>
      <w:proofErr w:type="spellStart"/>
      <w:r>
        <w:rPr>
          <w:rFonts w:eastAsia="TimesNewRoman"/>
          <w:snapToGrid/>
          <w:szCs w:val="22"/>
          <w:lang w:val="lt-LT"/>
        </w:rPr>
        <w:t>tamponada</w:t>
      </w:r>
      <w:proofErr w:type="spellEnd"/>
      <w:r>
        <w:rPr>
          <w:rFonts w:eastAsia="TimesNewRoman"/>
          <w:snapToGrid/>
          <w:szCs w:val="22"/>
          <w:lang w:val="lt-LT"/>
        </w:rPr>
        <w:t xml:space="preserve">; </w:t>
      </w:r>
      <w:r>
        <w:rPr>
          <w:rFonts w:eastAsia="TimesNewRoman,Bold"/>
          <w:iCs/>
          <w:snapToGrid/>
          <w:szCs w:val="22"/>
          <w:u w:val="single"/>
          <w:lang w:val="lt-LT"/>
        </w:rPr>
        <w:t>arba</w:t>
      </w:r>
      <w:r>
        <w:rPr>
          <w:rFonts w:eastAsia="TimesNewRoman,Bold"/>
          <w:iCs/>
          <w:snapToGrid/>
          <w:szCs w:val="22"/>
          <w:lang w:val="lt-LT"/>
        </w:rPr>
        <w:t xml:space="preserve"> </w:t>
      </w:r>
      <w:r>
        <w:rPr>
          <w:rFonts w:eastAsia="TimesNewRoman"/>
          <w:snapToGrid/>
          <w:szCs w:val="22"/>
          <w:lang w:val="lt-LT"/>
        </w:rPr>
        <w:t xml:space="preserve">su </w:t>
      </w:r>
      <w:proofErr w:type="spellStart"/>
      <w:r>
        <w:rPr>
          <w:rFonts w:eastAsia="TimesNewRoman"/>
          <w:snapToGrid/>
          <w:szCs w:val="22"/>
          <w:lang w:val="lt-LT"/>
        </w:rPr>
        <w:t>hipovoleminiu</w:t>
      </w:r>
      <w:proofErr w:type="spellEnd"/>
      <w:r>
        <w:rPr>
          <w:rFonts w:eastAsia="TimesNewRoman"/>
          <w:snapToGrid/>
          <w:szCs w:val="22"/>
          <w:lang w:val="lt-LT"/>
        </w:rPr>
        <w:t xml:space="preserve"> šoku ar sunkia </w:t>
      </w:r>
      <w:proofErr w:type="spellStart"/>
      <w:r>
        <w:rPr>
          <w:rFonts w:eastAsia="TimesNewRoman"/>
          <w:snapToGrid/>
          <w:szCs w:val="22"/>
          <w:lang w:val="lt-LT"/>
        </w:rPr>
        <w:t>hipotenzija</w:t>
      </w:r>
      <w:proofErr w:type="spellEnd"/>
      <w:r>
        <w:rPr>
          <w:rFonts w:eastAsia="TimesNewRoman"/>
          <w:snapToGrid/>
          <w:szCs w:val="22"/>
          <w:lang w:val="lt-LT"/>
        </w:rPr>
        <w:t>, kuriems gydyti reikėjo kraujagysles siaurinančių vaistinių preparatų arba operacijos.</w:t>
      </w:r>
    </w:p>
    <w:p w14:paraId="45314C15"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Didesnysis kitas</w:t>
      </w:r>
      <w:r>
        <w:rPr>
          <w:rFonts w:eastAsia="TimesNewRoman,Bold"/>
          <w:b/>
          <w:bCs/>
          <w:snapToGrid/>
          <w:szCs w:val="22"/>
          <w:lang w:val="lt-LT"/>
        </w:rPr>
        <w:t xml:space="preserve">: </w:t>
      </w:r>
      <w:r>
        <w:rPr>
          <w:rFonts w:eastAsia="TimesNewRoman"/>
          <w:snapToGrid/>
          <w:szCs w:val="22"/>
          <w:lang w:val="lt-LT"/>
        </w:rPr>
        <w:t xml:space="preserve">kliniškai pastebimas kraujavimas, dėl kurio hemoglobino koncentracija sumažėjo 30-50 g/l ar buvo perpilti 2-3 eritrocitų masės vienetai; </w:t>
      </w:r>
      <w:r>
        <w:rPr>
          <w:rFonts w:eastAsia="TimesNewRoman,Bold"/>
          <w:iCs/>
          <w:snapToGrid/>
          <w:szCs w:val="22"/>
          <w:u w:val="single"/>
          <w:lang w:val="lt-LT"/>
        </w:rPr>
        <w:t>arba</w:t>
      </w:r>
      <w:r>
        <w:rPr>
          <w:rFonts w:eastAsia="TimesNewRoman,Bold"/>
          <w:i/>
          <w:iCs/>
          <w:snapToGrid/>
          <w:szCs w:val="22"/>
          <w:lang w:val="lt-LT"/>
        </w:rPr>
        <w:t xml:space="preserve"> </w:t>
      </w:r>
      <w:r>
        <w:rPr>
          <w:rFonts w:eastAsia="TimesNewRoman"/>
          <w:snapToGrid/>
          <w:szCs w:val="22"/>
          <w:lang w:val="lt-LT"/>
        </w:rPr>
        <w:t>sukėlęs reikšmingą negalią.</w:t>
      </w:r>
    </w:p>
    <w:p w14:paraId="0F40AC4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 xml:space="preserve">Nedidelis </w:t>
      </w:r>
      <w:r>
        <w:rPr>
          <w:rFonts w:eastAsia="TimesNewRoman"/>
          <w:i/>
          <w:iCs/>
          <w:snapToGrid/>
          <w:szCs w:val="22"/>
          <w:lang w:val="lt-LT"/>
        </w:rPr>
        <w:t>kraujavimas:</w:t>
      </w:r>
      <w:r>
        <w:rPr>
          <w:rFonts w:eastAsia="TimesNewRoman"/>
          <w:snapToGrid/>
          <w:szCs w:val="22"/>
          <w:lang w:val="lt-LT"/>
        </w:rPr>
        <w:t xml:space="preserve"> kraujavimas, kuriam stabdyti ar gydyti reikėjo medicininės intervencijos.</w:t>
      </w:r>
    </w:p>
    <w:p w14:paraId="3F1CFF4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 xml:space="preserve">TIMI </w:t>
      </w:r>
      <w:r>
        <w:rPr>
          <w:rFonts w:eastAsia="TimesNewRoman"/>
          <w:i/>
          <w:iCs/>
          <w:snapToGrid/>
          <w:szCs w:val="22"/>
          <w:lang w:val="lt-LT"/>
        </w:rPr>
        <w:t>didesnysis kraujavimas</w:t>
      </w:r>
      <w:r>
        <w:rPr>
          <w:rFonts w:eastAsia="TimesNewRoman,Bold"/>
          <w:b/>
          <w:bCs/>
          <w:snapToGrid/>
          <w:szCs w:val="22"/>
          <w:lang w:val="lt-LT"/>
        </w:rPr>
        <w:t xml:space="preserve">: </w:t>
      </w:r>
      <w:r>
        <w:rPr>
          <w:rFonts w:eastAsia="TimesNewRoman"/>
          <w:snapToGrid/>
          <w:szCs w:val="22"/>
          <w:lang w:val="lt-LT"/>
        </w:rPr>
        <w:t>kliniškai pastebimas kraujavimas, dėl kurio hemoglobino koncentracija sumažėjo &gt;</w:t>
      </w:r>
      <w:r>
        <w:rPr>
          <w:rFonts w:eastAsia="TimesNewRoman,Bold"/>
          <w:snapToGrid/>
          <w:szCs w:val="22"/>
          <w:lang w:val="lt-LT"/>
        </w:rPr>
        <w:t> </w:t>
      </w:r>
      <w:r>
        <w:rPr>
          <w:rFonts w:eastAsia="TimesNewRoman"/>
          <w:snapToGrid/>
          <w:szCs w:val="22"/>
          <w:lang w:val="lt-LT"/>
        </w:rPr>
        <w:t>50 g/l,</w:t>
      </w:r>
      <w:r>
        <w:rPr>
          <w:rFonts w:eastAsia="TimesNewRoman,Bold"/>
          <w:i/>
          <w:iCs/>
          <w:snapToGrid/>
          <w:szCs w:val="22"/>
          <w:lang w:val="lt-LT"/>
        </w:rPr>
        <w:t xml:space="preserve"> </w:t>
      </w:r>
      <w:r>
        <w:rPr>
          <w:rFonts w:eastAsia="TimesNewRoman,Bold"/>
          <w:iCs/>
          <w:snapToGrid/>
          <w:szCs w:val="22"/>
          <w:u w:val="single"/>
          <w:lang w:val="lt-LT"/>
        </w:rPr>
        <w:t>arba</w:t>
      </w:r>
      <w:r>
        <w:rPr>
          <w:rFonts w:eastAsia="TimesNewRoman,Bold"/>
          <w:i/>
          <w:iCs/>
          <w:snapToGrid/>
          <w:szCs w:val="22"/>
          <w:lang w:val="lt-LT"/>
        </w:rPr>
        <w:t xml:space="preserve"> </w:t>
      </w:r>
      <w:proofErr w:type="spellStart"/>
      <w:r>
        <w:rPr>
          <w:rFonts w:eastAsia="TimesNewRoman"/>
          <w:snapToGrid/>
          <w:szCs w:val="22"/>
          <w:lang w:val="lt-LT"/>
        </w:rPr>
        <w:t>intrakranijinis</w:t>
      </w:r>
      <w:proofErr w:type="spellEnd"/>
      <w:r>
        <w:rPr>
          <w:rFonts w:eastAsia="TimesNewRoman"/>
          <w:snapToGrid/>
          <w:szCs w:val="22"/>
          <w:lang w:val="lt-LT"/>
        </w:rPr>
        <w:t xml:space="preserve"> kraujavimas.</w:t>
      </w:r>
    </w:p>
    <w:p w14:paraId="567ADD9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TIMI nedidelis kraujavimas:</w:t>
      </w:r>
      <w:r>
        <w:rPr>
          <w:rFonts w:eastAsia="TimesNewRoman,Bold"/>
          <w:b/>
          <w:bCs/>
          <w:snapToGrid/>
          <w:szCs w:val="22"/>
          <w:lang w:val="lt-LT"/>
        </w:rPr>
        <w:t xml:space="preserve"> </w:t>
      </w:r>
      <w:r>
        <w:rPr>
          <w:rFonts w:eastAsia="TimesNewRoman"/>
          <w:snapToGrid/>
          <w:szCs w:val="22"/>
          <w:lang w:val="lt-LT"/>
        </w:rPr>
        <w:t>kliniškai pastebimas kraujavimas, dėl kurio hemoglobino koncentracija sumažėjo 30-50 g/l.</w:t>
      </w:r>
    </w:p>
    <w:p w14:paraId="4294325D" w14:textId="77777777" w:rsidR="009A4BFE" w:rsidRDefault="0051186A">
      <w:pPr>
        <w:tabs>
          <w:tab w:val="clear" w:pos="567"/>
        </w:tabs>
        <w:autoSpaceDE w:val="0"/>
        <w:autoSpaceDN w:val="0"/>
        <w:adjustRightInd w:val="0"/>
        <w:spacing w:line="240" w:lineRule="auto"/>
        <w:rPr>
          <w:rFonts w:eastAsia="TimesNewRoman,Bold"/>
          <w:snapToGrid/>
          <w:szCs w:val="22"/>
          <w:lang w:val="lt-LT"/>
        </w:rPr>
      </w:pPr>
      <w:r>
        <w:rPr>
          <w:rFonts w:eastAsia="TimesNewRoman"/>
          <w:snapToGrid/>
          <w:szCs w:val="22"/>
          <w:lang w:val="lt-LT"/>
        </w:rPr>
        <w:t>*</w:t>
      </w:r>
      <w:r>
        <w:rPr>
          <w:rFonts w:eastAsia="TimesNewRoman,Bold"/>
          <w:i/>
          <w:iCs/>
          <w:snapToGrid/>
          <w:szCs w:val="22"/>
          <w:lang w:val="lt-LT"/>
        </w:rPr>
        <w:t xml:space="preserve">p </w:t>
      </w:r>
      <w:r>
        <w:rPr>
          <w:rFonts w:eastAsia="TimesNewRoman"/>
          <w:snapToGrid/>
          <w:szCs w:val="22"/>
          <w:lang w:val="lt-LT"/>
        </w:rPr>
        <w:t xml:space="preserve">reikšmė apskaičiuota naudojant </w:t>
      </w:r>
      <w:proofErr w:type="spellStart"/>
      <w:r>
        <w:rPr>
          <w:rFonts w:eastAsia="TimesNewRoman"/>
          <w:snapToGrid/>
          <w:szCs w:val="22"/>
          <w:lang w:val="lt-LT"/>
        </w:rPr>
        <w:t>Cox</w:t>
      </w:r>
      <w:proofErr w:type="spellEnd"/>
      <w:r>
        <w:rPr>
          <w:rFonts w:eastAsia="TimesNewRoman"/>
          <w:snapToGrid/>
          <w:szCs w:val="22"/>
          <w:lang w:val="lt-LT"/>
        </w:rPr>
        <w:t xml:space="preserve"> proporcinės rizikos modelį (vienintelis aiškinamasis kintamasis buvo gydymo grupė).</w:t>
      </w:r>
    </w:p>
    <w:p w14:paraId="4A5CF652" w14:textId="77777777" w:rsidR="009A4BFE" w:rsidRDefault="009A4BFE">
      <w:pPr>
        <w:spacing w:line="240" w:lineRule="auto"/>
        <w:contextualSpacing/>
        <w:outlineLvl w:val="0"/>
        <w:rPr>
          <w:rFonts w:eastAsia="TimesNewRoman,Bold"/>
          <w:snapToGrid/>
          <w:szCs w:val="22"/>
          <w:lang w:val="lt-LT"/>
        </w:rPr>
      </w:pPr>
    </w:p>
    <w:p w14:paraId="6B628E2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Didesniųjų mirtinų ar pavojingų gyvybei kraujavimų pagal PLATO kriterijus dažnis, bendras didesniųjų kraujavimų pagal PLATO kriterijus dažnis, didesniųjų kraujavimų pagal TIMI kriterijus dažnis ir nedidelių kraujavimų pagal TIMI kriterijus dažnis vartojant </w:t>
      </w:r>
      <w:proofErr w:type="spellStart"/>
      <w:r>
        <w:rPr>
          <w:rFonts w:eastAsia="TimesNewRoman"/>
          <w:snapToGrid/>
          <w:szCs w:val="22"/>
          <w:lang w:val="lt-LT"/>
        </w:rPr>
        <w:t>tikagrelorą</w:t>
      </w:r>
      <w:proofErr w:type="spellEnd"/>
      <w:r>
        <w:rPr>
          <w:rFonts w:eastAsia="TimesNewRoman"/>
          <w:snapToGrid/>
          <w:szCs w:val="22"/>
          <w:lang w:val="lt-LT"/>
        </w:rPr>
        <w:t xml:space="preserve"> ir </w:t>
      </w:r>
      <w:proofErr w:type="spellStart"/>
      <w:r>
        <w:rPr>
          <w:rFonts w:eastAsia="TimesNewRoman"/>
          <w:snapToGrid/>
          <w:szCs w:val="22"/>
          <w:lang w:val="lt-LT"/>
        </w:rPr>
        <w:t>klopidogrelį</w:t>
      </w:r>
      <w:proofErr w:type="spellEnd"/>
      <w:r>
        <w:rPr>
          <w:rFonts w:eastAsia="TimesNewRoman"/>
          <w:snapToGrid/>
          <w:szCs w:val="22"/>
          <w:lang w:val="lt-LT"/>
        </w:rPr>
        <w:t xml:space="preserve"> nesiskyrė (2 lentelė). Tačiau bendras didesniųjų ir nedidelių kraujavimų pagal PLATO kriterijus skaičius </w:t>
      </w:r>
      <w:proofErr w:type="spellStart"/>
      <w:r>
        <w:rPr>
          <w:rFonts w:eastAsia="TimesNewRoman"/>
          <w:snapToGrid/>
          <w:szCs w:val="22"/>
          <w:lang w:val="lt-LT"/>
        </w:rPr>
        <w:t>tikagrelorą</w:t>
      </w:r>
      <w:proofErr w:type="spellEnd"/>
      <w:r>
        <w:rPr>
          <w:rFonts w:eastAsia="TimesNewRoman"/>
          <w:snapToGrid/>
          <w:szCs w:val="22"/>
          <w:lang w:val="lt-LT"/>
        </w:rPr>
        <w:t xml:space="preserve"> vartojusiems pacientams buvo didesnis negu vartojusiems </w:t>
      </w:r>
      <w:proofErr w:type="spellStart"/>
      <w:r>
        <w:rPr>
          <w:rFonts w:eastAsia="TimesNewRoman"/>
          <w:snapToGrid/>
          <w:szCs w:val="22"/>
          <w:lang w:val="lt-LT"/>
        </w:rPr>
        <w:t>klopidogrelį</w:t>
      </w:r>
      <w:proofErr w:type="spellEnd"/>
      <w:r>
        <w:rPr>
          <w:rFonts w:eastAsia="TimesNewRoman"/>
          <w:snapToGrid/>
          <w:szCs w:val="22"/>
          <w:lang w:val="lt-LT"/>
        </w:rPr>
        <w:t xml:space="preserve">. PLATO tyrimo metu nuo kraujavimo mirė nedaug pacientų: 20 (0,2 %) vartojusių </w:t>
      </w:r>
      <w:proofErr w:type="spellStart"/>
      <w:r>
        <w:rPr>
          <w:rFonts w:eastAsia="TimesNewRoman"/>
          <w:snapToGrid/>
          <w:szCs w:val="22"/>
          <w:lang w:val="lt-LT"/>
        </w:rPr>
        <w:t>tikagrelorą</w:t>
      </w:r>
      <w:proofErr w:type="spellEnd"/>
      <w:r>
        <w:rPr>
          <w:rFonts w:eastAsia="TimesNewRoman"/>
          <w:snapToGrid/>
          <w:szCs w:val="22"/>
          <w:lang w:val="lt-LT"/>
        </w:rPr>
        <w:t xml:space="preserve"> ir 23 (0,3 %) vartoję </w:t>
      </w:r>
      <w:proofErr w:type="spellStart"/>
      <w:r>
        <w:rPr>
          <w:rFonts w:eastAsia="TimesNewRoman"/>
          <w:snapToGrid/>
          <w:szCs w:val="22"/>
          <w:lang w:val="lt-LT"/>
        </w:rPr>
        <w:t>klopidogrelį</w:t>
      </w:r>
      <w:proofErr w:type="spellEnd"/>
      <w:r>
        <w:rPr>
          <w:rFonts w:eastAsia="TimesNewRoman"/>
          <w:snapToGrid/>
          <w:szCs w:val="22"/>
          <w:lang w:val="lt-LT"/>
        </w:rPr>
        <w:t xml:space="preserve"> (žr. 4.4 skyrių).</w:t>
      </w:r>
    </w:p>
    <w:p w14:paraId="3EF3D99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BEE451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Pagal amžių, lytį, svorį, rasę, geografinį regioną, gretutines ligas, derinyje vartojamus vaistinius preparatus ir anamnezę (įskaitant anksčiau buvusius insultus ir praeinančius išemijos priepuolius) bendros ar su procedūromis nesusijusio didesniojo kraujavimo pagal PLATO kriterijus rizikos numatyti negalima. Ypatingos rizikos grupių nei vienai kraujavimo rūšiai nenustatyta.</w:t>
      </w:r>
    </w:p>
    <w:p w14:paraId="6EDDBD7A"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4BBAD2A7"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Su koronarinių arterijų šuntavimu susijęs kraujavimas</w:t>
      </w:r>
    </w:p>
    <w:p w14:paraId="593028B5"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PLATO tyrimo metu 42 % iš 1584 pacientų (12 % kohortos), kuriems buvo atlikta koronarinių arterijų šuntavimo operacija, pasireiškė didesnysis mirtinas ar pavojingas gyvybei kraujavimas pagal PLATO </w:t>
      </w:r>
      <w:r>
        <w:rPr>
          <w:rFonts w:eastAsia="TimesNewRoman"/>
          <w:snapToGrid/>
          <w:szCs w:val="22"/>
          <w:lang w:val="lt-LT"/>
        </w:rPr>
        <w:lastRenderedPageBreak/>
        <w:t>kriterijus (skirtumo tarp gydymo grupių nebuvo). Nuo su koronarinių arterijų šuntavimu susijusio kraujavimo mirė po 6 abiejų gydymo grupių pacientus (žr. 4.4 skyrių).</w:t>
      </w:r>
    </w:p>
    <w:p w14:paraId="2796920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66BF99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i/>
          <w:iCs/>
          <w:snapToGrid/>
          <w:szCs w:val="22"/>
          <w:lang w:val="lt-LT"/>
        </w:rPr>
        <w:t>Su koronarinių arterijų šuntavimu nesusijęs kraujavimas ir su procedūromis nesusijęs kraujavimas</w:t>
      </w:r>
    </w:p>
    <w:p w14:paraId="07521B4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 koronarinių arterijų šuntavimu nesusijusių mirtinų ar pavojingų gyvybei kraujavimų pagal PLATO kriterijus dažnis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klopidogrelio</w:t>
      </w:r>
      <w:proofErr w:type="spellEnd"/>
      <w:r>
        <w:rPr>
          <w:rFonts w:eastAsia="TimesNewRoman"/>
          <w:snapToGrid/>
          <w:szCs w:val="22"/>
          <w:lang w:val="lt-LT"/>
        </w:rPr>
        <w:t xml:space="preserve"> grupių pacientams nesiskyrė, tačiau bendras didesniųjų kraujavimų pagal PLATO kriterijus dažnis, didesniųjų kraujavimų pagal TIMI kriterijus dažnis bei suminis didesniųjų ir nedidelių kraujavimų pagal TIMI kriterijus skaičius vartojant </w:t>
      </w:r>
      <w:proofErr w:type="spellStart"/>
      <w:r>
        <w:rPr>
          <w:rFonts w:eastAsia="TimesNewRoman"/>
          <w:snapToGrid/>
          <w:szCs w:val="22"/>
          <w:lang w:val="lt-LT"/>
        </w:rPr>
        <w:t>tikagrelorą</w:t>
      </w:r>
      <w:proofErr w:type="spellEnd"/>
      <w:r>
        <w:rPr>
          <w:rFonts w:eastAsia="TimesNewRoman"/>
          <w:snapToGrid/>
          <w:szCs w:val="22"/>
          <w:lang w:val="lt-LT"/>
        </w:rPr>
        <w:t xml:space="preserve"> buvo didesni. Atmetus visus su procedūromis susijusius kraujavimus, gauti panašūs duomenys: vartojant </w:t>
      </w:r>
      <w:proofErr w:type="spellStart"/>
      <w:r>
        <w:rPr>
          <w:rFonts w:eastAsia="TimesNewRoman"/>
          <w:snapToGrid/>
          <w:szCs w:val="22"/>
          <w:lang w:val="lt-LT"/>
        </w:rPr>
        <w:t>tikagrelorą</w:t>
      </w:r>
      <w:proofErr w:type="spellEnd"/>
      <w:r>
        <w:rPr>
          <w:rFonts w:eastAsia="TimesNewRoman"/>
          <w:snapToGrid/>
          <w:szCs w:val="22"/>
          <w:lang w:val="lt-LT"/>
        </w:rPr>
        <w:t xml:space="preserve"> kraujavimas prasidėjo dažniau negu vartojant </w:t>
      </w:r>
      <w:proofErr w:type="spellStart"/>
      <w:r>
        <w:rPr>
          <w:rFonts w:eastAsia="TimesNewRoman"/>
          <w:snapToGrid/>
          <w:szCs w:val="22"/>
          <w:lang w:val="lt-LT"/>
        </w:rPr>
        <w:t>klopidogrelį</w:t>
      </w:r>
      <w:proofErr w:type="spellEnd"/>
      <w:r>
        <w:rPr>
          <w:rFonts w:eastAsia="TimesNewRoman"/>
          <w:snapToGrid/>
          <w:szCs w:val="22"/>
          <w:lang w:val="lt-LT"/>
        </w:rPr>
        <w:t xml:space="preserve"> (2 lentelė). Dėl su procedūra nesusijusių kraujavimų </w:t>
      </w:r>
      <w:proofErr w:type="spellStart"/>
      <w:r>
        <w:rPr>
          <w:rFonts w:eastAsia="TimesNewRoman"/>
          <w:snapToGrid/>
          <w:szCs w:val="22"/>
          <w:lang w:val="lt-LT"/>
        </w:rPr>
        <w:t>tikagreloro</w:t>
      </w:r>
      <w:proofErr w:type="spellEnd"/>
      <w:r>
        <w:rPr>
          <w:rFonts w:eastAsia="TimesNewRoman"/>
          <w:snapToGrid/>
          <w:szCs w:val="22"/>
          <w:lang w:val="lt-LT"/>
        </w:rPr>
        <w:t xml:space="preserve"> vartojimą tekdavo nutraukti dažniau (2,9 %), negu </w:t>
      </w:r>
      <w:proofErr w:type="spellStart"/>
      <w:r>
        <w:rPr>
          <w:rFonts w:eastAsia="TimesNewRoman"/>
          <w:snapToGrid/>
          <w:szCs w:val="22"/>
          <w:lang w:val="lt-LT"/>
        </w:rPr>
        <w:t>klopidogrelio</w:t>
      </w:r>
      <w:proofErr w:type="spellEnd"/>
      <w:r>
        <w:rPr>
          <w:rFonts w:eastAsia="TimesNewRoman"/>
          <w:snapToGrid/>
          <w:szCs w:val="22"/>
          <w:lang w:val="lt-LT"/>
        </w:rPr>
        <w:t xml:space="preserve"> (1,2 %) (p &lt; 0,001).</w:t>
      </w:r>
    </w:p>
    <w:p w14:paraId="73ED1FF9"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AF08199"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proofErr w:type="spellStart"/>
      <w:r>
        <w:rPr>
          <w:rFonts w:eastAsia="TimesNewRoman"/>
          <w:i/>
          <w:iCs/>
          <w:snapToGrid/>
          <w:szCs w:val="22"/>
          <w:lang w:val="lt-LT"/>
        </w:rPr>
        <w:t>Intrakranijinis</w:t>
      </w:r>
      <w:proofErr w:type="spellEnd"/>
      <w:r>
        <w:rPr>
          <w:rFonts w:eastAsia="TimesNewRoman"/>
          <w:i/>
          <w:iCs/>
          <w:snapToGrid/>
          <w:szCs w:val="22"/>
          <w:lang w:val="lt-LT"/>
        </w:rPr>
        <w:t xml:space="preserve"> kraujavimas</w:t>
      </w:r>
    </w:p>
    <w:p w14:paraId="27A8CB63"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Intrakranijinių</w:t>
      </w:r>
      <w:proofErr w:type="spellEnd"/>
      <w:r>
        <w:rPr>
          <w:rFonts w:eastAsia="TimesNewRoman"/>
          <w:snapToGrid/>
          <w:szCs w:val="22"/>
          <w:lang w:val="lt-LT"/>
        </w:rPr>
        <w:t xml:space="preserve"> kraujavimų, nesusijusių su procedūromis, </w:t>
      </w:r>
      <w:proofErr w:type="spellStart"/>
      <w:r>
        <w:rPr>
          <w:rFonts w:eastAsia="TimesNewRoman"/>
          <w:snapToGrid/>
          <w:szCs w:val="22"/>
          <w:lang w:val="lt-LT"/>
        </w:rPr>
        <w:t>tikagrelorą</w:t>
      </w:r>
      <w:proofErr w:type="spellEnd"/>
      <w:r>
        <w:rPr>
          <w:rFonts w:eastAsia="TimesNewRoman"/>
          <w:snapToGrid/>
          <w:szCs w:val="22"/>
          <w:lang w:val="lt-LT"/>
        </w:rPr>
        <w:t xml:space="preserve"> vartojusiems pacientams užfiksuota daugiau (27 kraujavimai 26 pacientams, 0,3 %), negu vartojusiems </w:t>
      </w:r>
      <w:proofErr w:type="spellStart"/>
      <w:r>
        <w:rPr>
          <w:rFonts w:eastAsia="TimesNewRoman"/>
          <w:snapToGrid/>
          <w:szCs w:val="22"/>
          <w:lang w:val="lt-LT"/>
        </w:rPr>
        <w:t>klopidogrelį</w:t>
      </w:r>
      <w:proofErr w:type="spellEnd"/>
      <w:r>
        <w:rPr>
          <w:rFonts w:eastAsia="TimesNewRoman"/>
          <w:snapToGrid/>
          <w:szCs w:val="22"/>
          <w:lang w:val="lt-LT"/>
        </w:rPr>
        <w:t xml:space="preserve"> (14 kraujavimų, 0,2 %). Mirė 11 tokį kraujavimą patyrusių </w:t>
      </w:r>
      <w:proofErr w:type="spellStart"/>
      <w:r>
        <w:rPr>
          <w:rFonts w:eastAsia="TimesNewRoman"/>
          <w:snapToGrid/>
          <w:szCs w:val="22"/>
          <w:lang w:val="lt-LT"/>
        </w:rPr>
        <w:t>tikagrelorą</w:t>
      </w:r>
      <w:proofErr w:type="spellEnd"/>
      <w:r>
        <w:rPr>
          <w:rFonts w:eastAsia="TimesNewRoman"/>
          <w:snapToGrid/>
          <w:szCs w:val="22"/>
          <w:lang w:val="lt-LT"/>
        </w:rPr>
        <w:t xml:space="preserve"> vartojusių ir 1 </w:t>
      </w:r>
      <w:proofErr w:type="spellStart"/>
      <w:r>
        <w:rPr>
          <w:rFonts w:eastAsia="TimesNewRoman"/>
          <w:snapToGrid/>
          <w:szCs w:val="22"/>
          <w:lang w:val="lt-LT"/>
        </w:rPr>
        <w:t>klopidogrelį</w:t>
      </w:r>
      <w:proofErr w:type="spellEnd"/>
      <w:r>
        <w:rPr>
          <w:rFonts w:eastAsia="TimesNewRoman"/>
          <w:snapToGrid/>
          <w:szCs w:val="22"/>
          <w:lang w:val="lt-LT"/>
        </w:rPr>
        <w:t xml:space="preserve"> vartojęs pacientas. Bendras mirtino kraujavimo pasireiškimo dažnis nesiskyrė.</w:t>
      </w:r>
    </w:p>
    <w:p w14:paraId="118F51BC"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423F58B0"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Kraujavimas PEGASUS tyrimo metu</w:t>
      </w:r>
    </w:p>
    <w:p w14:paraId="133A250B" w14:textId="77777777" w:rsidR="009A4BFE" w:rsidRDefault="0051186A">
      <w:pPr>
        <w:spacing w:line="240" w:lineRule="auto"/>
        <w:contextualSpacing/>
        <w:outlineLvl w:val="0"/>
        <w:rPr>
          <w:rFonts w:eastAsia="TimesNewRoman"/>
          <w:snapToGrid/>
          <w:szCs w:val="22"/>
          <w:lang w:val="lt-LT"/>
        </w:rPr>
      </w:pPr>
      <w:r>
        <w:rPr>
          <w:rFonts w:eastAsia="TimesNewRoman"/>
          <w:snapToGrid/>
          <w:szCs w:val="22"/>
          <w:lang w:val="lt-LT"/>
        </w:rPr>
        <w:t>Bendri kraujavimo duomenys, gauti PEGASUS tyrimo metu, pateikiami 3 lentelėje.</w:t>
      </w:r>
    </w:p>
    <w:p w14:paraId="38ABC6F3" w14:textId="77777777" w:rsidR="009A4BFE" w:rsidRDefault="009A4BFE">
      <w:pPr>
        <w:spacing w:line="240" w:lineRule="auto"/>
        <w:contextualSpacing/>
        <w:outlineLvl w:val="0"/>
        <w:rPr>
          <w:rFonts w:eastAsia="TimesNewRoman,Bold"/>
          <w:snapToGrid/>
          <w:szCs w:val="22"/>
          <w:lang w:val="lt-LT"/>
        </w:rPr>
      </w:pPr>
    </w:p>
    <w:p w14:paraId="30FC3BB5" w14:textId="77777777" w:rsidR="009A4BFE" w:rsidRDefault="0051186A">
      <w:pPr>
        <w:tabs>
          <w:tab w:val="clear" w:pos="567"/>
        </w:tabs>
        <w:autoSpaceDE w:val="0"/>
        <w:autoSpaceDN w:val="0"/>
        <w:adjustRightInd w:val="0"/>
        <w:spacing w:line="240" w:lineRule="auto"/>
        <w:rPr>
          <w:rFonts w:eastAsia="TimesNewRoman,Bold"/>
          <w:snapToGrid/>
          <w:szCs w:val="22"/>
          <w:u w:val="single"/>
          <w:lang w:val="lt-LT"/>
        </w:rPr>
      </w:pPr>
      <w:r>
        <w:rPr>
          <w:rFonts w:eastAsia="TimesNewRoman,Bold"/>
          <w:snapToGrid/>
          <w:szCs w:val="22"/>
          <w:u w:val="single"/>
          <w:lang w:val="lt-LT"/>
        </w:rPr>
        <w:t xml:space="preserve">3 lentelė. Bendra kraujavimo reiškinių analizė </w:t>
      </w:r>
      <w:proofErr w:type="spellStart"/>
      <w:r>
        <w:rPr>
          <w:rFonts w:eastAsia="TimesNewRoman,Bold"/>
          <w:snapToGrid/>
          <w:szCs w:val="22"/>
          <w:u w:val="single"/>
          <w:lang w:val="lt-LT"/>
        </w:rPr>
        <w:t>Kaplan-Meier</w:t>
      </w:r>
      <w:proofErr w:type="spellEnd"/>
      <w:r>
        <w:rPr>
          <w:rFonts w:eastAsia="TimesNewRoman,Bold"/>
          <w:snapToGrid/>
          <w:szCs w:val="22"/>
          <w:u w:val="single"/>
          <w:lang w:val="lt-LT"/>
        </w:rPr>
        <w:t xml:space="preserve"> metodu po 36 mėn. (PEGASUS</w:t>
      </w:r>
    </w:p>
    <w:p w14:paraId="578B6A04" w14:textId="77777777" w:rsidR="009A4BFE" w:rsidRDefault="0051186A">
      <w:pPr>
        <w:spacing w:line="240" w:lineRule="auto"/>
        <w:contextualSpacing/>
        <w:outlineLvl w:val="0"/>
        <w:rPr>
          <w:rFonts w:eastAsia="TimesNewRoman,Bold"/>
          <w:snapToGrid/>
          <w:szCs w:val="22"/>
          <w:u w:val="single"/>
          <w:lang w:val="lt-LT"/>
        </w:rPr>
      </w:pPr>
      <w:r>
        <w:rPr>
          <w:rFonts w:eastAsia="TimesNewRoman,Bold"/>
          <w:snapToGrid/>
          <w:szCs w:val="22"/>
          <w:u w:val="single"/>
          <w:lang w:val="lt-LT"/>
        </w:rPr>
        <w:t>tyrimas)</w:t>
      </w:r>
    </w:p>
    <w:p w14:paraId="1A6EFE70" w14:textId="77777777" w:rsidR="009A4BFE" w:rsidRDefault="009A4BFE">
      <w:pPr>
        <w:spacing w:line="240" w:lineRule="auto"/>
        <w:contextualSpacing/>
        <w:outlineLvl w:val="0"/>
        <w:rPr>
          <w:rFonts w:eastAsia="TimesNewRoman,Bold"/>
          <w:b/>
          <w:bCs/>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067"/>
        <w:gridCol w:w="2268"/>
        <w:gridCol w:w="1418"/>
        <w:gridCol w:w="1410"/>
      </w:tblGrid>
      <w:tr w:rsidR="009A4BFE" w14:paraId="30B4DA2E" w14:textId="77777777">
        <w:tc>
          <w:tcPr>
            <w:tcW w:w="1897" w:type="dxa"/>
          </w:tcPr>
          <w:p w14:paraId="2F23C024" w14:textId="77777777" w:rsidR="009A4BFE" w:rsidRDefault="009A4BFE">
            <w:pPr>
              <w:spacing w:line="240" w:lineRule="auto"/>
              <w:contextualSpacing/>
              <w:outlineLvl w:val="0"/>
              <w:rPr>
                <w:rFonts w:eastAsia="TimesNewRoman,Bold"/>
                <w:b/>
                <w:bCs/>
                <w:snapToGrid/>
                <w:szCs w:val="22"/>
                <w:lang w:val="lt-LT"/>
              </w:rPr>
            </w:pPr>
          </w:p>
        </w:tc>
        <w:tc>
          <w:tcPr>
            <w:tcW w:w="4335" w:type="dxa"/>
            <w:gridSpan w:val="2"/>
          </w:tcPr>
          <w:p w14:paraId="098EFA6D" w14:textId="77777777" w:rsidR="009A4BFE" w:rsidRDefault="0051186A">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Tikagreloras</w:t>
            </w:r>
            <w:proofErr w:type="spellEnd"/>
            <w:r>
              <w:rPr>
                <w:rFonts w:eastAsia="TimesNewRoman,Bold"/>
                <w:b/>
                <w:bCs/>
                <w:snapToGrid/>
                <w:szCs w:val="22"/>
                <w:lang w:val="lt-LT"/>
              </w:rPr>
              <w:t xml:space="preserve"> po 60 mg 2 kartus per parą derinyje su ASR</w:t>
            </w:r>
          </w:p>
          <w:p w14:paraId="4D29D6CD"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N= 6958</w:t>
            </w:r>
          </w:p>
        </w:tc>
        <w:tc>
          <w:tcPr>
            <w:tcW w:w="1418" w:type="dxa"/>
          </w:tcPr>
          <w:p w14:paraId="592260F2"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Vien ASR</w:t>
            </w:r>
          </w:p>
          <w:p w14:paraId="16EE0207" w14:textId="77777777" w:rsidR="009A4BFE" w:rsidRDefault="0051186A">
            <w:pPr>
              <w:spacing w:line="240" w:lineRule="auto"/>
              <w:contextualSpacing/>
              <w:outlineLvl w:val="0"/>
              <w:rPr>
                <w:rFonts w:eastAsia="TimesNewRoman,Bold"/>
                <w:b/>
                <w:bCs/>
                <w:snapToGrid/>
                <w:szCs w:val="22"/>
                <w:lang w:val="lt-LT"/>
              </w:rPr>
            </w:pPr>
            <w:r>
              <w:rPr>
                <w:rFonts w:eastAsia="TimesNewRoman,Bold"/>
                <w:b/>
                <w:bCs/>
                <w:snapToGrid/>
                <w:szCs w:val="22"/>
                <w:lang w:val="lt-LT"/>
              </w:rPr>
              <w:t>N= 6996</w:t>
            </w:r>
          </w:p>
        </w:tc>
        <w:tc>
          <w:tcPr>
            <w:tcW w:w="1410" w:type="dxa"/>
          </w:tcPr>
          <w:p w14:paraId="43D07F6A" w14:textId="77777777" w:rsidR="009A4BFE" w:rsidRDefault="009A4BFE">
            <w:pPr>
              <w:spacing w:line="240" w:lineRule="auto"/>
              <w:contextualSpacing/>
              <w:outlineLvl w:val="0"/>
              <w:rPr>
                <w:rFonts w:eastAsia="TimesNewRoman,Bold"/>
                <w:b/>
                <w:bCs/>
                <w:snapToGrid/>
                <w:szCs w:val="22"/>
                <w:lang w:val="lt-LT"/>
              </w:rPr>
            </w:pPr>
          </w:p>
        </w:tc>
      </w:tr>
      <w:tr w:rsidR="009A4BFE" w14:paraId="0EBE03C1" w14:textId="77777777">
        <w:tc>
          <w:tcPr>
            <w:tcW w:w="1897" w:type="dxa"/>
          </w:tcPr>
          <w:p w14:paraId="2522D3EE" w14:textId="77777777" w:rsidR="009A4BFE" w:rsidRDefault="0051186A">
            <w:pPr>
              <w:spacing w:line="240" w:lineRule="auto"/>
              <w:contextualSpacing/>
              <w:outlineLvl w:val="0"/>
              <w:rPr>
                <w:rFonts w:eastAsia="TimesNewRoman,Bold"/>
                <w:b/>
                <w:bCs/>
                <w:snapToGrid/>
                <w:szCs w:val="22"/>
                <w:lang w:val="lt-LT"/>
              </w:rPr>
            </w:pPr>
            <w:r>
              <w:rPr>
                <w:rFonts w:eastAsia="TimesNewRoman,Bold"/>
                <w:b/>
                <w:bCs/>
                <w:snapToGrid/>
                <w:szCs w:val="22"/>
                <w:lang w:val="lt-LT"/>
              </w:rPr>
              <w:t>Saugumo vertinamosios baigtys</w:t>
            </w:r>
          </w:p>
        </w:tc>
        <w:tc>
          <w:tcPr>
            <w:tcW w:w="2067" w:type="dxa"/>
          </w:tcPr>
          <w:p w14:paraId="4429144C"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KM %</w:t>
            </w:r>
          </w:p>
        </w:tc>
        <w:tc>
          <w:tcPr>
            <w:tcW w:w="2268" w:type="dxa"/>
          </w:tcPr>
          <w:p w14:paraId="76FC8258" w14:textId="77777777" w:rsidR="009A4BFE" w:rsidRDefault="0051186A">
            <w:pPr>
              <w:tabs>
                <w:tab w:val="clear" w:pos="567"/>
              </w:tabs>
              <w:autoSpaceDE w:val="0"/>
              <w:autoSpaceDN w:val="0"/>
              <w:adjustRightInd w:val="0"/>
              <w:spacing w:line="240" w:lineRule="auto"/>
              <w:jc w:val="center"/>
              <w:rPr>
                <w:rFonts w:eastAsia="TimesNewRoman,Bold"/>
                <w:b/>
                <w:bCs/>
                <w:snapToGrid/>
                <w:szCs w:val="22"/>
                <w:lang w:val="lt-LT"/>
              </w:rPr>
            </w:pPr>
            <w:r>
              <w:rPr>
                <w:rFonts w:eastAsia="TimesNewRoman,Bold"/>
                <w:b/>
                <w:bCs/>
                <w:snapToGrid/>
                <w:szCs w:val="22"/>
                <w:lang w:val="lt-LT"/>
              </w:rPr>
              <w:t>Rizikos santykis</w:t>
            </w:r>
          </w:p>
          <w:p w14:paraId="502168E6"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(95 % PI)</w:t>
            </w:r>
          </w:p>
        </w:tc>
        <w:tc>
          <w:tcPr>
            <w:tcW w:w="1418" w:type="dxa"/>
          </w:tcPr>
          <w:p w14:paraId="2CC20E02"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KM %</w:t>
            </w:r>
          </w:p>
        </w:tc>
        <w:tc>
          <w:tcPr>
            <w:tcW w:w="1410" w:type="dxa"/>
          </w:tcPr>
          <w:p w14:paraId="2BA01D06" w14:textId="77777777" w:rsidR="009A4BFE" w:rsidRDefault="0051186A">
            <w:pPr>
              <w:tabs>
                <w:tab w:val="clear" w:pos="567"/>
              </w:tabs>
              <w:autoSpaceDE w:val="0"/>
              <w:autoSpaceDN w:val="0"/>
              <w:adjustRightInd w:val="0"/>
              <w:spacing w:line="240" w:lineRule="auto"/>
              <w:jc w:val="center"/>
              <w:rPr>
                <w:rFonts w:eastAsia="Calibri"/>
                <w:b/>
                <w:bCs/>
                <w:i/>
                <w:iCs/>
                <w:snapToGrid/>
                <w:szCs w:val="22"/>
                <w:lang w:val="lt-LT"/>
              </w:rPr>
            </w:pPr>
            <w:r>
              <w:rPr>
                <w:rFonts w:eastAsia="Calibri"/>
                <w:b/>
                <w:bCs/>
                <w:i/>
                <w:iCs/>
                <w:snapToGrid/>
                <w:szCs w:val="22"/>
                <w:lang w:val="lt-LT"/>
              </w:rPr>
              <w:t>p</w:t>
            </w:r>
          </w:p>
          <w:p w14:paraId="38862ECB"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reikšmė</w:t>
            </w:r>
          </w:p>
        </w:tc>
      </w:tr>
      <w:tr w:rsidR="009A4BFE" w:rsidRPr="0022257B" w14:paraId="42A1E9BB" w14:textId="77777777">
        <w:tc>
          <w:tcPr>
            <w:tcW w:w="9060" w:type="dxa"/>
            <w:gridSpan w:val="5"/>
          </w:tcPr>
          <w:p w14:paraId="2AA2CD12"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Kraujavimo kategorijos pagal TIMI kriterijus</w:t>
            </w:r>
          </w:p>
        </w:tc>
      </w:tr>
      <w:tr w:rsidR="009A4BFE" w14:paraId="355820AB" w14:textId="77777777">
        <w:tc>
          <w:tcPr>
            <w:tcW w:w="1897" w:type="dxa"/>
          </w:tcPr>
          <w:p w14:paraId="58907BA1"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TIMI didesnieji</w:t>
            </w:r>
          </w:p>
        </w:tc>
        <w:tc>
          <w:tcPr>
            <w:tcW w:w="2067" w:type="dxa"/>
          </w:tcPr>
          <w:p w14:paraId="39E3C161"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2,3</w:t>
            </w:r>
          </w:p>
        </w:tc>
        <w:tc>
          <w:tcPr>
            <w:tcW w:w="2268" w:type="dxa"/>
          </w:tcPr>
          <w:p w14:paraId="717E83AC"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2,32</w:t>
            </w:r>
          </w:p>
          <w:p w14:paraId="1D8E4ABB"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1,68 iki 3,21)</w:t>
            </w:r>
          </w:p>
        </w:tc>
        <w:tc>
          <w:tcPr>
            <w:tcW w:w="1418" w:type="dxa"/>
          </w:tcPr>
          <w:p w14:paraId="76D5BB7A"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1,1</w:t>
            </w:r>
          </w:p>
        </w:tc>
        <w:tc>
          <w:tcPr>
            <w:tcW w:w="1410" w:type="dxa"/>
          </w:tcPr>
          <w:p w14:paraId="00862578"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A4BFE" w14:paraId="381760A0" w14:textId="77777777">
        <w:tc>
          <w:tcPr>
            <w:tcW w:w="1897" w:type="dxa"/>
          </w:tcPr>
          <w:p w14:paraId="10EA232E"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Mirtini</w:t>
            </w:r>
          </w:p>
        </w:tc>
        <w:tc>
          <w:tcPr>
            <w:tcW w:w="2067" w:type="dxa"/>
          </w:tcPr>
          <w:p w14:paraId="01545FA3"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0,3</w:t>
            </w:r>
          </w:p>
        </w:tc>
        <w:tc>
          <w:tcPr>
            <w:tcW w:w="2268" w:type="dxa"/>
          </w:tcPr>
          <w:p w14:paraId="1CE5A9BA"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1,00</w:t>
            </w:r>
          </w:p>
          <w:p w14:paraId="31ACF490"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0,44 iki 2,27)</w:t>
            </w:r>
          </w:p>
        </w:tc>
        <w:tc>
          <w:tcPr>
            <w:tcW w:w="1418" w:type="dxa"/>
          </w:tcPr>
          <w:p w14:paraId="532F178C"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0,3</w:t>
            </w:r>
          </w:p>
        </w:tc>
        <w:tc>
          <w:tcPr>
            <w:tcW w:w="1410" w:type="dxa"/>
          </w:tcPr>
          <w:p w14:paraId="50A72A87"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1,0000</w:t>
            </w:r>
          </w:p>
        </w:tc>
      </w:tr>
      <w:tr w:rsidR="009A4BFE" w14:paraId="6F40B351" w14:textId="77777777">
        <w:tc>
          <w:tcPr>
            <w:tcW w:w="1897" w:type="dxa"/>
          </w:tcPr>
          <w:p w14:paraId="73E29CF5"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IKK</w:t>
            </w:r>
          </w:p>
        </w:tc>
        <w:tc>
          <w:tcPr>
            <w:tcW w:w="2067" w:type="dxa"/>
          </w:tcPr>
          <w:p w14:paraId="57AC641B"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0,6</w:t>
            </w:r>
          </w:p>
        </w:tc>
        <w:tc>
          <w:tcPr>
            <w:tcW w:w="2268" w:type="dxa"/>
          </w:tcPr>
          <w:p w14:paraId="0B893874"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1,33</w:t>
            </w:r>
          </w:p>
          <w:p w14:paraId="2A47690C"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0,77 iki 2,31)</w:t>
            </w:r>
          </w:p>
        </w:tc>
        <w:tc>
          <w:tcPr>
            <w:tcW w:w="1418" w:type="dxa"/>
          </w:tcPr>
          <w:p w14:paraId="1095BFF6"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0,5</w:t>
            </w:r>
          </w:p>
        </w:tc>
        <w:tc>
          <w:tcPr>
            <w:tcW w:w="1410" w:type="dxa"/>
          </w:tcPr>
          <w:p w14:paraId="5BF20899"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0,3130</w:t>
            </w:r>
          </w:p>
        </w:tc>
      </w:tr>
      <w:tr w:rsidR="009A4BFE" w14:paraId="425C8B14" w14:textId="77777777">
        <w:tc>
          <w:tcPr>
            <w:tcW w:w="1897" w:type="dxa"/>
          </w:tcPr>
          <w:p w14:paraId="202C0D2F"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Kiti TIMI didesnieji</w:t>
            </w:r>
          </w:p>
        </w:tc>
        <w:tc>
          <w:tcPr>
            <w:tcW w:w="2067" w:type="dxa"/>
          </w:tcPr>
          <w:p w14:paraId="55028722"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1,6</w:t>
            </w:r>
          </w:p>
        </w:tc>
        <w:tc>
          <w:tcPr>
            <w:tcW w:w="2268" w:type="dxa"/>
          </w:tcPr>
          <w:p w14:paraId="5D0712FE"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3,61</w:t>
            </w:r>
          </w:p>
          <w:p w14:paraId="73708CD6"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2,31 iki 5,65)</w:t>
            </w:r>
          </w:p>
        </w:tc>
        <w:tc>
          <w:tcPr>
            <w:tcW w:w="1418" w:type="dxa"/>
          </w:tcPr>
          <w:p w14:paraId="3FD7E388"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0,5</w:t>
            </w:r>
          </w:p>
        </w:tc>
        <w:tc>
          <w:tcPr>
            <w:tcW w:w="1410" w:type="dxa"/>
          </w:tcPr>
          <w:p w14:paraId="5840A090"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A4BFE" w14:paraId="2BB53DB4" w14:textId="77777777">
        <w:tc>
          <w:tcPr>
            <w:tcW w:w="1897" w:type="dxa"/>
          </w:tcPr>
          <w:p w14:paraId="73506524"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TIMI didesnieji ir nedideli</w:t>
            </w:r>
          </w:p>
        </w:tc>
        <w:tc>
          <w:tcPr>
            <w:tcW w:w="2067" w:type="dxa"/>
          </w:tcPr>
          <w:p w14:paraId="6E44FEFA"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3,4</w:t>
            </w:r>
          </w:p>
        </w:tc>
        <w:tc>
          <w:tcPr>
            <w:tcW w:w="2268" w:type="dxa"/>
          </w:tcPr>
          <w:p w14:paraId="67F6A20C"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2,54</w:t>
            </w:r>
          </w:p>
          <w:p w14:paraId="7BB38F7B"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1,93 iki 3,35)</w:t>
            </w:r>
          </w:p>
        </w:tc>
        <w:tc>
          <w:tcPr>
            <w:tcW w:w="1418" w:type="dxa"/>
          </w:tcPr>
          <w:p w14:paraId="32945BD1"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1,4</w:t>
            </w:r>
          </w:p>
        </w:tc>
        <w:tc>
          <w:tcPr>
            <w:tcW w:w="1410" w:type="dxa"/>
          </w:tcPr>
          <w:p w14:paraId="00933DC4"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A4BFE" w14:paraId="2151B07E" w14:textId="77777777">
        <w:tc>
          <w:tcPr>
            <w:tcW w:w="1897" w:type="dxa"/>
          </w:tcPr>
          <w:p w14:paraId="630CF06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TIMI didesnieji, nedideli ir reikalaujantys gydytojo pagalbos</w:t>
            </w:r>
          </w:p>
        </w:tc>
        <w:tc>
          <w:tcPr>
            <w:tcW w:w="2067" w:type="dxa"/>
          </w:tcPr>
          <w:p w14:paraId="026F150B"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16,6</w:t>
            </w:r>
          </w:p>
        </w:tc>
        <w:tc>
          <w:tcPr>
            <w:tcW w:w="2268" w:type="dxa"/>
          </w:tcPr>
          <w:p w14:paraId="7A870795"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2,64</w:t>
            </w:r>
          </w:p>
          <w:p w14:paraId="293ACF00"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2,35 iki 2,97)</w:t>
            </w:r>
          </w:p>
        </w:tc>
        <w:tc>
          <w:tcPr>
            <w:tcW w:w="1418" w:type="dxa"/>
          </w:tcPr>
          <w:p w14:paraId="502404BF"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7,0</w:t>
            </w:r>
          </w:p>
        </w:tc>
        <w:tc>
          <w:tcPr>
            <w:tcW w:w="1410" w:type="dxa"/>
          </w:tcPr>
          <w:p w14:paraId="10D6F3BF"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A4BFE" w:rsidRPr="0022257B" w14:paraId="71726F5F" w14:textId="77777777">
        <w:tc>
          <w:tcPr>
            <w:tcW w:w="9060" w:type="dxa"/>
            <w:gridSpan w:val="5"/>
          </w:tcPr>
          <w:p w14:paraId="55EC9DE6"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Bold"/>
                <w:b/>
                <w:bCs/>
                <w:snapToGrid/>
                <w:szCs w:val="22"/>
                <w:lang w:val="lt-LT"/>
              </w:rPr>
              <w:t>Kraujavimo kategorijos pagal PLATO kriterijus</w:t>
            </w:r>
          </w:p>
        </w:tc>
      </w:tr>
      <w:tr w:rsidR="009A4BFE" w14:paraId="7BA86AF8" w14:textId="77777777">
        <w:tc>
          <w:tcPr>
            <w:tcW w:w="1897" w:type="dxa"/>
          </w:tcPr>
          <w:p w14:paraId="4E278227"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PLATO didesnieji</w:t>
            </w:r>
          </w:p>
        </w:tc>
        <w:tc>
          <w:tcPr>
            <w:tcW w:w="2067" w:type="dxa"/>
          </w:tcPr>
          <w:p w14:paraId="5CB8E8B5"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3,5</w:t>
            </w:r>
          </w:p>
        </w:tc>
        <w:tc>
          <w:tcPr>
            <w:tcW w:w="2268" w:type="dxa"/>
          </w:tcPr>
          <w:p w14:paraId="3CC46017"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2,57</w:t>
            </w:r>
          </w:p>
          <w:p w14:paraId="54A72141"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1,95 iki 3,37)</w:t>
            </w:r>
          </w:p>
        </w:tc>
        <w:tc>
          <w:tcPr>
            <w:tcW w:w="1418" w:type="dxa"/>
          </w:tcPr>
          <w:p w14:paraId="2AB39EB8"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1,4</w:t>
            </w:r>
          </w:p>
        </w:tc>
        <w:tc>
          <w:tcPr>
            <w:tcW w:w="1410" w:type="dxa"/>
          </w:tcPr>
          <w:p w14:paraId="47DCC618"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A4BFE" w14:paraId="2CF5615B" w14:textId="77777777">
        <w:tc>
          <w:tcPr>
            <w:tcW w:w="1897" w:type="dxa"/>
          </w:tcPr>
          <w:p w14:paraId="071CADA6"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Mirtini ar pavojingi gyvybei</w:t>
            </w:r>
          </w:p>
        </w:tc>
        <w:tc>
          <w:tcPr>
            <w:tcW w:w="2067" w:type="dxa"/>
          </w:tcPr>
          <w:p w14:paraId="723E6F07"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2,4</w:t>
            </w:r>
          </w:p>
        </w:tc>
        <w:tc>
          <w:tcPr>
            <w:tcW w:w="2268" w:type="dxa"/>
          </w:tcPr>
          <w:p w14:paraId="60364272"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2,38</w:t>
            </w:r>
          </w:p>
          <w:p w14:paraId="1CA006A1"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1,73 iki 3,26)</w:t>
            </w:r>
          </w:p>
        </w:tc>
        <w:tc>
          <w:tcPr>
            <w:tcW w:w="1418" w:type="dxa"/>
          </w:tcPr>
          <w:p w14:paraId="422B0197"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1,1</w:t>
            </w:r>
          </w:p>
        </w:tc>
        <w:tc>
          <w:tcPr>
            <w:tcW w:w="1410" w:type="dxa"/>
          </w:tcPr>
          <w:p w14:paraId="06E8D30E"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A4BFE" w14:paraId="60DAF3E7" w14:textId="77777777">
        <w:tc>
          <w:tcPr>
            <w:tcW w:w="1897" w:type="dxa"/>
          </w:tcPr>
          <w:p w14:paraId="5CA4AC69"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Kiti PLATO didesnieji</w:t>
            </w:r>
          </w:p>
        </w:tc>
        <w:tc>
          <w:tcPr>
            <w:tcW w:w="2067" w:type="dxa"/>
          </w:tcPr>
          <w:p w14:paraId="34771582"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1,1</w:t>
            </w:r>
          </w:p>
        </w:tc>
        <w:tc>
          <w:tcPr>
            <w:tcW w:w="2268" w:type="dxa"/>
          </w:tcPr>
          <w:p w14:paraId="5780DC24"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3,37</w:t>
            </w:r>
          </w:p>
          <w:p w14:paraId="058A2899"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1,95 iki 5,83)</w:t>
            </w:r>
          </w:p>
        </w:tc>
        <w:tc>
          <w:tcPr>
            <w:tcW w:w="1418" w:type="dxa"/>
          </w:tcPr>
          <w:p w14:paraId="20442F0E"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0,3</w:t>
            </w:r>
          </w:p>
        </w:tc>
        <w:tc>
          <w:tcPr>
            <w:tcW w:w="1410" w:type="dxa"/>
          </w:tcPr>
          <w:p w14:paraId="72CDEBC6"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r w:rsidR="009A4BFE" w14:paraId="7D73CF21" w14:textId="77777777">
        <w:tc>
          <w:tcPr>
            <w:tcW w:w="1897" w:type="dxa"/>
          </w:tcPr>
          <w:p w14:paraId="4ACBD130" w14:textId="77777777" w:rsidR="009A4BFE" w:rsidRDefault="0051186A">
            <w:pPr>
              <w:spacing w:line="240" w:lineRule="auto"/>
              <w:contextualSpacing/>
              <w:outlineLvl w:val="0"/>
              <w:rPr>
                <w:rFonts w:eastAsia="TimesNewRoman,Bold"/>
                <w:b/>
                <w:bCs/>
                <w:snapToGrid/>
                <w:szCs w:val="22"/>
                <w:lang w:val="lt-LT"/>
              </w:rPr>
            </w:pPr>
            <w:r>
              <w:rPr>
                <w:rFonts w:eastAsia="TimesNewRoman"/>
                <w:snapToGrid/>
                <w:szCs w:val="22"/>
                <w:lang w:val="lt-LT"/>
              </w:rPr>
              <w:t>PLATO didesnieji ir nedideli</w:t>
            </w:r>
          </w:p>
        </w:tc>
        <w:tc>
          <w:tcPr>
            <w:tcW w:w="2067" w:type="dxa"/>
          </w:tcPr>
          <w:p w14:paraId="08250A57"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15,2</w:t>
            </w:r>
          </w:p>
        </w:tc>
        <w:tc>
          <w:tcPr>
            <w:tcW w:w="2268" w:type="dxa"/>
          </w:tcPr>
          <w:p w14:paraId="100A4E4D" w14:textId="77777777" w:rsidR="009A4BFE" w:rsidRDefault="0051186A">
            <w:pPr>
              <w:tabs>
                <w:tab w:val="clear" w:pos="567"/>
              </w:tabs>
              <w:autoSpaceDE w:val="0"/>
              <w:autoSpaceDN w:val="0"/>
              <w:adjustRightInd w:val="0"/>
              <w:spacing w:line="240" w:lineRule="auto"/>
              <w:jc w:val="center"/>
              <w:rPr>
                <w:rFonts w:eastAsia="TimesNewRoman"/>
                <w:snapToGrid/>
                <w:szCs w:val="22"/>
                <w:lang w:val="lt-LT"/>
              </w:rPr>
            </w:pPr>
            <w:r>
              <w:rPr>
                <w:rFonts w:eastAsia="TimesNewRoman"/>
                <w:snapToGrid/>
                <w:szCs w:val="22"/>
                <w:lang w:val="lt-LT"/>
              </w:rPr>
              <w:t>2,71</w:t>
            </w:r>
          </w:p>
          <w:p w14:paraId="766A9744"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(nuo 2,40 iki 3,08)</w:t>
            </w:r>
          </w:p>
        </w:tc>
        <w:tc>
          <w:tcPr>
            <w:tcW w:w="1418" w:type="dxa"/>
          </w:tcPr>
          <w:p w14:paraId="723A0DDA"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6,2</w:t>
            </w:r>
          </w:p>
        </w:tc>
        <w:tc>
          <w:tcPr>
            <w:tcW w:w="1410" w:type="dxa"/>
          </w:tcPr>
          <w:p w14:paraId="383251AB" w14:textId="77777777" w:rsidR="009A4BFE" w:rsidRDefault="0051186A">
            <w:pPr>
              <w:spacing w:line="240" w:lineRule="auto"/>
              <w:contextualSpacing/>
              <w:jc w:val="center"/>
              <w:outlineLvl w:val="0"/>
              <w:rPr>
                <w:rFonts w:eastAsia="TimesNewRoman,Bold"/>
                <w:b/>
                <w:bCs/>
                <w:snapToGrid/>
                <w:szCs w:val="22"/>
                <w:lang w:val="lt-LT"/>
              </w:rPr>
            </w:pPr>
            <w:r>
              <w:rPr>
                <w:rFonts w:eastAsia="TimesNewRoman"/>
                <w:snapToGrid/>
                <w:szCs w:val="22"/>
                <w:lang w:val="lt-LT"/>
              </w:rPr>
              <w:t>&lt; 0,0001</w:t>
            </w:r>
          </w:p>
        </w:tc>
      </w:tr>
    </w:tbl>
    <w:p w14:paraId="5EDE262A" w14:textId="77777777" w:rsidR="009A4BFE" w:rsidRDefault="0051186A">
      <w:pPr>
        <w:tabs>
          <w:tab w:val="clear" w:pos="567"/>
        </w:tabs>
        <w:autoSpaceDE w:val="0"/>
        <w:autoSpaceDN w:val="0"/>
        <w:adjustRightInd w:val="0"/>
        <w:spacing w:line="240" w:lineRule="auto"/>
        <w:rPr>
          <w:rFonts w:eastAsia="TimesNewRoman,Bold"/>
          <w:snapToGrid/>
          <w:szCs w:val="22"/>
          <w:u w:val="single"/>
          <w:lang w:val="lt-LT"/>
        </w:rPr>
      </w:pPr>
      <w:r>
        <w:rPr>
          <w:rFonts w:eastAsia="TimesNewRoman,Bold"/>
          <w:snapToGrid/>
          <w:szCs w:val="22"/>
          <w:u w:val="single"/>
          <w:lang w:val="lt-LT"/>
        </w:rPr>
        <w:t>Kraujavimo kategorijų sąvokos:</w:t>
      </w:r>
    </w:p>
    <w:p w14:paraId="0B6AF8C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lastRenderedPageBreak/>
        <w:t>TIMI didesnieji</w:t>
      </w:r>
      <w:r>
        <w:rPr>
          <w:rFonts w:eastAsia="TimesNewRoman,Bold"/>
          <w:b/>
          <w:bCs/>
          <w:snapToGrid/>
          <w:szCs w:val="22"/>
          <w:lang w:val="lt-LT"/>
        </w:rPr>
        <w:t xml:space="preserve"> – </w:t>
      </w:r>
      <w:r>
        <w:rPr>
          <w:rFonts w:eastAsia="TimesNewRoman"/>
          <w:snapToGrid/>
          <w:szCs w:val="22"/>
          <w:lang w:val="lt-LT"/>
        </w:rPr>
        <w:t xml:space="preserve">mirtinas kraujavimas;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bet kokie </w:t>
      </w:r>
      <w:proofErr w:type="spellStart"/>
      <w:r>
        <w:rPr>
          <w:rFonts w:eastAsia="TimesNewRoman"/>
          <w:snapToGrid/>
          <w:szCs w:val="22"/>
          <w:lang w:val="lt-LT"/>
        </w:rPr>
        <w:t>intrakranijiniai</w:t>
      </w:r>
      <w:proofErr w:type="spellEnd"/>
      <w:r>
        <w:rPr>
          <w:rFonts w:eastAsia="TimesNewRoman"/>
          <w:snapToGrid/>
          <w:szCs w:val="22"/>
          <w:lang w:val="lt-LT"/>
        </w:rPr>
        <w:t xml:space="preserve"> kraujavimai;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klinikiniai kraujavimo požymiai, susiję su hemoglobino (</w:t>
      </w:r>
      <w:proofErr w:type="spellStart"/>
      <w:r>
        <w:rPr>
          <w:rFonts w:eastAsia="TimesNewRoman"/>
          <w:snapToGrid/>
          <w:szCs w:val="22"/>
          <w:lang w:val="lt-LT"/>
        </w:rPr>
        <w:t>Hgb</w:t>
      </w:r>
      <w:proofErr w:type="spellEnd"/>
      <w:r>
        <w:rPr>
          <w:rFonts w:eastAsia="TimesNewRoman"/>
          <w:snapToGrid/>
          <w:szCs w:val="22"/>
          <w:lang w:val="lt-LT"/>
        </w:rPr>
        <w:t xml:space="preserve">) koncentracijos sumažėjimu ≥ 50 g/l ar (jei </w:t>
      </w:r>
      <w:proofErr w:type="spellStart"/>
      <w:r>
        <w:rPr>
          <w:rFonts w:eastAsia="TimesNewRoman"/>
          <w:snapToGrid/>
          <w:szCs w:val="22"/>
          <w:lang w:val="lt-LT"/>
        </w:rPr>
        <w:t>Hgb</w:t>
      </w:r>
      <w:proofErr w:type="spellEnd"/>
      <w:r>
        <w:rPr>
          <w:rFonts w:eastAsia="TimesNewRoman"/>
          <w:snapToGrid/>
          <w:szCs w:val="22"/>
          <w:lang w:val="lt-LT"/>
        </w:rPr>
        <w:t xml:space="preserve"> koncentracija nežinoma) </w:t>
      </w:r>
      <w:proofErr w:type="spellStart"/>
      <w:r>
        <w:rPr>
          <w:rFonts w:eastAsia="TimesNewRoman"/>
          <w:snapToGrid/>
          <w:szCs w:val="22"/>
          <w:lang w:val="lt-LT"/>
        </w:rPr>
        <w:t>hematokrito</w:t>
      </w:r>
      <w:proofErr w:type="spellEnd"/>
      <w:r>
        <w:rPr>
          <w:rFonts w:eastAsia="TimesNewRoman"/>
          <w:snapToGrid/>
          <w:szCs w:val="22"/>
          <w:lang w:val="lt-LT"/>
        </w:rPr>
        <w:t xml:space="preserve"> (</w:t>
      </w:r>
      <w:proofErr w:type="spellStart"/>
      <w:r>
        <w:rPr>
          <w:rFonts w:eastAsia="TimesNewRoman"/>
          <w:snapToGrid/>
          <w:szCs w:val="22"/>
          <w:lang w:val="lt-LT"/>
        </w:rPr>
        <w:t>Hct</w:t>
      </w:r>
      <w:proofErr w:type="spellEnd"/>
      <w:r>
        <w:rPr>
          <w:rFonts w:eastAsia="TimesNewRoman"/>
          <w:snapToGrid/>
          <w:szCs w:val="22"/>
          <w:lang w:val="lt-LT"/>
        </w:rPr>
        <w:t>) sumažėjimu 15 %.</w:t>
      </w:r>
    </w:p>
    <w:p w14:paraId="21D74DE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Mirtini</w:t>
      </w:r>
      <w:r>
        <w:rPr>
          <w:rFonts w:eastAsia="TimesNewRoman,Bold"/>
          <w:b/>
          <w:bCs/>
          <w:snapToGrid/>
          <w:szCs w:val="22"/>
          <w:lang w:val="lt-LT"/>
        </w:rPr>
        <w:t xml:space="preserve"> – </w:t>
      </w:r>
      <w:r>
        <w:rPr>
          <w:rFonts w:eastAsia="TimesNewRoman,Bold"/>
          <w:snapToGrid/>
          <w:szCs w:val="22"/>
          <w:lang w:val="lt-LT"/>
        </w:rPr>
        <w:t>kraujavimas, kuris</w:t>
      </w:r>
      <w:r>
        <w:rPr>
          <w:rFonts w:eastAsia="TimesNewRoman,Bold"/>
          <w:b/>
          <w:bCs/>
          <w:snapToGrid/>
          <w:szCs w:val="22"/>
          <w:lang w:val="lt-LT"/>
        </w:rPr>
        <w:t xml:space="preserve"> </w:t>
      </w:r>
      <w:r>
        <w:rPr>
          <w:rFonts w:eastAsia="TimesNewRoman"/>
          <w:snapToGrid/>
          <w:szCs w:val="22"/>
          <w:lang w:val="lt-LT"/>
        </w:rPr>
        <w:t>tiesiogiai nulėmę mirtį per 7 dienas.</w:t>
      </w:r>
    </w:p>
    <w:p w14:paraId="5BD5503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IKK</w:t>
      </w:r>
      <w:r>
        <w:rPr>
          <w:rFonts w:eastAsia="TimesNewRoman,Bold"/>
          <w:b/>
          <w:bCs/>
          <w:snapToGrid/>
          <w:szCs w:val="22"/>
          <w:lang w:val="lt-LT"/>
        </w:rPr>
        <w:t xml:space="preserve"> </w:t>
      </w:r>
      <w:r>
        <w:rPr>
          <w:rFonts w:eastAsia="TimesNewRoman"/>
          <w:snapToGrid/>
          <w:szCs w:val="22"/>
          <w:lang w:val="lt-LT"/>
        </w:rPr>
        <w:t xml:space="preserve">– </w:t>
      </w:r>
      <w:proofErr w:type="spellStart"/>
      <w:r>
        <w:rPr>
          <w:rFonts w:eastAsia="TimesNewRoman"/>
          <w:snapToGrid/>
          <w:szCs w:val="22"/>
          <w:lang w:val="lt-LT"/>
        </w:rPr>
        <w:t>intrakranijiniai</w:t>
      </w:r>
      <w:proofErr w:type="spellEnd"/>
      <w:r>
        <w:rPr>
          <w:rFonts w:eastAsia="TimesNewRoman"/>
          <w:snapToGrid/>
          <w:szCs w:val="22"/>
          <w:lang w:val="lt-LT"/>
        </w:rPr>
        <w:t xml:space="preserve"> kraujavimai.</w:t>
      </w:r>
    </w:p>
    <w:p w14:paraId="21725280"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Kiti TIMI didesnieji</w:t>
      </w:r>
      <w:r>
        <w:rPr>
          <w:rFonts w:eastAsia="TimesNewRoman,Bold"/>
          <w:b/>
          <w:bCs/>
          <w:snapToGrid/>
          <w:szCs w:val="22"/>
          <w:lang w:val="lt-LT"/>
        </w:rPr>
        <w:t xml:space="preserve"> – </w:t>
      </w:r>
      <w:r>
        <w:rPr>
          <w:rFonts w:eastAsia="TimesNewRoman"/>
          <w:snapToGrid/>
          <w:szCs w:val="22"/>
          <w:lang w:val="lt-LT"/>
        </w:rPr>
        <w:t xml:space="preserve">TIMI didesnieji kraujavimai, išskyrus mirtinus ir </w:t>
      </w:r>
      <w:proofErr w:type="spellStart"/>
      <w:r>
        <w:rPr>
          <w:rFonts w:eastAsia="TimesNewRoman"/>
          <w:snapToGrid/>
          <w:szCs w:val="22"/>
          <w:lang w:val="lt-LT"/>
        </w:rPr>
        <w:t>intrakranijinius</w:t>
      </w:r>
      <w:proofErr w:type="spellEnd"/>
      <w:r>
        <w:rPr>
          <w:rFonts w:eastAsia="TimesNewRoman"/>
          <w:snapToGrid/>
          <w:szCs w:val="22"/>
          <w:lang w:val="lt-LT"/>
        </w:rPr>
        <w:t>.</w:t>
      </w:r>
    </w:p>
    <w:p w14:paraId="39D3C52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TIMI nedideli</w:t>
      </w:r>
      <w:r>
        <w:rPr>
          <w:rFonts w:eastAsia="TimesNewRoman,Bold"/>
          <w:b/>
          <w:bCs/>
          <w:snapToGrid/>
          <w:szCs w:val="22"/>
          <w:lang w:val="lt-LT"/>
        </w:rPr>
        <w:t xml:space="preserve"> </w:t>
      </w:r>
      <w:r>
        <w:rPr>
          <w:rFonts w:eastAsia="TimesNewRoman"/>
          <w:snapToGrid/>
          <w:szCs w:val="22"/>
          <w:lang w:val="lt-LT"/>
        </w:rPr>
        <w:t>– kliniškai pastebimi, dėl kurių hemoglobino sumažėjo 30-50 g/l.</w:t>
      </w:r>
    </w:p>
    <w:p w14:paraId="0C3F3C0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TIMI, dėl kurio reikėjo gydytojo pagalbos</w:t>
      </w:r>
      <w:r>
        <w:rPr>
          <w:rFonts w:eastAsia="TimesNewRoman,Bold"/>
          <w:b/>
          <w:bCs/>
          <w:snapToGrid/>
          <w:szCs w:val="22"/>
          <w:lang w:val="lt-LT"/>
        </w:rPr>
        <w:t xml:space="preserve"> </w:t>
      </w:r>
      <w:r>
        <w:rPr>
          <w:rFonts w:eastAsia="TimesNewRoman"/>
          <w:snapToGrid/>
          <w:szCs w:val="22"/>
          <w:lang w:val="lt-LT"/>
        </w:rPr>
        <w:t xml:space="preserve">– reikėjo intervencijos;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hospitalizacijos;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skubaus ištyrimo.</w:t>
      </w:r>
    </w:p>
    <w:p w14:paraId="70EF216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PLATO didesnieji mirtini ar pavojingi gyvybei</w:t>
      </w:r>
      <w:r>
        <w:rPr>
          <w:rFonts w:eastAsia="TimesNewRoman,Bold"/>
          <w:b/>
          <w:bCs/>
          <w:snapToGrid/>
          <w:szCs w:val="22"/>
          <w:lang w:val="lt-LT"/>
        </w:rPr>
        <w:t xml:space="preserve"> </w:t>
      </w:r>
      <w:r>
        <w:rPr>
          <w:rFonts w:eastAsia="TimesNewRoman"/>
          <w:snapToGrid/>
          <w:szCs w:val="22"/>
          <w:lang w:val="lt-LT"/>
        </w:rPr>
        <w:t xml:space="preserve">– mirtinas kraujavimas;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bet kokie </w:t>
      </w:r>
      <w:proofErr w:type="spellStart"/>
      <w:r>
        <w:rPr>
          <w:rFonts w:eastAsia="TimesNewRoman"/>
          <w:snapToGrid/>
          <w:szCs w:val="22"/>
          <w:lang w:val="lt-LT"/>
        </w:rPr>
        <w:t>intrakranijiniai</w:t>
      </w:r>
      <w:proofErr w:type="spellEnd"/>
      <w:r>
        <w:rPr>
          <w:rFonts w:eastAsia="TimesNewRoman"/>
          <w:snapToGrid/>
          <w:szCs w:val="22"/>
          <w:lang w:val="lt-LT"/>
        </w:rPr>
        <w:t xml:space="preserve"> kraujavimai;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vidiniai perikardo su širdies </w:t>
      </w:r>
      <w:proofErr w:type="spellStart"/>
      <w:r>
        <w:rPr>
          <w:rFonts w:eastAsia="TimesNewRoman"/>
          <w:snapToGrid/>
          <w:szCs w:val="22"/>
          <w:lang w:val="lt-LT"/>
        </w:rPr>
        <w:t>tamponada</w:t>
      </w:r>
      <w:proofErr w:type="spellEnd"/>
      <w:r>
        <w:rPr>
          <w:rFonts w:eastAsia="TimesNewRoman"/>
          <w:snapToGrid/>
          <w:szCs w:val="22"/>
          <w:lang w:val="lt-LT"/>
        </w:rPr>
        <w:t xml:space="preserve">;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 xml:space="preserve">su </w:t>
      </w:r>
      <w:proofErr w:type="spellStart"/>
      <w:r>
        <w:rPr>
          <w:rFonts w:eastAsia="TimesNewRoman"/>
          <w:snapToGrid/>
          <w:szCs w:val="22"/>
          <w:lang w:val="lt-LT"/>
        </w:rPr>
        <w:t>hipovoleminiu</w:t>
      </w:r>
      <w:proofErr w:type="spellEnd"/>
      <w:r>
        <w:rPr>
          <w:rFonts w:eastAsia="TimesNewRoman"/>
          <w:snapToGrid/>
          <w:szCs w:val="22"/>
          <w:lang w:val="lt-LT"/>
        </w:rPr>
        <w:t xml:space="preserve"> šoku ar sunkia </w:t>
      </w:r>
      <w:proofErr w:type="spellStart"/>
      <w:r>
        <w:rPr>
          <w:rFonts w:eastAsia="TimesNewRoman"/>
          <w:snapToGrid/>
          <w:szCs w:val="22"/>
          <w:lang w:val="lt-LT"/>
        </w:rPr>
        <w:t>hipotenzija</w:t>
      </w:r>
      <w:proofErr w:type="spellEnd"/>
      <w:r>
        <w:rPr>
          <w:rFonts w:eastAsia="TimesNewRoman"/>
          <w:snapToGrid/>
          <w:szCs w:val="22"/>
          <w:lang w:val="lt-LT"/>
        </w:rPr>
        <w:t xml:space="preserve">, kai reikėjo kraujagysles siaurinančių ar </w:t>
      </w:r>
      <w:proofErr w:type="spellStart"/>
      <w:r>
        <w:rPr>
          <w:rFonts w:eastAsia="TimesNewRoman"/>
          <w:snapToGrid/>
          <w:szCs w:val="22"/>
          <w:lang w:val="lt-LT"/>
        </w:rPr>
        <w:t>inotropinių</w:t>
      </w:r>
      <w:proofErr w:type="spellEnd"/>
      <w:r>
        <w:rPr>
          <w:rFonts w:eastAsia="TimesNewRoman"/>
          <w:snapToGrid/>
          <w:szCs w:val="22"/>
          <w:lang w:val="lt-LT"/>
        </w:rPr>
        <w:t xml:space="preserve"> vaistinių preparatų arba operacijos;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kliniškai pastebimi, dėl kurių hemoglobino sumažėjo &gt; 50 g/l ar teko perpilti ≥ 4 eritrocitų masės vienetus.</w:t>
      </w:r>
    </w:p>
    <w:p w14:paraId="20E22B9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Bold"/>
          <w:i/>
          <w:iCs/>
          <w:snapToGrid/>
          <w:szCs w:val="22"/>
          <w:lang w:val="lt-LT"/>
        </w:rPr>
        <w:t>PLATO didesnieji kiti</w:t>
      </w:r>
      <w:r>
        <w:rPr>
          <w:rFonts w:eastAsia="TimesNewRoman,Bold"/>
          <w:b/>
          <w:bCs/>
          <w:snapToGrid/>
          <w:szCs w:val="22"/>
          <w:lang w:val="lt-LT"/>
        </w:rPr>
        <w:t xml:space="preserve"> </w:t>
      </w:r>
      <w:r>
        <w:rPr>
          <w:rFonts w:eastAsia="TimesNewRoman"/>
          <w:snapToGrid/>
          <w:szCs w:val="22"/>
          <w:lang w:val="lt-LT"/>
        </w:rPr>
        <w:t xml:space="preserve">– sukėlę reikšmingą negalią; </w:t>
      </w:r>
      <w:r>
        <w:rPr>
          <w:rFonts w:eastAsia="TimesNewRoman,Bold"/>
          <w:iCs/>
          <w:snapToGrid/>
          <w:szCs w:val="22"/>
          <w:lang w:val="lt-LT"/>
        </w:rPr>
        <w:t>ARBA</w:t>
      </w:r>
      <w:r>
        <w:rPr>
          <w:rFonts w:eastAsia="TimesNewRoman,Bold"/>
          <w:i/>
          <w:iCs/>
          <w:snapToGrid/>
          <w:szCs w:val="22"/>
          <w:lang w:val="lt-LT"/>
        </w:rPr>
        <w:t xml:space="preserve"> </w:t>
      </w:r>
      <w:r>
        <w:rPr>
          <w:rFonts w:eastAsia="TimesNewRoman"/>
          <w:snapToGrid/>
          <w:szCs w:val="22"/>
          <w:lang w:val="lt-LT"/>
        </w:rPr>
        <w:t>kliniškai pastebimi, kai hemoglobino sumažėjo 30-50 g/l ar teko perpilti 2-3 eritrocitų masės vienetus.</w:t>
      </w:r>
    </w:p>
    <w:p w14:paraId="1FAFF7C9" w14:textId="77777777" w:rsidR="009A4BFE" w:rsidRDefault="0051186A">
      <w:pPr>
        <w:spacing w:line="240" w:lineRule="auto"/>
        <w:contextualSpacing/>
        <w:outlineLvl w:val="0"/>
        <w:rPr>
          <w:rFonts w:eastAsia="TimesNewRoman,Bold"/>
          <w:snapToGrid/>
          <w:szCs w:val="22"/>
          <w:lang w:val="lt-LT"/>
        </w:rPr>
      </w:pPr>
      <w:r>
        <w:rPr>
          <w:rFonts w:eastAsia="TimesNewRoman,Bold"/>
          <w:i/>
          <w:iCs/>
          <w:snapToGrid/>
          <w:szCs w:val="22"/>
          <w:lang w:val="lt-LT"/>
        </w:rPr>
        <w:t>PLATO nedideli</w:t>
      </w:r>
      <w:r>
        <w:rPr>
          <w:rFonts w:eastAsia="TimesNewRoman,Bold"/>
          <w:b/>
          <w:bCs/>
          <w:snapToGrid/>
          <w:szCs w:val="22"/>
          <w:lang w:val="lt-LT"/>
        </w:rPr>
        <w:t xml:space="preserve"> – </w:t>
      </w:r>
      <w:r>
        <w:rPr>
          <w:rFonts w:eastAsia="TimesNewRoman"/>
          <w:snapToGrid/>
          <w:szCs w:val="22"/>
          <w:lang w:val="lt-LT"/>
        </w:rPr>
        <w:t>reikėjo medicininės intervencijos kraujavimui stabdyti ar gydyti.</w:t>
      </w:r>
    </w:p>
    <w:p w14:paraId="3CC19404" w14:textId="77777777" w:rsidR="009A4BFE" w:rsidRDefault="009A4BFE">
      <w:pPr>
        <w:spacing w:line="240" w:lineRule="auto"/>
        <w:contextualSpacing/>
        <w:outlineLvl w:val="0"/>
        <w:rPr>
          <w:rFonts w:eastAsia="TimesNewRoman,Bold"/>
          <w:snapToGrid/>
          <w:szCs w:val="22"/>
          <w:lang w:val="lt-LT"/>
        </w:rPr>
      </w:pPr>
    </w:p>
    <w:p w14:paraId="6958278E"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PEGASUS tyrimo metu TIMI didesnysis kraujavimas pasireiškė daugiau pacientų, vartojusių 60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negu vartojusių vien ASR. Vis dėlto, jiems didesnės mirtino kraujavimo rizikos nenustatyta, o IKK rizika buvo tik šiek tiek didesnė, negu vartojusiems vien ASR. Tyrimo metu nuo kraujavimo mirė 11 (0,3 %) 60 mg </w:t>
      </w:r>
      <w:proofErr w:type="spellStart"/>
      <w:r>
        <w:rPr>
          <w:rFonts w:eastAsia="TimesNewRoman"/>
          <w:snapToGrid/>
          <w:szCs w:val="22"/>
          <w:lang w:val="lt-LT"/>
        </w:rPr>
        <w:t>tikagreloro</w:t>
      </w:r>
      <w:proofErr w:type="spellEnd"/>
      <w:r>
        <w:rPr>
          <w:rFonts w:eastAsia="TimesNewRoman"/>
          <w:snapToGrid/>
          <w:szCs w:val="22"/>
          <w:lang w:val="lt-LT"/>
        </w:rPr>
        <w:t xml:space="preserve"> ir 12 (0,3 %) vien ASR vartojusių pacientų.</w:t>
      </w:r>
    </w:p>
    <w:p w14:paraId="75F2651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Didesnę didžiųjų kraujavimų pagal TIMI kriterijus riziką vartojant 60 mg </w:t>
      </w:r>
      <w:proofErr w:type="spellStart"/>
      <w:r>
        <w:rPr>
          <w:rFonts w:eastAsia="TimesNewRoman"/>
          <w:snapToGrid/>
          <w:szCs w:val="22"/>
          <w:lang w:val="lt-LT"/>
        </w:rPr>
        <w:t>tikagreloro</w:t>
      </w:r>
      <w:proofErr w:type="spellEnd"/>
      <w:r>
        <w:rPr>
          <w:rFonts w:eastAsia="TimesNewRoman"/>
          <w:snapToGrid/>
          <w:szCs w:val="22"/>
          <w:lang w:val="lt-LT"/>
        </w:rPr>
        <w:t xml:space="preserve"> daugiausiai darė įtaką kitų kategorijos kraujavimai, ypač iš virškinimo trakto.</w:t>
      </w:r>
    </w:p>
    <w:p w14:paraId="6F1C78B8" w14:textId="77777777" w:rsidR="009A4BFE" w:rsidRDefault="009A4BFE">
      <w:pPr>
        <w:spacing w:line="240" w:lineRule="auto"/>
        <w:contextualSpacing/>
        <w:outlineLvl w:val="0"/>
        <w:rPr>
          <w:rFonts w:ascii="TimesNewRoman" w:eastAsia="TimesNewRoman" w:hAnsi="Calibri" w:cs="TimesNewRoman"/>
          <w:snapToGrid/>
          <w:szCs w:val="22"/>
          <w:lang w:val="lt-LT"/>
        </w:rPr>
      </w:pPr>
    </w:p>
    <w:p w14:paraId="32501D8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TIMI didesniųjų ir nedidelių, PLATO didesniųjų bei PLATO didesniųjų ir nedidelių kraujavimų padaugėjo panašiai kaip TIMI didesniųjų (žr. 3 lentelę). Dėl kraujavimo 60 mg </w:t>
      </w:r>
      <w:proofErr w:type="spellStart"/>
      <w:r>
        <w:rPr>
          <w:rFonts w:eastAsia="TimesNewRoman"/>
          <w:snapToGrid/>
          <w:szCs w:val="22"/>
          <w:lang w:val="lt-LT"/>
        </w:rPr>
        <w:t>tikagreloro</w:t>
      </w:r>
      <w:proofErr w:type="spellEnd"/>
      <w:r>
        <w:rPr>
          <w:rFonts w:eastAsia="TimesNewRoman"/>
          <w:snapToGrid/>
          <w:szCs w:val="22"/>
          <w:lang w:val="lt-LT"/>
        </w:rPr>
        <w:t xml:space="preserve"> vartojimas buvo nutrauktas dažniau negu vien ASR (atitinkamai 6,2 % ir 1,5 %). Dauguma tokių kraujavimų buvo lengvesni, pvz., kraujavimas iš nosies, kraujosruvos ir hematomos (klasifikuoti kaip TIMI kraujavimai, dėl kurių reikėjo gydytojo pagalbos).</w:t>
      </w:r>
    </w:p>
    <w:p w14:paraId="468AD462" w14:textId="77777777" w:rsidR="009A4BFE" w:rsidRDefault="009A4BFE">
      <w:pPr>
        <w:spacing w:line="240" w:lineRule="auto"/>
        <w:contextualSpacing/>
        <w:outlineLvl w:val="0"/>
        <w:rPr>
          <w:rFonts w:eastAsia="TimesNewRoman,Bold"/>
          <w:snapToGrid/>
          <w:szCs w:val="22"/>
          <w:lang w:val="lt-LT"/>
        </w:rPr>
      </w:pPr>
    </w:p>
    <w:p w14:paraId="5702A0D9"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Įvairių iš anksto numatytų pogrupių (pvz., pagal amžių, lytį, kūno svorį, rasę, geografinį regioną, gretutines ligas, derinyje vartojamus vaistinius preparatus ir ligos anamnezę) pacientams, vartojusiems 60 mg </w:t>
      </w:r>
      <w:proofErr w:type="spellStart"/>
      <w:r>
        <w:rPr>
          <w:rFonts w:eastAsia="TimesNewRoman"/>
          <w:snapToGrid/>
          <w:szCs w:val="22"/>
          <w:lang w:val="lt-LT"/>
        </w:rPr>
        <w:t>tikagreloro</w:t>
      </w:r>
      <w:proofErr w:type="spellEnd"/>
      <w:r>
        <w:rPr>
          <w:rFonts w:eastAsia="TimesNewRoman"/>
          <w:snapToGrid/>
          <w:szCs w:val="22"/>
          <w:lang w:val="lt-LT"/>
        </w:rPr>
        <w:t>, kraujavimų (TIMI didesniųjų, TIMI didesniųjų ir nedidelių, PLATO didesniųjų) pobūdis buvo panašus.</w:t>
      </w:r>
    </w:p>
    <w:p w14:paraId="1AE1783B"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6CE2947"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proofErr w:type="spellStart"/>
      <w:r>
        <w:rPr>
          <w:rFonts w:eastAsia="TimesNewRoman"/>
          <w:i/>
          <w:iCs/>
          <w:snapToGrid/>
          <w:szCs w:val="22"/>
          <w:lang w:val="lt-LT"/>
        </w:rPr>
        <w:t>Intrakranijinis</w:t>
      </w:r>
      <w:proofErr w:type="spellEnd"/>
      <w:r>
        <w:rPr>
          <w:rFonts w:eastAsia="TimesNewRoman"/>
          <w:i/>
          <w:iCs/>
          <w:snapToGrid/>
          <w:szCs w:val="22"/>
          <w:lang w:val="lt-LT"/>
        </w:rPr>
        <w:t xml:space="preserve"> kraujavimas (IKK)</w:t>
      </w:r>
    </w:p>
    <w:p w14:paraId="3E126B5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Savaiminių IKK užfiksuota maždaug vienodai 60 mg </w:t>
      </w:r>
      <w:proofErr w:type="spellStart"/>
      <w:r>
        <w:rPr>
          <w:rFonts w:eastAsia="TimesNewRoman"/>
          <w:snapToGrid/>
          <w:szCs w:val="22"/>
          <w:lang w:val="lt-LT"/>
        </w:rPr>
        <w:t>tikagreloro</w:t>
      </w:r>
      <w:proofErr w:type="spellEnd"/>
      <w:r>
        <w:rPr>
          <w:rFonts w:eastAsia="TimesNewRoman"/>
          <w:snapToGrid/>
          <w:szCs w:val="22"/>
          <w:lang w:val="lt-LT"/>
        </w:rPr>
        <w:t xml:space="preserve"> ir vien ASA vartojusių pacientų (abejose gydymo grupėse – n = 13, 0,2 %). IKK po traumų ar procedūrų 60 mg </w:t>
      </w:r>
      <w:proofErr w:type="spellStart"/>
      <w:r>
        <w:rPr>
          <w:rFonts w:eastAsia="TimesNewRoman"/>
          <w:snapToGrid/>
          <w:szCs w:val="22"/>
          <w:lang w:val="lt-LT"/>
        </w:rPr>
        <w:t>tikagreloro</w:t>
      </w:r>
      <w:proofErr w:type="spellEnd"/>
      <w:r>
        <w:rPr>
          <w:rFonts w:eastAsia="TimesNewRoman"/>
          <w:snapToGrid/>
          <w:szCs w:val="22"/>
          <w:lang w:val="lt-LT"/>
        </w:rPr>
        <w:t xml:space="preserve"> vartojusiems pacientams buvo šiek tiek dažniau (n = 15, 0,2 %), negu vartojusiems vien ASR (n = 10, 0,1 %). Užfiksuoti 6 mirtino IKK atvejai vartojant 60 mg </w:t>
      </w:r>
      <w:proofErr w:type="spellStart"/>
      <w:r>
        <w:rPr>
          <w:rFonts w:eastAsia="TimesNewRoman"/>
          <w:snapToGrid/>
          <w:szCs w:val="22"/>
          <w:lang w:val="lt-LT"/>
        </w:rPr>
        <w:t>tikagreloro</w:t>
      </w:r>
      <w:proofErr w:type="spellEnd"/>
      <w:r>
        <w:rPr>
          <w:rFonts w:eastAsia="TimesNewRoman"/>
          <w:snapToGrid/>
          <w:szCs w:val="22"/>
          <w:lang w:val="lt-LT"/>
        </w:rPr>
        <w:t xml:space="preserve"> ir 5 mirtino IKK atvejai vartojant vien ASR. Atsižvelgiant į reikšmingas tirtos populiacijos gretutines ligas ir kardiovaskulinės rizikos faktorius, IKK dažnis abejų grupių pacientams buvo mažas.</w:t>
      </w:r>
    </w:p>
    <w:p w14:paraId="63AC2385"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5DDB9362"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Dusulys</w:t>
      </w:r>
    </w:p>
    <w:p w14:paraId="4BB21049"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Tikagrelorą</w:t>
      </w:r>
      <w:proofErr w:type="spellEnd"/>
      <w:r>
        <w:rPr>
          <w:rFonts w:eastAsia="TimesNewRoman"/>
          <w:snapToGrid/>
          <w:szCs w:val="22"/>
          <w:lang w:val="lt-LT"/>
        </w:rPr>
        <w:t xml:space="preserve"> vartojantiems pacientams užfiksuota dusulio (oro stokos pojūčio) atvejų. PLATO tyrimo metu dusulio nepageidaujamų reiškinių (dusulys, dusulys ramybėje, dusulys krūvio metu, </w:t>
      </w:r>
      <w:proofErr w:type="spellStart"/>
      <w:r>
        <w:rPr>
          <w:rFonts w:eastAsia="TimesNewRoman"/>
          <w:snapToGrid/>
          <w:szCs w:val="22"/>
          <w:lang w:val="lt-LT"/>
        </w:rPr>
        <w:t>paroksizminis</w:t>
      </w:r>
      <w:proofErr w:type="spellEnd"/>
      <w:r>
        <w:rPr>
          <w:rFonts w:eastAsia="TimesNewRoman"/>
          <w:snapToGrid/>
          <w:szCs w:val="22"/>
          <w:lang w:val="lt-LT"/>
        </w:rPr>
        <w:t xml:space="preserve"> dusulys naktį ir dusulys naktį) iš viso užfiksuota 13,8 % </w:t>
      </w:r>
      <w:proofErr w:type="spellStart"/>
      <w:r>
        <w:rPr>
          <w:rFonts w:eastAsia="TimesNewRoman"/>
          <w:snapToGrid/>
          <w:szCs w:val="22"/>
          <w:lang w:val="lt-LT"/>
        </w:rPr>
        <w:t>tikagrelorą</w:t>
      </w:r>
      <w:proofErr w:type="spellEnd"/>
      <w:r>
        <w:rPr>
          <w:rFonts w:eastAsia="TimesNewRoman"/>
          <w:snapToGrid/>
          <w:szCs w:val="22"/>
          <w:lang w:val="lt-LT"/>
        </w:rPr>
        <w:t xml:space="preserve"> ir 7,8 % </w:t>
      </w:r>
      <w:proofErr w:type="spellStart"/>
      <w:r>
        <w:rPr>
          <w:rFonts w:eastAsia="TimesNewRoman"/>
          <w:snapToGrid/>
          <w:szCs w:val="22"/>
          <w:lang w:val="lt-LT"/>
        </w:rPr>
        <w:t>klopidogrelį</w:t>
      </w:r>
      <w:proofErr w:type="spellEnd"/>
      <w:r>
        <w:rPr>
          <w:rFonts w:eastAsia="TimesNewRoman"/>
          <w:snapToGrid/>
          <w:szCs w:val="22"/>
          <w:lang w:val="lt-LT"/>
        </w:rPr>
        <w:t xml:space="preserve"> vartojusių pacientų. 2,2 % </w:t>
      </w:r>
      <w:proofErr w:type="spellStart"/>
      <w:r>
        <w:rPr>
          <w:rFonts w:eastAsia="TimesNewRoman"/>
          <w:snapToGrid/>
          <w:szCs w:val="22"/>
          <w:lang w:val="lt-LT"/>
        </w:rPr>
        <w:t>tikagrelorą</w:t>
      </w:r>
      <w:proofErr w:type="spellEnd"/>
      <w:r>
        <w:rPr>
          <w:rFonts w:eastAsia="TimesNewRoman"/>
          <w:snapToGrid/>
          <w:szCs w:val="22"/>
          <w:lang w:val="lt-LT"/>
        </w:rPr>
        <w:t xml:space="preserve"> ir 0,6 % </w:t>
      </w:r>
      <w:proofErr w:type="spellStart"/>
      <w:r>
        <w:rPr>
          <w:rFonts w:eastAsia="TimesNewRoman"/>
          <w:snapToGrid/>
          <w:szCs w:val="22"/>
          <w:lang w:val="lt-LT"/>
        </w:rPr>
        <w:t>klopidogrelį</w:t>
      </w:r>
      <w:proofErr w:type="spellEnd"/>
      <w:r>
        <w:rPr>
          <w:rFonts w:eastAsia="TimesNewRoman"/>
          <w:snapToGrid/>
          <w:szCs w:val="22"/>
          <w:lang w:val="lt-LT"/>
        </w:rPr>
        <w:t xml:space="preserve"> vartojusių pacientų pasireiškusį dusulį tyrėjai laikė susijusiu su PLATO tyrimo metu tirtais vaistiniais preparatais, nedaugeliu atvejų dusulys buvo sunkus (0,14 % vartojant </w:t>
      </w:r>
      <w:proofErr w:type="spellStart"/>
      <w:r>
        <w:rPr>
          <w:rFonts w:eastAsia="TimesNewRoman"/>
          <w:snapToGrid/>
          <w:szCs w:val="22"/>
          <w:lang w:val="lt-LT"/>
        </w:rPr>
        <w:t>tikagrelorą</w:t>
      </w:r>
      <w:proofErr w:type="spellEnd"/>
      <w:r>
        <w:rPr>
          <w:rFonts w:eastAsia="TimesNewRoman"/>
          <w:snapToGrid/>
          <w:szCs w:val="22"/>
          <w:lang w:val="lt-LT"/>
        </w:rPr>
        <w:t xml:space="preserve"> ir 0,02 % vartojant </w:t>
      </w:r>
      <w:proofErr w:type="spellStart"/>
      <w:r>
        <w:rPr>
          <w:rFonts w:eastAsia="TimesNewRoman"/>
          <w:snapToGrid/>
          <w:szCs w:val="22"/>
          <w:lang w:val="lt-LT"/>
        </w:rPr>
        <w:t>klopidogrelį</w:t>
      </w:r>
      <w:proofErr w:type="spellEnd"/>
      <w:r>
        <w:rPr>
          <w:rFonts w:eastAsia="TimesNewRoman"/>
          <w:snapToGrid/>
          <w:szCs w:val="22"/>
          <w:lang w:val="lt-LT"/>
        </w:rPr>
        <w:t>) (žr. 4.4 skyrių). Dauguma užfiksuotų dusulio simptomų buvo lengvo ar vidutinio intensyvumo, dažniausiai pasireiškė vienas epizodas pradedant vartoti vaistinį preparatą.</w:t>
      </w:r>
    </w:p>
    <w:p w14:paraId="092799C3"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4F428E2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Palyginti su </w:t>
      </w:r>
      <w:proofErr w:type="spellStart"/>
      <w:r>
        <w:rPr>
          <w:rFonts w:eastAsia="TimesNewRoman"/>
          <w:snapToGrid/>
          <w:szCs w:val="22"/>
          <w:lang w:val="lt-LT"/>
        </w:rPr>
        <w:t>klopidogreliu</w:t>
      </w:r>
      <w:proofErr w:type="spellEnd"/>
      <w:r>
        <w:rPr>
          <w:rFonts w:eastAsia="TimesNewRoman"/>
          <w:snapToGrid/>
          <w:szCs w:val="22"/>
          <w:lang w:val="lt-LT"/>
        </w:rPr>
        <w:t xml:space="preserve"> astma ar LOPL sergantiems pacientams, vartojantiems </w:t>
      </w:r>
      <w:proofErr w:type="spellStart"/>
      <w:r>
        <w:rPr>
          <w:rFonts w:eastAsia="TimesNewRoman"/>
          <w:snapToGrid/>
          <w:szCs w:val="22"/>
          <w:lang w:val="lt-LT"/>
        </w:rPr>
        <w:t>tikagrelorą</w:t>
      </w:r>
      <w:proofErr w:type="spellEnd"/>
      <w:r>
        <w:rPr>
          <w:rFonts w:eastAsia="TimesNewRoman"/>
          <w:snapToGrid/>
          <w:szCs w:val="22"/>
          <w:lang w:val="lt-LT"/>
        </w:rPr>
        <w:t xml:space="preserve">, gali būti didesnė nesunkaus dusulio (3,29 % vartojant </w:t>
      </w:r>
      <w:proofErr w:type="spellStart"/>
      <w:r>
        <w:rPr>
          <w:rFonts w:eastAsia="TimesNewRoman"/>
          <w:snapToGrid/>
          <w:szCs w:val="22"/>
          <w:lang w:val="lt-LT"/>
        </w:rPr>
        <w:t>tikagrelorą</w:t>
      </w:r>
      <w:proofErr w:type="spellEnd"/>
      <w:r>
        <w:rPr>
          <w:rFonts w:eastAsia="TimesNewRoman"/>
          <w:snapToGrid/>
          <w:szCs w:val="22"/>
          <w:lang w:val="lt-LT"/>
        </w:rPr>
        <w:t xml:space="preserve"> ir 0,53 % vartojant </w:t>
      </w:r>
      <w:proofErr w:type="spellStart"/>
      <w:r>
        <w:rPr>
          <w:rFonts w:eastAsia="TimesNewRoman"/>
          <w:snapToGrid/>
          <w:szCs w:val="22"/>
          <w:lang w:val="lt-LT"/>
        </w:rPr>
        <w:t>klopidogrelį</w:t>
      </w:r>
      <w:proofErr w:type="spellEnd"/>
      <w:r>
        <w:rPr>
          <w:rFonts w:eastAsia="TimesNewRoman"/>
          <w:snapToGrid/>
          <w:szCs w:val="22"/>
          <w:lang w:val="lt-LT"/>
        </w:rPr>
        <w:t xml:space="preserve">) bei sunkaus dusulio rizika (0,38 % vartojant </w:t>
      </w:r>
      <w:proofErr w:type="spellStart"/>
      <w:r>
        <w:rPr>
          <w:rFonts w:eastAsia="TimesNewRoman"/>
          <w:snapToGrid/>
          <w:szCs w:val="22"/>
          <w:lang w:val="lt-LT"/>
        </w:rPr>
        <w:t>tikagrelorą</w:t>
      </w:r>
      <w:proofErr w:type="spellEnd"/>
      <w:r>
        <w:rPr>
          <w:rFonts w:eastAsia="TimesNewRoman"/>
          <w:snapToGrid/>
          <w:szCs w:val="22"/>
          <w:lang w:val="lt-LT"/>
        </w:rPr>
        <w:t xml:space="preserve"> ir 0,00 % vartojant </w:t>
      </w:r>
      <w:proofErr w:type="spellStart"/>
      <w:r>
        <w:rPr>
          <w:rFonts w:eastAsia="TimesNewRoman"/>
          <w:snapToGrid/>
          <w:szCs w:val="22"/>
          <w:lang w:val="lt-LT"/>
        </w:rPr>
        <w:t>klopidogrelį</w:t>
      </w:r>
      <w:proofErr w:type="spellEnd"/>
      <w:r>
        <w:rPr>
          <w:rFonts w:eastAsia="TimesNewRoman"/>
          <w:snapToGrid/>
          <w:szCs w:val="22"/>
          <w:lang w:val="lt-LT"/>
        </w:rPr>
        <w:t xml:space="preserve">). Absoliučia išraiška ši </w:t>
      </w:r>
      <w:r>
        <w:rPr>
          <w:rFonts w:eastAsia="TimesNewRoman"/>
          <w:snapToGrid/>
          <w:szCs w:val="22"/>
          <w:lang w:val="lt-LT"/>
        </w:rPr>
        <w:lastRenderedPageBreak/>
        <w:t xml:space="preserve">rizika buvo didesnė, negu visoje PLATO tyrimo populiacijoje. </w:t>
      </w:r>
      <w:proofErr w:type="spellStart"/>
      <w:r>
        <w:rPr>
          <w:rFonts w:eastAsia="TimesNewRoman"/>
          <w:snapToGrid/>
          <w:szCs w:val="22"/>
          <w:lang w:val="lt-LT"/>
        </w:rPr>
        <w:t>Tikagrelorą</w:t>
      </w:r>
      <w:proofErr w:type="spellEnd"/>
      <w:r>
        <w:rPr>
          <w:rFonts w:eastAsia="TimesNewRoman"/>
          <w:snapToGrid/>
          <w:szCs w:val="22"/>
          <w:lang w:val="lt-LT"/>
        </w:rPr>
        <w:t xml:space="preserve"> vartojantiems pacientams, kurių anamnezėje užfiksuota astma ir (arba) LOPL, būtinos atsargumo priemonės (žr. 4.4 skyrių).</w:t>
      </w:r>
    </w:p>
    <w:p w14:paraId="47535BFC"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3FC9DC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Maždaug 30 % dusulio epizodų praėjo per 7 paras. Į PLATO tyrimą buvo įtraukiami ir pacientai, kuriems pradedant tyrimą buvo </w:t>
      </w:r>
      <w:proofErr w:type="spellStart"/>
      <w:r>
        <w:rPr>
          <w:rFonts w:eastAsia="TimesNewRoman"/>
          <w:snapToGrid/>
          <w:szCs w:val="22"/>
          <w:lang w:val="lt-LT"/>
        </w:rPr>
        <w:t>stazinis</w:t>
      </w:r>
      <w:proofErr w:type="spellEnd"/>
      <w:r>
        <w:rPr>
          <w:rFonts w:eastAsia="TimesNewRoman"/>
          <w:snapToGrid/>
          <w:szCs w:val="22"/>
          <w:lang w:val="lt-LT"/>
        </w:rPr>
        <w:t xml:space="preserve"> širdies nepakankamumas, LOPL ar astma. Jiems ir taip pat senyviems pacientams dusulio pasireiškimo tikimybė buvo didesnė. Dėl dusulio </w:t>
      </w:r>
      <w:proofErr w:type="spellStart"/>
      <w:r>
        <w:rPr>
          <w:rFonts w:eastAsia="TimesNewRoman"/>
          <w:snapToGrid/>
          <w:szCs w:val="22"/>
          <w:lang w:val="lt-LT"/>
        </w:rPr>
        <w:t>tikagreloro</w:t>
      </w:r>
      <w:proofErr w:type="spellEnd"/>
      <w:r>
        <w:rPr>
          <w:rFonts w:eastAsia="TimesNewRoman"/>
          <w:snapToGrid/>
          <w:szCs w:val="22"/>
          <w:lang w:val="lt-LT"/>
        </w:rPr>
        <w:t xml:space="preserve"> vartojimą nutraukė 0,9 %, </w:t>
      </w:r>
      <w:proofErr w:type="spellStart"/>
      <w:r>
        <w:rPr>
          <w:rFonts w:eastAsia="TimesNewRoman"/>
          <w:snapToGrid/>
          <w:szCs w:val="22"/>
          <w:lang w:val="lt-LT"/>
        </w:rPr>
        <w:t>klopidogrelio</w:t>
      </w:r>
      <w:proofErr w:type="spellEnd"/>
      <w:r>
        <w:rPr>
          <w:rFonts w:eastAsia="TimesNewRoman"/>
          <w:snapToGrid/>
          <w:szCs w:val="22"/>
          <w:lang w:val="lt-LT"/>
        </w:rPr>
        <w:t xml:space="preserve"> – 0,1 % pacientų. Dažnesnis dusulio atsiradimas vartojant </w:t>
      </w:r>
      <w:proofErr w:type="spellStart"/>
      <w:r>
        <w:rPr>
          <w:rFonts w:eastAsia="TimesNewRoman"/>
          <w:snapToGrid/>
          <w:szCs w:val="22"/>
          <w:lang w:val="lt-LT"/>
        </w:rPr>
        <w:t>tikagrelorą</w:t>
      </w:r>
      <w:proofErr w:type="spellEnd"/>
      <w:r>
        <w:rPr>
          <w:rFonts w:eastAsia="TimesNewRoman"/>
          <w:snapToGrid/>
          <w:szCs w:val="22"/>
          <w:lang w:val="lt-LT"/>
        </w:rPr>
        <w:t xml:space="preserve"> nėra susijęs su naujomis ar pasunkėjusiomis širdies arba plaučių ligomis (žr. 4.4</w:t>
      </w:r>
      <w:r w:rsidRPr="0022257B">
        <w:rPr>
          <w:lang w:val="lt-LT"/>
        </w:rPr>
        <w:t> </w:t>
      </w:r>
      <w:r>
        <w:rPr>
          <w:rFonts w:eastAsia="TimesNewRoman"/>
          <w:snapToGrid/>
          <w:szCs w:val="22"/>
          <w:lang w:val="lt-LT"/>
        </w:rPr>
        <w:t xml:space="preserve">skyrių). Įtakos plaučių funkcijos rodikliams </w:t>
      </w:r>
      <w:proofErr w:type="spellStart"/>
      <w:r>
        <w:rPr>
          <w:rFonts w:eastAsia="TimesNewRoman"/>
          <w:snapToGrid/>
          <w:szCs w:val="22"/>
          <w:lang w:val="lt-LT"/>
        </w:rPr>
        <w:t>tikagreloras</w:t>
      </w:r>
      <w:proofErr w:type="spellEnd"/>
      <w:r>
        <w:rPr>
          <w:rFonts w:eastAsia="TimesNewRoman"/>
          <w:snapToGrid/>
          <w:szCs w:val="22"/>
          <w:lang w:val="lt-LT"/>
        </w:rPr>
        <w:t xml:space="preserve"> neturi.</w:t>
      </w:r>
    </w:p>
    <w:p w14:paraId="6D3D9CDA"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FB754E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PEGASUS tyrimo metu dusulys užfiksuotas 14,2 % 60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ir 5,5 % vien ASR vartojusių pacientų. Kaip ir PLATO tyrimo metu, dusulys dažniausiai būdavo lengvo ar vidutinio intensyvumo (žr. 4.4 skyrių). Dusulio pasireiškimo tikimybė buvo didesnė senyviems pacientams ir taip pat tiems, kurie įtraukiant į tyrimą dažniau skundėsi dusuliu arba sirgo LOPL ar astma.</w:t>
      </w:r>
    </w:p>
    <w:p w14:paraId="6741DA24"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645A9362"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Tyrimai</w:t>
      </w:r>
    </w:p>
    <w:p w14:paraId="01D4FD8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Padidėjusi šlapimo rūgšties koncentracija. PLATO tyrimo metu šlapimo rūgšties koncentracija serume padidėjo virš viršutinės normos ribos 22 % </w:t>
      </w:r>
      <w:proofErr w:type="spellStart"/>
      <w:r>
        <w:rPr>
          <w:rFonts w:eastAsia="TimesNewRoman"/>
          <w:snapToGrid/>
          <w:szCs w:val="22"/>
          <w:lang w:val="lt-LT"/>
        </w:rPr>
        <w:t>tikagrelorą</w:t>
      </w:r>
      <w:proofErr w:type="spellEnd"/>
      <w:r>
        <w:rPr>
          <w:rFonts w:eastAsia="TimesNewRoman"/>
          <w:snapToGrid/>
          <w:szCs w:val="22"/>
          <w:lang w:val="lt-LT"/>
        </w:rPr>
        <w:t xml:space="preserve"> ir 13 % </w:t>
      </w:r>
      <w:proofErr w:type="spellStart"/>
      <w:r>
        <w:rPr>
          <w:rFonts w:eastAsia="TimesNewRoman"/>
          <w:snapToGrid/>
          <w:szCs w:val="22"/>
          <w:lang w:val="lt-LT"/>
        </w:rPr>
        <w:t>klopidogrelį</w:t>
      </w:r>
      <w:proofErr w:type="spellEnd"/>
      <w:r>
        <w:rPr>
          <w:rFonts w:eastAsia="TimesNewRoman"/>
          <w:snapToGrid/>
          <w:szCs w:val="22"/>
          <w:lang w:val="lt-LT"/>
        </w:rPr>
        <w:t xml:space="preserve"> vartojusių pacientų, o PEGASUS tyrimo metu – 9,1 % 90 mg </w:t>
      </w:r>
      <w:proofErr w:type="spellStart"/>
      <w:r>
        <w:rPr>
          <w:rFonts w:eastAsia="TimesNewRoman"/>
          <w:snapToGrid/>
          <w:szCs w:val="22"/>
          <w:lang w:val="lt-LT"/>
        </w:rPr>
        <w:t>tikagreloro</w:t>
      </w:r>
      <w:proofErr w:type="spellEnd"/>
      <w:r>
        <w:rPr>
          <w:rFonts w:eastAsia="TimesNewRoman"/>
          <w:snapToGrid/>
          <w:szCs w:val="22"/>
          <w:lang w:val="lt-LT"/>
        </w:rPr>
        <w:t xml:space="preserve">, 8,8 % 60 mg </w:t>
      </w:r>
      <w:proofErr w:type="spellStart"/>
      <w:r>
        <w:rPr>
          <w:rFonts w:eastAsia="TimesNewRoman"/>
          <w:snapToGrid/>
          <w:szCs w:val="22"/>
          <w:lang w:val="lt-LT"/>
        </w:rPr>
        <w:t>tikagreloro</w:t>
      </w:r>
      <w:proofErr w:type="spellEnd"/>
      <w:r>
        <w:rPr>
          <w:rFonts w:eastAsia="TimesNewRoman"/>
          <w:snapToGrid/>
          <w:szCs w:val="22"/>
          <w:lang w:val="lt-LT"/>
        </w:rPr>
        <w:t xml:space="preserve"> ir 5,5 % placebą vartojusių pacientų. Vidutinė šlapimo rūgšties koncentracija serume vartojant </w:t>
      </w:r>
      <w:proofErr w:type="spellStart"/>
      <w:r>
        <w:rPr>
          <w:rFonts w:eastAsia="TimesNewRoman"/>
          <w:snapToGrid/>
          <w:szCs w:val="22"/>
          <w:lang w:val="lt-LT"/>
        </w:rPr>
        <w:t>tikagrelorą</w:t>
      </w:r>
      <w:proofErr w:type="spellEnd"/>
      <w:r>
        <w:rPr>
          <w:rFonts w:eastAsia="TimesNewRoman"/>
          <w:snapToGrid/>
          <w:szCs w:val="22"/>
          <w:lang w:val="lt-LT"/>
        </w:rPr>
        <w:t xml:space="preserve"> padidėjo maždaug 15 %, o vartojant </w:t>
      </w:r>
      <w:proofErr w:type="spellStart"/>
      <w:r>
        <w:rPr>
          <w:rFonts w:eastAsia="TimesNewRoman"/>
          <w:snapToGrid/>
          <w:szCs w:val="22"/>
          <w:lang w:val="lt-LT"/>
        </w:rPr>
        <w:t>klopidogrelį</w:t>
      </w:r>
      <w:proofErr w:type="spellEnd"/>
      <w:r>
        <w:rPr>
          <w:rFonts w:eastAsia="TimesNewRoman"/>
          <w:snapToGrid/>
          <w:szCs w:val="22"/>
          <w:lang w:val="lt-LT"/>
        </w:rPr>
        <w:t xml:space="preserve"> – maždaug 7,5 %. Baigus vartoti </w:t>
      </w:r>
      <w:proofErr w:type="spellStart"/>
      <w:r>
        <w:rPr>
          <w:rFonts w:eastAsia="TimesNewRoman"/>
          <w:snapToGrid/>
          <w:szCs w:val="22"/>
          <w:lang w:val="lt-LT"/>
        </w:rPr>
        <w:t>tikagrelorą</w:t>
      </w:r>
      <w:proofErr w:type="spellEnd"/>
      <w:r>
        <w:rPr>
          <w:rFonts w:eastAsia="TimesNewRoman"/>
          <w:snapToGrid/>
          <w:szCs w:val="22"/>
          <w:lang w:val="lt-LT"/>
        </w:rPr>
        <w:t xml:space="preserve"> ji sumažėdavo maždaug iki 7 %, o baigus vartoti </w:t>
      </w:r>
      <w:proofErr w:type="spellStart"/>
      <w:r>
        <w:rPr>
          <w:rFonts w:eastAsia="TimesNewRoman"/>
          <w:snapToGrid/>
          <w:szCs w:val="22"/>
          <w:lang w:val="lt-LT"/>
        </w:rPr>
        <w:t>klopidogrelį</w:t>
      </w:r>
      <w:proofErr w:type="spellEnd"/>
      <w:r>
        <w:rPr>
          <w:rFonts w:eastAsia="TimesNewRoman"/>
          <w:snapToGrid/>
          <w:szCs w:val="22"/>
          <w:lang w:val="lt-LT"/>
        </w:rPr>
        <w:t xml:space="preserve"> jos sumažėjimo nepastebėta. PEGASUS tyrimo metu šlapimo rūgšties koncentracija 90 mg </w:t>
      </w:r>
      <w:proofErr w:type="spellStart"/>
      <w:r>
        <w:rPr>
          <w:rFonts w:eastAsia="TimesNewRoman"/>
          <w:snapToGrid/>
          <w:szCs w:val="22"/>
          <w:lang w:val="lt-LT"/>
        </w:rPr>
        <w:t>tikagreloro</w:t>
      </w:r>
      <w:proofErr w:type="spellEnd"/>
      <w:r>
        <w:rPr>
          <w:rFonts w:eastAsia="TimesNewRoman"/>
          <w:snapToGrid/>
          <w:szCs w:val="22"/>
          <w:lang w:val="lt-LT"/>
        </w:rPr>
        <w:t xml:space="preserve"> vartojusių pacientų serume laikinai padidėjo vidutiniškai 6,3 %, 60 mg </w:t>
      </w:r>
      <w:proofErr w:type="spellStart"/>
      <w:r>
        <w:rPr>
          <w:rFonts w:eastAsia="TimesNewRoman"/>
          <w:snapToGrid/>
          <w:szCs w:val="22"/>
          <w:lang w:val="lt-LT"/>
        </w:rPr>
        <w:t>tikagreloro</w:t>
      </w:r>
      <w:proofErr w:type="spellEnd"/>
      <w:r>
        <w:rPr>
          <w:rFonts w:eastAsia="TimesNewRoman"/>
          <w:snapToGrid/>
          <w:szCs w:val="22"/>
          <w:lang w:val="lt-LT"/>
        </w:rPr>
        <w:t xml:space="preserve"> vartojusių pacientų serume – vidutiniškai 5,6 %, o placebo grupės pacientų serume ji vidutiniškai 1,5 % sumažėjo. PLATO tyrimo metu podagrinis artritas užfiksuotas 0,2 % </w:t>
      </w:r>
      <w:proofErr w:type="spellStart"/>
      <w:r>
        <w:rPr>
          <w:rFonts w:eastAsia="TimesNewRoman"/>
          <w:snapToGrid/>
          <w:szCs w:val="22"/>
          <w:lang w:val="lt-LT"/>
        </w:rPr>
        <w:t>tikagrelorą</w:t>
      </w:r>
      <w:proofErr w:type="spellEnd"/>
      <w:r>
        <w:rPr>
          <w:rFonts w:eastAsia="TimesNewRoman"/>
          <w:snapToGrid/>
          <w:szCs w:val="22"/>
          <w:lang w:val="lt-LT"/>
        </w:rPr>
        <w:t xml:space="preserve"> ir 0,1 % </w:t>
      </w:r>
      <w:proofErr w:type="spellStart"/>
      <w:r>
        <w:rPr>
          <w:rFonts w:eastAsia="TimesNewRoman"/>
          <w:snapToGrid/>
          <w:szCs w:val="22"/>
          <w:lang w:val="lt-LT"/>
        </w:rPr>
        <w:t>klopidogrelį</w:t>
      </w:r>
      <w:proofErr w:type="spellEnd"/>
      <w:r>
        <w:rPr>
          <w:rFonts w:eastAsia="TimesNewRoman"/>
          <w:snapToGrid/>
          <w:szCs w:val="22"/>
          <w:lang w:val="lt-LT"/>
        </w:rPr>
        <w:t xml:space="preserve"> vartojusių pacientų, PEGASUS tyrimo metu – 1,6 % 90 mg </w:t>
      </w:r>
      <w:proofErr w:type="spellStart"/>
      <w:r>
        <w:rPr>
          <w:rFonts w:eastAsia="TimesNewRoman"/>
          <w:snapToGrid/>
          <w:szCs w:val="22"/>
          <w:lang w:val="lt-LT"/>
        </w:rPr>
        <w:t>tikagreloro</w:t>
      </w:r>
      <w:proofErr w:type="spellEnd"/>
      <w:r>
        <w:rPr>
          <w:rFonts w:eastAsia="TimesNewRoman"/>
          <w:snapToGrid/>
          <w:szCs w:val="22"/>
          <w:lang w:val="lt-LT"/>
        </w:rPr>
        <w:t xml:space="preserve">, 1,5 % 60 mg </w:t>
      </w:r>
      <w:proofErr w:type="spellStart"/>
      <w:r>
        <w:rPr>
          <w:rFonts w:eastAsia="TimesNewRoman"/>
          <w:snapToGrid/>
          <w:szCs w:val="22"/>
          <w:lang w:val="lt-LT"/>
        </w:rPr>
        <w:t>tikagreloro</w:t>
      </w:r>
      <w:proofErr w:type="spellEnd"/>
      <w:r>
        <w:rPr>
          <w:rFonts w:eastAsia="TimesNewRoman"/>
          <w:snapToGrid/>
          <w:szCs w:val="22"/>
          <w:lang w:val="lt-LT"/>
        </w:rPr>
        <w:t xml:space="preserve"> ir 1,1 % placebą vartojusių pacientų.</w:t>
      </w:r>
    </w:p>
    <w:p w14:paraId="630FFA17" w14:textId="77777777" w:rsidR="009A4BFE" w:rsidRDefault="009A4BFE">
      <w:pPr>
        <w:autoSpaceDE w:val="0"/>
        <w:autoSpaceDN w:val="0"/>
        <w:adjustRightInd w:val="0"/>
        <w:jc w:val="both"/>
        <w:rPr>
          <w:szCs w:val="22"/>
          <w:u w:val="single"/>
          <w:lang w:val="lt-LT"/>
        </w:rPr>
      </w:pPr>
    </w:p>
    <w:p w14:paraId="76FA2576" w14:textId="77777777" w:rsidR="009A4BFE" w:rsidRDefault="0051186A">
      <w:pPr>
        <w:autoSpaceDE w:val="0"/>
        <w:autoSpaceDN w:val="0"/>
        <w:adjustRightInd w:val="0"/>
        <w:jc w:val="both"/>
        <w:rPr>
          <w:szCs w:val="22"/>
          <w:u w:val="single"/>
          <w:lang w:val="lt-LT"/>
        </w:rPr>
      </w:pPr>
      <w:r>
        <w:rPr>
          <w:noProof/>
          <w:szCs w:val="22"/>
          <w:u w:val="single"/>
          <w:lang w:val="lt-LT"/>
        </w:rPr>
        <w:t>Pranešimas apie įtariamas nepageidaujamas reakcijas</w:t>
      </w:r>
    </w:p>
    <w:p w14:paraId="757C204B" w14:textId="77777777" w:rsidR="009A4BFE" w:rsidRDefault="0051186A">
      <w:pPr>
        <w:jc w:val="both"/>
        <w:rPr>
          <w:snapToGrid/>
          <w:szCs w:val="24"/>
          <w:lang w:val="lt-LT"/>
        </w:rPr>
      </w:pPr>
      <w:r>
        <w:rPr>
          <w:snapToGrid/>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napToGrid/>
          <w:szCs w:val="22"/>
          <w:u w:val="single"/>
          <w:lang w:val="lt-LT"/>
        </w:rPr>
        <w:t>https://vvkt.lrv.lt/lt/</w:t>
      </w:r>
      <w:r>
        <w:rPr>
          <w:snapToGrid/>
          <w:szCs w:val="22"/>
          <w:lang w:val="lt-LT"/>
        </w:rPr>
        <w:t xml:space="preserve"> nurodytais būdais.</w:t>
      </w:r>
    </w:p>
    <w:p w14:paraId="12D2BF97" w14:textId="77777777" w:rsidR="00635EF3" w:rsidRDefault="00635EF3" w:rsidP="00635EF3">
      <w:pPr>
        <w:rPr>
          <w:lang w:val="lt-LT" w:eastAsia="x-none"/>
        </w:rPr>
      </w:pPr>
    </w:p>
    <w:p w14:paraId="482C8DBA" w14:textId="77777777" w:rsidR="00635EF3" w:rsidRPr="0022257B" w:rsidRDefault="00635EF3" w:rsidP="00635EF3">
      <w:pPr>
        <w:rPr>
          <w:lang w:val="lt-LT" w:eastAsia="x-none"/>
        </w:rPr>
      </w:pPr>
    </w:p>
    <w:p w14:paraId="4A3E027F" w14:textId="77777777" w:rsidR="009A4BFE" w:rsidRDefault="009A4BFE">
      <w:pPr>
        <w:pStyle w:val="Antrat4"/>
        <w:rPr>
          <w:rFonts w:ascii="Times New Roman" w:hAnsi="Times New Roman"/>
          <w:sz w:val="22"/>
          <w:szCs w:val="22"/>
          <w:lang w:val="lt-LT"/>
        </w:rPr>
      </w:pPr>
    </w:p>
    <w:p w14:paraId="47F29036" w14:textId="77777777" w:rsidR="009A4BFE" w:rsidRDefault="0051186A">
      <w:pPr>
        <w:pStyle w:val="Antrat4"/>
        <w:rPr>
          <w:rFonts w:ascii="Times New Roman" w:hAnsi="Times New Roman"/>
          <w:sz w:val="22"/>
          <w:szCs w:val="22"/>
          <w:lang w:val="lt-LT"/>
        </w:rPr>
      </w:pPr>
      <w:r>
        <w:rPr>
          <w:rFonts w:ascii="Times New Roman" w:hAnsi="Times New Roman"/>
          <w:sz w:val="22"/>
          <w:szCs w:val="22"/>
          <w:lang w:val="lt-LT"/>
        </w:rPr>
        <w:t>4.9</w:t>
      </w:r>
      <w:r>
        <w:rPr>
          <w:rFonts w:ascii="Times New Roman" w:hAnsi="Times New Roman"/>
          <w:sz w:val="22"/>
          <w:szCs w:val="22"/>
          <w:lang w:val="lt-LT"/>
        </w:rPr>
        <w:tab/>
        <w:t>Perdozavimas</w:t>
      </w:r>
    </w:p>
    <w:p w14:paraId="3F934BCC" w14:textId="77777777" w:rsidR="009A4BFE" w:rsidRDefault="009A4BFE">
      <w:pPr>
        <w:rPr>
          <w:szCs w:val="22"/>
          <w:lang w:val="lt-LT"/>
        </w:rPr>
      </w:pPr>
    </w:p>
    <w:p w14:paraId="10CFA555"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Vienkartinės </w:t>
      </w:r>
      <w:proofErr w:type="spellStart"/>
      <w:r>
        <w:rPr>
          <w:rFonts w:eastAsia="TimesNewRoman"/>
          <w:snapToGrid/>
          <w:szCs w:val="22"/>
          <w:lang w:val="lt-LT"/>
        </w:rPr>
        <w:t>tikagreloro</w:t>
      </w:r>
      <w:proofErr w:type="spellEnd"/>
      <w:r>
        <w:rPr>
          <w:rFonts w:eastAsia="TimesNewRoman"/>
          <w:snapToGrid/>
          <w:szCs w:val="22"/>
          <w:lang w:val="lt-LT"/>
        </w:rPr>
        <w:t xml:space="preserve"> dozės iki 900 mg toleruojamos gerai. Tiriant vienkartinės dozės didinimą, jį ribojo toksinis poveikis virškinimo traktui. Kitos kliniškai reikšmingos nepageidaujamos reakcijos, kurių gali pasireikšti perdozavus, yra dusulys ir skilvelių veiklos pauzės (žr. 4.8 skyrių).</w:t>
      </w:r>
    </w:p>
    <w:p w14:paraId="090667A7"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5C326DE"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Perdozavus gali pasireikšti anksčiau išvardytų nepageidaujamų reakcijų. Svarstytinas EKG registravimo tikslingumas.</w:t>
      </w:r>
    </w:p>
    <w:p w14:paraId="3AB6EB2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Šiuo metu priešnuodžio </w:t>
      </w:r>
      <w:proofErr w:type="spellStart"/>
      <w:r>
        <w:rPr>
          <w:rFonts w:eastAsia="TimesNewRoman"/>
          <w:snapToGrid/>
          <w:szCs w:val="22"/>
          <w:lang w:val="lt-LT"/>
        </w:rPr>
        <w:t>tikagreloro</w:t>
      </w:r>
      <w:proofErr w:type="spellEnd"/>
      <w:r>
        <w:rPr>
          <w:rFonts w:eastAsia="TimesNewRoman"/>
          <w:snapToGrid/>
          <w:szCs w:val="22"/>
          <w:lang w:val="lt-LT"/>
        </w:rPr>
        <w:t xml:space="preserve"> poveikiui pašalinti nėra. Dializės būdu </w:t>
      </w:r>
      <w:proofErr w:type="spellStart"/>
      <w:r>
        <w:rPr>
          <w:rFonts w:eastAsia="TimesNewRoman"/>
          <w:snapToGrid/>
          <w:szCs w:val="22"/>
          <w:lang w:val="lt-LT"/>
        </w:rPr>
        <w:t>tikagreloro</w:t>
      </w:r>
      <w:proofErr w:type="spellEnd"/>
      <w:r>
        <w:rPr>
          <w:rFonts w:eastAsia="TimesNewRoman"/>
          <w:snapToGrid/>
          <w:szCs w:val="22"/>
          <w:lang w:val="lt-LT"/>
        </w:rPr>
        <w:t xml:space="preserve"> nepašalinama (žr. 5.2 skyrių). Perdozavimas gydomas įprastinėmis priemonėmis. Tikėtinas </w:t>
      </w:r>
      <w:proofErr w:type="spellStart"/>
      <w:r>
        <w:rPr>
          <w:rFonts w:eastAsia="TimesNewRoman"/>
          <w:snapToGrid/>
          <w:szCs w:val="22"/>
          <w:lang w:val="lt-LT"/>
        </w:rPr>
        <w:t>tikagreloro</w:t>
      </w:r>
      <w:proofErr w:type="spellEnd"/>
      <w:r>
        <w:rPr>
          <w:rFonts w:eastAsia="TimesNewRoman"/>
          <w:snapToGrid/>
          <w:szCs w:val="22"/>
          <w:lang w:val="lt-LT"/>
        </w:rPr>
        <w:t xml:space="preserve"> perdozavimo poveikis yra kraujavimo rizikos laikotarpio pailgėjimas, susijęs su trombocitų funkcijos slopinimu. Trombocitų transfuzija neturėtų būti kliniškai naudinga pacientams kraujavimo metu (žr. 4.4 skyrių). Prasidėjus kraujavimui reikia imtis kitokių atitinkamų palaikomųjų priemonių.</w:t>
      </w:r>
    </w:p>
    <w:p w14:paraId="16678B6A" w14:textId="77777777" w:rsidR="009A4BFE" w:rsidRDefault="009A4BFE">
      <w:pPr>
        <w:rPr>
          <w:szCs w:val="22"/>
          <w:lang w:val="lt-LT"/>
        </w:rPr>
      </w:pPr>
    </w:p>
    <w:p w14:paraId="1D5C11FD" w14:textId="77777777" w:rsidR="009A4BFE" w:rsidRDefault="009A4BFE">
      <w:pPr>
        <w:rPr>
          <w:szCs w:val="22"/>
          <w:lang w:val="lt-LT"/>
        </w:rPr>
      </w:pPr>
    </w:p>
    <w:p w14:paraId="702ADE64" w14:textId="77777777" w:rsidR="009A4BFE" w:rsidRDefault="0051186A">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sz w:val="22"/>
          <w:szCs w:val="22"/>
          <w:lang w:val="lt-LT"/>
        </w:rPr>
        <w:tab/>
        <w:t>FARMAKOLOGINĖS SAVYBĖS</w:t>
      </w:r>
    </w:p>
    <w:p w14:paraId="37A2871C" w14:textId="77777777" w:rsidR="009A4BFE" w:rsidRDefault="009A4BFE">
      <w:pPr>
        <w:rPr>
          <w:szCs w:val="22"/>
          <w:lang w:val="lt-LT"/>
        </w:rPr>
      </w:pPr>
    </w:p>
    <w:p w14:paraId="7125FC7C" w14:textId="77777777" w:rsidR="009A4BFE" w:rsidRDefault="0051186A">
      <w:pPr>
        <w:pStyle w:val="Antrat4"/>
        <w:rPr>
          <w:rFonts w:ascii="Times New Roman" w:hAnsi="Times New Roman"/>
          <w:sz w:val="22"/>
          <w:szCs w:val="22"/>
          <w:lang w:val="lt-LT"/>
        </w:rPr>
      </w:pPr>
      <w:r>
        <w:rPr>
          <w:rFonts w:ascii="Times New Roman" w:hAnsi="Times New Roman"/>
          <w:sz w:val="22"/>
          <w:szCs w:val="22"/>
          <w:lang w:val="lt-LT"/>
        </w:rPr>
        <w:t>5.1</w:t>
      </w:r>
      <w:r>
        <w:rPr>
          <w:rFonts w:ascii="Times New Roman" w:hAnsi="Times New Roman"/>
          <w:sz w:val="22"/>
          <w:szCs w:val="22"/>
          <w:lang w:val="lt-LT"/>
        </w:rPr>
        <w:tab/>
      </w:r>
      <w:proofErr w:type="spellStart"/>
      <w:r>
        <w:rPr>
          <w:rFonts w:ascii="Times New Roman" w:hAnsi="Times New Roman"/>
          <w:sz w:val="22"/>
          <w:szCs w:val="22"/>
          <w:lang w:val="lt-LT"/>
        </w:rPr>
        <w:t>Farmakodinaminės</w:t>
      </w:r>
      <w:proofErr w:type="spellEnd"/>
      <w:r>
        <w:rPr>
          <w:rFonts w:ascii="Times New Roman" w:hAnsi="Times New Roman"/>
          <w:sz w:val="22"/>
          <w:szCs w:val="22"/>
          <w:lang w:val="lt-LT"/>
        </w:rPr>
        <w:t xml:space="preserve"> savybės</w:t>
      </w:r>
    </w:p>
    <w:p w14:paraId="59540D8B" w14:textId="77777777" w:rsidR="009A4BFE" w:rsidRDefault="009A4BFE">
      <w:pPr>
        <w:rPr>
          <w:szCs w:val="22"/>
          <w:lang w:val="lt-LT"/>
        </w:rPr>
      </w:pPr>
    </w:p>
    <w:p w14:paraId="089867F0" w14:textId="77777777" w:rsidR="009A4BFE" w:rsidRDefault="0051186A">
      <w:pPr>
        <w:rPr>
          <w:szCs w:val="22"/>
          <w:lang w:val="lt-LT"/>
        </w:rPr>
      </w:pPr>
      <w:r>
        <w:rPr>
          <w:noProof/>
          <w:szCs w:val="22"/>
          <w:lang w:val="lt-LT"/>
        </w:rPr>
        <w:lastRenderedPageBreak/>
        <w:t xml:space="preserve">Farmakoterapinė grupė – </w:t>
      </w:r>
      <w:r>
        <w:rPr>
          <w:rFonts w:eastAsia="TimesNewRoman"/>
          <w:snapToGrid/>
          <w:szCs w:val="22"/>
          <w:lang w:val="lt-LT"/>
        </w:rPr>
        <w:t xml:space="preserve">trombocitų </w:t>
      </w:r>
      <w:proofErr w:type="spellStart"/>
      <w:r>
        <w:rPr>
          <w:rFonts w:eastAsia="TimesNewRoman"/>
          <w:snapToGrid/>
          <w:szCs w:val="22"/>
          <w:lang w:val="lt-LT"/>
        </w:rPr>
        <w:t>agregacijos</w:t>
      </w:r>
      <w:proofErr w:type="spellEnd"/>
      <w:r>
        <w:rPr>
          <w:rFonts w:eastAsia="TimesNewRoman"/>
          <w:snapToGrid/>
          <w:szCs w:val="22"/>
          <w:lang w:val="lt-LT"/>
        </w:rPr>
        <w:t xml:space="preserve"> inhibitoriai, išskyrus hepariną</w:t>
      </w:r>
      <w:r>
        <w:rPr>
          <w:noProof/>
          <w:szCs w:val="22"/>
          <w:lang w:val="lt-LT"/>
        </w:rPr>
        <w:t>, ATC kodas – B01AC24.</w:t>
      </w:r>
    </w:p>
    <w:p w14:paraId="59D81EE1" w14:textId="77777777" w:rsidR="009A4BFE" w:rsidRDefault="009A4BFE">
      <w:pPr>
        <w:rPr>
          <w:szCs w:val="22"/>
          <w:lang w:val="lt-LT"/>
        </w:rPr>
      </w:pPr>
    </w:p>
    <w:p w14:paraId="53257C86"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Veikimo mechanizmas</w:t>
      </w:r>
    </w:p>
    <w:p w14:paraId="6026F1E6"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Atixarso</w:t>
      </w:r>
      <w:proofErr w:type="spellEnd"/>
      <w:r>
        <w:rPr>
          <w:rFonts w:eastAsia="TimesNewRoman"/>
          <w:snapToGrid/>
          <w:szCs w:val="22"/>
          <w:lang w:val="lt-LT"/>
        </w:rPr>
        <w:t xml:space="preserve"> sudėtyje yra </w:t>
      </w:r>
      <w:proofErr w:type="spellStart"/>
      <w:r>
        <w:rPr>
          <w:rFonts w:eastAsia="TimesNewRoman"/>
          <w:snapToGrid/>
          <w:szCs w:val="22"/>
          <w:lang w:val="lt-LT"/>
        </w:rPr>
        <w:t>tikagreloro</w:t>
      </w:r>
      <w:proofErr w:type="spellEnd"/>
      <w:r>
        <w:rPr>
          <w:rFonts w:eastAsia="TimesNewRoman"/>
          <w:snapToGrid/>
          <w:szCs w:val="22"/>
          <w:lang w:val="lt-LT"/>
        </w:rPr>
        <w:t xml:space="preserve"> – geriamojo cheminės </w:t>
      </w:r>
      <w:proofErr w:type="spellStart"/>
      <w:r>
        <w:rPr>
          <w:rFonts w:eastAsia="TimesNewRoman"/>
          <w:snapToGrid/>
          <w:szCs w:val="22"/>
          <w:lang w:val="lt-LT"/>
        </w:rPr>
        <w:t>ciklopentiltriazolpirimidinų</w:t>
      </w:r>
      <w:proofErr w:type="spellEnd"/>
      <w:r>
        <w:rPr>
          <w:rFonts w:eastAsia="TimesNewRoman"/>
          <w:snapToGrid/>
          <w:szCs w:val="22"/>
          <w:lang w:val="lt-LT"/>
        </w:rPr>
        <w:t xml:space="preserve"> (CPTP) grupės tiesioginio ir selektyvaus veikimo laikinai prisijungiančio </w:t>
      </w:r>
      <w:r w:rsidRPr="0022257B">
        <w:rPr>
          <w:position w:val="2"/>
          <w:lang w:val="lt-LT"/>
        </w:rPr>
        <w:t>P2Y</w:t>
      </w:r>
      <w:r w:rsidRPr="0022257B">
        <w:rPr>
          <w:position w:val="2"/>
          <w:vertAlign w:val="subscript"/>
          <w:lang w:val="lt-LT"/>
        </w:rPr>
        <w:t>12</w:t>
      </w:r>
      <w:r>
        <w:rPr>
          <w:rFonts w:eastAsia="TimesNewRoman"/>
          <w:snapToGrid/>
          <w:szCs w:val="22"/>
          <w:lang w:val="lt-LT"/>
        </w:rPr>
        <w:t xml:space="preserve"> receptorių antagonisto, trikdančio ADF perduodamą nuo </w:t>
      </w:r>
      <w:r w:rsidRPr="0022257B">
        <w:rPr>
          <w:position w:val="2"/>
          <w:lang w:val="lt-LT"/>
        </w:rPr>
        <w:t>P2Y</w:t>
      </w:r>
      <w:r w:rsidRPr="0022257B">
        <w:rPr>
          <w:position w:val="2"/>
          <w:vertAlign w:val="subscript"/>
          <w:lang w:val="lt-LT"/>
        </w:rPr>
        <w:t>12</w:t>
      </w:r>
      <w:r>
        <w:rPr>
          <w:rFonts w:eastAsia="TimesNewRoman"/>
          <w:snapToGrid/>
          <w:szCs w:val="22"/>
          <w:lang w:val="lt-LT"/>
        </w:rPr>
        <w:t xml:space="preserve"> priklausomą trombocitų aktyvinimą ir jų </w:t>
      </w:r>
      <w:proofErr w:type="spellStart"/>
      <w:r>
        <w:rPr>
          <w:rFonts w:eastAsia="TimesNewRoman"/>
          <w:snapToGrid/>
          <w:szCs w:val="22"/>
          <w:lang w:val="lt-LT"/>
        </w:rPr>
        <w:t>agregaciją</w:t>
      </w:r>
      <w:proofErr w:type="spellEnd"/>
      <w:r>
        <w:rPr>
          <w:rFonts w:eastAsia="TimesNewRoman"/>
          <w:snapToGrid/>
          <w:szCs w:val="22"/>
          <w:lang w:val="lt-LT"/>
        </w:rPr>
        <w:t xml:space="preserve">. </w:t>
      </w:r>
      <w:proofErr w:type="spellStart"/>
      <w:r>
        <w:rPr>
          <w:rFonts w:eastAsia="TimesNewRoman"/>
          <w:snapToGrid/>
          <w:szCs w:val="22"/>
          <w:lang w:val="lt-LT"/>
        </w:rPr>
        <w:t>Tikagreloras</w:t>
      </w:r>
      <w:proofErr w:type="spellEnd"/>
      <w:r>
        <w:rPr>
          <w:rFonts w:eastAsia="TimesNewRoman"/>
          <w:snapToGrid/>
          <w:szCs w:val="22"/>
          <w:lang w:val="lt-LT"/>
        </w:rPr>
        <w:t xml:space="preserve"> nekliudo prisijungti ADF, tačiau pats prisijungęs prie </w:t>
      </w:r>
      <w:r w:rsidRPr="0022257B">
        <w:rPr>
          <w:position w:val="2"/>
          <w:lang w:val="lt-LT"/>
        </w:rPr>
        <w:t>P2Y</w:t>
      </w:r>
      <w:r w:rsidRPr="0022257B">
        <w:rPr>
          <w:position w:val="2"/>
          <w:vertAlign w:val="subscript"/>
          <w:lang w:val="lt-LT"/>
        </w:rPr>
        <w:t>12</w:t>
      </w:r>
      <w:r>
        <w:rPr>
          <w:rFonts w:eastAsia="TimesNewRoman"/>
          <w:snapToGrid/>
          <w:szCs w:val="22"/>
          <w:lang w:val="lt-LT"/>
        </w:rPr>
        <w:t xml:space="preserve"> receptorių neleidžia ADF perduoti signalo. Trombocitai dalyvauja prasidedant ir (arba) progresuojant aterosklerozės </w:t>
      </w:r>
      <w:proofErr w:type="spellStart"/>
      <w:r>
        <w:rPr>
          <w:rFonts w:eastAsia="TimesNewRoman"/>
          <w:snapToGrid/>
          <w:szCs w:val="22"/>
          <w:lang w:val="lt-LT"/>
        </w:rPr>
        <w:t>trombozinėms</w:t>
      </w:r>
      <w:proofErr w:type="spellEnd"/>
      <w:r>
        <w:rPr>
          <w:rFonts w:eastAsia="TimesNewRoman"/>
          <w:snapToGrid/>
          <w:szCs w:val="22"/>
          <w:lang w:val="lt-LT"/>
        </w:rPr>
        <w:t xml:space="preserve"> komplikacijoms, todėl jų funkcijos slopinimas mažina KV komplikacijų (mirties, MI ir insulto) riziką.</w:t>
      </w:r>
    </w:p>
    <w:p w14:paraId="511B00DC"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3FCDEE0"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Be to, </w:t>
      </w:r>
      <w:proofErr w:type="spellStart"/>
      <w:r>
        <w:rPr>
          <w:rFonts w:eastAsia="TimesNewRoman"/>
          <w:snapToGrid/>
          <w:szCs w:val="22"/>
          <w:lang w:val="lt-LT"/>
        </w:rPr>
        <w:t>tikagreloras</w:t>
      </w:r>
      <w:proofErr w:type="spellEnd"/>
      <w:r>
        <w:rPr>
          <w:rFonts w:eastAsia="TimesNewRoman"/>
          <w:snapToGrid/>
          <w:szCs w:val="22"/>
          <w:lang w:val="lt-LT"/>
        </w:rPr>
        <w:t xml:space="preserve"> didina lokalią endogeninio </w:t>
      </w:r>
      <w:proofErr w:type="spellStart"/>
      <w:r>
        <w:rPr>
          <w:rFonts w:eastAsia="TimesNewRoman"/>
          <w:snapToGrid/>
          <w:szCs w:val="22"/>
          <w:lang w:val="lt-LT"/>
        </w:rPr>
        <w:t>adenozino</w:t>
      </w:r>
      <w:proofErr w:type="spellEnd"/>
      <w:r>
        <w:rPr>
          <w:rFonts w:eastAsia="TimesNewRoman"/>
          <w:snapToGrid/>
          <w:szCs w:val="22"/>
          <w:lang w:val="lt-LT"/>
        </w:rPr>
        <w:t xml:space="preserve"> koncentraciją, nes slopina </w:t>
      </w:r>
      <w:proofErr w:type="spellStart"/>
      <w:r>
        <w:rPr>
          <w:rFonts w:eastAsia="TimesNewRoman"/>
          <w:snapToGrid/>
          <w:szCs w:val="22"/>
          <w:lang w:val="lt-LT"/>
        </w:rPr>
        <w:t>pusiausvyrinį</w:t>
      </w:r>
      <w:proofErr w:type="spellEnd"/>
      <w:r>
        <w:rPr>
          <w:rFonts w:eastAsia="TimesNewRoman"/>
          <w:snapToGrid/>
          <w:szCs w:val="22"/>
          <w:lang w:val="lt-LT"/>
        </w:rPr>
        <w:t xml:space="preserve"> </w:t>
      </w:r>
      <w:proofErr w:type="spellStart"/>
      <w:r>
        <w:rPr>
          <w:rFonts w:eastAsia="TimesNewRoman"/>
          <w:snapToGrid/>
          <w:szCs w:val="22"/>
          <w:lang w:val="lt-LT"/>
        </w:rPr>
        <w:t>nukleozidų</w:t>
      </w:r>
      <w:proofErr w:type="spellEnd"/>
      <w:r>
        <w:rPr>
          <w:rFonts w:eastAsia="TimesNewRoman"/>
          <w:snapToGrid/>
          <w:szCs w:val="22"/>
          <w:lang w:val="lt-LT"/>
        </w:rPr>
        <w:t xml:space="preserve"> nešiklį 1 (angl. </w:t>
      </w:r>
      <w:proofErr w:type="spellStart"/>
      <w:r>
        <w:rPr>
          <w:rFonts w:eastAsia="TimesNewRoman"/>
          <w:i/>
          <w:iCs/>
          <w:snapToGrid/>
          <w:szCs w:val="22"/>
          <w:lang w:val="lt-LT"/>
        </w:rPr>
        <w:t>equilibrative</w:t>
      </w:r>
      <w:proofErr w:type="spellEnd"/>
      <w:r>
        <w:rPr>
          <w:rFonts w:eastAsia="TimesNewRoman"/>
          <w:i/>
          <w:iCs/>
          <w:snapToGrid/>
          <w:szCs w:val="22"/>
          <w:lang w:val="lt-LT"/>
        </w:rPr>
        <w:t xml:space="preserve"> </w:t>
      </w:r>
      <w:proofErr w:type="spellStart"/>
      <w:r>
        <w:rPr>
          <w:rFonts w:eastAsia="TimesNewRoman"/>
          <w:i/>
          <w:iCs/>
          <w:snapToGrid/>
          <w:szCs w:val="22"/>
          <w:lang w:val="lt-LT"/>
        </w:rPr>
        <w:t>nucleoside</w:t>
      </w:r>
      <w:proofErr w:type="spellEnd"/>
      <w:r>
        <w:rPr>
          <w:rFonts w:eastAsia="TimesNewRoman"/>
          <w:i/>
          <w:iCs/>
          <w:snapToGrid/>
          <w:szCs w:val="22"/>
          <w:lang w:val="lt-LT"/>
        </w:rPr>
        <w:t xml:space="preserve"> transporter-1</w:t>
      </w:r>
      <w:r>
        <w:rPr>
          <w:rFonts w:eastAsia="TimesNewRoman"/>
          <w:snapToGrid/>
          <w:szCs w:val="22"/>
          <w:lang w:val="lt-LT"/>
        </w:rPr>
        <w:t>, ENT-1).</w:t>
      </w:r>
    </w:p>
    <w:p w14:paraId="66FF00E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FD198D8" w14:textId="77777777" w:rsidR="009A4BFE" w:rsidRDefault="0051186A">
      <w:pPr>
        <w:tabs>
          <w:tab w:val="clear" w:pos="567"/>
        </w:tabs>
        <w:autoSpaceDE w:val="0"/>
        <w:autoSpaceDN w:val="0"/>
        <w:adjustRightInd w:val="0"/>
        <w:spacing w:line="240" w:lineRule="auto"/>
        <w:rPr>
          <w:szCs w:val="22"/>
          <w:lang w:val="lt-LT"/>
        </w:rPr>
      </w:pPr>
      <w:r>
        <w:rPr>
          <w:rFonts w:eastAsia="TimesNewRoman"/>
          <w:snapToGrid/>
          <w:szCs w:val="22"/>
          <w:lang w:val="lt-LT"/>
        </w:rPr>
        <w:t xml:space="preserve">Nustatyta, kad </w:t>
      </w:r>
      <w:proofErr w:type="spellStart"/>
      <w:r>
        <w:rPr>
          <w:rFonts w:eastAsia="TimesNewRoman"/>
          <w:snapToGrid/>
          <w:szCs w:val="22"/>
          <w:lang w:val="lt-LT"/>
        </w:rPr>
        <w:t>tikagreloras</w:t>
      </w:r>
      <w:proofErr w:type="spellEnd"/>
      <w:r>
        <w:rPr>
          <w:rFonts w:eastAsia="TimesNewRoman"/>
          <w:snapToGrid/>
          <w:szCs w:val="22"/>
          <w:lang w:val="lt-LT"/>
        </w:rPr>
        <w:t xml:space="preserve"> sustiprina šį </w:t>
      </w:r>
      <w:proofErr w:type="spellStart"/>
      <w:r>
        <w:rPr>
          <w:rFonts w:eastAsia="TimesNewRoman"/>
          <w:snapToGrid/>
          <w:szCs w:val="22"/>
          <w:lang w:val="lt-LT"/>
        </w:rPr>
        <w:t>adenozino</w:t>
      </w:r>
      <w:proofErr w:type="spellEnd"/>
      <w:r>
        <w:rPr>
          <w:rFonts w:eastAsia="TimesNewRoman"/>
          <w:snapToGrid/>
          <w:szCs w:val="22"/>
          <w:lang w:val="lt-LT"/>
        </w:rPr>
        <w:t xml:space="preserve"> poveikį sveikiems žmonėms ir ŪKS sergantiems pacientams: kraujagyslių išsiplėtimą (matuojamas pagal sveikų žmonių ir ŪKS sergančių pacientų koronarinės kraujotakos padidėjimą, galvos skausmą), trombocitų funkcijos slopinimą (neskaidytame žmogaus kraujyje </w:t>
      </w:r>
      <w:proofErr w:type="spellStart"/>
      <w:r>
        <w:rPr>
          <w:rFonts w:eastAsia="TimesNewRoman"/>
          <w:i/>
          <w:iCs/>
          <w:snapToGrid/>
          <w:szCs w:val="22"/>
          <w:lang w:val="lt-LT"/>
        </w:rPr>
        <w:t>in</w:t>
      </w:r>
      <w:proofErr w:type="spellEnd"/>
      <w:r>
        <w:rPr>
          <w:rFonts w:eastAsia="TimesNewRoman"/>
          <w:i/>
          <w:iCs/>
          <w:snapToGrid/>
          <w:szCs w:val="22"/>
          <w:lang w:val="lt-LT"/>
        </w:rPr>
        <w:t xml:space="preserve"> </w:t>
      </w:r>
      <w:proofErr w:type="spellStart"/>
      <w:r>
        <w:rPr>
          <w:rFonts w:eastAsia="TimesNewRoman"/>
          <w:i/>
          <w:iCs/>
          <w:snapToGrid/>
          <w:szCs w:val="22"/>
          <w:lang w:val="lt-LT"/>
        </w:rPr>
        <w:t>vitro</w:t>
      </w:r>
      <w:proofErr w:type="spellEnd"/>
      <w:r>
        <w:rPr>
          <w:rFonts w:eastAsia="TimesNewRoman"/>
          <w:snapToGrid/>
          <w:szCs w:val="22"/>
          <w:lang w:val="lt-LT"/>
        </w:rPr>
        <w:t xml:space="preserve">) ir dusulį. Vis dėlto ryšys tarp nustatyto </w:t>
      </w:r>
      <w:proofErr w:type="spellStart"/>
      <w:r>
        <w:rPr>
          <w:rFonts w:eastAsia="TimesNewRoman"/>
          <w:snapToGrid/>
          <w:szCs w:val="22"/>
          <w:lang w:val="lt-LT"/>
        </w:rPr>
        <w:t>adenozino</w:t>
      </w:r>
      <w:proofErr w:type="spellEnd"/>
      <w:r>
        <w:rPr>
          <w:rFonts w:eastAsia="TimesNewRoman"/>
          <w:snapToGrid/>
          <w:szCs w:val="22"/>
          <w:lang w:val="lt-LT"/>
        </w:rPr>
        <w:t xml:space="preserve"> koncentracijos padidėjimo ir klinikinių rezultatų (pvz., sergamumo ir mirštamumo) tiksliai neišaiškintas.</w:t>
      </w:r>
    </w:p>
    <w:p w14:paraId="06E17FE6" w14:textId="77777777" w:rsidR="009A4BFE" w:rsidRDefault="009A4BFE">
      <w:pPr>
        <w:rPr>
          <w:szCs w:val="22"/>
          <w:lang w:val="lt-LT"/>
        </w:rPr>
      </w:pPr>
    </w:p>
    <w:p w14:paraId="13F43D79" w14:textId="77777777" w:rsidR="009A4BFE" w:rsidRDefault="0051186A">
      <w:pPr>
        <w:keepNext/>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Farmakodinaminis</w:t>
      </w:r>
      <w:proofErr w:type="spellEnd"/>
      <w:r>
        <w:rPr>
          <w:rFonts w:eastAsia="TimesNewRoman"/>
          <w:snapToGrid/>
          <w:szCs w:val="22"/>
          <w:u w:val="single"/>
          <w:lang w:val="lt-LT"/>
        </w:rPr>
        <w:t xml:space="preserve"> poveikis</w:t>
      </w:r>
    </w:p>
    <w:p w14:paraId="1BE71729" w14:textId="77777777" w:rsidR="009A4BFE" w:rsidRDefault="0051186A">
      <w:pPr>
        <w:keepNext/>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Veikimo pradžia</w:t>
      </w:r>
    </w:p>
    <w:p w14:paraId="0B704F52" w14:textId="77777777" w:rsidR="009A4BFE" w:rsidRDefault="0051186A">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Stabilia išemine širdies liga (IŠL) sergantiems pacientams, vartojantiems </w:t>
      </w:r>
      <w:proofErr w:type="spellStart"/>
      <w:r>
        <w:rPr>
          <w:rFonts w:eastAsia="TimesNewRoman"/>
          <w:snapToGrid/>
          <w:szCs w:val="22"/>
          <w:lang w:val="lt-LT"/>
        </w:rPr>
        <w:t>acetilsalicilo</w:t>
      </w:r>
      <w:proofErr w:type="spellEnd"/>
      <w:r>
        <w:rPr>
          <w:rFonts w:eastAsia="TimesNewRoman"/>
          <w:snapToGrid/>
          <w:szCs w:val="22"/>
          <w:lang w:val="lt-LT"/>
        </w:rPr>
        <w:t xml:space="preserve"> rūgštį, </w:t>
      </w:r>
      <w:proofErr w:type="spellStart"/>
      <w:r>
        <w:rPr>
          <w:rFonts w:eastAsia="TimesNewRoman"/>
          <w:snapToGrid/>
          <w:szCs w:val="22"/>
          <w:lang w:val="lt-LT"/>
        </w:rPr>
        <w:t>tikagreloras</w:t>
      </w:r>
      <w:proofErr w:type="spellEnd"/>
      <w:r>
        <w:rPr>
          <w:rFonts w:eastAsia="TimesNewRoman"/>
          <w:snapToGrid/>
          <w:szCs w:val="22"/>
          <w:lang w:val="lt-LT"/>
        </w:rPr>
        <w:t xml:space="preserve"> greitai sukelia farmakologinį poveikį: jo sukeliamas vidutinis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slopinimas praėjus 30 min. po 180 mg įsotinimo dozės siekia apie 41 %, stipriausias (89 %) pasidaro</w:t>
      </w:r>
    </w:p>
    <w:p w14:paraId="6E9FC4F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praėjus 2-4 val. ir išlieka 2-8 val. po jos. 90 % pacientų, pavartojusių </w:t>
      </w:r>
      <w:proofErr w:type="spellStart"/>
      <w:r>
        <w:rPr>
          <w:rFonts w:eastAsia="TimesNewRoman"/>
          <w:snapToGrid/>
          <w:szCs w:val="22"/>
          <w:lang w:val="lt-LT"/>
        </w:rPr>
        <w:t>tikagreloro</w:t>
      </w:r>
      <w:proofErr w:type="spellEnd"/>
      <w:r>
        <w:rPr>
          <w:rFonts w:eastAsia="TimesNewRoman"/>
          <w:snapToGrid/>
          <w:szCs w:val="22"/>
          <w:lang w:val="lt-LT"/>
        </w:rPr>
        <w:t xml:space="preserve">, galutinis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slopinimas pasiekdavo &gt; 70 % per 2 val.</w:t>
      </w:r>
    </w:p>
    <w:p w14:paraId="02534EAF"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50FE503D" w14:textId="77777777" w:rsidR="009A4BFE" w:rsidRDefault="0051186A">
      <w:pPr>
        <w:keepNext/>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Veikimo pabaiga</w:t>
      </w:r>
    </w:p>
    <w:p w14:paraId="475904A3" w14:textId="77777777" w:rsidR="009A4BFE" w:rsidRDefault="0051186A">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Planuojant koronarinių arterijų šuntavimo procedūrą reikia atsižvelgti į tai, kad su </w:t>
      </w:r>
      <w:proofErr w:type="spellStart"/>
      <w:r>
        <w:rPr>
          <w:rFonts w:eastAsia="TimesNewRoman"/>
          <w:snapToGrid/>
          <w:szCs w:val="22"/>
          <w:lang w:val="lt-LT"/>
        </w:rPr>
        <w:t>tikagreloru</w:t>
      </w:r>
      <w:proofErr w:type="spellEnd"/>
      <w:r>
        <w:rPr>
          <w:rFonts w:eastAsia="TimesNewRoman"/>
          <w:snapToGrid/>
          <w:szCs w:val="22"/>
          <w:lang w:val="lt-LT"/>
        </w:rPr>
        <w:t xml:space="preserve"> susijusio kraujavimo rizika būna didesnė negu susijusio su </w:t>
      </w:r>
      <w:proofErr w:type="spellStart"/>
      <w:r>
        <w:rPr>
          <w:rFonts w:eastAsia="TimesNewRoman"/>
          <w:snapToGrid/>
          <w:szCs w:val="22"/>
          <w:lang w:val="lt-LT"/>
        </w:rPr>
        <w:t>klopidogreliu</w:t>
      </w:r>
      <w:proofErr w:type="spellEnd"/>
      <w:r>
        <w:rPr>
          <w:rFonts w:eastAsia="TimesNewRoman"/>
          <w:snapToGrid/>
          <w:szCs w:val="22"/>
          <w:lang w:val="lt-LT"/>
        </w:rPr>
        <w:t xml:space="preserve"> jo vartojimą nutraukus iki procedūros likus mažiau kaip 96 val.</w:t>
      </w:r>
    </w:p>
    <w:p w14:paraId="3D13AED7"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37274ED7"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Keitimo duomenys</w:t>
      </w:r>
    </w:p>
    <w:p w14:paraId="7A0854AF" w14:textId="77777777" w:rsidR="009A4BFE" w:rsidRDefault="0051186A">
      <w:pPr>
        <w:tabs>
          <w:tab w:val="clear" w:pos="567"/>
        </w:tabs>
        <w:autoSpaceDE w:val="0"/>
        <w:autoSpaceDN w:val="0"/>
        <w:adjustRightInd w:val="0"/>
        <w:spacing w:line="240" w:lineRule="auto"/>
        <w:rPr>
          <w:szCs w:val="22"/>
          <w:lang w:val="lt-LT"/>
        </w:rPr>
      </w:pPr>
      <w:r>
        <w:rPr>
          <w:rFonts w:eastAsia="TimesNewRoman"/>
          <w:snapToGrid/>
          <w:szCs w:val="22"/>
          <w:lang w:val="lt-LT"/>
        </w:rPr>
        <w:t xml:space="preserve">75 mg </w:t>
      </w:r>
      <w:proofErr w:type="spellStart"/>
      <w:r>
        <w:rPr>
          <w:rFonts w:eastAsia="TimesNewRoman"/>
          <w:snapToGrid/>
          <w:szCs w:val="22"/>
          <w:lang w:val="lt-LT"/>
        </w:rPr>
        <w:t>klopidogrelio</w:t>
      </w:r>
      <w:proofErr w:type="spellEnd"/>
      <w:r>
        <w:rPr>
          <w:rFonts w:eastAsia="TimesNewRoman"/>
          <w:snapToGrid/>
          <w:szCs w:val="22"/>
          <w:lang w:val="lt-LT"/>
        </w:rPr>
        <w:t xml:space="preserve"> pakeitus į 90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absoliutus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slopinimas sustiprėja 26,4 %, o </w:t>
      </w:r>
      <w:proofErr w:type="spellStart"/>
      <w:r>
        <w:rPr>
          <w:rFonts w:eastAsia="TimesNewRoman"/>
          <w:snapToGrid/>
          <w:szCs w:val="22"/>
          <w:lang w:val="lt-LT"/>
        </w:rPr>
        <w:t>tikagrelorą</w:t>
      </w:r>
      <w:proofErr w:type="spellEnd"/>
      <w:r>
        <w:rPr>
          <w:rFonts w:eastAsia="TimesNewRoman"/>
          <w:snapToGrid/>
          <w:szCs w:val="22"/>
          <w:lang w:val="lt-LT"/>
        </w:rPr>
        <w:t xml:space="preserve"> pakeitus </w:t>
      </w:r>
      <w:proofErr w:type="spellStart"/>
      <w:r>
        <w:rPr>
          <w:rFonts w:eastAsia="TimesNewRoman"/>
          <w:snapToGrid/>
          <w:szCs w:val="22"/>
          <w:lang w:val="lt-LT"/>
        </w:rPr>
        <w:t>klopidogreliu</w:t>
      </w:r>
      <w:proofErr w:type="spellEnd"/>
      <w:r>
        <w:rPr>
          <w:rFonts w:eastAsia="TimesNewRoman"/>
          <w:snapToGrid/>
          <w:szCs w:val="22"/>
          <w:lang w:val="lt-LT"/>
        </w:rPr>
        <w:t xml:space="preserve"> – susilpnėja 24,5 %. </w:t>
      </w:r>
      <w:proofErr w:type="spellStart"/>
      <w:r>
        <w:rPr>
          <w:rFonts w:eastAsia="TimesNewRoman"/>
          <w:snapToGrid/>
          <w:szCs w:val="22"/>
          <w:lang w:val="lt-LT"/>
        </w:rPr>
        <w:t>Klopidogrelį</w:t>
      </w:r>
      <w:proofErr w:type="spellEnd"/>
      <w:r>
        <w:rPr>
          <w:rFonts w:eastAsia="TimesNewRoman"/>
          <w:snapToGrid/>
          <w:szCs w:val="22"/>
          <w:lang w:val="lt-LT"/>
        </w:rPr>
        <w:t xml:space="preserve"> galima pakeisti </w:t>
      </w:r>
      <w:proofErr w:type="spellStart"/>
      <w:r>
        <w:rPr>
          <w:rFonts w:eastAsia="TimesNewRoman"/>
          <w:snapToGrid/>
          <w:szCs w:val="22"/>
          <w:lang w:val="lt-LT"/>
        </w:rPr>
        <w:t>tikagreloru</w:t>
      </w:r>
      <w:proofErr w:type="spellEnd"/>
      <w:r>
        <w:rPr>
          <w:rFonts w:eastAsia="TimesNewRoman"/>
          <w:snapToGrid/>
          <w:szCs w:val="22"/>
          <w:lang w:val="lt-LT"/>
        </w:rPr>
        <w:t xml:space="preserve"> be </w:t>
      </w:r>
      <w:proofErr w:type="spellStart"/>
      <w:r>
        <w:rPr>
          <w:rFonts w:eastAsia="TimesNewRoman"/>
          <w:snapToGrid/>
          <w:szCs w:val="22"/>
          <w:lang w:val="lt-LT"/>
        </w:rPr>
        <w:t>antitrombocitinio</w:t>
      </w:r>
      <w:proofErr w:type="spellEnd"/>
      <w:r>
        <w:rPr>
          <w:rFonts w:eastAsia="TimesNewRoman"/>
          <w:snapToGrid/>
          <w:szCs w:val="22"/>
          <w:lang w:val="lt-LT"/>
        </w:rPr>
        <w:t xml:space="preserve"> poveikio pertraukos (žr. 4.2 skyrių).</w:t>
      </w:r>
      <w:r>
        <w:rPr>
          <w:szCs w:val="22"/>
          <w:lang w:val="lt-LT"/>
        </w:rPr>
        <w:t xml:space="preserve"> </w:t>
      </w:r>
    </w:p>
    <w:p w14:paraId="2CA5C1D3" w14:textId="77777777" w:rsidR="009A4BFE" w:rsidRDefault="009A4BFE">
      <w:pPr>
        <w:rPr>
          <w:szCs w:val="22"/>
          <w:lang w:val="lt-LT"/>
        </w:rPr>
      </w:pPr>
    </w:p>
    <w:p w14:paraId="6E09860E"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Klinikinis veiksmingumas ir saugumas</w:t>
      </w:r>
    </w:p>
    <w:p w14:paraId="7E68AF15"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veiksmingumo ir saugumo klinikiniai duomenys gauti dviejų 3 fazės tyrimų metu:</w:t>
      </w:r>
    </w:p>
    <w:p w14:paraId="1111BD55"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0990D5D" w14:textId="77777777" w:rsidR="009A4BFE" w:rsidRDefault="0051186A">
      <w:pPr>
        <w:numPr>
          <w:ilvl w:val="0"/>
          <w:numId w:val="3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PLATO (angl. </w:t>
      </w:r>
      <w:proofErr w:type="spellStart"/>
      <w:r>
        <w:rPr>
          <w:rFonts w:eastAsia="TimesNewRoman"/>
          <w:i/>
          <w:snapToGrid/>
          <w:szCs w:val="22"/>
          <w:u w:val="single"/>
          <w:lang w:val="lt-LT"/>
        </w:rPr>
        <w:t>PLAT</w:t>
      </w:r>
      <w:r>
        <w:rPr>
          <w:rFonts w:eastAsia="TimesNewRoman"/>
          <w:i/>
          <w:snapToGrid/>
          <w:szCs w:val="22"/>
          <w:lang w:val="lt-LT"/>
        </w:rPr>
        <w:t>elet</w:t>
      </w:r>
      <w:proofErr w:type="spellEnd"/>
      <w:r>
        <w:rPr>
          <w:rFonts w:eastAsia="TimesNewRoman"/>
          <w:i/>
          <w:snapToGrid/>
          <w:szCs w:val="22"/>
          <w:lang w:val="lt-LT"/>
        </w:rPr>
        <w:t xml:space="preserve"> </w:t>
      </w:r>
      <w:proofErr w:type="spellStart"/>
      <w:r>
        <w:rPr>
          <w:rFonts w:eastAsia="TimesNewRoman"/>
          <w:i/>
          <w:snapToGrid/>
          <w:szCs w:val="22"/>
          <w:lang w:val="lt-LT"/>
        </w:rPr>
        <w:t>Inhibition</w:t>
      </w:r>
      <w:proofErr w:type="spellEnd"/>
      <w:r>
        <w:rPr>
          <w:rFonts w:eastAsia="TimesNewRoman"/>
          <w:i/>
          <w:snapToGrid/>
          <w:szCs w:val="22"/>
          <w:lang w:val="lt-LT"/>
        </w:rPr>
        <w:t xml:space="preserve"> </w:t>
      </w:r>
      <w:proofErr w:type="spellStart"/>
      <w:r>
        <w:rPr>
          <w:rFonts w:eastAsia="TimesNewRoman"/>
          <w:i/>
          <w:snapToGrid/>
          <w:szCs w:val="22"/>
          <w:lang w:val="lt-LT"/>
        </w:rPr>
        <w:t>and</w:t>
      </w:r>
      <w:proofErr w:type="spellEnd"/>
      <w:r>
        <w:rPr>
          <w:rFonts w:eastAsia="TimesNewRoman"/>
          <w:i/>
          <w:snapToGrid/>
          <w:szCs w:val="22"/>
          <w:lang w:val="lt-LT"/>
        </w:rPr>
        <w:t xml:space="preserve"> </w:t>
      </w:r>
      <w:proofErr w:type="spellStart"/>
      <w:r>
        <w:rPr>
          <w:rFonts w:eastAsia="TimesNewRoman"/>
          <w:i/>
          <w:snapToGrid/>
          <w:szCs w:val="22"/>
          <w:lang w:val="lt-LT"/>
        </w:rPr>
        <w:t>Patient</w:t>
      </w:r>
      <w:proofErr w:type="spellEnd"/>
      <w:r>
        <w:rPr>
          <w:rFonts w:eastAsia="TimesNewRoman"/>
          <w:i/>
          <w:snapToGrid/>
          <w:szCs w:val="22"/>
          <w:lang w:val="lt-LT"/>
        </w:rPr>
        <w:t xml:space="preserve"> </w:t>
      </w:r>
      <w:proofErr w:type="spellStart"/>
      <w:r>
        <w:rPr>
          <w:rFonts w:eastAsia="TimesNewRoman"/>
          <w:i/>
          <w:snapToGrid/>
          <w:szCs w:val="22"/>
          <w:u w:val="single"/>
          <w:lang w:val="lt-LT"/>
        </w:rPr>
        <w:t>O</w:t>
      </w:r>
      <w:r>
        <w:rPr>
          <w:rFonts w:eastAsia="TimesNewRoman"/>
          <w:i/>
          <w:snapToGrid/>
          <w:szCs w:val="22"/>
          <w:lang w:val="lt-LT"/>
        </w:rPr>
        <w:t>utcomes</w:t>
      </w:r>
      <w:proofErr w:type="spellEnd"/>
      <w:r>
        <w:rPr>
          <w:rFonts w:eastAsia="TimesNewRoman"/>
          <w:snapToGrid/>
          <w:szCs w:val="22"/>
          <w:lang w:val="lt-LT"/>
        </w:rPr>
        <w:t xml:space="preserve"> – trombocitų funkcijos slopinimo ir pacientų vertinamųjų baigčių) tyrimo, kurio metu lygintas </w:t>
      </w:r>
      <w:proofErr w:type="spellStart"/>
      <w:r>
        <w:rPr>
          <w:rFonts w:eastAsia="TimesNewRoman"/>
          <w:snapToGrid/>
          <w:szCs w:val="22"/>
          <w:lang w:val="lt-LT"/>
        </w:rPr>
        <w:t>tikagreloro</w:t>
      </w:r>
      <w:proofErr w:type="spellEnd"/>
      <w:r>
        <w:rPr>
          <w:rFonts w:eastAsia="TimesNewRoman"/>
          <w:snapToGrid/>
          <w:szCs w:val="22"/>
          <w:lang w:val="lt-LT"/>
        </w:rPr>
        <w:t xml:space="preserve"> ir </w:t>
      </w:r>
      <w:proofErr w:type="spellStart"/>
      <w:r>
        <w:rPr>
          <w:rFonts w:eastAsia="TimesNewRoman"/>
          <w:snapToGrid/>
          <w:szCs w:val="22"/>
          <w:lang w:val="lt-LT"/>
        </w:rPr>
        <w:t>klopidogrelio</w:t>
      </w:r>
      <w:proofErr w:type="spellEnd"/>
      <w:r>
        <w:rPr>
          <w:rFonts w:eastAsia="TimesNewRoman"/>
          <w:snapToGrid/>
          <w:szCs w:val="22"/>
          <w:lang w:val="lt-LT"/>
        </w:rPr>
        <w:t xml:space="preserve"> poveikis kiekvieną iš jų derinant su ASR ir kitu įprastiniu gydymu;</w:t>
      </w:r>
    </w:p>
    <w:p w14:paraId="3AA29E6C" w14:textId="77777777" w:rsidR="009A4BFE" w:rsidRDefault="0051186A">
      <w:pPr>
        <w:numPr>
          <w:ilvl w:val="0"/>
          <w:numId w:val="37"/>
        </w:numPr>
        <w:tabs>
          <w:tab w:val="clear" w:pos="567"/>
        </w:tabs>
        <w:autoSpaceDE w:val="0"/>
        <w:autoSpaceDN w:val="0"/>
        <w:adjustRightInd w:val="0"/>
        <w:spacing w:line="240" w:lineRule="auto"/>
        <w:ind w:left="567" w:hanging="567"/>
        <w:rPr>
          <w:szCs w:val="22"/>
          <w:lang w:val="lt-LT"/>
        </w:rPr>
      </w:pPr>
      <w:r>
        <w:rPr>
          <w:rFonts w:eastAsia="TimesNewRoman"/>
          <w:snapToGrid/>
          <w:szCs w:val="22"/>
          <w:lang w:val="lt-LT"/>
        </w:rPr>
        <w:t xml:space="preserve">PEGASUS TIMI-54 (angl. </w:t>
      </w:r>
      <w:proofErr w:type="spellStart"/>
      <w:r>
        <w:rPr>
          <w:rFonts w:eastAsia="TimesNewRoman"/>
          <w:i/>
          <w:snapToGrid/>
          <w:szCs w:val="22"/>
          <w:u w:val="single"/>
          <w:lang w:val="lt-LT"/>
        </w:rPr>
        <w:t>P</w:t>
      </w:r>
      <w:r>
        <w:rPr>
          <w:rFonts w:eastAsia="TimesNewRoman"/>
          <w:i/>
          <w:snapToGrid/>
          <w:szCs w:val="22"/>
          <w:lang w:val="lt-LT"/>
        </w:rPr>
        <w:t>r</w:t>
      </w:r>
      <w:r>
        <w:rPr>
          <w:rFonts w:eastAsia="TimesNewRoman"/>
          <w:i/>
          <w:snapToGrid/>
          <w:szCs w:val="22"/>
          <w:u w:val="single"/>
          <w:lang w:val="lt-LT"/>
        </w:rPr>
        <w:t>E</w:t>
      </w:r>
      <w:r>
        <w:rPr>
          <w:rFonts w:eastAsia="TimesNewRoman"/>
          <w:i/>
          <w:snapToGrid/>
          <w:szCs w:val="22"/>
          <w:lang w:val="lt-LT"/>
        </w:rPr>
        <w:t>vention</w:t>
      </w:r>
      <w:proofErr w:type="spellEnd"/>
      <w:r>
        <w:rPr>
          <w:rFonts w:eastAsia="TimesNewRoman"/>
          <w:i/>
          <w:snapToGrid/>
          <w:szCs w:val="22"/>
          <w:lang w:val="lt-LT"/>
        </w:rPr>
        <w:t xml:space="preserve"> </w:t>
      </w:r>
      <w:proofErr w:type="spellStart"/>
      <w:r>
        <w:rPr>
          <w:rFonts w:eastAsia="TimesNewRoman"/>
          <w:i/>
          <w:snapToGrid/>
          <w:szCs w:val="22"/>
          <w:lang w:val="lt-LT"/>
        </w:rPr>
        <w:t>with</w:t>
      </w:r>
      <w:proofErr w:type="spellEnd"/>
      <w:r>
        <w:rPr>
          <w:rFonts w:eastAsia="TimesNewRoman"/>
          <w:i/>
          <w:snapToGrid/>
          <w:szCs w:val="22"/>
          <w:lang w:val="lt-LT"/>
        </w:rPr>
        <w:t xml:space="preserve"> </w:t>
      </w:r>
      <w:proofErr w:type="spellStart"/>
      <w:r>
        <w:rPr>
          <w:rFonts w:eastAsia="TimesNewRoman"/>
          <w:i/>
          <w:snapToGrid/>
          <w:szCs w:val="22"/>
          <w:lang w:val="lt-LT"/>
        </w:rPr>
        <w:t>Tica</w:t>
      </w:r>
      <w:r>
        <w:rPr>
          <w:rFonts w:eastAsia="TimesNewRoman"/>
          <w:i/>
          <w:snapToGrid/>
          <w:szCs w:val="22"/>
          <w:u w:val="single"/>
          <w:lang w:val="lt-LT"/>
        </w:rPr>
        <w:t>G</w:t>
      </w:r>
      <w:r>
        <w:rPr>
          <w:rFonts w:eastAsia="TimesNewRoman"/>
          <w:i/>
          <w:snapToGrid/>
          <w:szCs w:val="22"/>
          <w:lang w:val="lt-LT"/>
        </w:rPr>
        <w:t>relor</w:t>
      </w:r>
      <w:proofErr w:type="spellEnd"/>
      <w:r>
        <w:rPr>
          <w:rFonts w:eastAsia="TimesNewRoman"/>
          <w:i/>
          <w:snapToGrid/>
          <w:szCs w:val="22"/>
          <w:lang w:val="lt-LT"/>
        </w:rPr>
        <w:t xml:space="preserve"> </w:t>
      </w:r>
      <w:proofErr w:type="spellStart"/>
      <w:r>
        <w:rPr>
          <w:rFonts w:eastAsia="TimesNewRoman"/>
          <w:i/>
          <w:snapToGrid/>
          <w:szCs w:val="22"/>
          <w:lang w:val="lt-LT"/>
        </w:rPr>
        <w:t>of</w:t>
      </w:r>
      <w:proofErr w:type="spellEnd"/>
      <w:r>
        <w:rPr>
          <w:rFonts w:eastAsia="TimesNewRoman"/>
          <w:i/>
          <w:snapToGrid/>
          <w:szCs w:val="22"/>
          <w:lang w:val="lt-LT"/>
        </w:rPr>
        <w:t xml:space="preserve"> </w:t>
      </w:r>
      <w:proofErr w:type="spellStart"/>
      <w:r>
        <w:rPr>
          <w:rFonts w:eastAsia="TimesNewRoman"/>
          <w:i/>
          <w:snapToGrid/>
          <w:szCs w:val="22"/>
          <w:lang w:val="lt-LT"/>
        </w:rPr>
        <w:t>Second</w:t>
      </w:r>
      <w:r>
        <w:rPr>
          <w:rFonts w:eastAsia="TimesNewRoman"/>
          <w:i/>
          <w:snapToGrid/>
          <w:szCs w:val="22"/>
          <w:u w:val="single"/>
          <w:lang w:val="lt-LT"/>
        </w:rPr>
        <w:t>A</w:t>
      </w:r>
      <w:r>
        <w:rPr>
          <w:rFonts w:eastAsia="TimesNewRoman"/>
          <w:i/>
          <w:snapToGrid/>
          <w:szCs w:val="22"/>
          <w:lang w:val="lt-LT"/>
        </w:rPr>
        <w:t>ry</w:t>
      </w:r>
      <w:proofErr w:type="spellEnd"/>
      <w:r>
        <w:rPr>
          <w:rFonts w:eastAsia="TimesNewRoman"/>
          <w:i/>
          <w:snapToGrid/>
          <w:szCs w:val="22"/>
          <w:lang w:val="lt-LT"/>
        </w:rPr>
        <w:t xml:space="preserve"> </w:t>
      </w:r>
      <w:proofErr w:type="spellStart"/>
      <w:r>
        <w:rPr>
          <w:rFonts w:eastAsia="TimesNewRoman"/>
          <w:i/>
          <w:snapToGrid/>
          <w:szCs w:val="22"/>
          <w:lang w:val="lt-LT"/>
        </w:rPr>
        <w:t>Thrombotic</w:t>
      </w:r>
      <w:proofErr w:type="spellEnd"/>
      <w:r>
        <w:rPr>
          <w:rFonts w:eastAsia="TimesNewRoman"/>
          <w:i/>
          <w:snapToGrid/>
          <w:szCs w:val="22"/>
          <w:lang w:val="lt-LT"/>
        </w:rPr>
        <w:t xml:space="preserve"> </w:t>
      </w:r>
      <w:proofErr w:type="spellStart"/>
      <w:r>
        <w:rPr>
          <w:rFonts w:eastAsia="TimesNewRoman"/>
          <w:i/>
          <w:snapToGrid/>
          <w:szCs w:val="22"/>
          <w:lang w:val="lt-LT"/>
        </w:rPr>
        <w:t>Events</w:t>
      </w:r>
      <w:proofErr w:type="spellEnd"/>
      <w:r>
        <w:rPr>
          <w:rFonts w:eastAsia="TimesNewRoman"/>
          <w:i/>
          <w:snapToGrid/>
          <w:szCs w:val="22"/>
          <w:lang w:val="lt-LT"/>
        </w:rPr>
        <w:t xml:space="preserve"> </w:t>
      </w:r>
      <w:proofErr w:type="spellStart"/>
      <w:r>
        <w:rPr>
          <w:rFonts w:eastAsia="TimesNewRoman"/>
          <w:i/>
          <w:snapToGrid/>
          <w:szCs w:val="22"/>
          <w:lang w:val="lt-LT"/>
        </w:rPr>
        <w:t>in</w:t>
      </w:r>
      <w:proofErr w:type="spellEnd"/>
      <w:r>
        <w:rPr>
          <w:rFonts w:eastAsia="TimesNewRoman"/>
          <w:i/>
          <w:snapToGrid/>
          <w:szCs w:val="22"/>
          <w:lang w:val="lt-LT"/>
        </w:rPr>
        <w:t xml:space="preserve"> </w:t>
      </w:r>
      <w:proofErr w:type="spellStart"/>
      <w:r>
        <w:rPr>
          <w:rFonts w:eastAsia="TimesNewRoman"/>
          <w:i/>
          <w:snapToGrid/>
          <w:szCs w:val="22"/>
          <w:lang w:val="lt-LT"/>
        </w:rPr>
        <w:t>High-Ri</w:t>
      </w:r>
      <w:r>
        <w:rPr>
          <w:rFonts w:eastAsia="TimesNewRoman"/>
          <w:i/>
          <w:snapToGrid/>
          <w:szCs w:val="22"/>
          <w:u w:val="single"/>
          <w:lang w:val="lt-LT"/>
        </w:rPr>
        <w:t>S</w:t>
      </w:r>
      <w:r>
        <w:rPr>
          <w:rFonts w:eastAsia="TimesNewRoman"/>
          <w:i/>
          <w:snapToGrid/>
          <w:szCs w:val="22"/>
          <w:lang w:val="lt-LT"/>
        </w:rPr>
        <w:t>k</w:t>
      </w:r>
      <w:proofErr w:type="spellEnd"/>
      <w:r>
        <w:rPr>
          <w:rFonts w:eastAsia="TimesNewRoman"/>
          <w:i/>
          <w:snapToGrid/>
          <w:szCs w:val="22"/>
          <w:lang w:val="lt-LT"/>
        </w:rPr>
        <w:t xml:space="preserve"> </w:t>
      </w:r>
      <w:proofErr w:type="spellStart"/>
      <w:r>
        <w:rPr>
          <w:rFonts w:eastAsia="TimesNewRoman"/>
          <w:i/>
          <w:snapToGrid/>
          <w:szCs w:val="22"/>
          <w:lang w:val="lt-LT"/>
        </w:rPr>
        <w:t>Ac</w:t>
      </w:r>
      <w:r>
        <w:rPr>
          <w:rFonts w:eastAsia="TimesNewRoman"/>
          <w:i/>
          <w:snapToGrid/>
          <w:szCs w:val="22"/>
          <w:u w:val="single"/>
          <w:lang w:val="lt-LT"/>
        </w:rPr>
        <w:t>U</w:t>
      </w:r>
      <w:r>
        <w:rPr>
          <w:rFonts w:eastAsia="TimesNewRoman"/>
          <w:i/>
          <w:snapToGrid/>
          <w:szCs w:val="22"/>
          <w:lang w:val="lt-LT"/>
        </w:rPr>
        <w:t>te</w:t>
      </w:r>
      <w:proofErr w:type="spellEnd"/>
      <w:r>
        <w:rPr>
          <w:rFonts w:eastAsia="TimesNewRoman"/>
          <w:i/>
          <w:snapToGrid/>
          <w:szCs w:val="22"/>
          <w:lang w:val="lt-LT"/>
        </w:rPr>
        <w:t xml:space="preserve">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u w:val="single"/>
          <w:lang w:val="lt-LT"/>
        </w:rPr>
        <w:t>S</w:t>
      </w:r>
      <w:r>
        <w:rPr>
          <w:rFonts w:eastAsia="TimesNewRoman"/>
          <w:i/>
          <w:snapToGrid/>
          <w:szCs w:val="22"/>
          <w:lang w:val="lt-LT"/>
        </w:rPr>
        <w:t>yndrome</w:t>
      </w:r>
      <w:proofErr w:type="spellEnd"/>
      <w:r>
        <w:rPr>
          <w:rFonts w:eastAsia="TimesNewRoman"/>
          <w:i/>
          <w:snapToGrid/>
          <w:szCs w:val="22"/>
          <w:lang w:val="lt-LT"/>
        </w:rPr>
        <w:t xml:space="preserve"> </w:t>
      </w:r>
      <w:proofErr w:type="spellStart"/>
      <w:r>
        <w:rPr>
          <w:rFonts w:eastAsia="TimesNewRoman"/>
          <w:i/>
          <w:snapToGrid/>
          <w:szCs w:val="22"/>
          <w:lang w:val="lt-LT"/>
        </w:rPr>
        <w:t>Patients</w:t>
      </w:r>
      <w:proofErr w:type="spellEnd"/>
      <w:r>
        <w:rPr>
          <w:rFonts w:eastAsia="TimesNewRoman"/>
          <w:snapToGrid/>
          <w:szCs w:val="22"/>
          <w:lang w:val="lt-LT"/>
        </w:rPr>
        <w:t xml:space="preserve"> – antrinių trombozės reiškinių profilaktika </w:t>
      </w:r>
      <w:proofErr w:type="spellStart"/>
      <w:r>
        <w:rPr>
          <w:rFonts w:eastAsia="TimesNewRoman"/>
          <w:snapToGrid/>
          <w:szCs w:val="22"/>
          <w:lang w:val="lt-LT"/>
        </w:rPr>
        <w:t>tikagreloru</w:t>
      </w:r>
      <w:proofErr w:type="spellEnd"/>
      <w:r>
        <w:rPr>
          <w:rFonts w:eastAsia="TimesNewRoman"/>
          <w:snapToGrid/>
          <w:szCs w:val="22"/>
          <w:lang w:val="lt-LT"/>
        </w:rPr>
        <w:t xml:space="preserve"> ūminiu koronariniu sindromu sergantiems pacientams, turintiems didelę riziką) tyrimo, kurio metu lygintas </w:t>
      </w:r>
      <w:proofErr w:type="spellStart"/>
      <w:r>
        <w:rPr>
          <w:rFonts w:eastAsia="TimesNewRoman"/>
          <w:snapToGrid/>
          <w:szCs w:val="22"/>
          <w:lang w:val="lt-LT"/>
        </w:rPr>
        <w:t>tikagreloro</w:t>
      </w:r>
      <w:proofErr w:type="spellEnd"/>
      <w:r>
        <w:rPr>
          <w:rFonts w:eastAsia="TimesNewRoman"/>
          <w:snapToGrid/>
          <w:szCs w:val="22"/>
          <w:lang w:val="lt-LT"/>
        </w:rPr>
        <w:t xml:space="preserve"> derinio su ASR ir vien ASR poveikis.</w:t>
      </w:r>
    </w:p>
    <w:p w14:paraId="0BA475F8" w14:textId="77777777" w:rsidR="009A4BFE" w:rsidRDefault="009A4BFE">
      <w:pPr>
        <w:tabs>
          <w:tab w:val="clear" w:pos="567"/>
        </w:tabs>
        <w:autoSpaceDE w:val="0"/>
        <w:autoSpaceDN w:val="0"/>
        <w:adjustRightInd w:val="0"/>
        <w:spacing w:line="240" w:lineRule="auto"/>
        <w:rPr>
          <w:rFonts w:ascii="TimesNewRoman,Italic" w:eastAsia="Calibri" w:hAnsi="TimesNewRoman,Italic" w:cs="TimesNewRoman,Italic"/>
          <w:i/>
          <w:iCs/>
          <w:snapToGrid/>
          <w:szCs w:val="22"/>
          <w:lang w:val="lt-LT"/>
        </w:rPr>
      </w:pPr>
    </w:p>
    <w:p w14:paraId="3F4E71AD" w14:textId="77777777" w:rsidR="009A4BFE" w:rsidRPr="0022257B" w:rsidRDefault="0051186A">
      <w:pPr>
        <w:tabs>
          <w:tab w:val="clear" w:pos="567"/>
        </w:tabs>
        <w:autoSpaceDE w:val="0"/>
        <w:autoSpaceDN w:val="0"/>
        <w:adjustRightInd w:val="0"/>
        <w:spacing w:line="240" w:lineRule="auto"/>
        <w:rPr>
          <w:rFonts w:eastAsia="Calibri"/>
          <w:i/>
          <w:iCs/>
          <w:snapToGrid/>
          <w:szCs w:val="22"/>
          <w:u w:val="single"/>
          <w:lang w:val="lt-LT"/>
        </w:rPr>
      </w:pPr>
      <w:r w:rsidRPr="0022257B">
        <w:rPr>
          <w:rFonts w:eastAsia="Calibri"/>
          <w:i/>
          <w:iCs/>
          <w:snapToGrid/>
          <w:szCs w:val="22"/>
          <w:u w:val="single"/>
          <w:lang w:val="lt-LT"/>
        </w:rPr>
        <w:t>PLATO tyrimas (ūminiai koronariniai sindromai)</w:t>
      </w:r>
    </w:p>
    <w:p w14:paraId="3F6BD7BC" w14:textId="77777777" w:rsidR="009A4BFE" w:rsidRDefault="009A4BFE">
      <w:pPr>
        <w:tabs>
          <w:tab w:val="clear" w:pos="567"/>
        </w:tabs>
        <w:autoSpaceDE w:val="0"/>
        <w:autoSpaceDN w:val="0"/>
        <w:adjustRightInd w:val="0"/>
        <w:spacing w:line="240" w:lineRule="auto"/>
        <w:rPr>
          <w:rFonts w:ascii="TimesNewRoman,Italic" w:eastAsia="Calibri" w:hAnsi="TimesNewRoman,Italic" w:cs="TimesNewRoman,Italic"/>
          <w:i/>
          <w:iCs/>
          <w:snapToGrid/>
          <w:szCs w:val="22"/>
          <w:u w:val="single"/>
          <w:lang w:val="lt-LT"/>
        </w:rPr>
      </w:pPr>
    </w:p>
    <w:p w14:paraId="274011A1" w14:textId="37AC202E"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PLATO tyrime dalyvavo 18</w:t>
      </w:r>
      <w:r w:rsidR="00635EF3">
        <w:rPr>
          <w:rFonts w:eastAsia="TimesNewRoman"/>
          <w:snapToGrid/>
          <w:szCs w:val="22"/>
          <w:lang w:val="lt-LT"/>
        </w:rPr>
        <w:t> </w:t>
      </w:r>
      <w:r>
        <w:rPr>
          <w:rFonts w:eastAsia="TimesNewRoman"/>
          <w:snapToGrid/>
          <w:szCs w:val="22"/>
          <w:lang w:val="lt-LT"/>
        </w:rPr>
        <w:t xml:space="preserve">624 pacientai, kurie kreipęsi per 24 val. nuo nestabilios krūtinės anginos, miokardo infarkto be ST pakilimo (angl. </w:t>
      </w:r>
      <w:proofErr w:type="spellStart"/>
      <w:r>
        <w:rPr>
          <w:rFonts w:eastAsia="TimesNewRoman"/>
          <w:i/>
          <w:snapToGrid/>
          <w:szCs w:val="22"/>
          <w:lang w:val="lt-LT"/>
        </w:rPr>
        <w:t>non</w:t>
      </w:r>
      <w:proofErr w:type="spellEnd"/>
      <w:r>
        <w:rPr>
          <w:rFonts w:eastAsia="TimesNewRoman"/>
          <w:i/>
          <w:snapToGrid/>
          <w:szCs w:val="22"/>
          <w:lang w:val="lt-LT"/>
        </w:rPr>
        <w:t xml:space="preserve"> ST </w:t>
      </w:r>
      <w:proofErr w:type="spellStart"/>
      <w:r>
        <w:rPr>
          <w:rFonts w:eastAsia="TimesNewRoman"/>
          <w:i/>
          <w:snapToGrid/>
          <w:szCs w:val="22"/>
          <w:lang w:val="lt-LT"/>
        </w:rPr>
        <w:t>elevation</w:t>
      </w:r>
      <w:proofErr w:type="spellEnd"/>
      <w:r>
        <w:rPr>
          <w:rFonts w:eastAsia="TimesNewRoman"/>
          <w:i/>
          <w:snapToGrid/>
          <w:szCs w:val="22"/>
          <w:lang w:val="lt-LT"/>
        </w:rPr>
        <w:t xml:space="preserve"> </w:t>
      </w:r>
      <w:proofErr w:type="spellStart"/>
      <w:r>
        <w:rPr>
          <w:rFonts w:eastAsia="TimesNewRoman"/>
          <w:i/>
          <w:snapToGrid/>
          <w:szCs w:val="22"/>
          <w:lang w:val="lt-LT"/>
        </w:rPr>
        <w:t>myocardial</w:t>
      </w:r>
      <w:proofErr w:type="spellEnd"/>
      <w:r>
        <w:rPr>
          <w:rFonts w:eastAsia="TimesNewRoman"/>
          <w:i/>
          <w:snapToGrid/>
          <w:szCs w:val="22"/>
          <w:lang w:val="lt-LT"/>
        </w:rPr>
        <w:t xml:space="preserve"> </w:t>
      </w:r>
      <w:proofErr w:type="spellStart"/>
      <w:r>
        <w:rPr>
          <w:rFonts w:eastAsia="TimesNewRoman"/>
          <w:i/>
          <w:snapToGrid/>
          <w:szCs w:val="22"/>
          <w:lang w:val="lt-LT"/>
        </w:rPr>
        <w:t>infarction</w:t>
      </w:r>
      <w:proofErr w:type="spellEnd"/>
      <w:r>
        <w:rPr>
          <w:rFonts w:eastAsia="TimesNewRoman"/>
          <w:i/>
          <w:snapToGrid/>
          <w:szCs w:val="22"/>
          <w:lang w:val="lt-LT"/>
        </w:rPr>
        <w:t>, NSTEMI</w:t>
      </w:r>
      <w:r>
        <w:rPr>
          <w:rFonts w:eastAsia="TimesNewRoman"/>
          <w:snapToGrid/>
          <w:szCs w:val="22"/>
          <w:lang w:val="lt-LT"/>
        </w:rPr>
        <w:t xml:space="preserve">) arba miokardo infarkto su ST pakilimu (angl. </w:t>
      </w:r>
      <w:r>
        <w:rPr>
          <w:rFonts w:eastAsia="TimesNewRoman"/>
          <w:i/>
          <w:snapToGrid/>
          <w:szCs w:val="22"/>
          <w:lang w:val="lt-LT"/>
        </w:rPr>
        <w:t xml:space="preserve">ST </w:t>
      </w:r>
      <w:proofErr w:type="spellStart"/>
      <w:r>
        <w:rPr>
          <w:rFonts w:eastAsia="TimesNewRoman"/>
          <w:i/>
          <w:snapToGrid/>
          <w:szCs w:val="22"/>
          <w:lang w:val="lt-LT"/>
        </w:rPr>
        <w:t>elevation</w:t>
      </w:r>
      <w:proofErr w:type="spellEnd"/>
      <w:r>
        <w:rPr>
          <w:rFonts w:eastAsia="TimesNewRoman"/>
          <w:i/>
          <w:snapToGrid/>
          <w:szCs w:val="22"/>
          <w:lang w:val="lt-LT"/>
        </w:rPr>
        <w:t xml:space="preserve"> </w:t>
      </w:r>
      <w:proofErr w:type="spellStart"/>
      <w:r>
        <w:rPr>
          <w:rFonts w:eastAsia="TimesNewRoman"/>
          <w:i/>
          <w:snapToGrid/>
          <w:szCs w:val="22"/>
          <w:lang w:val="lt-LT"/>
        </w:rPr>
        <w:t>myocardial</w:t>
      </w:r>
      <w:proofErr w:type="spellEnd"/>
      <w:r>
        <w:rPr>
          <w:rFonts w:eastAsia="TimesNewRoman"/>
          <w:i/>
          <w:snapToGrid/>
          <w:szCs w:val="22"/>
          <w:lang w:val="lt-LT"/>
        </w:rPr>
        <w:t xml:space="preserve"> </w:t>
      </w:r>
      <w:proofErr w:type="spellStart"/>
      <w:r>
        <w:rPr>
          <w:rFonts w:eastAsia="TimesNewRoman"/>
          <w:i/>
          <w:snapToGrid/>
          <w:szCs w:val="22"/>
          <w:lang w:val="lt-LT"/>
        </w:rPr>
        <w:t>infarction</w:t>
      </w:r>
      <w:proofErr w:type="spellEnd"/>
      <w:r>
        <w:rPr>
          <w:rFonts w:eastAsia="TimesNewRoman"/>
          <w:i/>
          <w:snapToGrid/>
          <w:szCs w:val="22"/>
          <w:lang w:val="lt-LT"/>
        </w:rPr>
        <w:t>, STEMI</w:t>
      </w:r>
      <w:r>
        <w:rPr>
          <w:rFonts w:eastAsia="TimesNewRoman"/>
          <w:snapToGrid/>
          <w:szCs w:val="22"/>
          <w:lang w:val="lt-LT"/>
        </w:rPr>
        <w:t xml:space="preserve">) simptomų pasireiškimo. Jie iš pradžių buvo gydomi vaistiniais preparatais arba taikant </w:t>
      </w:r>
      <w:proofErr w:type="spellStart"/>
      <w:r>
        <w:rPr>
          <w:rFonts w:eastAsia="TimesNewRoman"/>
          <w:snapToGrid/>
          <w:szCs w:val="22"/>
          <w:lang w:val="lt-LT"/>
        </w:rPr>
        <w:t>perkutaninę</w:t>
      </w:r>
      <w:proofErr w:type="spellEnd"/>
      <w:r>
        <w:rPr>
          <w:rFonts w:eastAsia="TimesNewRoman"/>
          <w:snapToGrid/>
          <w:szCs w:val="22"/>
          <w:lang w:val="lt-LT"/>
        </w:rPr>
        <w:t xml:space="preserve"> koronarinę </w:t>
      </w:r>
      <w:r>
        <w:rPr>
          <w:rFonts w:eastAsia="TimesNewRoman"/>
          <w:snapToGrid/>
          <w:szCs w:val="22"/>
          <w:lang w:val="lt-LT"/>
        </w:rPr>
        <w:lastRenderedPageBreak/>
        <w:t xml:space="preserve">intervenciją (angl. </w:t>
      </w:r>
      <w:proofErr w:type="spellStart"/>
      <w:r>
        <w:rPr>
          <w:rFonts w:eastAsia="TimesNewRoman"/>
          <w:i/>
          <w:snapToGrid/>
          <w:szCs w:val="22"/>
          <w:lang w:val="lt-LT"/>
        </w:rPr>
        <w:t>percutaneous</w:t>
      </w:r>
      <w:proofErr w:type="spellEnd"/>
      <w:r>
        <w:rPr>
          <w:rFonts w:eastAsia="TimesNewRoman"/>
          <w:i/>
          <w:snapToGrid/>
          <w:szCs w:val="22"/>
          <w:lang w:val="lt-LT"/>
        </w:rPr>
        <w:t xml:space="preserve">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lang w:val="lt-LT"/>
        </w:rPr>
        <w:t>intervention</w:t>
      </w:r>
      <w:proofErr w:type="spellEnd"/>
      <w:r>
        <w:rPr>
          <w:rFonts w:eastAsia="TimesNewRoman"/>
          <w:i/>
          <w:snapToGrid/>
          <w:szCs w:val="22"/>
          <w:lang w:val="lt-LT"/>
        </w:rPr>
        <w:t>, PCI</w:t>
      </w:r>
      <w:r>
        <w:rPr>
          <w:rFonts w:eastAsia="TimesNewRoman"/>
          <w:snapToGrid/>
          <w:szCs w:val="22"/>
          <w:lang w:val="lt-LT"/>
        </w:rPr>
        <w:t xml:space="preserve">) arba koronarinių arterijų šuntavimą (angl.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lang w:val="lt-LT"/>
        </w:rPr>
        <w:t>artery</w:t>
      </w:r>
      <w:proofErr w:type="spellEnd"/>
      <w:r>
        <w:rPr>
          <w:rFonts w:eastAsia="TimesNewRoman"/>
          <w:i/>
          <w:snapToGrid/>
          <w:szCs w:val="22"/>
          <w:lang w:val="lt-LT"/>
        </w:rPr>
        <w:t xml:space="preserve"> </w:t>
      </w:r>
      <w:proofErr w:type="spellStart"/>
      <w:r>
        <w:rPr>
          <w:rFonts w:eastAsia="TimesNewRoman"/>
          <w:i/>
          <w:snapToGrid/>
          <w:szCs w:val="22"/>
          <w:lang w:val="lt-LT"/>
        </w:rPr>
        <w:t>bypass</w:t>
      </w:r>
      <w:proofErr w:type="spellEnd"/>
      <w:r>
        <w:rPr>
          <w:rFonts w:eastAsia="TimesNewRoman"/>
          <w:i/>
          <w:snapToGrid/>
          <w:szCs w:val="22"/>
          <w:lang w:val="lt-LT"/>
        </w:rPr>
        <w:t xml:space="preserve"> </w:t>
      </w:r>
      <w:proofErr w:type="spellStart"/>
      <w:r>
        <w:rPr>
          <w:rFonts w:eastAsia="TimesNewRoman"/>
          <w:i/>
          <w:snapToGrid/>
          <w:szCs w:val="22"/>
          <w:lang w:val="lt-LT"/>
        </w:rPr>
        <w:t>grafting</w:t>
      </w:r>
      <w:proofErr w:type="spellEnd"/>
      <w:r>
        <w:rPr>
          <w:rFonts w:eastAsia="TimesNewRoman"/>
          <w:i/>
          <w:snapToGrid/>
          <w:szCs w:val="22"/>
          <w:lang w:val="lt-LT"/>
        </w:rPr>
        <w:t>, CABG</w:t>
      </w:r>
      <w:r>
        <w:rPr>
          <w:rFonts w:eastAsia="TimesNewRoman"/>
          <w:snapToGrid/>
          <w:szCs w:val="22"/>
          <w:lang w:val="lt-LT"/>
        </w:rPr>
        <w:t>).</w:t>
      </w:r>
    </w:p>
    <w:p w14:paraId="5FF10828"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3CD2C8FD"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t>Klinikinis veiksmingumas</w:t>
      </w:r>
    </w:p>
    <w:p w14:paraId="7D755F4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Derinyje kasdien vartojus ASR, 90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poveikis pagal suminį rodiklį (KV mirtys, MI ir insultai) buvo palankesnis negu 75 mg </w:t>
      </w:r>
      <w:proofErr w:type="spellStart"/>
      <w:r>
        <w:rPr>
          <w:rFonts w:eastAsia="TimesNewRoman"/>
          <w:snapToGrid/>
          <w:szCs w:val="22"/>
          <w:lang w:val="lt-LT"/>
        </w:rPr>
        <w:t>klopidogrelio</w:t>
      </w:r>
      <w:proofErr w:type="spellEnd"/>
      <w:r>
        <w:rPr>
          <w:rFonts w:eastAsia="TimesNewRoman"/>
          <w:snapToGrid/>
          <w:szCs w:val="22"/>
          <w:lang w:val="lt-LT"/>
        </w:rPr>
        <w:t xml:space="preserve"> per parą (skirtumą nulėmė kardiovaskulinės mirtys ir miokardo infarktai). Pacientai vartojo 300 mg </w:t>
      </w:r>
      <w:proofErr w:type="spellStart"/>
      <w:r>
        <w:rPr>
          <w:rFonts w:eastAsia="TimesNewRoman"/>
          <w:snapToGrid/>
          <w:szCs w:val="22"/>
          <w:lang w:val="lt-LT"/>
        </w:rPr>
        <w:t>klopidogrelio</w:t>
      </w:r>
      <w:proofErr w:type="spellEnd"/>
      <w:r>
        <w:rPr>
          <w:rFonts w:eastAsia="TimesNewRoman"/>
          <w:snapToGrid/>
          <w:szCs w:val="22"/>
          <w:lang w:val="lt-LT"/>
        </w:rPr>
        <w:t xml:space="preserve"> įsotinimo dozę (prieš numatomą </w:t>
      </w:r>
      <w:proofErr w:type="spellStart"/>
      <w:r>
        <w:rPr>
          <w:rFonts w:eastAsia="TimesNewRoman"/>
          <w:snapToGrid/>
          <w:szCs w:val="22"/>
          <w:lang w:val="lt-LT"/>
        </w:rPr>
        <w:t>perkutaninę</w:t>
      </w:r>
      <w:proofErr w:type="spellEnd"/>
      <w:r>
        <w:rPr>
          <w:rFonts w:eastAsia="TimesNewRoman"/>
          <w:snapToGrid/>
          <w:szCs w:val="22"/>
          <w:lang w:val="lt-LT"/>
        </w:rPr>
        <w:t xml:space="preserve"> koronarinę intervenciją buvo leidžiama vartoti 600 mg dozę) arba 180 mg </w:t>
      </w:r>
      <w:proofErr w:type="spellStart"/>
      <w:r>
        <w:rPr>
          <w:rFonts w:eastAsia="TimesNewRoman"/>
          <w:snapToGrid/>
          <w:szCs w:val="22"/>
          <w:lang w:val="lt-LT"/>
        </w:rPr>
        <w:t>tikagreloro</w:t>
      </w:r>
      <w:proofErr w:type="spellEnd"/>
      <w:r>
        <w:rPr>
          <w:rFonts w:eastAsia="TimesNewRoman"/>
          <w:snapToGrid/>
          <w:szCs w:val="22"/>
          <w:lang w:val="lt-LT"/>
        </w:rPr>
        <w:t xml:space="preserve"> įsotinimo dozę.</w:t>
      </w:r>
    </w:p>
    <w:p w14:paraId="1AD64BE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A2A3CC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Šie duomenys nustatyti anksti (absoliučios rizikos sumažėjimas [</w:t>
      </w:r>
      <w:proofErr w:type="spellStart"/>
      <w:r>
        <w:rPr>
          <w:rFonts w:eastAsia="TimesNewRoman"/>
          <w:i/>
          <w:snapToGrid/>
          <w:szCs w:val="22"/>
          <w:lang w:val="lt-LT"/>
        </w:rPr>
        <w:t>absolute</w:t>
      </w:r>
      <w:proofErr w:type="spellEnd"/>
      <w:r>
        <w:rPr>
          <w:rFonts w:eastAsia="TimesNewRoman"/>
          <w:i/>
          <w:snapToGrid/>
          <w:szCs w:val="22"/>
          <w:lang w:val="lt-LT"/>
        </w:rPr>
        <w:t xml:space="preserve"> risk </w:t>
      </w:r>
      <w:proofErr w:type="spellStart"/>
      <w:r>
        <w:rPr>
          <w:rFonts w:eastAsia="TimesNewRoman"/>
          <w:i/>
          <w:snapToGrid/>
          <w:szCs w:val="22"/>
          <w:lang w:val="lt-LT"/>
        </w:rPr>
        <w:t>reduction</w:t>
      </w:r>
      <w:proofErr w:type="spellEnd"/>
      <w:r>
        <w:rPr>
          <w:rFonts w:eastAsia="TimesNewRoman"/>
          <w:i/>
          <w:snapToGrid/>
          <w:szCs w:val="22"/>
          <w:lang w:val="lt-LT"/>
        </w:rPr>
        <w:t>, ARR</w:t>
      </w:r>
      <w:r>
        <w:rPr>
          <w:rFonts w:eastAsia="TimesNewRoman"/>
          <w:snapToGrid/>
          <w:szCs w:val="22"/>
          <w:lang w:val="lt-LT"/>
        </w:rPr>
        <w:t>] 0,6 % ir santykinės rizikos sumažėjimas [</w:t>
      </w:r>
      <w:proofErr w:type="spellStart"/>
      <w:r>
        <w:rPr>
          <w:rFonts w:eastAsia="TimesNewRoman"/>
          <w:i/>
          <w:snapToGrid/>
          <w:szCs w:val="22"/>
          <w:lang w:val="lt-LT"/>
        </w:rPr>
        <w:t>Relative</w:t>
      </w:r>
      <w:proofErr w:type="spellEnd"/>
      <w:r>
        <w:rPr>
          <w:rFonts w:eastAsia="TimesNewRoman"/>
          <w:i/>
          <w:snapToGrid/>
          <w:szCs w:val="22"/>
          <w:lang w:val="lt-LT"/>
        </w:rPr>
        <w:t xml:space="preserve"> Risk </w:t>
      </w:r>
      <w:proofErr w:type="spellStart"/>
      <w:r>
        <w:rPr>
          <w:rFonts w:eastAsia="TimesNewRoman"/>
          <w:i/>
          <w:snapToGrid/>
          <w:szCs w:val="22"/>
          <w:lang w:val="lt-LT"/>
        </w:rPr>
        <w:t>Reduction</w:t>
      </w:r>
      <w:proofErr w:type="spellEnd"/>
      <w:r>
        <w:rPr>
          <w:rFonts w:eastAsia="TimesNewRoman"/>
          <w:i/>
          <w:snapToGrid/>
          <w:szCs w:val="22"/>
          <w:lang w:val="lt-LT"/>
        </w:rPr>
        <w:t>, RRR</w:t>
      </w:r>
      <w:r>
        <w:rPr>
          <w:rFonts w:eastAsia="TimesNewRoman"/>
          <w:snapToGrid/>
          <w:szCs w:val="22"/>
          <w:lang w:val="lt-LT"/>
        </w:rPr>
        <w:t>] 12 % 30–</w:t>
      </w:r>
      <w:proofErr w:type="spellStart"/>
      <w:r>
        <w:rPr>
          <w:rFonts w:eastAsia="TimesNewRoman"/>
          <w:snapToGrid/>
          <w:szCs w:val="22"/>
          <w:lang w:val="lt-LT"/>
        </w:rPr>
        <w:t>ąją</w:t>
      </w:r>
      <w:proofErr w:type="spellEnd"/>
      <w:r>
        <w:rPr>
          <w:rFonts w:eastAsia="TimesNewRoman"/>
          <w:snapToGrid/>
          <w:szCs w:val="22"/>
          <w:lang w:val="lt-LT"/>
        </w:rPr>
        <w:t xml:space="preserve"> parą) ir buvo stabilūs gydant 12 mėn.: absoliuti rizika sumažėjo [ARR] 1,9 % per metus, santykinė rizika [RRR] – 16 %. Tai leidžia manyti, kad 90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tikslinga vartoti 12 mėn. (žr. 4.2 skyrių). 54 ūminiu koronariniu sindromu sergantiems pacientams vartojant </w:t>
      </w:r>
      <w:proofErr w:type="spellStart"/>
      <w:r>
        <w:rPr>
          <w:rFonts w:eastAsia="TimesNewRoman"/>
          <w:snapToGrid/>
          <w:szCs w:val="22"/>
          <w:lang w:val="lt-LT"/>
        </w:rPr>
        <w:t>tikagrelorą</w:t>
      </w:r>
      <w:proofErr w:type="spellEnd"/>
      <w:r>
        <w:rPr>
          <w:rFonts w:eastAsia="TimesNewRoman"/>
          <w:snapToGrid/>
          <w:szCs w:val="22"/>
          <w:lang w:val="lt-LT"/>
        </w:rPr>
        <w:t xml:space="preserve"> vietoje </w:t>
      </w:r>
      <w:proofErr w:type="spellStart"/>
      <w:r>
        <w:rPr>
          <w:rFonts w:eastAsia="TimesNewRoman"/>
          <w:snapToGrid/>
          <w:szCs w:val="22"/>
          <w:lang w:val="lt-LT"/>
        </w:rPr>
        <w:t>klopidogrelio</w:t>
      </w:r>
      <w:proofErr w:type="spellEnd"/>
      <w:r>
        <w:rPr>
          <w:rFonts w:eastAsia="TimesNewRoman"/>
          <w:snapToGrid/>
          <w:szCs w:val="22"/>
          <w:lang w:val="lt-LT"/>
        </w:rPr>
        <w:t xml:space="preserve"> būtų išvengta vieno arterijų trombozės reiškinio, 91 pacientui vartojant </w:t>
      </w:r>
      <w:proofErr w:type="spellStart"/>
      <w:r>
        <w:rPr>
          <w:rFonts w:eastAsia="TimesNewRoman"/>
          <w:snapToGrid/>
          <w:szCs w:val="22"/>
          <w:lang w:val="lt-LT"/>
        </w:rPr>
        <w:t>tikagrelorą</w:t>
      </w:r>
      <w:proofErr w:type="spellEnd"/>
      <w:r>
        <w:rPr>
          <w:rFonts w:eastAsia="TimesNewRoman"/>
          <w:snapToGrid/>
          <w:szCs w:val="22"/>
          <w:lang w:val="lt-LT"/>
        </w:rPr>
        <w:t xml:space="preserve"> vietoje </w:t>
      </w:r>
      <w:proofErr w:type="spellStart"/>
      <w:r>
        <w:rPr>
          <w:rFonts w:eastAsia="TimesNewRoman"/>
          <w:snapToGrid/>
          <w:szCs w:val="22"/>
          <w:lang w:val="lt-LT"/>
        </w:rPr>
        <w:t>klopidogrelio</w:t>
      </w:r>
      <w:proofErr w:type="spellEnd"/>
      <w:r>
        <w:rPr>
          <w:rFonts w:eastAsia="TimesNewRoman"/>
          <w:snapToGrid/>
          <w:szCs w:val="22"/>
          <w:lang w:val="lt-LT"/>
        </w:rPr>
        <w:t xml:space="preserve"> – vienos kardiovaskulinės mirties (žr. 1 pav. ir 4 lentelę).</w:t>
      </w:r>
    </w:p>
    <w:p w14:paraId="316A54B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73FDF32"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poveikis, palankesnis negu </w:t>
      </w:r>
      <w:proofErr w:type="spellStart"/>
      <w:r>
        <w:rPr>
          <w:rFonts w:eastAsia="TimesNewRoman"/>
          <w:snapToGrid/>
          <w:szCs w:val="22"/>
          <w:lang w:val="lt-LT"/>
        </w:rPr>
        <w:t>klopidogrelio</w:t>
      </w:r>
      <w:proofErr w:type="spellEnd"/>
      <w:r>
        <w:rPr>
          <w:rFonts w:eastAsia="TimesNewRoman"/>
          <w:snapToGrid/>
          <w:szCs w:val="22"/>
          <w:lang w:val="lt-LT"/>
        </w:rPr>
        <w:t xml:space="preserve">, nustatytas daugeliui pacientų pogrupių, sudarytų pagal svorį, lytį, cukrinio diabeto, praeinančių išemijos priepuolių, nehemoraginio insulto ar </w:t>
      </w:r>
      <w:proofErr w:type="spellStart"/>
      <w:r>
        <w:rPr>
          <w:rFonts w:eastAsia="TimesNewRoman"/>
          <w:snapToGrid/>
          <w:szCs w:val="22"/>
          <w:lang w:val="lt-LT"/>
        </w:rPr>
        <w:t>revaskuliarizacijos</w:t>
      </w:r>
      <w:proofErr w:type="spellEnd"/>
      <w:r>
        <w:rPr>
          <w:rFonts w:eastAsia="TimesNewRoman"/>
          <w:snapToGrid/>
          <w:szCs w:val="22"/>
          <w:lang w:val="lt-LT"/>
        </w:rPr>
        <w:t xml:space="preserve"> anamnezę, derinyje vartojamus vaistinius preparatus, įskaitant heparinus, </w:t>
      </w:r>
      <w:proofErr w:type="spellStart"/>
      <w:r>
        <w:rPr>
          <w:rFonts w:eastAsia="TimesNewRoman"/>
          <w:snapToGrid/>
          <w:szCs w:val="22"/>
          <w:lang w:val="lt-LT"/>
        </w:rPr>
        <w:t>GpIIb</w:t>
      </w:r>
      <w:proofErr w:type="spellEnd"/>
      <w:r>
        <w:rPr>
          <w:rFonts w:eastAsia="TimesNewRoman"/>
          <w:snapToGrid/>
          <w:szCs w:val="22"/>
          <w:lang w:val="lt-LT"/>
        </w:rPr>
        <w:t>/</w:t>
      </w:r>
      <w:proofErr w:type="spellStart"/>
      <w:r>
        <w:rPr>
          <w:rFonts w:eastAsia="TimesNewRoman"/>
          <w:snapToGrid/>
          <w:szCs w:val="22"/>
          <w:lang w:val="lt-LT"/>
        </w:rPr>
        <w:t>IIIa</w:t>
      </w:r>
      <w:proofErr w:type="spellEnd"/>
      <w:r>
        <w:rPr>
          <w:rFonts w:eastAsia="TimesNewRoman"/>
          <w:snapToGrid/>
          <w:szCs w:val="22"/>
          <w:lang w:val="lt-LT"/>
        </w:rPr>
        <w:t xml:space="preserve"> inhibitorius ir protonų siurblio inhibitorius (žr. 4.5 skyrių), galutinės diagnozės įvykį (miokardo infarktas su ST pakilimu, miokardo infarktas be ST pakilimo, nestabilioji krūtinės angina) ir atrankos į tyrimą metu planuotą gydymą (invazinis ar gydymas vaistiniais preparatais).</w:t>
      </w:r>
    </w:p>
    <w:p w14:paraId="48625349"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F21F45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Pastebėta nestipri, bet reikšminga regiono įtaka gydomajam poveikiui: rizikos santykis (angl. </w:t>
      </w:r>
      <w:proofErr w:type="spellStart"/>
      <w:r>
        <w:rPr>
          <w:rFonts w:eastAsia="TimesNewRoman"/>
          <w:i/>
          <w:iCs/>
          <w:snapToGrid/>
          <w:szCs w:val="22"/>
          <w:lang w:val="lt-LT"/>
        </w:rPr>
        <w:t>hazard</w:t>
      </w:r>
      <w:proofErr w:type="spellEnd"/>
      <w:r>
        <w:rPr>
          <w:rFonts w:eastAsia="TimesNewRoman"/>
          <w:i/>
          <w:iCs/>
          <w:snapToGrid/>
          <w:szCs w:val="22"/>
          <w:lang w:val="lt-LT"/>
        </w:rPr>
        <w:t xml:space="preserve"> </w:t>
      </w:r>
      <w:proofErr w:type="spellStart"/>
      <w:r>
        <w:rPr>
          <w:rFonts w:eastAsia="TimesNewRoman"/>
          <w:i/>
          <w:iCs/>
          <w:snapToGrid/>
          <w:szCs w:val="22"/>
          <w:lang w:val="lt-LT"/>
        </w:rPr>
        <w:t>ratio</w:t>
      </w:r>
      <w:proofErr w:type="spellEnd"/>
      <w:r>
        <w:rPr>
          <w:rFonts w:eastAsia="TimesNewRoman"/>
          <w:snapToGrid/>
          <w:szCs w:val="22"/>
          <w:lang w:val="lt-LT"/>
        </w:rPr>
        <w:t xml:space="preserve">, HR) pagal pirminės vertinamosios baigties rodiklį </w:t>
      </w:r>
      <w:proofErr w:type="spellStart"/>
      <w:r>
        <w:rPr>
          <w:rFonts w:eastAsia="TimesNewRoman"/>
          <w:snapToGrid/>
          <w:szCs w:val="22"/>
          <w:lang w:val="lt-LT"/>
        </w:rPr>
        <w:t>tikagrelorą</w:t>
      </w:r>
      <w:proofErr w:type="spellEnd"/>
      <w:r>
        <w:rPr>
          <w:rFonts w:eastAsia="TimesNewRoman"/>
          <w:snapToGrid/>
          <w:szCs w:val="22"/>
          <w:lang w:val="lt-LT"/>
        </w:rPr>
        <w:t xml:space="preserve"> vartojusiems pacientams buvo palankesnis visame pasaulyje, išskyrus Šiaurės Ameriką, kurioje nustatytas palankesnis </w:t>
      </w:r>
      <w:proofErr w:type="spellStart"/>
      <w:r>
        <w:rPr>
          <w:rFonts w:eastAsia="TimesNewRoman"/>
          <w:snapToGrid/>
          <w:szCs w:val="22"/>
          <w:lang w:val="lt-LT"/>
        </w:rPr>
        <w:t>klopidogrelio</w:t>
      </w:r>
      <w:proofErr w:type="spellEnd"/>
      <w:r>
        <w:rPr>
          <w:rFonts w:eastAsia="TimesNewRoman"/>
          <w:snapToGrid/>
          <w:szCs w:val="22"/>
          <w:lang w:val="lt-LT"/>
        </w:rPr>
        <w:t xml:space="preserve"> poveikis (joje tirti pacientai sudarė apie 10 % visos tirtos populiacijos) (sąveikos p = 0,045). Papildoma analizė leidžia įtarti didesnės </w:t>
      </w:r>
      <w:proofErr w:type="spellStart"/>
      <w:r>
        <w:rPr>
          <w:rFonts w:eastAsia="TimesNewRoman"/>
          <w:snapToGrid/>
          <w:szCs w:val="22"/>
          <w:lang w:val="lt-LT"/>
        </w:rPr>
        <w:t>acetilsalicilo</w:t>
      </w:r>
      <w:proofErr w:type="spellEnd"/>
      <w:r>
        <w:rPr>
          <w:rFonts w:eastAsia="TimesNewRoman"/>
          <w:snapToGrid/>
          <w:szCs w:val="22"/>
          <w:lang w:val="lt-LT"/>
        </w:rPr>
        <w:t xml:space="preserve"> rūgšties dozės ryšį su mažesniu </w:t>
      </w:r>
      <w:proofErr w:type="spellStart"/>
      <w:r>
        <w:rPr>
          <w:rFonts w:eastAsia="TimesNewRoman"/>
          <w:snapToGrid/>
          <w:szCs w:val="22"/>
          <w:lang w:val="lt-LT"/>
        </w:rPr>
        <w:t>tikagreloro</w:t>
      </w:r>
      <w:proofErr w:type="spellEnd"/>
      <w:r>
        <w:rPr>
          <w:rFonts w:eastAsia="TimesNewRoman"/>
          <w:snapToGrid/>
          <w:szCs w:val="22"/>
          <w:lang w:val="lt-LT"/>
        </w:rPr>
        <w:t xml:space="preserve"> veiksmingumu. Ilgalaikiam gydymui derinyje su </w:t>
      </w:r>
      <w:proofErr w:type="spellStart"/>
      <w:r>
        <w:rPr>
          <w:rFonts w:eastAsia="TimesNewRoman"/>
          <w:snapToGrid/>
          <w:szCs w:val="22"/>
          <w:lang w:val="lt-LT"/>
        </w:rPr>
        <w:t>tikagreloru</w:t>
      </w:r>
      <w:proofErr w:type="spellEnd"/>
      <w:r>
        <w:rPr>
          <w:rFonts w:eastAsia="TimesNewRoman"/>
          <w:snapToGrid/>
          <w:szCs w:val="22"/>
          <w:lang w:val="lt-LT"/>
        </w:rPr>
        <w:t xml:space="preserve"> reikia vartoti 75-150 mg ASR (žr. 4.2 ir 4.4 skyrius).</w:t>
      </w:r>
    </w:p>
    <w:p w14:paraId="54A822EB"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15085E2" w14:textId="77777777" w:rsidR="009A4BFE" w:rsidRDefault="0051186A">
      <w:pPr>
        <w:rPr>
          <w:szCs w:val="22"/>
          <w:lang w:val="lt-LT"/>
        </w:rPr>
      </w:pPr>
      <w:r>
        <w:rPr>
          <w:rFonts w:eastAsia="TimesNewRoman"/>
          <w:snapToGrid/>
          <w:szCs w:val="22"/>
          <w:lang w:val="lt-LT"/>
        </w:rPr>
        <w:t>1 pav. pavaizduota apskaičiuotoji bendra visų pirmųjų įvykių, įtrauktų į sudėtinį rodiklį, rizika.</w:t>
      </w:r>
    </w:p>
    <w:p w14:paraId="192D1A40"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1 pav. Pagrindinės klinikinės sudėtinės PLATO tyrimo vertinamosios baigties (KV mirties, MI,</w:t>
      </w:r>
    </w:p>
    <w:p w14:paraId="7254D958" w14:textId="77777777" w:rsidR="009A4BFE" w:rsidRDefault="0051186A">
      <w:pPr>
        <w:rPr>
          <w:szCs w:val="22"/>
          <w:lang w:val="lt-LT"/>
        </w:rPr>
      </w:pPr>
      <w:r>
        <w:rPr>
          <w:rFonts w:eastAsia="TimesNewRoman,Bold"/>
          <w:b/>
          <w:bCs/>
          <w:snapToGrid/>
          <w:szCs w:val="22"/>
          <w:lang w:val="lt-LT"/>
        </w:rPr>
        <w:t>insulto) analizė</w:t>
      </w:r>
    </w:p>
    <w:p w14:paraId="3C230BD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noProof/>
          <w:snapToGrid/>
          <w:szCs w:val="22"/>
          <w:lang w:val="sl-SI" w:eastAsia="sl-SI"/>
        </w:rPr>
        <w:lastRenderedPageBreak/>
        <w:drawing>
          <wp:inline distT="0" distB="0" distL="0" distR="0" wp14:anchorId="7A7DB156" wp14:editId="430924C1">
            <wp:extent cx="57531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486150"/>
                    </a:xfrm>
                    <a:prstGeom prst="rect">
                      <a:avLst/>
                    </a:prstGeom>
                    <a:noFill/>
                    <a:ln>
                      <a:noFill/>
                    </a:ln>
                  </pic:spPr>
                </pic:pic>
              </a:graphicData>
            </a:graphic>
          </wp:inline>
        </w:drawing>
      </w:r>
    </w:p>
    <w:p w14:paraId="278A0F26"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673E8B0"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palyginus su </w:t>
      </w:r>
      <w:proofErr w:type="spellStart"/>
      <w:r>
        <w:rPr>
          <w:rFonts w:eastAsia="TimesNewRoman"/>
          <w:snapToGrid/>
          <w:szCs w:val="22"/>
          <w:lang w:val="lt-LT"/>
        </w:rPr>
        <w:t>klopidogreliu</w:t>
      </w:r>
      <w:proofErr w:type="spellEnd"/>
      <w:r>
        <w:rPr>
          <w:rFonts w:eastAsia="TimesNewRoman"/>
          <w:snapToGrid/>
          <w:szCs w:val="22"/>
          <w:lang w:val="lt-LT"/>
        </w:rPr>
        <w:t xml:space="preserve">, sumažino pirminės vertinamosios baigties pasireiškimo riziką tiek nestabilią krūtinės anginą ar miokardo infarktą be ST pakilimo, tiek miokardo infarktą su ST pakilimu patyrusių pacientų populiacijoje (4 lentelė). Taigi, 90 mg </w:t>
      </w:r>
      <w:proofErr w:type="spellStart"/>
      <w:r>
        <w:rPr>
          <w:szCs w:val="22"/>
          <w:lang w:val="lt-LT"/>
        </w:rPr>
        <w:t>Atixarso</w:t>
      </w:r>
      <w:proofErr w:type="spellEnd"/>
      <w:r>
        <w:rPr>
          <w:rFonts w:eastAsia="TimesNewRoman"/>
          <w:snapToGrid/>
          <w:szCs w:val="22"/>
          <w:lang w:val="lt-LT"/>
        </w:rPr>
        <w:t xml:space="preserve"> 2 kartus per parą derinyje su maža ASR doze tinka pacientams sergantiems ŪKS (nestabilia krūtinės angina, miokardo infarktu be ST pakilimo [NSTEMI] ir miokardo infarktu su ST pakilimu [STEMI]) , įskaitant pacientus gydomus vaistiniais preparatais, taikant </w:t>
      </w:r>
      <w:proofErr w:type="spellStart"/>
      <w:r>
        <w:rPr>
          <w:rFonts w:eastAsia="TimesNewRoman"/>
          <w:snapToGrid/>
          <w:szCs w:val="22"/>
          <w:lang w:val="lt-LT"/>
        </w:rPr>
        <w:t>perkutaninę</w:t>
      </w:r>
      <w:proofErr w:type="spellEnd"/>
      <w:r>
        <w:rPr>
          <w:rFonts w:eastAsia="TimesNewRoman"/>
          <w:snapToGrid/>
          <w:szCs w:val="22"/>
          <w:lang w:val="lt-LT"/>
        </w:rPr>
        <w:t xml:space="preserve"> koronarinę intervenciją (angl. </w:t>
      </w:r>
      <w:proofErr w:type="spellStart"/>
      <w:r>
        <w:rPr>
          <w:rFonts w:eastAsia="TimesNewRoman"/>
          <w:i/>
          <w:snapToGrid/>
          <w:szCs w:val="22"/>
          <w:lang w:val="lt-LT"/>
        </w:rPr>
        <w:t>percutaneous</w:t>
      </w:r>
      <w:proofErr w:type="spellEnd"/>
      <w:r>
        <w:rPr>
          <w:rFonts w:eastAsia="TimesNewRoman"/>
          <w:i/>
          <w:snapToGrid/>
          <w:szCs w:val="22"/>
          <w:lang w:val="lt-LT"/>
        </w:rPr>
        <w:t xml:space="preserve">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lang w:val="lt-LT"/>
        </w:rPr>
        <w:t>intervention</w:t>
      </w:r>
      <w:proofErr w:type="spellEnd"/>
      <w:r>
        <w:rPr>
          <w:rFonts w:eastAsia="TimesNewRoman"/>
          <w:i/>
          <w:snapToGrid/>
          <w:szCs w:val="22"/>
          <w:lang w:val="lt-LT"/>
        </w:rPr>
        <w:t>, PCI</w:t>
      </w:r>
      <w:r>
        <w:rPr>
          <w:rFonts w:eastAsia="TimesNewRoman"/>
          <w:snapToGrid/>
          <w:szCs w:val="22"/>
          <w:lang w:val="lt-LT"/>
        </w:rPr>
        <w:t xml:space="preserve">) ar koronarinių arterijų šuntavimą (angl. </w:t>
      </w:r>
      <w:proofErr w:type="spellStart"/>
      <w:r>
        <w:rPr>
          <w:rFonts w:eastAsia="TimesNewRoman"/>
          <w:i/>
          <w:snapToGrid/>
          <w:szCs w:val="22"/>
          <w:lang w:val="lt-LT"/>
        </w:rPr>
        <w:t>coronary</w:t>
      </w:r>
      <w:proofErr w:type="spellEnd"/>
      <w:r>
        <w:rPr>
          <w:rFonts w:eastAsia="TimesNewRoman"/>
          <w:i/>
          <w:snapToGrid/>
          <w:szCs w:val="22"/>
          <w:lang w:val="lt-LT"/>
        </w:rPr>
        <w:t xml:space="preserve"> </w:t>
      </w:r>
      <w:proofErr w:type="spellStart"/>
      <w:r>
        <w:rPr>
          <w:rFonts w:eastAsia="TimesNewRoman"/>
          <w:i/>
          <w:snapToGrid/>
          <w:szCs w:val="22"/>
          <w:lang w:val="lt-LT"/>
        </w:rPr>
        <w:t>artery</w:t>
      </w:r>
      <w:proofErr w:type="spellEnd"/>
      <w:r>
        <w:rPr>
          <w:rFonts w:eastAsia="TimesNewRoman"/>
          <w:i/>
          <w:snapToGrid/>
          <w:szCs w:val="22"/>
          <w:lang w:val="lt-LT"/>
        </w:rPr>
        <w:t xml:space="preserve"> </w:t>
      </w:r>
      <w:proofErr w:type="spellStart"/>
      <w:r>
        <w:rPr>
          <w:rFonts w:eastAsia="TimesNewRoman"/>
          <w:i/>
          <w:snapToGrid/>
          <w:szCs w:val="22"/>
          <w:lang w:val="lt-LT"/>
        </w:rPr>
        <w:t>by-pass</w:t>
      </w:r>
      <w:proofErr w:type="spellEnd"/>
      <w:r>
        <w:rPr>
          <w:rFonts w:eastAsia="TimesNewRoman"/>
          <w:i/>
          <w:snapToGrid/>
          <w:szCs w:val="22"/>
          <w:lang w:val="lt-LT"/>
        </w:rPr>
        <w:t xml:space="preserve"> </w:t>
      </w:r>
      <w:proofErr w:type="spellStart"/>
      <w:r>
        <w:rPr>
          <w:rFonts w:eastAsia="TimesNewRoman"/>
          <w:i/>
          <w:snapToGrid/>
          <w:szCs w:val="22"/>
          <w:lang w:val="lt-LT"/>
        </w:rPr>
        <w:t>grafting</w:t>
      </w:r>
      <w:proofErr w:type="spellEnd"/>
      <w:r>
        <w:rPr>
          <w:rFonts w:eastAsia="TimesNewRoman"/>
          <w:i/>
          <w:snapToGrid/>
          <w:szCs w:val="22"/>
          <w:lang w:val="lt-LT"/>
        </w:rPr>
        <w:t>, CABG</w:t>
      </w:r>
      <w:r>
        <w:rPr>
          <w:rFonts w:eastAsia="TimesNewRoman"/>
          <w:snapToGrid/>
          <w:szCs w:val="22"/>
          <w:lang w:val="lt-LT"/>
        </w:rPr>
        <w:t>).</w:t>
      </w:r>
    </w:p>
    <w:p w14:paraId="57B29781" w14:textId="77777777" w:rsidR="009A4BFE" w:rsidRDefault="009A4BFE">
      <w:pPr>
        <w:rPr>
          <w:rFonts w:ascii="TimesNewRoman,Bold" w:eastAsia="TimesNewRoman,Bold" w:hAnsi="Calibri" w:cs="TimesNewRoman,Bold"/>
          <w:snapToGrid/>
          <w:szCs w:val="22"/>
          <w:lang w:val="lt-LT"/>
        </w:rPr>
      </w:pPr>
    </w:p>
    <w:p w14:paraId="796B1B88" w14:textId="77777777" w:rsidR="009A4BFE" w:rsidRDefault="0051186A">
      <w:pPr>
        <w:rPr>
          <w:rFonts w:eastAsia="TimesNewRoman,Bold"/>
          <w:b/>
          <w:bCs/>
          <w:snapToGrid/>
          <w:szCs w:val="22"/>
          <w:lang w:val="lt-LT"/>
        </w:rPr>
      </w:pPr>
      <w:r>
        <w:rPr>
          <w:rFonts w:eastAsia="TimesNewRoman,Bold"/>
          <w:b/>
          <w:bCs/>
          <w:snapToGrid/>
          <w:szCs w:val="22"/>
          <w:lang w:val="lt-LT"/>
        </w:rPr>
        <w:t>4 lentelė. Pirminių ir antrinių PLATO tyrimo vertinamųjų baigčių analizė</w:t>
      </w:r>
    </w:p>
    <w:p w14:paraId="1D0C3149" w14:textId="77777777" w:rsidR="009A4BFE" w:rsidRDefault="009A4BFE">
      <w:pPr>
        <w:kinsoku w:val="0"/>
        <w:overflowPunct w:val="0"/>
        <w:spacing w:before="3"/>
        <w:rPr>
          <w:szCs w:val="22"/>
          <w:lang w:val="lt-LT"/>
        </w:rPr>
      </w:pPr>
    </w:p>
    <w:tbl>
      <w:tblPr>
        <w:tblW w:w="0" w:type="auto"/>
        <w:tblInd w:w="118" w:type="dxa"/>
        <w:tblLayout w:type="fixed"/>
        <w:tblCellMar>
          <w:left w:w="0" w:type="dxa"/>
          <w:right w:w="0" w:type="dxa"/>
        </w:tblCellMar>
        <w:tblLook w:val="0000" w:firstRow="0" w:lastRow="0" w:firstColumn="0" w:lastColumn="0" w:noHBand="0" w:noVBand="0"/>
      </w:tblPr>
      <w:tblGrid>
        <w:gridCol w:w="2155"/>
        <w:gridCol w:w="1409"/>
        <w:gridCol w:w="1380"/>
        <w:gridCol w:w="1170"/>
        <w:gridCol w:w="1323"/>
        <w:gridCol w:w="1080"/>
      </w:tblGrid>
      <w:tr w:rsidR="009A4BFE" w14:paraId="116174B1" w14:textId="77777777">
        <w:trPr>
          <w:trHeight w:hRule="exact" w:val="1933"/>
        </w:trPr>
        <w:tc>
          <w:tcPr>
            <w:tcW w:w="2155" w:type="dxa"/>
            <w:tcBorders>
              <w:top w:val="single" w:sz="4" w:space="0" w:color="000000"/>
              <w:left w:val="single" w:sz="4" w:space="0" w:color="000000"/>
              <w:bottom w:val="single" w:sz="4" w:space="0" w:color="000000"/>
              <w:right w:val="single" w:sz="4" w:space="0" w:color="000000"/>
            </w:tcBorders>
          </w:tcPr>
          <w:p w14:paraId="77CB812D" w14:textId="77777777" w:rsidR="009A4BFE" w:rsidRPr="0022257B" w:rsidRDefault="009A4BFE">
            <w:pPr>
              <w:rPr>
                <w:lang w:val="pt-PT"/>
              </w:rPr>
            </w:pPr>
          </w:p>
        </w:tc>
        <w:tc>
          <w:tcPr>
            <w:tcW w:w="1409" w:type="dxa"/>
            <w:tcBorders>
              <w:top w:val="single" w:sz="4" w:space="0" w:color="000000"/>
              <w:left w:val="single" w:sz="4" w:space="0" w:color="000000"/>
              <w:bottom w:val="single" w:sz="4" w:space="0" w:color="000000"/>
              <w:right w:val="single" w:sz="4" w:space="0" w:color="000000"/>
            </w:tcBorders>
          </w:tcPr>
          <w:p w14:paraId="55279C60" w14:textId="29960973" w:rsidR="009A4BFE" w:rsidRDefault="0051186A">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Tikagreloras</w:t>
            </w:r>
            <w:proofErr w:type="spellEnd"/>
            <w:r>
              <w:rPr>
                <w:rFonts w:eastAsia="TimesNewRoman,Bold"/>
                <w:b/>
                <w:bCs/>
                <w:snapToGrid/>
                <w:szCs w:val="22"/>
                <w:lang w:val="lt-LT"/>
              </w:rPr>
              <w:t xml:space="preserve"> po 90 mg 2 kartus per parą (reiškinį patyrę pacientai, %) N</w:t>
            </w:r>
            <w:r w:rsidR="00635EF3">
              <w:rPr>
                <w:rFonts w:eastAsia="TimesNewRoman,Bold"/>
                <w:b/>
                <w:bCs/>
                <w:snapToGrid/>
                <w:szCs w:val="22"/>
                <w:lang w:val="lt-LT"/>
              </w:rPr>
              <w:t> </w:t>
            </w:r>
            <w:r>
              <w:rPr>
                <w:rFonts w:eastAsia="TimesNewRoman,Bold"/>
                <w:b/>
                <w:bCs/>
                <w:snapToGrid/>
                <w:szCs w:val="22"/>
                <w:lang w:val="lt-LT"/>
              </w:rPr>
              <w:t>= 9</w:t>
            </w:r>
            <w:r w:rsidR="00635EF3">
              <w:rPr>
                <w:rFonts w:eastAsia="TimesNewRoman,Bold"/>
                <w:b/>
                <w:bCs/>
                <w:snapToGrid/>
                <w:szCs w:val="22"/>
                <w:lang w:val="lt-LT"/>
              </w:rPr>
              <w:t> </w:t>
            </w:r>
            <w:r>
              <w:rPr>
                <w:rFonts w:eastAsia="TimesNewRoman,Bold"/>
                <w:b/>
                <w:bCs/>
                <w:snapToGrid/>
                <w:szCs w:val="22"/>
                <w:lang w:val="lt-LT"/>
              </w:rPr>
              <w:t>333</w:t>
            </w:r>
          </w:p>
        </w:tc>
        <w:tc>
          <w:tcPr>
            <w:tcW w:w="1380" w:type="dxa"/>
            <w:tcBorders>
              <w:top w:val="single" w:sz="4" w:space="0" w:color="000000"/>
              <w:left w:val="single" w:sz="4" w:space="0" w:color="000000"/>
              <w:bottom w:val="single" w:sz="4" w:space="0" w:color="000000"/>
              <w:right w:val="single" w:sz="4" w:space="0" w:color="000000"/>
            </w:tcBorders>
          </w:tcPr>
          <w:p w14:paraId="6BA6E09F" w14:textId="076237B1" w:rsidR="009A4BFE" w:rsidRDefault="0051186A">
            <w:pPr>
              <w:tabs>
                <w:tab w:val="clear" w:pos="567"/>
              </w:tabs>
              <w:autoSpaceDE w:val="0"/>
              <w:autoSpaceDN w:val="0"/>
              <w:adjustRightInd w:val="0"/>
              <w:spacing w:line="240" w:lineRule="auto"/>
              <w:jc w:val="center"/>
              <w:rPr>
                <w:rFonts w:eastAsia="TimesNewRoman,Bold"/>
                <w:b/>
                <w:bCs/>
                <w:snapToGrid/>
                <w:szCs w:val="22"/>
                <w:lang w:val="lt-LT"/>
              </w:rPr>
            </w:pPr>
            <w:proofErr w:type="spellStart"/>
            <w:r>
              <w:rPr>
                <w:rFonts w:eastAsia="TimesNewRoman,Bold"/>
                <w:b/>
                <w:bCs/>
                <w:snapToGrid/>
                <w:szCs w:val="22"/>
                <w:lang w:val="lt-LT"/>
              </w:rPr>
              <w:t>Klopidogrelis</w:t>
            </w:r>
            <w:proofErr w:type="spellEnd"/>
            <w:r>
              <w:rPr>
                <w:rFonts w:eastAsia="TimesNewRoman,Bold"/>
                <w:b/>
                <w:bCs/>
                <w:snapToGrid/>
                <w:szCs w:val="22"/>
                <w:lang w:val="lt-LT"/>
              </w:rPr>
              <w:t xml:space="preserve"> 75 mg 1 kartą per parą (reiškinį patyrę pacientai, %) N</w:t>
            </w:r>
            <w:r w:rsidR="00635EF3">
              <w:rPr>
                <w:rFonts w:eastAsia="TimesNewRoman,Bold"/>
                <w:b/>
                <w:bCs/>
                <w:snapToGrid/>
                <w:szCs w:val="22"/>
                <w:lang w:val="lt-LT"/>
              </w:rPr>
              <w:t> </w:t>
            </w:r>
            <w:r>
              <w:rPr>
                <w:rFonts w:eastAsia="TimesNewRoman,Bold"/>
                <w:b/>
                <w:bCs/>
                <w:snapToGrid/>
                <w:szCs w:val="22"/>
                <w:lang w:val="lt-LT"/>
              </w:rPr>
              <w:t>= 9</w:t>
            </w:r>
            <w:r w:rsidR="00635EF3">
              <w:rPr>
                <w:rFonts w:eastAsia="TimesNewRoman,Bold"/>
                <w:b/>
                <w:bCs/>
                <w:snapToGrid/>
                <w:szCs w:val="22"/>
                <w:lang w:val="lt-LT"/>
              </w:rPr>
              <w:t> </w:t>
            </w:r>
            <w:r>
              <w:rPr>
                <w:rFonts w:eastAsia="TimesNewRoman,Bold"/>
                <w:b/>
                <w:bCs/>
                <w:snapToGrid/>
                <w:szCs w:val="22"/>
                <w:lang w:val="lt-LT"/>
              </w:rPr>
              <w:t>291</w:t>
            </w:r>
          </w:p>
        </w:tc>
        <w:tc>
          <w:tcPr>
            <w:tcW w:w="1170" w:type="dxa"/>
            <w:tcBorders>
              <w:top w:val="single" w:sz="4" w:space="0" w:color="000000"/>
              <w:left w:val="single" w:sz="4" w:space="0" w:color="000000"/>
              <w:bottom w:val="single" w:sz="4" w:space="0" w:color="000000"/>
              <w:right w:val="single" w:sz="4" w:space="0" w:color="000000"/>
            </w:tcBorders>
          </w:tcPr>
          <w:p w14:paraId="7C04141E" w14:textId="77777777" w:rsidR="009A4BFE" w:rsidRDefault="009A4BFE">
            <w:pPr>
              <w:pStyle w:val="TableParagraph"/>
              <w:kinsoku w:val="0"/>
              <w:overflowPunct w:val="0"/>
              <w:spacing w:line="200" w:lineRule="exact"/>
              <w:jc w:val="center"/>
              <w:rPr>
                <w:sz w:val="22"/>
                <w:szCs w:val="22"/>
                <w:lang w:val="lt-LT"/>
              </w:rPr>
            </w:pPr>
          </w:p>
          <w:p w14:paraId="4384B384" w14:textId="77777777" w:rsidR="009A4BFE" w:rsidRDefault="0051186A">
            <w:pPr>
              <w:pStyle w:val="TableParagraph"/>
              <w:kinsoku w:val="0"/>
              <w:overflowPunct w:val="0"/>
              <w:ind w:left="200"/>
              <w:jc w:val="center"/>
              <w:rPr>
                <w:sz w:val="22"/>
                <w:szCs w:val="22"/>
                <w:lang w:val="lt-LT"/>
              </w:rPr>
            </w:pPr>
            <w:r>
              <w:rPr>
                <w:b/>
                <w:bCs/>
                <w:spacing w:val="-2"/>
                <w:sz w:val="22"/>
                <w:szCs w:val="22"/>
                <w:lang w:val="lt-LT"/>
              </w:rPr>
              <w:t>AR</w:t>
            </w:r>
            <w:r>
              <w:rPr>
                <w:b/>
                <w:bCs/>
                <w:spacing w:val="-1"/>
                <w:sz w:val="22"/>
                <w:szCs w:val="22"/>
                <w:lang w:val="lt-LT"/>
              </w:rPr>
              <w:t>R</w:t>
            </w:r>
            <w:r>
              <w:rPr>
                <w:b/>
                <w:bCs/>
                <w:position w:val="10"/>
                <w:sz w:val="22"/>
                <w:szCs w:val="22"/>
                <w:lang w:val="lt-LT"/>
              </w:rPr>
              <w:t>a</w:t>
            </w:r>
          </w:p>
          <w:p w14:paraId="54E7A917" w14:textId="77777777" w:rsidR="009A4BFE" w:rsidRDefault="0051186A">
            <w:pPr>
              <w:pStyle w:val="TableParagraph"/>
              <w:kinsoku w:val="0"/>
              <w:overflowPunct w:val="0"/>
              <w:spacing w:before="1"/>
              <w:ind w:left="157"/>
              <w:jc w:val="center"/>
              <w:rPr>
                <w:sz w:val="22"/>
                <w:szCs w:val="22"/>
                <w:lang w:val="lt-LT"/>
              </w:rPr>
            </w:pPr>
            <w:r>
              <w:rPr>
                <w:b/>
                <w:bCs/>
                <w:sz w:val="22"/>
                <w:szCs w:val="22"/>
                <w:lang w:val="lt-LT"/>
              </w:rPr>
              <w:t>(% per metus)</w:t>
            </w:r>
          </w:p>
        </w:tc>
        <w:tc>
          <w:tcPr>
            <w:tcW w:w="1323" w:type="dxa"/>
            <w:tcBorders>
              <w:top w:val="single" w:sz="4" w:space="0" w:color="000000"/>
              <w:left w:val="single" w:sz="4" w:space="0" w:color="000000"/>
              <w:bottom w:val="single" w:sz="4" w:space="0" w:color="000000"/>
              <w:right w:val="single" w:sz="4" w:space="0" w:color="000000"/>
            </w:tcBorders>
          </w:tcPr>
          <w:p w14:paraId="564EC4E6" w14:textId="77777777" w:rsidR="009A4BFE" w:rsidRDefault="009A4BFE">
            <w:pPr>
              <w:pStyle w:val="TableParagraph"/>
              <w:kinsoku w:val="0"/>
              <w:overflowPunct w:val="0"/>
              <w:spacing w:line="200" w:lineRule="exact"/>
              <w:jc w:val="center"/>
              <w:rPr>
                <w:sz w:val="22"/>
                <w:szCs w:val="22"/>
                <w:lang w:val="lt-LT"/>
              </w:rPr>
            </w:pPr>
          </w:p>
          <w:p w14:paraId="26E49AD3" w14:textId="77777777" w:rsidR="009A4BFE" w:rsidRDefault="0051186A">
            <w:pPr>
              <w:pStyle w:val="TableParagraph"/>
              <w:kinsoku w:val="0"/>
              <w:overflowPunct w:val="0"/>
              <w:spacing w:line="241" w:lineRule="auto"/>
              <w:ind w:left="239" w:right="355" w:hanging="41"/>
              <w:jc w:val="center"/>
              <w:rPr>
                <w:sz w:val="22"/>
                <w:szCs w:val="22"/>
                <w:lang w:val="lt-LT"/>
              </w:rPr>
            </w:pPr>
            <w:r>
              <w:rPr>
                <w:b/>
                <w:bCs/>
                <w:spacing w:val="-2"/>
                <w:sz w:val="22"/>
                <w:szCs w:val="22"/>
                <w:lang w:val="lt-LT"/>
              </w:rPr>
              <w:t>RR</w:t>
            </w:r>
            <w:r>
              <w:rPr>
                <w:b/>
                <w:bCs/>
                <w:spacing w:val="-1"/>
                <w:sz w:val="22"/>
                <w:szCs w:val="22"/>
                <w:lang w:val="lt-LT"/>
              </w:rPr>
              <w:t>R</w:t>
            </w:r>
            <w:r>
              <w:rPr>
                <w:b/>
                <w:bCs/>
                <w:position w:val="10"/>
                <w:sz w:val="22"/>
                <w:szCs w:val="22"/>
                <w:lang w:val="lt-LT"/>
              </w:rPr>
              <w:t>a</w:t>
            </w:r>
            <w:r>
              <w:rPr>
                <w:b/>
                <w:bCs/>
                <w:spacing w:val="19"/>
                <w:position w:val="10"/>
                <w:sz w:val="22"/>
                <w:szCs w:val="22"/>
                <w:lang w:val="lt-LT"/>
              </w:rPr>
              <w:t xml:space="preserve"> </w:t>
            </w:r>
            <w:r>
              <w:rPr>
                <w:b/>
                <w:bCs/>
                <w:spacing w:val="-1"/>
                <w:sz w:val="22"/>
                <w:szCs w:val="22"/>
                <w:lang w:val="lt-LT"/>
              </w:rPr>
              <w:t>(%) (95 </w:t>
            </w:r>
            <w:r>
              <w:rPr>
                <w:b/>
                <w:bCs/>
                <w:sz w:val="22"/>
                <w:szCs w:val="22"/>
                <w:lang w:val="lt-LT"/>
              </w:rPr>
              <w:t>%</w:t>
            </w:r>
            <w:r>
              <w:rPr>
                <w:b/>
                <w:bCs/>
                <w:spacing w:val="-1"/>
                <w:sz w:val="22"/>
                <w:szCs w:val="22"/>
                <w:lang w:val="lt-LT"/>
              </w:rPr>
              <w:t xml:space="preserve"> PI)</w:t>
            </w:r>
          </w:p>
        </w:tc>
        <w:tc>
          <w:tcPr>
            <w:tcW w:w="1080" w:type="dxa"/>
            <w:tcBorders>
              <w:top w:val="single" w:sz="4" w:space="0" w:color="000000"/>
              <w:left w:val="single" w:sz="4" w:space="0" w:color="000000"/>
              <w:bottom w:val="single" w:sz="4" w:space="0" w:color="000000"/>
              <w:right w:val="single" w:sz="4" w:space="0" w:color="000000"/>
            </w:tcBorders>
          </w:tcPr>
          <w:p w14:paraId="2B146061" w14:textId="77777777" w:rsidR="009A4BFE" w:rsidRDefault="009A4BFE">
            <w:pPr>
              <w:pStyle w:val="TableParagraph"/>
              <w:kinsoku w:val="0"/>
              <w:overflowPunct w:val="0"/>
              <w:spacing w:line="200" w:lineRule="exact"/>
              <w:jc w:val="center"/>
              <w:rPr>
                <w:sz w:val="22"/>
                <w:szCs w:val="22"/>
                <w:lang w:val="lt-LT"/>
              </w:rPr>
            </w:pPr>
          </w:p>
          <w:p w14:paraId="47C226E7" w14:textId="77777777" w:rsidR="009A4BFE" w:rsidRDefault="0051186A">
            <w:pPr>
              <w:tabs>
                <w:tab w:val="clear" w:pos="567"/>
              </w:tabs>
              <w:autoSpaceDE w:val="0"/>
              <w:autoSpaceDN w:val="0"/>
              <w:adjustRightInd w:val="0"/>
              <w:spacing w:line="240" w:lineRule="auto"/>
              <w:jc w:val="center"/>
              <w:rPr>
                <w:rFonts w:eastAsia="TimesNewRoman,Bold"/>
                <w:b/>
                <w:bCs/>
                <w:i/>
                <w:snapToGrid/>
                <w:szCs w:val="22"/>
                <w:lang w:val="lt-LT"/>
              </w:rPr>
            </w:pPr>
            <w:r>
              <w:rPr>
                <w:rFonts w:eastAsia="TimesNewRoman,Bold"/>
                <w:b/>
                <w:bCs/>
                <w:i/>
                <w:snapToGrid/>
                <w:szCs w:val="22"/>
                <w:lang w:val="lt-LT"/>
              </w:rPr>
              <w:t>p</w:t>
            </w:r>
          </w:p>
          <w:p w14:paraId="7E5B588F" w14:textId="77777777" w:rsidR="009A4BFE" w:rsidRDefault="0051186A">
            <w:pPr>
              <w:pStyle w:val="TableParagraph"/>
              <w:kinsoku w:val="0"/>
              <w:overflowPunct w:val="0"/>
              <w:ind w:left="191"/>
              <w:jc w:val="center"/>
              <w:rPr>
                <w:sz w:val="22"/>
                <w:szCs w:val="22"/>
                <w:lang w:val="lt-LT"/>
              </w:rPr>
            </w:pPr>
            <w:r>
              <w:rPr>
                <w:rFonts w:eastAsia="TimesNewRoman,Bold"/>
                <w:b/>
                <w:bCs/>
                <w:sz w:val="22"/>
                <w:szCs w:val="22"/>
                <w:lang w:val="lt-LT"/>
              </w:rPr>
              <w:t>reikšmė</w:t>
            </w:r>
          </w:p>
        </w:tc>
      </w:tr>
      <w:tr w:rsidR="009A4BFE" w14:paraId="0835B30C" w14:textId="77777777">
        <w:trPr>
          <w:trHeight w:hRule="exact" w:val="1410"/>
        </w:trPr>
        <w:tc>
          <w:tcPr>
            <w:tcW w:w="2155" w:type="dxa"/>
            <w:tcBorders>
              <w:top w:val="single" w:sz="4" w:space="0" w:color="000000"/>
              <w:left w:val="single" w:sz="4" w:space="0" w:color="000000"/>
              <w:bottom w:val="single" w:sz="4" w:space="0" w:color="000000"/>
              <w:right w:val="single" w:sz="4" w:space="0" w:color="000000"/>
            </w:tcBorders>
          </w:tcPr>
          <w:p w14:paraId="62C65ED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Kardiovaskulinės mirtys, miokardo infarktai (išskyrus </w:t>
            </w:r>
            <w:proofErr w:type="spellStart"/>
            <w:r>
              <w:rPr>
                <w:rFonts w:eastAsia="TimesNewRoman"/>
                <w:snapToGrid/>
                <w:szCs w:val="22"/>
                <w:lang w:val="lt-LT"/>
              </w:rPr>
              <w:t>besimptomius</w:t>
            </w:r>
            <w:proofErr w:type="spellEnd"/>
            <w:r>
              <w:rPr>
                <w:rFonts w:eastAsia="TimesNewRoman"/>
                <w:snapToGrid/>
                <w:szCs w:val="22"/>
                <w:lang w:val="lt-LT"/>
              </w:rPr>
              <w:t xml:space="preserve">) ir </w:t>
            </w:r>
            <w:r>
              <w:rPr>
                <w:rFonts w:eastAsia="TimesNewRoman"/>
                <w:szCs w:val="22"/>
                <w:lang w:val="lt-LT"/>
              </w:rPr>
              <w:t>insultai</w:t>
            </w:r>
          </w:p>
        </w:tc>
        <w:tc>
          <w:tcPr>
            <w:tcW w:w="1409" w:type="dxa"/>
            <w:tcBorders>
              <w:top w:val="single" w:sz="4" w:space="0" w:color="000000"/>
              <w:left w:val="single" w:sz="4" w:space="0" w:color="000000"/>
              <w:bottom w:val="single" w:sz="4" w:space="0" w:color="000000"/>
              <w:right w:val="single" w:sz="4" w:space="0" w:color="000000"/>
            </w:tcBorders>
            <w:vAlign w:val="center"/>
          </w:tcPr>
          <w:p w14:paraId="6F30AB27" w14:textId="77777777" w:rsidR="009A4BFE" w:rsidRDefault="0051186A">
            <w:pPr>
              <w:pStyle w:val="TableParagraph"/>
              <w:kinsoku w:val="0"/>
              <w:overflowPunct w:val="0"/>
              <w:ind w:left="510" w:right="514"/>
              <w:jc w:val="center"/>
              <w:rPr>
                <w:sz w:val="22"/>
                <w:szCs w:val="22"/>
              </w:rPr>
            </w:pPr>
            <w:r>
              <w:rPr>
                <w:sz w:val="22"/>
                <w:szCs w:val="22"/>
              </w:rPr>
              <w:t>9,3</w:t>
            </w:r>
          </w:p>
        </w:tc>
        <w:tc>
          <w:tcPr>
            <w:tcW w:w="1380" w:type="dxa"/>
            <w:tcBorders>
              <w:top w:val="single" w:sz="4" w:space="0" w:color="000000"/>
              <w:left w:val="single" w:sz="4" w:space="0" w:color="000000"/>
              <w:bottom w:val="single" w:sz="4" w:space="0" w:color="000000"/>
              <w:right w:val="single" w:sz="4" w:space="0" w:color="000000"/>
            </w:tcBorders>
            <w:vAlign w:val="center"/>
          </w:tcPr>
          <w:p w14:paraId="3922E397" w14:textId="77777777" w:rsidR="009A4BFE" w:rsidRDefault="0051186A">
            <w:pPr>
              <w:pStyle w:val="TableParagraph"/>
              <w:kinsoku w:val="0"/>
              <w:overflowPunct w:val="0"/>
              <w:ind w:left="527"/>
              <w:jc w:val="center"/>
              <w:rPr>
                <w:sz w:val="22"/>
                <w:szCs w:val="22"/>
              </w:rPr>
            </w:pPr>
            <w:r>
              <w:rPr>
                <w:sz w:val="22"/>
                <w:szCs w:val="22"/>
              </w:rPr>
              <w:t>10,9</w:t>
            </w:r>
          </w:p>
        </w:tc>
        <w:tc>
          <w:tcPr>
            <w:tcW w:w="1170" w:type="dxa"/>
            <w:tcBorders>
              <w:top w:val="single" w:sz="4" w:space="0" w:color="000000"/>
              <w:left w:val="single" w:sz="4" w:space="0" w:color="000000"/>
              <w:bottom w:val="single" w:sz="4" w:space="0" w:color="000000"/>
              <w:right w:val="single" w:sz="4" w:space="0" w:color="000000"/>
            </w:tcBorders>
            <w:vAlign w:val="center"/>
          </w:tcPr>
          <w:p w14:paraId="0A81EB67" w14:textId="77777777" w:rsidR="009A4BFE" w:rsidRDefault="0051186A">
            <w:pPr>
              <w:pStyle w:val="TableParagraph"/>
              <w:kinsoku w:val="0"/>
              <w:overflowPunct w:val="0"/>
              <w:ind w:left="373"/>
              <w:jc w:val="center"/>
              <w:rPr>
                <w:sz w:val="22"/>
                <w:szCs w:val="22"/>
              </w:rPr>
            </w:pPr>
            <w:r>
              <w:rPr>
                <w:sz w:val="22"/>
                <w:szCs w:val="22"/>
              </w:rPr>
              <w:t>1,9</w:t>
            </w:r>
          </w:p>
        </w:tc>
        <w:tc>
          <w:tcPr>
            <w:tcW w:w="1323" w:type="dxa"/>
            <w:tcBorders>
              <w:top w:val="single" w:sz="4" w:space="0" w:color="000000"/>
              <w:left w:val="single" w:sz="4" w:space="0" w:color="000000"/>
              <w:bottom w:val="single" w:sz="4" w:space="0" w:color="000000"/>
              <w:right w:val="single" w:sz="4" w:space="0" w:color="000000"/>
            </w:tcBorders>
            <w:vAlign w:val="center"/>
          </w:tcPr>
          <w:p w14:paraId="35309633" w14:textId="77777777" w:rsidR="009A4BFE" w:rsidRDefault="0051186A">
            <w:pPr>
              <w:pStyle w:val="TableParagraph"/>
              <w:kinsoku w:val="0"/>
              <w:overflowPunct w:val="0"/>
              <w:ind w:left="363"/>
              <w:jc w:val="center"/>
              <w:rPr>
                <w:sz w:val="22"/>
                <w:szCs w:val="22"/>
              </w:rPr>
            </w:pPr>
            <w:r>
              <w:rPr>
                <w:spacing w:val="-1"/>
                <w:sz w:val="22"/>
                <w:szCs w:val="22"/>
              </w:rPr>
              <w:t>1</w:t>
            </w:r>
            <w:r>
              <w:rPr>
                <w:sz w:val="22"/>
                <w:szCs w:val="22"/>
              </w:rPr>
              <w:t>6</w:t>
            </w:r>
            <w:r>
              <w:rPr>
                <w:spacing w:val="-1"/>
                <w:sz w:val="22"/>
                <w:szCs w:val="22"/>
              </w:rPr>
              <w:t xml:space="preserve"> (8</w:t>
            </w:r>
            <w:r>
              <w:rPr>
                <w:sz w:val="22"/>
                <w:szCs w:val="22"/>
              </w:rPr>
              <w:t>,</w:t>
            </w:r>
            <w:r>
              <w:rPr>
                <w:spacing w:val="-1"/>
                <w:sz w:val="22"/>
                <w:szCs w:val="22"/>
              </w:rPr>
              <w:t xml:space="preserve"> 23)</w:t>
            </w:r>
          </w:p>
        </w:tc>
        <w:tc>
          <w:tcPr>
            <w:tcW w:w="1080" w:type="dxa"/>
            <w:tcBorders>
              <w:top w:val="single" w:sz="4" w:space="0" w:color="000000"/>
              <w:left w:val="single" w:sz="4" w:space="0" w:color="000000"/>
              <w:bottom w:val="single" w:sz="4" w:space="0" w:color="000000"/>
              <w:right w:val="single" w:sz="4" w:space="0" w:color="000000"/>
            </w:tcBorders>
            <w:vAlign w:val="center"/>
          </w:tcPr>
          <w:p w14:paraId="23FEFCD1" w14:textId="77777777" w:rsidR="009A4BFE" w:rsidRDefault="0051186A">
            <w:pPr>
              <w:pStyle w:val="TableParagraph"/>
              <w:kinsoku w:val="0"/>
              <w:overflowPunct w:val="0"/>
              <w:ind w:left="231"/>
              <w:jc w:val="center"/>
              <w:rPr>
                <w:sz w:val="22"/>
                <w:szCs w:val="22"/>
              </w:rPr>
            </w:pPr>
            <w:r>
              <w:rPr>
                <w:sz w:val="22"/>
                <w:szCs w:val="22"/>
              </w:rPr>
              <w:t>0,0003</w:t>
            </w:r>
          </w:p>
        </w:tc>
      </w:tr>
      <w:tr w:rsidR="009A4BFE" w14:paraId="67322E54" w14:textId="77777777">
        <w:trPr>
          <w:trHeight w:hRule="exact" w:val="707"/>
        </w:trPr>
        <w:tc>
          <w:tcPr>
            <w:tcW w:w="2155" w:type="dxa"/>
            <w:tcBorders>
              <w:top w:val="single" w:sz="4" w:space="0" w:color="000000"/>
              <w:left w:val="single" w:sz="4" w:space="0" w:color="000000"/>
              <w:bottom w:val="single" w:sz="4" w:space="0" w:color="000000"/>
              <w:right w:val="single" w:sz="4" w:space="0" w:color="000000"/>
            </w:tcBorders>
          </w:tcPr>
          <w:p w14:paraId="0F229407" w14:textId="77777777" w:rsidR="009A4BFE" w:rsidRDefault="0051186A">
            <w:pPr>
              <w:tabs>
                <w:tab w:val="clear" w:pos="567"/>
              </w:tabs>
              <w:autoSpaceDE w:val="0"/>
              <w:autoSpaceDN w:val="0"/>
              <w:adjustRightInd w:val="0"/>
              <w:spacing w:line="240" w:lineRule="auto"/>
              <w:jc w:val="both"/>
              <w:rPr>
                <w:rFonts w:eastAsia="TimesNewRoman"/>
                <w:snapToGrid/>
                <w:szCs w:val="22"/>
                <w:lang w:val="lt-LT"/>
              </w:rPr>
            </w:pPr>
            <w:r>
              <w:rPr>
                <w:rFonts w:eastAsia="TimesNewRoman"/>
                <w:snapToGrid/>
                <w:szCs w:val="22"/>
                <w:lang w:val="lt-LT"/>
              </w:rPr>
              <w:t>Numatytos invazinės procedūr</w:t>
            </w:r>
            <w:r>
              <w:rPr>
                <w:rFonts w:eastAsia="TimesNewRoman"/>
                <w:szCs w:val="22"/>
                <w:lang w:val="lt-LT"/>
              </w:rPr>
              <w:t>os</w:t>
            </w:r>
          </w:p>
        </w:tc>
        <w:tc>
          <w:tcPr>
            <w:tcW w:w="1409" w:type="dxa"/>
            <w:tcBorders>
              <w:top w:val="single" w:sz="4" w:space="0" w:color="000000"/>
              <w:left w:val="single" w:sz="4" w:space="0" w:color="000000"/>
              <w:bottom w:val="single" w:sz="4" w:space="0" w:color="000000"/>
              <w:right w:val="single" w:sz="4" w:space="0" w:color="000000"/>
            </w:tcBorders>
            <w:vAlign w:val="center"/>
          </w:tcPr>
          <w:p w14:paraId="3C957AA7" w14:textId="77777777" w:rsidR="009A4BFE" w:rsidRDefault="0051186A">
            <w:pPr>
              <w:pStyle w:val="TableParagraph"/>
              <w:kinsoku w:val="0"/>
              <w:overflowPunct w:val="0"/>
              <w:spacing w:line="248" w:lineRule="exact"/>
              <w:ind w:left="510" w:right="514"/>
              <w:jc w:val="center"/>
              <w:rPr>
                <w:sz w:val="22"/>
                <w:szCs w:val="22"/>
              </w:rPr>
            </w:pPr>
            <w:r>
              <w:rPr>
                <w:sz w:val="22"/>
                <w:szCs w:val="22"/>
              </w:rPr>
              <w:t>8,5</w:t>
            </w:r>
          </w:p>
        </w:tc>
        <w:tc>
          <w:tcPr>
            <w:tcW w:w="1380" w:type="dxa"/>
            <w:tcBorders>
              <w:top w:val="single" w:sz="4" w:space="0" w:color="000000"/>
              <w:left w:val="single" w:sz="4" w:space="0" w:color="000000"/>
              <w:bottom w:val="single" w:sz="4" w:space="0" w:color="000000"/>
              <w:right w:val="single" w:sz="4" w:space="0" w:color="000000"/>
            </w:tcBorders>
            <w:vAlign w:val="center"/>
          </w:tcPr>
          <w:p w14:paraId="4D8F35A7" w14:textId="77777777" w:rsidR="009A4BFE" w:rsidRDefault="0051186A">
            <w:pPr>
              <w:pStyle w:val="TableParagraph"/>
              <w:kinsoku w:val="0"/>
              <w:overflowPunct w:val="0"/>
              <w:spacing w:line="248" w:lineRule="exact"/>
              <w:jc w:val="center"/>
              <w:rPr>
                <w:sz w:val="22"/>
                <w:szCs w:val="22"/>
              </w:rPr>
            </w:pPr>
            <w:r>
              <w:rPr>
                <w:sz w:val="22"/>
                <w:szCs w:val="22"/>
              </w:rPr>
              <w:t>10,0</w:t>
            </w:r>
          </w:p>
        </w:tc>
        <w:tc>
          <w:tcPr>
            <w:tcW w:w="1170" w:type="dxa"/>
            <w:tcBorders>
              <w:top w:val="single" w:sz="4" w:space="0" w:color="000000"/>
              <w:left w:val="single" w:sz="4" w:space="0" w:color="000000"/>
              <w:bottom w:val="single" w:sz="4" w:space="0" w:color="000000"/>
              <w:right w:val="single" w:sz="4" w:space="0" w:color="000000"/>
            </w:tcBorders>
            <w:vAlign w:val="center"/>
          </w:tcPr>
          <w:p w14:paraId="0A0A3178" w14:textId="77777777" w:rsidR="009A4BFE" w:rsidRDefault="0051186A">
            <w:pPr>
              <w:pStyle w:val="TableParagraph"/>
              <w:kinsoku w:val="0"/>
              <w:overflowPunct w:val="0"/>
              <w:spacing w:line="248" w:lineRule="exact"/>
              <w:ind w:left="318" w:right="318"/>
              <w:jc w:val="center"/>
              <w:rPr>
                <w:sz w:val="22"/>
                <w:szCs w:val="22"/>
              </w:rPr>
            </w:pPr>
            <w:r>
              <w:rPr>
                <w:sz w:val="22"/>
                <w:szCs w:val="22"/>
              </w:rPr>
              <w:t>1,7</w:t>
            </w:r>
          </w:p>
        </w:tc>
        <w:tc>
          <w:tcPr>
            <w:tcW w:w="1323" w:type="dxa"/>
            <w:tcBorders>
              <w:top w:val="single" w:sz="4" w:space="0" w:color="000000"/>
              <w:left w:val="single" w:sz="4" w:space="0" w:color="000000"/>
              <w:bottom w:val="single" w:sz="4" w:space="0" w:color="000000"/>
              <w:right w:val="single" w:sz="4" w:space="0" w:color="000000"/>
            </w:tcBorders>
            <w:vAlign w:val="center"/>
          </w:tcPr>
          <w:p w14:paraId="44188E5A" w14:textId="77777777" w:rsidR="009A4BFE" w:rsidRDefault="0051186A">
            <w:pPr>
              <w:pStyle w:val="TableParagraph"/>
              <w:kinsoku w:val="0"/>
              <w:overflowPunct w:val="0"/>
              <w:spacing w:line="248" w:lineRule="exact"/>
              <w:ind w:left="327"/>
              <w:jc w:val="center"/>
              <w:rPr>
                <w:sz w:val="22"/>
                <w:szCs w:val="22"/>
              </w:rPr>
            </w:pPr>
            <w:r>
              <w:rPr>
                <w:spacing w:val="-1"/>
                <w:sz w:val="22"/>
                <w:szCs w:val="22"/>
              </w:rPr>
              <w:t>1</w:t>
            </w:r>
            <w:r>
              <w:rPr>
                <w:sz w:val="22"/>
                <w:szCs w:val="22"/>
              </w:rPr>
              <w:t>6</w:t>
            </w:r>
            <w:r>
              <w:rPr>
                <w:spacing w:val="-1"/>
                <w:sz w:val="22"/>
                <w:szCs w:val="22"/>
              </w:rPr>
              <w:t xml:space="preserve"> (6</w:t>
            </w:r>
            <w:r>
              <w:rPr>
                <w:sz w:val="22"/>
                <w:szCs w:val="22"/>
              </w:rPr>
              <w:t>,</w:t>
            </w:r>
            <w:r>
              <w:rPr>
                <w:spacing w:val="-1"/>
                <w:sz w:val="22"/>
                <w:szCs w:val="22"/>
              </w:rPr>
              <w:t xml:space="preserve"> 25)</w:t>
            </w:r>
          </w:p>
        </w:tc>
        <w:tc>
          <w:tcPr>
            <w:tcW w:w="1080" w:type="dxa"/>
            <w:tcBorders>
              <w:top w:val="single" w:sz="4" w:space="0" w:color="000000"/>
              <w:left w:val="single" w:sz="4" w:space="0" w:color="000000"/>
              <w:bottom w:val="single" w:sz="4" w:space="0" w:color="000000"/>
              <w:right w:val="single" w:sz="4" w:space="0" w:color="000000"/>
            </w:tcBorders>
            <w:vAlign w:val="center"/>
          </w:tcPr>
          <w:p w14:paraId="7D19F0A7" w14:textId="77777777" w:rsidR="009A4BFE" w:rsidRDefault="0051186A">
            <w:pPr>
              <w:pStyle w:val="TableParagraph"/>
              <w:kinsoku w:val="0"/>
              <w:overflowPunct w:val="0"/>
              <w:spacing w:line="248" w:lineRule="exact"/>
              <w:ind w:left="231"/>
              <w:jc w:val="center"/>
              <w:rPr>
                <w:sz w:val="22"/>
                <w:szCs w:val="22"/>
              </w:rPr>
            </w:pPr>
            <w:r>
              <w:rPr>
                <w:sz w:val="22"/>
                <w:szCs w:val="22"/>
              </w:rPr>
              <w:t>0,0025</w:t>
            </w:r>
          </w:p>
        </w:tc>
      </w:tr>
      <w:tr w:rsidR="009A4BFE" w14:paraId="04973DA0" w14:textId="77777777">
        <w:trPr>
          <w:trHeight w:hRule="exact" w:val="717"/>
        </w:trPr>
        <w:tc>
          <w:tcPr>
            <w:tcW w:w="2155" w:type="dxa"/>
            <w:tcBorders>
              <w:top w:val="single" w:sz="4" w:space="0" w:color="000000"/>
              <w:left w:val="single" w:sz="4" w:space="0" w:color="000000"/>
              <w:bottom w:val="single" w:sz="4" w:space="0" w:color="000000"/>
              <w:right w:val="single" w:sz="4" w:space="0" w:color="000000"/>
            </w:tcBorders>
          </w:tcPr>
          <w:p w14:paraId="0B282981" w14:textId="77777777" w:rsidR="009A4BFE" w:rsidRDefault="0051186A">
            <w:pPr>
              <w:tabs>
                <w:tab w:val="clear" w:pos="567"/>
              </w:tabs>
              <w:autoSpaceDE w:val="0"/>
              <w:autoSpaceDN w:val="0"/>
              <w:adjustRightInd w:val="0"/>
              <w:spacing w:line="240" w:lineRule="auto"/>
              <w:jc w:val="both"/>
              <w:rPr>
                <w:rFonts w:eastAsia="TimesNewRoman"/>
                <w:snapToGrid/>
                <w:szCs w:val="22"/>
                <w:lang w:val="lt-LT"/>
              </w:rPr>
            </w:pPr>
            <w:r>
              <w:rPr>
                <w:rFonts w:eastAsia="TimesNewRoman"/>
                <w:snapToGrid/>
                <w:szCs w:val="22"/>
                <w:lang w:val="lt-LT"/>
              </w:rPr>
              <w:t xml:space="preserve">Numatytos gydymas  </w:t>
            </w:r>
            <w:r>
              <w:rPr>
                <w:rFonts w:eastAsia="TimesNewRoman"/>
                <w:szCs w:val="22"/>
                <w:lang w:val="lt-LT"/>
              </w:rPr>
              <w:t xml:space="preserve"> vaistiniais preparatais</w:t>
            </w:r>
          </w:p>
        </w:tc>
        <w:tc>
          <w:tcPr>
            <w:tcW w:w="1409" w:type="dxa"/>
            <w:tcBorders>
              <w:top w:val="single" w:sz="4" w:space="0" w:color="000000"/>
              <w:left w:val="single" w:sz="4" w:space="0" w:color="000000"/>
              <w:bottom w:val="single" w:sz="4" w:space="0" w:color="000000"/>
              <w:right w:val="single" w:sz="4" w:space="0" w:color="000000"/>
            </w:tcBorders>
            <w:vAlign w:val="center"/>
          </w:tcPr>
          <w:p w14:paraId="1ECCFD4D" w14:textId="77777777" w:rsidR="009A4BFE" w:rsidRDefault="0051186A">
            <w:pPr>
              <w:pStyle w:val="TableParagraph"/>
              <w:kinsoku w:val="0"/>
              <w:overflowPunct w:val="0"/>
              <w:spacing w:line="251" w:lineRule="exact"/>
              <w:jc w:val="center"/>
              <w:rPr>
                <w:sz w:val="22"/>
                <w:szCs w:val="22"/>
              </w:rPr>
            </w:pPr>
            <w:r>
              <w:rPr>
                <w:sz w:val="22"/>
                <w:szCs w:val="22"/>
              </w:rPr>
              <w:t>11,3</w:t>
            </w:r>
          </w:p>
        </w:tc>
        <w:tc>
          <w:tcPr>
            <w:tcW w:w="1380" w:type="dxa"/>
            <w:tcBorders>
              <w:top w:val="single" w:sz="4" w:space="0" w:color="000000"/>
              <w:left w:val="single" w:sz="4" w:space="0" w:color="000000"/>
              <w:bottom w:val="single" w:sz="4" w:space="0" w:color="000000"/>
              <w:right w:val="single" w:sz="4" w:space="0" w:color="000000"/>
            </w:tcBorders>
            <w:vAlign w:val="center"/>
          </w:tcPr>
          <w:p w14:paraId="391E38BB" w14:textId="77777777" w:rsidR="009A4BFE" w:rsidRDefault="0051186A">
            <w:pPr>
              <w:pStyle w:val="TableParagraph"/>
              <w:kinsoku w:val="0"/>
              <w:overflowPunct w:val="0"/>
              <w:spacing w:line="251" w:lineRule="exact"/>
              <w:ind w:left="527"/>
              <w:jc w:val="center"/>
              <w:rPr>
                <w:sz w:val="22"/>
                <w:szCs w:val="22"/>
              </w:rPr>
            </w:pPr>
            <w:r>
              <w:rPr>
                <w:sz w:val="22"/>
                <w:szCs w:val="22"/>
              </w:rPr>
              <w:t>13,2</w:t>
            </w:r>
          </w:p>
        </w:tc>
        <w:tc>
          <w:tcPr>
            <w:tcW w:w="1170" w:type="dxa"/>
            <w:tcBorders>
              <w:top w:val="single" w:sz="4" w:space="0" w:color="000000"/>
              <w:left w:val="single" w:sz="4" w:space="0" w:color="000000"/>
              <w:bottom w:val="single" w:sz="4" w:space="0" w:color="000000"/>
              <w:right w:val="single" w:sz="4" w:space="0" w:color="000000"/>
            </w:tcBorders>
            <w:vAlign w:val="center"/>
          </w:tcPr>
          <w:p w14:paraId="57733BE4" w14:textId="77777777" w:rsidR="009A4BFE" w:rsidRDefault="0051186A">
            <w:pPr>
              <w:pStyle w:val="TableParagraph"/>
              <w:kinsoku w:val="0"/>
              <w:overflowPunct w:val="0"/>
              <w:spacing w:line="251" w:lineRule="exact"/>
              <w:ind w:left="318" w:right="318"/>
              <w:jc w:val="center"/>
              <w:rPr>
                <w:sz w:val="22"/>
                <w:szCs w:val="22"/>
              </w:rPr>
            </w:pPr>
            <w:r>
              <w:rPr>
                <w:sz w:val="22"/>
                <w:szCs w:val="22"/>
              </w:rPr>
              <w:t>2,3</w:t>
            </w:r>
          </w:p>
        </w:tc>
        <w:tc>
          <w:tcPr>
            <w:tcW w:w="1323" w:type="dxa"/>
            <w:tcBorders>
              <w:top w:val="single" w:sz="4" w:space="0" w:color="000000"/>
              <w:left w:val="single" w:sz="4" w:space="0" w:color="000000"/>
              <w:bottom w:val="single" w:sz="4" w:space="0" w:color="000000"/>
              <w:right w:val="single" w:sz="4" w:space="0" w:color="000000"/>
            </w:tcBorders>
            <w:vAlign w:val="center"/>
          </w:tcPr>
          <w:p w14:paraId="7ACD917C" w14:textId="77777777" w:rsidR="009A4BFE" w:rsidRDefault="0051186A">
            <w:pPr>
              <w:pStyle w:val="TableParagraph"/>
              <w:kinsoku w:val="0"/>
              <w:overflowPunct w:val="0"/>
              <w:spacing w:line="251" w:lineRule="exact"/>
              <w:ind w:left="243"/>
              <w:jc w:val="center"/>
              <w:rPr>
                <w:sz w:val="22"/>
                <w:szCs w:val="22"/>
              </w:rPr>
            </w:pPr>
            <w:r>
              <w:rPr>
                <w:spacing w:val="-1"/>
                <w:sz w:val="22"/>
                <w:szCs w:val="22"/>
              </w:rPr>
              <w:t>1</w:t>
            </w:r>
            <w:r>
              <w:rPr>
                <w:sz w:val="22"/>
                <w:szCs w:val="22"/>
              </w:rPr>
              <w:t>5</w:t>
            </w:r>
            <w:r>
              <w:rPr>
                <w:spacing w:val="-1"/>
                <w:sz w:val="22"/>
                <w:szCs w:val="22"/>
              </w:rPr>
              <w:t xml:space="preserve"> (0,3</w:t>
            </w:r>
            <w:r>
              <w:rPr>
                <w:sz w:val="22"/>
                <w:szCs w:val="22"/>
              </w:rPr>
              <w:t>,</w:t>
            </w:r>
            <w:r>
              <w:rPr>
                <w:spacing w:val="-1"/>
                <w:sz w:val="22"/>
                <w:szCs w:val="22"/>
              </w:rPr>
              <w:t xml:space="preserve"> 27)</w:t>
            </w:r>
          </w:p>
        </w:tc>
        <w:tc>
          <w:tcPr>
            <w:tcW w:w="1080" w:type="dxa"/>
            <w:tcBorders>
              <w:top w:val="single" w:sz="4" w:space="0" w:color="000000"/>
              <w:left w:val="single" w:sz="4" w:space="0" w:color="000000"/>
              <w:bottom w:val="single" w:sz="4" w:space="0" w:color="000000"/>
              <w:right w:val="single" w:sz="4" w:space="0" w:color="000000"/>
            </w:tcBorders>
            <w:vAlign w:val="center"/>
          </w:tcPr>
          <w:p w14:paraId="3B534552" w14:textId="77777777" w:rsidR="009A4BFE" w:rsidRDefault="0051186A">
            <w:pPr>
              <w:pStyle w:val="TableParagraph"/>
              <w:kinsoku w:val="0"/>
              <w:overflowPunct w:val="0"/>
              <w:spacing w:line="251" w:lineRule="exact"/>
              <w:ind w:left="195"/>
              <w:jc w:val="center"/>
              <w:rPr>
                <w:sz w:val="22"/>
                <w:szCs w:val="22"/>
              </w:rPr>
            </w:pPr>
            <w:r>
              <w:rPr>
                <w:sz w:val="22"/>
                <w:szCs w:val="22"/>
              </w:rPr>
              <w:t>0,0444</w:t>
            </w:r>
            <w:r>
              <w:rPr>
                <w:position w:val="10"/>
                <w:sz w:val="22"/>
                <w:szCs w:val="22"/>
              </w:rPr>
              <w:t>d</w:t>
            </w:r>
          </w:p>
        </w:tc>
      </w:tr>
      <w:tr w:rsidR="009A4BFE" w14:paraId="2C6E3C63" w14:textId="77777777">
        <w:trPr>
          <w:trHeight w:hRule="exact" w:val="339"/>
        </w:trPr>
        <w:tc>
          <w:tcPr>
            <w:tcW w:w="2155" w:type="dxa"/>
            <w:tcBorders>
              <w:top w:val="single" w:sz="4" w:space="0" w:color="000000"/>
              <w:left w:val="single" w:sz="4" w:space="0" w:color="000000"/>
              <w:bottom w:val="single" w:sz="4" w:space="0" w:color="000000"/>
              <w:right w:val="single" w:sz="4" w:space="0" w:color="000000"/>
            </w:tcBorders>
          </w:tcPr>
          <w:p w14:paraId="3923C6A4" w14:textId="77777777" w:rsidR="009A4BFE" w:rsidRDefault="0051186A">
            <w:pPr>
              <w:tabs>
                <w:tab w:val="clear" w:pos="567"/>
              </w:tabs>
              <w:autoSpaceDE w:val="0"/>
              <w:autoSpaceDN w:val="0"/>
              <w:adjustRightInd w:val="0"/>
              <w:spacing w:line="240" w:lineRule="auto"/>
              <w:jc w:val="both"/>
              <w:rPr>
                <w:rFonts w:eastAsia="TimesNewRoman"/>
                <w:snapToGrid/>
                <w:szCs w:val="22"/>
                <w:lang w:val="lt-LT"/>
              </w:rPr>
            </w:pPr>
            <w:r>
              <w:rPr>
                <w:rFonts w:eastAsia="TimesNewRoman"/>
                <w:snapToGrid/>
                <w:szCs w:val="22"/>
                <w:lang w:val="lt-LT"/>
              </w:rPr>
              <w:t xml:space="preserve">Kardiovaskulinės </w:t>
            </w:r>
            <w:r>
              <w:rPr>
                <w:rFonts w:eastAsia="TimesNewRoman"/>
                <w:szCs w:val="22"/>
                <w:lang w:val="lt-LT"/>
              </w:rPr>
              <w:t>mirtys</w:t>
            </w:r>
            <w:r>
              <w:rPr>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2C885F2A" w14:textId="77777777" w:rsidR="009A4BFE" w:rsidRDefault="0051186A">
            <w:pPr>
              <w:pStyle w:val="TableParagraph"/>
              <w:kinsoku w:val="0"/>
              <w:overflowPunct w:val="0"/>
              <w:spacing w:line="248" w:lineRule="exact"/>
              <w:ind w:left="510" w:right="514"/>
              <w:jc w:val="center"/>
              <w:rPr>
                <w:sz w:val="22"/>
                <w:szCs w:val="22"/>
              </w:rPr>
            </w:pPr>
            <w:r>
              <w:rPr>
                <w:sz w:val="22"/>
                <w:szCs w:val="22"/>
              </w:rPr>
              <w:t>3,8</w:t>
            </w:r>
          </w:p>
        </w:tc>
        <w:tc>
          <w:tcPr>
            <w:tcW w:w="1380" w:type="dxa"/>
            <w:tcBorders>
              <w:top w:val="single" w:sz="4" w:space="0" w:color="000000"/>
              <w:left w:val="single" w:sz="4" w:space="0" w:color="000000"/>
              <w:bottom w:val="single" w:sz="4" w:space="0" w:color="000000"/>
              <w:right w:val="single" w:sz="4" w:space="0" w:color="000000"/>
            </w:tcBorders>
            <w:vAlign w:val="center"/>
          </w:tcPr>
          <w:p w14:paraId="06B7A315" w14:textId="77777777" w:rsidR="009A4BFE" w:rsidRDefault="0051186A">
            <w:pPr>
              <w:pStyle w:val="TableParagraph"/>
              <w:kinsoku w:val="0"/>
              <w:overflowPunct w:val="0"/>
              <w:spacing w:line="248" w:lineRule="exact"/>
              <w:ind w:left="560" w:right="493"/>
              <w:jc w:val="center"/>
              <w:rPr>
                <w:sz w:val="22"/>
                <w:szCs w:val="22"/>
              </w:rPr>
            </w:pPr>
            <w:r>
              <w:rPr>
                <w:sz w:val="22"/>
                <w:szCs w:val="22"/>
              </w:rPr>
              <w:t>4,8</w:t>
            </w:r>
          </w:p>
        </w:tc>
        <w:tc>
          <w:tcPr>
            <w:tcW w:w="1170" w:type="dxa"/>
            <w:tcBorders>
              <w:top w:val="single" w:sz="4" w:space="0" w:color="000000"/>
              <w:left w:val="single" w:sz="4" w:space="0" w:color="000000"/>
              <w:bottom w:val="single" w:sz="4" w:space="0" w:color="000000"/>
              <w:right w:val="single" w:sz="4" w:space="0" w:color="000000"/>
            </w:tcBorders>
            <w:vAlign w:val="center"/>
          </w:tcPr>
          <w:p w14:paraId="4DF8016B" w14:textId="77777777" w:rsidR="009A4BFE" w:rsidRDefault="0051186A">
            <w:pPr>
              <w:pStyle w:val="TableParagraph"/>
              <w:kinsoku w:val="0"/>
              <w:overflowPunct w:val="0"/>
              <w:spacing w:line="248" w:lineRule="exact"/>
              <w:ind w:left="373"/>
              <w:jc w:val="center"/>
              <w:rPr>
                <w:sz w:val="22"/>
                <w:szCs w:val="22"/>
              </w:rPr>
            </w:pPr>
            <w:r>
              <w:rPr>
                <w:sz w:val="22"/>
                <w:szCs w:val="22"/>
              </w:rPr>
              <w:t>1,1</w:t>
            </w:r>
          </w:p>
        </w:tc>
        <w:tc>
          <w:tcPr>
            <w:tcW w:w="1323" w:type="dxa"/>
            <w:tcBorders>
              <w:top w:val="single" w:sz="4" w:space="0" w:color="000000"/>
              <w:left w:val="single" w:sz="4" w:space="0" w:color="000000"/>
              <w:bottom w:val="single" w:sz="4" w:space="0" w:color="000000"/>
              <w:right w:val="single" w:sz="4" w:space="0" w:color="000000"/>
            </w:tcBorders>
            <w:vAlign w:val="center"/>
          </w:tcPr>
          <w:p w14:paraId="3E5B46D4" w14:textId="77777777" w:rsidR="009A4BFE" w:rsidRDefault="0051186A">
            <w:pPr>
              <w:pStyle w:val="TableParagraph"/>
              <w:kinsoku w:val="0"/>
              <w:overflowPunct w:val="0"/>
              <w:spacing w:line="248" w:lineRule="exact"/>
              <w:ind w:left="363"/>
              <w:jc w:val="center"/>
              <w:rPr>
                <w:sz w:val="22"/>
                <w:szCs w:val="22"/>
              </w:rPr>
            </w:pPr>
            <w:r>
              <w:rPr>
                <w:spacing w:val="-1"/>
                <w:sz w:val="22"/>
                <w:szCs w:val="22"/>
              </w:rPr>
              <w:t>2</w:t>
            </w:r>
            <w:r>
              <w:rPr>
                <w:sz w:val="22"/>
                <w:szCs w:val="22"/>
              </w:rPr>
              <w:t>1</w:t>
            </w:r>
            <w:r>
              <w:rPr>
                <w:spacing w:val="-1"/>
                <w:sz w:val="22"/>
                <w:szCs w:val="22"/>
              </w:rPr>
              <w:t xml:space="preserve"> (9</w:t>
            </w:r>
            <w:r>
              <w:rPr>
                <w:sz w:val="22"/>
                <w:szCs w:val="22"/>
              </w:rPr>
              <w:t>,</w:t>
            </w:r>
            <w:r>
              <w:rPr>
                <w:spacing w:val="-1"/>
                <w:sz w:val="22"/>
                <w:szCs w:val="22"/>
              </w:rPr>
              <w:t xml:space="preserve"> 31)</w:t>
            </w:r>
          </w:p>
        </w:tc>
        <w:tc>
          <w:tcPr>
            <w:tcW w:w="1080" w:type="dxa"/>
            <w:tcBorders>
              <w:top w:val="single" w:sz="4" w:space="0" w:color="000000"/>
              <w:left w:val="single" w:sz="4" w:space="0" w:color="000000"/>
              <w:bottom w:val="single" w:sz="4" w:space="0" w:color="000000"/>
              <w:right w:val="single" w:sz="4" w:space="0" w:color="000000"/>
            </w:tcBorders>
            <w:vAlign w:val="center"/>
          </w:tcPr>
          <w:p w14:paraId="4EB90E81" w14:textId="77777777" w:rsidR="009A4BFE" w:rsidRDefault="0051186A">
            <w:pPr>
              <w:pStyle w:val="TableParagraph"/>
              <w:kinsoku w:val="0"/>
              <w:overflowPunct w:val="0"/>
              <w:spacing w:line="248" w:lineRule="exact"/>
              <w:ind w:left="231"/>
              <w:jc w:val="center"/>
              <w:rPr>
                <w:sz w:val="22"/>
                <w:szCs w:val="22"/>
              </w:rPr>
            </w:pPr>
            <w:r>
              <w:rPr>
                <w:sz w:val="22"/>
                <w:szCs w:val="22"/>
              </w:rPr>
              <w:t>0,0013</w:t>
            </w:r>
          </w:p>
        </w:tc>
      </w:tr>
      <w:tr w:rsidR="009A4BFE" w14:paraId="286361DC" w14:textId="77777777">
        <w:trPr>
          <w:trHeight w:hRule="exact" w:val="647"/>
        </w:trPr>
        <w:tc>
          <w:tcPr>
            <w:tcW w:w="2155" w:type="dxa"/>
            <w:tcBorders>
              <w:top w:val="single" w:sz="4" w:space="0" w:color="000000"/>
              <w:left w:val="single" w:sz="4" w:space="0" w:color="000000"/>
              <w:bottom w:val="single" w:sz="4" w:space="0" w:color="000000"/>
              <w:right w:val="single" w:sz="4" w:space="0" w:color="000000"/>
            </w:tcBorders>
          </w:tcPr>
          <w:p w14:paraId="1C0F6D6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MI (išskyrus </w:t>
            </w:r>
            <w:proofErr w:type="spellStart"/>
            <w:r>
              <w:rPr>
                <w:rFonts w:eastAsia="TimesNewRoman"/>
                <w:snapToGrid/>
                <w:szCs w:val="22"/>
                <w:lang w:val="lt-LT"/>
              </w:rPr>
              <w:t>b</w:t>
            </w:r>
            <w:r>
              <w:rPr>
                <w:rFonts w:eastAsia="TimesNewRoman"/>
                <w:szCs w:val="22"/>
                <w:lang w:val="lt-LT"/>
              </w:rPr>
              <w:t>esimptomius</w:t>
            </w:r>
            <w:proofErr w:type="spellEnd"/>
            <w:r>
              <w:rPr>
                <w:szCs w:val="22"/>
                <w:lang w:val="lt-LT"/>
              </w:rPr>
              <w:t>)</w:t>
            </w:r>
            <w:r>
              <w:rPr>
                <w:position w:val="10"/>
                <w:sz w:val="20"/>
                <w:lang w:val="lt-LT"/>
              </w:rPr>
              <w:t>b</w:t>
            </w:r>
          </w:p>
        </w:tc>
        <w:tc>
          <w:tcPr>
            <w:tcW w:w="1409" w:type="dxa"/>
            <w:tcBorders>
              <w:top w:val="single" w:sz="4" w:space="0" w:color="000000"/>
              <w:left w:val="single" w:sz="4" w:space="0" w:color="000000"/>
              <w:bottom w:val="single" w:sz="4" w:space="0" w:color="000000"/>
              <w:right w:val="single" w:sz="4" w:space="0" w:color="000000"/>
            </w:tcBorders>
            <w:vAlign w:val="center"/>
          </w:tcPr>
          <w:p w14:paraId="16E57857" w14:textId="77777777" w:rsidR="009A4BFE" w:rsidRDefault="0051186A">
            <w:pPr>
              <w:pStyle w:val="TableParagraph"/>
              <w:kinsoku w:val="0"/>
              <w:overflowPunct w:val="0"/>
              <w:spacing w:line="251" w:lineRule="exact"/>
              <w:ind w:left="510" w:right="514"/>
              <w:jc w:val="center"/>
              <w:rPr>
                <w:sz w:val="22"/>
                <w:szCs w:val="22"/>
                <w:lang w:val="lt-LT"/>
              </w:rPr>
            </w:pPr>
            <w:r>
              <w:rPr>
                <w:sz w:val="22"/>
                <w:szCs w:val="22"/>
                <w:lang w:val="lt-LT"/>
              </w:rPr>
              <w:t>5,4</w:t>
            </w:r>
          </w:p>
        </w:tc>
        <w:tc>
          <w:tcPr>
            <w:tcW w:w="1380" w:type="dxa"/>
            <w:tcBorders>
              <w:top w:val="single" w:sz="4" w:space="0" w:color="000000"/>
              <w:left w:val="single" w:sz="4" w:space="0" w:color="000000"/>
              <w:bottom w:val="single" w:sz="4" w:space="0" w:color="000000"/>
              <w:right w:val="single" w:sz="4" w:space="0" w:color="000000"/>
            </w:tcBorders>
            <w:vAlign w:val="center"/>
          </w:tcPr>
          <w:p w14:paraId="7C466C9B" w14:textId="77777777" w:rsidR="009A4BFE" w:rsidRDefault="0051186A">
            <w:pPr>
              <w:pStyle w:val="TableParagraph"/>
              <w:kinsoku w:val="0"/>
              <w:overflowPunct w:val="0"/>
              <w:spacing w:line="251" w:lineRule="exact"/>
              <w:ind w:left="560" w:right="493"/>
              <w:jc w:val="center"/>
              <w:rPr>
                <w:sz w:val="22"/>
                <w:szCs w:val="22"/>
              </w:rPr>
            </w:pPr>
            <w:r>
              <w:rPr>
                <w:sz w:val="22"/>
                <w:szCs w:val="22"/>
              </w:rPr>
              <w:t>6,4</w:t>
            </w:r>
          </w:p>
        </w:tc>
        <w:tc>
          <w:tcPr>
            <w:tcW w:w="1170" w:type="dxa"/>
            <w:tcBorders>
              <w:top w:val="single" w:sz="4" w:space="0" w:color="000000"/>
              <w:left w:val="single" w:sz="4" w:space="0" w:color="000000"/>
              <w:bottom w:val="single" w:sz="4" w:space="0" w:color="000000"/>
              <w:right w:val="single" w:sz="4" w:space="0" w:color="000000"/>
            </w:tcBorders>
            <w:vAlign w:val="center"/>
          </w:tcPr>
          <w:p w14:paraId="34C16FB2" w14:textId="77777777" w:rsidR="009A4BFE" w:rsidRDefault="0051186A">
            <w:pPr>
              <w:pStyle w:val="TableParagraph"/>
              <w:kinsoku w:val="0"/>
              <w:overflowPunct w:val="0"/>
              <w:spacing w:line="251" w:lineRule="exact"/>
              <w:ind w:left="373"/>
              <w:jc w:val="center"/>
              <w:rPr>
                <w:sz w:val="22"/>
                <w:szCs w:val="22"/>
              </w:rPr>
            </w:pPr>
            <w:r>
              <w:rPr>
                <w:sz w:val="22"/>
                <w:szCs w:val="22"/>
              </w:rPr>
              <w:t>1,1</w:t>
            </w:r>
          </w:p>
        </w:tc>
        <w:tc>
          <w:tcPr>
            <w:tcW w:w="1323" w:type="dxa"/>
            <w:tcBorders>
              <w:top w:val="single" w:sz="4" w:space="0" w:color="000000"/>
              <w:left w:val="single" w:sz="4" w:space="0" w:color="000000"/>
              <w:bottom w:val="single" w:sz="4" w:space="0" w:color="000000"/>
              <w:right w:val="single" w:sz="4" w:space="0" w:color="000000"/>
            </w:tcBorders>
            <w:vAlign w:val="center"/>
          </w:tcPr>
          <w:p w14:paraId="7BE6BD07" w14:textId="77777777" w:rsidR="009A4BFE" w:rsidRDefault="0051186A">
            <w:pPr>
              <w:pStyle w:val="TableParagraph"/>
              <w:kinsoku w:val="0"/>
              <w:overflowPunct w:val="0"/>
              <w:spacing w:line="251" w:lineRule="exact"/>
              <w:ind w:left="363"/>
              <w:jc w:val="center"/>
              <w:rPr>
                <w:sz w:val="22"/>
                <w:szCs w:val="22"/>
              </w:rPr>
            </w:pPr>
            <w:r>
              <w:rPr>
                <w:spacing w:val="-1"/>
                <w:sz w:val="22"/>
                <w:szCs w:val="22"/>
              </w:rPr>
              <w:t>1</w:t>
            </w:r>
            <w:r>
              <w:rPr>
                <w:sz w:val="22"/>
                <w:szCs w:val="22"/>
              </w:rPr>
              <w:t>6</w:t>
            </w:r>
            <w:r>
              <w:rPr>
                <w:spacing w:val="-1"/>
                <w:sz w:val="22"/>
                <w:szCs w:val="22"/>
              </w:rPr>
              <w:t xml:space="preserve"> (5</w:t>
            </w:r>
            <w:r>
              <w:rPr>
                <w:sz w:val="22"/>
                <w:szCs w:val="22"/>
              </w:rPr>
              <w:t>,</w:t>
            </w:r>
            <w:r>
              <w:rPr>
                <w:spacing w:val="-1"/>
                <w:sz w:val="22"/>
                <w:szCs w:val="22"/>
              </w:rPr>
              <w:t xml:space="preserve"> 25)</w:t>
            </w:r>
          </w:p>
        </w:tc>
        <w:tc>
          <w:tcPr>
            <w:tcW w:w="1080" w:type="dxa"/>
            <w:tcBorders>
              <w:top w:val="single" w:sz="4" w:space="0" w:color="000000"/>
              <w:left w:val="single" w:sz="4" w:space="0" w:color="000000"/>
              <w:bottom w:val="single" w:sz="4" w:space="0" w:color="000000"/>
              <w:right w:val="single" w:sz="4" w:space="0" w:color="000000"/>
            </w:tcBorders>
            <w:vAlign w:val="center"/>
          </w:tcPr>
          <w:p w14:paraId="5DEEACAD" w14:textId="77777777" w:rsidR="009A4BFE" w:rsidRDefault="0051186A">
            <w:pPr>
              <w:pStyle w:val="TableParagraph"/>
              <w:kinsoku w:val="0"/>
              <w:overflowPunct w:val="0"/>
              <w:spacing w:line="251" w:lineRule="exact"/>
              <w:ind w:left="231"/>
              <w:jc w:val="center"/>
              <w:rPr>
                <w:sz w:val="22"/>
                <w:szCs w:val="22"/>
              </w:rPr>
            </w:pPr>
            <w:r>
              <w:rPr>
                <w:sz w:val="22"/>
                <w:szCs w:val="22"/>
              </w:rPr>
              <w:t>0,0045</w:t>
            </w:r>
          </w:p>
        </w:tc>
      </w:tr>
      <w:tr w:rsidR="009A4BFE" w14:paraId="4D27B598" w14:textId="77777777">
        <w:trPr>
          <w:trHeight w:hRule="exact" w:val="269"/>
        </w:trPr>
        <w:tc>
          <w:tcPr>
            <w:tcW w:w="2155" w:type="dxa"/>
            <w:tcBorders>
              <w:top w:val="single" w:sz="4" w:space="0" w:color="000000"/>
              <w:left w:val="single" w:sz="4" w:space="0" w:color="000000"/>
              <w:bottom w:val="single" w:sz="4" w:space="0" w:color="000000"/>
              <w:right w:val="single" w:sz="4" w:space="0" w:color="000000"/>
            </w:tcBorders>
          </w:tcPr>
          <w:p w14:paraId="07ADF5D0" w14:textId="77777777" w:rsidR="009A4BFE" w:rsidRDefault="0051186A">
            <w:pPr>
              <w:pStyle w:val="TableParagraph"/>
              <w:kinsoku w:val="0"/>
              <w:overflowPunct w:val="0"/>
              <w:spacing w:before="2"/>
              <w:rPr>
                <w:sz w:val="22"/>
                <w:szCs w:val="22"/>
                <w:lang w:val="lt-LT"/>
              </w:rPr>
            </w:pPr>
            <w:r>
              <w:rPr>
                <w:rFonts w:eastAsia="TimesNewRoman"/>
                <w:sz w:val="22"/>
                <w:szCs w:val="22"/>
                <w:lang w:val="lt-LT"/>
              </w:rPr>
              <w:lastRenderedPageBreak/>
              <w:t>Insultai</w:t>
            </w:r>
            <w:r>
              <w:rPr>
                <w:spacing w:val="-1"/>
                <w:sz w:val="22"/>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37BBEB94" w14:textId="77777777" w:rsidR="009A4BFE" w:rsidRDefault="0051186A">
            <w:pPr>
              <w:pStyle w:val="TableParagraph"/>
              <w:kinsoku w:val="0"/>
              <w:overflowPunct w:val="0"/>
              <w:spacing w:line="248" w:lineRule="exact"/>
              <w:ind w:left="510" w:right="514"/>
              <w:jc w:val="center"/>
              <w:rPr>
                <w:sz w:val="22"/>
                <w:szCs w:val="22"/>
                <w:lang w:val="lt-LT"/>
              </w:rPr>
            </w:pPr>
            <w:r>
              <w:rPr>
                <w:sz w:val="22"/>
                <w:szCs w:val="22"/>
                <w:lang w:val="lt-LT"/>
              </w:rPr>
              <w:t>1,3</w:t>
            </w:r>
          </w:p>
        </w:tc>
        <w:tc>
          <w:tcPr>
            <w:tcW w:w="1380" w:type="dxa"/>
            <w:tcBorders>
              <w:top w:val="single" w:sz="4" w:space="0" w:color="000000"/>
              <w:left w:val="single" w:sz="4" w:space="0" w:color="000000"/>
              <w:bottom w:val="single" w:sz="4" w:space="0" w:color="000000"/>
              <w:right w:val="single" w:sz="4" w:space="0" w:color="000000"/>
            </w:tcBorders>
            <w:vAlign w:val="center"/>
          </w:tcPr>
          <w:p w14:paraId="3F495D64" w14:textId="77777777" w:rsidR="009A4BFE" w:rsidRDefault="0051186A">
            <w:pPr>
              <w:pStyle w:val="TableParagraph"/>
              <w:kinsoku w:val="0"/>
              <w:overflowPunct w:val="0"/>
              <w:spacing w:line="248" w:lineRule="exact"/>
              <w:ind w:right="4"/>
              <w:jc w:val="center"/>
              <w:rPr>
                <w:sz w:val="22"/>
                <w:szCs w:val="22"/>
              </w:rPr>
            </w:pPr>
            <w:r>
              <w:rPr>
                <w:sz w:val="22"/>
                <w:szCs w:val="22"/>
              </w:rPr>
              <w:t>1,1</w:t>
            </w:r>
          </w:p>
        </w:tc>
        <w:tc>
          <w:tcPr>
            <w:tcW w:w="1170" w:type="dxa"/>
            <w:tcBorders>
              <w:top w:val="single" w:sz="4" w:space="0" w:color="000000"/>
              <w:left w:val="single" w:sz="4" w:space="0" w:color="000000"/>
              <w:bottom w:val="single" w:sz="4" w:space="0" w:color="000000"/>
              <w:right w:val="single" w:sz="4" w:space="0" w:color="000000"/>
            </w:tcBorders>
            <w:vAlign w:val="center"/>
          </w:tcPr>
          <w:p w14:paraId="7C9089E2" w14:textId="77777777" w:rsidR="009A4BFE" w:rsidRDefault="0051186A">
            <w:pPr>
              <w:pStyle w:val="TableParagraph"/>
              <w:kinsoku w:val="0"/>
              <w:overflowPunct w:val="0"/>
              <w:spacing w:line="248" w:lineRule="exact"/>
              <w:ind w:left="337"/>
              <w:jc w:val="center"/>
              <w:rPr>
                <w:sz w:val="22"/>
                <w:szCs w:val="22"/>
              </w:rPr>
            </w:pPr>
            <w:r>
              <w:rPr>
                <w:spacing w:val="-4"/>
                <w:sz w:val="22"/>
                <w:szCs w:val="22"/>
              </w:rPr>
              <w:t>-</w:t>
            </w:r>
            <w:r>
              <w:rPr>
                <w:sz w:val="22"/>
                <w:szCs w:val="22"/>
              </w:rPr>
              <w:t>0,2</w:t>
            </w:r>
          </w:p>
        </w:tc>
        <w:tc>
          <w:tcPr>
            <w:tcW w:w="1323" w:type="dxa"/>
            <w:tcBorders>
              <w:top w:val="single" w:sz="4" w:space="0" w:color="000000"/>
              <w:left w:val="single" w:sz="4" w:space="0" w:color="000000"/>
              <w:bottom w:val="single" w:sz="4" w:space="0" w:color="000000"/>
              <w:right w:val="single" w:sz="4" w:space="0" w:color="000000"/>
            </w:tcBorders>
            <w:vAlign w:val="center"/>
          </w:tcPr>
          <w:p w14:paraId="5006AB05" w14:textId="77777777" w:rsidR="009A4BFE" w:rsidRDefault="0051186A">
            <w:pPr>
              <w:pStyle w:val="TableParagraph"/>
              <w:kinsoku w:val="0"/>
              <w:overflowPunct w:val="0"/>
              <w:spacing w:line="248" w:lineRule="exact"/>
              <w:ind w:left="289"/>
              <w:jc w:val="center"/>
              <w:rPr>
                <w:sz w:val="22"/>
                <w:szCs w:val="22"/>
              </w:rPr>
            </w:pPr>
            <w:r>
              <w:rPr>
                <w:spacing w:val="-4"/>
                <w:sz w:val="22"/>
                <w:szCs w:val="22"/>
              </w:rPr>
              <w:t>-</w:t>
            </w:r>
            <w:r>
              <w:rPr>
                <w:sz w:val="22"/>
                <w:szCs w:val="22"/>
              </w:rPr>
              <w:t xml:space="preserve">17 </w:t>
            </w:r>
            <w:r>
              <w:rPr>
                <w:spacing w:val="3"/>
                <w:sz w:val="22"/>
                <w:szCs w:val="22"/>
              </w:rPr>
              <w:t>(</w:t>
            </w:r>
            <w:r>
              <w:rPr>
                <w:spacing w:val="-4"/>
                <w:sz w:val="22"/>
                <w:szCs w:val="22"/>
              </w:rPr>
              <w:t>-</w:t>
            </w:r>
            <w:r>
              <w:rPr>
                <w:sz w:val="22"/>
                <w:szCs w:val="22"/>
              </w:rPr>
              <w:t>52, 9)</w:t>
            </w:r>
          </w:p>
        </w:tc>
        <w:tc>
          <w:tcPr>
            <w:tcW w:w="1080" w:type="dxa"/>
            <w:tcBorders>
              <w:top w:val="single" w:sz="4" w:space="0" w:color="000000"/>
              <w:left w:val="single" w:sz="4" w:space="0" w:color="000000"/>
              <w:bottom w:val="single" w:sz="4" w:space="0" w:color="000000"/>
              <w:right w:val="single" w:sz="4" w:space="0" w:color="000000"/>
            </w:tcBorders>
            <w:vAlign w:val="center"/>
          </w:tcPr>
          <w:p w14:paraId="2ADBCBD7" w14:textId="77777777" w:rsidR="009A4BFE" w:rsidRDefault="0051186A">
            <w:pPr>
              <w:pStyle w:val="TableParagraph"/>
              <w:kinsoku w:val="0"/>
              <w:overflowPunct w:val="0"/>
              <w:spacing w:line="248" w:lineRule="exact"/>
              <w:ind w:left="231"/>
              <w:jc w:val="center"/>
              <w:rPr>
                <w:sz w:val="22"/>
                <w:szCs w:val="22"/>
              </w:rPr>
            </w:pPr>
            <w:r>
              <w:rPr>
                <w:sz w:val="22"/>
                <w:szCs w:val="22"/>
              </w:rPr>
              <w:t>0,2249</w:t>
            </w:r>
          </w:p>
        </w:tc>
      </w:tr>
      <w:tr w:rsidR="009A4BFE" w14:paraId="3056224E" w14:textId="77777777">
        <w:trPr>
          <w:trHeight w:hRule="exact" w:val="1168"/>
        </w:trPr>
        <w:tc>
          <w:tcPr>
            <w:tcW w:w="2155" w:type="dxa"/>
            <w:tcBorders>
              <w:top w:val="single" w:sz="4" w:space="0" w:color="000000"/>
              <w:left w:val="single" w:sz="4" w:space="0" w:color="000000"/>
              <w:bottom w:val="single" w:sz="4" w:space="0" w:color="000000"/>
              <w:right w:val="single" w:sz="4" w:space="0" w:color="000000"/>
            </w:tcBorders>
          </w:tcPr>
          <w:p w14:paraId="076E74C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Mirtys dėl visų priežasčių, MI (išskyrus</w:t>
            </w:r>
          </w:p>
          <w:p w14:paraId="33834ACA"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besimptomius</w:t>
            </w:r>
            <w:proofErr w:type="spellEnd"/>
            <w:r>
              <w:rPr>
                <w:rFonts w:eastAsia="TimesNewRoman"/>
                <w:snapToGrid/>
                <w:szCs w:val="22"/>
                <w:lang w:val="lt-LT"/>
              </w:rPr>
              <w:t xml:space="preserve">) ir </w:t>
            </w:r>
            <w:r>
              <w:rPr>
                <w:rFonts w:eastAsia="TimesNewRoman"/>
                <w:szCs w:val="22"/>
                <w:lang w:val="lt-LT"/>
              </w:rPr>
              <w:t>insultai</w:t>
            </w:r>
          </w:p>
        </w:tc>
        <w:tc>
          <w:tcPr>
            <w:tcW w:w="1409" w:type="dxa"/>
            <w:tcBorders>
              <w:top w:val="single" w:sz="4" w:space="0" w:color="000000"/>
              <w:left w:val="single" w:sz="4" w:space="0" w:color="000000"/>
              <w:bottom w:val="single" w:sz="4" w:space="0" w:color="000000"/>
              <w:right w:val="single" w:sz="4" w:space="0" w:color="000000"/>
            </w:tcBorders>
            <w:vAlign w:val="center"/>
          </w:tcPr>
          <w:p w14:paraId="4ED90651" w14:textId="77777777" w:rsidR="009A4BFE" w:rsidRDefault="0051186A">
            <w:pPr>
              <w:pStyle w:val="TableParagraph"/>
              <w:kinsoku w:val="0"/>
              <w:overflowPunct w:val="0"/>
              <w:ind w:left="67"/>
              <w:jc w:val="center"/>
              <w:rPr>
                <w:sz w:val="22"/>
                <w:szCs w:val="22"/>
                <w:lang w:val="lt-LT"/>
              </w:rPr>
            </w:pPr>
            <w:r>
              <w:rPr>
                <w:sz w:val="22"/>
                <w:szCs w:val="22"/>
                <w:lang w:val="lt-LT"/>
              </w:rPr>
              <w:t>9,7</w:t>
            </w:r>
          </w:p>
        </w:tc>
        <w:tc>
          <w:tcPr>
            <w:tcW w:w="1380" w:type="dxa"/>
            <w:tcBorders>
              <w:top w:val="single" w:sz="4" w:space="0" w:color="000000"/>
              <w:left w:val="single" w:sz="4" w:space="0" w:color="000000"/>
              <w:bottom w:val="single" w:sz="4" w:space="0" w:color="000000"/>
              <w:right w:val="single" w:sz="4" w:space="0" w:color="000000"/>
            </w:tcBorders>
            <w:vAlign w:val="center"/>
          </w:tcPr>
          <w:p w14:paraId="76D43095" w14:textId="77777777" w:rsidR="009A4BFE" w:rsidRDefault="0051186A">
            <w:pPr>
              <w:pStyle w:val="TableParagraph"/>
              <w:kinsoku w:val="0"/>
              <w:overflowPunct w:val="0"/>
              <w:ind w:left="527"/>
              <w:jc w:val="center"/>
              <w:rPr>
                <w:sz w:val="22"/>
                <w:szCs w:val="22"/>
              </w:rPr>
            </w:pPr>
            <w:r>
              <w:rPr>
                <w:sz w:val="22"/>
                <w:szCs w:val="22"/>
              </w:rPr>
              <w:t>11,5</w:t>
            </w:r>
          </w:p>
        </w:tc>
        <w:tc>
          <w:tcPr>
            <w:tcW w:w="1170" w:type="dxa"/>
            <w:tcBorders>
              <w:top w:val="single" w:sz="4" w:space="0" w:color="000000"/>
              <w:left w:val="single" w:sz="4" w:space="0" w:color="000000"/>
              <w:bottom w:val="single" w:sz="4" w:space="0" w:color="000000"/>
              <w:right w:val="single" w:sz="4" w:space="0" w:color="000000"/>
            </w:tcBorders>
            <w:vAlign w:val="center"/>
          </w:tcPr>
          <w:p w14:paraId="4558B831" w14:textId="77777777" w:rsidR="009A4BFE" w:rsidRDefault="0051186A">
            <w:pPr>
              <w:pStyle w:val="TableParagraph"/>
              <w:kinsoku w:val="0"/>
              <w:overflowPunct w:val="0"/>
              <w:ind w:left="373"/>
              <w:jc w:val="center"/>
              <w:rPr>
                <w:sz w:val="22"/>
                <w:szCs w:val="22"/>
              </w:rPr>
            </w:pPr>
            <w:r>
              <w:rPr>
                <w:sz w:val="22"/>
                <w:szCs w:val="22"/>
              </w:rPr>
              <w:t>2,1</w:t>
            </w:r>
          </w:p>
        </w:tc>
        <w:tc>
          <w:tcPr>
            <w:tcW w:w="1323" w:type="dxa"/>
            <w:tcBorders>
              <w:top w:val="single" w:sz="4" w:space="0" w:color="000000"/>
              <w:left w:val="single" w:sz="4" w:space="0" w:color="000000"/>
              <w:bottom w:val="single" w:sz="4" w:space="0" w:color="000000"/>
              <w:right w:val="single" w:sz="4" w:space="0" w:color="000000"/>
            </w:tcBorders>
            <w:vAlign w:val="center"/>
          </w:tcPr>
          <w:p w14:paraId="779F1793" w14:textId="77777777" w:rsidR="009A4BFE" w:rsidRDefault="0051186A">
            <w:pPr>
              <w:pStyle w:val="TableParagraph"/>
              <w:kinsoku w:val="0"/>
              <w:overflowPunct w:val="0"/>
              <w:ind w:left="363"/>
              <w:jc w:val="center"/>
              <w:rPr>
                <w:sz w:val="22"/>
                <w:szCs w:val="22"/>
              </w:rPr>
            </w:pPr>
            <w:r>
              <w:rPr>
                <w:spacing w:val="-1"/>
                <w:sz w:val="22"/>
                <w:szCs w:val="22"/>
              </w:rPr>
              <w:t>1</w:t>
            </w:r>
            <w:r>
              <w:rPr>
                <w:sz w:val="22"/>
                <w:szCs w:val="22"/>
              </w:rPr>
              <w:t>6</w:t>
            </w:r>
            <w:r>
              <w:rPr>
                <w:spacing w:val="-1"/>
                <w:sz w:val="22"/>
                <w:szCs w:val="22"/>
              </w:rPr>
              <w:t xml:space="preserve"> (8</w:t>
            </w:r>
            <w:r>
              <w:rPr>
                <w:sz w:val="22"/>
                <w:szCs w:val="22"/>
              </w:rPr>
              <w:t>,</w:t>
            </w:r>
            <w:r>
              <w:rPr>
                <w:spacing w:val="-1"/>
                <w:sz w:val="22"/>
                <w:szCs w:val="22"/>
              </w:rPr>
              <w:t xml:space="preserve"> 23)</w:t>
            </w:r>
          </w:p>
        </w:tc>
        <w:tc>
          <w:tcPr>
            <w:tcW w:w="1080" w:type="dxa"/>
            <w:tcBorders>
              <w:top w:val="single" w:sz="4" w:space="0" w:color="000000"/>
              <w:left w:val="single" w:sz="4" w:space="0" w:color="000000"/>
              <w:bottom w:val="single" w:sz="4" w:space="0" w:color="000000"/>
              <w:right w:val="single" w:sz="4" w:space="0" w:color="000000"/>
            </w:tcBorders>
            <w:vAlign w:val="center"/>
          </w:tcPr>
          <w:p w14:paraId="2D585232" w14:textId="77777777" w:rsidR="009A4BFE" w:rsidRDefault="0051186A">
            <w:pPr>
              <w:pStyle w:val="TableParagraph"/>
              <w:kinsoku w:val="0"/>
              <w:overflowPunct w:val="0"/>
              <w:ind w:left="231"/>
              <w:jc w:val="center"/>
              <w:rPr>
                <w:sz w:val="22"/>
                <w:szCs w:val="22"/>
              </w:rPr>
            </w:pPr>
            <w:r>
              <w:rPr>
                <w:sz w:val="22"/>
                <w:szCs w:val="22"/>
              </w:rPr>
              <w:t>0,0001</w:t>
            </w:r>
          </w:p>
        </w:tc>
      </w:tr>
      <w:tr w:rsidR="009A4BFE" w14:paraId="452B21C1" w14:textId="77777777">
        <w:trPr>
          <w:trHeight w:hRule="exact" w:val="1385"/>
        </w:trPr>
        <w:tc>
          <w:tcPr>
            <w:tcW w:w="2155" w:type="dxa"/>
            <w:tcBorders>
              <w:top w:val="single" w:sz="4" w:space="0" w:color="000000"/>
              <w:left w:val="single" w:sz="4" w:space="0" w:color="000000"/>
              <w:bottom w:val="single" w:sz="4" w:space="0" w:color="000000"/>
              <w:right w:val="single" w:sz="4" w:space="0" w:color="000000"/>
            </w:tcBorders>
          </w:tcPr>
          <w:p w14:paraId="736ED18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Kardiovaskulinės mirtys, miokardo infarktai (iš viso), insultai, SRI, RI, TIA ir kiti ATE</w:t>
            </w:r>
            <w:r>
              <w:rPr>
                <w:position w:val="10"/>
                <w:szCs w:val="22"/>
                <w:lang w:val="lt-LT"/>
              </w:rPr>
              <w:t>c</w:t>
            </w:r>
          </w:p>
        </w:tc>
        <w:tc>
          <w:tcPr>
            <w:tcW w:w="1409" w:type="dxa"/>
            <w:tcBorders>
              <w:top w:val="single" w:sz="4" w:space="0" w:color="000000"/>
              <w:left w:val="single" w:sz="4" w:space="0" w:color="000000"/>
              <w:bottom w:val="single" w:sz="4" w:space="0" w:color="000000"/>
              <w:right w:val="single" w:sz="4" w:space="0" w:color="000000"/>
            </w:tcBorders>
            <w:vAlign w:val="center"/>
          </w:tcPr>
          <w:p w14:paraId="7D68A438" w14:textId="77777777" w:rsidR="009A4BFE" w:rsidRDefault="0051186A">
            <w:pPr>
              <w:pStyle w:val="TableParagraph"/>
              <w:kinsoku w:val="0"/>
              <w:overflowPunct w:val="0"/>
              <w:jc w:val="center"/>
              <w:rPr>
                <w:sz w:val="22"/>
                <w:szCs w:val="22"/>
                <w:lang w:val="lt-LT"/>
              </w:rPr>
            </w:pPr>
            <w:r>
              <w:rPr>
                <w:sz w:val="22"/>
                <w:szCs w:val="22"/>
                <w:lang w:val="lt-LT"/>
              </w:rPr>
              <w:t>13,8</w:t>
            </w:r>
          </w:p>
        </w:tc>
        <w:tc>
          <w:tcPr>
            <w:tcW w:w="1380" w:type="dxa"/>
            <w:tcBorders>
              <w:top w:val="single" w:sz="4" w:space="0" w:color="000000"/>
              <w:left w:val="single" w:sz="4" w:space="0" w:color="000000"/>
              <w:bottom w:val="single" w:sz="4" w:space="0" w:color="000000"/>
              <w:right w:val="single" w:sz="4" w:space="0" w:color="000000"/>
            </w:tcBorders>
            <w:vAlign w:val="center"/>
          </w:tcPr>
          <w:p w14:paraId="3270EE82" w14:textId="77777777" w:rsidR="009A4BFE" w:rsidRDefault="0051186A">
            <w:pPr>
              <w:pStyle w:val="TableParagraph"/>
              <w:kinsoku w:val="0"/>
              <w:overflowPunct w:val="0"/>
              <w:jc w:val="center"/>
              <w:rPr>
                <w:sz w:val="22"/>
                <w:szCs w:val="22"/>
              </w:rPr>
            </w:pPr>
            <w:r>
              <w:rPr>
                <w:sz w:val="22"/>
                <w:szCs w:val="22"/>
              </w:rPr>
              <w:t>15,7</w:t>
            </w:r>
          </w:p>
        </w:tc>
        <w:tc>
          <w:tcPr>
            <w:tcW w:w="1170" w:type="dxa"/>
            <w:tcBorders>
              <w:top w:val="single" w:sz="4" w:space="0" w:color="000000"/>
              <w:left w:val="single" w:sz="4" w:space="0" w:color="000000"/>
              <w:bottom w:val="single" w:sz="4" w:space="0" w:color="000000"/>
              <w:right w:val="single" w:sz="4" w:space="0" w:color="000000"/>
            </w:tcBorders>
            <w:vAlign w:val="center"/>
          </w:tcPr>
          <w:p w14:paraId="317AB5F0" w14:textId="77777777" w:rsidR="009A4BFE" w:rsidRDefault="0051186A">
            <w:pPr>
              <w:pStyle w:val="TableParagraph"/>
              <w:kinsoku w:val="0"/>
              <w:overflowPunct w:val="0"/>
              <w:ind w:left="373"/>
              <w:jc w:val="center"/>
              <w:rPr>
                <w:sz w:val="22"/>
                <w:szCs w:val="22"/>
              </w:rPr>
            </w:pPr>
            <w:r>
              <w:rPr>
                <w:sz w:val="22"/>
                <w:szCs w:val="22"/>
              </w:rPr>
              <w:t>2,1</w:t>
            </w:r>
          </w:p>
        </w:tc>
        <w:tc>
          <w:tcPr>
            <w:tcW w:w="1323" w:type="dxa"/>
            <w:tcBorders>
              <w:top w:val="single" w:sz="4" w:space="0" w:color="000000"/>
              <w:left w:val="single" w:sz="4" w:space="0" w:color="000000"/>
              <w:bottom w:val="single" w:sz="4" w:space="0" w:color="000000"/>
              <w:right w:val="single" w:sz="4" w:space="0" w:color="000000"/>
            </w:tcBorders>
            <w:vAlign w:val="center"/>
          </w:tcPr>
          <w:p w14:paraId="4BA28151" w14:textId="77777777" w:rsidR="009A4BFE" w:rsidRDefault="0051186A">
            <w:pPr>
              <w:pStyle w:val="TableParagraph"/>
              <w:kinsoku w:val="0"/>
              <w:overflowPunct w:val="0"/>
              <w:ind w:left="363"/>
              <w:jc w:val="center"/>
              <w:rPr>
                <w:sz w:val="22"/>
                <w:szCs w:val="22"/>
              </w:rPr>
            </w:pPr>
            <w:r>
              <w:rPr>
                <w:spacing w:val="-1"/>
                <w:sz w:val="22"/>
                <w:szCs w:val="22"/>
              </w:rPr>
              <w:t>1</w:t>
            </w:r>
            <w:r>
              <w:rPr>
                <w:sz w:val="22"/>
                <w:szCs w:val="22"/>
              </w:rPr>
              <w:t>2</w:t>
            </w:r>
            <w:r>
              <w:rPr>
                <w:spacing w:val="-1"/>
                <w:sz w:val="22"/>
                <w:szCs w:val="22"/>
              </w:rPr>
              <w:t xml:space="preserve"> (5</w:t>
            </w:r>
            <w:r>
              <w:rPr>
                <w:sz w:val="22"/>
                <w:szCs w:val="22"/>
              </w:rPr>
              <w:t>,</w:t>
            </w:r>
            <w:r>
              <w:rPr>
                <w:spacing w:val="-1"/>
                <w:sz w:val="22"/>
                <w:szCs w:val="22"/>
              </w:rPr>
              <w:t xml:space="preserve"> 19)</w:t>
            </w:r>
          </w:p>
        </w:tc>
        <w:tc>
          <w:tcPr>
            <w:tcW w:w="1080" w:type="dxa"/>
            <w:tcBorders>
              <w:top w:val="single" w:sz="4" w:space="0" w:color="000000"/>
              <w:left w:val="single" w:sz="4" w:space="0" w:color="000000"/>
              <w:bottom w:val="single" w:sz="4" w:space="0" w:color="000000"/>
              <w:right w:val="single" w:sz="4" w:space="0" w:color="000000"/>
            </w:tcBorders>
            <w:vAlign w:val="center"/>
          </w:tcPr>
          <w:p w14:paraId="3447E50E" w14:textId="77777777" w:rsidR="009A4BFE" w:rsidRDefault="0051186A">
            <w:pPr>
              <w:pStyle w:val="TableParagraph"/>
              <w:kinsoku w:val="0"/>
              <w:overflowPunct w:val="0"/>
              <w:ind w:left="231"/>
              <w:jc w:val="center"/>
              <w:rPr>
                <w:sz w:val="22"/>
                <w:szCs w:val="22"/>
              </w:rPr>
            </w:pPr>
            <w:r>
              <w:rPr>
                <w:sz w:val="22"/>
                <w:szCs w:val="22"/>
              </w:rPr>
              <w:t>0,0006</w:t>
            </w:r>
          </w:p>
        </w:tc>
      </w:tr>
      <w:tr w:rsidR="009A4BFE" w14:paraId="4495FC5B" w14:textId="77777777">
        <w:trPr>
          <w:trHeight w:hRule="exact" w:val="630"/>
        </w:trPr>
        <w:tc>
          <w:tcPr>
            <w:tcW w:w="2155" w:type="dxa"/>
            <w:tcBorders>
              <w:top w:val="single" w:sz="4" w:space="0" w:color="000000"/>
              <w:left w:val="single" w:sz="4" w:space="0" w:color="000000"/>
              <w:bottom w:val="single" w:sz="4" w:space="0" w:color="000000"/>
              <w:right w:val="single" w:sz="4" w:space="0" w:color="000000"/>
            </w:tcBorders>
          </w:tcPr>
          <w:p w14:paraId="22BAB08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Mirtys dėl visų </w:t>
            </w:r>
            <w:r>
              <w:rPr>
                <w:rFonts w:eastAsia="TimesNewRoman"/>
                <w:szCs w:val="22"/>
                <w:lang w:val="lt-LT"/>
              </w:rPr>
              <w:t>priežasčių</w:t>
            </w:r>
            <w:r>
              <w:rPr>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6F12BC20" w14:textId="77777777" w:rsidR="009A4BFE" w:rsidRDefault="0051186A">
            <w:pPr>
              <w:pStyle w:val="TableParagraph"/>
              <w:kinsoku w:val="0"/>
              <w:overflowPunct w:val="0"/>
              <w:spacing w:before="11"/>
              <w:ind w:left="510" w:right="514"/>
              <w:jc w:val="center"/>
              <w:rPr>
                <w:sz w:val="22"/>
                <w:szCs w:val="22"/>
                <w:lang w:val="lt-LT"/>
              </w:rPr>
            </w:pPr>
            <w:r>
              <w:rPr>
                <w:sz w:val="22"/>
                <w:szCs w:val="22"/>
                <w:lang w:val="lt-LT"/>
              </w:rPr>
              <w:t>4,3</w:t>
            </w:r>
          </w:p>
        </w:tc>
        <w:tc>
          <w:tcPr>
            <w:tcW w:w="1380" w:type="dxa"/>
            <w:tcBorders>
              <w:top w:val="single" w:sz="4" w:space="0" w:color="000000"/>
              <w:left w:val="single" w:sz="4" w:space="0" w:color="000000"/>
              <w:bottom w:val="single" w:sz="4" w:space="0" w:color="000000"/>
              <w:right w:val="single" w:sz="4" w:space="0" w:color="000000"/>
            </w:tcBorders>
            <w:vAlign w:val="center"/>
          </w:tcPr>
          <w:p w14:paraId="3CC80159" w14:textId="77777777" w:rsidR="009A4BFE" w:rsidRDefault="0051186A">
            <w:pPr>
              <w:pStyle w:val="TableParagraph"/>
              <w:kinsoku w:val="0"/>
              <w:overflowPunct w:val="0"/>
              <w:spacing w:before="11"/>
              <w:ind w:left="524" w:right="529"/>
              <w:jc w:val="center"/>
              <w:rPr>
                <w:sz w:val="22"/>
                <w:szCs w:val="22"/>
                <w:lang w:val="lt-LT"/>
              </w:rPr>
            </w:pPr>
            <w:r>
              <w:rPr>
                <w:sz w:val="22"/>
                <w:szCs w:val="22"/>
                <w:lang w:val="lt-LT"/>
              </w:rPr>
              <w:t>5,4</w:t>
            </w:r>
          </w:p>
        </w:tc>
        <w:tc>
          <w:tcPr>
            <w:tcW w:w="1170" w:type="dxa"/>
            <w:tcBorders>
              <w:top w:val="single" w:sz="4" w:space="0" w:color="000000"/>
              <w:left w:val="single" w:sz="4" w:space="0" w:color="000000"/>
              <w:bottom w:val="single" w:sz="4" w:space="0" w:color="000000"/>
              <w:right w:val="single" w:sz="4" w:space="0" w:color="000000"/>
            </w:tcBorders>
            <w:vAlign w:val="center"/>
          </w:tcPr>
          <w:p w14:paraId="5FE8988F" w14:textId="77777777" w:rsidR="009A4BFE" w:rsidRDefault="0051186A">
            <w:pPr>
              <w:pStyle w:val="TableParagraph"/>
              <w:kinsoku w:val="0"/>
              <w:overflowPunct w:val="0"/>
              <w:spacing w:before="11"/>
              <w:jc w:val="center"/>
              <w:rPr>
                <w:sz w:val="22"/>
                <w:szCs w:val="22"/>
                <w:lang w:val="lt-LT"/>
              </w:rPr>
            </w:pPr>
            <w:r>
              <w:rPr>
                <w:sz w:val="22"/>
                <w:szCs w:val="22"/>
                <w:lang w:val="lt-LT"/>
              </w:rPr>
              <w:t>1,4</w:t>
            </w:r>
          </w:p>
        </w:tc>
        <w:tc>
          <w:tcPr>
            <w:tcW w:w="1323" w:type="dxa"/>
            <w:tcBorders>
              <w:top w:val="single" w:sz="4" w:space="0" w:color="000000"/>
              <w:left w:val="single" w:sz="4" w:space="0" w:color="000000"/>
              <w:bottom w:val="single" w:sz="4" w:space="0" w:color="000000"/>
              <w:right w:val="single" w:sz="4" w:space="0" w:color="000000"/>
            </w:tcBorders>
            <w:vAlign w:val="center"/>
          </w:tcPr>
          <w:p w14:paraId="79318EFF" w14:textId="77777777" w:rsidR="009A4BFE" w:rsidRDefault="0051186A">
            <w:pPr>
              <w:pStyle w:val="TableParagraph"/>
              <w:kinsoku w:val="0"/>
              <w:overflowPunct w:val="0"/>
              <w:spacing w:before="11"/>
              <w:ind w:left="272"/>
              <w:jc w:val="center"/>
              <w:rPr>
                <w:sz w:val="22"/>
                <w:szCs w:val="22"/>
                <w:lang w:val="lt-LT"/>
              </w:rPr>
            </w:pPr>
            <w:r>
              <w:rPr>
                <w:spacing w:val="-1"/>
                <w:sz w:val="22"/>
                <w:szCs w:val="22"/>
                <w:lang w:val="lt-LT"/>
              </w:rPr>
              <w:t>2</w:t>
            </w:r>
            <w:r>
              <w:rPr>
                <w:sz w:val="22"/>
                <w:szCs w:val="22"/>
                <w:lang w:val="lt-LT"/>
              </w:rPr>
              <w:t>2</w:t>
            </w:r>
            <w:r>
              <w:rPr>
                <w:spacing w:val="-1"/>
                <w:sz w:val="22"/>
                <w:szCs w:val="22"/>
                <w:lang w:val="lt-LT"/>
              </w:rPr>
              <w:t xml:space="preserve"> (11</w:t>
            </w:r>
            <w:r>
              <w:rPr>
                <w:sz w:val="22"/>
                <w:szCs w:val="22"/>
                <w:lang w:val="lt-LT"/>
              </w:rPr>
              <w:t>,</w:t>
            </w:r>
            <w:r>
              <w:rPr>
                <w:spacing w:val="-1"/>
                <w:sz w:val="22"/>
                <w:szCs w:val="22"/>
                <w:lang w:val="lt-LT"/>
              </w:rPr>
              <w:t xml:space="preserve"> 31)</w:t>
            </w:r>
          </w:p>
        </w:tc>
        <w:tc>
          <w:tcPr>
            <w:tcW w:w="1080" w:type="dxa"/>
            <w:tcBorders>
              <w:top w:val="single" w:sz="4" w:space="0" w:color="000000"/>
              <w:left w:val="single" w:sz="4" w:space="0" w:color="000000"/>
              <w:bottom w:val="single" w:sz="4" w:space="0" w:color="000000"/>
              <w:right w:val="single" w:sz="4" w:space="0" w:color="000000"/>
            </w:tcBorders>
            <w:vAlign w:val="center"/>
          </w:tcPr>
          <w:p w14:paraId="7D47BFCC" w14:textId="77777777" w:rsidR="009A4BFE" w:rsidRDefault="0051186A">
            <w:pPr>
              <w:pStyle w:val="TableParagraph"/>
              <w:kinsoku w:val="0"/>
              <w:overflowPunct w:val="0"/>
              <w:spacing w:line="264" w:lineRule="exact"/>
              <w:ind w:left="195"/>
              <w:jc w:val="center"/>
              <w:rPr>
                <w:sz w:val="22"/>
                <w:szCs w:val="22"/>
                <w:lang w:val="lt-LT"/>
              </w:rPr>
            </w:pPr>
            <w:r>
              <w:rPr>
                <w:sz w:val="22"/>
                <w:szCs w:val="22"/>
                <w:lang w:val="lt-LT"/>
              </w:rPr>
              <w:t>0,0003</w:t>
            </w:r>
            <w:r>
              <w:rPr>
                <w:position w:val="10"/>
                <w:sz w:val="20"/>
                <w:szCs w:val="20"/>
                <w:lang w:val="lt-LT"/>
              </w:rPr>
              <w:t>d</w:t>
            </w:r>
          </w:p>
        </w:tc>
      </w:tr>
      <w:tr w:rsidR="009A4BFE" w14:paraId="47138C19" w14:textId="77777777">
        <w:trPr>
          <w:trHeight w:hRule="exact" w:val="701"/>
        </w:trPr>
        <w:tc>
          <w:tcPr>
            <w:tcW w:w="2155" w:type="dxa"/>
            <w:tcBorders>
              <w:top w:val="single" w:sz="4" w:space="0" w:color="000000"/>
              <w:left w:val="single" w:sz="4" w:space="0" w:color="000000"/>
              <w:bottom w:val="single" w:sz="4" w:space="0" w:color="000000"/>
              <w:right w:val="single" w:sz="4" w:space="0" w:color="000000"/>
            </w:tcBorders>
          </w:tcPr>
          <w:p w14:paraId="48FF03A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Nustatytos </w:t>
            </w:r>
            <w:proofErr w:type="spellStart"/>
            <w:r>
              <w:rPr>
                <w:rFonts w:eastAsia="TimesNewRoman"/>
                <w:snapToGrid/>
                <w:szCs w:val="22"/>
                <w:lang w:val="lt-LT"/>
              </w:rPr>
              <w:t>stento</w:t>
            </w:r>
            <w:proofErr w:type="spellEnd"/>
            <w:r>
              <w:rPr>
                <w:rFonts w:eastAsia="TimesNewRoman"/>
                <w:snapToGrid/>
                <w:szCs w:val="22"/>
                <w:lang w:val="lt-LT"/>
              </w:rPr>
              <w:t xml:space="preserve"> </w:t>
            </w:r>
            <w:r>
              <w:rPr>
                <w:rFonts w:eastAsia="TimesNewRoman"/>
                <w:szCs w:val="22"/>
                <w:lang w:val="lt-LT"/>
              </w:rPr>
              <w:t>trombozės</w:t>
            </w:r>
            <w:r>
              <w:rPr>
                <w:spacing w:val="-1"/>
                <w:szCs w:val="22"/>
                <w:lang w:val="lt-LT"/>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14:paraId="7A3BFA47" w14:textId="77777777" w:rsidR="009A4BFE" w:rsidRDefault="0051186A">
            <w:pPr>
              <w:pStyle w:val="TableParagraph"/>
              <w:kinsoku w:val="0"/>
              <w:overflowPunct w:val="0"/>
              <w:ind w:left="510" w:right="514"/>
              <w:jc w:val="center"/>
              <w:rPr>
                <w:sz w:val="22"/>
                <w:szCs w:val="22"/>
                <w:lang w:val="lt-LT"/>
              </w:rPr>
            </w:pPr>
            <w:r>
              <w:rPr>
                <w:sz w:val="22"/>
                <w:szCs w:val="22"/>
                <w:lang w:val="lt-LT"/>
              </w:rPr>
              <w:t>1,2</w:t>
            </w:r>
          </w:p>
        </w:tc>
        <w:tc>
          <w:tcPr>
            <w:tcW w:w="1380" w:type="dxa"/>
            <w:tcBorders>
              <w:top w:val="single" w:sz="4" w:space="0" w:color="000000"/>
              <w:left w:val="single" w:sz="4" w:space="0" w:color="000000"/>
              <w:bottom w:val="single" w:sz="4" w:space="0" w:color="000000"/>
              <w:right w:val="single" w:sz="4" w:space="0" w:color="000000"/>
            </w:tcBorders>
            <w:vAlign w:val="center"/>
          </w:tcPr>
          <w:p w14:paraId="69FD631C" w14:textId="77777777" w:rsidR="009A4BFE" w:rsidRDefault="0051186A">
            <w:pPr>
              <w:pStyle w:val="TableParagraph"/>
              <w:kinsoku w:val="0"/>
              <w:overflowPunct w:val="0"/>
              <w:ind w:left="524" w:right="529"/>
              <w:jc w:val="center"/>
              <w:rPr>
                <w:sz w:val="22"/>
                <w:szCs w:val="22"/>
                <w:lang w:val="lt-LT"/>
              </w:rPr>
            </w:pPr>
            <w:r>
              <w:rPr>
                <w:sz w:val="22"/>
                <w:szCs w:val="22"/>
                <w:lang w:val="lt-LT"/>
              </w:rPr>
              <w:t>1,7</w:t>
            </w:r>
          </w:p>
        </w:tc>
        <w:tc>
          <w:tcPr>
            <w:tcW w:w="1170" w:type="dxa"/>
            <w:tcBorders>
              <w:top w:val="single" w:sz="4" w:space="0" w:color="000000"/>
              <w:left w:val="single" w:sz="4" w:space="0" w:color="000000"/>
              <w:bottom w:val="single" w:sz="4" w:space="0" w:color="000000"/>
              <w:right w:val="single" w:sz="4" w:space="0" w:color="000000"/>
            </w:tcBorders>
            <w:vAlign w:val="center"/>
          </w:tcPr>
          <w:p w14:paraId="38D029F9" w14:textId="77777777" w:rsidR="009A4BFE" w:rsidRDefault="0051186A">
            <w:pPr>
              <w:pStyle w:val="TableParagraph"/>
              <w:kinsoku w:val="0"/>
              <w:overflowPunct w:val="0"/>
              <w:ind w:left="363"/>
              <w:jc w:val="center"/>
              <w:rPr>
                <w:sz w:val="22"/>
                <w:szCs w:val="22"/>
                <w:lang w:val="lt-LT"/>
              </w:rPr>
            </w:pPr>
            <w:r>
              <w:rPr>
                <w:sz w:val="22"/>
                <w:szCs w:val="22"/>
                <w:lang w:val="lt-LT"/>
              </w:rPr>
              <w:t>0,6</w:t>
            </w:r>
          </w:p>
        </w:tc>
        <w:tc>
          <w:tcPr>
            <w:tcW w:w="1323" w:type="dxa"/>
            <w:tcBorders>
              <w:top w:val="single" w:sz="4" w:space="0" w:color="000000"/>
              <w:left w:val="single" w:sz="4" w:space="0" w:color="000000"/>
              <w:bottom w:val="single" w:sz="4" w:space="0" w:color="000000"/>
              <w:right w:val="single" w:sz="4" w:space="0" w:color="000000"/>
            </w:tcBorders>
            <w:vAlign w:val="center"/>
          </w:tcPr>
          <w:p w14:paraId="24E71884" w14:textId="77777777" w:rsidR="009A4BFE" w:rsidRDefault="0051186A">
            <w:pPr>
              <w:pStyle w:val="TableParagraph"/>
              <w:kinsoku w:val="0"/>
              <w:overflowPunct w:val="0"/>
              <w:ind w:left="327"/>
              <w:jc w:val="center"/>
              <w:rPr>
                <w:sz w:val="22"/>
                <w:szCs w:val="22"/>
                <w:lang w:val="lt-LT"/>
              </w:rPr>
            </w:pPr>
            <w:r>
              <w:rPr>
                <w:spacing w:val="-1"/>
                <w:sz w:val="22"/>
                <w:szCs w:val="22"/>
                <w:lang w:val="lt-LT"/>
              </w:rPr>
              <w:t>3</w:t>
            </w:r>
            <w:r>
              <w:rPr>
                <w:sz w:val="22"/>
                <w:szCs w:val="22"/>
                <w:lang w:val="lt-LT"/>
              </w:rPr>
              <w:t>2</w:t>
            </w:r>
            <w:r>
              <w:rPr>
                <w:spacing w:val="-1"/>
                <w:sz w:val="22"/>
                <w:szCs w:val="22"/>
                <w:lang w:val="lt-LT"/>
              </w:rPr>
              <w:t xml:space="preserve"> (8</w:t>
            </w:r>
            <w:r>
              <w:rPr>
                <w:sz w:val="22"/>
                <w:szCs w:val="22"/>
                <w:lang w:val="lt-LT"/>
              </w:rPr>
              <w:t>,</w:t>
            </w:r>
            <w:r>
              <w:rPr>
                <w:spacing w:val="-1"/>
                <w:sz w:val="22"/>
                <w:szCs w:val="22"/>
                <w:lang w:val="lt-LT"/>
              </w:rPr>
              <w:t xml:space="preserve"> 49)</w:t>
            </w:r>
          </w:p>
        </w:tc>
        <w:tc>
          <w:tcPr>
            <w:tcW w:w="1080" w:type="dxa"/>
            <w:tcBorders>
              <w:top w:val="single" w:sz="4" w:space="0" w:color="000000"/>
              <w:left w:val="single" w:sz="4" w:space="0" w:color="000000"/>
              <w:bottom w:val="single" w:sz="4" w:space="0" w:color="000000"/>
              <w:right w:val="single" w:sz="4" w:space="0" w:color="000000"/>
            </w:tcBorders>
            <w:vAlign w:val="center"/>
          </w:tcPr>
          <w:p w14:paraId="50A43860" w14:textId="77777777" w:rsidR="009A4BFE" w:rsidRDefault="0051186A">
            <w:pPr>
              <w:pStyle w:val="TableParagraph"/>
              <w:kinsoku w:val="0"/>
              <w:overflowPunct w:val="0"/>
              <w:ind w:left="195"/>
              <w:jc w:val="center"/>
              <w:rPr>
                <w:sz w:val="22"/>
                <w:szCs w:val="22"/>
                <w:lang w:val="lt-LT"/>
              </w:rPr>
            </w:pPr>
            <w:r>
              <w:rPr>
                <w:sz w:val="22"/>
                <w:szCs w:val="22"/>
                <w:lang w:val="lt-LT"/>
              </w:rPr>
              <w:t>0,0123</w:t>
            </w:r>
            <w:r>
              <w:rPr>
                <w:position w:val="10"/>
                <w:sz w:val="20"/>
                <w:szCs w:val="20"/>
                <w:lang w:val="lt-LT"/>
              </w:rPr>
              <w:t>d</w:t>
            </w:r>
          </w:p>
        </w:tc>
      </w:tr>
    </w:tbl>
    <w:p w14:paraId="53F2710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 xml:space="preserve">a </w:t>
      </w:r>
      <w:r>
        <w:rPr>
          <w:rFonts w:eastAsia="TimesNewRoman"/>
          <w:snapToGrid/>
          <w:szCs w:val="22"/>
          <w:lang w:val="lt-LT"/>
        </w:rPr>
        <w:t>ARR – absoliučios rizikos sumažėjimas, RRR – santykinės rizikos sumažėjimas = (1 – rizikos santykis) x 100 %. Neigiamas RRR rodo padidėjusią santykinę riziką.</w:t>
      </w:r>
    </w:p>
    <w:p w14:paraId="16E6DA22"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 xml:space="preserve">b </w:t>
      </w:r>
      <w:r>
        <w:rPr>
          <w:rFonts w:eastAsia="TimesNewRoman"/>
          <w:snapToGrid/>
          <w:szCs w:val="22"/>
          <w:lang w:val="lt-LT"/>
        </w:rPr>
        <w:t xml:space="preserve">Išskyrus </w:t>
      </w:r>
      <w:proofErr w:type="spellStart"/>
      <w:r>
        <w:rPr>
          <w:rFonts w:eastAsia="TimesNewRoman"/>
          <w:snapToGrid/>
          <w:szCs w:val="22"/>
          <w:lang w:val="lt-LT"/>
        </w:rPr>
        <w:t>besimptomį</w:t>
      </w:r>
      <w:proofErr w:type="spellEnd"/>
      <w:r>
        <w:rPr>
          <w:rFonts w:eastAsia="TimesNewRoman"/>
          <w:snapToGrid/>
          <w:szCs w:val="22"/>
          <w:lang w:val="lt-LT"/>
        </w:rPr>
        <w:t xml:space="preserve"> MI.</w:t>
      </w:r>
    </w:p>
    <w:p w14:paraId="314B13D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c</w:t>
      </w:r>
      <w:r>
        <w:rPr>
          <w:rFonts w:eastAsia="TimesNewRoman"/>
          <w:snapToGrid/>
          <w:szCs w:val="22"/>
          <w:lang w:val="lt-LT"/>
        </w:rPr>
        <w:t xml:space="preserve"> SRI (angl. </w:t>
      </w:r>
      <w:proofErr w:type="spellStart"/>
      <w:r>
        <w:rPr>
          <w:rFonts w:eastAsia="TimesNewRoman"/>
          <w:i/>
          <w:snapToGrid/>
          <w:szCs w:val="22"/>
          <w:lang w:val="lt-LT"/>
        </w:rPr>
        <w:t>serious</w:t>
      </w:r>
      <w:proofErr w:type="spellEnd"/>
      <w:r>
        <w:rPr>
          <w:rFonts w:eastAsia="TimesNewRoman"/>
          <w:i/>
          <w:snapToGrid/>
          <w:szCs w:val="22"/>
          <w:lang w:val="lt-LT"/>
        </w:rPr>
        <w:t xml:space="preserve"> </w:t>
      </w:r>
      <w:proofErr w:type="spellStart"/>
      <w:r>
        <w:rPr>
          <w:rFonts w:eastAsia="TimesNewRoman"/>
          <w:i/>
          <w:snapToGrid/>
          <w:szCs w:val="22"/>
          <w:lang w:val="lt-LT"/>
        </w:rPr>
        <w:t>recurrent</w:t>
      </w:r>
      <w:proofErr w:type="spellEnd"/>
      <w:r>
        <w:rPr>
          <w:rFonts w:eastAsia="TimesNewRoman"/>
          <w:i/>
          <w:snapToGrid/>
          <w:szCs w:val="22"/>
          <w:lang w:val="lt-LT"/>
        </w:rPr>
        <w:t xml:space="preserve"> </w:t>
      </w:r>
      <w:proofErr w:type="spellStart"/>
      <w:r>
        <w:rPr>
          <w:rFonts w:eastAsia="TimesNewRoman"/>
          <w:i/>
          <w:snapToGrid/>
          <w:szCs w:val="22"/>
          <w:lang w:val="lt-LT"/>
        </w:rPr>
        <w:t>ischaemia</w:t>
      </w:r>
      <w:proofErr w:type="spellEnd"/>
      <w:r>
        <w:rPr>
          <w:rFonts w:eastAsia="TimesNewRoman"/>
          <w:snapToGrid/>
          <w:szCs w:val="22"/>
          <w:lang w:val="lt-LT"/>
        </w:rPr>
        <w:t xml:space="preserve">) – sunki pasikartojanti išemija, RI (angl. </w:t>
      </w:r>
      <w:proofErr w:type="spellStart"/>
      <w:r>
        <w:rPr>
          <w:rFonts w:eastAsia="TimesNewRoman"/>
          <w:i/>
          <w:snapToGrid/>
          <w:szCs w:val="22"/>
          <w:lang w:val="lt-LT"/>
        </w:rPr>
        <w:t>recurrent</w:t>
      </w:r>
      <w:proofErr w:type="spellEnd"/>
      <w:r>
        <w:rPr>
          <w:rFonts w:eastAsia="TimesNewRoman"/>
          <w:i/>
          <w:snapToGrid/>
          <w:szCs w:val="22"/>
          <w:lang w:val="lt-LT"/>
        </w:rPr>
        <w:t xml:space="preserve"> </w:t>
      </w:r>
      <w:proofErr w:type="spellStart"/>
      <w:r>
        <w:rPr>
          <w:rFonts w:eastAsia="TimesNewRoman"/>
          <w:i/>
          <w:snapToGrid/>
          <w:szCs w:val="22"/>
          <w:lang w:val="lt-LT"/>
        </w:rPr>
        <w:t>ischaemia</w:t>
      </w:r>
      <w:proofErr w:type="spellEnd"/>
      <w:r>
        <w:rPr>
          <w:rFonts w:eastAsia="TimesNewRoman"/>
          <w:snapToGrid/>
          <w:szCs w:val="22"/>
          <w:lang w:val="lt-LT"/>
        </w:rPr>
        <w:t xml:space="preserve">) – pasikartojanti išemija, TIA (angl. </w:t>
      </w:r>
      <w:proofErr w:type="spellStart"/>
      <w:r>
        <w:rPr>
          <w:rFonts w:eastAsia="TimesNewRoman"/>
          <w:i/>
          <w:snapToGrid/>
          <w:szCs w:val="22"/>
          <w:lang w:val="lt-LT"/>
        </w:rPr>
        <w:t>transient</w:t>
      </w:r>
      <w:proofErr w:type="spellEnd"/>
      <w:r>
        <w:rPr>
          <w:rFonts w:eastAsia="TimesNewRoman"/>
          <w:i/>
          <w:snapToGrid/>
          <w:szCs w:val="22"/>
          <w:lang w:val="lt-LT"/>
        </w:rPr>
        <w:t xml:space="preserve"> </w:t>
      </w:r>
      <w:proofErr w:type="spellStart"/>
      <w:r>
        <w:rPr>
          <w:rFonts w:eastAsia="TimesNewRoman"/>
          <w:i/>
          <w:snapToGrid/>
          <w:szCs w:val="22"/>
          <w:lang w:val="lt-LT"/>
        </w:rPr>
        <w:t>ischaemic</w:t>
      </w:r>
      <w:proofErr w:type="spellEnd"/>
      <w:r>
        <w:rPr>
          <w:rFonts w:eastAsia="TimesNewRoman"/>
          <w:i/>
          <w:snapToGrid/>
          <w:szCs w:val="22"/>
          <w:lang w:val="lt-LT"/>
        </w:rPr>
        <w:t xml:space="preserve"> </w:t>
      </w:r>
      <w:proofErr w:type="spellStart"/>
      <w:r>
        <w:rPr>
          <w:rFonts w:eastAsia="TimesNewRoman"/>
          <w:i/>
          <w:snapToGrid/>
          <w:szCs w:val="22"/>
          <w:lang w:val="lt-LT"/>
        </w:rPr>
        <w:t>attack</w:t>
      </w:r>
      <w:proofErr w:type="spellEnd"/>
      <w:r>
        <w:rPr>
          <w:rFonts w:eastAsia="TimesNewRoman"/>
          <w:snapToGrid/>
          <w:szCs w:val="22"/>
          <w:lang w:val="lt-LT"/>
        </w:rPr>
        <w:t xml:space="preserve">) – praeinantis išemijos priepuolis, ATE (angl. </w:t>
      </w:r>
      <w:proofErr w:type="spellStart"/>
      <w:r>
        <w:rPr>
          <w:rFonts w:eastAsia="TimesNewRoman"/>
          <w:i/>
          <w:snapToGrid/>
          <w:szCs w:val="22"/>
          <w:lang w:val="lt-LT"/>
        </w:rPr>
        <w:t>arterial</w:t>
      </w:r>
      <w:proofErr w:type="spellEnd"/>
      <w:r>
        <w:rPr>
          <w:rFonts w:eastAsia="TimesNewRoman"/>
          <w:i/>
          <w:snapToGrid/>
          <w:szCs w:val="22"/>
          <w:lang w:val="lt-LT"/>
        </w:rPr>
        <w:t xml:space="preserve"> </w:t>
      </w:r>
      <w:proofErr w:type="spellStart"/>
      <w:r>
        <w:rPr>
          <w:rFonts w:eastAsia="TimesNewRoman"/>
          <w:i/>
          <w:snapToGrid/>
          <w:szCs w:val="22"/>
          <w:lang w:val="lt-LT"/>
        </w:rPr>
        <w:t>thrombotic</w:t>
      </w:r>
      <w:proofErr w:type="spellEnd"/>
      <w:r>
        <w:rPr>
          <w:rFonts w:eastAsia="TimesNewRoman"/>
          <w:snapToGrid/>
          <w:szCs w:val="22"/>
          <w:lang w:val="lt-LT"/>
        </w:rPr>
        <w:t xml:space="preserve">) – arterijų trombozės reiškiniai. Į bendrą miokardo infarktų skaičių įskaičiuoti ir </w:t>
      </w:r>
      <w:proofErr w:type="spellStart"/>
      <w:r>
        <w:rPr>
          <w:rFonts w:eastAsia="TimesNewRoman"/>
          <w:snapToGrid/>
          <w:szCs w:val="22"/>
          <w:lang w:val="lt-LT"/>
        </w:rPr>
        <w:t>besimptomiai</w:t>
      </w:r>
      <w:proofErr w:type="spellEnd"/>
      <w:r>
        <w:rPr>
          <w:rFonts w:eastAsia="TimesNewRoman"/>
          <w:snapToGrid/>
          <w:szCs w:val="22"/>
          <w:lang w:val="lt-LT"/>
        </w:rPr>
        <w:t>, kurių nustatymo data laikyta jų pasireiškimo data.</w:t>
      </w:r>
    </w:p>
    <w:p w14:paraId="284599A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vertAlign w:val="superscript"/>
          <w:lang w:val="lt-LT"/>
        </w:rPr>
        <w:t xml:space="preserve">d </w:t>
      </w:r>
      <w:r>
        <w:rPr>
          <w:rFonts w:eastAsia="TimesNewRoman"/>
          <w:snapToGrid/>
          <w:szCs w:val="22"/>
          <w:lang w:val="lt-LT"/>
        </w:rPr>
        <w:t>Nominali reikšmingumo reikšmė. Visos kitos yra formaliai reikšmingos statistikai pagal iš anksto pasirinktą hierarchinį metodą.</w:t>
      </w:r>
    </w:p>
    <w:p w14:paraId="1124F82F" w14:textId="77777777" w:rsidR="009A4BFE" w:rsidRDefault="009A4BFE">
      <w:pPr>
        <w:rPr>
          <w:rFonts w:eastAsia="TimesNewRoman"/>
          <w:snapToGrid/>
          <w:szCs w:val="22"/>
          <w:lang w:val="lt-LT"/>
        </w:rPr>
      </w:pPr>
    </w:p>
    <w:p w14:paraId="5251EC5A"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PLATO tyrimo genetinė dalis</w:t>
      </w:r>
    </w:p>
    <w:p w14:paraId="2BE52B43" w14:textId="0358FFEB"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PLATO tyrime dalyvavusių 10</w:t>
      </w:r>
      <w:r w:rsidR="00635EF3">
        <w:rPr>
          <w:rFonts w:eastAsia="TimesNewRoman"/>
          <w:snapToGrid/>
          <w:szCs w:val="22"/>
          <w:lang w:val="lt-LT"/>
        </w:rPr>
        <w:t> </w:t>
      </w:r>
      <w:r>
        <w:rPr>
          <w:rFonts w:eastAsia="TimesNewRoman"/>
          <w:snapToGrid/>
          <w:szCs w:val="22"/>
          <w:lang w:val="lt-LT"/>
        </w:rPr>
        <w:t xml:space="preserve">285 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w:t>
      </w:r>
      <w:proofErr w:type="spellStart"/>
      <w:r>
        <w:rPr>
          <w:rFonts w:eastAsia="TimesNewRoman"/>
          <w:snapToGrid/>
          <w:szCs w:val="22"/>
          <w:lang w:val="lt-LT"/>
        </w:rPr>
        <w:t>klopidogrelio</w:t>
      </w:r>
      <w:proofErr w:type="spellEnd"/>
      <w:r>
        <w:rPr>
          <w:rFonts w:eastAsia="TimesNewRoman"/>
          <w:snapToGrid/>
          <w:szCs w:val="22"/>
          <w:lang w:val="lt-LT"/>
        </w:rPr>
        <w:t xml:space="preserve"> </w:t>
      </w:r>
      <w:proofErr w:type="spellStart"/>
      <w:r>
        <w:rPr>
          <w:rFonts w:eastAsia="TimesNewRoman"/>
          <w:snapToGrid/>
          <w:szCs w:val="22"/>
          <w:lang w:val="lt-LT"/>
        </w:rPr>
        <w:t>tikagreloro</w:t>
      </w:r>
      <w:proofErr w:type="spellEnd"/>
      <w:r>
        <w:rPr>
          <w:rFonts w:eastAsia="TimesNewRoman"/>
          <w:snapToGrid/>
          <w:szCs w:val="22"/>
          <w:lang w:val="lt-LT"/>
        </w:rPr>
        <w:t xml:space="preserve"> poveikiui neturėjo. Panašiai kaip bendrais PLATO tyrimo duomenimis, suminis didžiųjų kraujavimų pagal PLATO kriterijus skaičius vartojant </w:t>
      </w:r>
      <w:proofErr w:type="spellStart"/>
      <w:r>
        <w:rPr>
          <w:rFonts w:eastAsia="TimesNewRoman"/>
          <w:snapToGrid/>
          <w:szCs w:val="22"/>
          <w:lang w:val="lt-LT"/>
        </w:rPr>
        <w:t>tikagrelorą</w:t>
      </w:r>
      <w:proofErr w:type="spellEnd"/>
      <w:r>
        <w:rPr>
          <w:rFonts w:eastAsia="TimesNewRoman"/>
          <w:snapToGrid/>
          <w:szCs w:val="22"/>
          <w:lang w:val="lt-LT"/>
        </w:rPr>
        <w:t xml:space="preserve"> ir </w:t>
      </w:r>
      <w:proofErr w:type="spellStart"/>
      <w:r>
        <w:rPr>
          <w:rFonts w:eastAsia="TimesNewRoman"/>
          <w:snapToGrid/>
          <w:szCs w:val="22"/>
          <w:lang w:val="lt-LT"/>
        </w:rPr>
        <w:t>klopidogrelį</w:t>
      </w:r>
      <w:proofErr w:type="spellEnd"/>
      <w:r>
        <w:rPr>
          <w:rFonts w:eastAsia="TimesNewRoman"/>
          <w:snapToGrid/>
          <w:szCs w:val="22"/>
          <w:lang w:val="lt-LT"/>
        </w:rPr>
        <w:t xml:space="preserve"> CYP2C19 ar ABCB1 genotipų pacientams nesiskyrė. Pacientams, neturintiems vieno ar daugiau funkcionuojančių CYP2C19 alelių, vartojant </w:t>
      </w:r>
      <w:proofErr w:type="spellStart"/>
      <w:r>
        <w:rPr>
          <w:rFonts w:eastAsia="TimesNewRoman"/>
          <w:snapToGrid/>
          <w:szCs w:val="22"/>
          <w:lang w:val="lt-LT"/>
        </w:rPr>
        <w:t>tikagrelorą</w:t>
      </w:r>
      <w:proofErr w:type="spellEnd"/>
      <w:r>
        <w:rPr>
          <w:rFonts w:eastAsia="TimesNewRoman"/>
          <w:snapToGrid/>
          <w:szCs w:val="22"/>
          <w:lang w:val="lt-LT"/>
        </w:rPr>
        <w:t xml:space="preserve"> pasireiškė daugiau su koronarinių arterijų šuntavimu nesusijusių didesniųjų kraujavimų pagal PLATO kriterijus, negu vartojant </w:t>
      </w:r>
      <w:proofErr w:type="spellStart"/>
      <w:r>
        <w:rPr>
          <w:rFonts w:eastAsia="TimesNewRoman"/>
          <w:snapToGrid/>
          <w:szCs w:val="22"/>
          <w:lang w:val="lt-LT"/>
        </w:rPr>
        <w:t>klopidogrelį</w:t>
      </w:r>
      <w:proofErr w:type="spellEnd"/>
      <w:r>
        <w:rPr>
          <w:rFonts w:eastAsia="TimesNewRoman"/>
          <w:snapToGrid/>
          <w:szCs w:val="22"/>
          <w:lang w:val="lt-LT"/>
        </w:rPr>
        <w:t xml:space="preserve">, o neturintiems nefunkcionuojančių alelių tokių kraujavimų skaičius buvo panašus kaip vartojant </w:t>
      </w:r>
      <w:proofErr w:type="spellStart"/>
      <w:r>
        <w:rPr>
          <w:rFonts w:eastAsia="TimesNewRoman"/>
          <w:snapToGrid/>
          <w:szCs w:val="22"/>
          <w:lang w:val="lt-LT"/>
        </w:rPr>
        <w:t>klopidogrelį</w:t>
      </w:r>
      <w:proofErr w:type="spellEnd"/>
      <w:r>
        <w:rPr>
          <w:rFonts w:eastAsia="TimesNewRoman"/>
          <w:snapToGrid/>
          <w:szCs w:val="22"/>
          <w:lang w:val="lt-LT"/>
        </w:rPr>
        <w:t>.</w:t>
      </w:r>
    </w:p>
    <w:p w14:paraId="11B978C4" w14:textId="77777777" w:rsidR="009A4BFE" w:rsidRDefault="009A4BFE">
      <w:pPr>
        <w:tabs>
          <w:tab w:val="clear" w:pos="567"/>
        </w:tabs>
        <w:autoSpaceDE w:val="0"/>
        <w:autoSpaceDN w:val="0"/>
        <w:adjustRightInd w:val="0"/>
        <w:spacing w:line="240" w:lineRule="auto"/>
        <w:rPr>
          <w:rFonts w:eastAsia="Calibri"/>
          <w:i/>
          <w:iCs/>
          <w:snapToGrid/>
          <w:szCs w:val="22"/>
          <w:lang w:val="lt-LT"/>
        </w:rPr>
      </w:pPr>
    </w:p>
    <w:p w14:paraId="135ABF5D" w14:textId="77777777" w:rsidR="009A4BFE" w:rsidRDefault="0051186A">
      <w:pPr>
        <w:keepNext/>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Suminis saugumo ir veiksmingumo rodiklis</w:t>
      </w:r>
    </w:p>
    <w:p w14:paraId="1B6C0331" w14:textId="30D921BB" w:rsidR="009A4BFE" w:rsidRDefault="0051186A">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Suminis saugumo ir veiksmingumo rodiklis, apimantis kardiovaskulines mirtis, miokardo infarktus, insultus ir didžiuosius kraujavimus pagal PLATO kriterijus, rodo, kad 12 mėn. laikotarpį po ūminių koronarinių sindromų pasireiškimo </w:t>
      </w:r>
      <w:proofErr w:type="spellStart"/>
      <w:r>
        <w:rPr>
          <w:rFonts w:eastAsia="TimesNewRoman"/>
          <w:snapToGrid/>
          <w:szCs w:val="22"/>
          <w:lang w:val="lt-LT"/>
        </w:rPr>
        <w:t>tikagreloro</w:t>
      </w:r>
      <w:proofErr w:type="spellEnd"/>
      <w:r>
        <w:rPr>
          <w:rFonts w:eastAsia="TimesNewRoman"/>
          <w:snapToGrid/>
          <w:szCs w:val="22"/>
          <w:lang w:val="lt-LT"/>
        </w:rPr>
        <w:t xml:space="preserve"> veiksmingumo, didesnio už </w:t>
      </w:r>
      <w:proofErr w:type="spellStart"/>
      <w:r>
        <w:rPr>
          <w:rFonts w:eastAsia="TimesNewRoman"/>
          <w:snapToGrid/>
          <w:szCs w:val="22"/>
          <w:lang w:val="lt-LT"/>
        </w:rPr>
        <w:t>klopidogrelio</w:t>
      </w:r>
      <w:proofErr w:type="spellEnd"/>
      <w:r>
        <w:rPr>
          <w:rFonts w:eastAsia="TimesNewRoman"/>
          <w:snapToGrid/>
          <w:szCs w:val="22"/>
          <w:lang w:val="lt-LT"/>
        </w:rPr>
        <w:t>, naudos didesniųjų kraujavimo reiškinių rizika nenusveria (ARR 1,4 %, RRR 8 %, HR – 0,92; p</w:t>
      </w:r>
      <w:r w:rsidR="00635EF3">
        <w:rPr>
          <w:rFonts w:eastAsia="TimesNewRoman"/>
          <w:snapToGrid/>
          <w:szCs w:val="22"/>
          <w:lang w:val="lt-LT"/>
        </w:rPr>
        <w:t> </w:t>
      </w:r>
      <w:r>
        <w:rPr>
          <w:rFonts w:eastAsia="TimesNewRoman"/>
          <w:snapToGrid/>
          <w:szCs w:val="22"/>
          <w:lang w:val="lt-LT"/>
        </w:rPr>
        <w:t>= 0,0257).</w:t>
      </w:r>
    </w:p>
    <w:p w14:paraId="407ED8A1" w14:textId="77777777" w:rsidR="00635EF3" w:rsidRDefault="00635EF3">
      <w:pPr>
        <w:keepNext/>
        <w:tabs>
          <w:tab w:val="clear" w:pos="567"/>
        </w:tabs>
        <w:autoSpaceDE w:val="0"/>
        <w:autoSpaceDN w:val="0"/>
        <w:adjustRightInd w:val="0"/>
        <w:spacing w:line="240" w:lineRule="auto"/>
        <w:rPr>
          <w:rFonts w:eastAsia="TimesNewRoman"/>
          <w:snapToGrid/>
          <w:szCs w:val="22"/>
          <w:lang w:val="lt-LT"/>
        </w:rPr>
      </w:pPr>
    </w:p>
    <w:p w14:paraId="19C32F51"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Klinikinis saugumas</w:t>
      </w:r>
    </w:p>
    <w:p w14:paraId="6FFAF8F6" w14:textId="77777777" w:rsidR="009A4BFE" w:rsidRDefault="009A4BFE">
      <w:pPr>
        <w:tabs>
          <w:tab w:val="clear" w:pos="567"/>
        </w:tabs>
        <w:autoSpaceDE w:val="0"/>
        <w:autoSpaceDN w:val="0"/>
        <w:adjustRightInd w:val="0"/>
        <w:spacing w:line="240" w:lineRule="auto"/>
        <w:rPr>
          <w:rFonts w:eastAsia="Calibri"/>
          <w:i/>
          <w:iCs/>
          <w:snapToGrid/>
          <w:szCs w:val="22"/>
          <w:lang w:val="lt-LT"/>
        </w:rPr>
      </w:pPr>
    </w:p>
    <w:p w14:paraId="0A2DDA99"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Holter</w:t>
      </w:r>
      <w:proofErr w:type="spellEnd"/>
      <w:r>
        <w:rPr>
          <w:rFonts w:eastAsia="TimesNewRoman"/>
          <w:snapToGrid/>
          <w:szCs w:val="22"/>
          <w:lang w:val="lt-LT"/>
        </w:rPr>
        <w:t xml:space="preserve"> tyrimo dalis</w:t>
      </w:r>
    </w:p>
    <w:p w14:paraId="1C27E258" w14:textId="77777777" w:rsidR="009A4BFE" w:rsidRDefault="0051186A">
      <w:pPr>
        <w:tabs>
          <w:tab w:val="clear" w:pos="567"/>
        </w:tabs>
        <w:autoSpaceDE w:val="0"/>
        <w:autoSpaceDN w:val="0"/>
        <w:adjustRightInd w:val="0"/>
        <w:spacing w:line="240" w:lineRule="auto"/>
        <w:rPr>
          <w:szCs w:val="22"/>
          <w:lang w:val="lt-LT"/>
        </w:rPr>
      </w:pPr>
      <w:r>
        <w:rPr>
          <w:rFonts w:eastAsia="TimesNewRoman"/>
          <w:snapToGrid/>
          <w:szCs w:val="22"/>
          <w:lang w:val="lt-LT"/>
        </w:rPr>
        <w:t xml:space="preserve">PLATO tyrimo metu tirdami skilvelių veiklos pauzių ir kitokių aritmijos epizodų pasireiškimą, tyrėjai atliko </w:t>
      </w:r>
      <w:proofErr w:type="spellStart"/>
      <w:r>
        <w:rPr>
          <w:rFonts w:eastAsia="TimesNewRoman"/>
          <w:snapToGrid/>
          <w:szCs w:val="22"/>
          <w:lang w:val="lt-LT"/>
        </w:rPr>
        <w:t>Holter</w:t>
      </w:r>
      <w:proofErr w:type="spellEnd"/>
      <w:r>
        <w:rPr>
          <w:rFonts w:eastAsia="TimesNewRoman"/>
          <w:snapToGrid/>
          <w:szCs w:val="22"/>
          <w:lang w:val="lt-LT"/>
        </w:rPr>
        <w:t xml:space="preserve"> monitoringą beveik 3000 pacientų, iš kurių maždaug 2000 duomenys buvo užregistruoti ūminėje ŪKS fazėje ir po 1 mėn. Pagrindinis tirtas rodiklis buvo ≥ 3 sek. trukmės skilvelių veiklos pauzės. Ūminėje fazėje jų nustatyta daugiau </w:t>
      </w:r>
      <w:proofErr w:type="spellStart"/>
      <w:r>
        <w:rPr>
          <w:rFonts w:eastAsia="TimesNewRoman"/>
          <w:snapToGrid/>
          <w:szCs w:val="22"/>
          <w:lang w:val="lt-LT"/>
        </w:rPr>
        <w:t>tikagrelorą</w:t>
      </w:r>
      <w:proofErr w:type="spellEnd"/>
      <w:r>
        <w:rPr>
          <w:rFonts w:eastAsia="TimesNewRoman"/>
          <w:snapToGrid/>
          <w:szCs w:val="22"/>
          <w:lang w:val="lt-LT"/>
        </w:rPr>
        <w:t xml:space="preserve"> (6 %) negu </w:t>
      </w:r>
      <w:proofErr w:type="spellStart"/>
      <w:r>
        <w:rPr>
          <w:rFonts w:eastAsia="TimesNewRoman"/>
          <w:snapToGrid/>
          <w:szCs w:val="22"/>
          <w:lang w:val="lt-LT"/>
        </w:rPr>
        <w:t>klopidogrelį</w:t>
      </w:r>
      <w:proofErr w:type="spellEnd"/>
      <w:r>
        <w:rPr>
          <w:rFonts w:eastAsia="TimesNewRoman"/>
          <w:snapToGrid/>
          <w:szCs w:val="22"/>
          <w:lang w:val="lt-LT"/>
        </w:rPr>
        <w:t xml:space="preserve"> (3,5 %) vartojusių pacientų, po 1 mėn. šie skaičiai buvo atitinkamai 2,2 % ir 1,6 % (žr. 4.4 skyrių). Skilvelių veiklos pauzių ūminėje ŪKS fazėje vartojant </w:t>
      </w:r>
      <w:proofErr w:type="spellStart"/>
      <w:r>
        <w:rPr>
          <w:rFonts w:eastAsia="TimesNewRoman"/>
          <w:snapToGrid/>
          <w:szCs w:val="22"/>
          <w:lang w:val="lt-LT"/>
        </w:rPr>
        <w:t>tikagrelorą</w:t>
      </w:r>
      <w:proofErr w:type="spellEnd"/>
      <w:r>
        <w:rPr>
          <w:rFonts w:eastAsia="TimesNewRoman"/>
          <w:snapToGrid/>
          <w:szCs w:val="22"/>
          <w:lang w:val="lt-LT"/>
        </w:rPr>
        <w:t xml:space="preserve"> labiau padaugėjo pacientams, kurių anamnezėje buvo lėtinis širdies nepakankamumas (jų patyrė 9,2 % tokių pacientų palyginus su 5,4 % niekada lėtiniu širdies nepakankamumu nesirgusių; </w:t>
      </w:r>
      <w:proofErr w:type="spellStart"/>
      <w:r>
        <w:rPr>
          <w:rFonts w:eastAsia="TimesNewRoman"/>
          <w:snapToGrid/>
          <w:szCs w:val="22"/>
          <w:lang w:val="lt-LT"/>
        </w:rPr>
        <w:t>klopidogrelį</w:t>
      </w:r>
      <w:proofErr w:type="spellEnd"/>
      <w:r>
        <w:rPr>
          <w:rFonts w:eastAsia="TimesNewRoman"/>
          <w:snapToGrid/>
          <w:szCs w:val="22"/>
          <w:lang w:val="lt-LT"/>
        </w:rPr>
        <w:t xml:space="preserve"> vartojusiems pacientams šie skaičiai buvo atitinkamai 4 % ir 3,6 %). Praėjus mėnesiui po ŪKS tokio skirtumo nenustatyta (vartojant </w:t>
      </w:r>
      <w:proofErr w:type="spellStart"/>
      <w:r>
        <w:rPr>
          <w:rFonts w:eastAsia="TimesNewRoman"/>
          <w:snapToGrid/>
          <w:szCs w:val="22"/>
          <w:lang w:val="lt-LT"/>
        </w:rPr>
        <w:t>tikagrelorą</w:t>
      </w:r>
      <w:proofErr w:type="spellEnd"/>
      <w:r>
        <w:rPr>
          <w:rFonts w:eastAsia="TimesNewRoman"/>
          <w:snapToGrid/>
          <w:szCs w:val="22"/>
          <w:lang w:val="lt-LT"/>
        </w:rPr>
        <w:t xml:space="preserve"> šie skaičiai buvo atitinkamai 2 % ir 2,1 %, vartojant </w:t>
      </w:r>
      <w:proofErr w:type="spellStart"/>
      <w:r>
        <w:rPr>
          <w:rFonts w:eastAsia="TimesNewRoman"/>
          <w:snapToGrid/>
          <w:szCs w:val="22"/>
          <w:lang w:val="lt-LT"/>
        </w:rPr>
        <w:t>klopidogrelį</w:t>
      </w:r>
      <w:proofErr w:type="spellEnd"/>
      <w:r>
        <w:rPr>
          <w:rFonts w:eastAsia="TimesNewRoman"/>
          <w:snapToGrid/>
          <w:szCs w:val="22"/>
          <w:lang w:val="lt-LT"/>
        </w:rPr>
        <w:t xml:space="preserve"> – 3,8 % ir 1,4 %). Su šiuo skirtumu </w:t>
      </w:r>
      <w:r>
        <w:rPr>
          <w:rFonts w:eastAsia="TimesNewRoman"/>
          <w:snapToGrid/>
          <w:szCs w:val="22"/>
          <w:lang w:val="lt-LT"/>
        </w:rPr>
        <w:lastRenderedPageBreak/>
        <w:t>susijusių neigiamų klinikinių pasekmių (įskaitant stimuliatorių implantavimą) šiai pacientų populiacijai nebuvo.</w:t>
      </w:r>
    </w:p>
    <w:p w14:paraId="41231DBD" w14:textId="77777777" w:rsidR="009A4BFE" w:rsidRDefault="009A4BFE">
      <w:pPr>
        <w:rPr>
          <w:szCs w:val="22"/>
          <w:u w:val="single"/>
          <w:lang w:val="lt-LT"/>
        </w:rPr>
      </w:pPr>
    </w:p>
    <w:p w14:paraId="7B38B858" w14:textId="77777777" w:rsidR="009A4BFE" w:rsidRDefault="0051186A">
      <w:pPr>
        <w:tabs>
          <w:tab w:val="clear" w:pos="567"/>
        </w:tabs>
        <w:autoSpaceDE w:val="0"/>
        <w:autoSpaceDN w:val="0"/>
        <w:adjustRightInd w:val="0"/>
        <w:spacing w:line="240" w:lineRule="auto"/>
        <w:rPr>
          <w:rFonts w:eastAsia="Calibri"/>
          <w:i/>
          <w:iCs/>
          <w:snapToGrid/>
          <w:szCs w:val="22"/>
          <w:u w:val="single"/>
          <w:lang w:val="lt-LT"/>
        </w:rPr>
      </w:pPr>
      <w:r>
        <w:rPr>
          <w:rFonts w:eastAsia="Calibri"/>
          <w:i/>
          <w:iCs/>
          <w:snapToGrid/>
          <w:szCs w:val="22"/>
          <w:u w:val="single"/>
          <w:lang w:val="lt-LT"/>
        </w:rPr>
        <w:t>PEGASUS tyrimas (anksčiau miokardo infarktą patyrę pacientai)</w:t>
      </w:r>
    </w:p>
    <w:p w14:paraId="4A04FC42" w14:textId="77777777" w:rsidR="009A4BFE" w:rsidRDefault="009A4BFE">
      <w:pPr>
        <w:tabs>
          <w:tab w:val="clear" w:pos="567"/>
        </w:tabs>
        <w:autoSpaceDE w:val="0"/>
        <w:autoSpaceDN w:val="0"/>
        <w:adjustRightInd w:val="0"/>
        <w:spacing w:line="240" w:lineRule="auto"/>
        <w:rPr>
          <w:rFonts w:eastAsia="Calibri"/>
          <w:i/>
          <w:iCs/>
          <w:snapToGrid/>
          <w:szCs w:val="22"/>
          <w:u w:val="single"/>
          <w:lang w:val="lt-LT"/>
        </w:rPr>
      </w:pPr>
    </w:p>
    <w:p w14:paraId="3C4E4638" w14:textId="26E56E5D"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PEGASUS TIMI-54 tyrime dalyvavo 21</w:t>
      </w:r>
      <w:r w:rsidR="00635EF3">
        <w:rPr>
          <w:rFonts w:eastAsia="TimesNewRoman"/>
          <w:snapToGrid/>
          <w:szCs w:val="22"/>
          <w:lang w:val="lt-LT"/>
        </w:rPr>
        <w:t> </w:t>
      </w:r>
      <w:r>
        <w:rPr>
          <w:rFonts w:eastAsia="TimesNewRoman"/>
          <w:snapToGrid/>
          <w:szCs w:val="22"/>
          <w:lang w:val="lt-LT"/>
        </w:rPr>
        <w:t xml:space="preserve">162 pacientai. Tai buvo atsitiktinių imčių, dvigubai koduotas, placebu kontroliuojamas, lygiagrečių grupių, tarptautinis daugelyje centrų atliktas įvykių modeliavimo tyrimas siekiant palyginti </w:t>
      </w:r>
      <w:proofErr w:type="spellStart"/>
      <w:r>
        <w:rPr>
          <w:rFonts w:eastAsia="TimesNewRoman"/>
          <w:snapToGrid/>
          <w:szCs w:val="22"/>
          <w:lang w:val="lt-LT"/>
        </w:rPr>
        <w:t>aterotrombozės</w:t>
      </w:r>
      <w:proofErr w:type="spellEnd"/>
      <w:r>
        <w:rPr>
          <w:rFonts w:eastAsia="TimesNewRoman"/>
          <w:snapToGrid/>
          <w:szCs w:val="22"/>
          <w:lang w:val="lt-LT"/>
        </w:rPr>
        <w:t xml:space="preserve"> įvykių profilaktiką dviem </w:t>
      </w:r>
      <w:proofErr w:type="spellStart"/>
      <w:r>
        <w:rPr>
          <w:rFonts w:eastAsia="TimesNewRoman"/>
          <w:snapToGrid/>
          <w:szCs w:val="22"/>
          <w:lang w:val="lt-LT"/>
        </w:rPr>
        <w:t>tikagreloro</w:t>
      </w:r>
      <w:proofErr w:type="spellEnd"/>
      <w:r>
        <w:rPr>
          <w:rFonts w:eastAsia="TimesNewRoman"/>
          <w:snapToGrid/>
          <w:szCs w:val="22"/>
          <w:lang w:val="lt-LT"/>
        </w:rPr>
        <w:t xml:space="preserve"> dozėmis (90 mg 2 kartus per parą arba 60 mg 2 kartus per parą), vartojamomis derinyje su maža ASR doze (75-150 mg), palyginti su ASR </w:t>
      </w:r>
      <w:proofErr w:type="spellStart"/>
      <w:r>
        <w:rPr>
          <w:rFonts w:eastAsia="TimesNewRoman"/>
          <w:snapToGrid/>
          <w:szCs w:val="22"/>
          <w:lang w:val="lt-LT"/>
        </w:rPr>
        <w:t>monoterapija</w:t>
      </w:r>
      <w:proofErr w:type="spellEnd"/>
      <w:r>
        <w:rPr>
          <w:rFonts w:eastAsia="TimesNewRoman"/>
          <w:snapToGrid/>
          <w:szCs w:val="22"/>
          <w:lang w:val="lt-LT"/>
        </w:rPr>
        <w:t xml:space="preserve">, pacientams anksčiau patyrusiems MI ir turintiems papildomų </w:t>
      </w:r>
      <w:proofErr w:type="spellStart"/>
      <w:r>
        <w:rPr>
          <w:rFonts w:eastAsia="TimesNewRoman"/>
          <w:snapToGrid/>
          <w:szCs w:val="22"/>
          <w:lang w:val="lt-LT"/>
        </w:rPr>
        <w:t>aterotrombozės</w:t>
      </w:r>
      <w:proofErr w:type="spellEnd"/>
      <w:r>
        <w:rPr>
          <w:rFonts w:eastAsia="TimesNewRoman"/>
          <w:snapToGrid/>
          <w:szCs w:val="22"/>
          <w:lang w:val="lt-LT"/>
        </w:rPr>
        <w:t xml:space="preserve"> rizikos faktorių.</w:t>
      </w:r>
    </w:p>
    <w:p w14:paraId="21E8AECF"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686F43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Įtraukimo kriterijai buvo 50 metų arba vyresnis amžius, anksčiau (likus 1-3 metams iki </w:t>
      </w:r>
      <w:proofErr w:type="spellStart"/>
      <w:r>
        <w:rPr>
          <w:rFonts w:eastAsia="TimesNewRoman"/>
          <w:snapToGrid/>
          <w:szCs w:val="22"/>
          <w:lang w:val="lt-LT"/>
        </w:rPr>
        <w:t>randomizacijos</w:t>
      </w:r>
      <w:proofErr w:type="spellEnd"/>
      <w:r>
        <w:rPr>
          <w:rFonts w:eastAsia="TimesNewRoman"/>
          <w:snapToGrid/>
          <w:szCs w:val="22"/>
          <w:lang w:val="lt-LT"/>
        </w:rPr>
        <w:t xml:space="preserve">) patirtas MI ir bent vienas iš šių </w:t>
      </w:r>
      <w:proofErr w:type="spellStart"/>
      <w:r>
        <w:rPr>
          <w:rFonts w:eastAsia="TimesNewRoman"/>
          <w:snapToGrid/>
          <w:szCs w:val="22"/>
          <w:lang w:val="lt-LT"/>
        </w:rPr>
        <w:t>aterotrombozės</w:t>
      </w:r>
      <w:proofErr w:type="spellEnd"/>
      <w:r>
        <w:rPr>
          <w:rFonts w:eastAsia="TimesNewRoman"/>
          <w:snapToGrid/>
          <w:szCs w:val="22"/>
          <w:lang w:val="lt-LT"/>
        </w:rPr>
        <w:t xml:space="preserve"> rizikos faktorių: 65 metų arba vyresnis amžius, cukrinis diabetas, kurį reikia gydyti vaistiniais preparatais, antras ankstesnis MI, kelias kraujagysles pažeidusios IŠL duomenys arba lėtinė neterminalinės stadijos inkstų disfunkcija.</w:t>
      </w:r>
    </w:p>
    <w:p w14:paraId="3253EAF3"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869479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Neįtraukimo kriterijai buvo tyrimo laikotarpiu numatomas P2Y12 receptorių antagonistų (</w:t>
      </w:r>
      <w:proofErr w:type="spellStart"/>
      <w:r>
        <w:rPr>
          <w:rFonts w:eastAsia="TimesNewRoman"/>
          <w:snapToGrid/>
          <w:szCs w:val="22"/>
          <w:lang w:val="lt-LT"/>
        </w:rPr>
        <w:t>dipiridamolio</w:t>
      </w:r>
      <w:proofErr w:type="spellEnd"/>
      <w:r>
        <w:rPr>
          <w:rFonts w:eastAsia="TimesNewRoman"/>
          <w:snapToGrid/>
          <w:szCs w:val="22"/>
          <w:lang w:val="lt-LT"/>
        </w:rPr>
        <w:t xml:space="preserve">, </w:t>
      </w:r>
      <w:proofErr w:type="spellStart"/>
      <w:r>
        <w:rPr>
          <w:rFonts w:eastAsia="TimesNewRoman"/>
          <w:snapToGrid/>
          <w:szCs w:val="22"/>
          <w:lang w:val="lt-LT"/>
        </w:rPr>
        <w:t>cilostazolo</w:t>
      </w:r>
      <w:proofErr w:type="spellEnd"/>
      <w:r>
        <w:rPr>
          <w:rFonts w:eastAsia="TimesNewRoman"/>
          <w:snapToGrid/>
          <w:szCs w:val="22"/>
          <w:lang w:val="lt-LT"/>
        </w:rPr>
        <w:t xml:space="preserve">) arba antikoaguliantų vartojimas; kraujavimu pasireiškiantys sutrikimai arba anksčiau buvęs išeminis insultas ar </w:t>
      </w:r>
      <w:proofErr w:type="spellStart"/>
      <w:r>
        <w:rPr>
          <w:rFonts w:eastAsia="TimesNewRoman"/>
          <w:snapToGrid/>
          <w:szCs w:val="22"/>
          <w:lang w:val="lt-LT"/>
        </w:rPr>
        <w:t>intrakranijinis</w:t>
      </w:r>
      <w:proofErr w:type="spellEnd"/>
      <w:r>
        <w:rPr>
          <w:rFonts w:eastAsia="TimesNewRoman"/>
          <w:snapToGrid/>
          <w:szCs w:val="22"/>
          <w:lang w:val="lt-LT"/>
        </w:rPr>
        <w:t xml:space="preserve"> kraujavimas, centrinės nervų sistemos navikas ar </w:t>
      </w:r>
      <w:proofErr w:type="spellStart"/>
      <w:r>
        <w:rPr>
          <w:rFonts w:eastAsia="TimesNewRoman"/>
          <w:snapToGrid/>
          <w:szCs w:val="22"/>
          <w:lang w:val="lt-LT"/>
        </w:rPr>
        <w:t>intrakranijinių</w:t>
      </w:r>
      <w:proofErr w:type="spellEnd"/>
      <w:r>
        <w:rPr>
          <w:rFonts w:eastAsia="TimesNewRoman"/>
          <w:snapToGrid/>
          <w:szCs w:val="22"/>
          <w:lang w:val="lt-LT"/>
        </w:rPr>
        <w:t xml:space="preserve"> kraujagyslių anomalija; kraujavimas virškinimo trakte per paskutinius 6 mėn. arba didelės apimties operacija per paskutines 30 dienų.</w:t>
      </w:r>
    </w:p>
    <w:p w14:paraId="2CB82E8A" w14:textId="77777777" w:rsidR="00635EF3" w:rsidRDefault="00635EF3">
      <w:pPr>
        <w:tabs>
          <w:tab w:val="clear" w:pos="567"/>
        </w:tabs>
        <w:autoSpaceDE w:val="0"/>
        <w:autoSpaceDN w:val="0"/>
        <w:adjustRightInd w:val="0"/>
        <w:spacing w:line="240" w:lineRule="auto"/>
        <w:rPr>
          <w:rFonts w:eastAsia="TimesNewRoman"/>
          <w:snapToGrid/>
          <w:szCs w:val="22"/>
          <w:lang w:val="lt-LT"/>
        </w:rPr>
      </w:pPr>
    </w:p>
    <w:p w14:paraId="59ED3BFC" w14:textId="77777777" w:rsidR="009A4BFE" w:rsidRDefault="0051186A">
      <w:pPr>
        <w:tabs>
          <w:tab w:val="clear" w:pos="567"/>
        </w:tabs>
        <w:autoSpaceDE w:val="0"/>
        <w:autoSpaceDN w:val="0"/>
        <w:adjustRightInd w:val="0"/>
        <w:spacing w:line="240" w:lineRule="auto"/>
        <w:rPr>
          <w:rFonts w:eastAsia="Calibri"/>
          <w:i/>
          <w:iCs/>
          <w:snapToGrid/>
          <w:szCs w:val="22"/>
          <w:lang w:val="lt-LT"/>
        </w:rPr>
      </w:pPr>
      <w:r>
        <w:rPr>
          <w:rFonts w:eastAsia="Calibri"/>
          <w:i/>
          <w:iCs/>
          <w:snapToGrid/>
          <w:szCs w:val="22"/>
          <w:lang w:val="lt-LT"/>
        </w:rPr>
        <w:t>Klinikinis veiksmingumas</w:t>
      </w:r>
    </w:p>
    <w:p w14:paraId="7D23063D"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43B34E3E"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2 pav. Pirminės klinikinės sudėtinės </w:t>
      </w:r>
      <w:r>
        <w:rPr>
          <w:rFonts w:eastAsia="TimesNewRoman,Bold"/>
          <w:b/>
          <w:bCs/>
          <w:i/>
          <w:snapToGrid/>
          <w:szCs w:val="22"/>
          <w:lang w:val="lt-LT"/>
        </w:rPr>
        <w:t>PEGASUS</w:t>
      </w:r>
      <w:r>
        <w:rPr>
          <w:rFonts w:eastAsia="TimesNewRoman,Bold"/>
          <w:b/>
          <w:bCs/>
          <w:snapToGrid/>
          <w:szCs w:val="22"/>
          <w:lang w:val="lt-LT"/>
        </w:rPr>
        <w:t xml:space="preserve"> tyrimo vertinamosios baigties (KV mirties,</w:t>
      </w:r>
    </w:p>
    <w:p w14:paraId="50CD7292" w14:textId="77777777" w:rsidR="009A4BFE" w:rsidRDefault="0051186A">
      <w:pPr>
        <w:rPr>
          <w:szCs w:val="22"/>
          <w:u w:val="single"/>
          <w:lang w:val="lt-LT"/>
        </w:rPr>
      </w:pPr>
      <w:r>
        <w:rPr>
          <w:rFonts w:eastAsia="TimesNewRoman,Bold"/>
          <w:b/>
          <w:bCs/>
          <w:snapToGrid/>
          <w:szCs w:val="22"/>
          <w:lang w:val="lt-LT"/>
        </w:rPr>
        <w:t>MI ir insulto) analizė</w:t>
      </w:r>
      <w:r>
        <w:rPr>
          <w:szCs w:val="22"/>
          <w:u w:val="single"/>
          <w:lang w:val="lt-LT"/>
        </w:rPr>
        <w:t xml:space="preserve"> </w:t>
      </w:r>
    </w:p>
    <w:p w14:paraId="74B120E7"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noProof/>
          <w:snapToGrid/>
          <w:szCs w:val="22"/>
          <w:lang w:val="sl-SI" w:eastAsia="sl-SI"/>
        </w:rPr>
        <w:drawing>
          <wp:inline distT="0" distB="0" distL="0" distR="0" wp14:anchorId="50D3EB56" wp14:editId="6CF8194E">
            <wp:extent cx="5753100" cy="3438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438525"/>
                    </a:xfrm>
                    <a:prstGeom prst="rect">
                      <a:avLst/>
                    </a:prstGeom>
                    <a:noFill/>
                    <a:ln>
                      <a:noFill/>
                    </a:ln>
                  </pic:spPr>
                </pic:pic>
              </a:graphicData>
            </a:graphic>
          </wp:inline>
        </w:drawing>
      </w:r>
    </w:p>
    <w:p w14:paraId="4A484444" w14:textId="77777777" w:rsidR="009A4BFE" w:rsidRDefault="0051186A">
      <w:pPr>
        <w:pStyle w:val="Antrat4"/>
        <w:rPr>
          <w:rFonts w:ascii="Times New Roman" w:hAnsi="Times New Roman"/>
          <w:sz w:val="22"/>
          <w:szCs w:val="22"/>
          <w:lang w:val="lt-LT"/>
        </w:rPr>
      </w:pPr>
      <w:r>
        <w:rPr>
          <w:rFonts w:ascii="Times New Roman" w:eastAsia="TimesNewRoman,Bold" w:hAnsi="Times New Roman"/>
          <w:bCs w:val="0"/>
          <w:snapToGrid/>
          <w:sz w:val="22"/>
          <w:szCs w:val="22"/>
          <w:lang w:val="lt-LT"/>
        </w:rPr>
        <w:t xml:space="preserve">5 lentelė. </w:t>
      </w:r>
      <w:r>
        <w:rPr>
          <w:rFonts w:ascii="Times New Roman" w:eastAsia="TimesNewRoman,Bold" w:hAnsi="Times New Roman"/>
          <w:bCs w:val="0"/>
          <w:i/>
          <w:snapToGrid/>
          <w:sz w:val="22"/>
          <w:szCs w:val="22"/>
          <w:lang w:val="lt-LT"/>
        </w:rPr>
        <w:t>PEGASUS</w:t>
      </w:r>
      <w:r>
        <w:rPr>
          <w:rFonts w:ascii="Times New Roman" w:eastAsia="TimesNewRoman,Bold" w:hAnsi="Times New Roman"/>
          <w:bCs w:val="0"/>
          <w:snapToGrid/>
          <w:sz w:val="22"/>
          <w:szCs w:val="22"/>
          <w:lang w:val="lt-LT"/>
        </w:rPr>
        <w:t xml:space="preserve"> tyrimo pirminės ir antrinės veiksmingumo vertinamųjų baigčių analizė</w:t>
      </w:r>
    </w:p>
    <w:p w14:paraId="516FB267" w14:textId="77777777" w:rsidR="009A4BFE" w:rsidRDefault="009A4BFE">
      <w:pPr>
        <w:pStyle w:val="Antrat4"/>
        <w:rPr>
          <w:rFonts w:ascii="Times New Roman" w:hAnsi="Times New Roman"/>
          <w:sz w:val="22"/>
          <w:lang w:val="lt-LT"/>
        </w:rPr>
      </w:pPr>
    </w:p>
    <w:p w14:paraId="451C011E" w14:textId="77777777" w:rsidR="009A4BFE" w:rsidRDefault="009A4BFE">
      <w:pPr>
        <w:kinsoku w:val="0"/>
        <w:overflowPunct w:val="0"/>
        <w:spacing w:before="10" w:line="10" w:lineRule="exact"/>
        <w:rPr>
          <w:szCs w:val="22"/>
          <w:lang w:val="lt-LT"/>
        </w:rPr>
      </w:pPr>
    </w:p>
    <w:tbl>
      <w:tblPr>
        <w:tblW w:w="9600" w:type="dxa"/>
        <w:tblInd w:w="101" w:type="dxa"/>
        <w:tblLayout w:type="fixed"/>
        <w:tblCellMar>
          <w:left w:w="0" w:type="dxa"/>
          <w:right w:w="0" w:type="dxa"/>
        </w:tblCellMar>
        <w:tblLook w:val="0000" w:firstRow="0" w:lastRow="0" w:firstColumn="0" w:lastColumn="0" w:noHBand="0" w:noVBand="0"/>
      </w:tblPr>
      <w:tblGrid>
        <w:gridCol w:w="18"/>
        <w:gridCol w:w="2152"/>
        <w:gridCol w:w="259"/>
        <w:gridCol w:w="1260"/>
        <w:gridCol w:w="991"/>
        <w:gridCol w:w="1320"/>
        <w:gridCol w:w="1349"/>
        <w:gridCol w:w="1080"/>
        <w:gridCol w:w="1153"/>
        <w:gridCol w:w="18"/>
      </w:tblGrid>
      <w:tr w:rsidR="009A4BFE" w14:paraId="24F28188" w14:textId="77777777">
        <w:trPr>
          <w:trHeight w:hRule="exact" w:val="876"/>
        </w:trPr>
        <w:tc>
          <w:tcPr>
            <w:tcW w:w="2170" w:type="dxa"/>
            <w:gridSpan w:val="2"/>
            <w:tcBorders>
              <w:top w:val="single" w:sz="2" w:space="0" w:color="000000"/>
              <w:left w:val="single" w:sz="2" w:space="0" w:color="000000"/>
              <w:bottom w:val="single" w:sz="6" w:space="0" w:color="000000"/>
              <w:right w:val="single" w:sz="6" w:space="0" w:color="000000"/>
            </w:tcBorders>
          </w:tcPr>
          <w:p w14:paraId="5E63C4B9" w14:textId="77777777" w:rsidR="009A4BFE" w:rsidRDefault="009A4BFE">
            <w:pPr>
              <w:rPr>
                <w:szCs w:val="22"/>
                <w:lang w:val="lt-LT"/>
              </w:rPr>
            </w:pPr>
          </w:p>
        </w:tc>
        <w:tc>
          <w:tcPr>
            <w:tcW w:w="3830" w:type="dxa"/>
            <w:gridSpan w:val="4"/>
            <w:tcBorders>
              <w:top w:val="single" w:sz="2" w:space="0" w:color="000000"/>
              <w:left w:val="single" w:sz="6" w:space="0" w:color="000000"/>
              <w:bottom w:val="single" w:sz="6" w:space="0" w:color="000000"/>
              <w:right w:val="single" w:sz="6" w:space="0" w:color="000000"/>
            </w:tcBorders>
          </w:tcPr>
          <w:p w14:paraId="347ECB78" w14:textId="77777777" w:rsidR="009A4BFE" w:rsidRPr="0022257B" w:rsidRDefault="0051186A">
            <w:pPr>
              <w:tabs>
                <w:tab w:val="clear" w:pos="567"/>
              </w:tabs>
              <w:autoSpaceDE w:val="0"/>
              <w:autoSpaceDN w:val="0"/>
              <w:adjustRightInd w:val="0"/>
              <w:spacing w:line="240" w:lineRule="auto"/>
              <w:jc w:val="center"/>
              <w:rPr>
                <w:b/>
                <w:lang w:val="pt-PT"/>
              </w:rPr>
            </w:pPr>
            <w:proofErr w:type="spellStart"/>
            <w:r>
              <w:rPr>
                <w:rFonts w:eastAsia="TimesNewRoman,Bold"/>
                <w:b/>
                <w:bCs/>
                <w:snapToGrid/>
                <w:szCs w:val="22"/>
                <w:lang w:val="pl-PL"/>
              </w:rPr>
              <w:t>Tikagreloras</w:t>
            </w:r>
            <w:proofErr w:type="spellEnd"/>
            <w:r>
              <w:rPr>
                <w:rFonts w:eastAsia="TimesNewRoman,Bold"/>
                <w:b/>
                <w:bCs/>
                <w:snapToGrid/>
                <w:szCs w:val="22"/>
                <w:lang w:val="pl-PL"/>
              </w:rPr>
              <w:t xml:space="preserve"> po 60 mg 2 </w:t>
            </w:r>
            <w:proofErr w:type="spellStart"/>
            <w:r>
              <w:rPr>
                <w:rFonts w:eastAsia="TimesNewRoman,Bold"/>
                <w:b/>
                <w:bCs/>
                <w:snapToGrid/>
                <w:szCs w:val="22"/>
                <w:lang w:val="pl-PL"/>
              </w:rPr>
              <w:t>kartus</w:t>
            </w:r>
            <w:proofErr w:type="spellEnd"/>
            <w:r>
              <w:rPr>
                <w:rFonts w:eastAsia="TimesNewRoman,Bold"/>
                <w:b/>
                <w:bCs/>
                <w:snapToGrid/>
                <w:szCs w:val="22"/>
                <w:lang w:val="pl-PL"/>
              </w:rPr>
              <w:t xml:space="preserve"> per parą </w:t>
            </w:r>
            <w:proofErr w:type="spellStart"/>
            <w:r>
              <w:rPr>
                <w:rFonts w:eastAsia="TimesNewRoman,Bold"/>
                <w:b/>
                <w:bCs/>
                <w:snapToGrid/>
                <w:szCs w:val="22"/>
                <w:lang w:val="pl-PL"/>
              </w:rPr>
              <w:t>derinyje</w:t>
            </w:r>
            <w:proofErr w:type="spellEnd"/>
            <w:r>
              <w:rPr>
                <w:rFonts w:eastAsia="TimesNewRoman,Bold"/>
                <w:b/>
                <w:bCs/>
                <w:snapToGrid/>
                <w:szCs w:val="22"/>
                <w:lang w:val="pl-PL"/>
              </w:rPr>
              <w:t xml:space="preserve"> </w:t>
            </w:r>
            <w:proofErr w:type="spellStart"/>
            <w:r>
              <w:rPr>
                <w:rFonts w:eastAsia="TimesNewRoman,Bold"/>
                <w:b/>
                <w:bCs/>
                <w:snapToGrid/>
                <w:szCs w:val="22"/>
                <w:lang w:val="pl-PL"/>
              </w:rPr>
              <w:t>su</w:t>
            </w:r>
            <w:proofErr w:type="spellEnd"/>
            <w:r>
              <w:rPr>
                <w:rFonts w:eastAsia="TimesNewRoman,Bold"/>
                <w:b/>
                <w:bCs/>
                <w:snapToGrid/>
                <w:szCs w:val="22"/>
                <w:lang w:val="pl-PL"/>
              </w:rPr>
              <w:t xml:space="preserve"> </w:t>
            </w:r>
            <w:r w:rsidRPr="0022257B">
              <w:rPr>
                <w:b/>
                <w:lang w:val="pt-PT"/>
              </w:rPr>
              <w:t xml:space="preserve">ASR </w:t>
            </w:r>
          </w:p>
          <w:p w14:paraId="7F508166" w14:textId="77777777" w:rsidR="009A4BFE" w:rsidRDefault="0051186A">
            <w:pPr>
              <w:tabs>
                <w:tab w:val="clear" w:pos="567"/>
              </w:tabs>
              <w:autoSpaceDE w:val="0"/>
              <w:autoSpaceDN w:val="0"/>
              <w:adjustRightInd w:val="0"/>
              <w:spacing w:line="240" w:lineRule="auto"/>
              <w:jc w:val="center"/>
              <w:rPr>
                <w:rFonts w:eastAsia="TimesNewRoman,Bold"/>
                <w:b/>
                <w:bCs/>
                <w:snapToGrid/>
                <w:szCs w:val="22"/>
                <w:lang w:val="pl-PL"/>
              </w:rPr>
            </w:pPr>
            <w:r>
              <w:rPr>
                <w:rFonts w:eastAsia="TimesNewRoman,Bold"/>
                <w:b/>
                <w:bCs/>
                <w:szCs w:val="22"/>
                <w:lang w:val="en-US"/>
              </w:rPr>
              <w:t>N = 7045</w:t>
            </w:r>
          </w:p>
        </w:tc>
        <w:tc>
          <w:tcPr>
            <w:tcW w:w="2429" w:type="dxa"/>
            <w:gridSpan w:val="2"/>
            <w:tcBorders>
              <w:top w:val="single" w:sz="2" w:space="0" w:color="000000"/>
              <w:left w:val="single" w:sz="6" w:space="0" w:color="000000"/>
              <w:bottom w:val="single" w:sz="6" w:space="0" w:color="000000"/>
              <w:right w:val="single" w:sz="6" w:space="0" w:color="000000"/>
            </w:tcBorders>
          </w:tcPr>
          <w:p w14:paraId="4E8118D8" w14:textId="77777777" w:rsidR="009A4BFE" w:rsidRDefault="0051186A">
            <w:pPr>
              <w:tabs>
                <w:tab w:val="clear" w:pos="567"/>
              </w:tabs>
              <w:autoSpaceDE w:val="0"/>
              <w:autoSpaceDN w:val="0"/>
              <w:adjustRightInd w:val="0"/>
              <w:spacing w:line="240" w:lineRule="auto"/>
              <w:jc w:val="center"/>
              <w:rPr>
                <w:rFonts w:eastAsia="TimesNewRoman,Bold"/>
                <w:b/>
                <w:bCs/>
                <w:snapToGrid/>
                <w:szCs w:val="22"/>
                <w:lang w:val="en-US"/>
              </w:rPr>
            </w:pPr>
            <w:r>
              <w:rPr>
                <w:rFonts w:eastAsia="TimesNewRoman,Bold"/>
                <w:b/>
                <w:bCs/>
                <w:snapToGrid/>
                <w:szCs w:val="22"/>
                <w:lang w:val="en-US"/>
              </w:rPr>
              <w:t>Vien ASR</w:t>
            </w:r>
          </w:p>
          <w:p w14:paraId="49A2FACC" w14:textId="77777777" w:rsidR="009A4BFE" w:rsidRDefault="0051186A">
            <w:pPr>
              <w:pStyle w:val="TableParagraph"/>
              <w:kinsoku w:val="0"/>
              <w:overflowPunct w:val="0"/>
              <w:spacing w:before="57"/>
              <w:ind w:left="824" w:right="757" w:hanging="75"/>
              <w:jc w:val="center"/>
              <w:rPr>
                <w:sz w:val="22"/>
                <w:szCs w:val="22"/>
              </w:rPr>
            </w:pPr>
            <w:r>
              <w:rPr>
                <w:rFonts w:eastAsia="TimesNewRoman,Bold"/>
                <w:b/>
                <w:bCs/>
                <w:sz w:val="22"/>
                <w:szCs w:val="22"/>
                <w:lang w:val="en-US"/>
              </w:rPr>
              <w:t>N = 7067</w:t>
            </w:r>
          </w:p>
        </w:tc>
        <w:tc>
          <w:tcPr>
            <w:tcW w:w="1171" w:type="dxa"/>
            <w:gridSpan w:val="2"/>
            <w:vMerge w:val="restart"/>
            <w:tcBorders>
              <w:top w:val="single" w:sz="2" w:space="0" w:color="000000"/>
              <w:left w:val="single" w:sz="6" w:space="0" w:color="000000"/>
              <w:bottom w:val="single" w:sz="6" w:space="0" w:color="000000"/>
              <w:right w:val="single" w:sz="2" w:space="0" w:color="000000"/>
            </w:tcBorders>
            <w:vAlign w:val="center"/>
          </w:tcPr>
          <w:p w14:paraId="0C7C4645" w14:textId="77777777" w:rsidR="009A4BFE" w:rsidRDefault="0051186A">
            <w:pPr>
              <w:pStyle w:val="TableParagraph"/>
              <w:kinsoku w:val="0"/>
              <w:overflowPunct w:val="0"/>
              <w:ind w:left="265"/>
              <w:jc w:val="center"/>
              <w:rPr>
                <w:b/>
                <w:bCs/>
                <w:i/>
                <w:iCs/>
                <w:spacing w:val="1"/>
                <w:sz w:val="22"/>
                <w:szCs w:val="22"/>
              </w:rPr>
            </w:pPr>
            <w:r>
              <w:rPr>
                <w:b/>
                <w:bCs/>
                <w:i/>
                <w:iCs/>
                <w:spacing w:val="1"/>
                <w:sz w:val="22"/>
                <w:szCs w:val="22"/>
              </w:rPr>
              <w:t>p</w:t>
            </w:r>
          </w:p>
          <w:p w14:paraId="16A07699" w14:textId="77777777" w:rsidR="009A4BFE" w:rsidRDefault="0051186A">
            <w:pPr>
              <w:pStyle w:val="TableParagraph"/>
              <w:kinsoku w:val="0"/>
              <w:overflowPunct w:val="0"/>
              <w:ind w:left="265"/>
              <w:jc w:val="center"/>
              <w:rPr>
                <w:sz w:val="22"/>
                <w:szCs w:val="22"/>
              </w:rPr>
            </w:pPr>
            <w:proofErr w:type="spellStart"/>
            <w:r>
              <w:rPr>
                <w:b/>
                <w:bCs/>
                <w:i/>
                <w:iCs/>
                <w:spacing w:val="1"/>
                <w:sz w:val="22"/>
                <w:szCs w:val="22"/>
              </w:rPr>
              <w:t>reikšmė</w:t>
            </w:r>
            <w:proofErr w:type="spellEnd"/>
          </w:p>
        </w:tc>
      </w:tr>
      <w:tr w:rsidR="009A4BFE" w14:paraId="66F1F42F" w14:textId="77777777">
        <w:trPr>
          <w:trHeight w:hRule="exact" w:val="820"/>
        </w:trPr>
        <w:tc>
          <w:tcPr>
            <w:tcW w:w="2170" w:type="dxa"/>
            <w:gridSpan w:val="2"/>
            <w:tcBorders>
              <w:top w:val="single" w:sz="6" w:space="0" w:color="000000"/>
              <w:left w:val="single" w:sz="2" w:space="0" w:color="000000"/>
              <w:bottom w:val="single" w:sz="6" w:space="0" w:color="000000"/>
              <w:right w:val="single" w:sz="6" w:space="0" w:color="000000"/>
            </w:tcBorders>
          </w:tcPr>
          <w:p w14:paraId="06600FDB" w14:textId="77777777" w:rsidR="009A4BFE" w:rsidRDefault="0051186A">
            <w:pPr>
              <w:pStyle w:val="TableParagraph"/>
              <w:kinsoku w:val="0"/>
              <w:overflowPunct w:val="0"/>
              <w:jc w:val="center"/>
              <w:rPr>
                <w:sz w:val="22"/>
                <w:szCs w:val="22"/>
              </w:rPr>
            </w:pPr>
            <w:proofErr w:type="spellStart"/>
            <w:r>
              <w:rPr>
                <w:b/>
                <w:bCs/>
                <w:sz w:val="22"/>
                <w:szCs w:val="22"/>
              </w:rPr>
              <w:t>Rodiklis</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tcPr>
          <w:p w14:paraId="2E4D090B" w14:textId="77777777" w:rsidR="009A4BFE" w:rsidRDefault="0051186A">
            <w:pPr>
              <w:pStyle w:val="TableParagraph"/>
              <w:kinsoku w:val="0"/>
              <w:overflowPunct w:val="0"/>
              <w:ind w:right="139"/>
              <w:jc w:val="center"/>
              <w:rPr>
                <w:sz w:val="22"/>
                <w:szCs w:val="22"/>
              </w:rPr>
            </w:pPr>
            <w:proofErr w:type="spellStart"/>
            <w:r>
              <w:rPr>
                <w:b/>
                <w:bCs/>
                <w:sz w:val="22"/>
                <w:szCs w:val="22"/>
              </w:rPr>
              <w:t>Įvykių</w:t>
            </w:r>
            <w:proofErr w:type="spellEnd"/>
            <w:r>
              <w:rPr>
                <w:b/>
                <w:bCs/>
                <w:sz w:val="22"/>
                <w:szCs w:val="22"/>
              </w:rPr>
              <w:t xml:space="preserve"> </w:t>
            </w:r>
            <w:proofErr w:type="spellStart"/>
            <w:r>
              <w:rPr>
                <w:b/>
                <w:bCs/>
                <w:sz w:val="22"/>
                <w:szCs w:val="22"/>
              </w:rPr>
              <w:t>patyrę</w:t>
            </w:r>
            <w:proofErr w:type="spellEnd"/>
            <w:r>
              <w:rPr>
                <w:b/>
                <w:bCs/>
                <w:sz w:val="22"/>
                <w:szCs w:val="22"/>
              </w:rPr>
              <w:t xml:space="preserve"> </w:t>
            </w:r>
            <w:proofErr w:type="spellStart"/>
            <w:r>
              <w:rPr>
                <w:b/>
                <w:bCs/>
                <w:sz w:val="22"/>
                <w:szCs w:val="22"/>
              </w:rPr>
              <w:t>pacientai</w:t>
            </w:r>
            <w:proofErr w:type="spellEnd"/>
          </w:p>
        </w:tc>
        <w:tc>
          <w:tcPr>
            <w:tcW w:w="991" w:type="dxa"/>
            <w:tcBorders>
              <w:top w:val="single" w:sz="6" w:space="0" w:color="000000"/>
              <w:left w:val="single" w:sz="6" w:space="0" w:color="000000"/>
              <w:bottom w:val="single" w:sz="6" w:space="0" w:color="000000"/>
              <w:right w:val="single" w:sz="6" w:space="0" w:color="000000"/>
            </w:tcBorders>
          </w:tcPr>
          <w:p w14:paraId="5C60C595" w14:textId="77777777" w:rsidR="009A4BFE" w:rsidRDefault="0051186A">
            <w:pPr>
              <w:pStyle w:val="TableParagraph"/>
              <w:kinsoku w:val="0"/>
              <w:overflowPunct w:val="0"/>
              <w:jc w:val="center"/>
              <w:rPr>
                <w:sz w:val="22"/>
                <w:szCs w:val="22"/>
              </w:rPr>
            </w:pPr>
            <w:r>
              <w:rPr>
                <w:b/>
                <w:bCs/>
                <w:spacing w:val="-2"/>
                <w:sz w:val="22"/>
                <w:szCs w:val="22"/>
              </w:rPr>
              <w:t>K</w:t>
            </w:r>
            <w:r>
              <w:rPr>
                <w:b/>
                <w:bCs/>
                <w:sz w:val="22"/>
                <w:szCs w:val="22"/>
              </w:rPr>
              <w:t>M</w:t>
            </w:r>
            <w:r>
              <w:rPr>
                <w:b/>
                <w:bCs/>
                <w:spacing w:val="-2"/>
                <w:sz w:val="22"/>
                <w:szCs w:val="22"/>
              </w:rPr>
              <w:t xml:space="preserve"> </w:t>
            </w:r>
            <w:r>
              <w:rPr>
                <w:b/>
                <w:bCs/>
                <w:sz w:val="22"/>
                <w:szCs w:val="22"/>
              </w:rPr>
              <w:t>%</w:t>
            </w:r>
          </w:p>
        </w:tc>
        <w:tc>
          <w:tcPr>
            <w:tcW w:w="1320" w:type="dxa"/>
            <w:tcBorders>
              <w:top w:val="single" w:sz="6" w:space="0" w:color="000000"/>
              <w:left w:val="single" w:sz="6" w:space="0" w:color="000000"/>
              <w:bottom w:val="single" w:sz="6" w:space="0" w:color="000000"/>
              <w:right w:val="single" w:sz="6" w:space="0" w:color="000000"/>
            </w:tcBorders>
          </w:tcPr>
          <w:p w14:paraId="0788D620" w14:textId="77777777" w:rsidR="009A4BFE" w:rsidRDefault="0051186A">
            <w:pPr>
              <w:pStyle w:val="TableParagraph"/>
              <w:kinsoku w:val="0"/>
              <w:overflowPunct w:val="0"/>
              <w:ind w:right="222"/>
              <w:jc w:val="center"/>
              <w:rPr>
                <w:sz w:val="22"/>
                <w:szCs w:val="22"/>
              </w:rPr>
            </w:pPr>
            <w:r>
              <w:rPr>
                <w:b/>
                <w:bCs/>
                <w:spacing w:val="1"/>
                <w:sz w:val="22"/>
                <w:szCs w:val="22"/>
              </w:rPr>
              <w:t>HR</w:t>
            </w:r>
            <w:r>
              <w:rPr>
                <w:b/>
                <w:bCs/>
                <w:spacing w:val="1"/>
                <w:w w:val="99"/>
                <w:sz w:val="22"/>
                <w:szCs w:val="22"/>
              </w:rPr>
              <w:t xml:space="preserve"> </w:t>
            </w:r>
            <w:r>
              <w:rPr>
                <w:b/>
                <w:bCs/>
                <w:sz w:val="22"/>
                <w:szCs w:val="22"/>
              </w:rPr>
              <w:t>(95 %</w:t>
            </w:r>
            <w:r>
              <w:rPr>
                <w:b/>
                <w:bCs/>
                <w:spacing w:val="-8"/>
                <w:sz w:val="22"/>
                <w:szCs w:val="22"/>
              </w:rPr>
              <w:t xml:space="preserve"> PI</w:t>
            </w:r>
            <w:r>
              <w:rPr>
                <w:b/>
                <w:bCs/>
                <w:sz w:val="22"/>
                <w:szCs w:val="22"/>
              </w:rPr>
              <w:t>)</w:t>
            </w:r>
          </w:p>
        </w:tc>
        <w:tc>
          <w:tcPr>
            <w:tcW w:w="1349" w:type="dxa"/>
            <w:tcBorders>
              <w:top w:val="single" w:sz="6" w:space="0" w:color="000000"/>
              <w:left w:val="single" w:sz="6" w:space="0" w:color="000000"/>
              <w:bottom w:val="single" w:sz="6" w:space="0" w:color="000000"/>
              <w:right w:val="single" w:sz="6" w:space="0" w:color="000000"/>
            </w:tcBorders>
          </w:tcPr>
          <w:p w14:paraId="278B39CE" w14:textId="77777777" w:rsidR="009A4BFE" w:rsidRDefault="0051186A">
            <w:pPr>
              <w:pStyle w:val="TableParagraph"/>
              <w:kinsoku w:val="0"/>
              <w:overflowPunct w:val="0"/>
              <w:ind w:right="109"/>
              <w:jc w:val="center"/>
              <w:rPr>
                <w:sz w:val="22"/>
                <w:szCs w:val="22"/>
              </w:rPr>
            </w:pPr>
            <w:proofErr w:type="spellStart"/>
            <w:r>
              <w:rPr>
                <w:b/>
                <w:bCs/>
                <w:sz w:val="22"/>
                <w:szCs w:val="22"/>
              </w:rPr>
              <w:t>Įvykių</w:t>
            </w:r>
            <w:proofErr w:type="spellEnd"/>
            <w:r>
              <w:rPr>
                <w:b/>
                <w:bCs/>
                <w:sz w:val="22"/>
                <w:szCs w:val="22"/>
              </w:rPr>
              <w:t xml:space="preserve"> </w:t>
            </w:r>
            <w:proofErr w:type="spellStart"/>
            <w:r>
              <w:rPr>
                <w:b/>
                <w:bCs/>
                <w:sz w:val="22"/>
                <w:szCs w:val="22"/>
              </w:rPr>
              <w:t>patyrę</w:t>
            </w:r>
            <w:proofErr w:type="spellEnd"/>
            <w:r>
              <w:rPr>
                <w:b/>
                <w:bCs/>
                <w:sz w:val="22"/>
                <w:szCs w:val="22"/>
              </w:rPr>
              <w:t xml:space="preserve"> </w:t>
            </w:r>
            <w:proofErr w:type="spellStart"/>
            <w:r>
              <w:rPr>
                <w:b/>
                <w:bCs/>
                <w:sz w:val="22"/>
                <w:szCs w:val="22"/>
              </w:rPr>
              <w:t>pacientai</w:t>
            </w:r>
            <w:proofErr w:type="spellEnd"/>
          </w:p>
        </w:tc>
        <w:tc>
          <w:tcPr>
            <w:tcW w:w="1080" w:type="dxa"/>
            <w:tcBorders>
              <w:top w:val="single" w:sz="6" w:space="0" w:color="000000"/>
              <w:left w:val="single" w:sz="6" w:space="0" w:color="000000"/>
              <w:bottom w:val="single" w:sz="6" w:space="0" w:color="000000"/>
              <w:right w:val="single" w:sz="6" w:space="0" w:color="000000"/>
            </w:tcBorders>
          </w:tcPr>
          <w:p w14:paraId="233565CF" w14:textId="77777777" w:rsidR="009A4BFE" w:rsidRDefault="0051186A">
            <w:pPr>
              <w:pStyle w:val="TableParagraph"/>
              <w:kinsoku w:val="0"/>
              <w:overflowPunct w:val="0"/>
              <w:jc w:val="center"/>
              <w:rPr>
                <w:sz w:val="22"/>
                <w:szCs w:val="22"/>
              </w:rPr>
            </w:pPr>
            <w:r>
              <w:rPr>
                <w:b/>
                <w:bCs/>
                <w:spacing w:val="-2"/>
                <w:sz w:val="22"/>
                <w:szCs w:val="22"/>
              </w:rPr>
              <w:t>K</w:t>
            </w:r>
            <w:r>
              <w:rPr>
                <w:b/>
                <w:bCs/>
                <w:sz w:val="22"/>
                <w:szCs w:val="22"/>
              </w:rPr>
              <w:t>M</w:t>
            </w:r>
            <w:r>
              <w:rPr>
                <w:b/>
                <w:bCs/>
                <w:spacing w:val="-2"/>
                <w:sz w:val="22"/>
                <w:szCs w:val="22"/>
              </w:rPr>
              <w:t xml:space="preserve"> </w:t>
            </w:r>
            <w:r>
              <w:rPr>
                <w:b/>
                <w:bCs/>
                <w:sz w:val="22"/>
                <w:szCs w:val="22"/>
              </w:rPr>
              <w:t>%</w:t>
            </w:r>
          </w:p>
        </w:tc>
        <w:tc>
          <w:tcPr>
            <w:tcW w:w="1171" w:type="dxa"/>
            <w:gridSpan w:val="2"/>
            <w:vMerge/>
            <w:tcBorders>
              <w:top w:val="single" w:sz="2" w:space="0" w:color="000000"/>
              <w:left w:val="single" w:sz="6" w:space="0" w:color="000000"/>
              <w:bottom w:val="single" w:sz="6" w:space="0" w:color="000000"/>
              <w:right w:val="single" w:sz="2" w:space="0" w:color="000000"/>
            </w:tcBorders>
          </w:tcPr>
          <w:p w14:paraId="528F8519" w14:textId="77777777" w:rsidR="009A4BFE" w:rsidRDefault="009A4BFE">
            <w:pPr>
              <w:pStyle w:val="TableParagraph"/>
              <w:kinsoku w:val="0"/>
              <w:overflowPunct w:val="0"/>
              <w:ind w:left="234"/>
              <w:rPr>
                <w:sz w:val="22"/>
                <w:szCs w:val="22"/>
              </w:rPr>
            </w:pPr>
          </w:p>
        </w:tc>
      </w:tr>
      <w:tr w:rsidR="009A4BFE" w14:paraId="6A3B1E30" w14:textId="77777777">
        <w:trPr>
          <w:gridAfter w:val="1"/>
          <w:wAfter w:w="18" w:type="dxa"/>
          <w:trHeight w:hRule="exact" w:val="425"/>
        </w:trPr>
        <w:tc>
          <w:tcPr>
            <w:tcW w:w="9582" w:type="dxa"/>
            <w:gridSpan w:val="9"/>
            <w:tcBorders>
              <w:top w:val="single" w:sz="6" w:space="0" w:color="000000"/>
              <w:left w:val="single" w:sz="2" w:space="0" w:color="000000"/>
              <w:bottom w:val="single" w:sz="6" w:space="0" w:color="000000"/>
              <w:right w:val="single" w:sz="2" w:space="0" w:color="000000"/>
            </w:tcBorders>
          </w:tcPr>
          <w:p w14:paraId="6B31A2B0" w14:textId="77777777" w:rsidR="009A4BFE" w:rsidRDefault="0051186A">
            <w:pPr>
              <w:pStyle w:val="TableParagraph"/>
              <w:kinsoku w:val="0"/>
              <w:overflowPunct w:val="0"/>
              <w:jc w:val="center"/>
              <w:rPr>
                <w:sz w:val="22"/>
                <w:szCs w:val="22"/>
              </w:rPr>
            </w:pPr>
            <w:r>
              <w:rPr>
                <w:rFonts w:eastAsia="TimesNewRoman"/>
                <w:sz w:val="22"/>
                <w:szCs w:val="22"/>
                <w:lang w:val="en-US"/>
              </w:rPr>
              <w:lastRenderedPageBreak/>
              <w:t xml:space="preserve">Pirminė </w:t>
            </w:r>
            <w:proofErr w:type="spellStart"/>
            <w:r>
              <w:rPr>
                <w:rFonts w:eastAsia="TimesNewRoman"/>
                <w:sz w:val="22"/>
                <w:szCs w:val="22"/>
                <w:lang w:val="en-US"/>
              </w:rPr>
              <w:t>vertinamoji</w:t>
            </w:r>
            <w:proofErr w:type="spellEnd"/>
            <w:r>
              <w:rPr>
                <w:rFonts w:eastAsia="TimesNewRoman"/>
                <w:sz w:val="22"/>
                <w:szCs w:val="22"/>
                <w:lang w:val="en-US"/>
              </w:rPr>
              <w:t xml:space="preserve"> </w:t>
            </w:r>
            <w:proofErr w:type="spellStart"/>
            <w:r>
              <w:rPr>
                <w:rFonts w:eastAsia="TimesNewRoman"/>
                <w:sz w:val="22"/>
                <w:szCs w:val="22"/>
                <w:lang w:val="en-US"/>
              </w:rPr>
              <w:t>baigtis</w:t>
            </w:r>
            <w:proofErr w:type="spellEnd"/>
          </w:p>
        </w:tc>
      </w:tr>
      <w:tr w:rsidR="009A4BFE" w14:paraId="3DBD76D5" w14:textId="77777777">
        <w:trPr>
          <w:gridBefore w:val="1"/>
          <w:wBefore w:w="18" w:type="dxa"/>
          <w:trHeight w:hRule="exact" w:val="656"/>
        </w:trPr>
        <w:tc>
          <w:tcPr>
            <w:tcW w:w="2152" w:type="dxa"/>
            <w:tcBorders>
              <w:top w:val="single" w:sz="6" w:space="0" w:color="000000"/>
              <w:left w:val="single" w:sz="2" w:space="0" w:color="000000"/>
              <w:bottom w:val="single" w:sz="6" w:space="0" w:color="000000"/>
              <w:right w:val="single" w:sz="6" w:space="0" w:color="000000"/>
            </w:tcBorders>
          </w:tcPr>
          <w:p w14:paraId="79021923" w14:textId="77777777" w:rsidR="009A4BFE" w:rsidRPr="0022257B" w:rsidRDefault="0051186A">
            <w:pPr>
              <w:tabs>
                <w:tab w:val="clear" w:pos="567"/>
              </w:tabs>
              <w:autoSpaceDE w:val="0"/>
              <w:autoSpaceDN w:val="0"/>
              <w:adjustRightInd w:val="0"/>
              <w:spacing w:line="240" w:lineRule="auto"/>
              <w:rPr>
                <w:lang w:val="pt-PT"/>
              </w:rPr>
            </w:pPr>
            <w:r w:rsidRPr="0022257B">
              <w:rPr>
                <w:lang w:val="pt-PT"/>
              </w:rPr>
              <w:t>Bendras KV mirčių, MI ir insultų skaičius</w:t>
            </w:r>
            <w:r w:rsidRPr="0022257B">
              <w:rPr>
                <w:spacing w:val="1"/>
                <w:lang w:val="pt-PT"/>
              </w:rPr>
              <w:t xml:space="preserve"> </w:t>
            </w:r>
          </w:p>
        </w:tc>
        <w:tc>
          <w:tcPr>
            <w:tcW w:w="1519" w:type="dxa"/>
            <w:gridSpan w:val="2"/>
            <w:tcBorders>
              <w:top w:val="single" w:sz="6" w:space="0" w:color="000000"/>
              <w:left w:val="single" w:sz="6" w:space="0" w:color="000000"/>
              <w:bottom w:val="single" w:sz="6" w:space="0" w:color="000000"/>
              <w:right w:val="single" w:sz="6" w:space="0" w:color="000000"/>
            </w:tcBorders>
            <w:vAlign w:val="center"/>
          </w:tcPr>
          <w:p w14:paraId="608B3DA9" w14:textId="77777777" w:rsidR="009A4BFE" w:rsidRDefault="0051186A">
            <w:pPr>
              <w:pStyle w:val="TableParagraph"/>
              <w:kinsoku w:val="0"/>
              <w:overflowPunct w:val="0"/>
              <w:jc w:val="center"/>
              <w:rPr>
                <w:sz w:val="22"/>
                <w:szCs w:val="22"/>
              </w:rPr>
            </w:pPr>
            <w:r>
              <w:rPr>
                <w:sz w:val="22"/>
                <w:szCs w:val="22"/>
              </w:rPr>
              <w:t>487</w:t>
            </w:r>
            <w:r>
              <w:rPr>
                <w:spacing w:val="-9"/>
                <w:sz w:val="22"/>
                <w:szCs w:val="22"/>
              </w:rPr>
              <w:t xml:space="preserve"> </w:t>
            </w:r>
            <w:r>
              <w:rPr>
                <w:sz w:val="22"/>
                <w:szCs w:val="22"/>
              </w:rPr>
              <w:t>(6,9 %)</w:t>
            </w:r>
          </w:p>
        </w:tc>
        <w:tc>
          <w:tcPr>
            <w:tcW w:w="991" w:type="dxa"/>
            <w:tcBorders>
              <w:top w:val="single" w:sz="6" w:space="0" w:color="000000"/>
              <w:left w:val="single" w:sz="6" w:space="0" w:color="000000"/>
              <w:bottom w:val="single" w:sz="6" w:space="0" w:color="000000"/>
              <w:right w:val="single" w:sz="6" w:space="0" w:color="000000"/>
            </w:tcBorders>
            <w:vAlign w:val="center"/>
          </w:tcPr>
          <w:p w14:paraId="58C9769A" w14:textId="77777777" w:rsidR="009A4BFE" w:rsidRDefault="0051186A">
            <w:pPr>
              <w:pStyle w:val="TableParagraph"/>
              <w:kinsoku w:val="0"/>
              <w:overflowPunct w:val="0"/>
              <w:ind w:left="277"/>
              <w:jc w:val="center"/>
              <w:rPr>
                <w:sz w:val="22"/>
                <w:szCs w:val="22"/>
              </w:rPr>
            </w:pPr>
            <w:r>
              <w:rPr>
                <w:spacing w:val="1"/>
                <w:sz w:val="22"/>
                <w:szCs w:val="22"/>
              </w:rPr>
              <w:t>7,8 %</w:t>
            </w:r>
          </w:p>
        </w:tc>
        <w:tc>
          <w:tcPr>
            <w:tcW w:w="1320" w:type="dxa"/>
            <w:tcBorders>
              <w:top w:val="single" w:sz="6" w:space="0" w:color="000000"/>
              <w:left w:val="single" w:sz="6" w:space="0" w:color="000000"/>
              <w:bottom w:val="single" w:sz="6" w:space="0" w:color="000000"/>
              <w:right w:val="single" w:sz="6" w:space="0" w:color="000000"/>
            </w:tcBorders>
            <w:vAlign w:val="center"/>
          </w:tcPr>
          <w:p w14:paraId="43D7D59A" w14:textId="77777777" w:rsidR="009A4BFE" w:rsidRDefault="0051186A">
            <w:pPr>
              <w:pStyle w:val="TableParagraph"/>
              <w:kinsoku w:val="0"/>
              <w:overflowPunct w:val="0"/>
              <w:spacing w:before="52"/>
              <w:ind w:left="423" w:right="427"/>
              <w:jc w:val="center"/>
              <w:rPr>
                <w:sz w:val="22"/>
                <w:szCs w:val="22"/>
              </w:rPr>
            </w:pPr>
            <w:r>
              <w:rPr>
                <w:spacing w:val="1"/>
                <w:sz w:val="22"/>
                <w:szCs w:val="22"/>
              </w:rPr>
              <w:t>0,84</w:t>
            </w:r>
          </w:p>
          <w:p w14:paraId="4A2A3EC0" w14:textId="77777777" w:rsidR="009A4BFE" w:rsidRDefault="0051186A">
            <w:pPr>
              <w:pStyle w:val="TableParagraph"/>
              <w:kinsoku w:val="0"/>
              <w:overflowPunct w:val="0"/>
              <w:ind w:left="138" w:right="141"/>
              <w:jc w:val="center"/>
              <w:rPr>
                <w:sz w:val="22"/>
                <w:szCs w:val="22"/>
              </w:rPr>
            </w:pPr>
            <w:r>
              <w:rPr>
                <w:sz w:val="22"/>
                <w:szCs w:val="22"/>
              </w:rPr>
              <w:t>(0,74,</w:t>
            </w:r>
            <w:r>
              <w:rPr>
                <w:spacing w:val="-9"/>
                <w:sz w:val="22"/>
                <w:szCs w:val="22"/>
              </w:rPr>
              <w:t xml:space="preserve"> </w:t>
            </w:r>
            <w:r>
              <w:rPr>
                <w:sz w:val="22"/>
                <w:szCs w:val="22"/>
              </w:rPr>
              <w:t>0,95)</w:t>
            </w:r>
          </w:p>
        </w:tc>
        <w:tc>
          <w:tcPr>
            <w:tcW w:w="1349" w:type="dxa"/>
            <w:tcBorders>
              <w:top w:val="single" w:sz="6" w:space="0" w:color="000000"/>
              <w:left w:val="single" w:sz="6" w:space="0" w:color="000000"/>
              <w:bottom w:val="single" w:sz="6" w:space="0" w:color="000000"/>
              <w:right w:val="single" w:sz="6" w:space="0" w:color="000000"/>
            </w:tcBorders>
            <w:vAlign w:val="center"/>
          </w:tcPr>
          <w:p w14:paraId="51B6225E" w14:textId="77777777" w:rsidR="009A4BFE" w:rsidRDefault="0051186A">
            <w:pPr>
              <w:pStyle w:val="TableParagraph"/>
              <w:kinsoku w:val="0"/>
              <w:overflowPunct w:val="0"/>
              <w:ind w:left="212"/>
              <w:jc w:val="center"/>
              <w:rPr>
                <w:sz w:val="22"/>
                <w:szCs w:val="22"/>
              </w:rPr>
            </w:pPr>
            <w:r>
              <w:rPr>
                <w:sz w:val="22"/>
                <w:szCs w:val="22"/>
              </w:rPr>
              <w:t>578</w:t>
            </w:r>
            <w:r>
              <w:rPr>
                <w:spacing w:val="-9"/>
                <w:sz w:val="22"/>
                <w:szCs w:val="22"/>
              </w:rPr>
              <w:t xml:space="preserve"> </w:t>
            </w:r>
            <w:r>
              <w:rPr>
                <w:sz w:val="22"/>
                <w:szCs w:val="22"/>
              </w:rPr>
              <w:t>(8,2 %)</w:t>
            </w:r>
          </w:p>
        </w:tc>
        <w:tc>
          <w:tcPr>
            <w:tcW w:w="1080" w:type="dxa"/>
            <w:tcBorders>
              <w:top w:val="single" w:sz="6" w:space="0" w:color="000000"/>
              <w:left w:val="single" w:sz="6" w:space="0" w:color="000000"/>
              <w:bottom w:val="single" w:sz="6" w:space="0" w:color="000000"/>
              <w:right w:val="single" w:sz="6" w:space="0" w:color="000000"/>
            </w:tcBorders>
            <w:vAlign w:val="center"/>
          </w:tcPr>
          <w:p w14:paraId="53514916" w14:textId="77777777" w:rsidR="009A4BFE" w:rsidRDefault="0051186A">
            <w:pPr>
              <w:pStyle w:val="TableParagraph"/>
              <w:kinsoku w:val="0"/>
              <w:overflowPunct w:val="0"/>
              <w:ind w:left="323"/>
              <w:jc w:val="center"/>
              <w:rPr>
                <w:sz w:val="22"/>
                <w:szCs w:val="22"/>
              </w:rPr>
            </w:pPr>
            <w:r>
              <w:rPr>
                <w:spacing w:val="1"/>
                <w:sz w:val="22"/>
                <w:szCs w:val="22"/>
              </w:rPr>
              <w:t>9,0 %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706DC222" w14:textId="77777777" w:rsidR="009A4BFE" w:rsidRDefault="0051186A">
            <w:pPr>
              <w:pStyle w:val="TableParagraph"/>
              <w:kinsoku w:val="0"/>
              <w:overflowPunct w:val="0"/>
              <w:ind w:left="169"/>
              <w:jc w:val="center"/>
              <w:rPr>
                <w:sz w:val="22"/>
                <w:szCs w:val="22"/>
              </w:rPr>
            </w:pPr>
            <w:r>
              <w:rPr>
                <w:sz w:val="22"/>
                <w:szCs w:val="22"/>
              </w:rPr>
              <w:t>0,0043</w:t>
            </w:r>
            <w:r>
              <w:rPr>
                <w:spacing w:val="-8"/>
                <w:sz w:val="22"/>
                <w:szCs w:val="22"/>
              </w:rPr>
              <w:t xml:space="preserve"> </w:t>
            </w:r>
            <w:r>
              <w:rPr>
                <w:sz w:val="22"/>
                <w:szCs w:val="22"/>
              </w:rPr>
              <w:t>(s)</w:t>
            </w:r>
          </w:p>
        </w:tc>
      </w:tr>
      <w:tr w:rsidR="009A4BFE" w14:paraId="689455F7" w14:textId="77777777">
        <w:trPr>
          <w:gridBefore w:val="1"/>
          <w:wBefore w:w="18" w:type="dxa"/>
          <w:trHeight w:hRule="exact" w:val="706"/>
        </w:trPr>
        <w:tc>
          <w:tcPr>
            <w:tcW w:w="2152" w:type="dxa"/>
            <w:tcBorders>
              <w:top w:val="single" w:sz="6" w:space="0" w:color="000000"/>
              <w:left w:val="single" w:sz="2" w:space="0" w:color="000000"/>
              <w:bottom w:val="single" w:sz="6" w:space="0" w:color="000000"/>
              <w:right w:val="single" w:sz="6" w:space="0" w:color="000000"/>
            </w:tcBorders>
          </w:tcPr>
          <w:p w14:paraId="2884932F" w14:textId="77777777" w:rsidR="009A4BFE" w:rsidRDefault="009A4BFE">
            <w:pPr>
              <w:pStyle w:val="TableParagraph"/>
              <w:kinsoku w:val="0"/>
              <w:overflowPunct w:val="0"/>
              <w:spacing w:before="7" w:line="160" w:lineRule="exact"/>
              <w:rPr>
                <w:sz w:val="22"/>
                <w:szCs w:val="22"/>
              </w:rPr>
            </w:pPr>
          </w:p>
          <w:p w14:paraId="010F48B2" w14:textId="77777777" w:rsidR="009A4BFE" w:rsidRDefault="0051186A">
            <w:pPr>
              <w:pStyle w:val="TableParagraph"/>
              <w:kinsoku w:val="0"/>
              <w:overflowPunct w:val="0"/>
              <w:ind w:left="479"/>
              <w:rPr>
                <w:sz w:val="22"/>
                <w:szCs w:val="22"/>
              </w:rPr>
            </w:pPr>
            <w:r>
              <w:rPr>
                <w:sz w:val="22"/>
                <w:szCs w:val="22"/>
              </w:rPr>
              <w:t xml:space="preserve">KV </w:t>
            </w:r>
            <w:proofErr w:type="spellStart"/>
            <w:r>
              <w:rPr>
                <w:sz w:val="22"/>
                <w:szCs w:val="22"/>
              </w:rPr>
              <w:t>mirtys</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vAlign w:val="center"/>
          </w:tcPr>
          <w:p w14:paraId="4264873E" w14:textId="77777777" w:rsidR="009A4BFE" w:rsidRDefault="0051186A">
            <w:pPr>
              <w:pStyle w:val="TableParagraph"/>
              <w:kinsoku w:val="0"/>
              <w:overflowPunct w:val="0"/>
              <w:ind w:left="171"/>
              <w:jc w:val="center"/>
              <w:rPr>
                <w:sz w:val="22"/>
                <w:szCs w:val="22"/>
              </w:rPr>
            </w:pPr>
            <w:r>
              <w:rPr>
                <w:sz w:val="22"/>
                <w:szCs w:val="22"/>
              </w:rPr>
              <w:t>174</w:t>
            </w:r>
            <w:r>
              <w:rPr>
                <w:spacing w:val="-9"/>
                <w:sz w:val="22"/>
                <w:szCs w:val="22"/>
              </w:rPr>
              <w:t xml:space="preserve"> </w:t>
            </w:r>
            <w:r>
              <w:rPr>
                <w:sz w:val="22"/>
                <w:szCs w:val="22"/>
              </w:rPr>
              <w:t>(2,5 %)</w:t>
            </w:r>
          </w:p>
        </w:tc>
        <w:tc>
          <w:tcPr>
            <w:tcW w:w="991" w:type="dxa"/>
            <w:tcBorders>
              <w:top w:val="single" w:sz="6" w:space="0" w:color="000000"/>
              <w:left w:val="single" w:sz="6" w:space="0" w:color="000000"/>
              <w:bottom w:val="single" w:sz="6" w:space="0" w:color="000000"/>
              <w:right w:val="single" w:sz="6" w:space="0" w:color="000000"/>
            </w:tcBorders>
            <w:vAlign w:val="center"/>
          </w:tcPr>
          <w:p w14:paraId="25A5204E" w14:textId="77777777" w:rsidR="009A4BFE" w:rsidRDefault="0051186A">
            <w:pPr>
              <w:pStyle w:val="TableParagraph"/>
              <w:kinsoku w:val="0"/>
              <w:overflowPunct w:val="0"/>
              <w:ind w:left="277"/>
              <w:jc w:val="center"/>
              <w:rPr>
                <w:sz w:val="22"/>
                <w:szCs w:val="22"/>
              </w:rPr>
            </w:pPr>
            <w:r>
              <w:rPr>
                <w:spacing w:val="1"/>
                <w:sz w:val="22"/>
                <w:szCs w:val="22"/>
              </w:rPr>
              <w:t>2,9 %</w:t>
            </w:r>
          </w:p>
        </w:tc>
        <w:tc>
          <w:tcPr>
            <w:tcW w:w="1320" w:type="dxa"/>
            <w:tcBorders>
              <w:top w:val="single" w:sz="6" w:space="0" w:color="000000"/>
              <w:left w:val="single" w:sz="6" w:space="0" w:color="000000"/>
              <w:bottom w:val="single" w:sz="6" w:space="0" w:color="000000"/>
              <w:right w:val="single" w:sz="6" w:space="0" w:color="000000"/>
            </w:tcBorders>
            <w:vAlign w:val="center"/>
          </w:tcPr>
          <w:p w14:paraId="4AD519EA" w14:textId="77777777" w:rsidR="009A4BFE" w:rsidRDefault="0051186A">
            <w:pPr>
              <w:pStyle w:val="TableParagraph"/>
              <w:kinsoku w:val="0"/>
              <w:overflowPunct w:val="0"/>
              <w:spacing w:before="52"/>
              <w:ind w:left="423" w:right="427"/>
              <w:jc w:val="center"/>
              <w:rPr>
                <w:sz w:val="22"/>
                <w:szCs w:val="22"/>
              </w:rPr>
            </w:pPr>
            <w:r>
              <w:rPr>
                <w:spacing w:val="1"/>
                <w:sz w:val="22"/>
                <w:szCs w:val="22"/>
              </w:rPr>
              <w:t>0,83</w:t>
            </w:r>
          </w:p>
          <w:p w14:paraId="6C500E15" w14:textId="77777777" w:rsidR="009A4BFE" w:rsidRDefault="0051186A">
            <w:pPr>
              <w:pStyle w:val="TableParagraph"/>
              <w:kinsoku w:val="0"/>
              <w:overflowPunct w:val="0"/>
              <w:ind w:left="138" w:right="141"/>
              <w:jc w:val="center"/>
              <w:rPr>
                <w:sz w:val="22"/>
                <w:szCs w:val="22"/>
              </w:rPr>
            </w:pPr>
            <w:r>
              <w:rPr>
                <w:sz w:val="22"/>
                <w:szCs w:val="22"/>
              </w:rPr>
              <w:t>(0,68,</w:t>
            </w:r>
            <w:r>
              <w:rPr>
                <w:spacing w:val="-9"/>
                <w:sz w:val="22"/>
                <w:szCs w:val="22"/>
              </w:rPr>
              <w:t xml:space="preserve"> </w:t>
            </w:r>
            <w:r>
              <w:rPr>
                <w:sz w:val="22"/>
                <w:szCs w:val="22"/>
              </w:rPr>
              <w:t>1,01)</w:t>
            </w:r>
          </w:p>
        </w:tc>
        <w:tc>
          <w:tcPr>
            <w:tcW w:w="1349" w:type="dxa"/>
            <w:tcBorders>
              <w:top w:val="single" w:sz="6" w:space="0" w:color="000000"/>
              <w:left w:val="single" w:sz="6" w:space="0" w:color="000000"/>
              <w:bottom w:val="single" w:sz="6" w:space="0" w:color="000000"/>
              <w:right w:val="single" w:sz="6" w:space="0" w:color="000000"/>
            </w:tcBorders>
            <w:vAlign w:val="center"/>
          </w:tcPr>
          <w:p w14:paraId="563920EE" w14:textId="77777777" w:rsidR="009A4BFE" w:rsidRDefault="0051186A">
            <w:pPr>
              <w:pStyle w:val="TableParagraph"/>
              <w:kinsoku w:val="0"/>
              <w:overflowPunct w:val="0"/>
              <w:ind w:left="212"/>
              <w:jc w:val="center"/>
              <w:rPr>
                <w:sz w:val="22"/>
                <w:szCs w:val="22"/>
              </w:rPr>
            </w:pPr>
            <w:r>
              <w:rPr>
                <w:sz w:val="22"/>
                <w:szCs w:val="22"/>
              </w:rPr>
              <w:t>210</w:t>
            </w:r>
            <w:r>
              <w:rPr>
                <w:spacing w:val="-9"/>
                <w:sz w:val="22"/>
                <w:szCs w:val="22"/>
              </w:rPr>
              <w:t xml:space="preserve"> </w:t>
            </w:r>
            <w:r>
              <w:rPr>
                <w:sz w:val="22"/>
                <w:szCs w:val="22"/>
              </w:rPr>
              <w:t>(3,0 %)</w:t>
            </w:r>
          </w:p>
        </w:tc>
        <w:tc>
          <w:tcPr>
            <w:tcW w:w="1080" w:type="dxa"/>
            <w:tcBorders>
              <w:top w:val="single" w:sz="6" w:space="0" w:color="000000"/>
              <w:left w:val="single" w:sz="6" w:space="0" w:color="000000"/>
              <w:bottom w:val="single" w:sz="6" w:space="0" w:color="000000"/>
              <w:right w:val="single" w:sz="6" w:space="0" w:color="000000"/>
            </w:tcBorders>
            <w:vAlign w:val="center"/>
          </w:tcPr>
          <w:p w14:paraId="68B13A7A" w14:textId="77777777" w:rsidR="009A4BFE" w:rsidRDefault="0051186A">
            <w:pPr>
              <w:pStyle w:val="TableParagraph"/>
              <w:kinsoku w:val="0"/>
              <w:overflowPunct w:val="0"/>
              <w:ind w:left="323"/>
              <w:jc w:val="center"/>
              <w:rPr>
                <w:sz w:val="22"/>
                <w:szCs w:val="22"/>
              </w:rPr>
            </w:pPr>
            <w:r>
              <w:rPr>
                <w:spacing w:val="1"/>
                <w:sz w:val="22"/>
                <w:szCs w:val="22"/>
              </w:rPr>
              <w:t>3,4 %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721D495C" w14:textId="77777777" w:rsidR="009A4BFE" w:rsidRDefault="0051186A">
            <w:pPr>
              <w:pStyle w:val="TableParagraph"/>
              <w:kinsoku w:val="0"/>
              <w:overflowPunct w:val="0"/>
              <w:ind w:left="301"/>
              <w:jc w:val="center"/>
              <w:rPr>
                <w:sz w:val="22"/>
                <w:szCs w:val="22"/>
              </w:rPr>
            </w:pPr>
            <w:r>
              <w:rPr>
                <w:sz w:val="22"/>
                <w:szCs w:val="22"/>
              </w:rPr>
              <w:t>0,0676</w:t>
            </w:r>
          </w:p>
        </w:tc>
      </w:tr>
      <w:tr w:rsidR="009A4BFE" w14:paraId="37B209B2" w14:textId="77777777">
        <w:trPr>
          <w:gridBefore w:val="1"/>
          <w:wBefore w:w="18" w:type="dxa"/>
          <w:trHeight w:hRule="exact" w:val="860"/>
        </w:trPr>
        <w:tc>
          <w:tcPr>
            <w:tcW w:w="2152" w:type="dxa"/>
            <w:tcBorders>
              <w:top w:val="single" w:sz="6" w:space="0" w:color="000000"/>
              <w:left w:val="single" w:sz="2" w:space="0" w:color="000000"/>
              <w:bottom w:val="single" w:sz="6" w:space="0" w:color="000000"/>
              <w:right w:val="single" w:sz="6" w:space="0" w:color="000000"/>
            </w:tcBorders>
          </w:tcPr>
          <w:p w14:paraId="1DB2D533" w14:textId="77777777" w:rsidR="009A4BFE" w:rsidRDefault="009A4BFE">
            <w:pPr>
              <w:pStyle w:val="TableParagraph"/>
              <w:kinsoku w:val="0"/>
              <w:overflowPunct w:val="0"/>
              <w:spacing w:before="7" w:line="160" w:lineRule="exact"/>
              <w:rPr>
                <w:sz w:val="22"/>
                <w:szCs w:val="22"/>
              </w:rPr>
            </w:pPr>
          </w:p>
          <w:p w14:paraId="70A9D1A7" w14:textId="77777777" w:rsidR="009A4BFE" w:rsidRDefault="0051186A">
            <w:pPr>
              <w:pStyle w:val="TableParagraph"/>
              <w:kinsoku w:val="0"/>
              <w:overflowPunct w:val="0"/>
              <w:ind w:left="4"/>
              <w:jc w:val="center"/>
              <w:rPr>
                <w:sz w:val="22"/>
                <w:szCs w:val="22"/>
              </w:rPr>
            </w:pPr>
            <w:r>
              <w:rPr>
                <w:sz w:val="22"/>
                <w:szCs w:val="22"/>
              </w:rPr>
              <w:t>MI</w:t>
            </w:r>
          </w:p>
        </w:tc>
        <w:tc>
          <w:tcPr>
            <w:tcW w:w="1519" w:type="dxa"/>
            <w:gridSpan w:val="2"/>
            <w:tcBorders>
              <w:top w:val="single" w:sz="6" w:space="0" w:color="000000"/>
              <w:left w:val="single" w:sz="6" w:space="0" w:color="000000"/>
              <w:bottom w:val="single" w:sz="6" w:space="0" w:color="000000"/>
              <w:right w:val="single" w:sz="6" w:space="0" w:color="000000"/>
            </w:tcBorders>
            <w:vAlign w:val="center"/>
          </w:tcPr>
          <w:p w14:paraId="3DDCE27D" w14:textId="77777777" w:rsidR="009A4BFE" w:rsidRDefault="0051186A">
            <w:pPr>
              <w:pStyle w:val="TableParagraph"/>
              <w:kinsoku w:val="0"/>
              <w:overflowPunct w:val="0"/>
              <w:ind w:left="171"/>
              <w:jc w:val="center"/>
              <w:rPr>
                <w:sz w:val="22"/>
                <w:szCs w:val="22"/>
              </w:rPr>
            </w:pPr>
            <w:r>
              <w:rPr>
                <w:sz w:val="22"/>
                <w:szCs w:val="22"/>
              </w:rPr>
              <w:t>285</w:t>
            </w:r>
            <w:r>
              <w:rPr>
                <w:spacing w:val="-9"/>
                <w:sz w:val="22"/>
                <w:szCs w:val="22"/>
              </w:rPr>
              <w:t xml:space="preserve"> </w:t>
            </w:r>
            <w:r>
              <w:rPr>
                <w:sz w:val="22"/>
                <w:szCs w:val="22"/>
              </w:rPr>
              <w:t>(4,0 %)</w:t>
            </w:r>
          </w:p>
        </w:tc>
        <w:tc>
          <w:tcPr>
            <w:tcW w:w="991" w:type="dxa"/>
            <w:tcBorders>
              <w:top w:val="single" w:sz="6" w:space="0" w:color="000000"/>
              <w:left w:val="single" w:sz="6" w:space="0" w:color="000000"/>
              <w:bottom w:val="single" w:sz="6" w:space="0" w:color="000000"/>
              <w:right w:val="single" w:sz="6" w:space="0" w:color="000000"/>
            </w:tcBorders>
            <w:vAlign w:val="center"/>
          </w:tcPr>
          <w:p w14:paraId="5DE9A1C3" w14:textId="77777777" w:rsidR="009A4BFE" w:rsidRDefault="0051186A">
            <w:pPr>
              <w:pStyle w:val="TableParagraph"/>
              <w:kinsoku w:val="0"/>
              <w:overflowPunct w:val="0"/>
              <w:ind w:left="277"/>
              <w:jc w:val="center"/>
              <w:rPr>
                <w:sz w:val="22"/>
                <w:szCs w:val="22"/>
              </w:rPr>
            </w:pPr>
            <w:r>
              <w:rPr>
                <w:spacing w:val="1"/>
                <w:sz w:val="22"/>
                <w:szCs w:val="22"/>
              </w:rPr>
              <w:t>4,5 %</w:t>
            </w:r>
          </w:p>
        </w:tc>
        <w:tc>
          <w:tcPr>
            <w:tcW w:w="1320" w:type="dxa"/>
            <w:tcBorders>
              <w:top w:val="single" w:sz="6" w:space="0" w:color="000000"/>
              <w:left w:val="single" w:sz="6" w:space="0" w:color="000000"/>
              <w:bottom w:val="single" w:sz="6" w:space="0" w:color="000000"/>
              <w:right w:val="single" w:sz="6" w:space="0" w:color="000000"/>
            </w:tcBorders>
            <w:vAlign w:val="center"/>
          </w:tcPr>
          <w:p w14:paraId="66EF9333" w14:textId="77777777" w:rsidR="009A4BFE" w:rsidRDefault="0051186A">
            <w:pPr>
              <w:pStyle w:val="TableParagraph"/>
              <w:kinsoku w:val="0"/>
              <w:overflowPunct w:val="0"/>
              <w:spacing w:before="52"/>
              <w:ind w:left="423" w:right="427"/>
              <w:jc w:val="center"/>
              <w:rPr>
                <w:sz w:val="22"/>
                <w:szCs w:val="22"/>
              </w:rPr>
            </w:pPr>
            <w:r>
              <w:rPr>
                <w:spacing w:val="1"/>
                <w:sz w:val="22"/>
                <w:szCs w:val="22"/>
              </w:rPr>
              <w:t>0,84</w:t>
            </w:r>
          </w:p>
          <w:p w14:paraId="0FEEF1CF" w14:textId="77777777" w:rsidR="009A4BFE" w:rsidRDefault="0051186A">
            <w:pPr>
              <w:pStyle w:val="TableParagraph"/>
              <w:kinsoku w:val="0"/>
              <w:overflowPunct w:val="0"/>
              <w:ind w:left="138" w:right="141"/>
              <w:jc w:val="center"/>
              <w:rPr>
                <w:sz w:val="22"/>
                <w:szCs w:val="22"/>
              </w:rPr>
            </w:pPr>
            <w:r>
              <w:rPr>
                <w:sz w:val="22"/>
                <w:szCs w:val="22"/>
              </w:rPr>
              <w:t>(0,72, 0,98)</w:t>
            </w:r>
          </w:p>
        </w:tc>
        <w:tc>
          <w:tcPr>
            <w:tcW w:w="1349" w:type="dxa"/>
            <w:tcBorders>
              <w:top w:val="single" w:sz="6" w:space="0" w:color="000000"/>
              <w:left w:val="single" w:sz="6" w:space="0" w:color="000000"/>
              <w:bottom w:val="single" w:sz="6" w:space="0" w:color="000000"/>
              <w:right w:val="single" w:sz="6" w:space="0" w:color="000000"/>
            </w:tcBorders>
            <w:vAlign w:val="center"/>
          </w:tcPr>
          <w:p w14:paraId="5CBF435A" w14:textId="77777777" w:rsidR="009A4BFE" w:rsidRDefault="0051186A">
            <w:pPr>
              <w:pStyle w:val="TableParagraph"/>
              <w:kinsoku w:val="0"/>
              <w:overflowPunct w:val="0"/>
              <w:ind w:left="212"/>
              <w:jc w:val="center"/>
              <w:rPr>
                <w:sz w:val="22"/>
                <w:szCs w:val="22"/>
              </w:rPr>
            </w:pPr>
            <w:r>
              <w:rPr>
                <w:sz w:val="22"/>
                <w:szCs w:val="22"/>
              </w:rPr>
              <w:t>338</w:t>
            </w:r>
            <w:r>
              <w:rPr>
                <w:spacing w:val="-9"/>
                <w:sz w:val="22"/>
                <w:szCs w:val="22"/>
              </w:rPr>
              <w:t xml:space="preserve"> </w:t>
            </w:r>
            <w:r>
              <w:rPr>
                <w:sz w:val="22"/>
                <w:szCs w:val="22"/>
              </w:rPr>
              <w:t>(4,8 %)</w:t>
            </w:r>
          </w:p>
        </w:tc>
        <w:tc>
          <w:tcPr>
            <w:tcW w:w="1080" w:type="dxa"/>
            <w:tcBorders>
              <w:top w:val="single" w:sz="6" w:space="0" w:color="000000"/>
              <w:left w:val="single" w:sz="6" w:space="0" w:color="000000"/>
              <w:bottom w:val="single" w:sz="6" w:space="0" w:color="000000"/>
              <w:right w:val="single" w:sz="6" w:space="0" w:color="000000"/>
            </w:tcBorders>
            <w:vAlign w:val="center"/>
          </w:tcPr>
          <w:p w14:paraId="3087B388" w14:textId="77777777" w:rsidR="009A4BFE" w:rsidRDefault="0051186A">
            <w:pPr>
              <w:pStyle w:val="TableParagraph"/>
              <w:kinsoku w:val="0"/>
              <w:overflowPunct w:val="0"/>
              <w:ind w:left="323"/>
              <w:jc w:val="center"/>
              <w:rPr>
                <w:sz w:val="22"/>
                <w:szCs w:val="22"/>
              </w:rPr>
            </w:pPr>
            <w:r>
              <w:rPr>
                <w:spacing w:val="1"/>
                <w:sz w:val="22"/>
                <w:szCs w:val="22"/>
              </w:rPr>
              <w:t>5,2 %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60FF2818" w14:textId="77777777" w:rsidR="009A4BFE" w:rsidRDefault="0051186A">
            <w:pPr>
              <w:pStyle w:val="TableParagraph"/>
              <w:kinsoku w:val="0"/>
              <w:overflowPunct w:val="0"/>
              <w:ind w:left="301"/>
              <w:jc w:val="center"/>
              <w:rPr>
                <w:sz w:val="22"/>
                <w:szCs w:val="22"/>
              </w:rPr>
            </w:pPr>
            <w:r>
              <w:rPr>
                <w:sz w:val="22"/>
                <w:szCs w:val="22"/>
              </w:rPr>
              <w:t>0,0314</w:t>
            </w:r>
          </w:p>
        </w:tc>
      </w:tr>
      <w:tr w:rsidR="009A4BFE" w14:paraId="6E71DB82" w14:textId="77777777">
        <w:trPr>
          <w:gridBefore w:val="1"/>
          <w:wBefore w:w="18" w:type="dxa"/>
          <w:trHeight w:hRule="exact" w:val="595"/>
        </w:trPr>
        <w:tc>
          <w:tcPr>
            <w:tcW w:w="2152" w:type="dxa"/>
            <w:tcBorders>
              <w:top w:val="single" w:sz="6" w:space="0" w:color="000000"/>
              <w:left w:val="single" w:sz="2" w:space="0" w:color="000000"/>
              <w:bottom w:val="single" w:sz="6" w:space="0" w:color="000000"/>
              <w:right w:val="single" w:sz="6" w:space="0" w:color="000000"/>
            </w:tcBorders>
          </w:tcPr>
          <w:p w14:paraId="442AB77F" w14:textId="77777777" w:rsidR="009A4BFE" w:rsidRDefault="009A4BFE">
            <w:pPr>
              <w:pStyle w:val="TableParagraph"/>
              <w:kinsoku w:val="0"/>
              <w:overflowPunct w:val="0"/>
              <w:spacing w:before="7" w:line="160" w:lineRule="exact"/>
              <w:rPr>
                <w:sz w:val="22"/>
                <w:szCs w:val="22"/>
              </w:rPr>
            </w:pPr>
          </w:p>
          <w:p w14:paraId="35CE6811" w14:textId="77777777" w:rsidR="009A4BFE" w:rsidRDefault="0051186A">
            <w:pPr>
              <w:pStyle w:val="TableParagraph"/>
              <w:kinsoku w:val="0"/>
              <w:overflowPunct w:val="0"/>
              <w:ind w:left="2"/>
              <w:jc w:val="center"/>
              <w:rPr>
                <w:sz w:val="22"/>
                <w:szCs w:val="22"/>
              </w:rPr>
            </w:pPr>
            <w:proofErr w:type="spellStart"/>
            <w:r>
              <w:rPr>
                <w:sz w:val="22"/>
                <w:szCs w:val="22"/>
              </w:rPr>
              <w:t>Insultai</w:t>
            </w:r>
            <w:proofErr w:type="spellEnd"/>
          </w:p>
        </w:tc>
        <w:tc>
          <w:tcPr>
            <w:tcW w:w="1519" w:type="dxa"/>
            <w:gridSpan w:val="2"/>
            <w:tcBorders>
              <w:top w:val="single" w:sz="6" w:space="0" w:color="000000"/>
              <w:left w:val="single" w:sz="6" w:space="0" w:color="000000"/>
              <w:bottom w:val="single" w:sz="6" w:space="0" w:color="000000"/>
              <w:right w:val="single" w:sz="6" w:space="0" w:color="000000"/>
            </w:tcBorders>
            <w:vAlign w:val="center"/>
          </w:tcPr>
          <w:p w14:paraId="4A7B215A" w14:textId="77777777" w:rsidR="009A4BFE" w:rsidRDefault="0051186A">
            <w:pPr>
              <w:pStyle w:val="TableParagraph"/>
              <w:kinsoku w:val="0"/>
              <w:overflowPunct w:val="0"/>
              <w:ind w:left="222"/>
              <w:jc w:val="center"/>
              <w:rPr>
                <w:sz w:val="22"/>
                <w:szCs w:val="22"/>
              </w:rPr>
            </w:pPr>
            <w:r>
              <w:rPr>
                <w:sz w:val="22"/>
                <w:szCs w:val="22"/>
              </w:rPr>
              <w:t>91</w:t>
            </w:r>
            <w:r>
              <w:rPr>
                <w:spacing w:val="-8"/>
                <w:sz w:val="22"/>
                <w:szCs w:val="22"/>
              </w:rPr>
              <w:t xml:space="preserve"> </w:t>
            </w:r>
            <w:r>
              <w:rPr>
                <w:sz w:val="22"/>
                <w:szCs w:val="22"/>
              </w:rPr>
              <w:t>(1,3 %)</w:t>
            </w:r>
          </w:p>
        </w:tc>
        <w:tc>
          <w:tcPr>
            <w:tcW w:w="991" w:type="dxa"/>
            <w:tcBorders>
              <w:top w:val="single" w:sz="6" w:space="0" w:color="000000"/>
              <w:left w:val="single" w:sz="6" w:space="0" w:color="000000"/>
              <w:bottom w:val="single" w:sz="6" w:space="0" w:color="000000"/>
              <w:right w:val="single" w:sz="6" w:space="0" w:color="000000"/>
            </w:tcBorders>
            <w:vAlign w:val="center"/>
          </w:tcPr>
          <w:p w14:paraId="70BB56FA" w14:textId="77777777" w:rsidR="009A4BFE" w:rsidRDefault="0051186A">
            <w:pPr>
              <w:pStyle w:val="TableParagraph"/>
              <w:kinsoku w:val="0"/>
              <w:overflowPunct w:val="0"/>
              <w:ind w:left="277"/>
              <w:jc w:val="center"/>
              <w:rPr>
                <w:sz w:val="22"/>
                <w:szCs w:val="22"/>
              </w:rPr>
            </w:pPr>
            <w:r>
              <w:rPr>
                <w:spacing w:val="1"/>
                <w:sz w:val="22"/>
                <w:szCs w:val="22"/>
              </w:rPr>
              <w:t>1,5 %</w:t>
            </w:r>
          </w:p>
        </w:tc>
        <w:tc>
          <w:tcPr>
            <w:tcW w:w="1320" w:type="dxa"/>
            <w:tcBorders>
              <w:top w:val="single" w:sz="6" w:space="0" w:color="000000"/>
              <w:left w:val="single" w:sz="6" w:space="0" w:color="000000"/>
              <w:bottom w:val="single" w:sz="6" w:space="0" w:color="000000"/>
              <w:right w:val="single" w:sz="6" w:space="0" w:color="000000"/>
            </w:tcBorders>
            <w:vAlign w:val="center"/>
          </w:tcPr>
          <w:p w14:paraId="5E04BA7E" w14:textId="77777777" w:rsidR="009A4BFE" w:rsidRDefault="0051186A">
            <w:pPr>
              <w:pStyle w:val="TableParagraph"/>
              <w:kinsoku w:val="0"/>
              <w:overflowPunct w:val="0"/>
              <w:spacing w:before="52"/>
              <w:ind w:left="423" w:right="427"/>
              <w:jc w:val="center"/>
              <w:rPr>
                <w:sz w:val="22"/>
                <w:szCs w:val="22"/>
              </w:rPr>
            </w:pPr>
            <w:r>
              <w:rPr>
                <w:spacing w:val="1"/>
                <w:sz w:val="22"/>
                <w:szCs w:val="22"/>
              </w:rPr>
              <w:t>0,75</w:t>
            </w:r>
          </w:p>
          <w:p w14:paraId="76734F68" w14:textId="77777777" w:rsidR="009A4BFE" w:rsidRDefault="0051186A">
            <w:pPr>
              <w:pStyle w:val="TableParagraph"/>
              <w:kinsoku w:val="0"/>
              <w:overflowPunct w:val="0"/>
              <w:ind w:left="138" w:right="141"/>
              <w:jc w:val="center"/>
              <w:rPr>
                <w:sz w:val="22"/>
                <w:szCs w:val="22"/>
              </w:rPr>
            </w:pPr>
            <w:r>
              <w:rPr>
                <w:sz w:val="22"/>
                <w:szCs w:val="22"/>
              </w:rPr>
              <w:t>(0,57,</w:t>
            </w:r>
            <w:r>
              <w:rPr>
                <w:spacing w:val="-9"/>
                <w:sz w:val="22"/>
                <w:szCs w:val="22"/>
              </w:rPr>
              <w:t xml:space="preserve"> </w:t>
            </w:r>
            <w:r>
              <w:rPr>
                <w:sz w:val="22"/>
                <w:szCs w:val="22"/>
              </w:rPr>
              <w:t>0,98)</w:t>
            </w:r>
          </w:p>
        </w:tc>
        <w:tc>
          <w:tcPr>
            <w:tcW w:w="1349" w:type="dxa"/>
            <w:tcBorders>
              <w:top w:val="single" w:sz="6" w:space="0" w:color="000000"/>
              <w:left w:val="single" w:sz="6" w:space="0" w:color="000000"/>
              <w:bottom w:val="single" w:sz="6" w:space="0" w:color="000000"/>
              <w:right w:val="single" w:sz="6" w:space="0" w:color="000000"/>
            </w:tcBorders>
            <w:vAlign w:val="center"/>
          </w:tcPr>
          <w:p w14:paraId="40BA4E9A" w14:textId="77777777" w:rsidR="009A4BFE" w:rsidRDefault="0051186A">
            <w:pPr>
              <w:pStyle w:val="TableParagraph"/>
              <w:kinsoku w:val="0"/>
              <w:overflowPunct w:val="0"/>
              <w:ind w:left="212"/>
              <w:jc w:val="center"/>
              <w:rPr>
                <w:sz w:val="22"/>
                <w:szCs w:val="22"/>
              </w:rPr>
            </w:pPr>
            <w:r>
              <w:rPr>
                <w:sz w:val="22"/>
                <w:szCs w:val="22"/>
              </w:rPr>
              <w:t>122</w:t>
            </w:r>
            <w:r>
              <w:rPr>
                <w:spacing w:val="-9"/>
                <w:sz w:val="22"/>
                <w:szCs w:val="22"/>
              </w:rPr>
              <w:t xml:space="preserve"> </w:t>
            </w:r>
            <w:r>
              <w:rPr>
                <w:sz w:val="22"/>
                <w:szCs w:val="22"/>
              </w:rPr>
              <w:t>(1,7 %)</w:t>
            </w:r>
          </w:p>
        </w:tc>
        <w:tc>
          <w:tcPr>
            <w:tcW w:w="1080" w:type="dxa"/>
            <w:tcBorders>
              <w:top w:val="single" w:sz="6" w:space="0" w:color="000000"/>
              <w:left w:val="single" w:sz="6" w:space="0" w:color="000000"/>
              <w:bottom w:val="single" w:sz="6" w:space="0" w:color="000000"/>
              <w:right w:val="single" w:sz="6" w:space="0" w:color="000000"/>
            </w:tcBorders>
            <w:vAlign w:val="center"/>
          </w:tcPr>
          <w:p w14:paraId="466653AB" w14:textId="77777777" w:rsidR="009A4BFE" w:rsidRDefault="0051186A">
            <w:pPr>
              <w:pStyle w:val="TableParagraph"/>
              <w:kinsoku w:val="0"/>
              <w:overflowPunct w:val="0"/>
              <w:ind w:left="323"/>
              <w:jc w:val="center"/>
              <w:rPr>
                <w:sz w:val="22"/>
                <w:szCs w:val="22"/>
              </w:rPr>
            </w:pPr>
            <w:r>
              <w:rPr>
                <w:spacing w:val="1"/>
                <w:sz w:val="22"/>
                <w:szCs w:val="22"/>
              </w:rPr>
              <w:t>1,9 %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5EA4AC46" w14:textId="77777777" w:rsidR="009A4BFE" w:rsidRDefault="0051186A">
            <w:pPr>
              <w:pStyle w:val="TableParagraph"/>
              <w:kinsoku w:val="0"/>
              <w:overflowPunct w:val="0"/>
              <w:ind w:left="301"/>
              <w:jc w:val="center"/>
              <w:rPr>
                <w:sz w:val="22"/>
                <w:szCs w:val="22"/>
              </w:rPr>
            </w:pPr>
            <w:r>
              <w:rPr>
                <w:sz w:val="22"/>
                <w:szCs w:val="22"/>
              </w:rPr>
              <w:t>0,0337</w:t>
            </w:r>
          </w:p>
        </w:tc>
      </w:tr>
      <w:tr w:rsidR="009A4BFE" w14:paraId="341DBA41" w14:textId="77777777">
        <w:trPr>
          <w:gridBefore w:val="1"/>
          <w:wBefore w:w="18" w:type="dxa"/>
          <w:trHeight w:hRule="exact" w:val="523"/>
        </w:trPr>
        <w:tc>
          <w:tcPr>
            <w:tcW w:w="9582" w:type="dxa"/>
            <w:gridSpan w:val="9"/>
            <w:tcBorders>
              <w:top w:val="single" w:sz="6" w:space="0" w:color="000000"/>
              <w:left w:val="single" w:sz="2" w:space="0" w:color="000000"/>
              <w:bottom w:val="single" w:sz="6" w:space="0" w:color="000000"/>
              <w:right w:val="single" w:sz="2" w:space="0" w:color="000000"/>
            </w:tcBorders>
          </w:tcPr>
          <w:p w14:paraId="20FF0184" w14:textId="77777777" w:rsidR="009A4BFE" w:rsidRDefault="009A4BFE">
            <w:pPr>
              <w:pStyle w:val="TableParagraph"/>
              <w:kinsoku w:val="0"/>
              <w:overflowPunct w:val="0"/>
              <w:spacing w:before="1" w:line="130" w:lineRule="exact"/>
              <w:rPr>
                <w:sz w:val="22"/>
                <w:szCs w:val="22"/>
              </w:rPr>
            </w:pPr>
          </w:p>
          <w:p w14:paraId="71E9DF05" w14:textId="77777777" w:rsidR="009A4BFE" w:rsidRDefault="0051186A">
            <w:pPr>
              <w:pStyle w:val="TableParagraph"/>
              <w:kinsoku w:val="0"/>
              <w:overflowPunct w:val="0"/>
              <w:ind w:left="104"/>
              <w:jc w:val="center"/>
              <w:rPr>
                <w:sz w:val="22"/>
                <w:szCs w:val="22"/>
              </w:rPr>
            </w:pPr>
            <w:proofErr w:type="spellStart"/>
            <w:r>
              <w:rPr>
                <w:rFonts w:eastAsia="TimesNewRoman"/>
                <w:sz w:val="22"/>
                <w:szCs w:val="22"/>
                <w:lang w:val="en-US"/>
              </w:rPr>
              <w:t>Antrinė</w:t>
            </w:r>
            <w:proofErr w:type="spellEnd"/>
            <w:r>
              <w:rPr>
                <w:rFonts w:eastAsia="TimesNewRoman"/>
                <w:sz w:val="22"/>
                <w:szCs w:val="22"/>
                <w:lang w:val="en-US"/>
              </w:rPr>
              <w:t xml:space="preserve"> </w:t>
            </w:r>
            <w:proofErr w:type="spellStart"/>
            <w:r>
              <w:rPr>
                <w:rFonts w:eastAsia="TimesNewRoman"/>
                <w:sz w:val="22"/>
                <w:szCs w:val="22"/>
                <w:lang w:val="en-US"/>
              </w:rPr>
              <w:t>vertinamoji</w:t>
            </w:r>
            <w:proofErr w:type="spellEnd"/>
            <w:r>
              <w:rPr>
                <w:rFonts w:eastAsia="TimesNewRoman"/>
                <w:sz w:val="22"/>
                <w:szCs w:val="22"/>
                <w:lang w:val="en-US"/>
              </w:rPr>
              <w:t xml:space="preserve"> </w:t>
            </w:r>
            <w:proofErr w:type="spellStart"/>
            <w:r>
              <w:rPr>
                <w:rFonts w:eastAsia="TimesNewRoman"/>
                <w:sz w:val="22"/>
                <w:szCs w:val="22"/>
                <w:lang w:val="en-US"/>
              </w:rPr>
              <w:t>baigtis</w:t>
            </w:r>
            <w:proofErr w:type="spellEnd"/>
          </w:p>
        </w:tc>
      </w:tr>
      <w:tr w:rsidR="009A4BFE" w14:paraId="0B0475F6" w14:textId="77777777">
        <w:trPr>
          <w:gridBefore w:val="1"/>
          <w:wBefore w:w="18" w:type="dxa"/>
          <w:trHeight w:hRule="exact" w:val="595"/>
        </w:trPr>
        <w:tc>
          <w:tcPr>
            <w:tcW w:w="2411" w:type="dxa"/>
            <w:gridSpan w:val="2"/>
            <w:tcBorders>
              <w:top w:val="single" w:sz="6" w:space="0" w:color="000000"/>
              <w:left w:val="single" w:sz="2" w:space="0" w:color="000000"/>
              <w:bottom w:val="single" w:sz="6" w:space="0" w:color="000000"/>
              <w:right w:val="single" w:sz="6" w:space="0" w:color="000000"/>
            </w:tcBorders>
          </w:tcPr>
          <w:p w14:paraId="737F17C4" w14:textId="77777777" w:rsidR="009A4BFE" w:rsidRDefault="009A4BFE">
            <w:pPr>
              <w:pStyle w:val="TableParagraph"/>
              <w:kinsoku w:val="0"/>
              <w:overflowPunct w:val="0"/>
              <w:spacing w:before="7" w:line="160" w:lineRule="exact"/>
              <w:rPr>
                <w:sz w:val="22"/>
                <w:szCs w:val="22"/>
              </w:rPr>
            </w:pPr>
          </w:p>
          <w:p w14:paraId="6DBFB755" w14:textId="77777777" w:rsidR="009A4BFE" w:rsidRDefault="0051186A">
            <w:pPr>
              <w:pStyle w:val="TableParagraph"/>
              <w:kinsoku w:val="0"/>
              <w:overflowPunct w:val="0"/>
              <w:ind w:left="479"/>
              <w:rPr>
                <w:sz w:val="22"/>
                <w:szCs w:val="22"/>
              </w:rPr>
            </w:pPr>
            <w:r>
              <w:rPr>
                <w:sz w:val="22"/>
                <w:szCs w:val="22"/>
              </w:rPr>
              <w:t xml:space="preserve">KV </w:t>
            </w:r>
            <w:proofErr w:type="spellStart"/>
            <w:r>
              <w:rPr>
                <w:sz w:val="22"/>
                <w:szCs w:val="22"/>
              </w:rPr>
              <w:t>mirtys</w:t>
            </w:r>
            <w:proofErr w:type="spellEnd"/>
          </w:p>
        </w:tc>
        <w:tc>
          <w:tcPr>
            <w:tcW w:w="1260" w:type="dxa"/>
            <w:tcBorders>
              <w:top w:val="single" w:sz="6" w:space="0" w:color="000000"/>
              <w:left w:val="single" w:sz="6" w:space="0" w:color="000000"/>
              <w:bottom w:val="single" w:sz="6" w:space="0" w:color="000000"/>
              <w:right w:val="single" w:sz="6" w:space="0" w:color="000000"/>
            </w:tcBorders>
            <w:vAlign w:val="center"/>
          </w:tcPr>
          <w:p w14:paraId="6EE91EE7" w14:textId="77777777" w:rsidR="009A4BFE" w:rsidRDefault="0051186A">
            <w:pPr>
              <w:pStyle w:val="TableParagraph"/>
              <w:kinsoku w:val="0"/>
              <w:overflowPunct w:val="0"/>
              <w:ind w:left="171"/>
              <w:jc w:val="center"/>
              <w:rPr>
                <w:sz w:val="22"/>
                <w:szCs w:val="22"/>
              </w:rPr>
            </w:pPr>
            <w:r>
              <w:rPr>
                <w:sz w:val="22"/>
                <w:szCs w:val="22"/>
              </w:rPr>
              <w:t>174</w:t>
            </w:r>
            <w:r>
              <w:rPr>
                <w:spacing w:val="-9"/>
                <w:sz w:val="22"/>
                <w:szCs w:val="22"/>
              </w:rPr>
              <w:t xml:space="preserve"> </w:t>
            </w:r>
            <w:r>
              <w:rPr>
                <w:sz w:val="22"/>
                <w:szCs w:val="22"/>
              </w:rPr>
              <w:t>(2,5 %)</w:t>
            </w:r>
          </w:p>
        </w:tc>
        <w:tc>
          <w:tcPr>
            <w:tcW w:w="991" w:type="dxa"/>
            <w:tcBorders>
              <w:top w:val="single" w:sz="6" w:space="0" w:color="000000"/>
              <w:left w:val="single" w:sz="6" w:space="0" w:color="000000"/>
              <w:bottom w:val="single" w:sz="6" w:space="0" w:color="000000"/>
              <w:right w:val="single" w:sz="6" w:space="0" w:color="000000"/>
            </w:tcBorders>
            <w:vAlign w:val="center"/>
          </w:tcPr>
          <w:p w14:paraId="00537AD5" w14:textId="77777777" w:rsidR="009A4BFE" w:rsidRDefault="0051186A">
            <w:pPr>
              <w:pStyle w:val="TableParagraph"/>
              <w:kinsoku w:val="0"/>
              <w:overflowPunct w:val="0"/>
              <w:ind w:left="277"/>
              <w:jc w:val="center"/>
              <w:rPr>
                <w:sz w:val="22"/>
                <w:szCs w:val="22"/>
              </w:rPr>
            </w:pPr>
            <w:r>
              <w:rPr>
                <w:spacing w:val="1"/>
                <w:sz w:val="22"/>
                <w:szCs w:val="22"/>
              </w:rPr>
              <w:t>2,9 %</w:t>
            </w:r>
          </w:p>
        </w:tc>
        <w:tc>
          <w:tcPr>
            <w:tcW w:w="1320" w:type="dxa"/>
            <w:tcBorders>
              <w:top w:val="single" w:sz="6" w:space="0" w:color="000000"/>
              <w:left w:val="single" w:sz="6" w:space="0" w:color="000000"/>
              <w:bottom w:val="single" w:sz="6" w:space="0" w:color="000000"/>
              <w:right w:val="single" w:sz="6" w:space="0" w:color="000000"/>
            </w:tcBorders>
            <w:vAlign w:val="center"/>
          </w:tcPr>
          <w:p w14:paraId="1D9BFB0C" w14:textId="77777777" w:rsidR="009A4BFE" w:rsidRDefault="0051186A">
            <w:pPr>
              <w:pStyle w:val="TableParagraph"/>
              <w:kinsoku w:val="0"/>
              <w:overflowPunct w:val="0"/>
              <w:spacing w:before="52"/>
              <w:ind w:left="423" w:right="427"/>
              <w:jc w:val="center"/>
              <w:rPr>
                <w:sz w:val="22"/>
                <w:szCs w:val="22"/>
              </w:rPr>
            </w:pPr>
            <w:r>
              <w:rPr>
                <w:spacing w:val="1"/>
                <w:sz w:val="22"/>
                <w:szCs w:val="22"/>
              </w:rPr>
              <w:t>0,83</w:t>
            </w:r>
          </w:p>
          <w:p w14:paraId="03FAC1A6" w14:textId="77777777" w:rsidR="009A4BFE" w:rsidRDefault="0051186A">
            <w:pPr>
              <w:pStyle w:val="TableParagraph"/>
              <w:kinsoku w:val="0"/>
              <w:overflowPunct w:val="0"/>
              <w:ind w:left="138" w:right="141"/>
              <w:jc w:val="center"/>
              <w:rPr>
                <w:sz w:val="22"/>
                <w:szCs w:val="22"/>
              </w:rPr>
            </w:pPr>
            <w:r>
              <w:rPr>
                <w:sz w:val="22"/>
                <w:szCs w:val="22"/>
              </w:rPr>
              <w:t>(0,68,</w:t>
            </w:r>
            <w:r>
              <w:rPr>
                <w:spacing w:val="-9"/>
                <w:sz w:val="22"/>
                <w:szCs w:val="22"/>
              </w:rPr>
              <w:t xml:space="preserve"> </w:t>
            </w:r>
            <w:r>
              <w:rPr>
                <w:sz w:val="22"/>
                <w:szCs w:val="22"/>
              </w:rPr>
              <w:t>1,01)</w:t>
            </w:r>
          </w:p>
        </w:tc>
        <w:tc>
          <w:tcPr>
            <w:tcW w:w="1349" w:type="dxa"/>
            <w:tcBorders>
              <w:top w:val="single" w:sz="6" w:space="0" w:color="000000"/>
              <w:left w:val="single" w:sz="6" w:space="0" w:color="000000"/>
              <w:bottom w:val="single" w:sz="6" w:space="0" w:color="000000"/>
              <w:right w:val="single" w:sz="6" w:space="0" w:color="000000"/>
            </w:tcBorders>
            <w:vAlign w:val="center"/>
          </w:tcPr>
          <w:p w14:paraId="45E3A757" w14:textId="77777777" w:rsidR="009A4BFE" w:rsidRDefault="0051186A">
            <w:pPr>
              <w:pStyle w:val="TableParagraph"/>
              <w:kinsoku w:val="0"/>
              <w:overflowPunct w:val="0"/>
              <w:ind w:left="212"/>
              <w:jc w:val="center"/>
              <w:rPr>
                <w:sz w:val="22"/>
                <w:szCs w:val="22"/>
              </w:rPr>
            </w:pPr>
            <w:r>
              <w:rPr>
                <w:sz w:val="22"/>
                <w:szCs w:val="22"/>
              </w:rPr>
              <w:t>210</w:t>
            </w:r>
            <w:r>
              <w:rPr>
                <w:spacing w:val="-9"/>
                <w:sz w:val="22"/>
                <w:szCs w:val="22"/>
              </w:rPr>
              <w:t xml:space="preserve"> </w:t>
            </w:r>
            <w:r>
              <w:rPr>
                <w:sz w:val="22"/>
                <w:szCs w:val="22"/>
              </w:rPr>
              <w:t>(3,0 %)</w:t>
            </w:r>
          </w:p>
        </w:tc>
        <w:tc>
          <w:tcPr>
            <w:tcW w:w="1080" w:type="dxa"/>
            <w:tcBorders>
              <w:top w:val="single" w:sz="6" w:space="0" w:color="000000"/>
              <w:left w:val="single" w:sz="6" w:space="0" w:color="000000"/>
              <w:bottom w:val="single" w:sz="6" w:space="0" w:color="000000"/>
              <w:right w:val="single" w:sz="6" w:space="0" w:color="000000"/>
            </w:tcBorders>
            <w:vAlign w:val="center"/>
          </w:tcPr>
          <w:p w14:paraId="49978A9F" w14:textId="77777777" w:rsidR="009A4BFE" w:rsidRDefault="0051186A">
            <w:pPr>
              <w:pStyle w:val="TableParagraph"/>
              <w:kinsoku w:val="0"/>
              <w:overflowPunct w:val="0"/>
              <w:ind w:left="323"/>
              <w:jc w:val="center"/>
              <w:rPr>
                <w:sz w:val="22"/>
                <w:szCs w:val="22"/>
              </w:rPr>
            </w:pPr>
            <w:r>
              <w:rPr>
                <w:spacing w:val="1"/>
                <w:sz w:val="22"/>
                <w:szCs w:val="22"/>
              </w:rPr>
              <w:t>3,4 %</w:t>
            </w:r>
          </w:p>
        </w:tc>
        <w:tc>
          <w:tcPr>
            <w:tcW w:w="1171" w:type="dxa"/>
            <w:gridSpan w:val="2"/>
            <w:tcBorders>
              <w:top w:val="single" w:sz="6" w:space="0" w:color="000000"/>
              <w:left w:val="single" w:sz="6" w:space="0" w:color="000000"/>
              <w:bottom w:val="single" w:sz="6" w:space="0" w:color="000000"/>
              <w:right w:val="single" w:sz="2" w:space="0" w:color="000000"/>
            </w:tcBorders>
            <w:vAlign w:val="center"/>
          </w:tcPr>
          <w:p w14:paraId="55ADE3AE" w14:textId="77777777" w:rsidR="009A4BFE" w:rsidRDefault="0051186A">
            <w:pPr>
              <w:pStyle w:val="TableParagraph"/>
              <w:kinsoku w:val="0"/>
              <w:overflowPunct w:val="0"/>
              <w:ind w:left="521" w:right="532"/>
              <w:jc w:val="center"/>
              <w:rPr>
                <w:sz w:val="22"/>
                <w:szCs w:val="22"/>
              </w:rPr>
            </w:pPr>
            <w:r>
              <w:rPr>
                <w:sz w:val="22"/>
                <w:szCs w:val="22"/>
              </w:rPr>
              <w:t>-</w:t>
            </w:r>
          </w:p>
        </w:tc>
      </w:tr>
      <w:tr w:rsidR="009A4BFE" w14:paraId="602DCCA5" w14:textId="77777777">
        <w:trPr>
          <w:gridBefore w:val="1"/>
          <w:wBefore w:w="18" w:type="dxa"/>
          <w:trHeight w:hRule="exact" w:val="698"/>
        </w:trPr>
        <w:tc>
          <w:tcPr>
            <w:tcW w:w="2411" w:type="dxa"/>
            <w:gridSpan w:val="2"/>
            <w:tcBorders>
              <w:top w:val="single" w:sz="6" w:space="0" w:color="000000"/>
              <w:left w:val="single" w:sz="2" w:space="0" w:color="000000"/>
              <w:bottom w:val="single" w:sz="2" w:space="0" w:color="000000"/>
              <w:right w:val="single" w:sz="6" w:space="0" w:color="000000"/>
            </w:tcBorders>
          </w:tcPr>
          <w:p w14:paraId="452E197C" w14:textId="77777777" w:rsidR="009A4BFE" w:rsidRDefault="0051186A">
            <w:pPr>
              <w:tabs>
                <w:tab w:val="clear" w:pos="567"/>
              </w:tabs>
              <w:autoSpaceDE w:val="0"/>
              <w:autoSpaceDN w:val="0"/>
              <w:adjustRightInd w:val="0"/>
              <w:spacing w:line="240" w:lineRule="auto"/>
              <w:rPr>
                <w:szCs w:val="22"/>
              </w:rPr>
            </w:pPr>
            <w:proofErr w:type="spellStart"/>
            <w:r>
              <w:rPr>
                <w:rFonts w:eastAsia="TimesNewRoman"/>
                <w:snapToGrid/>
                <w:szCs w:val="22"/>
                <w:lang w:val="en-US"/>
              </w:rPr>
              <w:t>Mirtys</w:t>
            </w:r>
            <w:proofErr w:type="spellEnd"/>
            <w:r>
              <w:rPr>
                <w:rFonts w:eastAsia="TimesNewRoman"/>
                <w:snapToGrid/>
                <w:szCs w:val="22"/>
                <w:lang w:val="en-US"/>
              </w:rPr>
              <w:t xml:space="preserve"> </w:t>
            </w:r>
            <w:proofErr w:type="spellStart"/>
            <w:r>
              <w:rPr>
                <w:rFonts w:eastAsia="TimesNewRoman"/>
                <w:snapToGrid/>
                <w:szCs w:val="22"/>
                <w:lang w:val="en-US"/>
              </w:rPr>
              <w:t>dėl</w:t>
            </w:r>
            <w:proofErr w:type="spellEnd"/>
            <w:r>
              <w:rPr>
                <w:rFonts w:eastAsia="TimesNewRoman"/>
                <w:snapToGrid/>
                <w:szCs w:val="22"/>
                <w:lang w:val="en-US"/>
              </w:rPr>
              <w:t xml:space="preserve"> bet </w:t>
            </w:r>
            <w:proofErr w:type="spellStart"/>
            <w:r>
              <w:rPr>
                <w:rFonts w:eastAsia="TimesNewRoman"/>
                <w:snapToGrid/>
                <w:szCs w:val="22"/>
                <w:lang w:val="en-US"/>
              </w:rPr>
              <w:t>kurios</w:t>
            </w:r>
            <w:proofErr w:type="spellEnd"/>
            <w:r>
              <w:rPr>
                <w:rFonts w:eastAsia="TimesNewRoman"/>
                <w:snapToGrid/>
                <w:szCs w:val="22"/>
                <w:lang w:val="en-US"/>
              </w:rPr>
              <w:t xml:space="preserve"> </w:t>
            </w:r>
            <w:proofErr w:type="spellStart"/>
            <w:r>
              <w:rPr>
                <w:rFonts w:eastAsia="TimesNewRoman"/>
                <w:snapToGrid/>
                <w:szCs w:val="22"/>
                <w:lang w:val="en-US"/>
              </w:rPr>
              <w:t>priežasties</w:t>
            </w:r>
            <w:proofErr w:type="spellEnd"/>
            <w:r>
              <w:rPr>
                <w:spacing w:val="-2"/>
                <w:w w:val="95"/>
                <w:szCs w:val="22"/>
              </w:rPr>
              <w:t xml:space="preserve"> </w:t>
            </w:r>
          </w:p>
        </w:tc>
        <w:tc>
          <w:tcPr>
            <w:tcW w:w="1260" w:type="dxa"/>
            <w:tcBorders>
              <w:top w:val="single" w:sz="6" w:space="0" w:color="000000"/>
              <w:left w:val="single" w:sz="6" w:space="0" w:color="000000"/>
              <w:bottom w:val="single" w:sz="2" w:space="0" w:color="000000"/>
              <w:right w:val="single" w:sz="6" w:space="0" w:color="000000"/>
            </w:tcBorders>
            <w:vAlign w:val="center"/>
          </w:tcPr>
          <w:p w14:paraId="14948FF4" w14:textId="77777777" w:rsidR="009A4BFE" w:rsidRDefault="0051186A">
            <w:pPr>
              <w:pStyle w:val="TableParagraph"/>
              <w:kinsoku w:val="0"/>
              <w:overflowPunct w:val="0"/>
              <w:ind w:left="171"/>
              <w:jc w:val="center"/>
              <w:rPr>
                <w:sz w:val="22"/>
                <w:szCs w:val="22"/>
              </w:rPr>
            </w:pPr>
            <w:r>
              <w:rPr>
                <w:sz w:val="22"/>
                <w:szCs w:val="22"/>
              </w:rPr>
              <w:t>289</w:t>
            </w:r>
            <w:r>
              <w:rPr>
                <w:spacing w:val="-9"/>
                <w:sz w:val="22"/>
                <w:szCs w:val="22"/>
              </w:rPr>
              <w:t xml:space="preserve"> </w:t>
            </w:r>
            <w:r>
              <w:rPr>
                <w:sz w:val="22"/>
                <w:szCs w:val="22"/>
              </w:rPr>
              <w:t>(4,1 %)</w:t>
            </w:r>
          </w:p>
        </w:tc>
        <w:tc>
          <w:tcPr>
            <w:tcW w:w="991" w:type="dxa"/>
            <w:tcBorders>
              <w:top w:val="single" w:sz="6" w:space="0" w:color="000000"/>
              <w:left w:val="single" w:sz="6" w:space="0" w:color="000000"/>
              <w:bottom w:val="single" w:sz="2" w:space="0" w:color="000000"/>
              <w:right w:val="single" w:sz="6" w:space="0" w:color="000000"/>
            </w:tcBorders>
            <w:vAlign w:val="center"/>
          </w:tcPr>
          <w:p w14:paraId="22633851" w14:textId="77777777" w:rsidR="009A4BFE" w:rsidRDefault="0051186A">
            <w:pPr>
              <w:pStyle w:val="TableParagraph"/>
              <w:kinsoku w:val="0"/>
              <w:overflowPunct w:val="0"/>
              <w:ind w:left="277"/>
              <w:jc w:val="center"/>
              <w:rPr>
                <w:sz w:val="22"/>
                <w:szCs w:val="22"/>
              </w:rPr>
            </w:pPr>
            <w:r>
              <w:rPr>
                <w:spacing w:val="1"/>
                <w:sz w:val="22"/>
                <w:szCs w:val="22"/>
              </w:rPr>
              <w:t>4,7 %</w:t>
            </w:r>
          </w:p>
        </w:tc>
        <w:tc>
          <w:tcPr>
            <w:tcW w:w="1320" w:type="dxa"/>
            <w:tcBorders>
              <w:top w:val="single" w:sz="6" w:space="0" w:color="000000"/>
              <w:left w:val="single" w:sz="6" w:space="0" w:color="000000"/>
              <w:bottom w:val="single" w:sz="2" w:space="0" w:color="000000"/>
              <w:right w:val="single" w:sz="6" w:space="0" w:color="000000"/>
            </w:tcBorders>
            <w:vAlign w:val="center"/>
          </w:tcPr>
          <w:p w14:paraId="53744980" w14:textId="77777777" w:rsidR="009A4BFE" w:rsidRDefault="0051186A">
            <w:pPr>
              <w:pStyle w:val="TableParagraph"/>
              <w:kinsoku w:val="0"/>
              <w:overflowPunct w:val="0"/>
              <w:spacing w:before="52"/>
              <w:ind w:right="5"/>
              <w:jc w:val="center"/>
              <w:rPr>
                <w:sz w:val="22"/>
                <w:szCs w:val="22"/>
              </w:rPr>
            </w:pPr>
            <w:r>
              <w:rPr>
                <w:spacing w:val="1"/>
                <w:sz w:val="22"/>
                <w:szCs w:val="22"/>
              </w:rPr>
              <w:t>0,89</w:t>
            </w:r>
          </w:p>
          <w:p w14:paraId="2F3497AE" w14:textId="77777777" w:rsidR="009A4BFE" w:rsidRDefault="0051186A">
            <w:pPr>
              <w:pStyle w:val="TableParagraph"/>
              <w:kinsoku w:val="0"/>
              <w:overflowPunct w:val="0"/>
              <w:spacing w:before="60"/>
              <w:ind w:left="138" w:right="141"/>
              <w:jc w:val="center"/>
              <w:rPr>
                <w:sz w:val="22"/>
                <w:szCs w:val="22"/>
              </w:rPr>
            </w:pPr>
            <w:r>
              <w:rPr>
                <w:sz w:val="22"/>
                <w:szCs w:val="22"/>
              </w:rPr>
              <w:t>(0,76,</w:t>
            </w:r>
            <w:r>
              <w:rPr>
                <w:spacing w:val="-9"/>
                <w:sz w:val="22"/>
                <w:szCs w:val="22"/>
              </w:rPr>
              <w:t xml:space="preserve"> </w:t>
            </w:r>
            <w:r>
              <w:rPr>
                <w:sz w:val="22"/>
                <w:szCs w:val="22"/>
              </w:rPr>
              <w:t>1,04)</w:t>
            </w:r>
          </w:p>
        </w:tc>
        <w:tc>
          <w:tcPr>
            <w:tcW w:w="1349" w:type="dxa"/>
            <w:tcBorders>
              <w:top w:val="single" w:sz="6" w:space="0" w:color="000000"/>
              <w:left w:val="single" w:sz="6" w:space="0" w:color="000000"/>
              <w:bottom w:val="single" w:sz="2" w:space="0" w:color="000000"/>
              <w:right w:val="single" w:sz="6" w:space="0" w:color="000000"/>
            </w:tcBorders>
            <w:vAlign w:val="center"/>
          </w:tcPr>
          <w:p w14:paraId="0FABC26F" w14:textId="77777777" w:rsidR="009A4BFE" w:rsidRDefault="0051186A">
            <w:pPr>
              <w:pStyle w:val="TableParagraph"/>
              <w:kinsoku w:val="0"/>
              <w:overflowPunct w:val="0"/>
              <w:ind w:left="212"/>
              <w:jc w:val="center"/>
              <w:rPr>
                <w:sz w:val="22"/>
                <w:szCs w:val="22"/>
              </w:rPr>
            </w:pPr>
            <w:r>
              <w:rPr>
                <w:spacing w:val="1"/>
                <w:sz w:val="22"/>
                <w:szCs w:val="22"/>
              </w:rPr>
              <w:t>32</w:t>
            </w:r>
            <w:r>
              <w:rPr>
                <w:sz w:val="22"/>
                <w:szCs w:val="22"/>
              </w:rPr>
              <w:t>6</w:t>
            </w:r>
            <w:r>
              <w:rPr>
                <w:spacing w:val="-8"/>
                <w:sz w:val="22"/>
                <w:szCs w:val="22"/>
              </w:rPr>
              <w:t xml:space="preserve"> </w:t>
            </w:r>
            <w:r>
              <w:rPr>
                <w:sz w:val="22"/>
                <w:szCs w:val="22"/>
              </w:rPr>
              <w:t>(4,6 %)</w:t>
            </w:r>
          </w:p>
        </w:tc>
        <w:tc>
          <w:tcPr>
            <w:tcW w:w="1080" w:type="dxa"/>
            <w:tcBorders>
              <w:top w:val="single" w:sz="6" w:space="0" w:color="000000"/>
              <w:left w:val="single" w:sz="6" w:space="0" w:color="000000"/>
              <w:bottom w:val="single" w:sz="2" w:space="0" w:color="000000"/>
              <w:right w:val="single" w:sz="6" w:space="0" w:color="000000"/>
            </w:tcBorders>
            <w:vAlign w:val="center"/>
          </w:tcPr>
          <w:p w14:paraId="4B4ED618" w14:textId="77777777" w:rsidR="009A4BFE" w:rsidRDefault="0051186A">
            <w:pPr>
              <w:pStyle w:val="TableParagraph"/>
              <w:kinsoku w:val="0"/>
              <w:overflowPunct w:val="0"/>
              <w:ind w:left="323"/>
              <w:jc w:val="center"/>
              <w:rPr>
                <w:sz w:val="22"/>
                <w:szCs w:val="22"/>
              </w:rPr>
            </w:pPr>
            <w:r>
              <w:rPr>
                <w:spacing w:val="1"/>
                <w:sz w:val="22"/>
                <w:szCs w:val="22"/>
              </w:rPr>
              <w:t>5,2 %</w:t>
            </w:r>
          </w:p>
        </w:tc>
        <w:tc>
          <w:tcPr>
            <w:tcW w:w="1171" w:type="dxa"/>
            <w:gridSpan w:val="2"/>
            <w:tcBorders>
              <w:top w:val="single" w:sz="6" w:space="0" w:color="000000"/>
              <w:left w:val="single" w:sz="6" w:space="0" w:color="000000"/>
              <w:bottom w:val="single" w:sz="2" w:space="0" w:color="000000"/>
              <w:right w:val="single" w:sz="2" w:space="0" w:color="000000"/>
            </w:tcBorders>
            <w:vAlign w:val="center"/>
          </w:tcPr>
          <w:p w14:paraId="2A783248" w14:textId="77777777" w:rsidR="009A4BFE" w:rsidRDefault="0051186A">
            <w:pPr>
              <w:pStyle w:val="TableParagraph"/>
              <w:kinsoku w:val="0"/>
              <w:overflowPunct w:val="0"/>
              <w:ind w:left="521" w:right="532"/>
              <w:jc w:val="center"/>
              <w:rPr>
                <w:sz w:val="22"/>
                <w:szCs w:val="22"/>
              </w:rPr>
            </w:pPr>
            <w:r>
              <w:rPr>
                <w:sz w:val="22"/>
                <w:szCs w:val="22"/>
              </w:rPr>
              <w:t>-</w:t>
            </w:r>
          </w:p>
        </w:tc>
      </w:tr>
    </w:tbl>
    <w:p w14:paraId="5810C3A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i/>
          <w:iCs/>
          <w:snapToGrid/>
          <w:szCs w:val="22"/>
          <w:lang w:val="lt-LT"/>
        </w:rPr>
        <w:t>HR</w:t>
      </w:r>
      <w:r>
        <w:rPr>
          <w:rFonts w:eastAsia="TimesNewRoman"/>
          <w:snapToGrid/>
          <w:szCs w:val="22"/>
          <w:lang w:val="lt-LT"/>
        </w:rPr>
        <w:t xml:space="preserve"> ir </w:t>
      </w:r>
      <w:r>
        <w:rPr>
          <w:rFonts w:eastAsia="TimesNewRoman"/>
          <w:i/>
          <w:iCs/>
          <w:snapToGrid/>
          <w:szCs w:val="22"/>
          <w:lang w:val="lt-LT"/>
        </w:rPr>
        <w:t xml:space="preserve">p </w:t>
      </w:r>
      <w:r>
        <w:rPr>
          <w:rFonts w:eastAsia="TimesNewRoman"/>
          <w:snapToGrid/>
          <w:szCs w:val="22"/>
          <w:lang w:val="lt-LT"/>
        </w:rPr>
        <w:t xml:space="preserve">reikšmės apskaičiuoti atskirai </w:t>
      </w:r>
      <w:proofErr w:type="spellStart"/>
      <w:r>
        <w:rPr>
          <w:rFonts w:eastAsia="TimesNewRoman"/>
          <w:snapToGrid/>
          <w:szCs w:val="22"/>
          <w:lang w:val="lt-LT"/>
        </w:rPr>
        <w:t>tikagrelorui</w:t>
      </w:r>
      <w:proofErr w:type="spellEnd"/>
      <w:r>
        <w:rPr>
          <w:rFonts w:eastAsia="TimesNewRoman"/>
          <w:snapToGrid/>
          <w:szCs w:val="22"/>
          <w:lang w:val="lt-LT"/>
        </w:rPr>
        <w:t xml:space="preserve"> plg. su vien ASR naudojant </w:t>
      </w:r>
      <w:proofErr w:type="spellStart"/>
      <w:r>
        <w:rPr>
          <w:rFonts w:eastAsia="TimesNewRoman"/>
          <w:snapToGrid/>
          <w:szCs w:val="22"/>
          <w:lang w:val="lt-LT"/>
        </w:rPr>
        <w:t>Cox</w:t>
      </w:r>
      <w:proofErr w:type="spellEnd"/>
      <w:r>
        <w:rPr>
          <w:rFonts w:eastAsia="TimesNewRoman"/>
          <w:snapToGrid/>
          <w:szCs w:val="22"/>
          <w:lang w:val="lt-LT"/>
        </w:rPr>
        <w:t xml:space="preserve"> proporcinės rizikos modelį (vienintelis aiškinamasis kintamasis buvo gydymo grupė).</w:t>
      </w:r>
    </w:p>
    <w:p w14:paraId="162E1B0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KM procentai apskaičiuoti po 36 mėn.</w:t>
      </w:r>
    </w:p>
    <w:p w14:paraId="01D0D5E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Pastaba. Sudėtinėje vertinamojoje baigtyje nurodytas tik pirmųjų reiškinių – komponentų (KV mirčių, MI ir insultų) – skaičius, bet ne jų suma.</w:t>
      </w:r>
    </w:p>
    <w:p w14:paraId="43ABF03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(r) – rodo statistinį reikšmingumą.</w:t>
      </w:r>
    </w:p>
    <w:p w14:paraId="362C39C4" w14:textId="77777777" w:rsidR="009A4BFE" w:rsidRDefault="0051186A">
      <w:pPr>
        <w:tabs>
          <w:tab w:val="clear" w:pos="567"/>
        </w:tabs>
        <w:autoSpaceDE w:val="0"/>
        <w:autoSpaceDN w:val="0"/>
        <w:adjustRightInd w:val="0"/>
        <w:spacing w:line="240" w:lineRule="auto"/>
        <w:rPr>
          <w:rFonts w:eastAsia="TimesNewRoman"/>
          <w:snapToGrid/>
          <w:sz w:val="18"/>
          <w:szCs w:val="18"/>
          <w:lang w:val="lt-LT"/>
        </w:rPr>
      </w:pPr>
      <w:r>
        <w:rPr>
          <w:rFonts w:eastAsia="TimesNewRoman"/>
          <w:snapToGrid/>
          <w:szCs w:val="22"/>
          <w:lang w:val="lt-LT"/>
        </w:rPr>
        <w:t xml:space="preserve">PI – </w:t>
      </w:r>
      <w:proofErr w:type="spellStart"/>
      <w:r>
        <w:rPr>
          <w:rFonts w:eastAsia="TimesNewRoman"/>
          <w:snapToGrid/>
          <w:szCs w:val="22"/>
          <w:lang w:val="lt-LT"/>
        </w:rPr>
        <w:t>pasikliautinasis</w:t>
      </w:r>
      <w:proofErr w:type="spellEnd"/>
      <w:r>
        <w:rPr>
          <w:rFonts w:eastAsia="TimesNewRoman"/>
          <w:snapToGrid/>
          <w:szCs w:val="22"/>
          <w:lang w:val="lt-LT"/>
        </w:rPr>
        <w:t xml:space="preserve"> intervalas, KV – kardiovaskulinis, HR (</w:t>
      </w:r>
      <w:proofErr w:type="spellStart"/>
      <w:r>
        <w:rPr>
          <w:rFonts w:eastAsia="TimesNewRoman"/>
          <w:i/>
          <w:snapToGrid/>
          <w:szCs w:val="22"/>
          <w:lang w:val="lt-LT"/>
        </w:rPr>
        <w:t>Hazard</w:t>
      </w:r>
      <w:proofErr w:type="spellEnd"/>
      <w:r>
        <w:rPr>
          <w:rFonts w:eastAsia="TimesNewRoman"/>
          <w:i/>
          <w:snapToGrid/>
          <w:szCs w:val="22"/>
          <w:lang w:val="lt-LT"/>
        </w:rPr>
        <w:t xml:space="preserve"> </w:t>
      </w:r>
      <w:proofErr w:type="spellStart"/>
      <w:r>
        <w:rPr>
          <w:rFonts w:eastAsia="TimesNewRoman"/>
          <w:i/>
          <w:snapToGrid/>
          <w:szCs w:val="22"/>
          <w:lang w:val="lt-LT"/>
        </w:rPr>
        <w:t>Ratio</w:t>
      </w:r>
      <w:proofErr w:type="spellEnd"/>
      <w:r>
        <w:rPr>
          <w:rFonts w:eastAsia="TimesNewRoman"/>
          <w:snapToGrid/>
          <w:szCs w:val="22"/>
          <w:lang w:val="lt-LT"/>
        </w:rPr>
        <w:t xml:space="preserve">) – rizikos santykis; KM – </w:t>
      </w:r>
      <w:proofErr w:type="spellStart"/>
      <w:r>
        <w:rPr>
          <w:rFonts w:eastAsia="TimesNewRoman"/>
          <w:i/>
          <w:snapToGrid/>
          <w:szCs w:val="22"/>
          <w:lang w:val="lt-LT"/>
        </w:rPr>
        <w:t>Kaplan-Meier</w:t>
      </w:r>
      <w:proofErr w:type="spellEnd"/>
      <w:r>
        <w:rPr>
          <w:rFonts w:eastAsia="TimesNewRoman"/>
          <w:snapToGrid/>
          <w:szCs w:val="22"/>
          <w:lang w:val="lt-LT"/>
        </w:rPr>
        <w:t>, MI – miokardo infarktas, N – pacientų skaičius</w:t>
      </w:r>
      <w:r>
        <w:rPr>
          <w:rFonts w:eastAsia="TimesNewRoman"/>
          <w:snapToGrid/>
          <w:sz w:val="18"/>
          <w:szCs w:val="18"/>
          <w:lang w:val="lt-LT"/>
        </w:rPr>
        <w:t>.</w:t>
      </w:r>
    </w:p>
    <w:p w14:paraId="59B0EA5F"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31C140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Tiek 60 mg, tiek 90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derinyje su ASR apsaugojo nuo </w:t>
      </w:r>
      <w:proofErr w:type="spellStart"/>
      <w:r>
        <w:rPr>
          <w:rFonts w:eastAsia="TimesNewRoman"/>
          <w:snapToGrid/>
          <w:szCs w:val="22"/>
          <w:lang w:val="lt-LT"/>
        </w:rPr>
        <w:t>aterotrombozės</w:t>
      </w:r>
      <w:proofErr w:type="spellEnd"/>
      <w:r>
        <w:rPr>
          <w:rFonts w:eastAsia="TimesNewRoman"/>
          <w:snapToGrid/>
          <w:szCs w:val="22"/>
          <w:lang w:val="lt-LT"/>
        </w:rPr>
        <w:t xml:space="preserve"> reiškinių (sudėtinė vertinamoji baigtis buvo KV mirtis, MI ir insultas) geriau negu vien ASR. Gydymo poveikis buvo nuoseklus visą vartojimo laikotarpį, 60 mg </w:t>
      </w:r>
      <w:proofErr w:type="spellStart"/>
      <w:r>
        <w:rPr>
          <w:rFonts w:eastAsia="TimesNewRoman"/>
          <w:snapToGrid/>
          <w:szCs w:val="22"/>
          <w:lang w:val="lt-LT"/>
        </w:rPr>
        <w:t>tikagreloro</w:t>
      </w:r>
      <w:proofErr w:type="spellEnd"/>
      <w:r>
        <w:rPr>
          <w:rFonts w:eastAsia="TimesNewRoman"/>
          <w:snapToGrid/>
          <w:szCs w:val="22"/>
          <w:lang w:val="lt-LT"/>
        </w:rPr>
        <w:t xml:space="preserve"> RRR buvo 16 % ir ARR – 1,27 %, 90 mg </w:t>
      </w:r>
      <w:proofErr w:type="spellStart"/>
      <w:r>
        <w:rPr>
          <w:rFonts w:eastAsia="TimesNewRoman"/>
          <w:snapToGrid/>
          <w:szCs w:val="22"/>
          <w:lang w:val="lt-LT"/>
        </w:rPr>
        <w:t>tikagreloro</w:t>
      </w:r>
      <w:proofErr w:type="spellEnd"/>
      <w:r>
        <w:rPr>
          <w:rFonts w:eastAsia="TimesNewRoman"/>
          <w:snapToGrid/>
          <w:szCs w:val="22"/>
          <w:lang w:val="lt-LT"/>
        </w:rPr>
        <w:t xml:space="preserve"> RRR –15 % ir ARR – 1,19 %.</w:t>
      </w:r>
    </w:p>
    <w:p w14:paraId="17384DDF"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6101FE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Nors 90 mg ir 60 mg dozių saugumas buvo panašus, tačiau gauta duomenų, kad mažesnioji dozė yra geriau toleruojama bei saugesnė kraujavimo ir dusulio požiūriu. Dėl to </w:t>
      </w:r>
      <w:proofErr w:type="spellStart"/>
      <w:r>
        <w:rPr>
          <w:rFonts w:eastAsia="TimesNewRoman"/>
          <w:snapToGrid/>
          <w:szCs w:val="22"/>
          <w:lang w:val="lt-LT"/>
        </w:rPr>
        <w:t>aterotrombozės</w:t>
      </w:r>
      <w:proofErr w:type="spellEnd"/>
      <w:r>
        <w:rPr>
          <w:rFonts w:eastAsia="TimesNewRoman"/>
          <w:snapToGrid/>
          <w:szCs w:val="22"/>
          <w:lang w:val="lt-LT"/>
        </w:rPr>
        <w:t xml:space="preserve"> įvykių (KV mirties, MI ir insulto) profilaktikai anksčiau MI patyrusiems pacientams, turintiems didelę </w:t>
      </w:r>
      <w:proofErr w:type="spellStart"/>
      <w:r>
        <w:rPr>
          <w:rFonts w:eastAsia="TimesNewRoman"/>
          <w:snapToGrid/>
          <w:szCs w:val="22"/>
          <w:lang w:val="lt-LT"/>
        </w:rPr>
        <w:t>aterotrombozės</w:t>
      </w:r>
      <w:proofErr w:type="spellEnd"/>
      <w:r>
        <w:rPr>
          <w:rFonts w:eastAsia="TimesNewRoman"/>
          <w:snapToGrid/>
          <w:szCs w:val="22"/>
          <w:lang w:val="lt-LT"/>
        </w:rPr>
        <w:t xml:space="preserve"> reiškinių riziką, rekomenduojama vartoti tik 60 mg </w:t>
      </w:r>
      <w:proofErr w:type="spellStart"/>
      <w:r w:rsidRPr="0022257B">
        <w:rPr>
          <w:lang w:val="lt-LT"/>
        </w:rPr>
        <w:t>Atixarso</w:t>
      </w:r>
      <w:proofErr w:type="spellEnd"/>
      <w:r>
        <w:rPr>
          <w:rFonts w:eastAsia="TimesNewRoman"/>
          <w:snapToGrid/>
          <w:szCs w:val="22"/>
          <w:lang w:val="lt-LT"/>
        </w:rPr>
        <w:t xml:space="preserve"> 2 kartus per parą derinyje su ASR.</w:t>
      </w:r>
    </w:p>
    <w:p w14:paraId="13A3D99A" w14:textId="77777777" w:rsidR="009A4BFE" w:rsidRDefault="0051186A">
      <w:pPr>
        <w:tabs>
          <w:tab w:val="clear" w:pos="567"/>
        </w:tabs>
        <w:autoSpaceDE w:val="0"/>
        <w:autoSpaceDN w:val="0"/>
        <w:adjustRightInd w:val="0"/>
        <w:spacing w:line="240" w:lineRule="auto"/>
        <w:rPr>
          <w:szCs w:val="22"/>
          <w:lang w:val="lt-LT" w:eastAsia="x-none"/>
        </w:rPr>
      </w:pPr>
      <w:r>
        <w:rPr>
          <w:rFonts w:eastAsia="TimesNewRoman"/>
          <w:snapToGrid/>
          <w:szCs w:val="22"/>
          <w:lang w:val="lt-LT"/>
        </w:rPr>
        <w:t xml:space="preserve">60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reikšmingai labiau negu vien ASR sumažino pirminės sudėtinės vertinamosios baigties įvykių (KV mirčių, MI ir insultų) skaičių. Įtakos pirminės sudėtinės vertinamosios baigties įvykių skaičiaus sumažėjimui turėjo visi jos komponentai (KV mirčių RRR 17 %, MI – 16 %, insulto – 25 %).</w:t>
      </w:r>
    </w:p>
    <w:p w14:paraId="0FDF9AC7" w14:textId="77777777" w:rsidR="009A4BFE" w:rsidRDefault="009A4BFE">
      <w:pPr>
        <w:rPr>
          <w:lang w:val="lt-LT" w:eastAsia="x-none"/>
        </w:rPr>
      </w:pPr>
    </w:p>
    <w:p w14:paraId="10416FC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Sudėtinės vertinamosios baigties RRR nuo 1-os iki 360-os dienos ir nuo 361 dienos buvo panašūs (atitinkamai 17 % ir 16 %). </w:t>
      </w:r>
      <w:proofErr w:type="spellStart"/>
      <w:r>
        <w:rPr>
          <w:rFonts w:eastAsia="TimesNewRoman"/>
          <w:snapToGrid/>
          <w:szCs w:val="22"/>
          <w:lang w:val="lt-LT"/>
        </w:rPr>
        <w:t>Tikagreloro</w:t>
      </w:r>
      <w:proofErr w:type="spellEnd"/>
      <w:r>
        <w:rPr>
          <w:rFonts w:eastAsia="TimesNewRoman"/>
          <w:snapToGrid/>
          <w:szCs w:val="22"/>
          <w:lang w:val="lt-LT"/>
        </w:rPr>
        <w:t xml:space="preserve"> vartojimo ilgiau kaip 3 metus veiksmingumo ir saugumo duomenų yra nedaug.</w:t>
      </w:r>
    </w:p>
    <w:p w14:paraId="3969001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0C34C54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Pradėjus vartoti 60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stabilios klinikinės būklės pacientams, patyrusiems MI daugiau kaip prieš 2 metus arba nutraukusiems ankstesnio ADF receptorių inhibitoriaus vartojimą daugiau kaip prieš 1 metus, naudos nenustatyta (</w:t>
      </w:r>
      <w:proofErr w:type="spellStart"/>
      <w:r>
        <w:rPr>
          <w:rFonts w:eastAsia="TimesNewRoman"/>
          <w:snapToGrid/>
          <w:szCs w:val="22"/>
          <w:lang w:val="lt-LT"/>
        </w:rPr>
        <w:t>pirminėss</w:t>
      </w:r>
      <w:proofErr w:type="spellEnd"/>
      <w:r>
        <w:rPr>
          <w:rFonts w:eastAsia="TimesNewRoman"/>
          <w:snapToGrid/>
          <w:szCs w:val="22"/>
          <w:lang w:val="lt-LT"/>
        </w:rPr>
        <w:t xml:space="preserve"> sudėtinės vertinamosios baigties, kurią sudarė KV mirtis, MI ir insultas, atvejų nesumažėjo), tačiau buvo daugiau didesniųjų kraujavimų (taip pat žr. 4.2 skyrių).</w:t>
      </w:r>
    </w:p>
    <w:p w14:paraId="5F7FF4C0"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4ADD550C" w14:textId="77777777" w:rsidR="009A4BFE" w:rsidRDefault="0051186A">
      <w:pPr>
        <w:keepNext/>
        <w:tabs>
          <w:tab w:val="clear" w:pos="567"/>
        </w:tabs>
        <w:autoSpaceDE w:val="0"/>
        <w:autoSpaceDN w:val="0"/>
        <w:adjustRightInd w:val="0"/>
        <w:spacing w:line="240" w:lineRule="auto"/>
        <w:rPr>
          <w:rFonts w:eastAsia="TimesNewRoman"/>
          <w:i/>
          <w:iCs/>
          <w:snapToGrid/>
          <w:szCs w:val="22"/>
          <w:lang w:val="lt-LT"/>
        </w:rPr>
      </w:pPr>
      <w:r>
        <w:rPr>
          <w:rFonts w:eastAsia="TimesNewRoman"/>
          <w:i/>
          <w:iCs/>
          <w:snapToGrid/>
          <w:szCs w:val="22"/>
          <w:lang w:val="lt-LT"/>
        </w:rPr>
        <w:lastRenderedPageBreak/>
        <w:t>Klinikinis saugumas</w:t>
      </w:r>
    </w:p>
    <w:p w14:paraId="28148B65" w14:textId="77777777" w:rsidR="009A4BFE" w:rsidRDefault="0051186A">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Dėl kraujavimo ar dusulio 60 mg </w:t>
      </w:r>
      <w:proofErr w:type="spellStart"/>
      <w:r>
        <w:rPr>
          <w:rFonts w:eastAsia="TimesNewRoman"/>
          <w:snapToGrid/>
          <w:szCs w:val="22"/>
          <w:lang w:val="lt-LT"/>
        </w:rPr>
        <w:t>tikagreloro</w:t>
      </w:r>
      <w:proofErr w:type="spellEnd"/>
      <w:r>
        <w:rPr>
          <w:rFonts w:eastAsia="TimesNewRoman"/>
          <w:snapToGrid/>
          <w:szCs w:val="22"/>
          <w:lang w:val="lt-LT"/>
        </w:rPr>
        <w:t xml:space="preserve"> vartojimą vyresni kaip 75 metų pacientai nutraukė dažniau (42 %) negu jaunesni (nuo 23 iki 31 %); skirtumas, palyginus su placebu, buvo didesnis kaip 10 % (atitinkamai 42 % ir 29 %).</w:t>
      </w:r>
    </w:p>
    <w:p w14:paraId="373479F5" w14:textId="77777777" w:rsidR="009A4BFE" w:rsidRDefault="009A4BFE">
      <w:pPr>
        <w:keepNext/>
        <w:tabs>
          <w:tab w:val="clear" w:pos="567"/>
        </w:tabs>
        <w:autoSpaceDE w:val="0"/>
        <w:autoSpaceDN w:val="0"/>
        <w:adjustRightInd w:val="0"/>
        <w:spacing w:line="240" w:lineRule="auto"/>
        <w:rPr>
          <w:rFonts w:eastAsia="TimesNewRoman"/>
          <w:snapToGrid/>
          <w:szCs w:val="22"/>
          <w:lang w:val="lt-LT"/>
        </w:rPr>
      </w:pPr>
    </w:p>
    <w:p w14:paraId="733784CB" w14:textId="77777777" w:rsidR="009A4BFE" w:rsidRDefault="0051186A">
      <w:pPr>
        <w:keepNext/>
        <w:tabs>
          <w:tab w:val="clear" w:pos="567"/>
        </w:tabs>
        <w:autoSpaceDE w:val="0"/>
        <w:autoSpaceDN w:val="0"/>
        <w:adjustRightInd w:val="0"/>
        <w:spacing w:line="240" w:lineRule="auto"/>
        <w:rPr>
          <w:rFonts w:eastAsia="TimesNewRoman"/>
          <w:i/>
          <w:snapToGrid/>
          <w:szCs w:val="22"/>
          <w:lang w:val="lt-LT"/>
        </w:rPr>
      </w:pPr>
      <w:r>
        <w:rPr>
          <w:rFonts w:eastAsia="TimesNewRoman"/>
          <w:i/>
          <w:snapToGrid/>
          <w:szCs w:val="22"/>
          <w:lang w:val="lt-LT"/>
        </w:rPr>
        <w:t>Vaikų populiacija</w:t>
      </w:r>
    </w:p>
    <w:p w14:paraId="33EE42F4" w14:textId="77777777" w:rsidR="009A4BFE" w:rsidRDefault="0051186A">
      <w:pPr>
        <w:keepNext/>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Randomizuoto</w:t>
      </w:r>
      <w:proofErr w:type="spellEnd"/>
      <w:r>
        <w:rPr>
          <w:rFonts w:eastAsia="TimesNewRoman"/>
          <w:snapToGrid/>
          <w:szCs w:val="22"/>
          <w:lang w:val="lt-LT"/>
        </w:rPr>
        <w:t xml:space="preserve"> dvigubai koduoto lygiagrečių grupių III fazės HESTIA 3 tyrimo metu 193 vaikai (nuo 2 iki &lt; 18 metų amžiaus), sirgę pjautuvo pavidalo ląstelių liga, buvo </w:t>
      </w:r>
      <w:proofErr w:type="spellStart"/>
      <w:r>
        <w:rPr>
          <w:rFonts w:eastAsia="TimesNewRoman"/>
          <w:snapToGrid/>
          <w:szCs w:val="22"/>
          <w:lang w:val="lt-LT"/>
        </w:rPr>
        <w:t>randomizuoti</w:t>
      </w:r>
      <w:proofErr w:type="spellEnd"/>
      <w:r>
        <w:rPr>
          <w:rFonts w:eastAsia="TimesNewRoman"/>
          <w:snapToGrid/>
          <w:szCs w:val="22"/>
          <w:lang w:val="lt-LT"/>
        </w:rPr>
        <w:t xml:space="preserve"> vartoti placebą arba po 15-45 mg </w:t>
      </w:r>
      <w:proofErr w:type="spellStart"/>
      <w:r>
        <w:rPr>
          <w:rFonts w:eastAsia="TimesNewRoman"/>
          <w:snapToGrid/>
          <w:szCs w:val="22"/>
          <w:lang w:val="lt-LT"/>
        </w:rPr>
        <w:t>tikagreloro</w:t>
      </w:r>
      <w:proofErr w:type="spellEnd"/>
      <w:r>
        <w:rPr>
          <w:rFonts w:eastAsia="TimesNewRoman"/>
          <w:snapToGrid/>
          <w:szCs w:val="22"/>
          <w:lang w:val="lt-LT"/>
        </w:rPr>
        <w:t xml:space="preserve"> 2 kartus per parą, priklausomai nuo kūno svorio. Nusistovėjus pusiausvyros apykaitai </w:t>
      </w:r>
      <w:proofErr w:type="spellStart"/>
      <w:r>
        <w:rPr>
          <w:rFonts w:eastAsia="TimesNewRoman"/>
          <w:snapToGrid/>
          <w:szCs w:val="22"/>
          <w:lang w:val="lt-LT"/>
        </w:rPr>
        <w:t>tikagreloro</w:t>
      </w:r>
      <w:proofErr w:type="spellEnd"/>
      <w:r>
        <w:rPr>
          <w:rFonts w:eastAsia="TimesNewRoman"/>
          <w:snapToGrid/>
          <w:szCs w:val="22"/>
          <w:lang w:val="lt-LT"/>
        </w:rPr>
        <w:t xml:space="preserve"> sukelto trombocitų funkcijos slopinimo mediana buvo 35 % prieš geriant eilinę jo dozę ir 56 % praėjus 2 val. po jos vartojimo.</w:t>
      </w:r>
    </w:p>
    <w:p w14:paraId="568B50FF" w14:textId="77777777" w:rsidR="009A4BFE" w:rsidRDefault="0051186A">
      <w:pPr>
        <w:keepNext/>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Tikagreloras</w:t>
      </w:r>
      <w:proofErr w:type="spellEnd"/>
      <w:r>
        <w:rPr>
          <w:rFonts w:eastAsia="TimesNewRoman"/>
          <w:snapToGrid/>
          <w:szCs w:val="22"/>
          <w:lang w:val="lt-LT"/>
        </w:rPr>
        <w:t xml:space="preserve"> nesukėlė pranašesnio negu placebas gydomojo poveikio, vertinant kraujagyslių užsikimšimo krizių dažnį.</w:t>
      </w:r>
    </w:p>
    <w:p w14:paraId="39AF35FB" w14:textId="77777777" w:rsidR="009A4BFE" w:rsidRDefault="009A4BFE">
      <w:pPr>
        <w:keepNext/>
        <w:tabs>
          <w:tab w:val="clear" w:pos="567"/>
        </w:tabs>
        <w:autoSpaceDE w:val="0"/>
        <w:autoSpaceDN w:val="0"/>
        <w:adjustRightInd w:val="0"/>
        <w:spacing w:line="240" w:lineRule="auto"/>
        <w:rPr>
          <w:rFonts w:eastAsia="TimesNewRoman"/>
          <w:snapToGrid/>
          <w:szCs w:val="22"/>
          <w:lang w:val="lt-LT"/>
        </w:rPr>
      </w:pPr>
    </w:p>
    <w:p w14:paraId="11B6B4E1" w14:textId="77777777" w:rsidR="009A4BFE" w:rsidRDefault="0051186A">
      <w:pPr>
        <w:keepNext/>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Europos vaistų agentūra atleido nuo įpareigojimo pateikti </w:t>
      </w:r>
      <w:proofErr w:type="spellStart"/>
      <w:r>
        <w:rPr>
          <w:rFonts w:eastAsia="TimesNewRoman"/>
          <w:snapToGrid/>
          <w:szCs w:val="22"/>
          <w:lang w:val="lt-LT"/>
        </w:rPr>
        <w:t>tikagreloro</w:t>
      </w:r>
      <w:proofErr w:type="spellEnd"/>
      <w:r>
        <w:rPr>
          <w:rFonts w:eastAsia="TimesNewRoman"/>
          <w:snapToGrid/>
          <w:szCs w:val="22"/>
          <w:lang w:val="lt-LT"/>
        </w:rPr>
        <w:t xml:space="preserve"> tyrimų su visais vaikų, ištiktų ūminių koronarinių sindromų (ŪKS) ir anksčiau patyrusių miokardo infarktą (MI), populiacijos pogrupiais duomenis (vartojimo vaikams informacija pateikiama 4.2 skyriuje).</w:t>
      </w:r>
    </w:p>
    <w:p w14:paraId="2945D549" w14:textId="77777777" w:rsidR="009A4BFE" w:rsidRDefault="009A4BFE">
      <w:pPr>
        <w:rPr>
          <w:lang w:val="lt-LT" w:eastAsia="x-none"/>
        </w:rPr>
      </w:pPr>
    </w:p>
    <w:p w14:paraId="7714182D" w14:textId="77777777" w:rsidR="009A4BFE" w:rsidRDefault="0051186A">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r>
      <w:proofErr w:type="spellStart"/>
      <w:r>
        <w:rPr>
          <w:rFonts w:ascii="Times New Roman" w:hAnsi="Times New Roman"/>
          <w:sz w:val="22"/>
          <w:lang w:val="lt-LT"/>
        </w:rPr>
        <w:t>Farmakokinetinės</w:t>
      </w:r>
      <w:proofErr w:type="spellEnd"/>
      <w:r>
        <w:rPr>
          <w:rFonts w:ascii="Times New Roman" w:hAnsi="Times New Roman"/>
          <w:sz w:val="22"/>
          <w:lang w:val="lt-LT"/>
        </w:rPr>
        <w:t xml:space="preserve"> savybės</w:t>
      </w:r>
    </w:p>
    <w:p w14:paraId="58F05B33" w14:textId="77777777" w:rsidR="009A4BFE" w:rsidRDefault="009A4BFE">
      <w:pPr>
        <w:keepNext/>
        <w:tabs>
          <w:tab w:val="clear" w:pos="567"/>
        </w:tabs>
        <w:spacing w:line="240" w:lineRule="auto"/>
        <w:rPr>
          <w:szCs w:val="24"/>
          <w:lang w:val="lt-LT"/>
        </w:rPr>
      </w:pPr>
    </w:p>
    <w:p w14:paraId="17E7A040" w14:textId="634001B3" w:rsidR="009A4BFE" w:rsidRDefault="0051186A">
      <w:pPr>
        <w:keepNext/>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farmakokinetika yra tiesinė, jo ir jo aktyvaus metabolito (AR-C124910XX) ekspozicijos būna maždaug proporcingos dozei iki 1</w:t>
      </w:r>
      <w:r w:rsidR="00635EF3">
        <w:rPr>
          <w:rFonts w:eastAsia="TimesNewRoman"/>
          <w:snapToGrid/>
          <w:szCs w:val="22"/>
          <w:lang w:val="lt-LT"/>
        </w:rPr>
        <w:t> </w:t>
      </w:r>
      <w:r>
        <w:rPr>
          <w:rFonts w:eastAsia="TimesNewRoman"/>
          <w:snapToGrid/>
          <w:szCs w:val="22"/>
          <w:lang w:val="lt-LT"/>
        </w:rPr>
        <w:t>260 mg.</w:t>
      </w:r>
    </w:p>
    <w:p w14:paraId="2BFB803B"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A732E20"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Absorbcija</w:t>
      </w:r>
    </w:p>
    <w:p w14:paraId="5FBD6188"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absorbcija yra greita, </w:t>
      </w:r>
      <w:proofErr w:type="spellStart"/>
      <w:r>
        <w:rPr>
          <w:lang w:val="lt-LT"/>
        </w:rPr>
        <w:t>t</w:t>
      </w:r>
      <w:r>
        <w:rPr>
          <w:vertAlign w:val="subscript"/>
          <w:lang w:val="lt-LT"/>
        </w:rPr>
        <w:t>max</w:t>
      </w:r>
      <w:proofErr w:type="spellEnd"/>
      <w:r>
        <w:rPr>
          <w:lang w:val="lt-LT"/>
        </w:rPr>
        <w:t xml:space="preserve"> </w:t>
      </w:r>
      <w:r>
        <w:rPr>
          <w:rFonts w:eastAsia="TimesNewRoman"/>
          <w:snapToGrid/>
          <w:szCs w:val="22"/>
          <w:lang w:val="lt-LT"/>
        </w:rPr>
        <w:t xml:space="preserve">mediana yra apie 1,5 val. Pagrindinis (aktyvus) cirkuliuojantis </w:t>
      </w:r>
      <w:proofErr w:type="spellStart"/>
      <w:r>
        <w:rPr>
          <w:rFonts w:eastAsia="TimesNewRoman"/>
          <w:snapToGrid/>
          <w:szCs w:val="22"/>
          <w:lang w:val="lt-LT"/>
        </w:rPr>
        <w:t>tikagreloro</w:t>
      </w:r>
      <w:proofErr w:type="spellEnd"/>
      <w:r>
        <w:rPr>
          <w:rFonts w:eastAsia="TimesNewRoman"/>
          <w:snapToGrid/>
          <w:szCs w:val="22"/>
          <w:lang w:val="lt-LT"/>
        </w:rPr>
        <w:t xml:space="preserve"> metabolitas AR-C124910XX taip pat susidaro greitai, jo </w:t>
      </w:r>
      <w:proofErr w:type="spellStart"/>
      <w:r>
        <w:rPr>
          <w:lang w:val="lt-LT"/>
        </w:rPr>
        <w:t>t</w:t>
      </w:r>
      <w:r>
        <w:rPr>
          <w:vertAlign w:val="subscript"/>
          <w:lang w:val="lt-LT"/>
        </w:rPr>
        <w:t>max</w:t>
      </w:r>
      <w:proofErr w:type="spellEnd"/>
      <w:r>
        <w:rPr>
          <w:lang w:val="lt-LT"/>
        </w:rPr>
        <w:t xml:space="preserve"> </w:t>
      </w:r>
      <w:r>
        <w:rPr>
          <w:rFonts w:eastAsia="TimesNewRoman"/>
          <w:snapToGrid/>
          <w:szCs w:val="22"/>
          <w:lang w:val="lt-LT"/>
        </w:rPr>
        <w:t>mediana yra apie 2,5 val.</w:t>
      </w:r>
    </w:p>
    <w:p w14:paraId="7F538B6C" w14:textId="14EFD8A8"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Sveikiems žmonėms pavartojus vieną 90</w:t>
      </w:r>
      <w:r w:rsidR="00635EF3">
        <w:rPr>
          <w:rFonts w:eastAsia="TimesNewRoman"/>
          <w:snapToGrid/>
          <w:szCs w:val="22"/>
          <w:lang w:val="lt-LT"/>
        </w:rPr>
        <w:t> </w:t>
      </w:r>
      <w:r>
        <w:rPr>
          <w:rFonts w:eastAsia="TimesNewRoman"/>
          <w:snapToGrid/>
          <w:szCs w:val="22"/>
          <w:lang w:val="lt-LT"/>
        </w:rPr>
        <w:t xml:space="preserve">mg </w:t>
      </w:r>
      <w:proofErr w:type="spellStart"/>
      <w:r>
        <w:rPr>
          <w:rFonts w:eastAsia="TimesNewRoman"/>
          <w:snapToGrid/>
          <w:szCs w:val="22"/>
          <w:lang w:val="lt-LT"/>
        </w:rPr>
        <w:t>tikagreloro</w:t>
      </w:r>
      <w:proofErr w:type="spellEnd"/>
      <w:r>
        <w:rPr>
          <w:rFonts w:eastAsia="TimesNewRoman"/>
          <w:snapToGrid/>
          <w:szCs w:val="22"/>
          <w:lang w:val="lt-LT"/>
        </w:rPr>
        <w:t xml:space="preserve"> dozę nevalgius per burną,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būna 529 </w:t>
      </w:r>
      <w:proofErr w:type="spellStart"/>
      <w:r>
        <w:rPr>
          <w:rFonts w:eastAsia="TimesNewRoman"/>
          <w:snapToGrid/>
          <w:szCs w:val="22"/>
          <w:lang w:val="lt-LT"/>
        </w:rPr>
        <w:t>ng</w:t>
      </w:r>
      <w:proofErr w:type="spellEnd"/>
      <w:r>
        <w:rPr>
          <w:rFonts w:eastAsia="TimesNewRoman"/>
          <w:snapToGrid/>
          <w:szCs w:val="22"/>
          <w:lang w:val="lt-LT"/>
        </w:rPr>
        <w:t>/ml, AUC – 3451 </w:t>
      </w:r>
      <w:proofErr w:type="spellStart"/>
      <w:r>
        <w:rPr>
          <w:rFonts w:eastAsia="TimesNewRoman"/>
          <w:snapToGrid/>
          <w:szCs w:val="22"/>
          <w:lang w:val="lt-LT"/>
        </w:rPr>
        <w:t>ng×val</w:t>
      </w:r>
      <w:proofErr w:type="spellEnd"/>
      <w:r>
        <w:rPr>
          <w:rFonts w:eastAsia="TimesNewRoman"/>
          <w:snapToGrid/>
          <w:szCs w:val="22"/>
          <w:lang w:val="lt-LT"/>
        </w:rPr>
        <w:t xml:space="preserve">./ml. Metabolito ir nepakitusio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santykis būna 0,28, AUC – 0,42. </w:t>
      </w:r>
      <w:proofErr w:type="spellStart"/>
      <w:r>
        <w:rPr>
          <w:rFonts w:eastAsia="TimesNewRoman"/>
          <w:snapToGrid/>
          <w:szCs w:val="22"/>
          <w:lang w:val="lt-LT"/>
        </w:rPr>
        <w:t>Tikagreloro</w:t>
      </w:r>
      <w:proofErr w:type="spellEnd"/>
      <w:r>
        <w:rPr>
          <w:rFonts w:eastAsia="TimesNewRoman"/>
          <w:snapToGrid/>
          <w:szCs w:val="22"/>
          <w:lang w:val="lt-LT"/>
        </w:rPr>
        <w:t xml:space="preserve"> ir AR-C124910XX farmakokinetika anksčiau MI patyrusiems pacientams buvo iš esmės panaši kaip sergantiems ŪKS. PEGASUS tyrimo </w:t>
      </w:r>
      <w:proofErr w:type="spellStart"/>
      <w:r>
        <w:rPr>
          <w:rFonts w:eastAsia="TimesNewRoman"/>
          <w:snapToGrid/>
          <w:szCs w:val="22"/>
          <w:lang w:val="lt-LT"/>
        </w:rPr>
        <w:t>populiacinės</w:t>
      </w:r>
      <w:proofErr w:type="spellEnd"/>
      <w:r>
        <w:rPr>
          <w:rFonts w:eastAsia="TimesNewRoman"/>
          <w:snapToGrid/>
          <w:szCs w:val="22"/>
          <w:lang w:val="lt-LT"/>
        </w:rPr>
        <w:t xml:space="preserve"> farmakokinetikos analizės duomenimis,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mediana nusistovėjus </w:t>
      </w:r>
      <w:proofErr w:type="spellStart"/>
      <w:r>
        <w:rPr>
          <w:rFonts w:eastAsia="TimesNewRoman"/>
          <w:snapToGrid/>
          <w:szCs w:val="22"/>
          <w:lang w:val="lt-LT"/>
        </w:rPr>
        <w:t>pusiausvyrinei</w:t>
      </w:r>
      <w:proofErr w:type="spellEnd"/>
      <w:r>
        <w:rPr>
          <w:rFonts w:eastAsia="TimesNewRoman"/>
          <w:snapToGrid/>
          <w:szCs w:val="22"/>
          <w:lang w:val="lt-LT"/>
        </w:rPr>
        <w:t xml:space="preserve"> koncentracijai vartojant 60 mg buvo 391 </w:t>
      </w:r>
      <w:proofErr w:type="spellStart"/>
      <w:r>
        <w:rPr>
          <w:rFonts w:eastAsia="TimesNewRoman"/>
          <w:snapToGrid/>
          <w:szCs w:val="22"/>
          <w:lang w:val="lt-LT"/>
        </w:rPr>
        <w:t>ng</w:t>
      </w:r>
      <w:proofErr w:type="spellEnd"/>
      <w:r>
        <w:rPr>
          <w:rFonts w:eastAsia="TimesNewRoman"/>
          <w:snapToGrid/>
          <w:szCs w:val="22"/>
          <w:lang w:val="lt-LT"/>
        </w:rPr>
        <w:t>/ml, o AUC – 3</w:t>
      </w:r>
      <w:r w:rsidR="00635EF3">
        <w:rPr>
          <w:rFonts w:eastAsia="TimesNewRoman"/>
          <w:snapToGrid/>
          <w:szCs w:val="22"/>
          <w:lang w:val="lt-LT"/>
        </w:rPr>
        <w:t> </w:t>
      </w:r>
      <w:r>
        <w:rPr>
          <w:rFonts w:eastAsia="TimesNewRoman"/>
          <w:snapToGrid/>
          <w:szCs w:val="22"/>
          <w:lang w:val="lt-LT"/>
        </w:rPr>
        <w:t>801 </w:t>
      </w:r>
      <w:proofErr w:type="spellStart"/>
      <w:r>
        <w:rPr>
          <w:rFonts w:eastAsia="TimesNewRoman"/>
          <w:snapToGrid/>
          <w:szCs w:val="22"/>
          <w:lang w:val="lt-LT"/>
        </w:rPr>
        <w:t>ng×val</w:t>
      </w:r>
      <w:proofErr w:type="spellEnd"/>
      <w:r>
        <w:rPr>
          <w:rFonts w:eastAsia="TimesNewRoman"/>
          <w:snapToGrid/>
          <w:szCs w:val="22"/>
          <w:lang w:val="lt-LT"/>
        </w:rPr>
        <w:t xml:space="preserve">./ml. Nusistovėjus </w:t>
      </w:r>
      <w:proofErr w:type="spellStart"/>
      <w:r>
        <w:rPr>
          <w:rFonts w:eastAsia="TimesNewRoman"/>
          <w:snapToGrid/>
          <w:szCs w:val="22"/>
          <w:lang w:val="lt-LT"/>
        </w:rPr>
        <w:t>pusiausvyrinei</w:t>
      </w:r>
      <w:proofErr w:type="spellEnd"/>
      <w:r>
        <w:rPr>
          <w:rFonts w:eastAsia="TimesNewRoman"/>
          <w:snapToGrid/>
          <w:szCs w:val="22"/>
          <w:lang w:val="lt-LT"/>
        </w:rPr>
        <w:t xml:space="preserve"> koncentracijai vartojant 90 mg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buvo 627 </w:t>
      </w:r>
      <w:proofErr w:type="spellStart"/>
      <w:r>
        <w:rPr>
          <w:rFonts w:eastAsia="TimesNewRoman"/>
          <w:snapToGrid/>
          <w:szCs w:val="22"/>
          <w:lang w:val="lt-LT"/>
        </w:rPr>
        <w:t>ng</w:t>
      </w:r>
      <w:proofErr w:type="spellEnd"/>
      <w:r>
        <w:rPr>
          <w:rFonts w:eastAsia="TimesNewRoman"/>
          <w:snapToGrid/>
          <w:szCs w:val="22"/>
          <w:lang w:val="lt-LT"/>
        </w:rPr>
        <w:t>/ml, o AUC – 6</w:t>
      </w:r>
      <w:r w:rsidR="00635EF3">
        <w:rPr>
          <w:rFonts w:eastAsia="TimesNewRoman"/>
          <w:snapToGrid/>
          <w:szCs w:val="22"/>
          <w:lang w:val="lt-LT"/>
        </w:rPr>
        <w:t> </w:t>
      </w:r>
      <w:r>
        <w:rPr>
          <w:rFonts w:eastAsia="TimesNewRoman"/>
          <w:snapToGrid/>
          <w:szCs w:val="22"/>
          <w:lang w:val="lt-LT"/>
        </w:rPr>
        <w:t>255 </w:t>
      </w:r>
      <w:proofErr w:type="spellStart"/>
      <w:r>
        <w:rPr>
          <w:rFonts w:eastAsia="TimesNewRoman"/>
          <w:snapToGrid/>
          <w:szCs w:val="22"/>
          <w:lang w:val="lt-LT"/>
        </w:rPr>
        <w:t>ng×val</w:t>
      </w:r>
      <w:proofErr w:type="spellEnd"/>
      <w:r>
        <w:rPr>
          <w:rFonts w:eastAsia="TimesNewRoman"/>
          <w:snapToGrid/>
          <w:szCs w:val="22"/>
          <w:lang w:val="lt-LT"/>
        </w:rPr>
        <w:t>./ml.</w:t>
      </w:r>
    </w:p>
    <w:p w14:paraId="4318B97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68F5D80"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Apskaičiuotasis </w:t>
      </w:r>
      <w:proofErr w:type="spellStart"/>
      <w:r>
        <w:rPr>
          <w:rFonts w:eastAsia="TimesNewRoman"/>
          <w:snapToGrid/>
          <w:szCs w:val="22"/>
          <w:lang w:val="lt-LT"/>
        </w:rPr>
        <w:t>tikagreloro</w:t>
      </w:r>
      <w:proofErr w:type="spellEnd"/>
      <w:r>
        <w:rPr>
          <w:rFonts w:eastAsia="TimesNewRoman"/>
          <w:snapToGrid/>
          <w:szCs w:val="22"/>
          <w:lang w:val="lt-LT"/>
        </w:rPr>
        <w:t xml:space="preserve"> vidutinis biologinis prieinamumas yra 36 %. Riebus maistas sukėlė </w:t>
      </w:r>
      <w:proofErr w:type="spellStart"/>
      <w:r>
        <w:rPr>
          <w:rFonts w:eastAsia="TimesNewRoman"/>
          <w:snapToGrid/>
          <w:szCs w:val="22"/>
          <w:lang w:val="lt-LT"/>
        </w:rPr>
        <w:t>tikagreloro</w:t>
      </w:r>
      <w:proofErr w:type="spellEnd"/>
      <w:r>
        <w:rPr>
          <w:rFonts w:eastAsia="TimesNewRoman"/>
          <w:snapToGrid/>
          <w:szCs w:val="22"/>
          <w:lang w:val="lt-LT"/>
        </w:rPr>
        <w:t xml:space="preserve"> AUC padidėjimą 21 % ir jo aktyvaus metabolito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sumažėjimą 22 %, tačiau įtakos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ir jo aktyvaus metabolito AUC neturėjo. Šių skirtumų klinikinė reikšmė laikoma minimalia, todėl </w:t>
      </w:r>
      <w:proofErr w:type="spellStart"/>
      <w:r>
        <w:rPr>
          <w:rFonts w:eastAsia="TimesNewRoman"/>
          <w:snapToGrid/>
          <w:szCs w:val="22"/>
          <w:lang w:val="lt-LT"/>
        </w:rPr>
        <w:t>tikagrelorą</w:t>
      </w:r>
      <w:proofErr w:type="spellEnd"/>
      <w:r>
        <w:rPr>
          <w:rFonts w:eastAsia="TimesNewRoman"/>
          <w:snapToGrid/>
          <w:szCs w:val="22"/>
          <w:lang w:val="lt-LT"/>
        </w:rPr>
        <w:t xml:space="preserve"> galima gerti valgant arba nevalgius. </w:t>
      </w:r>
      <w:proofErr w:type="spellStart"/>
      <w:r>
        <w:rPr>
          <w:rFonts w:eastAsia="TimesNewRoman"/>
          <w:snapToGrid/>
          <w:szCs w:val="22"/>
          <w:lang w:val="lt-LT"/>
        </w:rPr>
        <w:t>Tikagreloras</w:t>
      </w:r>
      <w:proofErr w:type="spellEnd"/>
      <w:r>
        <w:rPr>
          <w:rFonts w:eastAsia="TimesNewRoman"/>
          <w:snapToGrid/>
          <w:szCs w:val="22"/>
          <w:lang w:val="lt-LT"/>
        </w:rPr>
        <w:t xml:space="preserve"> ir jo aktyvus metabolitas yra P-</w:t>
      </w:r>
      <w:proofErr w:type="spellStart"/>
      <w:r>
        <w:rPr>
          <w:rFonts w:eastAsia="TimesNewRoman"/>
          <w:snapToGrid/>
          <w:szCs w:val="22"/>
          <w:lang w:val="lt-LT"/>
        </w:rPr>
        <w:t>gp</w:t>
      </w:r>
      <w:proofErr w:type="spellEnd"/>
      <w:r>
        <w:rPr>
          <w:rFonts w:eastAsia="TimesNewRoman"/>
          <w:snapToGrid/>
          <w:szCs w:val="22"/>
          <w:lang w:val="lt-LT"/>
        </w:rPr>
        <w:t xml:space="preserve"> substratai.</w:t>
      </w:r>
    </w:p>
    <w:p w14:paraId="6502C07A"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59F0560"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Susmulkintų </w:t>
      </w:r>
      <w:proofErr w:type="spellStart"/>
      <w:r>
        <w:rPr>
          <w:rFonts w:eastAsia="TimesNewRoman"/>
          <w:snapToGrid/>
          <w:szCs w:val="22"/>
          <w:lang w:val="lt-LT"/>
        </w:rPr>
        <w:t>tikagreloro</w:t>
      </w:r>
      <w:proofErr w:type="spellEnd"/>
      <w:r>
        <w:rPr>
          <w:rFonts w:eastAsia="TimesNewRoman"/>
          <w:snapToGrid/>
          <w:szCs w:val="22"/>
          <w:lang w:val="lt-LT"/>
        </w:rPr>
        <w:t xml:space="preserve"> tablečių, sumaišytų su vandeniu, pavartotų per burną arba per </w:t>
      </w:r>
      <w:proofErr w:type="spellStart"/>
      <w:r>
        <w:rPr>
          <w:rFonts w:eastAsia="TimesNewRoman"/>
          <w:snapToGrid/>
          <w:szCs w:val="22"/>
          <w:lang w:val="lt-LT"/>
        </w:rPr>
        <w:t>nazogastrinį</w:t>
      </w:r>
      <w:proofErr w:type="spellEnd"/>
      <w:r>
        <w:rPr>
          <w:rFonts w:eastAsia="TimesNewRoman"/>
          <w:snapToGrid/>
          <w:szCs w:val="22"/>
          <w:lang w:val="lt-LT"/>
        </w:rPr>
        <w:t xml:space="preserve"> zondą tiesiai į skrandį, biologinis prieinamumas, apskaičiuotas pagal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AUC ir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 yra panašus kaip nepažeistų tablečių. Pradinė (0,5 ir 1 val. po dozės) ekspozicija pavartojus susmulkintų ir sumaišytų su vandeniu </w:t>
      </w:r>
      <w:proofErr w:type="spellStart"/>
      <w:r>
        <w:rPr>
          <w:rFonts w:eastAsia="TimesNewRoman"/>
          <w:snapToGrid/>
          <w:szCs w:val="22"/>
          <w:lang w:val="lt-LT"/>
        </w:rPr>
        <w:t>tikagreloro</w:t>
      </w:r>
      <w:proofErr w:type="spellEnd"/>
      <w:r>
        <w:rPr>
          <w:rFonts w:eastAsia="TimesNewRoman"/>
          <w:snapToGrid/>
          <w:szCs w:val="22"/>
          <w:lang w:val="lt-LT"/>
        </w:rPr>
        <w:t xml:space="preserve"> tablečių būna didesnė negu jų pavartojus nepažeistų, tačiau vėliau (po 2-48 val.) koncentracijos paprastai nesiskiria.</w:t>
      </w:r>
    </w:p>
    <w:p w14:paraId="309E13C9"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B69CCAD"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Pasiskirstymas</w:t>
      </w:r>
    </w:p>
    <w:p w14:paraId="64DDEDB3"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pusiausvyrinis</w:t>
      </w:r>
      <w:proofErr w:type="spellEnd"/>
      <w:r>
        <w:rPr>
          <w:rFonts w:eastAsia="TimesNewRoman"/>
          <w:snapToGrid/>
          <w:szCs w:val="22"/>
          <w:lang w:val="lt-LT"/>
        </w:rPr>
        <w:t xml:space="preserve"> pasiskirstymo tūris yra 87,5 l. Didelė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dalis (&gt; 99,0 %) būna prisijungusi prie žmogaus plazmos baltymų.</w:t>
      </w:r>
    </w:p>
    <w:p w14:paraId="30F4D89A"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C2646FD"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proofErr w:type="spellStart"/>
      <w:r>
        <w:rPr>
          <w:rFonts w:eastAsia="TimesNewRoman"/>
          <w:snapToGrid/>
          <w:szCs w:val="22"/>
          <w:u w:val="single"/>
          <w:lang w:val="lt-LT"/>
        </w:rPr>
        <w:t>Biotransformacija</w:t>
      </w:r>
      <w:proofErr w:type="spellEnd"/>
    </w:p>
    <w:p w14:paraId="237E36D9" w14:textId="77777777" w:rsidR="009A4BFE" w:rsidRDefault="0051186A">
      <w:pPr>
        <w:tabs>
          <w:tab w:val="clear" w:pos="567"/>
        </w:tabs>
        <w:autoSpaceDE w:val="0"/>
        <w:autoSpaceDN w:val="0"/>
        <w:adjustRightInd w:val="0"/>
        <w:spacing w:line="240" w:lineRule="auto"/>
        <w:rPr>
          <w:szCs w:val="22"/>
          <w:lang w:val="lt-LT"/>
        </w:rPr>
      </w:pPr>
      <w:r>
        <w:rPr>
          <w:rFonts w:eastAsia="TimesNewRoman"/>
          <w:snapToGrid/>
          <w:szCs w:val="22"/>
          <w:lang w:val="lt-LT"/>
        </w:rPr>
        <w:t xml:space="preserve">CYP3A4 yra pagrindinis </w:t>
      </w:r>
      <w:proofErr w:type="spellStart"/>
      <w:r>
        <w:rPr>
          <w:rFonts w:eastAsia="TimesNewRoman"/>
          <w:snapToGrid/>
          <w:szCs w:val="22"/>
          <w:lang w:val="lt-LT"/>
        </w:rPr>
        <w:t>tikagrelorą</w:t>
      </w:r>
      <w:proofErr w:type="spellEnd"/>
      <w:r>
        <w:rPr>
          <w:rFonts w:eastAsia="TimesNewRoman"/>
          <w:snapToGrid/>
          <w:szCs w:val="22"/>
          <w:lang w:val="lt-LT"/>
        </w:rPr>
        <w:t xml:space="preserve"> </w:t>
      </w:r>
      <w:proofErr w:type="spellStart"/>
      <w:r>
        <w:rPr>
          <w:rFonts w:eastAsia="TimesNewRoman"/>
          <w:snapToGrid/>
          <w:szCs w:val="22"/>
          <w:lang w:val="lt-LT"/>
        </w:rPr>
        <w:t>metabolizuojantis</w:t>
      </w:r>
      <w:proofErr w:type="spellEnd"/>
      <w:r>
        <w:rPr>
          <w:rFonts w:eastAsia="TimesNewRoman"/>
          <w:snapToGrid/>
          <w:szCs w:val="22"/>
          <w:lang w:val="lt-LT"/>
        </w:rPr>
        <w:t xml:space="preserve"> ir jo aktyvaus metabolito susidarymą skatinantis fermentas, o jų sąveika su kitais CYP3A substratais įvairuoja nuo aktyvinimo iki slopinimo.</w:t>
      </w:r>
      <w:r>
        <w:rPr>
          <w:szCs w:val="22"/>
          <w:lang w:val="lt-LT"/>
        </w:rPr>
        <w:t xml:space="preserve"> </w:t>
      </w:r>
    </w:p>
    <w:p w14:paraId="3C0ADBA1" w14:textId="77777777" w:rsidR="009A4BFE" w:rsidRDefault="009A4BFE">
      <w:pPr>
        <w:tabs>
          <w:tab w:val="clear" w:pos="567"/>
        </w:tabs>
        <w:autoSpaceDE w:val="0"/>
        <w:autoSpaceDN w:val="0"/>
        <w:adjustRightInd w:val="0"/>
        <w:spacing w:line="240" w:lineRule="auto"/>
        <w:rPr>
          <w:szCs w:val="22"/>
          <w:lang w:val="lt-LT"/>
        </w:rPr>
      </w:pPr>
    </w:p>
    <w:p w14:paraId="07987D3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 xml:space="preserve">Pagrindinis </w:t>
      </w:r>
      <w:proofErr w:type="spellStart"/>
      <w:r>
        <w:rPr>
          <w:rFonts w:eastAsia="TimesNewRoman"/>
          <w:snapToGrid/>
          <w:szCs w:val="22"/>
          <w:lang w:val="lt-LT"/>
        </w:rPr>
        <w:t>tikagreloro</w:t>
      </w:r>
      <w:proofErr w:type="spellEnd"/>
      <w:r>
        <w:rPr>
          <w:rFonts w:eastAsia="TimesNewRoman"/>
          <w:snapToGrid/>
          <w:szCs w:val="22"/>
          <w:lang w:val="lt-LT"/>
        </w:rPr>
        <w:t xml:space="preserve"> metabolitas yra AR-C124910XX, kuris yra aktyvus – tą rodo jungimosi prie trombocitų </w:t>
      </w:r>
      <w:r w:rsidRPr="0022257B">
        <w:rPr>
          <w:position w:val="2"/>
          <w:lang w:val="lt-LT"/>
        </w:rPr>
        <w:t>P2Y</w:t>
      </w:r>
      <w:r w:rsidRPr="0022257B">
        <w:rPr>
          <w:position w:val="2"/>
          <w:vertAlign w:val="subscript"/>
          <w:lang w:val="lt-LT"/>
        </w:rPr>
        <w:t xml:space="preserve">12 </w:t>
      </w:r>
      <w:r>
        <w:rPr>
          <w:rFonts w:eastAsia="TimesNewRoman"/>
          <w:snapToGrid/>
          <w:szCs w:val="22"/>
          <w:lang w:val="lt-LT"/>
        </w:rPr>
        <w:t xml:space="preserve">ADF receptorių tyrimų </w:t>
      </w:r>
      <w:proofErr w:type="spellStart"/>
      <w:r>
        <w:rPr>
          <w:rFonts w:eastAsia="TimesNewRoman"/>
          <w:i/>
          <w:iCs/>
          <w:snapToGrid/>
          <w:szCs w:val="22"/>
          <w:lang w:val="lt-LT"/>
        </w:rPr>
        <w:t>in</w:t>
      </w:r>
      <w:proofErr w:type="spellEnd"/>
      <w:r>
        <w:rPr>
          <w:rFonts w:eastAsia="TimesNewRoman"/>
          <w:i/>
          <w:iCs/>
          <w:snapToGrid/>
          <w:szCs w:val="22"/>
          <w:lang w:val="lt-LT"/>
        </w:rPr>
        <w:t xml:space="preserve"> </w:t>
      </w:r>
      <w:proofErr w:type="spellStart"/>
      <w:r>
        <w:rPr>
          <w:rFonts w:eastAsia="TimesNewRoman"/>
          <w:i/>
          <w:iCs/>
          <w:snapToGrid/>
          <w:szCs w:val="22"/>
          <w:lang w:val="lt-LT"/>
        </w:rPr>
        <w:t>vitro</w:t>
      </w:r>
      <w:proofErr w:type="spellEnd"/>
      <w:r>
        <w:rPr>
          <w:rFonts w:eastAsia="TimesNewRoman"/>
          <w:i/>
          <w:iCs/>
          <w:snapToGrid/>
          <w:szCs w:val="22"/>
          <w:lang w:val="lt-LT"/>
        </w:rPr>
        <w:t xml:space="preserve"> </w:t>
      </w:r>
      <w:r>
        <w:rPr>
          <w:rFonts w:eastAsia="TimesNewRoman"/>
          <w:snapToGrid/>
          <w:szCs w:val="22"/>
          <w:lang w:val="lt-LT"/>
        </w:rPr>
        <w:t xml:space="preserve">duomenys. Aktyviojo metabolito sisteminė ekspozicija sudaro maždaug 30-40 % </w:t>
      </w:r>
      <w:proofErr w:type="spellStart"/>
      <w:r>
        <w:rPr>
          <w:rFonts w:eastAsia="TimesNewRoman"/>
          <w:snapToGrid/>
          <w:szCs w:val="22"/>
          <w:lang w:val="lt-LT"/>
        </w:rPr>
        <w:t>tikagreloro</w:t>
      </w:r>
      <w:proofErr w:type="spellEnd"/>
      <w:r>
        <w:rPr>
          <w:rFonts w:eastAsia="TimesNewRoman"/>
          <w:snapToGrid/>
          <w:szCs w:val="22"/>
          <w:lang w:val="lt-LT"/>
        </w:rPr>
        <w:t xml:space="preserve"> ekspozicijos.</w:t>
      </w:r>
    </w:p>
    <w:p w14:paraId="0007822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B18618A" w14:textId="77777777" w:rsidR="009A4BFE" w:rsidRDefault="0051186A">
      <w:pPr>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Eliminacija</w:t>
      </w:r>
    </w:p>
    <w:p w14:paraId="3162C965"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Pagrindinis </w:t>
      </w:r>
      <w:proofErr w:type="spellStart"/>
      <w:r>
        <w:rPr>
          <w:rFonts w:eastAsia="TimesNewRoman"/>
          <w:snapToGrid/>
          <w:szCs w:val="22"/>
          <w:lang w:val="lt-LT"/>
        </w:rPr>
        <w:t>tikagreloro</w:t>
      </w:r>
      <w:proofErr w:type="spellEnd"/>
      <w:r>
        <w:rPr>
          <w:rFonts w:eastAsia="TimesNewRoman"/>
          <w:snapToGrid/>
          <w:szCs w:val="22"/>
          <w:lang w:val="lt-LT"/>
        </w:rPr>
        <w:t xml:space="preserve"> eliminacijos būdas yra metabolizmas kepenyse. Pavartojus radioaktyviu izotopu žymėto </w:t>
      </w:r>
      <w:proofErr w:type="spellStart"/>
      <w:r>
        <w:rPr>
          <w:rFonts w:eastAsia="TimesNewRoman"/>
          <w:snapToGrid/>
          <w:szCs w:val="22"/>
          <w:lang w:val="lt-LT"/>
        </w:rPr>
        <w:t>tikagreloro</w:t>
      </w:r>
      <w:proofErr w:type="spellEnd"/>
      <w:r>
        <w:rPr>
          <w:rFonts w:eastAsia="TimesNewRoman"/>
          <w:snapToGrid/>
          <w:szCs w:val="22"/>
          <w:lang w:val="lt-LT"/>
        </w:rPr>
        <w:t xml:space="preserve">, išskirto randama maždaug 84 % radioaktyvumo (57,8 % išmatose, 26,5 % šlapime).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kiekis šlapime atitiko po mažiau kaip 1 % pavartotos dozės. Pagrindinis aktyvaus metabolito eliminacijos būdas tikriausiai yra išskyrimas su tulžimi.</w:t>
      </w:r>
    </w:p>
    <w:p w14:paraId="35D4FC2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Vidutinis </w:t>
      </w:r>
      <w:proofErr w:type="spellStart"/>
      <w:r>
        <w:rPr>
          <w:rFonts w:eastAsia="TimesNewRoman"/>
          <w:snapToGrid/>
          <w:szCs w:val="22"/>
          <w:lang w:val="lt-LT"/>
        </w:rPr>
        <w:t>tikagreloro</w:t>
      </w:r>
      <w:proofErr w:type="spellEnd"/>
      <w:r>
        <w:rPr>
          <w:rFonts w:eastAsia="TimesNewRoman"/>
          <w:snapToGrid/>
          <w:szCs w:val="22"/>
          <w:lang w:val="lt-LT"/>
        </w:rPr>
        <w:t xml:space="preserve"> </w:t>
      </w:r>
      <w:r w:rsidRPr="0022257B">
        <w:rPr>
          <w:position w:val="2"/>
          <w:lang w:val="pt-PT"/>
        </w:rPr>
        <w:t>t</w:t>
      </w:r>
      <w:r w:rsidRPr="0022257B">
        <w:rPr>
          <w:position w:val="2"/>
          <w:vertAlign w:val="subscript"/>
          <w:lang w:val="pt-PT"/>
        </w:rPr>
        <w:t>1/2</w:t>
      </w:r>
      <w:r w:rsidRPr="0022257B">
        <w:rPr>
          <w:position w:val="2"/>
          <w:lang w:val="pt-PT"/>
        </w:rPr>
        <w:t xml:space="preserve"> </w:t>
      </w:r>
      <w:r>
        <w:rPr>
          <w:rFonts w:eastAsia="TimesNewRoman"/>
          <w:snapToGrid/>
          <w:szCs w:val="22"/>
          <w:lang w:val="lt-LT"/>
        </w:rPr>
        <w:t xml:space="preserve"> buvo maždaug 7 val., jo aktyvaus metabolito – 8,5 val.</w:t>
      </w:r>
    </w:p>
    <w:p w14:paraId="46D9996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4DE6088" w14:textId="77777777" w:rsidR="009A4BFE" w:rsidRDefault="0051186A">
      <w:pPr>
        <w:keepNext/>
        <w:tabs>
          <w:tab w:val="clear" w:pos="567"/>
        </w:tabs>
        <w:autoSpaceDE w:val="0"/>
        <w:autoSpaceDN w:val="0"/>
        <w:adjustRightInd w:val="0"/>
        <w:spacing w:line="240" w:lineRule="auto"/>
        <w:rPr>
          <w:rFonts w:eastAsia="TimesNewRoman"/>
          <w:snapToGrid/>
          <w:szCs w:val="22"/>
          <w:u w:val="single"/>
          <w:lang w:val="lt-LT"/>
        </w:rPr>
      </w:pPr>
      <w:r>
        <w:rPr>
          <w:rFonts w:eastAsia="TimesNewRoman"/>
          <w:snapToGrid/>
          <w:szCs w:val="22"/>
          <w:u w:val="single"/>
          <w:lang w:val="lt-LT"/>
        </w:rPr>
        <w:t>Ypatingos populiacijos</w:t>
      </w:r>
    </w:p>
    <w:p w14:paraId="0229F4A9" w14:textId="77777777" w:rsidR="009A4BFE" w:rsidRDefault="009A4BFE">
      <w:pPr>
        <w:keepNext/>
        <w:tabs>
          <w:tab w:val="clear" w:pos="567"/>
        </w:tabs>
        <w:autoSpaceDE w:val="0"/>
        <w:autoSpaceDN w:val="0"/>
        <w:adjustRightInd w:val="0"/>
        <w:spacing w:line="240" w:lineRule="auto"/>
        <w:rPr>
          <w:rFonts w:eastAsia="TimesNewRoman"/>
          <w:i/>
          <w:iCs/>
          <w:snapToGrid/>
          <w:szCs w:val="22"/>
          <w:lang w:val="lt-LT"/>
        </w:rPr>
      </w:pPr>
    </w:p>
    <w:p w14:paraId="1E9BB42A" w14:textId="77777777" w:rsidR="009A4BFE" w:rsidRDefault="0051186A">
      <w:pPr>
        <w:keepNext/>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Senyvi pacientai</w:t>
      </w:r>
    </w:p>
    <w:p w14:paraId="565B6EA6" w14:textId="77777777" w:rsidR="009A4BFE" w:rsidRDefault="0051186A">
      <w:pPr>
        <w:keepNext/>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Populiacinė</w:t>
      </w:r>
      <w:proofErr w:type="spellEnd"/>
      <w:r>
        <w:rPr>
          <w:rFonts w:eastAsia="TimesNewRoman"/>
          <w:snapToGrid/>
          <w:szCs w:val="22"/>
          <w:lang w:val="lt-LT"/>
        </w:rPr>
        <w:t xml:space="preserve"> farmakokinetikos analizė parodė didesnę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ir AUC – maždaug po 25 %) ir jo aktyvaus metabolito ekspoziciją ūminiu koronariniu sindromu sergantiems senyviems (75 metų ir vyresniems) pacientams negu jaunesniems, tačiau šie skirtumai nelaikomi reikšmingais klinikai (žr. 4.2 skyrių).</w:t>
      </w:r>
    </w:p>
    <w:p w14:paraId="0CB0BA6A"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72EC1B65"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Vaikų populiacija</w:t>
      </w:r>
    </w:p>
    <w:p w14:paraId="66E3D5F2"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Vaikams, sergantiems pjautuvo pavidalo ląstelių liga, duomenų yra nedaug (žr. 4.2 ir 5.1 skyrius).</w:t>
      </w:r>
    </w:p>
    <w:p w14:paraId="4D93804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EAC013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HESTIA 3 tyrimo metu nuo 2 iki &lt; 18 metų amžiaus pacientai, kurių svoris buvo nuo ≥ 12 iki ≤ 24 kg, nuo &gt; 24 iki ≤ 48 kg ir &gt; 48 kg, vartojo vaikams skirtas disperguojamas </w:t>
      </w:r>
      <w:proofErr w:type="spellStart"/>
      <w:r>
        <w:rPr>
          <w:rFonts w:eastAsia="TimesNewRoman"/>
          <w:snapToGrid/>
          <w:szCs w:val="22"/>
          <w:lang w:val="lt-LT"/>
        </w:rPr>
        <w:t>tikagreloro</w:t>
      </w:r>
      <w:proofErr w:type="spellEnd"/>
      <w:r>
        <w:rPr>
          <w:rFonts w:eastAsia="TimesNewRoman"/>
          <w:snapToGrid/>
          <w:szCs w:val="22"/>
          <w:lang w:val="lt-LT"/>
        </w:rPr>
        <w:t xml:space="preserve"> 15 mg tabletes atitinkamai po 15 mg, 30 mg ir 45 mg du kartus per parą dozėmis. </w:t>
      </w:r>
      <w:proofErr w:type="spellStart"/>
      <w:r>
        <w:rPr>
          <w:rFonts w:eastAsia="TimesNewRoman"/>
          <w:snapToGrid/>
          <w:szCs w:val="22"/>
          <w:lang w:val="lt-LT"/>
        </w:rPr>
        <w:t>Populiacinės</w:t>
      </w:r>
      <w:proofErr w:type="spellEnd"/>
      <w:r>
        <w:rPr>
          <w:rFonts w:eastAsia="TimesNewRoman"/>
          <w:snapToGrid/>
          <w:szCs w:val="22"/>
          <w:lang w:val="lt-LT"/>
        </w:rPr>
        <w:t xml:space="preserve"> farmakokinetikos analizės duomenimis, pusiausvyros apykaitos sąlygomis vidutinis AUC rodmuo buvo nuo 1 095 </w:t>
      </w:r>
      <w:proofErr w:type="spellStart"/>
      <w:r>
        <w:rPr>
          <w:rFonts w:eastAsia="TimesNewRoman"/>
          <w:snapToGrid/>
          <w:szCs w:val="22"/>
          <w:lang w:val="lt-LT"/>
        </w:rPr>
        <w:t>ng×val</w:t>
      </w:r>
      <w:proofErr w:type="spellEnd"/>
      <w:r>
        <w:rPr>
          <w:rFonts w:eastAsia="TimesNewRoman"/>
          <w:snapToGrid/>
          <w:szCs w:val="22"/>
          <w:lang w:val="lt-LT"/>
        </w:rPr>
        <w:t>./ml iki 1 458 </w:t>
      </w:r>
      <w:proofErr w:type="spellStart"/>
      <w:r>
        <w:rPr>
          <w:rFonts w:eastAsia="TimesNewRoman"/>
          <w:snapToGrid/>
          <w:szCs w:val="22"/>
          <w:lang w:val="lt-LT"/>
        </w:rPr>
        <w:t>ng×val</w:t>
      </w:r>
      <w:proofErr w:type="spellEnd"/>
      <w:r>
        <w:rPr>
          <w:rFonts w:eastAsia="TimesNewRoman"/>
          <w:snapToGrid/>
          <w:szCs w:val="22"/>
          <w:lang w:val="lt-LT"/>
        </w:rPr>
        <w:t xml:space="preserve">./ml, o vidutinis </w:t>
      </w:r>
      <w:proofErr w:type="spellStart"/>
      <w:r>
        <w:rPr>
          <w:rFonts w:eastAsia="TimesNewRoman"/>
          <w:snapToGrid/>
          <w:szCs w:val="22"/>
          <w:lang w:val="lt-LT"/>
        </w:rPr>
        <w:t>Cmax</w:t>
      </w:r>
      <w:proofErr w:type="spellEnd"/>
      <w:r>
        <w:rPr>
          <w:rFonts w:eastAsia="TimesNewRoman"/>
          <w:snapToGrid/>
          <w:szCs w:val="22"/>
          <w:lang w:val="lt-LT"/>
        </w:rPr>
        <w:t xml:space="preserve"> rodmuo – nuo 143 </w:t>
      </w:r>
      <w:proofErr w:type="spellStart"/>
      <w:r>
        <w:rPr>
          <w:rFonts w:eastAsia="TimesNewRoman"/>
          <w:snapToGrid/>
          <w:szCs w:val="22"/>
          <w:lang w:val="lt-LT"/>
        </w:rPr>
        <w:t>ng</w:t>
      </w:r>
      <w:proofErr w:type="spellEnd"/>
      <w:r>
        <w:rPr>
          <w:rFonts w:eastAsia="TimesNewRoman"/>
          <w:snapToGrid/>
          <w:szCs w:val="22"/>
          <w:lang w:val="lt-LT"/>
        </w:rPr>
        <w:t>/ml iki 206 </w:t>
      </w:r>
      <w:proofErr w:type="spellStart"/>
      <w:r>
        <w:rPr>
          <w:rFonts w:eastAsia="TimesNewRoman"/>
          <w:snapToGrid/>
          <w:szCs w:val="22"/>
          <w:lang w:val="lt-LT"/>
        </w:rPr>
        <w:t>ng</w:t>
      </w:r>
      <w:proofErr w:type="spellEnd"/>
      <w:r>
        <w:rPr>
          <w:rFonts w:eastAsia="TimesNewRoman"/>
          <w:snapToGrid/>
          <w:szCs w:val="22"/>
          <w:lang w:val="lt-LT"/>
        </w:rPr>
        <w:t>/ml.</w:t>
      </w:r>
      <w:r>
        <w:rPr>
          <w:rFonts w:eastAsia="TimesNewRoman"/>
          <w:snapToGrid/>
          <w:szCs w:val="22"/>
          <w:lang w:val="lt-LT"/>
        </w:rPr>
        <w:cr/>
      </w:r>
    </w:p>
    <w:p w14:paraId="17B6D53A"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5C1EC16C"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Lytis</w:t>
      </w:r>
    </w:p>
    <w:p w14:paraId="22EF44A5"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Moterims nustatyta didesnė </w:t>
      </w:r>
      <w:proofErr w:type="spellStart"/>
      <w:r>
        <w:rPr>
          <w:rFonts w:eastAsia="TimesNewRoman"/>
          <w:snapToGrid/>
          <w:szCs w:val="22"/>
          <w:lang w:val="lt-LT"/>
        </w:rPr>
        <w:t>tikagreloro</w:t>
      </w:r>
      <w:proofErr w:type="spellEnd"/>
      <w:r>
        <w:rPr>
          <w:rFonts w:eastAsia="TimesNewRoman"/>
          <w:snapToGrid/>
          <w:szCs w:val="22"/>
          <w:lang w:val="lt-LT"/>
        </w:rPr>
        <w:t xml:space="preserve"> ir jo aktyvaus metabolito ekspozicija negu vyrams, tačiau šie skirtumai nelaikomi reikšmingais klinikai.</w:t>
      </w:r>
    </w:p>
    <w:p w14:paraId="502943CF"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5A1B3C2E" w14:textId="77777777" w:rsidR="009A4BFE" w:rsidRPr="0022257B" w:rsidRDefault="0051186A">
      <w:pPr>
        <w:tabs>
          <w:tab w:val="clear" w:pos="567"/>
        </w:tabs>
        <w:autoSpaceDE w:val="0"/>
        <w:autoSpaceDN w:val="0"/>
        <w:adjustRightInd w:val="0"/>
        <w:spacing w:line="240" w:lineRule="auto"/>
        <w:rPr>
          <w:rFonts w:eastAsia="TimesNewRoman"/>
          <w:snapToGrid/>
          <w:szCs w:val="22"/>
          <w:u w:val="single"/>
          <w:lang w:val="lt-LT"/>
        </w:rPr>
      </w:pPr>
      <w:r w:rsidRPr="0022257B">
        <w:rPr>
          <w:rFonts w:eastAsia="TimesNewRoman"/>
          <w:snapToGrid/>
          <w:szCs w:val="22"/>
          <w:u w:val="single"/>
          <w:lang w:val="lt-LT"/>
        </w:rPr>
        <w:t>Sutrikusi inkstų funkcija</w:t>
      </w:r>
    </w:p>
    <w:p w14:paraId="61E0A4B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Sunkiu inkstų nepakankamumu (kreatinino klirensas &lt; 30 ml/min.) sergantiems pacientams nustatyta maždaug 20 % mažesnė </w:t>
      </w:r>
      <w:proofErr w:type="spellStart"/>
      <w:r>
        <w:rPr>
          <w:rFonts w:eastAsia="TimesNewRoman"/>
          <w:snapToGrid/>
          <w:szCs w:val="22"/>
          <w:lang w:val="lt-LT"/>
        </w:rPr>
        <w:t>tikagreloro</w:t>
      </w:r>
      <w:proofErr w:type="spellEnd"/>
      <w:r>
        <w:rPr>
          <w:rFonts w:eastAsia="TimesNewRoman"/>
          <w:snapToGrid/>
          <w:szCs w:val="22"/>
          <w:lang w:val="lt-LT"/>
        </w:rPr>
        <w:t xml:space="preserve"> ir maždaug 17 % didesnė jo aktyvaus metabolito ekspozicija negu turintiems normalią inkstų funkciją.</w:t>
      </w:r>
    </w:p>
    <w:p w14:paraId="021B47C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B9CCA6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Terminalinės stadijos inkstų liga sergantiems </w:t>
      </w:r>
      <w:proofErr w:type="spellStart"/>
      <w:r>
        <w:rPr>
          <w:rFonts w:eastAsia="TimesNewRoman"/>
          <w:snapToGrid/>
          <w:szCs w:val="22"/>
          <w:lang w:val="lt-LT"/>
        </w:rPr>
        <w:t>hemodializuojamiems</w:t>
      </w:r>
      <w:proofErr w:type="spellEnd"/>
      <w:r>
        <w:rPr>
          <w:rFonts w:eastAsia="TimesNewRoman"/>
          <w:snapToGrid/>
          <w:szCs w:val="22"/>
          <w:lang w:val="lt-LT"/>
        </w:rPr>
        <w:t xml:space="preserve"> pacientams, ne dializės dieną išgėrusiems 90 mg </w:t>
      </w:r>
      <w:proofErr w:type="spellStart"/>
      <w:r>
        <w:rPr>
          <w:rFonts w:eastAsia="TimesNewRoman"/>
          <w:snapToGrid/>
          <w:szCs w:val="22"/>
          <w:lang w:val="lt-LT"/>
        </w:rPr>
        <w:t>tikagreloro</w:t>
      </w:r>
      <w:proofErr w:type="spellEnd"/>
      <w:r>
        <w:rPr>
          <w:rFonts w:eastAsia="TimesNewRoman"/>
          <w:snapToGrid/>
          <w:szCs w:val="22"/>
          <w:lang w:val="lt-LT"/>
        </w:rPr>
        <w:t xml:space="preserve">, AUC ir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buvo atitinkamai 38 % ir 51 % didesni negu turėjusiems normalią inkstų funkciją. </w:t>
      </w:r>
      <w:proofErr w:type="spellStart"/>
      <w:r>
        <w:rPr>
          <w:rFonts w:eastAsia="TimesNewRoman"/>
          <w:snapToGrid/>
          <w:szCs w:val="22"/>
          <w:lang w:val="lt-LT"/>
        </w:rPr>
        <w:t>Tikagreloro</w:t>
      </w:r>
      <w:proofErr w:type="spellEnd"/>
      <w:r>
        <w:rPr>
          <w:rFonts w:eastAsia="TimesNewRoman"/>
          <w:snapToGrid/>
          <w:szCs w:val="22"/>
          <w:lang w:val="lt-LT"/>
        </w:rPr>
        <w:t xml:space="preserve"> išgėrus prieš pat dializę, jo ekspozicija padidėjo panašiai (atitinkamai 49 % ir 61 %) – tai rodo, kad dializės metu </w:t>
      </w:r>
      <w:proofErr w:type="spellStart"/>
      <w:r>
        <w:rPr>
          <w:rFonts w:eastAsia="TimesNewRoman"/>
          <w:snapToGrid/>
          <w:szCs w:val="22"/>
          <w:lang w:val="lt-LT"/>
        </w:rPr>
        <w:t>tikagreloro</w:t>
      </w:r>
      <w:proofErr w:type="spellEnd"/>
      <w:r>
        <w:rPr>
          <w:rFonts w:eastAsia="TimesNewRoman"/>
          <w:snapToGrid/>
          <w:szCs w:val="22"/>
          <w:lang w:val="lt-LT"/>
        </w:rPr>
        <w:t xml:space="preserve"> nepašalinama. Aktyvaus metabolito ekspozicija padidėjo mažiau (AUC – 13-14 %,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 17-36 %). </w:t>
      </w:r>
      <w:proofErr w:type="spellStart"/>
      <w:r>
        <w:rPr>
          <w:rFonts w:eastAsia="TimesNewRoman"/>
          <w:snapToGrid/>
          <w:szCs w:val="22"/>
          <w:lang w:val="lt-LT"/>
        </w:rPr>
        <w:t>Tikagreloro</w:t>
      </w:r>
      <w:proofErr w:type="spellEnd"/>
      <w:r>
        <w:rPr>
          <w:rFonts w:eastAsia="TimesNewRoman"/>
          <w:snapToGrid/>
          <w:szCs w:val="22"/>
          <w:lang w:val="lt-LT"/>
        </w:rPr>
        <w:t xml:space="preserve"> sukeliamas terminalinės stadijos inkstų liga sergančių </w:t>
      </w:r>
      <w:proofErr w:type="spellStart"/>
      <w:r>
        <w:rPr>
          <w:rFonts w:eastAsia="TimesNewRoman"/>
          <w:snapToGrid/>
          <w:szCs w:val="22"/>
          <w:lang w:val="lt-LT"/>
        </w:rPr>
        <w:t>hemodializuojamų</w:t>
      </w:r>
      <w:proofErr w:type="spellEnd"/>
      <w:r>
        <w:rPr>
          <w:rFonts w:eastAsia="TimesNewRoman"/>
          <w:snapToGrid/>
          <w:szCs w:val="22"/>
          <w:lang w:val="lt-LT"/>
        </w:rPr>
        <w:t xml:space="preserve"> pacientų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slopinimas nepriklausė nuo dializių ir buvo panašus kaip normalią inkstų funkciją turėjusių tiriamųjų (žr. 4.2 skyrių).</w:t>
      </w:r>
    </w:p>
    <w:p w14:paraId="790E6F1E" w14:textId="77777777" w:rsidR="009A4BFE" w:rsidRDefault="009A4BFE">
      <w:pPr>
        <w:tabs>
          <w:tab w:val="clear" w:pos="567"/>
        </w:tabs>
        <w:autoSpaceDE w:val="0"/>
        <w:autoSpaceDN w:val="0"/>
        <w:adjustRightInd w:val="0"/>
        <w:spacing w:line="240" w:lineRule="auto"/>
        <w:rPr>
          <w:rFonts w:eastAsia="TimesNewRoman"/>
          <w:iCs/>
          <w:snapToGrid/>
          <w:szCs w:val="22"/>
          <w:u w:val="single"/>
          <w:lang w:val="lt-LT"/>
        </w:rPr>
      </w:pPr>
    </w:p>
    <w:p w14:paraId="39C9D998" w14:textId="77777777" w:rsidR="009A4BFE" w:rsidRPr="0022257B" w:rsidRDefault="0051186A">
      <w:pPr>
        <w:tabs>
          <w:tab w:val="clear" w:pos="567"/>
        </w:tabs>
        <w:autoSpaceDE w:val="0"/>
        <w:autoSpaceDN w:val="0"/>
        <w:adjustRightInd w:val="0"/>
        <w:spacing w:line="240" w:lineRule="auto"/>
        <w:rPr>
          <w:rFonts w:eastAsia="TimesNewRoman"/>
          <w:snapToGrid/>
          <w:szCs w:val="22"/>
          <w:u w:val="single"/>
          <w:lang w:val="lt-LT"/>
        </w:rPr>
      </w:pPr>
      <w:r w:rsidRPr="0022257B">
        <w:rPr>
          <w:rFonts w:eastAsia="TimesNewRoman"/>
          <w:snapToGrid/>
          <w:szCs w:val="22"/>
          <w:u w:val="single"/>
          <w:lang w:val="lt-LT"/>
        </w:rPr>
        <w:t>Sutrikusi kepenų funkcija</w:t>
      </w:r>
    </w:p>
    <w:p w14:paraId="0FAD744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Pacientams, kuriems yra lengvas kepenų funkcijos sutrikimas, </w:t>
      </w:r>
      <w:proofErr w:type="spellStart"/>
      <w:r>
        <w:rPr>
          <w:rFonts w:eastAsia="TimesNewRoman"/>
          <w:snapToGrid/>
          <w:szCs w:val="22"/>
          <w:lang w:val="lt-LT"/>
        </w:rPr>
        <w:t>tikagreloro</w:t>
      </w:r>
      <w:proofErr w:type="spellEnd"/>
      <w:r>
        <w:rPr>
          <w:rFonts w:eastAsia="TimesNewRoman"/>
          <w:snapToGrid/>
          <w:szCs w:val="22"/>
          <w:lang w:val="lt-LT"/>
        </w:rPr>
        <w:t xml:space="preserve">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ir AUC buvo atitinkamai 12 % ir 23 % didesni negu sveikiems asmenims, tačiau poveikis trombocitų </w:t>
      </w:r>
      <w:proofErr w:type="spellStart"/>
      <w:r>
        <w:rPr>
          <w:rFonts w:eastAsia="TimesNewRoman"/>
          <w:snapToGrid/>
          <w:szCs w:val="22"/>
          <w:lang w:val="lt-LT"/>
        </w:rPr>
        <w:t>agregacijos</w:t>
      </w:r>
      <w:proofErr w:type="spellEnd"/>
      <w:r>
        <w:rPr>
          <w:rFonts w:eastAsia="TimesNewRoman"/>
          <w:snapToGrid/>
          <w:szCs w:val="22"/>
          <w:lang w:val="lt-LT"/>
        </w:rPr>
        <w:t xml:space="preserve"> slopinimui buvo panašus. Pacientams, kuriems yra lengvas kepenų funkcijos sutrikimas, dozės koreguoti nereikia. </w:t>
      </w:r>
      <w:proofErr w:type="spellStart"/>
      <w:r>
        <w:rPr>
          <w:rFonts w:eastAsia="TimesNewRoman"/>
          <w:snapToGrid/>
          <w:szCs w:val="22"/>
          <w:lang w:val="lt-LT"/>
        </w:rPr>
        <w:t>Tikagreloro</w:t>
      </w:r>
      <w:proofErr w:type="spellEnd"/>
      <w:r>
        <w:rPr>
          <w:rFonts w:eastAsia="TimesNewRoman"/>
          <w:snapToGrid/>
          <w:szCs w:val="22"/>
          <w:lang w:val="lt-LT"/>
        </w:rPr>
        <w:t xml:space="preserve"> poveikis pacientams, kuriems yra sunkus kepenų funkcijos sutrikimas, netirtas; pacientams, kuriems yra vidutinio sunkumo kepenų funkcijos sutrikimas, farmakokinetikos duomenų nėra. Pacientų, kurių vienas ar keli kepenų funkcijos rodikliai iš pradžių buvo vidutiniškai arba labai padidėję, plazmoje vidutinė </w:t>
      </w:r>
      <w:proofErr w:type="spellStart"/>
      <w:r>
        <w:rPr>
          <w:rFonts w:eastAsia="TimesNewRoman"/>
          <w:snapToGrid/>
          <w:szCs w:val="22"/>
          <w:lang w:val="lt-LT"/>
        </w:rPr>
        <w:t>tikagreloro</w:t>
      </w:r>
      <w:proofErr w:type="spellEnd"/>
      <w:r>
        <w:rPr>
          <w:rFonts w:eastAsia="TimesNewRoman"/>
          <w:snapToGrid/>
          <w:szCs w:val="22"/>
          <w:lang w:val="lt-LT"/>
        </w:rPr>
        <w:t xml:space="preserve"> koncentracija buvo panaši arba šiek tiek didesnė negu tų, kurių atitinkami rodikliai padidėję nebuvo. Dėl vidutinio sunkumo kepenų funkcijos sutrikimo dozės koreguoti nerekomenduojama (žr. 4.2 ir 4.4 skyrius).</w:t>
      </w:r>
    </w:p>
    <w:p w14:paraId="0C51F23A" w14:textId="77777777" w:rsidR="009A4BFE" w:rsidRDefault="009A4BFE">
      <w:pPr>
        <w:tabs>
          <w:tab w:val="clear" w:pos="567"/>
        </w:tabs>
        <w:autoSpaceDE w:val="0"/>
        <w:autoSpaceDN w:val="0"/>
        <w:adjustRightInd w:val="0"/>
        <w:spacing w:line="240" w:lineRule="auto"/>
        <w:rPr>
          <w:rFonts w:eastAsia="TimesNewRoman"/>
          <w:i/>
          <w:iCs/>
          <w:snapToGrid/>
          <w:szCs w:val="22"/>
          <w:lang w:val="lt-LT"/>
        </w:rPr>
      </w:pPr>
    </w:p>
    <w:p w14:paraId="3EC66447" w14:textId="77777777" w:rsidR="009A4BFE" w:rsidRDefault="0051186A">
      <w:pPr>
        <w:tabs>
          <w:tab w:val="clear" w:pos="567"/>
        </w:tabs>
        <w:autoSpaceDE w:val="0"/>
        <w:autoSpaceDN w:val="0"/>
        <w:adjustRightInd w:val="0"/>
        <w:spacing w:line="240" w:lineRule="auto"/>
        <w:rPr>
          <w:rFonts w:eastAsia="TimesNewRoman"/>
          <w:i/>
          <w:iCs/>
          <w:snapToGrid/>
          <w:szCs w:val="22"/>
          <w:u w:val="single"/>
          <w:lang w:val="lt-LT"/>
        </w:rPr>
      </w:pPr>
      <w:r>
        <w:rPr>
          <w:rFonts w:eastAsia="TimesNewRoman"/>
          <w:i/>
          <w:iCs/>
          <w:snapToGrid/>
          <w:szCs w:val="22"/>
          <w:u w:val="single"/>
          <w:lang w:val="lt-LT"/>
        </w:rPr>
        <w:t>Rasė</w:t>
      </w:r>
    </w:p>
    <w:p w14:paraId="5C01BD0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Vidutinis biologinis prieinamumas pacientams azijiečiams buvo 39 % didesnis negu europidams. Pacientams, save identifikavusiems juodaisiais, </w:t>
      </w:r>
      <w:proofErr w:type="spellStart"/>
      <w:r>
        <w:rPr>
          <w:rFonts w:eastAsia="TimesNewRoman"/>
          <w:snapToGrid/>
          <w:szCs w:val="22"/>
          <w:lang w:val="lt-LT"/>
        </w:rPr>
        <w:t>tikagreloro</w:t>
      </w:r>
      <w:proofErr w:type="spellEnd"/>
      <w:r>
        <w:rPr>
          <w:rFonts w:eastAsia="TimesNewRoman"/>
          <w:snapToGrid/>
          <w:szCs w:val="22"/>
          <w:lang w:val="lt-LT"/>
        </w:rPr>
        <w:t xml:space="preserve"> biologinis prieinamumas buvo 18 % mažesnis negu europidams. Atliekant klinikinius farmakologinius tyrimus nustatyta </w:t>
      </w:r>
      <w:proofErr w:type="spellStart"/>
      <w:r>
        <w:rPr>
          <w:rFonts w:eastAsia="TimesNewRoman"/>
          <w:snapToGrid/>
          <w:szCs w:val="22"/>
          <w:lang w:val="lt-LT"/>
        </w:rPr>
        <w:t>tikagreloro</w:t>
      </w:r>
      <w:proofErr w:type="spellEnd"/>
      <w:r>
        <w:rPr>
          <w:rFonts w:eastAsia="TimesNewRoman"/>
          <w:snapToGrid/>
          <w:szCs w:val="22"/>
          <w:lang w:val="lt-LT"/>
        </w:rPr>
        <w:t xml:space="preserve"> ekspozicija (</w:t>
      </w:r>
      <w:proofErr w:type="spellStart"/>
      <w:r>
        <w:rPr>
          <w:rFonts w:eastAsia="TimesNewRoman"/>
          <w:snapToGrid/>
          <w:szCs w:val="22"/>
          <w:lang w:val="lt-LT"/>
        </w:rPr>
        <w:t>C</w:t>
      </w:r>
      <w:r>
        <w:rPr>
          <w:rFonts w:eastAsia="TimesNewRoman"/>
          <w:snapToGrid/>
          <w:szCs w:val="22"/>
          <w:vertAlign w:val="subscript"/>
          <w:lang w:val="lt-LT"/>
        </w:rPr>
        <w:t>max</w:t>
      </w:r>
      <w:proofErr w:type="spellEnd"/>
      <w:r>
        <w:rPr>
          <w:rFonts w:eastAsia="TimesNewRoman"/>
          <w:snapToGrid/>
          <w:szCs w:val="22"/>
          <w:lang w:val="lt-LT"/>
        </w:rPr>
        <w:t xml:space="preserve"> ir AUC) japonų rasės asmenims yra maždaug 40 % (koreguota pagal kūno svorį – 20 %) didesnė negu europidams. Pacientų, kurie save laikė ispaniškos arba Lotynų Amerikos kilmės, ekspozicija buvo panaši kaip europidų.</w:t>
      </w:r>
    </w:p>
    <w:p w14:paraId="49BD8916" w14:textId="77777777" w:rsidR="009A4BFE" w:rsidRDefault="009A4BFE">
      <w:pPr>
        <w:pStyle w:val="Antrat4"/>
        <w:rPr>
          <w:rFonts w:ascii="Times New Roman" w:hAnsi="Times New Roman"/>
          <w:b w:val="0"/>
          <w:bCs w:val="0"/>
          <w:sz w:val="22"/>
          <w:szCs w:val="22"/>
          <w:lang w:val="lt-LT" w:eastAsia="en-US"/>
        </w:rPr>
      </w:pPr>
    </w:p>
    <w:p w14:paraId="0740FF24" w14:textId="77777777" w:rsidR="009A4BFE" w:rsidRDefault="0051186A">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r>
      <w:proofErr w:type="spellStart"/>
      <w:r>
        <w:rPr>
          <w:rFonts w:ascii="Times New Roman" w:hAnsi="Times New Roman"/>
          <w:sz w:val="22"/>
          <w:lang w:val="lt-LT"/>
        </w:rPr>
        <w:t>Ikiklinikinių</w:t>
      </w:r>
      <w:proofErr w:type="spellEnd"/>
      <w:r>
        <w:rPr>
          <w:rFonts w:ascii="Times New Roman" w:hAnsi="Times New Roman"/>
          <w:sz w:val="22"/>
          <w:lang w:val="lt-LT"/>
        </w:rPr>
        <w:t xml:space="preserve"> saugumo tyrimų duomenys</w:t>
      </w:r>
    </w:p>
    <w:p w14:paraId="6388BC00" w14:textId="77777777" w:rsidR="009A4BFE" w:rsidRDefault="009A4BFE">
      <w:pPr>
        <w:tabs>
          <w:tab w:val="clear" w:pos="567"/>
        </w:tabs>
        <w:spacing w:line="240" w:lineRule="auto"/>
        <w:rPr>
          <w:szCs w:val="24"/>
          <w:lang w:val="lt-LT"/>
        </w:rPr>
      </w:pPr>
    </w:p>
    <w:p w14:paraId="0FA1477C"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Tikagreloro</w:t>
      </w:r>
      <w:proofErr w:type="spellEnd"/>
      <w:r>
        <w:rPr>
          <w:rFonts w:eastAsia="TimesNewRoman"/>
          <w:snapToGrid/>
          <w:szCs w:val="22"/>
          <w:lang w:val="lt-LT"/>
        </w:rPr>
        <w:t xml:space="preserve"> ir jo pagrindinio metabolito įprastų farmakologinio saugumo, vienos dozės ir kartotinių dozių toksiškumo bei </w:t>
      </w:r>
      <w:proofErr w:type="spellStart"/>
      <w:r>
        <w:rPr>
          <w:rFonts w:eastAsia="TimesNewRoman"/>
          <w:snapToGrid/>
          <w:szCs w:val="22"/>
          <w:lang w:val="lt-LT"/>
        </w:rPr>
        <w:t>genotoksiškumo</w:t>
      </w:r>
      <w:proofErr w:type="spellEnd"/>
      <w:r>
        <w:rPr>
          <w:rFonts w:eastAsia="TimesNewRoman"/>
          <w:snapToGrid/>
          <w:szCs w:val="22"/>
          <w:lang w:val="lt-LT"/>
        </w:rPr>
        <w:t xml:space="preserve"> </w:t>
      </w:r>
      <w:proofErr w:type="spellStart"/>
      <w:r>
        <w:rPr>
          <w:rFonts w:eastAsia="TimesNewRoman"/>
          <w:snapToGrid/>
          <w:szCs w:val="22"/>
          <w:lang w:val="lt-LT"/>
        </w:rPr>
        <w:t>ikiklinikinių</w:t>
      </w:r>
      <w:proofErr w:type="spellEnd"/>
      <w:r>
        <w:rPr>
          <w:rFonts w:eastAsia="TimesNewRoman"/>
          <w:snapToGrid/>
          <w:szCs w:val="22"/>
          <w:lang w:val="lt-LT"/>
        </w:rPr>
        <w:t xml:space="preserve"> tyrimų duomenys nepriimtinos nepageidaujamų poveikių rizikos žmogui neparodė.</w:t>
      </w:r>
    </w:p>
    <w:p w14:paraId="394020B6"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C33B69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Esant kliniškai reikšmingai ekspozicijai, kelioms gyvūnų rūšims nustatyta virškinimo trakto sutrikimų (žr. 4.8 skyrių).</w:t>
      </w:r>
    </w:p>
    <w:p w14:paraId="16F09BD8"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79770F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Žiurkių patelėms didelės </w:t>
      </w:r>
      <w:proofErr w:type="spellStart"/>
      <w:r>
        <w:rPr>
          <w:rFonts w:eastAsia="TimesNewRoman"/>
          <w:snapToGrid/>
          <w:szCs w:val="22"/>
          <w:lang w:val="lt-LT"/>
        </w:rPr>
        <w:t>tikagreloro</w:t>
      </w:r>
      <w:proofErr w:type="spellEnd"/>
      <w:r>
        <w:rPr>
          <w:rFonts w:eastAsia="TimesNewRoman"/>
          <w:snapToGrid/>
          <w:szCs w:val="22"/>
          <w:lang w:val="lt-LT"/>
        </w:rPr>
        <w:t xml:space="preserve"> dozės sukėlė gimdos navikų (</w:t>
      </w:r>
      <w:proofErr w:type="spellStart"/>
      <w:r>
        <w:rPr>
          <w:rFonts w:eastAsia="TimesNewRoman"/>
          <w:snapToGrid/>
          <w:szCs w:val="22"/>
          <w:lang w:val="lt-LT"/>
        </w:rPr>
        <w:t>adenokarcinomų</w:t>
      </w:r>
      <w:proofErr w:type="spellEnd"/>
      <w:r>
        <w:rPr>
          <w:rFonts w:eastAsia="TimesNewRoman"/>
          <w:snapToGrid/>
          <w:szCs w:val="22"/>
          <w:lang w:val="lt-LT"/>
        </w:rPr>
        <w:t xml:space="preserve">)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proofErr w:type="spellStart"/>
      <w:r>
        <w:rPr>
          <w:rFonts w:eastAsia="TimesNewRoman"/>
          <w:snapToGrid/>
          <w:szCs w:val="22"/>
          <w:lang w:val="lt-LT"/>
        </w:rPr>
        <w:t>kancerogeniškumo</w:t>
      </w:r>
      <w:proofErr w:type="spellEnd"/>
      <w:r>
        <w:rPr>
          <w:rFonts w:eastAsia="TimesNewRoman"/>
          <w:snapToGrid/>
          <w:szCs w:val="22"/>
          <w:lang w:val="lt-LT"/>
        </w:rPr>
        <w:t xml:space="preserve"> duomenys neturėtų būti reikšmingi žmonėms.</w:t>
      </w:r>
    </w:p>
    <w:p w14:paraId="77D619E8"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BACD97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61203BCB"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CA2BB2E" w14:textId="77777777" w:rsidR="009A4BFE" w:rsidRDefault="0051186A">
      <w:pPr>
        <w:tabs>
          <w:tab w:val="clear" w:pos="567"/>
        </w:tabs>
        <w:autoSpaceDE w:val="0"/>
        <w:autoSpaceDN w:val="0"/>
        <w:adjustRightInd w:val="0"/>
        <w:spacing w:line="240" w:lineRule="auto"/>
        <w:rPr>
          <w:noProof/>
          <w:szCs w:val="24"/>
          <w:lang w:val="lt-LT"/>
        </w:rPr>
      </w:pPr>
      <w:r>
        <w:rPr>
          <w:rFonts w:eastAsia="TimesNewRoman"/>
          <w:snapToGrid/>
          <w:szCs w:val="22"/>
          <w:lang w:val="lt-LT"/>
        </w:rPr>
        <w:t xml:space="preserve">Su žiurkėmis ir triušiais atlikti tyrimai parodė toksinį poveikį reprodukcijai: šiek tiek sumažėjo vaikingų patelių svorio prieaugis, atsivestų jauniklių gyvybingumas ir atsivedimo svoris, jie lėčiau augo. </w:t>
      </w:r>
      <w:proofErr w:type="spellStart"/>
      <w:r>
        <w:rPr>
          <w:rFonts w:eastAsia="TimesNewRoman"/>
          <w:snapToGrid/>
          <w:szCs w:val="22"/>
          <w:lang w:val="lt-LT"/>
        </w:rPr>
        <w:t>Tikagreloras</w:t>
      </w:r>
      <w:proofErr w:type="spellEnd"/>
      <w:r>
        <w:rPr>
          <w:rFonts w:eastAsia="TimesNewRoman"/>
          <w:snapToGrid/>
          <w:szCs w:val="22"/>
          <w:lang w:val="lt-LT"/>
        </w:rPr>
        <w:t xml:space="preserve"> sukėlė ciklų nereguliarumą (dažniausiai jie užsitęsdavo) žiurkių patelėms, tačiau įtakos bendram žiurkių patinų ir patelių vaisingumui neturėjo. Su radioaktyviu izotopu žymėtu </w:t>
      </w:r>
      <w:proofErr w:type="spellStart"/>
      <w:r>
        <w:rPr>
          <w:rFonts w:eastAsia="TimesNewRoman"/>
          <w:snapToGrid/>
          <w:szCs w:val="22"/>
          <w:lang w:val="lt-LT"/>
        </w:rPr>
        <w:t>tikagreloru</w:t>
      </w:r>
      <w:proofErr w:type="spellEnd"/>
      <w:r>
        <w:rPr>
          <w:rFonts w:eastAsia="TimesNewRoman"/>
          <w:snapToGrid/>
          <w:szCs w:val="22"/>
          <w:lang w:val="lt-LT"/>
        </w:rPr>
        <w:t xml:space="preserve"> atlikti farmakokinetikos tyrimai parodė nepakitusio </w:t>
      </w:r>
      <w:proofErr w:type="spellStart"/>
      <w:r>
        <w:rPr>
          <w:rFonts w:eastAsia="TimesNewRoman"/>
          <w:snapToGrid/>
          <w:szCs w:val="22"/>
          <w:lang w:val="lt-LT"/>
        </w:rPr>
        <w:t>tikagreloro</w:t>
      </w:r>
      <w:proofErr w:type="spellEnd"/>
      <w:r>
        <w:rPr>
          <w:rFonts w:eastAsia="TimesNewRoman"/>
          <w:snapToGrid/>
          <w:szCs w:val="22"/>
          <w:lang w:val="lt-LT"/>
        </w:rPr>
        <w:t xml:space="preserve"> ir jo metabolitų išskyrimą su žiurkių pienu (žr. 4.6 skyrių)</w:t>
      </w:r>
      <w:r>
        <w:rPr>
          <w:noProof/>
          <w:szCs w:val="24"/>
          <w:lang w:val="lt-LT"/>
        </w:rPr>
        <w:t>.</w:t>
      </w:r>
    </w:p>
    <w:p w14:paraId="79F3A4C8" w14:textId="77777777" w:rsidR="009A4BFE" w:rsidRDefault="009A4BFE">
      <w:pPr>
        <w:tabs>
          <w:tab w:val="clear" w:pos="567"/>
        </w:tabs>
        <w:spacing w:line="240" w:lineRule="auto"/>
        <w:rPr>
          <w:noProof/>
          <w:szCs w:val="24"/>
          <w:lang w:val="lt-LT"/>
        </w:rPr>
      </w:pPr>
    </w:p>
    <w:p w14:paraId="13057B07" w14:textId="77777777" w:rsidR="009A4BFE" w:rsidRDefault="009A4BFE">
      <w:pPr>
        <w:tabs>
          <w:tab w:val="clear" w:pos="567"/>
        </w:tabs>
        <w:spacing w:line="240" w:lineRule="auto"/>
        <w:rPr>
          <w:szCs w:val="24"/>
          <w:lang w:val="lt-LT"/>
        </w:rPr>
      </w:pPr>
    </w:p>
    <w:p w14:paraId="544D8473"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3CDEFF80" w14:textId="77777777" w:rsidR="009A4BFE" w:rsidRDefault="009A4BFE">
      <w:pPr>
        <w:tabs>
          <w:tab w:val="clear" w:pos="567"/>
        </w:tabs>
        <w:spacing w:line="240" w:lineRule="auto"/>
        <w:rPr>
          <w:szCs w:val="24"/>
          <w:lang w:val="lt-LT"/>
        </w:rPr>
      </w:pPr>
    </w:p>
    <w:p w14:paraId="51FCB587" w14:textId="77777777" w:rsidR="009A4BFE" w:rsidRDefault="0051186A">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66CCE8B0" w14:textId="77777777" w:rsidR="009A4BFE" w:rsidRDefault="009A4BFE">
      <w:pPr>
        <w:rPr>
          <w:szCs w:val="24"/>
          <w:lang w:val="lt-LT"/>
        </w:rPr>
      </w:pPr>
    </w:p>
    <w:p w14:paraId="5E079050" w14:textId="77777777" w:rsidR="009A4BFE" w:rsidRPr="0022257B" w:rsidRDefault="0051186A">
      <w:pPr>
        <w:widowControl w:val="0"/>
        <w:outlineLvl w:val="0"/>
        <w:rPr>
          <w:i/>
          <w:lang w:val="lt-LT"/>
        </w:rPr>
      </w:pPr>
      <w:r w:rsidRPr="0022257B">
        <w:rPr>
          <w:i/>
          <w:u w:val="single"/>
          <w:lang w:val="lt-LT"/>
        </w:rPr>
        <w:t>Tablet</w:t>
      </w:r>
      <w:r>
        <w:rPr>
          <w:i/>
          <w:noProof/>
          <w:szCs w:val="22"/>
          <w:u w:val="single"/>
          <w:lang w:val="lt-LT"/>
        </w:rPr>
        <w:t>ės branduolys</w:t>
      </w:r>
      <w:r w:rsidRPr="0022257B">
        <w:rPr>
          <w:i/>
          <w:lang w:val="lt-LT"/>
        </w:rPr>
        <w:t>:</w:t>
      </w:r>
    </w:p>
    <w:p w14:paraId="633827E0" w14:textId="77777777" w:rsidR="009A4BFE" w:rsidRPr="0022257B" w:rsidRDefault="0051186A">
      <w:pPr>
        <w:widowControl w:val="0"/>
        <w:tabs>
          <w:tab w:val="clear" w:pos="567"/>
          <w:tab w:val="left" w:pos="993"/>
        </w:tabs>
        <w:outlineLvl w:val="0"/>
        <w:rPr>
          <w:lang w:val="pt-PT"/>
        </w:rPr>
      </w:pPr>
      <w:proofErr w:type="spellStart"/>
      <w:r>
        <w:rPr>
          <w:szCs w:val="22"/>
          <w:lang w:val="lt-LT"/>
        </w:rPr>
        <w:t>Mikrokristalinė</w:t>
      </w:r>
      <w:proofErr w:type="spellEnd"/>
      <w:r>
        <w:rPr>
          <w:szCs w:val="22"/>
          <w:lang w:val="lt-LT"/>
        </w:rPr>
        <w:t xml:space="preserve"> celiuliozė</w:t>
      </w:r>
      <w:r w:rsidRPr="0022257B">
        <w:rPr>
          <w:lang w:val="pt-PT"/>
        </w:rPr>
        <w:t xml:space="preserve"> (E460)</w:t>
      </w:r>
    </w:p>
    <w:p w14:paraId="7C5E9BE8" w14:textId="77777777" w:rsidR="009A4BFE" w:rsidRPr="0022257B" w:rsidRDefault="0051186A">
      <w:pPr>
        <w:widowControl w:val="0"/>
        <w:tabs>
          <w:tab w:val="clear" w:pos="567"/>
          <w:tab w:val="left" w:pos="993"/>
        </w:tabs>
        <w:outlineLvl w:val="0"/>
        <w:rPr>
          <w:lang w:val="pt-PT"/>
        </w:rPr>
      </w:pPr>
      <w:r>
        <w:rPr>
          <w:szCs w:val="22"/>
          <w:lang w:val="lt-LT"/>
        </w:rPr>
        <w:t xml:space="preserve">Kalcio-vandenilio fosfatas </w:t>
      </w:r>
      <w:proofErr w:type="spellStart"/>
      <w:r>
        <w:rPr>
          <w:szCs w:val="22"/>
          <w:lang w:val="lt-LT"/>
        </w:rPr>
        <w:t>dihidratas</w:t>
      </w:r>
      <w:proofErr w:type="spellEnd"/>
      <w:r w:rsidRPr="0022257B">
        <w:rPr>
          <w:lang w:val="pt-PT"/>
        </w:rPr>
        <w:t xml:space="preserve"> (E341)</w:t>
      </w:r>
    </w:p>
    <w:p w14:paraId="549003D3" w14:textId="77777777" w:rsidR="009A4BFE" w:rsidRPr="0022257B" w:rsidRDefault="0051186A">
      <w:pPr>
        <w:widowControl w:val="0"/>
        <w:tabs>
          <w:tab w:val="clear" w:pos="567"/>
          <w:tab w:val="left" w:pos="993"/>
        </w:tabs>
        <w:outlineLvl w:val="0"/>
        <w:rPr>
          <w:lang w:val="pt-PT"/>
        </w:rPr>
      </w:pPr>
      <w:proofErr w:type="spellStart"/>
      <w:r>
        <w:rPr>
          <w:szCs w:val="22"/>
          <w:lang w:val="lt-LT"/>
        </w:rPr>
        <w:t>Hipromeliozė</w:t>
      </w:r>
      <w:proofErr w:type="spellEnd"/>
      <w:r w:rsidRPr="0022257B">
        <w:rPr>
          <w:lang w:val="pt-PT"/>
        </w:rPr>
        <w:t xml:space="preserve"> 2910 (E464)</w:t>
      </w:r>
    </w:p>
    <w:p w14:paraId="33EF88E6" w14:textId="77777777" w:rsidR="009A4BFE" w:rsidRPr="0022257B" w:rsidRDefault="0051186A">
      <w:pPr>
        <w:widowControl w:val="0"/>
        <w:tabs>
          <w:tab w:val="clear" w:pos="567"/>
          <w:tab w:val="left" w:pos="993"/>
        </w:tabs>
        <w:outlineLvl w:val="0"/>
        <w:rPr>
          <w:lang w:val="pt-PT"/>
        </w:rPr>
      </w:pPr>
      <w:r w:rsidRPr="0022257B">
        <w:rPr>
          <w:lang w:val="pt-PT"/>
        </w:rPr>
        <w:t>Kroskarmeliozės natrio druska (E468)</w:t>
      </w:r>
    </w:p>
    <w:p w14:paraId="0763B1D4" w14:textId="77777777" w:rsidR="009A4BFE" w:rsidRPr="0022257B" w:rsidRDefault="0051186A">
      <w:pPr>
        <w:widowControl w:val="0"/>
        <w:tabs>
          <w:tab w:val="clear" w:pos="567"/>
          <w:tab w:val="left" w:pos="993"/>
        </w:tabs>
        <w:outlineLvl w:val="0"/>
        <w:rPr>
          <w:lang w:val="pt-PT"/>
        </w:rPr>
      </w:pPr>
      <w:r>
        <w:rPr>
          <w:szCs w:val="22"/>
          <w:lang w:val="lt-LT"/>
        </w:rPr>
        <w:t xml:space="preserve">Magnio </w:t>
      </w:r>
      <w:proofErr w:type="spellStart"/>
      <w:r>
        <w:rPr>
          <w:szCs w:val="22"/>
          <w:lang w:val="lt-LT"/>
        </w:rPr>
        <w:t>stearatas</w:t>
      </w:r>
      <w:proofErr w:type="spellEnd"/>
      <w:r w:rsidRPr="0022257B">
        <w:rPr>
          <w:lang w:val="pt-PT"/>
        </w:rPr>
        <w:t xml:space="preserve"> (E470b)</w:t>
      </w:r>
    </w:p>
    <w:p w14:paraId="16A9D66E" w14:textId="77777777" w:rsidR="009A4BFE" w:rsidRPr="0022257B" w:rsidRDefault="009A4BFE">
      <w:pPr>
        <w:widowControl w:val="0"/>
        <w:ind w:left="567"/>
        <w:outlineLvl w:val="0"/>
        <w:rPr>
          <w:lang w:val="pt-PT"/>
        </w:rPr>
      </w:pPr>
    </w:p>
    <w:p w14:paraId="0C93E739" w14:textId="77777777" w:rsidR="009A4BFE" w:rsidRPr="0022257B" w:rsidRDefault="0051186A">
      <w:pPr>
        <w:widowControl w:val="0"/>
        <w:tabs>
          <w:tab w:val="left" w:pos="2925"/>
        </w:tabs>
        <w:outlineLvl w:val="0"/>
        <w:rPr>
          <w:i/>
          <w:lang w:val="pt-PT"/>
        </w:rPr>
      </w:pPr>
      <w:r w:rsidRPr="0022257B">
        <w:rPr>
          <w:i/>
          <w:u w:val="single"/>
          <w:lang w:val="pt-PT"/>
        </w:rPr>
        <w:t>Tabletės plėvelė</w:t>
      </w:r>
      <w:r w:rsidRPr="0022257B">
        <w:rPr>
          <w:i/>
          <w:lang w:val="pt-PT"/>
        </w:rPr>
        <w:t>:</w:t>
      </w:r>
    </w:p>
    <w:p w14:paraId="211A1E18" w14:textId="77777777" w:rsidR="009A4BFE" w:rsidRPr="0022257B" w:rsidRDefault="0051186A">
      <w:pPr>
        <w:widowControl w:val="0"/>
        <w:tabs>
          <w:tab w:val="clear" w:pos="567"/>
          <w:tab w:val="left" w:pos="851"/>
        </w:tabs>
        <w:outlineLvl w:val="0"/>
        <w:rPr>
          <w:lang w:val="pt-PT"/>
        </w:rPr>
      </w:pPr>
      <w:r>
        <w:rPr>
          <w:szCs w:val="22"/>
          <w:lang w:val="es-ES"/>
        </w:rPr>
        <w:t>Hipromeliozė</w:t>
      </w:r>
      <w:r w:rsidRPr="0022257B">
        <w:rPr>
          <w:lang w:val="pt-PT"/>
        </w:rPr>
        <w:t xml:space="preserve"> (E464)</w:t>
      </w:r>
    </w:p>
    <w:p w14:paraId="020154E4" w14:textId="77777777" w:rsidR="009A4BFE" w:rsidRPr="0022257B" w:rsidRDefault="0051186A">
      <w:pPr>
        <w:widowControl w:val="0"/>
        <w:tabs>
          <w:tab w:val="clear" w:pos="567"/>
          <w:tab w:val="left" w:pos="851"/>
        </w:tabs>
        <w:outlineLvl w:val="0"/>
        <w:rPr>
          <w:lang w:val="pt-PT"/>
        </w:rPr>
      </w:pPr>
      <w:r>
        <w:rPr>
          <w:szCs w:val="22"/>
          <w:lang w:val="pt-PT"/>
        </w:rPr>
        <w:t>Titano dioksidas</w:t>
      </w:r>
      <w:r w:rsidRPr="0022257B">
        <w:rPr>
          <w:lang w:val="pt-PT"/>
        </w:rPr>
        <w:t xml:space="preserve"> (E171)</w:t>
      </w:r>
    </w:p>
    <w:p w14:paraId="08225DF6" w14:textId="77777777" w:rsidR="009A4BFE" w:rsidRPr="0022257B" w:rsidRDefault="0051186A">
      <w:pPr>
        <w:widowControl w:val="0"/>
        <w:tabs>
          <w:tab w:val="clear" w:pos="567"/>
          <w:tab w:val="left" w:pos="851"/>
        </w:tabs>
        <w:outlineLvl w:val="0"/>
        <w:rPr>
          <w:lang w:val="pt-PT"/>
        </w:rPr>
      </w:pPr>
      <w:r w:rsidRPr="0022257B">
        <w:rPr>
          <w:lang w:val="pt-PT"/>
        </w:rPr>
        <w:t>Talkas (E553b)</w:t>
      </w:r>
    </w:p>
    <w:p w14:paraId="297B6383" w14:textId="77777777" w:rsidR="009A4BFE" w:rsidRPr="0022257B" w:rsidRDefault="0051186A">
      <w:pPr>
        <w:widowControl w:val="0"/>
        <w:tabs>
          <w:tab w:val="clear" w:pos="567"/>
          <w:tab w:val="left" w:pos="851"/>
        </w:tabs>
        <w:outlineLvl w:val="0"/>
        <w:rPr>
          <w:lang w:val="pt-PT"/>
        </w:rPr>
      </w:pPr>
      <w:r>
        <w:rPr>
          <w:szCs w:val="22"/>
          <w:lang w:val="pt-PT"/>
        </w:rPr>
        <w:t>Propilenglikolis</w:t>
      </w:r>
      <w:r w:rsidRPr="0022257B">
        <w:rPr>
          <w:lang w:val="pt-PT"/>
        </w:rPr>
        <w:t xml:space="preserve"> (E1520)</w:t>
      </w:r>
    </w:p>
    <w:p w14:paraId="7DA56B73" w14:textId="77777777" w:rsidR="009A4BFE" w:rsidRPr="0022257B" w:rsidRDefault="0051186A">
      <w:pPr>
        <w:widowControl w:val="0"/>
        <w:tabs>
          <w:tab w:val="clear" w:pos="567"/>
          <w:tab w:val="left" w:pos="851"/>
          <w:tab w:val="left" w:pos="2925"/>
        </w:tabs>
        <w:outlineLvl w:val="0"/>
        <w:rPr>
          <w:lang w:val="pt-PT"/>
        </w:rPr>
      </w:pPr>
      <w:r>
        <w:rPr>
          <w:szCs w:val="22"/>
          <w:lang w:val="pt-PT"/>
        </w:rPr>
        <w:t>Geltonasis geležies oksidas</w:t>
      </w:r>
      <w:r w:rsidRPr="0022257B">
        <w:rPr>
          <w:lang w:val="pt-PT"/>
        </w:rPr>
        <w:t xml:space="preserve"> (E172) </w:t>
      </w:r>
      <w:r w:rsidRPr="0022257B">
        <w:rPr>
          <w:i/>
          <w:lang w:val="pt-PT"/>
        </w:rPr>
        <w:t>– tik 90 mg</w:t>
      </w:r>
    </w:p>
    <w:p w14:paraId="4E1807AF" w14:textId="77777777" w:rsidR="009A4BFE" w:rsidRPr="0022257B" w:rsidRDefault="0051186A">
      <w:pPr>
        <w:widowControl w:val="0"/>
        <w:tabs>
          <w:tab w:val="clear" w:pos="567"/>
          <w:tab w:val="left" w:pos="851"/>
          <w:tab w:val="left" w:pos="2925"/>
        </w:tabs>
        <w:outlineLvl w:val="0"/>
        <w:rPr>
          <w:lang w:val="pt-PT"/>
        </w:rPr>
      </w:pPr>
      <w:r>
        <w:rPr>
          <w:szCs w:val="22"/>
          <w:lang w:val="pt-PT"/>
        </w:rPr>
        <w:t>Raudonasis geležies oksidas</w:t>
      </w:r>
      <w:r w:rsidRPr="0022257B">
        <w:rPr>
          <w:lang w:val="pt-PT"/>
        </w:rPr>
        <w:t xml:space="preserve"> (E172)</w:t>
      </w:r>
      <w:r w:rsidRPr="0022257B">
        <w:rPr>
          <w:i/>
          <w:lang w:val="pt-PT"/>
        </w:rPr>
        <w:t xml:space="preserve"> – tik 60 mg</w:t>
      </w:r>
    </w:p>
    <w:p w14:paraId="0AEBB233" w14:textId="77777777" w:rsidR="009A4BFE" w:rsidRPr="0022257B" w:rsidRDefault="0051186A">
      <w:pPr>
        <w:widowControl w:val="0"/>
        <w:tabs>
          <w:tab w:val="clear" w:pos="567"/>
          <w:tab w:val="left" w:pos="851"/>
          <w:tab w:val="left" w:pos="2925"/>
        </w:tabs>
        <w:outlineLvl w:val="0"/>
        <w:rPr>
          <w:lang w:val="pt-PT"/>
        </w:rPr>
      </w:pPr>
      <w:r>
        <w:rPr>
          <w:szCs w:val="22"/>
          <w:lang w:val="pt-PT"/>
        </w:rPr>
        <w:t>Juodasis geležies oksidas</w:t>
      </w:r>
      <w:r w:rsidRPr="0022257B">
        <w:rPr>
          <w:lang w:val="pt-PT"/>
        </w:rPr>
        <w:t xml:space="preserve"> (E172) </w:t>
      </w:r>
      <w:r w:rsidRPr="0022257B">
        <w:rPr>
          <w:i/>
          <w:lang w:val="pt-PT"/>
        </w:rPr>
        <w:t>– tik 60 mg</w:t>
      </w:r>
    </w:p>
    <w:p w14:paraId="0F1FF80A" w14:textId="77777777" w:rsidR="009A4BFE" w:rsidRDefault="009A4BFE">
      <w:pPr>
        <w:rPr>
          <w:i/>
          <w:szCs w:val="22"/>
          <w:lang w:val="pt-PT"/>
        </w:rPr>
      </w:pPr>
    </w:p>
    <w:p w14:paraId="587B633C" w14:textId="77777777" w:rsidR="009A4BFE" w:rsidRDefault="0051186A">
      <w:pPr>
        <w:pStyle w:val="Antrat4"/>
        <w:rPr>
          <w:rFonts w:ascii="Times New Roman" w:hAnsi="Times New Roman"/>
          <w:sz w:val="22"/>
          <w:lang w:val="lt-LT"/>
        </w:rPr>
      </w:pPr>
      <w:r>
        <w:rPr>
          <w:rFonts w:ascii="Times New Roman" w:hAnsi="Times New Roman"/>
          <w:sz w:val="22"/>
          <w:lang w:val="lt-LT"/>
        </w:rPr>
        <w:lastRenderedPageBreak/>
        <w:t>6.2</w:t>
      </w:r>
      <w:r>
        <w:rPr>
          <w:rFonts w:ascii="Times New Roman" w:hAnsi="Times New Roman"/>
          <w:sz w:val="22"/>
          <w:lang w:val="lt-LT"/>
        </w:rPr>
        <w:tab/>
        <w:t>Nesuderinamumas</w:t>
      </w:r>
    </w:p>
    <w:p w14:paraId="109AD934" w14:textId="77777777" w:rsidR="009A4BFE" w:rsidRDefault="009A4BFE">
      <w:pPr>
        <w:tabs>
          <w:tab w:val="clear" w:pos="567"/>
        </w:tabs>
        <w:spacing w:line="240" w:lineRule="auto"/>
        <w:rPr>
          <w:szCs w:val="24"/>
          <w:lang w:val="lt-LT"/>
        </w:rPr>
      </w:pPr>
    </w:p>
    <w:p w14:paraId="1F8B62A7" w14:textId="77777777" w:rsidR="009A4BFE" w:rsidRDefault="0051186A">
      <w:pPr>
        <w:tabs>
          <w:tab w:val="clear" w:pos="567"/>
        </w:tabs>
        <w:spacing w:line="240" w:lineRule="auto"/>
        <w:rPr>
          <w:szCs w:val="24"/>
          <w:lang w:val="lt-LT"/>
        </w:rPr>
      </w:pPr>
      <w:r>
        <w:rPr>
          <w:noProof/>
          <w:szCs w:val="24"/>
          <w:lang w:val="lt-LT"/>
        </w:rPr>
        <w:t>Duomenys nebūtini.</w:t>
      </w:r>
      <w:r>
        <w:rPr>
          <w:szCs w:val="24"/>
          <w:lang w:val="lt-LT"/>
        </w:rPr>
        <w:t xml:space="preserve"> </w:t>
      </w:r>
    </w:p>
    <w:p w14:paraId="41547470" w14:textId="77777777" w:rsidR="009A4BFE" w:rsidRDefault="009A4BFE">
      <w:pPr>
        <w:tabs>
          <w:tab w:val="clear" w:pos="567"/>
        </w:tabs>
        <w:spacing w:line="240" w:lineRule="auto"/>
        <w:rPr>
          <w:szCs w:val="24"/>
          <w:lang w:val="lt-LT"/>
        </w:rPr>
      </w:pPr>
    </w:p>
    <w:p w14:paraId="6003C95F" w14:textId="77777777" w:rsidR="009A4BFE" w:rsidRDefault="0051186A">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0C5135CE" w14:textId="77777777" w:rsidR="009A4BFE" w:rsidRDefault="009A4BFE">
      <w:pPr>
        <w:tabs>
          <w:tab w:val="clear" w:pos="567"/>
        </w:tabs>
        <w:spacing w:line="240" w:lineRule="auto"/>
        <w:rPr>
          <w:szCs w:val="24"/>
          <w:lang w:val="lt-LT"/>
        </w:rPr>
      </w:pPr>
    </w:p>
    <w:p w14:paraId="2289CFB8" w14:textId="77777777" w:rsidR="009A4BFE" w:rsidRDefault="0051186A">
      <w:pPr>
        <w:tabs>
          <w:tab w:val="clear" w:pos="567"/>
        </w:tabs>
        <w:spacing w:line="240" w:lineRule="auto"/>
        <w:rPr>
          <w:szCs w:val="24"/>
          <w:lang w:val="lt-LT"/>
        </w:rPr>
      </w:pPr>
      <w:r>
        <w:rPr>
          <w:noProof/>
          <w:szCs w:val="24"/>
          <w:lang w:val="lt-LT"/>
        </w:rPr>
        <w:t>3</w:t>
      </w:r>
      <w:r>
        <w:rPr>
          <w:snapToGrid/>
          <w:szCs w:val="22"/>
          <w:lang w:val="lt-LT"/>
        </w:rPr>
        <w:t> </w:t>
      </w:r>
      <w:r>
        <w:rPr>
          <w:noProof/>
          <w:szCs w:val="24"/>
          <w:lang w:val="lt-LT"/>
        </w:rPr>
        <w:t>metai</w:t>
      </w:r>
    </w:p>
    <w:p w14:paraId="1BF27BF2" w14:textId="77777777" w:rsidR="009A4BFE" w:rsidRDefault="009A4BFE">
      <w:pPr>
        <w:tabs>
          <w:tab w:val="clear" w:pos="567"/>
        </w:tabs>
        <w:spacing w:line="240" w:lineRule="auto"/>
        <w:rPr>
          <w:szCs w:val="24"/>
          <w:lang w:val="lt-LT"/>
        </w:rPr>
      </w:pPr>
    </w:p>
    <w:p w14:paraId="4089ABEF" w14:textId="77777777" w:rsidR="009A4BFE" w:rsidRDefault="0051186A">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7C95D26D" w14:textId="77777777" w:rsidR="009A4BFE" w:rsidRDefault="009A4BFE">
      <w:pPr>
        <w:tabs>
          <w:tab w:val="clear" w:pos="567"/>
        </w:tabs>
        <w:spacing w:line="240" w:lineRule="auto"/>
        <w:rPr>
          <w:szCs w:val="24"/>
          <w:lang w:val="lt-LT"/>
        </w:rPr>
      </w:pPr>
    </w:p>
    <w:p w14:paraId="1AB6A14D" w14:textId="77777777" w:rsidR="009A4BFE" w:rsidRDefault="0051186A">
      <w:pPr>
        <w:tabs>
          <w:tab w:val="clear" w:pos="567"/>
        </w:tabs>
        <w:spacing w:line="240" w:lineRule="auto"/>
        <w:rPr>
          <w:rFonts w:eastAsia="TimesNewRoman"/>
          <w:snapToGrid/>
          <w:szCs w:val="22"/>
          <w:lang w:val="lt-LT"/>
        </w:rPr>
      </w:pPr>
      <w:r>
        <w:rPr>
          <w:rFonts w:eastAsia="TimesNewRoman"/>
          <w:snapToGrid/>
          <w:szCs w:val="22"/>
          <w:lang w:val="lt-LT"/>
        </w:rPr>
        <w:t>Šiam vaistiniam preparatui specialių laikymo sąlygų nereikia.</w:t>
      </w:r>
    </w:p>
    <w:p w14:paraId="6B56CAA1" w14:textId="77777777" w:rsidR="009A4BFE" w:rsidRDefault="009A4BFE">
      <w:pPr>
        <w:tabs>
          <w:tab w:val="clear" w:pos="567"/>
        </w:tabs>
        <w:spacing w:line="240" w:lineRule="auto"/>
        <w:rPr>
          <w:szCs w:val="24"/>
          <w:lang w:val="lt-LT"/>
        </w:rPr>
      </w:pPr>
    </w:p>
    <w:p w14:paraId="7BA88383" w14:textId="77777777" w:rsidR="009A4BFE" w:rsidRDefault="0051186A">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r>
      <w:proofErr w:type="spellStart"/>
      <w:r>
        <w:rPr>
          <w:rFonts w:ascii="Times New Roman" w:hAnsi="Times New Roman"/>
          <w:sz w:val="22"/>
          <w:lang w:val="lt-LT"/>
        </w:rPr>
        <w:t>Talpyklės</w:t>
      </w:r>
      <w:proofErr w:type="spellEnd"/>
      <w:r>
        <w:rPr>
          <w:rFonts w:ascii="Times New Roman" w:hAnsi="Times New Roman"/>
          <w:sz w:val="22"/>
          <w:lang w:val="lt-LT"/>
        </w:rPr>
        <w:t xml:space="preserve"> pobūdis ir jos turinys</w:t>
      </w:r>
      <w:r>
        <w:rPr>
          <w:rFonts w:ascii="Times New Roman" w:hAnsi="Times New Roman"/>
          <w:bCs w:val="0"/>
          <w:noProof/>
          <w:sz w:val="22"/>
          <w:szCs w:val="24"/>
          <w:lang w:val="lt-LT"/>
        </w:rPr>
        <w:t xml:space="preserve"> </w:t>
      </w:r>
    </w:p>
    <w:p w14:paraId="0ACA30B4" w14:textId="77777777" w:rsidR="009A4BFE" w:rsidRDefault="009A4BFE">
      <w:pPr>
        <w:tabs>
          <w:tab w:val="clear" w:pos="567"/>
        </w:tabs>
        <w:spacing w:line="240" w:lineRule="auto"/>
        <w:rPr>
          <w:szCs w:val="24"/>
          <w:lang w:val="lt-LT"/>
        </w:rPr>
      </w:pPr>
    </w:p>
    <w:p w14:paraId="09BB2377" w14:textId="77777777" w:rsidR="009A4BFE" w:rsidRDefault="0051186A">
      <w:pPr>
        <w:autoSpaceDE w:val="0"/>
        <w:autoSpaceDN w:val="0"/>
        <w:rPr>
          <w:i/>
          <w:u w:val="single"/>
          <w:lang w:val="lt-LT"/>
        </w:rPr>
      </w:pPr>
      <w:r w:rsidRPr="0022257B">
        <w:rPr>
          <w:i/>
          <w:u w:val="single"/>
          <w:lang w:val="pt-PT"/>
        </w:rPr>
        <w:t>Atixarso</w:t>
      </w:r>
      <w:r>
        <w:rPr>
          <w:i/>
          <w:u w:val="single"/>
          <w:lang w:val="lt-LT"/>
        </w:rPr>
        <w:t xml:space="preserve"> 60</w:t>
      </w:r>
      <w:r>
        <w:rPr>
          <w:rFonts w:eastAsia="TimesNewRoman"/>
          <w:i/>
          <w:snapToGrid/>
          <w:szCs w:val="22"/>
          <w:lang w:val="lt-LT"/>
        </w:rPr>
        <w:t> </w:t>
      </w:r>
      <w:r>
        <w:rPr>
          <w:i/>
          <w:u w:val="single"/>
          <w:lang w:val="lt-LT"/>
        </w:rPr>
        <w:t>mg plėvele dengtos tabletės:</w:t>
      </w:r>
    </w:p>
    <w:p w14:paraId="6B4C36F0" w14:textId="77777777" w:rsidR="009A4BFE" w:rsidRDefault="0051186A">
      <w:pPr>
        <w:spacing w:line="240" w:lineRule="auto"/>
        <w:rPr>
          <w:szCs w:val="22"/>
          <w:lang w:val="lt-LT"/>
        </w:rPr>
      </w:pPr>
      <w:bookmarkStart w:id="0" w:name="_Hlk532213762"/>
      <w:r>
        <w:rPr>
          <w:szCs w:val="22"/>
          <w:lang w:val="lt-LT"/>
        </w:rPr>
        <w:t>Lizdinė plokštelė (PVC/PVDC//Al): 14, 56, 60, 168 ar 180 plėvele dengtos tabletės dėžutėje</w:t>
      </w:r>
      <w:r>
        <w:rPr>
          <w:rFonts w:eastAsia="TimesNewRoman"/>
          <w:szCs w:val="22"/>
          <w:lang w:val="lt-LT" w:eastAsia="pl-PL"/>
        </w:rPr>
        <w:t>.</w:t>
      </w:r>
    </w:p>
    <w:bookmarkEnd w:id="0"/>
    <w:p w14:paraId="65E4838E" w14:textId="77777777" w:rsidR="009A4BFE" w:rsidRDefault="0051186A">
      <w:pPr>
        <w:autoSpaceDE w:val="0"/>
        <w:autoSpaceDN w:val="0"/>
        <w:rPr>
          <w:i/>
          <w:u w:val="single"/>
          <w:lang w:val="lt-LT"/>
        </w:rPr>
      </w:pPr>
      <w:proofErr w:type="spellStart"/>
      <w:r w:rsidRPr="0022257B">
        <w:rPr>
          <w:i/>
          <w:u w:val="single"/>
          <w:lang w:val="lt-LT"/>
        </w:rPr>
        <w:t>Atixarso</w:t>
      </w:r>
      <w:proofErr w:type="spellEnd"/>
      <w:r>
        <w:rPr>
          <w:i/>
          <w:u w:val="single"/>
          <w:lang w:val="lt-LT"/>
        </w:rPr>
        <w:t xml:space="preserve"> 90</w:t>
      </w:r>
      <w:r>
        <w:rPr>
          <w:rFonts w:eastAsia="TimesNewRoman"/>
          <w:i/>
          <w:snapToGrid/>
          <w:szCs w:val="22"/>
          <w:lang w:val="lt-LT"/>
        </w:rPr>
        <w:t> </w:t>
      </w:r>
      <w:r>
        <w:rPr>
          <w:i/>
          <w:u w:val="single"/>
          <w:lang w:val="lt-LT"/>
        </w:rPr>
        <w:t>mg plėvele dengtos tabletės:</w:t>
      </w:r>
    </w:p>
    <w:p w14:paraId="0A97CDDC" w14:textId="77777777" w:rsidR="009A4BFE" w:rsidRDefault="0051186A">
      <w:pPr>
        <w:tabs>
          <w:tab w:val="clear" w:pos="567"/>
        </w:tabs>
        <w:spacing w:line="240" w:lineRule="auto"/>
        <w:rPr>
          <w:noProof/>
          <w:szCs w:val="24"/>
          <w:lang w:val="lt-LT"/>
        </w:rPr>
      </w:pPr>
      <w:r>
        <w:rPr>
          <w:szCs w:val="22"/>
          <w:lang w:val="lt-LT"/>
        </w:rPr>
        <w:t>Lizdinė plokštelė (PVC/PVDC//Al): 14, 56, 60, 100, 168 ar 180 plėvele dengtos tabletės dėžutėje.</w:t>
      </w:r>
    </w:p>
    <w:p w14:paraId="7CC11A47" w14:textId="77777777" w:rsidR="009A4BFE" w:rsidRDefault="009A4BFE">
      <w:pPr>
        <w:tabs>
          <w:tab w:val="clear" w:pos="567"/>
        </w:tabs>
        <w:spacing w:line="240" w:lineRule="auto"/>
        <w:rPr>
          <w:noProof/>
          <w:szCs w:val="24"/>
          <w:lang w:val="lt-LT"/>
        </w:rPr>
      </w:pPr>
    </w:p>
    <w:p w14:paraId="171A2030" w14:textId="77777777" w:rsidR="009A4BFE" w:rsidRDefault="0051186A">
      <w:pPr>
        <w:tabs>
          <w:tab w:val="clear" w:pos="567"/>
        </w:tabs>
        <w:spacing w:line="240" w:lineRule="auto"/>
        <w:rPr>
          <w:szCs w:val="24"/>
          <w:lang w:val="lt-LT"/>
        </w:rPr>
      </w:pPr>
      <w:r>
        <w:rPr>
          <w:noProof/>
          <w:szCs w:val="24"/>
          <w:lang w:val="lt-LT"/>
        </w:rPr>
        <w:t>Gali būti tiekiamos ne visų dydžių pakuotės.</w:t>
      </w:r>
    </w:p>
    <w:p w14:paraId="605197CB" w14:textId="77777777" w:rsidR="009A4BFE" w:rsidRDefault="009A4BFE">
      <w:pPr>
        <w:tabs>
          <w:tab w:val="clear" w:pos="567"/>
        </w:tabs>
        <w:spacing w:line="240" w:lineRule="auto"/>
        <w:rPr>
          <w:szCs w:val="24"/>
          <w:lang w:val="lt-LT"/>
        </w:rPr>
      </w:pPr>
    </w:p>
    <w:p w14:paraId="35393617" w14:textId="77777777" w:rsidR="009A4BFE" w:rsidRDefault="009A4BFE">
      <w:pPr>
        <w:tabs>
          <w:tab w:val="clear" w:pos="567"/>
        </w:tabs>
        <w:spacing w:line="240" w:lineRule="auto"/>
        <w:rPr>
          <w:szCs w:val="24"/>
          <w:lang w:val="lt-LT"/>
        </w:rPr>
      </w:pPr>
    </w:p>
    <w:p w14:paraId="6EDCE70C" w14:textId="77777777" w:rsidR="009A4BFE" w:rsidRDefault="0051186A">
      <w:pPr>
        <w:pStyle w:val="Antrat4"/>
        <w:rPr>
          <w:rFonts w:ascii="Times New Roman" w:hAnsi="Times New Roman"/>
          <w:sz w:val="22"/>
          <w:lang w:val="lt-LT"/>
        </w:rPr>
      </w:pPr>
      <w:bookmarkStart w:id="1" w:name="OLE_LINK1"/>
      <w:r>
        <w:rPr>
          <w:rFonts w:ascii="Times New Roman" w:hAnsi="Times New Roman"/>
          <w:sz w:val="22"/>
          <w:lang w:val="lt-LT"/>
        </w:rPr>
        <w:t>6.6</w:t>
      </w:r>
      <w:r>
        <w:rPr>
          <w:rFonts w:ascii="Times New Roman" w:hAnsi="Times New Roman"/>
          <w:sz w:val="22"/>
          <w:lang w:val="lt-LT"/>
        </w:rPr>
        <w:tab/>
        <w:t>Specialūs reikalavimai atliekoms tvarkyti ir vaistiniam preparatui ruošti</w:t>
      </w:r>
    </w:p>
    <w:bookmarkEnd w:id="1"/>
    <w:p w14:paraId="2B989745" w14:textId="77777777" w:rsidR="009A4BFE" w:rsidRDefault="009A4BFE">
      <w:pPr>
        <w:keepNext/>
        <w:tabs>
          <w:tab w:val="clear" w:pos="567"/>
        </w:tabs>
        <w:spacing w:line="240" w:lineRule="auto"/>
        <w:rPr>
          <w:szCs w:val="24"/>
          <w:lang w:val="lt-LT"/>
        </w:rPr>
      </w:pPr>
    </w:p>
    <w:p w14:paraId="17EFF8BA" w14:textId="77777777" w:rsidR="009A4BFE" w:rsidRDefault="0051186A">
      <w:pPr>
        <w:keepNext/>
        <w:tabs>
          <w:tab w:val="clear" w:pos="567"/>
        </w:tabs>
        <w:spacing w:line="240" w:lineRule="auto"/>
        <w:rPr>
          <w:szCs w:val="24"/>
          <w:lang w:val="lt-LT"/>
        </w:rPr>
      </w:pPr>
      <w:r>
        <w:rPr>
          <w:noProof/>
          <w:szCs w:val="24"/>
          <w:lang w:val="lt-LT"/>
        </w:rPr>
        <w:t>Nesuvartotą vaistinį preparatą ar atliekas reikia tvarkyti laikantis vietinių reikalavimų.</w:t>
      </w:r>
    </w:p>
    <w:p w14:paraId="6C25B60F" w14:textId="77777777" w:rsidR="009A4BFE" w:rsidRDefault="009A4BFE">
      <w:pPr>
        <w:tabs>
          <w:tab w:val="clear" w:pos="567"/>
        </w:tabs>
        <w:spacing w:line="240" w:lineRule="auto"/>
        <w:rPr>
          <w:szCs w:val="24"/>
          <w:lang w:val="lt-LT"/>
        </w:rPr>
      </w:pPr>
    </w:p>
    <w:p w14:paraId="7DC64A04" w14:textId="77777777" w:rsidR="009A4BFE" w:rsidRDefault="0051186A">
      <w:pPr>
        <w:tabs>
          <w:tab w:val="clear" w:pos="567"/>
        </w:tabs>
        <w:autoSpaceDE w:val="0"/>
        <w:autoSpaceDN w:val="0"/>
        <w:adjustRightInd w:val="0"/>
        <w:spacing w:line="240" w:lineRule="auto"/>
        <w:rPr>
          <w:rFonts w:eastAsia="TimesNewRoman"/>
          <w:i/>
          <w:iCs/>
          <w:snapToGrid/>
          <w:szCs w:val="22"/>
          <w:lang w:val="lt-LT"/>
        </w:rPr>
      </w:pPr>
      <w:r>
        <w:rPr>
          <w:rFonts w:eastAsia="TimesNewRoman"/>
          <w:snapToGrid/>
          <w:szCs w:val="22"/>
          <w:lang w:val="lt-LT"/>
        </w:rPr>
        <w:t>Pacientams, kurie negali nuryti visos tabletės (tablečių), jas galima susmulkinti į miltelius, sumaišyti pusėje stiklinės vandens ir nedelsiant išgerti. Paskui stiklinę reikia praskalauti dar puse stiklinės vandens ir vėl išgerti. Be to, gautą mišinį galima vartoti per nosies ir skrandžio vamzdelį (CH8 ar didesnį). Suvartojus mišinį, nosies ir skrandžio vamzdelį svarbu du (2) kartus praplauti 50 ml vandens.</w:t>
      </w:r>
    </w:p>
    <w:p w14:paraId="3B12834C" w14:textId="77777777" w:rsidR="009A4BFE" w:rsidRDefault="009A4BFE">
      <w:pPr>
        <w:tabs>
          <w:tab w:val="clear" w:pos="567"/>
        </w:tabs>
        <w:spacing w:line="240" w:lineRule="auto"/>
        <w:rPr>
          <w:szCs w:val="24"/>
          <w:lang w:val="lt-LT"/>
        </w:rPr>
      </w:pPr>
    </w:p>
    <w:p w14:paraId="5043E096" w14:textId="77777777" w:rsidR="009A4BFE" w:rsidRDefault="009A4BFE">
      <w:pPr>
        <w:tabs>
          <w:tab w:val="clear" w:pos="567"/>
        </w:tabs>
        <w:spacing w:line="240" w:lineRule="auto"/>
        <w:rPr>
          <w:szCs w:val="24"/>
          <w:lang w:val="lt-LT"/>
        </w:rPr>
      </w:pPr>
    </w:p>
    <w:p w14:paraId="570BBC7F"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784B4473" w14:textId="77777777" w:rsidR="009A4BFE" w:rsidRDefault="009A4BFE">
      <w:pPr>
        <w:tabs>
          <w:tab w:val="clear" w:pos="567"/>
        </w:tabs>
        <w:spacing w:line="240" w:lineRule="auto"/>
        <w:rPr>
          <w:szCs w:val="24"/>
          <w:lang w:val="lt-LT"/>
        </w:rPr>
      </w:pPr>
    </w:p>
    <w:p w14:paraId="7A8DFAB1" w14:textId="77777777" w:rsidR="009A4BFE" w:rsidRPr="0022257B" w:rsidRDefault="0051186A">
      <w:pPr>
        <w:widowControl w:val="0"/>
        <w:jc w:val="both"/>
        <w:rPr>
          <w:lang w:val="pt-PT"/>
        </w:rPr>
      </w:pPr>
      <w:r>
        <w:rPr>
          <w:szCs w:val="22"/>
          <w:lang w:val="lt-LT"/>
        </w:rPr>
        <w:t xml:space="preserve">KRKA, </w:t>
      </w:r>
      <w:proofErr w:type="spellStart"/>
      <w:r>
        <w:rPr>
          <w:szCs w:val="22"/>
          <w:lang w:val="lt-LT"/>
        </w:rPr>
        <w:t>d.d</w:t>
      </w:r>
      <w:proofErr w:type="spellEnd"/>
      <w:r>
        <w:rPr>
          <w:szCs w:val="22"/>
          <w:lang w:val="lt-LT"/>
        </w:rPr>
        <w:t>., Novo mesto</w:t>
      </w:r>
    </w:p>
    <w:p w14:paraId="33D74F83" w14:textId="77777777" w:rsidR="009A4BFE" w:rsidRPr="0022257B" w:rsidRDefault="0051186A">
      <w:pPr>
        <w:widowControl w:val="0"/>
        <w:jc w:val="both"/>
        <w:rPr>
          <w:lang w:val="pt-P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66122E21" w14:textId="77777777" w:rsidR="009A4BFE" w:rsidRPr="0022257B" w:rsidRDefault="0051186A">
      <w:pPr>
        <w:widowControl w:val="0"/>
        <w:jc w:val="both"/>
        <w:rPr>
          <w:lang w:val="pt-PT"/>
        </w:rPr>
      </w:pPr>
      <w:r>
        <w:rPr>
          <w:szCs w:val="22"/>
          <w:lang w:val="lt-LT"/>
        </w:rPr>
        <w:t>8501 Novo mesto</w:t>
      </w:r>
    </w:p>
    <w:p w14:paraId="62808426" w14:textId="77777777" w:rsidR="009A4BFE" w:rsidRPr="0022257B" w:rsidRDefault="0051186A">
      <w:pPr>
        <w:widowControl w:val="0"/>
        <w:jc w:val="both"/>
        <w:rPr>
          <w:lang w:val="pt-PT"/>
        </w:rPr>
      </w:pPr>
      <w:r>
        <w:rPr>
          <w:szCs w:val="22"/>
          <w:lang w:val="lt-LT"/>
        </w:rPr>
        <w:t>Slovėnija</w:t>
      </w:r>
    </w:p>
    <w:p w14:paraId="775A8FAD" w14:textId="77777777" w:rsidR="009A4BFE" w:rsidRDefault="009A4BFE">
      <w:pPr>
        <w:tabs>
          <w:tab w:val="clear" w:pos="567"/>
        </w:tabs>
        <w:spacing w:line="240" w:lineRule="auto"/>
        <w:rPr>
          <w:szCs w:val="24"/>
          <w:lang w:val="lt-LT"/>
        </w:rPr>
      </w:pPr>
    </w:p>
    <w:p w14:paraId="6846D2EF" w14:textId="77777777" w:rsidR="009A4BFE" w:rsidRDefault="009A4BFE">
      <w:pPr>
        <w:tabs>
          <w:tab w:val="clear" w:pos="567"/>
        </w:tabs>
        <w:spacing w:line="240" w:lineRule="auto"/>
        <w:rPr>
          <w:szCs w:val="24"/>
          <w:lang w:val="lt-LT"/>
        </w:rPr>
      </w:pPr>
    </w:p>
    <w:p w14:paraId="00171B08"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14:paraId="1174AD38" w14:textId="77777777" w:rsidR="009A4BFE" w:rsidRDefault="009A4BFE">
      <w:pPr>
        <w:tabs>
          <w:tab w:val="clear" w:pos="567"/>
        </w:tabs>
        <w:spacing w:line="240" w:lineRule="auto"/>
        <w:rPr>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A4BFE" w14:paraId="356E88CE" w14:textId="77777777">
        <w:tc>
          <w:tcPr>
            <w:tcW w:w="4530" w:type="dxa"/>
          </w:tcPr>
          <w:p w14:paraId="4425F05F" w14:textId="77777777" w:rsidR="009A4BFE" w:rsidRDefault="0051186A">
            <w:pPr>
              <w:tabs>
                <w:tab w:val="clear" w:pos="567"/>
              </w:tabs>
              <w:spacing w:line="240" w:lineRule="auto"/>
              <w:rPr>
                <w:szCs w:val="24"/>
                <w:u w:val="single"/>
                <w:lang w:val="lt-LT"/>
              </w:rPr>
            </w:pPr>
            <w:r>
              <w:rPr>
                <w:szCs w:val="24"/>
                <w:u w:val="single"/>
                <w:lang w:val="lt-LT"/>
              </w:rPr>
              <w:t>60 mg</w:t>
            </w:r>
          </w:p>
          <w:p w14:paraId="7E834864" w14:textId="77777777" w:rsidR="009A4BFE" w:rsidRDefault="0051186A">
            <w:pPr>
              <w:rPr>
                <w:bCs/>
                <w:szCs w:val="22"/>
                <w:lang w:val="lt-LT"/>
              </w:rPr>
            </w:pPr>
            <w:r>
              <w:rPr>
                <w:szCs w:val="22"/>
                <w:lang w:val="lt-LT"/>
              </w:rPr>
              <w:t>LT/1/21/4685/001</w:t>
            </w:r>
            <w:r>
              <w:rPr>
                <w:bCs/>
                <w:szCs w:val="22"/>
                <w:lang w:val="lt-LT"/>
              </w:rPr>
              <w:t xml:space="preserve"> – N14</w:t>
            </w:r>
          </w:p>
          <w:p w14:paraId="0D7D10D4" w14:textId="77777777" w:rsidR="009A4BFE" w:rsidRDefault="0051186A">
            <w:pPr>
              <w:rPr>
                <w:bCs/>
                <w:szCs w:val="22"/>
                <w:lang w:val="lt-LT"/>
              </w:rPr>
            </w:pPr>
            <w:r>
              <w:rPr>
                <w:szCs w:val="22"/>
                <w:lang w:val="lt-LT"/>
              </w:rPr>
              <w:t>LT/1/21/4685/002</w:t>
            </w:r>
            <w:r>
              <w:rPr>
                <w:bCs/>
                <w:szCs w:val="22"/>
                <w:lang w:val="lt-LT"/>
              </w:rPr>
              <w:t xml:space="preserve"> – N56</w:t>
            </w:r>
          </w:p>
          <w:p w14:paraId="11FB4918" w14:textId="77777777" w:rsidR="009A4BFE" w:rsidRDefault="0051186A">
            <w:pPr>
              <w:rPr>
                <w:bCs/>
                <w:szCs w:val="22"/>
                <w:lang w:val="lt-LT"/>
              </w:rPr>
            </w:pPr>
            <w:r>
              <w:rPr>
                <w:szCs w:val="22"/>
                <w:lang w:val="lt-LT"/>
              </w:rPr>
              <w:t>LT/1/21/4685/003</w:t>
            </w:r>
            <w:r>
              <w:rPr>
                <w:bCs/>
                <w:szCs w:val="22"/>
                <w:lang w:val="lt-LT"/>
              </w:rPr>
              <w:t xml:space="preserve"> – N60</w:t>
            </w:r>
          </w:p>
          <w:p w14:paraId="702FDA68" w14:textId="77777777" w:rsidR="009A4BFE" w:rsidRDefault="0051186A">
            <w:pPr>
              <w:rPr>
                <w:bCs/>
                <w:szCs w:val="22"/>
                <w:lang w:val="lt-LT"/>
              </w:rPr>
            </w:pPr>
            <w:r>
              <w:rPr>
                <w:szCs w:val="22"/>
                <w:lang w:val="lt-LT"/>
              </w:rPr>
              <w:t>LT/1/21/4685/004</w:t>
            </w:r>
            <w:r>
              <w:rPr>
                <w:bCs/>
                <w:szCs w:val="22"/>
                <w:lang w:val="lt-LT"/>
              </w:rPr>
              <w:t xml:space="preserve"> – N168</w:t>
            </w:r>
          </w:p>
          <w:p w14:paraId="76DACCED" w14:textId="77777777" w:rsidR="009A4BFE" w:rsidRDefault="0051186A">
            <w:pPr>
              <w:tabs>
                <w:tab w:val="clear" w:pos="567"/>
              </w:tabs>
              <w:spacing w:line="240" w:lineRule="auto"/>
              <w:rPr>
                <w:szCs w:val="24"/>
                <w:lang w:val="lt-LT"/>
              </w:rPr>
            </w:pPr>
            <w:r>
              <w:rPr>
                <w:szCs w:val="22"/>
                <w:lang w:val="lt-LT"/>
              </w:rPr>
              <w:t>LT/1/21/4685/005</w:t>
            </w:r>
            <w:r>
              <w:rPr>
                <w:bCs/>
                <w:szCs w:val="22"/>
                <w:lang w:val="lt-LT"/>
              </w:rPr>
              <w:t xml:space="preserve"> – N180</w:t>
            </w:r>
          </w:p>
        </w:tc>
        <w:tc>
          <w:tcPr>
            <w:tcW w:w="4530" w:type="dxa"/>
          </w:tcPr>
          <w:p w14:paraId="42F497C2" w14:textId="77777777" w:rsidR="009A4BFE" w:rsidRDefault="0051186A">
            <w:pPr>
              <w:tabs>
                <w:tab w:val="clear" w:pos="567"/>
              </w:tabs>
              <w:spacing w:line="240" w:lineRule="auto"/>
              <w:rPr>
                <w:szCs w:val="24"/>
                <w:u w:val="single"/>
                <w:lang w:val="lt-LT"/>
              </w:rPr>
            </w:pPr>
            <w:r>
              <w:rPr>
                <w:szCs w:val="24"/>
                <w:u w:val="single"/>
                <w:lang w:val="lt-LT"/>
              </w:rPr>
              <w:t>90 mg</w:t>
            </w:r>
          </w:p>
          <w:p w14:paraId="3C6ECA77" w14:textId="77777777" w:rsidR="009A4BFE" w:rsidRDefault="0051186A">
            <w:pPr>
              <w:rPr>
                <w:bCs/>
                <w:szCs w:val="22"/>
                <w:lang w:val="lt-LT"/>
              </w:rPr>
            </w:pPr>
            <w:r>
              <w:rPr>
                <w:szCs w:val="22"/>
                <w:lang w:val="lt-LT"/>
              </w:rPr>
              <w:t>LT/1/21/4686/001</w:t>
            </w:r>
            <w:r>
              <w:rPr>
                <w:bCs/>
                <w:szCs w:val="22"/>
                <w:lang w:val="lt-LT"/>
              </w:rPr>
              <w:t xml:space="preserve"> – N14</w:t>
            </w:r>
          </w:p>
          <w:p w14:paraId="0159FAAC" w14:textId="77777777" w:rsidR="009A4BFE" w:rsidRDefault="0051186A">
            <w:pPr>
              <w:rPr>
                <w:bCs/>
                <w:szCs w:val="22"/>
                <w:lang w:val="lt-LT"/>
              </w:rPr>
            </w:pPr>
            <w:r>
              <w:rPr>
                <w:szCs w:val="22"/>
                <w:lang w:val="lt-LT"/>
              </w:rPr>
              <w:t>LT/1/21/4686/002</w:t>
            </w:r>
            <w:r>
              <w:rPr>
                <w:bCs/>
                <w:szCs w:val="22"/>
                <w:lang w:val="lt-LT"/>
              </w:rPr>
              <w:t xml:space="preserve"> – N56</w:t>
            </w:r>
          </w:p>
          <w:p w14:paraId="73F237E0" w14:textId="77777777" w:rsidR="009A4BFE" w:rsidRDefault="0051186A">
            <w:pPr>
              <w:rPr>
                <w:bCs/>
                <w:szCs w:val="22"/>
                <w:lang w:val="lt-LT"/>
              </w:rPr>
            </w:pPr>
            <w:r>
              <w:rPr>
                <w:szCs w:val="22"/>
                <w:lang w:val="lt-LT"/>
              </w:rPr>
              <w:t>LT/1/21/4686/003</w:t>
            </w:r>
            <w:r>
              <w:rPr>
                <w:bCs/>
                <w:szCs w:val="22"/>
                <w:lang w:val="lt-LT"/>
              </w:rPr>
              <w:t xml:space="preserve"> – N60</w:t>
            </w:r>
          </w:p>
          <w:p w14:paraId="2E5690B3" w14:textId="77777777" w:rsidR="009A4BFE" w:rsidRDefault="0051186A">
            <w:pPr>
              <w:rPr>
                <w:bCs/>
                <w:szCs w:val="22"/>
                <w:lang w:val="lt-LT"/>
              </w:rPr>
            </w:pPr>
            <w:r>
              <w:rPr>
                <w:szCs w:val="22"/>
                <w:lang w:val="lt-LT"/>
              </w:rPr>
              <w:t>LT/1/21/4686/004</w:t>
            </w:r>
            <w:r>
              <w:rPr>
                <w:bCs/>
                <w:szCs w:val="22"/>
                <w:lang w:val="lt-LT"/>
              </w:rPr>
              <w:t xml:space="preserve"> – N100</w:t>
            </w:r>
          </w:p>
          <w:p w14:paraId="49F9FFDD" w14:textId="77777777" w:rsidR="009A4BFE" w:rsidRDefault="0051186A">
            <w:pPr>
              <w:rPr>
                <w:bCs/>
                <w:szCs w:val="22"/>
                <w:lang w:val="lt-LT"/>
              </w:rPr>
            </w:pPr>
            <w:r>
              <w:rPr>
                <w:szCs w:val="22"/>
                <w:lang w:val="lt-LT"/>
              </w:rPr>
              <w:t>LT/1/21/4686/005</w:t>
            </w:r>
            <w:r>
              <w:rPr>
                <w:bCs/>
                <w:szCs w:val="22"/>
                <w:lang w:val="lt-LT"/>
              </w:rPr>
              <w:t xml:space="preserve"> – N168</w:t>
            </w:r>
          </w:p>
          <w:p w14:paraId="16D99D26" w14:textId="77777777" w:rsidR="009A4BFE" w:rsidRDefault="0051186A">
            <w:pPr>
              <w:tabs>
                <w:tab w:val="clear" w:pos="567"/>
              </w:tabs>
              <w:spacing w:line="240" w:lineRule="auto"/>
              <w:rPr>
                <w:szCs w:val="24"/>
                <w:lang w:val="lt-LT"/>
              </w:rPr>
            </w:pPr>
            <w:r>
              <w:rPr>
                <w:szCs w:val="22"/>
                <w:lang w:val="lt-LT"/>
              </w:rPr>
              <w:t>LT/1/21/4686/006</w:t>
            </w:r>
            <w:r>
              <w:rPr>
                <w:bCs/>
                <w:szCs w:val="22"/>
                <w:lang w:val="lt-LT"/>
              </w:rPr>
              <w:t xml:space="preserve"> – N180</w:t>
            </w:r>
          </w:p>
        </w:tc>
      </w:tr>
    </w:tbl>
    <w:p w14:paraId="6C83240B" w14:textId="77777777" w:rsidR="009A4BFE" w:rsidRDefault="009A4BFE">
      <w:pPr>
        <w:tabs>
          <w:tab w:val="clear" w:pos="567"/>
        </w:tabs>
        <w:spacing w:line="240" w:lineRule="auto"/>
        <w:rPr>
          <w:szCs w:val="24"/>
          <w:lang w:val="lt-LT"/>
        </w:rPr>
      </w:pPr>
    </w:p>
    <w:p w14:paraId="7E0AB8B2" w14:textId="77777777" w:rsidR="009A4BFE" w:rsidRDefault="009A4BFE">
      <w:pPr>
        <w:tabs>
          <w:tab w:val="clear" w:pos="567"/>
        </w:tabs>
        <w:spacing w:line="240" w:lineRule="auto"/>
        <w:rPr>
          <w:szCs w:val="24"/>
          <w:lang w:val="lt-LT"/>
        </w:rPr>
      </w:pPr>
    </w:p>
    <w:p w14:paraId="7C5C8ADB"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0548000E" w14:textId="77777777" w:rsidR="009A4BFE" w:rsidRDefault="009A4BFE">
      <w:pPr>
        <w:tabs>
          <w:tab w:val="clear" w:pos="567"/>
        </w:tabs>
        <w:spacing w:line="240" w:lineRule="auto"/>
        <w:rPr>
          <w:szCs w:val="24"/>
          <w:lang w:val="lt-LT"/>
        </w:rPr>
      </w:pPr>
    </w:p>
    <w:p w14:paraId="3636BC61" w14:textId="77777777" w:rsidR="009A4BFE" w:rsidRDefault="0051186A">
      <w:pPr>
        <w:tabs>
          <w:tab w:val="clear" w:pos="567"/>
        </w:tabs>
        <w:spacing w:line="240" w:lineRule="auto"/>
        <w:rPr>
          <w:szCs w:val="24"/>
          <w:lang w:val="lt-LT"/>
        </w:rPr>
      </w:pPr>
      <w:r>
        <w:rPr>
          <w:noProof/>
          <w:szCs w:val="24"/>
          <w:lang w:val="lt-LT"/>
        </w:rPr>
        <w:t>Registravimo data 2021 m. vasario 10 d.</w:t>
      </w:r>
    </w:p>
    <w:p w14:paraId="6CE59DEB" w14:textId="77777777" w:rsidR="009A4BFE" w:rsidRDefault="009A4BFE">
      <w:pPr>
        <w:tabs>
          <w:tab w:val="clear" w:pos="567"/>
        </w:tabs>
        <w:spacing w:line="240" w:lineRule="auto"/>
        <w:rPr>
          <w:szCs w:val="24"/>
          <w:lang w:val="lt-LT"/>
        </w:rPr>
      </w:pPr>
    </w:p>
    <w:p w14:paraId="3FE8218E" w14:textId="77777777" w:rsidR="009A4BFE" w:rsidRDefault="009A4BFE">
      <w:pPr>
        <w:tabs>
          <w:tab w:val="clear" w:pos="567"/>
        </w:tabs>
        <w:spacing w:line="240" w:lineRule="auto"/>
        <w:rPr>
          <w:szCs w:val="24"/>
          <w:lang w:val="lt-LT"/>
        </w:rPr>
      </w:pPr>
    </w:p>
    <w:p w14:paraId="475C0EB1"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10.</w:t>
      </w:r>
      <w:r>
        <w:rPr>
          <w:rFonts w:ascii="Times New Roman" w:hAnsi="Times New Roman"/>
          <w:sz w:val="22"/>
          <w:lang w:val="lt-LT"/>
        </w:rPr>
        <w:tab/>
        <w:t>TEKSTO PERŽIŪROS DATA</w:t>
      </w:r>
    </w:p>
    <w:p w14:paraId="31AC686E" w14:textId="77777777" w:rsidR="009A4BFE" w:rsidRDefault="009A4BFE">
      <w:pPr>
        <w:tabs>
          <w:tab w:val="clear" w:pos="567"/>
        </w:tabs>
        <w:spacing w:line="240" w:lineRule="auto"/>
        <w:rPr>
          <w:szCs w:val="24"/>
          <w:lang w:val="lt-LT"/>
        </w:rPr>
      </w:pPr>
    </w:p>
    <w:p w14:paraId="3E2F0C6B" w14:textId="505750B7" w:rsidR="009A4BFE" w:rsidRDefault="00BC0E58">
      <w:pPr>
        <w:tabs>
          <w:tab w:val="clear" w:pos="567"/>
        </w:tabs>
        <w:spacing w:line="240" w:lineRule="auto"/>
        <w:rPr>
          <w:noProof/>
          <w:szCs w:val="24"/>
          <w:lang w:val="lt-LT"/>
        </w:rPr>
      </w:pPr>
      <w:r>
        <w:rPr>
          <w:noProof/>
          <w:szCs w:val="24"/>
          <w:lang w:val="lt-LT"/>
        </w:rPr>
        <w:t>2025 m. rugsėjo 12 d.</w:t>
      </w:r>
    </w:p>
    <w:p w14:paraId="2DFC3126" w14:textId="77777777" w:rsidR="009A4BFE" w:rsidRDefault="009A4BFE">
      <w:pPr>
        <w:tabs>
          <w:tab w:val="clear" w:pos="567"/>
        </w:tabs>
        <w:spacing w:line="240" w:lineRule="auto"/>
        <w:rPr>
          <w:szCs w:val="24"/>
          <w:lang w:val="lt-LT"/>
        </w:rPr>
      </w:pPr>
    </w:p>
    <w:p w14:paraId="3EF65533" w14:textId="40C05259" w:rsidR="009A4BFE" w:rsidRDefault="0051186A">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r>
        <w:rPr>
          <w:rFonts w:ascii="Times New Roman" w:eastAsia="Times New Roman" w:hAnsi="Times New Roman"/>
          <w:color w:val="0000EE"/>
          <w:sz w:val="22"/>
          <w:szCs w:val="22"/>
          <w:u w:val="single"/>
          <w:lang w:val="lt-LT" w:eastAsia="lt-LT"/>
        </w:rPr>
        <w:t>https://vvkt.lrv.lt/lt/.</w:t>
      </w:r>
    </w:p>
    <w:p w14:paraId="0B2F4991" w14:textId="77777777" w:rsidR="009A4BFE" w:rsidRDefault="009A4BFE">
      <w:pPr>
        <w:pStyle w:val="Paprastasistekstas"/>
        <w:tabs>
          <w:tab w:val="left" w:pos="5954"/>
          <w:tab w:val="left" w:pos="6237"/>
          <w:tab w:val="left" w:pos="6663"/>
          <w:tab w:val="left" w:pos="6946"/>
        </w:tabs>
        <w:jc w:val="center"/>
        <w:rPr>
          <w:rFonts w:ascii="Times New Roman" w:hAnsi="Times New Roman"/>
          <w:lang w:val="lt-LT"/>
        </w:rPr>
      </w:pPr>
    </w:p>
    <w:p w14:paraId="3025F075" w14:textId="77777777" w:rsidR="009A4BFE" w:rsidRDefault="0051186A">
      <w:pPr>
        <w:rPr>
          <w:noProof/>
          <w:szCs w:val="24"/>
          <w:lang w:val="lt-LT"/>
        </w:rPr>
      </w:pPr>
      <w:r>
        <w:rPr>
          <w:lang w:val="lt-LT"/>
        </w:rPr>
        <w:br w:type="page"/>
      </w:r>
    </w:p>
    <w:p w14:paraId="3A86757F" w14:textId="77777777" w:rsidR="009A4BFE" w:rsidRDefault="009A4BFE">
      <w:pPr>
        <w:rPr>
          <w:noProof/>
          <w:szCs w:val="24"/>
          <w:lang w:val="lt-LT"/>
        </w:rPr>
      </w:pPr>
    </w:p>
    <w:p w14:paraId="53565D6E" w14:textId="77777777" w:rsidR="009A4BFE" w:rsidRDefault="009A4BFE">
      <w:pPr>
        <w:rPr>
          <w:noProof/>
          <w:szCs w:val="24"/>
          <w:lang w:val="lt-LT"/>
        </w:rPr>
      </w:pPr>
    </w:p>
    <w:p w14:paraId="334B2C10" w14:textId="77777777" w:rsidR="009A4BFE" w:rsidRDefault="009A4BFE">
      <w:pPr>
        <w:rPr>
          <w:noProof/>
          <w:szCs w:val="24"/>
          <w:lang w:val="lt-LT"/>
        </w:rPr>
      </w:pPr>
    </w:p>
    <w:p w14:paraId="65E63940" w14:textId="77777777" w:rsidR="009A4BFE" w:rsidRDefault="009A4BFE">
      <w:pPr>
        <w:rPr>
          <w:noProof/>
          <w:szCs w:val="24"/>
          <w:lang w:val="lt-LT"/>
        </w:rPr>
      </w:pPr>
    </w:p>
    <w:p w14:paraId="4C2F4B7A" w14:textId="77777777" w:rsidR="009A4BFE" w:rsidRDefault="009A4BFE">
      <w:pPr>
        <w:rPr>
          <w:noProof/>
          <w:szCs w:val="24"/>
          <w:lang w:val="lt-LT"/>
        </w:rPr>
      </w:pPr>
    </w:p>
    <w:p w14:paraId="4D6F717E" w14:textId="77777777" w:rsidR="009A4BFE" w:rsidRDefault="009A4BFE">
      <w:pPr>
        <w:rPr>
          <w:noProof/>
          <w:szCs w:val="24"/>
          <w:lang w:val="lt-LT"/>
        </w:rPr>
      </w:pPr>
    </w:p>
    <w:p w14:paraId="4761D760" w14:textId="77777777" w:rsidR="009A4BFE" w:rsidRDefault="009A4BFE">
      <w:pPr>
        <w:rPr>
          <w:noProof/>
          <w:szCs w:val="24"/>
          <w:lang w:val="lt-LT"/>
        </w:rPr>
      </w:pPr>
    </w:p>
    <w:p w14:paraId="0F90473C" w14:textId="77777777" w:rsidR="009A4BFE" w:rsidRDefault="009A4BFE">
      <w:pPr>
        <w:rPr>
          <w:noProof/>
          <w:szCs w:val="24"/>
          <w:lang w:val="lt-LT"/>
        </w:rPr>
      </w:pPr>
    </w:p>
    <w:p w14:paraId="2D09759B" w14:textId="77777777" w:rsidR="009A4BFE" w:rsidRDefault="009A4BFE">
      <w:pPr>
        <w:rPr>
          <w:noProof/>
          <w:szCs w:val="24"/>
          <w:lang w:val="lt-LT"/>
        </w:rPr>
      </w:pPr>
    </w:p>
    <w:p w14:paraId="5EF1869C" w14:textId="77777777" w:rsidR="009A4BFE" w:rsidRDefault="009A4BFE">
      <w:pPr>
        <w:rPr>
          <w:noProof/>
          <w:szCs w:val="24"/>
          <w:lang w:val="lt-LT"/>
        </w:rPr>
      </w:pPr>
    </w:p>
    <w:p w14:paraId="72C5FD90" w14:textId="77777777" w:rsidR="009A4BFE" w:rsidRDefault="009A4BFE">
      <w:pPr>
        <w:rPr>
          <w:noProof/>
          <w:szCs w:val="24"/>
          <w:lang w:val="lt-LT"/>
        </w:rPr>
      </w:pPr>
    </w:p>
    <w:p w14:paraId="309D76EC" w14:textId="77777777" w:rsidR="009A4BFE" w:rsidRDefault="009A4BFE">
      <w:pPr>
        <w:rPr>
          <w:noProof/>
          <w:szCs w:val="24"/>
          <w:lang w:val="lt-LT"/>
        </w:rPr>
      </w:pPr>
    </w:p>
    <w:p w14:paraId="23E80E15" w14:textId="77777777" w:rsidR="009A4BFE" w:rsidRDefault="009A4BFE">
      <w:pPr>
        <w:rPr>
          <w:noProof/>
          <w:szCs w:val="24"/>
          <w:lang w:val="lt-LT"/>
        </w:rPr>
      </w:pPr>
    </w:p>
    <w:p w14:paraId="18710702" w14:textId="77777777" w:rsidR="009A4BFE" w:rsidRDefault="009A4BFE">
      <w:pPr>
        <w:rPr>
          <w:noProof/>
          <w:szCs w:val="24"/>
          <w:lang w:val="lt-LT"/>
        </w:rPr>
      </w:pPr>
    </w:p>
    <w:p w14:paraId="4326A73A" w14:textId="77777777" w:rsidR="009A4BFE" w:rsidRDefault="009A4BFE">
      <w:pPr>
        <w:rPr>
          <w:noProof/>
          <w:szCs w:val="24"/>
          <w:lang w:val="lt-LT"/>
        </w:rPr>
      </w:pPr>
    </w:p>
    <w:p w14:paraId="3CEA2B32" w14:textId="77777777" w:rsidR="009A4BFE" w:rsidRDefault="009A4BFE">
      <w:pPr>
        <w:rPr>
          <w:noProof/>
          <w:szCs w:val="24"/>
          <w:lang w:val="lt-LT"/>
        </w:rPr>
      </w:pPr>
    </w:p>
    <w:p w14:paraId="7E87EFCE" w14:textId="77777777" w:rsidR="009A4BFE" w:rsidRDefault="009A4BFE">
      <w:pPr>
        <w:rPr>
          <w:noProof/>
          <w:szCs w:val="24"/>
          <w:lang w:val="lt-LT"/>
        </w:rPr>
      </w:pPr>
    </w:p>
    <w:p w14:paraId="4007BF73" w14:textId="77777777" w:rsidR="009A4BFE" w:rsidRDefault="009A4BFE">
      <w:pPr>
        <w:rPr>
          <w:noProof/>
          <w:szCs w:val="24"/>
          <w:lang w:val="lt-LT"/>
        </w:rPr>
      </w:pPr>
    </w:p>
    <w:p w14:paraId="0448844F" w14:textId="77777777" w:rsidR="009A4BFE" w:rsidRDefault="009A4BFE">
      <w:pPr>
        <w:rPr>
          <w:noProof/>
          <w:szCs w:val="24"/>
          <w:lang w:val="lt-LT"/>
        </w:rPr>
      </w:pPr>
    </w:p>
    <w:p w14:paraId="6D0882E5" w14:textId="77777777" w:rsidR="009A4BFE" w:rsidRDefault="009A4BFE">
      <w:pPr>
        <w:rPr>
          <w:noProof/>
          <w:szCs w:val="24"/>
          <w:lang w:val="lt-LT"/>
        </w:rPr>
      </w:pPr>
    </w:p>
    <w:p w14:paraId="7A926DDE" w14:textId="77777777" w:rsidR="009A4BFE" w:rsidRDefault="009A4BFE">
      <w:pPr>
        <w:rPr>
          <w:noProof/>
          <w:szCs w:val="24"/>
          <w:lang w:val="lt-LT"/>
        </w:rPr>
      </w:pPr>
    </w:p>
    <w:p w14:paraId="5E8DE664" w14:textId="77777777" w:rsidR="009A4BFE" w:rsidRDefault="009A4BFE">
      <w:pPr>
        <w:rPr>
          <w:noProof/>
          <w:szCs w:val="24"/>
          <w:lang w:val="lt-LT"/>
        </w:rPr>
      </w:pPr>
    </w:p>
    <w:p w14:paraId="04CC7734" w14:textId="77777777" w:rsidR="009A4BFE" w:rsidRDefault="0051186A">
      <w:pPr>
        <w:jc w:val="center"/>
        <w:rPr>
          <w:b/>
          <w:lang w:val="lt-LT"/>
        </w:rPr>
      </w:pPr>
      <w:r>
        <w:rPr>
          <w:b/>
          <w:lang w:val="lt-LT"/>
        </w:rPr>
        <w:t>II PRIEDAS</w:t>
      </w:r>
    </w:p>
    <w:p w14:paraId="3305B672" w14:textId="77777777" w:rsidR="009A4BFE" w:rsidRDefault="009A4BFE">
      <w:pPr>
        <w:ind w:left="1701" w:right="1416" w:hanging="567"/>
        <w:rPr>
          <w:lang w:val="lt-LT"/>
        </w:rPr>
      </w:pPr>
    </w:p>
    <w:p w14:paraId="7D3501DC" w14:textId="77777777" w:rsidR="009A4BFE" w:rsidRDefault="0051186A">
      <w:pPr>
        <w:jc w:val="center"/>
        <w:rPr>
          <w:i/>
          <w:lang w:val="lt-LT"/>
        </w:rPr>
      </w:pPr>
      <w:r>
        <w:rPr>
          <w:b/>
          <w:lang w:val="lt-LT"/>
        </w:rPr>
        <w:t>REGISTRACIJOS SĄLYGOS</w:t>
      </w:r>
    </w:p>
    <w:p w14:paraId="75955BF1" w14:textId="77777777" w:rsidR="009A4BFE" w:rsidRDefault="009A4BFE">
      <w:pPr>
        <w:rPr>
          <w:lang w:val="lt-LT"/>
        </w:rPr>
      </w:pPr>
    </w:p>
    <w:p w14:paraId="7DF512AD" w14:textId="77777777" w:rsidR="009A4BFE" w:rsidRDefault="0051186A">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 (-AI), ATSAKINGAS (-I) UŽ SERIJŲ IŠLEIDIMĄ</w:t>
      </w:r>
    </w:p>
    <w:p w14:paraId="3DDA66DE" w14:textId="77777777" w:rsidR="009A4BFE" w:rsidRDefault="009A4BFE">
      <w:pPr>
        <w:tabs>
          <w:tab w:val="clear" w:pos="567"/>
          <w:tab w:val="left" w:pos="1701"/>
        </w:tabs>
        <w:ind w:left="567" w:right="567" w:hanging="567"/>
        <w:rPr>
          <w:noProof/>
          <w:szCs w:val="24"/>
          <w:lang w:val="lt-LT"/>
        </w:rPr>
      </w:pPr>
    </w:p>
    <w:p w14:paraId="7EA91B66" w14:textId="77777777" w:rsidR="009A4BFE" w:rsidRDefault="0051186A">
      <w:pPr>
        <w:tabs>
          <w:tab w:val="clear" w:pos="567"/>
          <w:tab w:val="left" w:pos="1701"/>
        </w:tabs>
        <w:ind w:left="1701" w:right="567" w:hanging="567"/>
        <w:rPr>
          <w:b/>
          <w:lang w:val="lt-LT"/>
        </w:rPr>
      </w:pPr>
      <w:r>
        <w:rPr>
          <w:b/>
          <w:lang w:val="lt-LT"/>
        </w:rPr>
        <w:t>B.</w:t>
      </w:r>
      <w:r>
        <w:rPr>
          <w:b/>
          <w:lang w:val="lt-LT"/>
        </w:rPr>
        <w:tab/>
        <w:t>TIEKIMO IR VARTOJIMO SĄLYGOS AR APRIBOJIMAI</w:t>
      </w:r>
    </w:p>
    <w:p w14:paraId="388D2692" w14:textId="77777777" w:rsidR="009A4BFE" w:rsidRDefault="009A4BFE">
      <w:pPr>
        <w:tabs>
          <w:tab w:val="clear" w:pos="567"/>
          <w:tab w:val="left" w:pos="1701"/>
        </w:tabs>
        <w:ind w:left="567" w:right="567" w:hanging="567"/>
        <w:rPr>
          <w:lang w:val="lt-LT"/>
        </w:rPr>
      </w:pPr>
    </w:p>
    <w:p w14:paraId="1A0D751A" w14:textId="77777777" w:rsidR="009A4BFE" w:rsidRDefault="009A4BFE">
      <w:pPr>
        <w:ind w:left="1701" w:right="1558" w:hanging="850"/>
        <w:rPr>
          <w:b/>
          <w:lang w:val="lt-LT"/>
        </w:rPr>
      </w:pPr>
    </w:p>
    <w:p w14:paraId="1152138E" w14:textId="77777777" w:rsidR="009A4BFE" w:rsidRDefault="009A4BFE">
      <w:pPr>
        <w:ind w:left="567" w:hanging="567"/>
        <w:rPr>
          <w:lang w:val="lt-LT"/>
        </w:rPr>
      </w:pPr>
    </w:p>
    <w:p w14:paraId="14C4EF67" w14:textId="77777777" w:rsidR="009A4BFE" w:rsidRDefault="009A4BFE">
      <w:pPr>
        <w:ind w:right="-1"/>
        <w:rPr>
          <w:lang w:val="lt-LT"/>
        </w:rPr>
      </w:pPr>
    </w:p>
    <w:p w14:paraId="6220FA76" w14:textId="77777777" w:rsidR="009A4BFE" w:rsidRDefault="0051186A">
      <w:pPr>
        <w:ind w:left="567" w:hanging="567"/>
        <w:rPr>
          <w:b/>
          <w:szCs w:val="24"/>
          <w:lang w:val="lt-LT"/>
        </w:rPr>
      </w:pPr>
      <w:r>
        <w:rPr>
          <w:lang w:val="lt-LT"/>
        </w:rPr>
        <w:br w:type="page"/>
      </w:r>
      <w:r>
        <w:rPr>
          <w:b/>
          <w:lang w:val="lt-LT"/>
        </w:rPr>
        <w:lastRenderedPageBreak/>
        <w:t>A.</w:t>
      </w:r>
      <w:r>
        <w:rPr>
          <w:b/>
          <w:szCs w:val="24"/>
          <w:lang w:val="lt-LT"/>
        </w:rPr>
        <w:tab/>
      </w:r>
      <w:r>
        <w:rPr>
          <w:b/>
          <w:lang w:val="lt-LT"/>
        </w:rPr>
        <w:t>GAMINTOJAS (-AI), ATSAKINGAS (-I) UŽ SERIJŲ IŠLEIDIMĄ</w:t>
      </w:r>
    </w:p>
    <w:p w14:paraId="26357BFA" w14:textId="77777777" w:rsidR="009A4BFE" w:rsidRDefault="009A4BFE">
      <w:pPr>
        <w:rPr>
          <w:szCs w:val="24"/>
          <w:lang w:val="lt-LT"/>
        </w:rPr>
      </w:pPr>
    </w:p>
    <w:p w14:paraId="6CE1EA01" w14:textId="77777777" w:rsidR="009A4BFE" w:rsidRDefault="0051186A">
      <w:pPr>
        <w:spacing w:line="240" w:lineRule="auto"/>
        <w:jc w:val="both"/>
        <w:rPr>
          <w:szCs w:val="24"/>
          <w:lang w:val="lt-LT"/>
        </w:rPr>
      </w:pPr>
      <w:r>
        <w:rPr>
          <w:noProof/>
          <w:szCs w:val="24"/>
          <w:u w:val="single"/>
          <w:lang w:val="lt-LT"/>
        </w:rPr>
        <w:t>Gamintojo</w:t>
      </w:r>
      <w:r>
        <w:rPr>
          <w:snapToGrid/>
          <w:szCs w:val="24"/>
          <w:u w:val="single"/>
          <w:lang w:val="lt-LT"/>
        </w:rPr>
        <w:t> </w:t>
      </w:r>
      <w:r>
        <w:rPr>
          <w:noProof/>
          <w:szCs w:val="24"/>
          <w:u w:val="single"/>
          <w:lang w:val="lt-LT"/>
        </w:rPr>
        <w:t>(-ų), atsakingo</w:t>
      </w:r>
      <w:r>
        <w:rPr>
          <w:snapToGrid/>
          <w:szCs w:val="24"/>
          <w:u w:val="single"/>
          <w:lang w:val="lt-LT"/>
        </w:rPr>
        <w:t> </w:t>
      </w:r>
      <w:r>
        <w:rPr>
          <w:noProof/>
          <w:szCs w:val="24"/>
          <w:u w:val="single"/>
          <w:lang w:val="lt-LT"/>
        </w:rPr>
        <w:t>(-ų) už serijų išleidimą, pavadinimas</w:t>
      </w:r>
      <w:r>
        <w:rPr>
          <w:snapToGrid/>
          <w:szCs w:val="24"/>
          <w:u w:val="single"/>
          <w:lang w:val="lt-LT"/>
        </w:rPr>
        <w:t> </w:t>
      </w:r>
      <w:r>
        <w:rPr>
          <w:noProof/>
          <w:szCs w:val="24"/>
          <w:u w:val="single"/>
          <w:lang w:val="lt-LT"/>
        </w:rPr>
        <w:t>(-ai) ir adresas</w:t>
      </w:r>
      <w:r>
        <w:rPr>
          <w:snapToGrid/>
          <w:szCs w:val="24"/>
          <w:u w:val="single"/>
          <w:lang w:val="lt-LT"/>
        </w:rPr>
        <w:t> </w:t>
      </w:r>
      <w:r>
        <w:rPr>
          <w:noProof/>
          <w:szCs w:val="24"/>
          <w:u w:val="single"/>
          <w:lang w:val="lt-LT"/>
        </w:rPr>
        <w:t>(-ai)</w:t>
      </w:r>
    </w:p>
    <w:p w14:paraId="31DB0D71" w14:textId="77777777" w:rsidR="009A4BFE" w:rsidRDefault="009A4BFE">
      <w:pPr>
        <w:rPr>
          <w:szCs w:val="24"/>
          <w:lang w:val="lt-LT"/>
        </w:rPr>
      </w:pPr>
    </w:p>
    <w:p w14:paraId="3B9F833D" w14:textId="77777777" w:rsidR="009A4BFE" w:rsidRPr="0022257B" w:rsidRDefault="0051186A">
      <w:pPr>
        <w:widowControl w:val="0"/>
        <w:jc w:val="both"/>
        <w:rPr>
          <w:lang w:val="pt-PT"/>
        </w:rPr>
      </w:pPr>
      <w:r>
        <w:rPr>
          <w:szCs w:val="22"/>
          <w:lang w:val="lt-LT"/>
        </w:rPr>
        <w:t xml:space="preserve">KRKA, </w:t>
      </w:r>
      <w:proofErr w:type="spellStart"/>
      <w:r>
        <w:rPr>
          <w:szCs w:val="22"/>
          <w:lang w:val="lt-LT"/>
        </w:rPr>
        <w:t>d.d</w:t>
      </w:r>
      <w:proofErr w:type="spellEnd"/>
      <w:r>
        <w:rPr>
          <w:szCs w:val="22"/>
          <w:lang w:val="lt-LT"/>
        </w:rPr>
        <w:t>., Novo mesto</w:t>
      </w:r>
    </w:p>
    <w:p w14:paraId="717A972B" w14:textId="77777777" w:rsidR="009A4BFE" w:rsidRPr="0022257B" w:rsidRDefault="0051186A">
      <w:pPr>
        <w:widowControl w:val="0"/>
        <w:jc w:val="both"/>
        <w:rPr>
          <w:lang w:val="pt-P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07064EED" w14:textId="77777777" w:rsidR="009A4BFE" w:rsidRPr="0022257B" w:rsidRDefault="0051186A">
      <w:pPr>
        <w:widowControl w:val="0"/>
        <w:jc w:val="both"/>
        <w:rPr>
          <w:lang w:val="pt-PT"/>
        </w:rPr>
      </w:pPr>
      <w:r>
        <w:rPr>
          <w:szCs w:val="22"/>
          <w:lang w:val="lt-LT"/>
        </w:rPr>
        <w:t>8501 Novo mesto</w:t>
      </w:r>
    </w:p>
    <w:p w14:paraId="180E88C8" w14:textId="77777777" w:rsidR="009A4BFE" w:rsidRPr="0022257B" w:rsidRDefault="0051186A">
      <w:pPr>
        <w:widowControl w:val="0"/>
        <w:jc w:val="both"/>
        <w:rPr>
          <w:lang w:val="pt-PT"/>
        </w:rPr>
      </w:pPr>
      <w:r>
        <w:rPr>
          <w:szCs w:val="22"/>
          <w:lang w:val="lt-LT"/>
        </w:rPr>
        <w:t>Slovėnija</w:t>
      </w:r>
    </w:p>
    <w:p w14:paraId="00A21A5B" w14:textId="77777777" w:rsidR="009A4BFE" w:rsidRDefault="009A4BFE">
      <w:pPr>
        <w:rPr>
          <w:szCs w:val="24"/>
          <w:lang w:val="lt-LT"/>
        </w:rPr>
      </w:pPr>
    </w:p>
    <w:p w14:paraId="65D9C34A" w14:textId="77777777" w:rsidR="009A4BFE" w:rsidRPr="0022257B" w:rsidRDefault="0051186A">
      <w:pPr>
        <w:widowControl w:val="0"/>
        <w:rPr>
          <w:lang w:val="pt-PT"/>
        </w:rPr>
      </w:pPr>
      <w:r>
        <w:rPr>
          <w:szCs w:val="22"/>
          <w:lang w:val="lt-LT" w:eastAsia="lt-LT"/>
        </w:rPr>
        <w:t>Su pakuote pateikiamame lapelyje nurodomas gamintojo, atsakingo už konkrečios serijos išleidimą, pavadinimas ir adresas.</w:t>
      </w:r>
    </w:p>
    <w:p w14:paraId="6E25CA7E" w14:textId="77777777" w:rsidR="009A4BFE" w:rsidRDefault="009A4BFE">
      <w:pPr>
        <w:rPr>
          <w:szCs w:val="24"/>
          <w:lang w:val="lt-LT"/>
        </w:rPr>
      </w:pPr>
    </w:p>
    <w:p w14:paraId="3AD63C8F" w14:textId="77777777" w:rsidR="009A4BFE" w:rsidRDefault="0051186A">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47DE0C4C" w14:textId="77777777" w:rsidR="009A4BFE" w:rsidRDefault="009A4BFE">
      <w:pPr>
        <w:rPr>
          <w:szCs w:val="24"/>
          <w:lang w:val="lt-LT"/>
        </w:rPr>
      </w:pPr>
    </w:p>
    <w:p w14:paraId="2C8A8AFD" w14:textId="77777777" w:rsidR="009A4BFE" w:rsidRDefault="0051186A">
      <w:pPr>
        <w:rPr>
          <w:szCs w:val="24"/>
          <w:lang w:val="lt-LT"/>
        </w:rPr>
      </w:pPr>
      <w:r>
        <w:rPr>
          <w:lang w:val="lt-LT"/>
        </w:rPr>
        <w:t>Receptinis vaistinis preparatas.</w:t>
      </w:r>
    </w:p>
    <w:p w14:paraId="5A02DB68" w14:textId="77777777" w:rsidR="009A4BFE" w:rsidRDefault="009A4BFE">
      <w:pPr>
        <w:rPr>
          <w:lang w:val="lt-LT"/>
        </w:rPr>
      </w:pPr>
    </w:p>
    <w:p w14:paraId="3AA81A45" w14:textId="77777777" w:rsidR="009A4BFE" w:rsidRDefault="0051186A">
      <w:pPr>
        <w:tabs>
          <w:tab w:val="clear" w:pos="567"/>
        </w:tabs>
        <w:spacing w:line="240" w:lineRule="auto"/>
        <w:rPr>
          <w:lang w:val="lt-LT"/>
        </w:rPr>
      </w:pPr>
      <w:r>
        <w:rPr>
          <w:lang w:val="lt-LT"/>
        </w:rPr>
        <w:br w:type="page"/>
      </w:r>
    </w:p>
    <w:p w14:paraId="5E049BB6" w14:textId="77777777" w:rsidR="009A4BFE" w:rsidRDefault="009A4BFE">
      <w:pPr>
        <w:rPr>
          <w:lang w:val="lt-LT" w:eastAsia="x-none"/>
        </w:rPr>
      </w:pPr>
    </w:p>
    <w:p w14:paraId="71D67C5E" w14:textId="77777777" w:rsidR="009A4BFE" w:rsidRDefault="009A4BFE">
      <w:pPr>
        <w:rPr>
          <w:lang w:val="lt-LT" w:eastAsia="x-none"/>
        </w:rPr>
      </w:pPr>
    </w:p>
    <w:p w14:paraId="4C6E0787" w14:textId="77777777" w:rsidR="009A4BFE" w:rsidRDefault="009A4BFE">
      <w:pPr>
        <w:rPr>
          <w:lang w:val="lt-LT" w:eastAsia="x-none"/>
        </w:rPr>
      </w:pPr>
    </w:p>
    <w:p w14:paraId="342396BE" w14:textId="77777777" w:rsidR="009A4BFE" w:rsidRDefault="009A4BFE">
      <w:pPr>
        <w:rPr>
          <w:lang w:val="lt-LT" w:eastAsia="x-none"/>
        </w:rPr>
      </w:pPr>
    </w:p>
    <w:p w14:paraId="545AC28D" w14:textId="77777777" w:rsidR="009A4BFE" w:rsidRDefault="009A4BFE">
      <w:pPr>
        <w:pStyle w:val="Antrat2"/>
        <w:spacing w:before="0" w:after="0" w:line="240" w:lineRule="auto"/>
        <w:rPr>
          <w:rFonts w:ascii="Times New Roman" w:hAnsi="Times New Roman"/>
          <w:i w:val="0"/>
          <w:sz w:val="22"/>
          <w:lang w:val="lt-LT"/>
        </w:rPr>
      </w:pPr>
    </w:p>
    <w:p w14:paraId="38E678A9" w14:textId="77777777" w:rsidR="009A4BFE" w:rsidRDefault="009A4BFE">
      <w:pPr>
        <w:rPr>
          <w:lang w:val="lt-LT"/>
        </w:rPr>
      </w:pPr>
    </w:p>
    <w:p w14:paraId="7CAFB246" w14:textId="77777777" w:rsidR="009A4BFE" w:rsidRDefault="009A4BFE">
      <w:pPr>
        <w:rPr>
          <w:lang w:val="lt-LT"/>
        </w:rPr>
      </w:pPr>
    </w:p>
    <w:p w14:paraId="7B57212F" w14:textId="77777777" w:rsidR="009A4BFE" w:rsidRDefault="009A4BFE">
      <w:pPr>
        <w:rPr>
          <w:lang w:val="lt-LT"/>
        </w:rPr>
      </w:pPr>
    </w:p>
    <w:p w14:paraId="58A10EB8" w14:textId="77777777" w:rsidR="009A4BFE" w:rsidRDefault="009A4BFE">
      <w:pPr>
        <w:rPr>
          <w:lang w:val="lt-LT"/>
        </w:rPr>
      </w:pPr>
    </w:p>
    <w:p w14:paraId="35BE926B" w14:textId="77777777" w:rsidR="009A4BFE" w:rsidRDefault="009A4BFE">
      <w:pPr>
        <w:rPr>
          <w:lang w:val="lt-LT"/>
        </w:rPr>
      </w:pPr>
    </w:p>
    <w:p w14:paraId="6B03EA16" w14:textId="77777777" w:rsidR="009A4BFE" w:rsidRDefault="009A4BFE">
      <w:pPr>
        <w:rPr>
          <w:lang w:val="lt-LT"/>
        </w:rPr>
      </w:pPr>
    </w:p>
    <w:p w14:paraId="10383852" w14:textId="77777777" w:rsidR="009A4BFE" w:rsidRDefault="009A4BFE">
      <w:pPr>
        <w:rPr>
          <w:lang w:val="lt-LT"/>
        </w:rPr>
      </w:pPr>
    </w:p>
    <w:p w14:paraId="57D54BAC" w14:textId="77777777" w:rsidR="009A4BFE" w:rsidRDefault="009A4BFE">
      <w:pPr>
        <w:rPr>
          <w:lang w:val="lt-LT"/>
        </w:rPr>
      </w:pPr>
    </w:p>
    <w:p w14:paraId="2CC4F3EE" w14:textId="77777777" w:rsidR="009A4BFE" w:rsidRDefault="009A4BFE">
      <w:pPr>
        <w:rPr>
          <w:lang w:val="lt-LT"/>
        </w:rPr>
      </w:pPr>
    </w:p>
    <w:p w14:paraId="1ACEC143" w14:textId="77777777" w:rsidR="009A4BFE" w:rsidRDefault="009A4BFE">
      <w:pPr>
        <w:rPr>
          <w:lang w:val="lt-LT"/>
        </w:rPr>
      </w:pPr>
    </w:p>
    <w:p w14:paraId="08D8EBFA" w14:textId="77777777" w:rsidR="009A4BFE" w:rsidRDefault="009A4BFE">
      <w:pPr>
        <w:rPr>
          <w:lang w:val="lt-LT"/>
        </w:rPr>
      </w:pPr>
    </w:p>
    <w:p w14:paraId="04E197FC" w14:textId="77777777" w:rsidR="009A4BFE" w:rsidRDefault="009A4BFE">
      <w:pPr>
        <w:rPr>
          <w:lang w:val="lt-LT"/>
        </w:rPr>
      </w:pPr>
    </w:p>
    <w:p w14:paraId="5D9060EF" w14:textId="77777777" w:rsidR="009A4BFE" w:rsidRDefault="009A4BFE">
      <w:pPr>
        <w:rPr>
          <w:lang w:val="lt-LT"/>
        </w:rPr>
      </w:pPr>
    </w:p>
    <w:p w14:paraId="06E3881F" w14:textId="77777777" w:rsidR="009A4BFE" w:rsidRDefault="009A4BFE">
      <w:pPr>
        <w:rPr>
          <w:lang w:val="lt-LT"/>
        </w:rPr>
      </w:pPr>
    </w:p>
    <w:p w14:paraId="61E9B1D3" w14:textId="77777777" w:rsidR="009A4BFE" w:rsidRDefault="009A4BFE">
      <w:pPr>
        <w:rPr>
          <w:lang w:val="lt-LT"/>
        </w:rPr>
      </w:pPr>
    </w:p>
    <w:p w14:paraId="5D57DE11" w14:textId="77777777" w:rsidR="009A4BFE" w:rsidRDefault="009A4BFE">
      <w:pPr>
        <w:rPr>
          <w:lang w:val="lt-LT"/>
        </w:rPr>
      </w:pPr>
    </w:p>
    <w:p w14:paraId="0EEF1A08" w14:textId="77777777" w:rsidR="009A4BFE" w:rsidRDefault="009A4BFE">
      <w:pPr>
        <w:rPr>
          <w:lang w:val="lt-LT"/>
        </w:rPr>
      </w:pPr>
    </w:p>
    <w:p w14:paraId="05C64EF2" w14:textId="77777777" w:rsidR="009A4BFE" w:rsidRDefault="009A4BFE">
      <w:pPr>
        <w:rPr>
          <w:i/>
          <w:lang w:val="lt-LT"/>
        </w:rPr>
      </w:pPr>
    </w:p>
    <w:p w14:paraId="23CF4992" w14:textId="77777777" w:rsidR="009A4BFE" w:rsidRDefault="0051186A">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62462D98" w14:textId="77777777" w:rsidR="009A4BFE" w:rsidRDefault="009A4BFE">
      <w:pPr>
        <w:rPr>
          <w:szCs w:val="24"/>
          <w:lang w:val="lt-LT"/>
        </w:rPr>
      </w:pPr>
    </w:p>
    <w:p w14:paraId="39500BF7" w14:textId="77777777" w:rsidR="009A4BFE" w:rsidRDefault="0051186A">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4EE7E436" w14:textId="77777777" w:rsidR="009A4BFE" w:rsidRDefault="0051186A">
      <w:pPr>
        <w:rPr>
          <w:szCs w:val="24"/>
          <w:lang w:val="lt-LT"/>
        </w:rPr>
      </w:pPr>
      <w:r>
        <w:rPr>
          <w:szCs w:val="24"/>
          <w:lang w:val="lt-LT"/>
        </w:rPr>
        <w:br w:type="page"/>
      </w:r>
    </w:p>
    <w:p w14:paraId="312AD185" w14:textId="77777777" w:rsidR="009A4BFE" w:rsidRDefault="009A4BFE">
      <w:pPr>
        <w:rPr>
          <w:szCs w:val="24"/>
          <w:lang w:val="lt-LT"/>
        </w:rPr>
      </w:pPr>
    </w:p>
    <w:p w14:paraId="52B4B65A" w14:textId="77777777" w:rsidR="009A4BFE" w:rsidRDefault="009A4BFE">
      <w:pPr>
        <w:rPr>
          <w:szCs w:val="24"/>
          <w:lang w:val="lt-LT"/>
        </w:rPr>
      </w:pPr>
    </w:p>
    <w:p w14:paraId="79C48F21" w14:textId="77777777" w:rsidR="009A4BFE" w:rsidRDefault="009A4BFE">
      <w:pPr>
        <w:rPr>
          <w:szCs w:val="24"/>
          <w:lang w:val="lt-LT"/>
        </w:rPr>
      </w:pPr>
    </w:p>
    <w:p w14:paraId="04B3EF89" w14:textId="77777777" w:rsidR="009A4BFE" w:rsidRDefault="009A4BFE">
      <w:pPr>
        <w:rPr>
          <w:szCs w:val="24"/>
          <w:lang w:val="lt-LT"/>
        </w:rPr>
      </w:pPr>
    </w:p>
    <w:p w14:paraId="05F908B4" w14:textId="77777777" w:rsidR="009A4BFE" w:rsidRDefault="009A4BFE">
      <w:pPr>
        <w:rPr>
          <w:szCs w:val="24"/>
          <w:lang w:val="lt-LT"/>
        </w:rPr>
      </w:pPr>
    </w:p>
    <w:p w14:paraId="3DCFA221" w14:textId="77777777" w:rsidR="009A4BFE" w:rsidRDefault="009A4BFE">
      <w:pPr>
        <w:rPr>
          <w:szCs w:val="24"/>
          <w:lang w:val="lt-LT"/>
        </w:rPr>
      </w:pPr>
    </w:p>
    <w:p w14:paraId="618BA36E" w14:textId="77777777" w:rsidR="009A4BFE" w:rsidRDefault="009A4BFE">
      <w:pPr>
        <w:rPr>
          <w:szCs w:val="24"/>
          <w:lang w:val="lt-LT"/>
        </w:rPr>
      </w:pPr>
    </w:p>
    <w:p w14:paraId="45098BD3" w14:textId="77777777" w:rsidR="009A4BFE" w:rsidRDefault="009A4BFE">
      <w:pPr>
        <w:rPr>
          <w:szCs w:val="24"/>
          <w:lang w:val="lt-LT"/>
        </w:rPr>
      </w:pPr>
    </w:p>
    <w:p w14:paraId="1A4607D4" w14:textId="77777777" w:rsidR="009A4BFE" w:rsidRDefault="009A4BFE">
      <w:pPr>
        <w:rPr>
          <w:szCs w:val="24"/>
          <w:lang w:val="lt-LT"/>
        </w:rPr>
      </w:pPr>
    </w:p>
    <w:p w14:paraId="0BA71241" w14:textId="77777777" w:rsidR="009A4BFE" w:rsidRDefault="009A4BFE">
      <w:pPr>
        <w:rPr>
          <w:szCs w:val="24"/>
          <w:lang w:val="lt-LT"/>
        </w:rPr>
      </w:pPr>
    </w:p>
    <w:p w14:paraId="237410F8" w14:textId="77777777" w:rsidR="009A4BFE" w:rsidRDefault="009A4BFE">
      <w:pPr>
        <w:rPr>
          <w:szCs w:val="24"/>
          <w:lang w:val="lt-LT"/>
        </w:rPr>
      </w:pPr>
    </w:p>
    <w:p w14:paraId="36BBCD44" w14:textId="77777777" w:rsidR="009A4BFE" w:rsidRDefault="009A4BFE">
      <w:pPr>
        <w:rPr>
          <w:szCs w:val="24"/>
          <w:lang w:val="lt-LT"/>
        </w:rPr>
      </w:pPr>
    </w:p>
    <w:p w14:paraId="5DBE7501" w14:textId="77777777" w:rsidR="009A4BFE" w:rsidRDefault="009A4BFE">
      <w:pPr>
        <w:rPr>
          <w:szCs w:val="24"/>
          <w:lang w:val="lt-LT"/>
        </w:rPr>
      </w:pPr>
    </w:p>
    <w:p w14:paraId="6E9B9641" w14:textId="77777777" w:rsidR="009A4BFE" w:rsidRDefault="009A4BFE">
      <w:pPr>
        <w:rPr>
          <w:szCs w:val="24"/>
          <w:lang w:val="lt-LT"/>
        </w:rPr>
      </w:pPr>
    </w:p>
    <w:p w14:paraId="61E03538" w14:textId="77777777" w:rsidR="009A4BFE" w:rsidRDefault="009A4BFE">
      <w:pPr>
        <w:rPr>
          <w:szCs w:val="24"/>
          <w:lang w:val="lt-LT"/>
        </w:rPr>
      </w:pPr>
    </w:p>
    <w:p w14:paraId="71669E0D" w14:textId="77777777" w:rsidR="009A4BFE" w:rsidRDefault="009A4BFE">
      <w:pPr>
        <w:rPr>
          <w:szCs w:val="24"/>
          <w:lang w:val="lt-LT"/>
        </w:rPr>
      </w:pPr>
    </w:p>
    <w:p w14:paraId="08CA4A78" w14:textId="77777777" w:rsidR="009A4BFE" w:rsidRDefault="009A4BFE">
      <w:pPr>
        <w:rPr>
          <w:szCs w:val="24"/>
          <w:lang w:val="lt-LT"/>
        </w:rPr>
      </w:pPr>
    </w:p>
    <w:p w14:paraId="539786E1" w14:textId="77777777" w:rsidR="009A4BFE" w:rsidRDefault="009A4BFE">
      <w:pPr>
        <w:rPr>
          <w:szCs w:val="24"/>
          <w:lang w:val="lt-LT"/>
        </w:rPr>
      </w:pPr>
    </w:p>
    <w:p w14:paraId="771E42CC" w14:textId="77777777" w:rsidR="009A4BFE" w:rsidRDefault="009A4BFE">
      <w:pPr>
        <w:rPr>
          <w:szCs w:val="24"/>
          <w:lang w:val="lt-LT"/>
        </w:rPr>
      </w:pPr>
    </w:p>
    <w:p w14:paraId="5EF57CE0" w14:textId="77777777" w:rsidR="009A4BFE" w:rsidRDefault="009A4BFE">
      <w:pPr>
        <w:rPr>
          <w:szCs w:val="24"/>
          <w:lang w:val="lt-LT"/>
        </w:rPr>
      </w:pPr>
    </w:p>
    <w:p w14:paraId="0AC48574" w14:textId="77777777" w:rsidR="009A4BFE" w:rsidRDefault="009A4BFE">
      <w:pPr>
        <w:rPr>
          <w:szCs w:val="24"/>
          <w:lang w:val="lt-LT"/>
        </w:rPr>
      </w:pPr>
    </w:p>
    <w:p w14:paraId="30407215" w14:textId="77777777" w:rsidR="009A4BFE" w:rsidRDefault="009A4BFE">
      <w:pPr>
        <w:rPr>
          <w:szCs w:val="24"/>
          <w:lang w:val="lt-LT"/>
        </w:rPr>
      </w:pPr>
    </w:p>
    <w:p w14:paraId="33655949" w14:textId="77777777" w:rsidR="009A4BFE" w:rsidRDefault="009A4BFE">
      <w:pPr>
        <w:rPr>
          <w:szCs w:val="24"/>
          <w:lang w:val="lt-LT"/>
        </w:rPr>
      </w:pPr>
    </w:p>
    <w:p w14:paraId="521F0E33" w14:textId="77777777" w:rsidR="009A4BFE" w:rsidRDefault="0051186A">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0C709BB6" w14:textId="77777777" w:rsidR="009A4BFE" w:rsidRDefault="0051186A">
      <w:pPr>
        <w:rPr>
          <w:szCs w:val="24"/>
          <w:lang w:val="lt-LT"/>
        </w:rPr>
      </w:pPr>
      <w:r>
        <w:rPr>
          <w:szCs w:val="24"/>
          <w:lang w:val="lt-LT"/>
        </w:rPr>
        <w:br w:type="page"/>
      </w:r>
    </w:p>
    <w:p w14:paraId="57125F25" w14:textId="77777777" w:rsidR="009A4BFE" w:rsidRDefault="0051186A">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14:paraId="76D8F9F6" w14:textId="77777777" w:rsidR="009A4BFE" w:rsidRDefault="009A4BFE">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CFA454E" w14:textId="77777777" w:rsidR="009A4BFE" w:rsidRDefault="0051186A">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DĖŽUTĖ</w:t>
      </w:r>
    </w:p>
    <w:p w14:paraId="2841B3C1" w14:textId="77777777" w:rsidR="009A4BFE" w:rsidRDefault="009A4BFE">
      <w:pPr>
        <w:rPr>
          <w:szCs w:val="24"/>
          <w:lang w:val="lt-LT"/>
        </w:rPr>
      </w:pPr>
    </w:p>
    <w:p w14:paraId="7B99B4AC" w14:textId="77777777" w:rsidR="009A4BFE" w:rsidRDefault="009A4BFE">
      <w:pPr>
        <w:rPr>
          <w:szCs w:val="24"/>
          <w:lang w:val="lt-LT"/>
        </w:rPr>
      </w:pPr>
    </w:p>
    <w:p w14:paraId="52B52837"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0AD49808" w14:textId="77777777" w:rsidR="009A4BFE" w:rsidRDefault="009A4BFE">
      <w:pPr>
        <w:rPr>
          <w:szCs w:val="24"/>
          <w:lang w:val="lt-LT"/>
        </w:rPr>
      </w:pPr>
    </w:p>
    <w:p w14:paraId="18D91A6A" w14:textId="77777777" w:rsidR="009A4BFE" w:rsidRDefault="0051186A">
      <w:pPr>
        <w:autoSpaceDE w:val="0"/>
        <w:autoSpaceDN w:val="0"/>
        <w:rPr>
          <w:lang w:val="lt-LT"/>
        </w:rPr>
      </w:pPr>
      <w:r w:rsidRPr="0022257B">
        <w:rPr>
          <w:lang w:val="pt-PT"/>
        </w:rPr>
        <w:t>Atixarso</w:t>
      </w:r>
      <w:r>
        <w:rPr>
          <w:lang w:val="lt-LT"/>
        </w:rPr>
        <w:t xml:space="preserve"> 60</w:t>
      </w:r>
      <w:r>
        <w:rPr>
          <w:rFonts w:eastAsia="TimesNewRoman"/>
          <w:snapToGrid/>
          <w:szCs w:val="22"/>
          <w:lang w:val="lt-LT"/>
        </w:rPr>
        <w:t> </w:t>
      </w:r>
      <w:r>
        <w:rPr>
          <w:lang w:val="lt-LT"/>
        </w:rPr>
        <w:t>mg plėvele dengtos tabletės</w:t>
      </w:r>
    </w:p>
    <w:p w14:paraId="5BD70E20" w14:textId="77777777" w:rsidR="009A4BFE" w:rsidRDefault="0051186A">
      <w:pPr>
        <w:autoSpaceDE w:val="0"/>
        <w:autoSpaceDN w:val="0"/>
        <w:rPr>
          <w:lang w:val="lt-LT"/>
        </w:rPr>
      </w:pPr>
      <w:r w:rsidRPr="0022257B">
        <w:rPr>
          <w:highlight w:val="lightGray"/>
          <w:lang w:val="pt-PT"/>
        </w:rPr>
        <w:t>Atixarso</w:t>
      </w:r>
      <w:r>
        <w:rPr>
          <w:highlight w:val="lightGray"/>
          <w:lang w:val="lt-LT"/>
        </w:rPr>
        <w:t xml:space="preserve"> 90</w:t>
      </w:r>
      <w:r>
        <w:rPr>
          <w:rFonts w:eastAsia="TimesNewRoman"/>
          <w:snapToGrid/>
          <w:szCs w:val="22"/>
          <w:highlight w:val="lightGray"/>
          <w:lang w:val="lt-LT"/>
        </w:rPr>
        <w:t> </w:t>
      </w:r>
      <w:r>
        <w:rPr>
          <w:highlight w:val="lightGray"/>
          <w:lang w:val="lt-LT"/>
        </w:rPr>
        <w:t>mg plėvele dengtos tabletės</w:t>
      </w:r>
    </w:p>
    <w:p w14:paraId="6445D59D" w14:textId="77777777" w:rsidR="009A4BFE" w:rsidRDefault="009A4BFE">
      <w:pPr>
        <w:autoSpaceDE w:val="0"/>
        <w:autoSpaceDN w:val="0"/>
        <w:rPr>
          <w:lang w:val="lt-LT"/>
        </w:rPr>
      </w:pPr>
    </w:p>
    <w:p w14:paraId="6620C8C4" w14:textId="77777777" w:rsidR="009A4BFE" w:rsidRDefault="0051186A">
      <w:pPr>
        <w:rPr>
          <w:noProof/>
          <w:szCs w:val="24"/>
          <w:lang w:val="lt-LT"/>
        </w:rPr>
      </w:pPr>
      <w:r>
        <w:rPr>
          <w:rFonts w:eastAsia="Calibri"/>
          <w:szCs w:val="22"/>
          <w:lang w:val="pt-PT"/>
        </w:rPr>
        <w:t>tikagreloras</w:t>
      </w:r>
    </w:p>
    <w:p w14:paraId="12C2F427" w14:textId="77777777" w:rsidR="009A4BFE" w:rsidRDefault="009A4BFE">
      <w:pPr>
        <w:rPr>
          <w:szCs w:val="24"/>
          <w:lang w:val="lt-LT"/>
        </w:rPr>
      </w:pPr>
    </w:p>
    <w:p w14:paraId="5C1D33B0" w14:textId="77777777" w:rsidR="009A4BFE" w:rsidRDefault="009A4BFE">
      <w:pPr>
        <w:rPr>
          <w:szCs w:val="24"/>
          <w:lang w:val="lt-LT"/>
        </w:rPr>
      </w:pPr>
    </w:p>
    <w:p w14:paraId="6754D7A1"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w:t>
      </w:r>
      <w:r>
        <w:rPr>
          <w:snapToGrid/>
          <w:szCs w:val="24"/>
          <w:u w:val="single"/>
          <w:lang w:val="lt-LT"/>
        </w:rPr>
        <w:t> </w:t>
      </w:r>
      <w:r>
        <w:rPr>
          <w:b/>
          <w:noProof/>
          <w:szCs w:val="24"/>
          <w:lang w:val="lt-LT"/>
        </w:rPr>
        <w:t>(-IOS) MEDŽIAGA</w:t>
      </w:r>
      <w:r>
        <w:rPr>
          <w:snapToGrid/>
          <w:szCs w:val="24"/>
          <w:u w:val="single"/>
          <w:lang w:val="lt-LT"/>
        </w:rPr>
        <w:t> </w:t>
      </w:r>
      <w:r>
        <w:rPr>
          <w:b/>
          <w:noProof/>
          <w:szCs w:val="24"/>
          <w:lang w:val="lt-LT"/>
        </w:rPr>
        <w:t>(-OS) IR JOS</w:t>
      </w:r>
      <w:r>
        <w:rPr>
          <w:snapToGrid/>
          <w:szCs w:val="24"/>
          <w:u w:val="single"/>
          <w:lang w:val="lt-LT"/>
        </w:rPr>
        <w:t> </w:t>
      </w:r>
      <w:r>
        <w:rPr>
          <w:b/>
          <w:noProof/>
          <w:szCs w:val="24"/>
          <w:lang w:val="lt-LT"/>
        </w:rPr>
        <w:t>(-Ų) KIEKIS</w:t>
      </w:r>
      <w:r>
        <w:rPr>
          <w:snapToGrid/>
          <w:szCs w:val="24"/>
          <w:u w:val="single"/>
          <w:lang w:val="lt-LT"/>
        </w:rPr>
        <w:t> </w:t>
      </w:r>
      <w:r>
        <w:rPr>
          <w:b/>
          <w:noProof/>
          <w:szCs w:val="24"/>
          <w:lang w:val="lt-LT"/>
        </w:rPr>
        <w:t>(-IAI)</w:t>
      </w:r>
    </w:p>
    <w:p w14:paraId="3CE11C85" w14:textId="77777777" w:rsidR="009A4BFE" w:rsidRDefault="009A4BFE">
      <w:pPr>
        <w:rPr>
          <w:szCs w:val="24"/>
          <w:lang w:val="lt-LT"/>
        </w:rPr>
      </w:pPr>
    </w:p>
    <w:p w14:paraId="230FFCC6" w14:textId="77777777" w:rsidR="009A4BFE" w:rsidRDefault="0051186A">
      <w:pPr>
        <w:rPr>
          <w:rFonts w:eastAsia="TimesNewRoman"/>
          <w:snapToGrid/>
          <w:szCs w:val="22"/>
          <w:lang w:val="lt-LT"/>
        </w:rPr>
      </w:pPr>
      <w:r>
        <w:rPr>
          <w:rFonts w:eastAsia="TimesNewRoman"/>
          <w:snapToGrid/>
          <w:szCs w:val="22"/>
          <w:lang w:val="lt-LT"/>
        </w:rPr>
        <w:t xml:space="preserve">Kiekvienoje plėvele dengtoje tabletėje yra 60 mg </w:t>
      </w:r>
      <w:proofErr w:type="spellStart"/>
      <w:r>
        <w:rPr>
          <w:rFonts w:eastAsia="TimesNewRoman"/>
          <w:snapToGrid/>
          <w:szCs w:val="22"/>
          <w:lang w:val="lt-LT"/>
        </w:rPr>
        <w:t>tikagreloro</w:t>
      </w:r>
      <w:proofErr w:type="spellEnd"/>
      <w:r>
        <w:rPr>
          <w:rFonts w:eastAsia="TimesNewRoman"/>
          <w:snapToGrid/>
          <w:szCs w:val="22"/>
          <w:lang w:val="lt-LT"/>
        </w:rPr>
        <w:t>.</w:t>
      </w:r>
    </w:p>
    <w:p w14:paraId="37610555" w14:textId="77777777" w:rsidR="009A4BFE" w:rsidRDefault="0051186A">
      <w:pPr>
        <w:rPr>
          <w:rFonts w:eastAsia="TimesNewRoman"/>
          <w:snapToGrid/>
          <w:szCs w:val="22"/>
          <w:lang w:val="lt-LT"/>
        </w:rPr>
      </w:pPr>
      <w:r>
        <w:rPr>
          <w:rFonts w:eastAsia="TimesNewRoman"/>
          <w:snapToGrid/>
          <w:szCs w:val="22"/>
          <w:highlight w:val="lightGray"/>
          <w:lang w:val="lt-LT"/>
        </w:rPr>
        <w:t xml:space="preserve">Kiekvienoje plėvele dengtoje tabletėje yra 90 mg </w:t>
      </w:r>
      <w:proofErr w:type="spellStart"/>
      <w:r>
        <w:rPr>
          <w:rFonts w:eastAsia="TimesNewRoman"/>
          <w:snapToGrid/>
          <w:szCs w:val="22"/>
          <w:highlight w:val="lightGray"/>
          <w:lang w:val="lt-LT"/>
        </w:rPr>
        <w:t>tikagreloro</w:t>
      </w:r>
      <w:proofErr w:type="spellEnd"/>
      <w:r>
        <w:rPr>
          <w:rFonts w:eastAsia="TimesNewRoman"/>
          <w:snapToGrid/>
          <w:szCs w:val="22"/>
          <w:highlight w:val="lightGray"/>
          <w:lang w:val="lt-LT"/>
        </w:rPr>
        <w:t>.</w:t>
      </w:r>
    </w:p>
    <w:p w14:paraId="201659B5" w14:textId="77777777" w:rsidR="009A4BFE" w:rsidRDefault="009A4BFE">
      <w:pPr>
        <w:rPr>
          <w:szCs w:val="24"/>
          <w:lang w:val="lt-LT"/>
        </w:rPr>
      </w:pPr>
    </w:p>
    <w:p w14:paraId="147C47B4" w14:textId="77777777" w:rsidR="009A4BFE" w:rsidRDefault="009A4BFE">
      <w:pPr>
        <w:rPr>
          <w:szCs w:val="24"/>
          <w:lang w:val="lt-LT"/>
        </w:rPr>
      </w:pPr>
    </w:p>
    <w:p w14:paraId="7ED77AC9"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2B8E6C47" w14:textId="77777777" w:rsidR="009A4BFE" w:rsidRDefault="009A4BFE">
      <w:pPr>
        <w:rPr>
          <w:szCs w:val="24"/>
          <w:lang w:val="lt-LT"/>
        </w:rPr>
      </w:pPr>
    </w:p>
    <w:p w14:paraId="11DCB1FE" w14:textId="77777777" w:rsidR="009A4BFE" w:rsidRDefault="009A4BFE">
      <w:pPr>
        <w:rPr>
          <w:szCs w:val="24"/>
          <w:lang w:val="lt-LT"/>
        </w:rPr>
      </w:pPr>
    </w:p>
    <w:p w14:paraId="5AA51AB7"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0AFEB63A" w14:textId="77777777" w:rsidR="009A4BFE" w:rsidRDefault="009A4BFE">
      <w:pPr>
        <w:rPr>
          <w:szCs w:val="24"/>
          <w:lang w:val="lt-LT"/>
        </w:rPr>
      </w:pPr>
    </w:p>
    <w:p w14:paraId="68A17714"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highlight w:val="lightGray"/>
          <w:lang w:val="lt-LT"/>
        </w:rPr>
        <w:t>plėvele dengta tabletė</w:t>
      </w:r>
    </w:p>
    <w:p w14:paraId="15623A52"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4641F85" w14:textId="77777777" w:rsidR="009A4BFE" w:rsidRDefault="0051186A">
      <w:pPr>
        <w:autoSpaceDE w:val="0"/>
        <w:autoSpaceDN w:val="0"/>
        <w:rPr>
          <w:i/>
          <w:u w:val="single"/>
          <w:lang w:val="lt-LT"/>
        </w:rPr>
      </w:pPr>
      <w:proofErr w:type="spellStart"/>
      <w:r w:rsidRPr="0022257B">
        <w:rPr>
          <w:i/>
          <w:highlight w:val="lightGray"/>
          <w:u w:val="single"/>
          <w:lang w:val="lt-LT"/>
        </w:rPr>
        <w:t>Atixarso</w:t>
      </w:r>
      <w:proofErr w:type="spellEnd"/>
      <w:r>
        <w:rPr>
          <w:i/>
          <w:highlight w:val="lightGray"/>
          <w:u w:val="single"/>
          <w:lang w:val="lt-LT"/>
        </w:rPr>
        <w:t xml:space="preserve"> 60</w:t>
      </w:r>
      <w:r>
        <w:rPr>
          <w:rFonts w:eastAsia="TimesNewRoman"/>
          <w:i/>
          <w:snapToGrid/>
          <w:szCs w:val="22"/>
          <w:highlight w:val="lightGray"/>
          <w:u w:val="single"/>
          <w:lang w:val="lt-LT"/>
        </w:rPr>
        <w:t> </w:t>
      </w:r>
      <w:r>
        <w:rPr>
          <w:i/>
          <w:highlight w:val="lightGray"/>
          <w:u w:val="single"/>
          <w:lang w:val="lt-LT"/>
        </w:rPr>
        <w:t>mg plėvele dengtos tabletės</w:t>
      </w:r>
    </w:p>
    <w:p w14:paraId="401A3950"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14 plėvele dengtų tablečių</w:t>
      </w:r>
    </w:p>
    <w:p w14:paraId="49157F9D"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56 plėvele dengtos tabletės</w:t>
      </w:r>
    </w:p>
    <w:p w14:paraId="58CD83CC"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60 plėvele dengtų tablečių</w:t>
      </w:r>
    </w:p>
    <w:p w14:paraId="5F461A2D"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168 plėvele dengtos tabletės</w:t>
      </w:r>
    </w:p>
    <w:p w14:paraId="1F670DDC" w14:textId="77777777" w:rsidR="009A4BFE" w:rsidRDefault="0051186A">
      <w:pPr>
        <w:rPr>
          <w:szCs w:val="24"/>
          <w:lang w:val="lt-LT"/>
        </w:rPr>
      </w:pPr>
      <w:r>
        <w:rPr>
          <w:rFonts w:eastAsia="TimesNewRoman"/>
          <w:snapToGrid/>
          <w:szCs w:val="22"/>
          <w:highlight w:val="lightGray"/>
          <w:lang w:val="lt-LT"/>
        </w:rPr>
        <w:t>180 plėvele dengtų tablečių</w:t>
      </w:r>
    </w:p>
    <w:p w14:paraId="4F8B7EC6" w14:textId="77777777" w:rsidR="009A4BFE" w:rsidRDefault="009A4BFE">
      <w:pPr>
        <w:rPr>
          <w:szCs w:val="24"/>
          <w:lang w:val="lt-LT"/>
        </w:rPr>
      </w:pPr>
    </w:p>
    <w:p w14:paraId="358B4134" w14:textId="77777777" w:rsidR="009A4BFE" w:rsidRDefault="0051186A">
      <w:pPr>
        <w:autoSpaceDE w:val="0"/>
        <w:autoSpaceDN w:val="0"/>
        <w:rPr>
          <w:i/>
          <w:u w:val="single"/>
          <w:lang w:val="lt-LT"/>
        </w:rPr>
      </w:pPr>
      <w:proofErr w:type="spellStart"/>
      <w:r w:rsidRPr="0022257B">
        <w:rPr>
          <w:i/>
          <w:highlight w:val="lightGray"/>
          <w:u w:val="single"/>
          <w:lang w:val="lt-LT"/>
        </w:rPr>
        <w:t>Atixarso</w:t>
      </w:r>
      <w:proofErr w:type="spellEnd"/>
      <w:r>
        <w:rPr>
          <w:i/>
          <w:highlight w:val="lightGray"/>
          <w:u w:val="single"/>
          <w:lang w:val="lt-LT"/>
        </w:rPr>
        <w:t xml:space="preserve"> 90</w:t>
      </w:r>
      <w:r>
        <w:rPr>
          <w:rFonts w:eastAsia="TimesNewRoman"/>
          <w:i/>
          <w:snapToGrid/>
          <w:szCs w:val="22"/>
          <w:highlight w:val="lightGray"/>
          <w:u w:val="single"/>
          <w:lang w:val="lt-LT"/>
        </w:rPr>
        <w:t> </w:t>
      </w:r>
      <w:r>
        <w:rPr>
          <w:i/>
          <w:highlight w:val="lightGray"/>
          <w:u w:val="single"/>
          <w:lang w:val="lt-LT"/>
        </w:rPr>
        <w:t>mg plėvele dengtos tabletės</w:t>
      </w:r>
    </w:p>
    <w:p w14:paraId="3A514879"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14 plėvele dengtų tablečių</w:t>
      </w:r>
    </w:p>
    <w:p w14:paraId="5B5628F7"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56 plėvele dengtos tabletės</w:t>
      </w:r>
    </w:p>
    <w:p w14:paraId="136E71DC"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60 plėvele dengtų tablečių</w:t>
      </w:r>
    </w:p>
    <w:p w14:paraId="0F12CE81" w14:textId="2D240051"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100 plėvele dengtų tablečių</w:t>
      </w:r>
    </w:p>
    <w:p w14:paraId="5F88EC93"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168 plėvele dengtos tabletės</w:t>
      </w:r>
    </w:p>
    <w:p w14:paraId="22E8A8B5" w14:textId="77777777" w:rsidR="009A4BFE" w:rsidRDefault="0051186A">
      <w:pPr>
        <w:rPr>
          <w:rFonts w:eastAsia="TimesNewRoman"/>
          <w:snapToGrid/>
          <w:szCs w:val="22"/>
          <w:lang w:val="lt-LT"/>
        </w:rPr>
      </w:pPr>
      <w:r>
        <w:rPr>
          <w:rFonts w:eastAsia="TimesNewRoman"/>
          <w:snapToGrid/>
          <w:szCs w:val="22"/>
          <w:highlight w:val="lightGray"/>
          <w:lang w:val="lt-LT"/>
        </w:rPr>
        <w:t>180 plėvele dengtų tablečių</w:t>
      </w:r>
    </w:p>
    <w:p w14:paraId="529CF168" w14:textId="77777777" w:rsidR="009A4BFE" w:rsidRDefault="009A4BFE">
      <w:pPr>
        <w:rPr>
          <w:szCs w:val="24"/>
          <w:lang w:val="lt-LT"/>
        </w:rPr>
      </w:pPr>
    </w:p>
    <w:p w14:paraId="69E611D3" w14:textId="77777777" w:rsidR="009A4BFE" w:rsidRDefault="009A4BFE">
      <w:pPr>
        <w:rPr>
          <w:szCs w:val="24"/>
          <w:lang w:val="lt-LT"/>
        </w:rPr>
      </w:pPr>
    </w:p>
    <w:p w14:paraId="3A46ACD6"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w:t>
      </w:r>
      <w:r>
        <w:rPr>
          <w:snapToGrid/>
          <w:szCs w:val="24"/>
          <w:u w:val="single"/>
          <w:lang w:val="lt-LT"/>
        </w:rPr>
        <w:t> </w:t>
      </w:r>
      <w:r>
        <w:rPr>
          <w:b/>
          <w:noProof/>
          <w:szCs w:val="24"/>
          <w:lang w:val="lt-LT"/>
        </w:rPr>
        <w:t>(-AI)</w:t>
      </w:r>
    </w:p>
    <w:p w14:paraId="446157C5" w14:textId="77777777" w:rsidR="009A4BFE" w:rsidRDefault="009A4BFE">
      <w:pPr>
        <w:rPr>
          <w:szCs w:val="24"/>
          <w:lang w:val="lt-LT"/>
        </w:rPr>
      </w:pPr>
    </w:p>
    <w:p w14:paraId="65710C16" w14:textId="77777777" w:rsidR="009A4BFE" w:rsidRDefault="0051186A">
      <w:pPr>
        <w:rPr>
          <w:noProof/>
          <w:szCs w:val="24"/>
          <w:lang w:val="lt-LT"/>
        </w:rPr>
      </w:pPr>
      <w:r>
        <w:rPr>
          <w:noProof/>
          <w:szCs w:val="24"/>
          <w:lang w:val="lt-LT"/>
        </w:rPr>
        <w:t>Prieš vartojimą perskaitykite pakuotės lapelį.</w:t>
      </w:r>
    </w:p>
    <w:p w14:paraId="3CE99AEF" w14:textId="77777777" w:rsidR="009A4BFE" w:rsidRDefault="009A4BFE">
      <w:pPr>
        <w:rPr>
          <w:noProof/>
          <w:szCs w:val="24"/>
          <w:lang w:val="lt-LT"/>
        </w:rPr>
      </w:pPr>
    </w:p>
    <w:p w14:paraId="68E98EB9" w14:textId="77777777" w:rsidR="009A4BFE" w:rsidRDefault="0051186A">
      <w:pPr>
        <w:rPr>
          <w:noProof/>
          <w:szCs w:val="24"/>
          <w:lang w:val="lt-LT"/>
        </w:rPr>
      </w:pPr>
      <w:r>
        <w:rPr>
          <w:noProof/>
          <w:szCs w:val="24"/>
          <w:lang w:val="lt-LT"/>
        </w:rPr>
        <w:t>Vartoti per burną.</w:t>
      </w:r>
    </w:p>
    <w:p w14:paraId="63154F7C" w14:textId="77777777" w:rsidR="009A4BFE" w:rsidRDefault="009A4BFE">
      <w:pPr>
        <w:rPr>
          <w:szCs w:val="24"/>
          <w:lang w:val="lt-LT"/>
        </w:rPr>
      </w:pPr>
    </w:p>
    <w:p w14:paraId="439720B0" w14:textId="77777777" w:rsidR="009A4BFE" w:rsidRDefault="009A4BFE">
      <w:pPr>
        <w:rPr>
          <w:szCs w:val="24"/>
          <w:lang w:val="lt-LT"/>
        </w:rPr>
      </w:pPr>
    </w:p>
    <w:p w14:paraId="17CDD535"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4E7920DA" w14:textId="77777777" w:rsidR="009A4BFE" w:rsidRDefault="009A4BFE">
      <w:pPr>
        <w:rPr>
          <w:szCs w:val="24"/>
          <w:lang w:val="lt-LT"/>
        </w:rPr>
      </w:pPr>
    </w:p>
    <w:p w14:paraId="17EE39CB" w14:textId="77777777" w:rsidR="009A4BFE" w:rsidRDefault="0051186A">
      <w:pPr>
        <w:rPr>
          <w:szCs w:val="24"/>
          <w:lang w:val="lt-LT"/>
        </w:rPr>
      </w:pPr>
      <w:r>
        <w:rPr>
          <w:noProof/>
          <w:szCs w:val="24"/>
          <w:lang w:val="lt-LT"/>
        </w:rPr>
        <w:t>Laikyti vaikams nepastebimoje ir nepasiekiamoje vietoje.</w:t>
      </w:r>
    </w:p>
    <w:p w14:paraId="292BD81F" w14:textId="77777777" w:rsidR="009A4BFE" w:rsidRDefault="009A4BFE">
      <w:pPr>
        <w:rPr>
          <w:szCs w:val="24"/>
          <w:lang w:val="lt-LT"/>
        </w:rPr>
      </w:pPr>
    </w:p>
    <w:p w14:paraId="120ED9A8" w14:textId="77777777" w:rsidR="009A4BFE" w:rsidRDefault="009A4BFE">
      <w:pPr>
        <w:rPr>
          <w:szCs w:val="24"/>
          <w:lang w:val="lt-LT"/>
        </w:rPr>
      </w:pPr>
    </w:p>
    <w:p w14:paraId="5EC0C4F1"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w:t>
      </w:r>
      <w:r>
        <w:rPr>
          <w:snapToGrid/>
          <w:szCs w:val="24"/>
          <w:u w:val="single"/>
          <w:lang w:val="lt-LT"/>
        </w:rPr>
        <w:t> </w:t>
      </w:r>
      <w:r>
        <w:rPr>
          <w:b/>
          <w:noProof/>
          <w:szCs w:val="24"/>
          <w:lang w:val="lt-LT"/>
        </w:rPr>
        <w:t>(-I) SPECIALUS</w:t>
      </w:r>
      <w:r>
        <w:rPr>
          <w:snapToGrid/>
          <w:szCs w:val="24"/>
          <w:u w:val="single"/>
          <w:lang w:val="lt-LT"/>
        </w:rPr>
        <w:t> </w:t>
      </w:r>
      <w:r>
        <w:rPr>
          <w:b/>
          <w:noProof/>
          <w:szCs w:val="24"/>
          <w:lang w:val="lt-LT"/>
        </w:rPr>
        <w:t>(-ŪS) ĮSPĖJIMAS</w:t>
      </w:r>
      <w:r>
        <w:rPr>
          <w:snapToGrid/>
          <w:szCs w:val="24"/>
          <w:u w:val="single"/>
          <w:lang w:val="lt-LT"/>
        </w:rPr>
        <w:t> </w:t>
      </w:r>
      <w:r>
        <w:rPr>
          <w:b/>
          <w:noProof/>
          <w:szCs w:val="24"/>
          <w:lang w:val="lt-LT"/>
        </w:rPr>
        <w:t>(-AI) (JEI REIKIA)</w:t>
      </w:r>
    </w:p>
    <w:p w14:paraId="24503342" w14:textId="77777777" w:rsidR="009A4BFE" w:rsidRDefault="009A4BFE">
      <w:pPr>
        <w:rPr>
          <w:szCs w:val="24"/>
          <w:lang w:val="lt-LT"/>
        </w:rPr>
      </w:pPr>
    </w:p>
    <w:p w14:paraId="33CB3F6C" w14:textId="77777777" w:rsidR="009A4BFE" w:rsidRDefault="009A4BFE">
      <w:pPr>
        <w:rPr>
          <w:szCs w:val="24"/>
          <w:lang w:val="lt-LT"/>
        </w:rPr>
      </w:pPr>
    </w:p>
    <w:p w14:paraId="174CE0E9"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7B5D19D7" w14:textId="77777777" w:rsidR="009A4BFE" w:rsidRDefault="009A4BFE">
      <w:pPr>
        <w:rPr>
          <w:szCs w:val="22"/>
          <w:lang w:val="lt-LT"/>
        </w:rPr>
      </w:pPr>
    </w:p>
    <w:p w14:paraId="3DB54D15" w14:textId="77777777" w:rsidR="009A4BFE" w:rsidRDefault="0051186A">
      <w:pPr>
        <w:pStyle w:val="BTEMEASMCA"/>
        <w:rPr>
          <w:sz w:val="22"/>
          <w:szCs w:val="22"/>
          <w:lang w:val="lt-LT"/>
        </w:rPr>
      </w:pPr>
      <w:r>
        <w:rPr>
          <w:sz w:val="22"/>
          <w:szCs w:val="22"/>
          <w:lang w:val="lt-LT"/>
        </w:rPr>
        <w:t>EXP {mm MMMM}</w:t>
      </w:r>
    </w:p>
    <w:p w14:paraId="6F5B01C2" w14:textId="77777777" w:rsidR="009A4BFE" w:rsidRDefault="009A4BFE">
      <w:pPr>
        <w:rPr>
          <w:szCs w:val="24"/>
          <w:lang w:val="lt-LT"/>
        </w:rPr>
      </w:pPr>
    </w:p>
    <w:p w14:paraId="115F553B" w14:textId="77777777" w:rsidR="009A4BFE" w:rsidRDefault="009A4BFE">
      <w:pPr>
        <w:rPr>
          <w:szCs w:val="24"/>
          <w:lang w:val="lt-LT"/>
        </w:rPr>
      </w:pPr>
    </w:p>
    <w:p w14:paraId="115585B0" w14:textId="77777777" w:rsidR="009A4BFE" w:rsidRDefault="0051186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18F66ED5" w14:textId="77777777" w:rsidR="009A4BFE" w:rsidRDefault="009A4BFE">
      <w:pPr>
        <w:rPr>
          <w:szCs w:val="24"/>
          <w:lang w:val="lt-LT"/>
        </w:rPr>
      </w:pPr>
    </w:p>
    <w:p w14:paraId="41069634" w14:textId="77777777" w:rsidR="009A4BFE" w:rsidRDefault="009A4BFE">
      <w:pPr>
        <w:rPr>
          <w:szCs w:val="24"/>
          <w:lang w:val="lt-LT"/>
        </w:rPr>
      </w:pPr>
    </w:p>
    <w:p w14:paraId="34BD24E7" w14:textId="77777777" w:rsidR="009A4BFE" w:rsidRDefault="0051186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573D8DDB" w14:textId="77777777" w:rsidR="009A4BFE" w:rsidRDefault="009A4BFE">
      <w:pPr>
        <w:rPr>
          <w:szCs w:val="24"/>
          <w:lang w:val="lt-LT"/>
        </w:rPr>
      </w:pPr>
    </w:p>
    <w:p w14:paraId="6F77DF86" w14:textId="77777777" w:rsidR="009A4BFE" w:rsidRDefault="009A4BFE">
      <w:pPr>
        <w:rPr>
          <w:szCs w:val="24"/>
          <w:lang w:val="lt-LT"/>
        </w:rPr>
      </w:pPr>
    </w:p>
    <w:p w14:paraId="64C71721" w14:textId="77777777" w:rsidR="009A4BFE" w:rsidRDefault="0051186A">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REGISTRUOTOJO PAVADINIMAS IR ADRESAS</w:t>
      </w:r>
    </w:p>
    <w:p w14:paraId="44CF4C24" w14:textId="77777777" w:rsidR="009A4BFE" w:rsidRDefault="009A4BFE">
      <w:pPr>
        <w:rPr>
          <w:szCs w:val="24"/>
          <w:lang w:val="lt-LT"/>
        </w:rPr>
      </w:pPr>
    </w:p>
    <w:p w14:paraId="5FA8E448" w14:textId="77777777" w:rsidR="009A4BFE" w:rsidRPr="0022257B" w:rsidRDefault="0051186A">
      <w:pPr>
        <w:widowControl w:val="0"/>
        <w:jc w:val="both"/>
        <w:rPr>
          <w:lang w:val="pt-PT"/>
        </w:rPr>
      </w:pPr>
      <w:r>
        <w:rPr>
          <w:szCs w:val="22"/>
          <w:lang w:val="lt-LT"/>
        </w:rPr>
        <w:t xml:space="preserve">KRKA, </w:t>
      </w:r>
      <w:proofErr w:type="spellStart"/>
      <w:r>
        <w:rPr>
          <w:szCs w:val="22"/>
          <w:lang w:val="lt-LT"/>
        </w:rPr>
        <w:t>d.d</w:t>
      </w:r>
      <w:proofErr w:type="spellEnd"/>
      <w:r>
        <w:rPr>
          <w:szCs w:val="22"/>
          <w:lang w:val="lt-LT"/>
        </w:rPr>
        <w:t>., Novo mesto</w:t>
      </w:r>
    </w:p>
    <w:p w14:paraId="6D4A8AE0" w14:textId="77777777" w:rsidR="009A4BFE" w:rsidRPr="0022257B" w:rsidRDefault="0051186A">
      <w:pPr>
        <w:widowControl w:val="0"/>
        <w:jc w:val="both"/>
        <w:rPr>
          <w:lang w:val="pt-P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5FBEA2B8" w14:textId="77777777" w:rsidR="009A4BFE" w:rsidRPr="0022257B" w:rsidRDefault="0051186A">
      <w:pPr>
        <w:widowControl w:val="0"/>
        <w:jc w:val="both"/>
        <w:rPr>
          <w:lang w:val="pt-PT"/>
        </w:rPr>
      </w:pPr>
      <w:r>
        <w:rPr>
          <w:szCs w:val="22"/>
          <w:lang w:val="lt-LT"/>
        </w:rPr>
        <w:t>8501 Novo mesto</w:t>
      </w:r>
    </w:p>
    <w:p w14:paraId="2F7543B0" w14:textId="77777777" w:rsidR="009A4BFE" w:rsidRPr="0022257B" w:rsidRDefault="0051186A">
      <w:pPr>
        <w:widowControl w:val="0"/>
        <w:rPr>
          <w:lang w:val="pt-PT"/>
        </w:rPr>
      </w:pPr>
      <w:r>
        <w:rPr>
          <w:szCs w:val="22"/>
          <w:lang w:val="lt-LT"/>
        </w:rPr>
        <w:t>Slovėnija</w:t>
      </w:r>
    </w:p>
    <w:p w14:paraId="40B27E6B" w14:textId="77777777" w:rsidR="009A4BFE" w:rsidRPr="0022257B" w:rsidRDefault="009A4BFE">
      <w:pPr>
        <w:widowControl w:val="0"/>
        <w:rPr>
          <w:lang w:val="pt-PT"/>
        </w:rPr>
      </w:pPr>
    </w:p>
    <w:p w14:paraId="1AA8B3A7" w14:textId="77777777" w:rsidR="009A4BFE" w:rsidRDefault="009A4BFE">
      <w:pPr>
        <w:rPr>
          <w:szCs w:val="24"/>
          <w:lang w:val="lt-LT"/>
        </w:rPr>
      </w:pPr>
    </w:p>
    <w:p w14:paraId="5500CCE8" w14:textId="77777777" w:rsidR="009A4BFE" w:rsidRDefault="0051186A">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w:t>
      </w:r>
      <w:r>
        <w:rPr>
          <w:snapToGrid/>
          <w:szCs w:val="24"/>
          <w:u w:val="single"/>
          <w:lang w:val="lt-LT"/>
        </w:rPr>
        <w:t> </w:t>
      </w:r>
      <w:r>
        <w:rPr>
          <w:b/>
          <w:noProof/>
          <w:szCs w:val="24"/>
          <w:lang w:val="lt-LT"/>
        </w:rPr>
        <w:t>(-IAI)</w:t>
      </w:r>
      <w:r>
        <w:rPr>
          <w:b/>
          <w:szCs w:val="24"/>
          <w:lang w:val="lt-LT"/>
        </w:rPr>
        <w:t xml:space="preserve"> </w:t>
      </w:r>
    </w:p>
    <w:p w14:paraId="1AC1C5D0" w14:textId="77777777" w:rsidR="009A4BFE" w:rsidRDefault="009A4BFE">
      <w:pPr>
        <w:rPr>
          <w:szCs w:val="24"/>
          <w:lang w:val="lt-LT"/>
        </w:rPr>
      </w:pPr>
    </w:p>
    <w:p w14:paraId="16CE74C3" w14:textId="77777777" w:rsidR="009A4BFE" w:rsidRDefault="0051186A">
      <w:pPr>
        <w:tabs>
          <w:tab w:val="clear" w:pos="567"/>
        </w:tabs>
        <w:autoSpaceDE w:val="0"/>
        <w:autoSpaceDN w:val="0"/>
        <w:adjustRightInd w:val="0"/>
        <w:spacing w:line="240" w:lineRule="auto"/>
        <w:rPr>
          <w:rFonts w:eastAsia="TimesNewRoman"/>
          <w:snapToGrid/>
          <w:szCs w:val="22"/>
          <w:highlight w:val="lightGray"/>
          <w:u w:val="single"/>
          <w:lang w:val="lt-LT"/>
        </w:rPr>
      </w:pPr>
      <w:r>
        <w:rPr>
          <w:rFonts w:eastAsia="TimesNewRoman"/>
          <w:snapToGrid/>
          <w:szCs w:val="22"/>
          <w:highlight w:val="lightGray"/>
          <w:u w:val="single"/>
          <w:lang w:val="lt-LT"/>
        </w:rPr>
        <w:t>60 mg</w:t>
      </w:r>
    </w:p>
    <w:p w14:paraId="09621929"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lang w:val="lt-LT"/>
        </w:rPr>
        <w:t xml:space="preserve">LT/1/21/4685/001 </w:t>
      </w:r>
      <w:r>
        <w:rPr>
          <w:rFonts w:eastAsia="TimesNewRoman"/>
          <w:snapToGrid/>
          <w:szCs w:val="22"/>
          <w:highlight w:val="lightGray"/>
          <w:lang w:val="lt-LT"/>
        </w:rPr>
        <w:t>– N14</w:t>
      </w:r>
    </w:p>
    <w:p w14:paraId="136BF5D7"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LT/1/21/4685/002 – N56</w:t>
      </w:r>
    </w:p>
    <w:p w14:paraId="2FC2F892"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LT/1/21/4685/003 – N60</w:t>
      </w:r>
    </w:p>
    <w:p w14:paraId="65C6CD1B"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LT/1/21/4685/004 – N168</w:t>
      </w:r>
    </w:p>
    <w:p w14:paraId="16B77D5F"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LT/1/21/4685/005 – N180</w:t>
      </w:r>
    </w:p>
    <w:p w14:paraId="185162F5" w14:textId="77777777" w:rsidR="009A4BFE" w:rsidRDefault="0051186A">
      <w:pPr>
        <w:tabs>
          <w:tab w:val="clear" w:pos="567"/>
        </w:tabs>
        <w:autoSpaceDE w:val="0"/>
        <w:autoSpaceDN w:val="0"/>
        <w:adjustRightInd w:val="0"/>
        <w:spacing w:line="240" w:lineRule="auto"/>
        <w:rPr>
          <w:rFonts w:eastAsia="TimesNewRoman"/>
          <w:snapToGrid/>
          <w:szCs w:val="22"/>
          <w:highlight w:val="lightGray"/>
          <w:u w:val="single"/>
          <w:lang w:val="lt-LT"/>
        </w:rPr>
      </w:pPr>
      <w:r>
        <w:rPr>
          <w:rFonts w:eastAsia="TimesNewRoman"/>
          <w:snapToGrid/>
          <w:szCs w:val="22"/>
          <w:highlight w:val="lightGray"/>
          <w:u w:val="single"/>
          <w:lang w:val="lt-LT"/>
        </w:rPr>
        <w:t>90 mg</w:t>
      </w:r>
    </w:p>
    <w:p w14:paraId="054E0263"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lang w:val="lt-LT"/>
        </w:rPr>
        <w:t xml:space="preserve">LT/1/21/4686/001 </w:t>
      </w:r>
      <w:r>
        <w:rPr>
          <w:rFonts w:eastAsia="TimesNewRoman"/>
          <w:snapToGrid/>
          <w:szCs w:val="22"/>
          <w:highlight w:val="lightGray"/>
          <w:lang w:val="lt-LT"/>
        </w:rPr>
        <w:t>– N14</w:t>
      </w:r>
    </w:p>
    <w:p w14:paraId="1CBE37FB"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LT/1/21/4686/002 – N56</w:t>
      </w:r>
    </w:p>
    <w:p w14:paraId="48764B82"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LT/1/21/4686/003 – N60</w:t>
      </w:r>
    </w:p>
    <w:p w14:paraId="7D3BA452"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LT/1/21/4686/004 – N100</w:t>
      </w:r>
    </w:p>
    <w:p w14:paraId="741BE5C8"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LT/1/21/4686/005 – N168</w:t>
      </w:r>
    </w:p>
    <w:p w14:paraId="6D4B1D91" w14:textId="77777777" w:rsidR="009A4BFE" w:rsidRDefault="0051186A">
      <w:pPr>
        <w:tabs>
          <w:tab w:val="clear" w:pos="567"/>
        </w:tabs>
        <w:autoSpaceDE w:val="0"/>
        <w:autoSpaceDN w:val="0"/>
        <w:adjustRightInd w:val="0"/>
        <w:spacing w:line="240" w:lineRule="auto"/>
        <w:rPr>
          <w:rFonts w:eastAsia="TimesNewRoman"/>
          <w:snapToGrid/>
          <w:szCs w:val="22"/>
          <w:highlight w:val="lightGray"/>
          <w:lang w:val="lt-LT"/>
        </w:rPr>
      </w:pPr>
      <w:r>
        <w:rPr>
          <w:rFonts w:eastAsia="TimesNewRoman"/>
          <w:snapToGrid/>
          <w:szCs w:val="22"/>
          <w:highlight w:val="lightGray"/>
          <w:lang w:val="lt-LT"/>
        </w:rPr>
        <w:t>LT/1/21/4686/006 – N180</w:t>
      </w:r>
    </w:p>
    <w:p w14:paraId="75BA43E0" w14:textId="77777777" w:rsidR="009A4BFE" w:rsidRDefault="009A4BFE">
      <w:pPr>
        <w:rPr>
          <w:lang w:val="lt-LT"/>
        </w:rPr>
      </w:pPr>
    </w:p>
    <w:p w14:paraId="05CAE07D" w14:textId="77777777" w:rsidR="009A4BFE" w:rsidRDefault="009A4BFE">
      <w:pPr>
        <w:rPr>
          <w:szCs w:val="24"/>
          <w:lang w:val="lt-LT"/>
        </w:rPr>
      </w:pPr>
    </w:p>
    <w:p w14:paraId="5312D57B" w14:textId="77777777" w:rsidR="009A4BFE" w:rsidRDefault="0051186A">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1494A0C2" w14:textId="77777777" w:rsidR="009A4BFE" w:rsidRDefault="009A4BFE">
      <w:pPr>
        <w:rPr>
          <w:lang w:val="lt-LT"/>
        </w:rPr>
      </w:pPr>
    </w:p>
    <w:p w14:paraId="24E7FA7C" w14:textId="77777777" w:rsidR="009A4BFE" w:rsidRDefault="0051186A">
      <w:pPr>
        <w:rPr>
          <w:lang w:val="lt-LT"/>
        </w:rPr>
      </w:pPr>
      <w:r>
        <w:rPr>
          <w:lang w:val="lt-LT"/>
        </w:rPr>
        <w:t>Lot {numeris}</w:t>
      </w:r>
    </w:p>
    <w:p w14:paraId="72812FE0" w14:textId="77777777" w:rsidR="009A4BFE" w:rsidRDefault="009A4BFE">
      <w:pPr>
        <w:rPr>
          <w:szCs w:val="24"/>
          <w:lang w:val="lt-LT"/>
        </w:rPr>
      </w:pPr>
    </w:p>
    <w:p w14:paraId="6116937E" w14:textId="77777777" w:rsidR="009A4BFE" w:rsidRDefault="009A4BFE">
      <w:pPr>
        <w:rPr>
          <w:szCs w:val="24"/>
          <w:lang w:val="lt-LT"/>
        </w:rPr>
      </w:pPr>
    </w:p>
    <w:p w14:paraId="3A253100" w14:textId="77777777" w:rsidR="009A4BFE" w:rsidRDefault="0051186A">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3FD599E0" w14:textId="77777777" w:rsidR="009A4BFE" w:rsidRDefault="009A4BFE">
      <w:pPr>
        <w:rPr>
          <w:szCs w:val="24"/>
          <w:lang w:val="lt-LT"/>
        </w:rPr>
      </w:pPr>
    </w:p>
    <w:p w14:paraId="007D0E28" w14:textId="77777777" w:rsidR="009A4BFE" w:rsidRDefault="0051186A">
      <w:pPr>
        <w:rPr>
          <w:szCs w:val="24"/>
          <w:lang w:val="lt-LT"/>
        </w:rPr>
      </w:pPr>
      <w:r>
        <w:rPr>
          <w:szCs w:val="24"/>
          <w:lang w:val="lt-LT"/>
        </w:rPr>
        <w:t>Receptinis vaistas</w:t>
      </w:r>
    </w:p>
    <w:p w14:paraId="5894B799" w14:textId="77777777" w:rsidR="009A4BFE" w:rsidRDefault="009A4BFE">
      <w:pPr>
        <w:rPr>
          <w:szCs w:val="24"/>
          <w:lang w:val="lt-LT"/>
        </w:rPr>
      </w:pPr>
    </w:p>
    <w:p w14:paraId="5C5442B8" w14:textId="77777777" w:rsidR="009A4BFE" w:rsidRDefault="009A4BFE">
      <w:pPr>
        <w:rPr>
          <w:szCs w:val="24"/>
          <w:lang w:val="lt-LT"/>
        </w:rPr>
      </w:pPr>
    </w:p>
    <w:p w14:paraId="279085DB" w14:textId="77777777" w:rsidR="009A4BFE" w:rsidRDefault="0051186A">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6E6BE372" w14:textId="77777777" w:rsidR="009A4BFE" w:rsidRDefault="009A4BFE">
      <w:pPr>
        <w:rPr>
          <w:szCs w:val="24"/>
          <w:lang w:val="lt-LT"/>
        </w:rPr>
      </w:pPr>
    </w:p>
    <w:p w14:paraId="3C0171CB" w14:textId="77777777" w:rsidR="009A4BFE" w:rsidRDefault="009A4BFE">
      <w:pPr>
        <w:rPr>
          <w:szCs w:val="24"/>
          <w:lang w:val="lt-LT"/>
        </w:rPr>
      </w:pPr>
    </w:p>
    <w:p w14:paraId="1E774972" w14:textId="77777777" w:rsidR="009A4BFE" w:rsidRDefault="0051186A">
      <w:pPr>
        <w:pBdr>
          <w:top w:val="single" w:sz="4" w:space="1" w:color="auto"/>
          <w:left w:val="single" w:sz="4" w:space="4" w:color="auto"/>
          <w:bottom w:val="single" w:sz="4" w:space="0" w:color="auto"/>
          <w:right w:val="single" w:sz="4" w:space="4" w:color="auto"/>
        </w:pBdr>
        <w:spacing w:line="240" w:lineRule="auto"/>
        <w:rPr>
          <w:szCs w:val="24"/>
          <w:lang w:val="lt-LT"/>
        </w:rPr>
      </w:pPr>
      <w:r>
        <w:rPr>
          <w:b/>
          <w:szCs w:val="24"/>
          <w:lang w:val="lt-LT"/>
        </w:rPr>
        <w:lastRenderedPageBreak/>
        <w:t>16.</w:t>
      </w:r>
      <w:r>
        <w:rPr>
          <w:b/>
          <w:szCs w:val="24"/>
          <w:lang w:val="lt-LT"/>
        </w:rPr>
        <w:tab/>
      </w:r>
      <w:r>
        <w:rPr>
          <w:b/>
          <w:noProof/>
          <w:szCs w:val="24"/>
          <w:lang w:val="lt-LT"/>
        </w:rPr>
        <w:t>INFORMACIJA BRAILIO RAŠTU</w:t>
      </w:r>
    </w:p>
    <w:p w14:paraId="614965F1" w14:textId="77777777" w:rsidR="009A4BFE" w:rsidRDefault="009A4BFE">
      <w:pPr>
        <w:rPr>
          <w:szCs w:val="24"/>
          <w:lang w:val="lt-LT"/>
        </w:rPr>
      </w:pPr>
    </w:p>
    <w:p w14:paraId="57D8ABFC" w14:textId="77777777" w:rsidR="009A4BFE" w:rsidRDefault="0051186A">
      <w:pPr>
        <w:rPr>
          <w:noProof/>
          <w:szCs w:val="24"/>
          <w:lang w:val="lt-LT"/>
        </w:rPr>
      </w:pPr>
      <w:r w:rsidRPr="0022257B">
        <w:rPr>
          <w:lang w:val="pt-PT"/>
        </w:rPr>
        <w:t>Atixarso</w:t>
      </w:r>
      <w:r>
        <w:rPr>
          <w:noProof/>
          <w:szCs w:val="24"/>
          <w:lang w:val="lt-LT"/>
        </w:rPr>
        <w:t xml:space="preserve"> 60</w:t>
      </w:r>
      <w:r>
        <w:rPr>
          <w:rFonts w:eastAsia="TimesNewRoman"/>
          <w:snapToGrid/>
          <w:szCs w:val="22"/>
          <w:lang w:val="lt-LT"/>
        </w:rPr>
        <w:t> </w:t>
      </w:r>
      <w:r>
        <w:rPr>
          <w:noProof/>
          <w:szCs w:val="24"/>
          <w:lang w:val="lt-LT"/>
        </w:rPr>
        <w:t>mg</w:t>
      </w:r>
    </w:p>
    <w:p w14:paraId="2E4ACFCB" w14:textId="77777777" w:rsidR="009A4BFE" w:rsidRDefault="0051186A">
      <w:pPr>
        <w:rPr>
          <w:szCs w:val="24"/>
          <w:lang w:val="lt-LT"/>
        </w:rPr>
      </w:pPr>
      <w:r w:rsidRPr="0022257B">
        <w:rPr>
          <w:lang w:val="pt-PT"/>
        </w:rPr>
        <w:t>Atixarso</w:t>
      </w:r>
      <w:r>
        <w:rPr>
          <w:lang w:val="lt-LT"/>
        </w:rPr>
        <w:t xml:space="preserve"> </w:t>
      </w:r>
      <w:r w:rsidRPr="0022257B">
        <w:rPr>
          <w:lang w:val="pt-PT"/>
        </w:rPr>
        <w:t>90 mg</w:t>
      </w:r>
    </w:p>
    <w:p w14:paraId="07127225" w14:textId="77777777" w:rsidR="009A4BFE" w:rsidRDefault="009A4BFE">
      <w:pPr>
        <w:rPr>
          <w:szCs w:val="24"/>
          <w:lang w:val="lt-LT"/>
        </w:rPr>
      </w:pPr>
    </w:p>
    <w:p w14:paraId="69B1AF49" w14:textId="77777777" w:rsidR="009A4BFE" w:rsidRDefault="009A4BFE">
      <w:pPr>
        <w:rPr>
          <w:noProof/>
          <w:snapToGrid/>
          <w:szCs w:val="22"/>
          <w:shd w:val="clear" w:color="auto" w:fill="CCCCCC"/>
          <w:lang w:val="lt-LT"/>
        </w:rPr>
      </w:pPr>
    </w:p>
    <w:p w14:paraId="609E660C" w14:textId="77777777" w:rsidR="009A4BFE" w:rsidRDefault="0051186A">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Pr>
          <w:b/>
          <w:noProof/>
          <w:lang w:val="lt-LT"/>
        </w:rPr>
        <w:t>17.</w:t>
      </w:r>
      <w:r>
        <w:rPr>
          <w:b/>
          <w:noProof/>
          <w:lang w:val="lt-LT"/>
        </w:rPr>
        <w:tab/>
        <w:t>UNIKALUS IDENTIFIKATORIUS – 2D BRŪKŠNINIS KODAS</w:t>
      </w:r>
    </w:p>
    <w:p w14:paraId="37BDD518" w14:textId="77777777" w:rsidR="009A4BFE" w:rsidRDefault="009A4BFE">
      <w:pPr>
        <w:rPr>
          <w:noProof/>
          <w:lang w:val="lt-LT"/>
        </w:rPr>
      </w:pPr>
    </w:p>
    <w:p w14:paraId="08A4C16E" w14:textId="77777777" w:rsidR="009A4BFE" w:rsidRDefault="0051186A">
      <w:pPr>
        <w:rPr>
          <w:noProof/>
          <w:szCs w:val="22"/>
          <w:shd w:val="clear" w:color="auto" w:fill="CCCCCC"/>
          <w:lang w:val="lt-LT"/>
        </w:rPr>
      </w:pPr>
      <w:r>
        <w:rPr>
          <w:noProof/>
          <w:highlight w:val="lightGray"/>
          <w:lang w:val="lt-LT"/>
        </w:rPr>
        <w:t>2D brūkšninis kodas su nurodytu unikaliu identifikatoriumi.</w:t>
      </w:r>
    </w:p>
    <w:p w14:paraId="339D45EB" w14:textId="77777777" w:rsidR="009A4BFE" w:rsidRDefault="009A4BFE">
      <w:pPr>
        <w:rPr>
          <w:noProof/>
          <w:lang w:val="lt-LT"/>
        </w:rPr>
      </w:pPr>
    </w:p>
    <w:p w14:paraId="3390219D" w14:textId="77777777" w:rsidR="009A4BFE" w:rsidRDefault="009A4BFE">
      <w:pPr>
        <w:rPr>
          <w:noProof/>
          <w:lang w:val="lt-LT"/>
        </w:rPr>
      </w:pPr>
    </w:p>
    <w:p w14:paraId="3B664453" w14:textId="77777777" w:rsidR="009A4BFE" w:rsidRDefault="0051186A">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Pr>
          <w:b/>
          <w:noProof/>
          <w:lang w:val="lt-LT"/>
        </w:rPr>
        <w:t>18.</w:t>
      </w:r>
      <w:r>
        <w:rPr>
          <w:b/>
          <w:noProof/>
          <w:lang w:val="lt-LT"/>
        </w:rPr>
        <w:tab/>
        <w:t>UNIKALUS IDENTIFIKATORIUS – ŽMONĖMS SUPRANTAMI DUOMENYS</w:t>
      </w:r>
    </w:p>
    <w:p w14:paraId="5D57F825" w14:textId="77777777" w:rsidR="009A4BFE" w:rsidRDefault="009A4BFE">
      <w:pPr>
        <w:rPr>
          <w:noProof/>
          <w:lang w:val="lt-LT"/>
        </w:rPr>
      </w:pPr>
    </w:p>
    <w:p w14:paraId="12D79509" w14:textId="77777777" w:rsidR="009A4BFE" w:rsidRDefault="0051186A">
      <w:pPr>
        <w:rPr>
          <w:lang w:val="lt-LT"/>
        </w:rPr>
      </w:pPr>
      <w:r>
        <w:rPr>
          <w:lang w:val="lt-LT"/>
        </w:rPr>
        <w:t>PC</w:t>
      </w:r>
    </w:p>
    <w:p w14:paraId="737D3BD4" w14:textId="77777777" w:rsidR="009A4BFE" w:rsidRDefault="0051186A">
      <w:pPr>
        <w:rPr>
          <w:lang w:val="lt-LT"/>
        </w:rPr>
      </w:pPr>
      <w:r>
        <w:rPr>
          <w:lang w:val="lt-LT"/>
        </w:rPr>
        <w:t>SN</w:t>
      </w:r>
    </w:p>
    <w:p w14:paraId="266D31BF" w14:textId="77777777" w:rsidR="009A4BFE" w:rsidRDefault="0051186A">
      <w:pPr>
        <w:rPr>
          <w:lang w:val="lt-LT"/>
        </w:rPr>
      </w:pPr>
      <w:r>
        <w:rPr>
          <w:lang w:val="lt-LT"/>
        </w:rPr>
        <w:t>NN</w:t>
      </w:r>
    </w:p>
    <w:p w14:paraId="461A3E6F" w14:textId="77777777" w:rsidR="009A4BFE" w:rsidRDefault="009A4BFE">
      <w:pPr>
        <w:rPr>
          <w:szCs w:val="24"/>
          <w:lang w:val="lt-LT"/>
        </w:rPr>
      </w:pPr>
    </w:p>
    <w:p w14:paraId="77D9FE30" w14:textId="77777777" w:rsidR="009A4BFE" w:rsidRDefault="0051186A">
      <w:pPr>
        <w:rPr>
          <w:szCs w:val="24"/>
          <w:lang w:val="lt-LT"/>
        </w:rPr>
      </w:pPr>
      <w:r>
        <w:rPr>
          <w:szCs w:val="24"/>
          <w:lang w:val="lt-LT"/>
        </w:rPr>
        <w:br w:type="page"/>
      </w:r>
    </w:p>
    <w:p w14:paraId="00F97DCA" w14:textId="77777777" w:rsidR="009A4BFE" w:rsidRDefault="0051186A">
      <w:pPr>
        <w:pBdr>
          <w:top w:val="single" w:sz="4" w:space="1" w:color="auto"/>
          <w:left w:val="single" w:sz="4" w:space="4" w:color="auto"/>
          <w:bottom w:val="single" w:sz="4" w:space="1" w:color="auto"/>
          <w:right w:val="single" w:sz="4" w:space="4" w:color="auto"/>
        </w:pBdr>
        <w:tabs>
          <w:tab w:val="clear" w:pos="567"/>
        </w:tabs>
        <w:rPr>
          <w:b/>
          <w:noProof/>
          <w:szCs w:val="24"/>
          <w:lang w:val="lt-LT"/>
        </w:rPr>
      </w:pPr>
      <w:r>
        <w:rPr>
          <w:b/>
          <w:noProof/>
          <w:szCs w:val="24"/>
          <w:lang w:val="lt-LT"/>
        </w:rPr>
        <w:lastRenderedPageBreak/>
        <w:t>MINIMALI INFORMACIJA ANT LIZDINIŲ PLOKŠTELIŲ ARBA DVISLUOKSNIŲ JUOSTELIŲ</w:t>
      </w:r>
    </w:p>
    <w:p w14:paraId="7E5B55B7" w14:textId="77777777" w:rsidR="009A4BFE" w:rsidRDefault="009A4BFE">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10F45B8D" w14:textId="77777777" w:rsidR="009A4BFE" w:rsidRDefault="0051186A">
      <w:pPr>
        <w:pBdr>
          <w:top w:val="single" w:sz="4" w:space="1" w:color="auto"/>
          <w:left w:val="single" w:sz="4" w:space="4" w:color="auto"/>
          <w:bottom w:val="single" w:sz="4" w:space="1" w:color="auto"/>
          <w:right w:val="single" w:sz="4" w:space="4" w:color="auto"/>
        </w:pBdr>
        <w:ind w:left="567" w:hanging="567"/>
        <w:rPr>
          <w:b/>
          <w:lang w:val="lt-LT"/>
        </w:rPr>
      </w:pPr>
      <w:r>
        <w:rPr>
          <w:b/>
          <w:lang w:val="lt-LT"/>
        </w:rPr>
        <w:t xml:space="preserve">LIZDINĖ PLOKŠTELĖ </w:t>
      </w:r>
    </w:p>
    <w:p w14:paraId="0968D7DD" w14:textId="77777777" w:rsidR="009A4BFE" w:rsidRDefault="009A4BFE">
      <w:pPr>
        <w:rPr>
          <w:lang w:val="lt-LT"/>
        </w:rPr>
      </w:pPr>
    </w:p>
    <w:p w14:paraId="162DF023" w14:textId="77777777" w:rsidR="009A4BFE" w:rsidRDefault="009A4BFE">
      <w:pPr>
        <w:rPr>
          <w:szCs w:val="24"/>
          <w:lang w:val="lt-LT"/>
        </w:rPr>
      </w:pPr>
    </w:p>
    <w:p w14:paraId="7B6220B0" w14:textId="77777777" w:rsidR="009A4BFE" w:rsidRDefault="0051186A">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7E8D060E" w14:textId="77777777" w:rsidR="009A4BFE" w:rsidRDefault="009A4BFE">
      <w:pPr>
        <w:rPr>
          <w:szCs w:val="24"/>
          <w:lang w:val="lt-LT"/>
        </w:rPr>
      </w:pPr>
    </w:p>
    <w:p w14:paraId="032E4CB0" w14:textId="77777777" w:rsidR="009A4BFE" w:rsidRDefault="0051186A">
      <w:pPr>
        <w:autoSpaceDE w:val="0"/>
        <w:autoSpaceDN w:val="0"/>
        <w:rPr>
          <w:lang w:val="lt-LT"/>
        </w:rPr>
      </w:pPr>
      <w:r w:rsidRPr="0022257B">
        <w:rPr>
          <w:lang w:val="pt-PT"/>
        </w:rPr>
        <w:t>Atixarso</w:t>
      </w:r>
      <w:r>
        <w:rPr>
          <w:lang w:val="lt-LT"/>
        </w:rPr>
        <w:t xml:space="preserve"> 60</w:t>
      </w:r>
      <w:r>
        <w:rPr>
          <w:rFonts w:eastAsia="TimesNewRoman"/>
          <w:snapToGrid/>
          <w:szCs w:val="22"/>
          <w:lang w:val="lt-LT"/>
        </w:rPr>
        <w:t> </w:t>
      </w:r>
      <w:r>
        <w:rPr>
          <w:lang w:val="lt-LT"/>
        </w:rPr>
        <w:t>mg plėvele dengtos tabletės</w:t>
      </w:r>
    </w:p>
    <w:p w14:paraId="2240AA52" w14:textId="77777777" w:rsidR="009A4BFE" w:rsidRDefault="0051186A">
      <w:pPr>
        <w:autoSpaceDE w:val="0"/>
        <w:autoSpaceDN w:val="0"/>
        <w:rPr>
          <w:lang w:val="lt-LT"/>
        </w:rPr>
      </w:pPr>
      <w:proofErr w:type="spellStart"/>
      <w:r w:rsidRPr="0022257B">
        <w:rPr>
          <w:highlight w:val="lightGray"/>
          <w:lang w:val="lt-LT"/>
        </w:rPr>
        <w:t>Atixarso</w:t>
      </w:r>
      <w:proofErr w:type="spellEnd"/>
      <w:r>
        <w:rPr>
          <w:highlight w:val="lightGray"/>
          <w:lang w:val="lt-LT"/>
        </w:rPr>
        <w:t xml:space="preserve"> 90</w:t>
      </w:r>
      <w:r>
        <w:rPr>
          <w:rFonts w:eastAsia="TimesNewRoman"/>
          <w:snapToGrid/>
          <w:szCs w:val="22"/>
          <w:highlight w:val="lightGray"/>
          <w:lang w:val="lt-LT"/>
        </w:rPr>
        <w:t> </w:t>
      </w:r>
      <w:r>
        <w:rPr>
          <w:highlight w:val="lightGray"/>
          <w:lang w:val="lt-LT"/>
        </w:rPr>
        <w:t>mg plėvele dengtos tabletės</w:t>
      </w:r>
    </w:p>
    <w:p w14:paraId="25D2CFFA" w14:textId="77777777" w:rsidR="009A4BFE" w:rsidRPr="0022257B" w:rsidRDefault="009A4BFE">
      <w:pPr>
        <w:rPr>
          <w:lang w:val="lt-LT"/>
        </w:rPr>
      </w:pPr>
    </w:p>
    <w:p w14:paraId="23817F8A" w14:textId="77777777" w:rsidR="009A4BFE" w:rsidRPr="0022257B" w:rsidRDefault="0051186A">
      <w:pPr>
        <w:rPr>
          <w:i/>
          <w:lang w:val="lt-LT"/>
        </w:rPr>
      </w:pPr>
      <w:r w:rsidRPr="0022257B">
        <w:rPr>
          <w:i/>
          <w:highlight w:val="darkGray"/>
          <w:lang w:val="lt-LT"/>
        </w:rPr>
        <w:t>Daugiakalbėms lizdinėms plokštelėms</w:t>
      </w:r>
    </w:p>
    <w:p w14:paraId="3A06A32E" w14:textId="77777777" w:rsidR="009A4BFE" w:rsidRDefault="0051186A">
      <w:pPr>
        <w:autoSpaceDE w:val="0"/>
        <w:autoSpaceDN w:val="0"/>
        <w:rPr>
          <w:highlight w:val="darkGray"/>
          <w:lang w:val="lt-LT"/>
        </w:rPr>
      </w:pPr>
      <w:proofErr w:type="spellStart"/>
      <w:r w:rsidRPr="0022257B">
        <w:rPr>
          <w:highlight w:val="darkGray"/>
          <w:lang w:val="lt-LT"/>
        </w:rPr>
        <w:t>Atixarso</w:t>
      </w:r>
      <w:proofErr w:type="spellEnd"/>
      <w:r>
        <w:rPr>
          <w:highlight w:val="darkGray"/>
          <w:lang w:val="lt-LT"/>
        </w:rPr>
        <w:t xml:space="preserve"> 60</w:t>
      </w:r>
      <w:r>
        <w:rPr>
          <w:rFonts w:eastAsia="TimesNewRoman"/>
          <w:snapToGrid/>
          <w:szCs w:val="22"/>
          <w:highlight w:val="darkGray"/>
          <w:lang w:val="lt-LT"/>
        </w:rPr>
        <w:t> </w:t>
      </w:r>
      <w:r>
        <w:rPr>
          <w:highlight w:val="darkGray"/>
          <w:lang w:val="lt-LT"/>
        </w:rPr>
        <w:t>mg tabletės</w:t>
      </w:r>
    </w:p>
    <w:p w14:paraId="2BAEF195" w14:textId="77777777" w:rsidR="009A4BFE" w:rsidRPr="0022257B" w:rsidRDefault="0051186A">
      <w:pPr>
        <w:rPr>
          <w:i/>
          <w:lang w:val="lt-LT"/>
        </w:rPr>
      </w:pPr>
      <w:proofErr w:type="spellStart"/>
      <w:r w:rsidRPr="0022257B">
        <w:rPr>
          <w:highlight w:val="darkGray"/>
          <w:lang w:val="lt-LT"/>
        </w:rPr>
        <w:t>Atixarso</w:t>
      </w:r>
      <w:proofErr w:type="spellEnd"/>
      <w:r>
        <w:rPr>
          <w:highlight w:val="darkGray"/>
          <w:lang w:val="lt-LT"/>
        </w:rPr>
        <w:t xml:space="preserve"> 90</w:t>
      </w:r>
      <w:r>
        <w:rPr>
          <w:rFonts w:eastAsia="TimesNewRoman"/>
          <w:snapToGrid/>
          <w:szCs w:val="22"/>
          <w:highlight w:val="darkGray"/>
          <w:lang w:val="lt-LT"/>
        </w:rPr>
        <w:t> </w:t>
      </w:r>
      <w:r>
        <w:rPr>
          <w:highlight w:val="darkGray"/>
          <w:lang w:val="lt-LT"/>
        </w:rPr>
        <w:t>mg tabletės</w:t>
      </w:r>
    </w:p>
    <w:p w14:paraId="71769ABF" w14:textId="77777777" w:rsidR="009A4BFE" w:rsidRPr="0022257B" w:rsidRDefault="009A4BFE">
      <w:pPr>
        <w:rPr>
          <w:lang w:val="lt-LT"/>
        </w:rPr>
      </w:pPr>
    </w:p>
    <w:p w14:paraId="6E1B8560" w14:textId="77777777" w:rsidR="009A4BFE" w:rsidRDefault="0051186A">
      <w:pPr>
        <w:rPr>
          <w:noProof/>
          <w:szCs w:val="24"/>
          <w:lang w:val="lt-LT"/>
        </w:rPr>
      </w:pPr>
      <w:r>
        <w:rPr>
          <w:rFonts w:eastAsia="Calibri"/>
          <w:szCs w:val="22"/>
          <w:lang w:val="pt-PT"/>
        </w:rPr>
        <w:t>tikagreloras</w:t>
      </w:r>
    </w:p>
    <w:p w14:paraId="30D8949C" w14:textId="77777777" w:rsidR="009A4BFE" w:rsidRDefault="009A4BFE">
      <w:pPr>
        <w:rPr>
          <w:szCs w:val="24"/>
          <w:lang w:val="lt-LT"/>
        </w:rPr>
      </w:pPr>
    </w:p>
    <w:p w14:paraId="7FC9EB53" w14:textId="77777777" w:rsidR="009A4BFE" w:rsidRDefault="009A4BFE">
      <w:pPr>
        <w:rPr>
          <w:szCs w:val="24"/>
          <w:lang w:val="lt-LT"/>
        </w:rPr>
      </w:pPr>
    </w:p>
    <w:p w14:paraId="0055DA60" w14:textId="77777777" w:rsidR="009A4BFE" w:rsidRDefault="0051186A">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REGISTRUOTOJO pavadinimas</w:t>
      </w:r>
    </w:p>
    <w:p w14:paraId="78A734DE" w14:textId="77777777" w:rsidR="009A4BFE" w:rsidRDefault="009A4BFE">
      <w:pPr>
        <w:rPr>
          <w:szCs w:val="24"/>
          <w:lang w:val="lt-LT"/>
        </w:rPr>
      </w:pPr>
    </w:p>
    <w:p w14:paraId="41A417FE" w14:textId="77777777" w:rsidR="009A4BFE" w:rsidRPr="0022257B" w:rsidRDefault="0051186A">
      <w:pPr>
        <w:widowControl w:val="0"/>
        <w:rPr>
          <w:lang w:val="pt-PT"/>
        </w:rPr>
      </w:pPr>
      <w:r>
        <w:rPr>
          <w:szCs w:val="22"/>
          <w:lang w:val="lt-LT"/>
        </w:rPr>
        <w:t>KRKA</w:t>
      </w:r>
    </w:p>
    <w:p w14:paraId="4F39505A" w14:textId="77777777" w:rsidR="009A4BFE" w:rsidRDefault="009A4BFE">
      <w:pPr>
        <w:rPr>
          <w:szCs w:val="24"/>
          <w:lang w:val="lt-LT"/>
        </w:rPr>
      </w:pPr>
    </w:p>
    <w:p w14:paraId="64CC67CE" w14:textId="77777777" w:rsidR="009A4BFE" w:rsidRDefault="009A4BFE">
      <w:pPr>
        <w:rPr>
          <w:szCs w:val="24"/>
          <w:lang w:val="lt-LT"/>
        </w:rPr>
      </w:pPr>
    </w:p>
    <w:p w14:paraId="10B7453F" w14:textId="77777777" w:rsidR="009A4BFE" w:rsidRDefault="0051186A">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61E83B94" w14:textId="77777777" w:rsidR="009A4BFE" w:rsidRDefault="009A4BFE">
      <w:pPr>
        <w:rPr>
          <w:szCs w:val="24"/>
          <w:lang w:val="lt-LT"/>
        </w:rPr>
      </w:pPr>
    </w:p>
    <w:p w14:paraId="254297BA" w14:textId="77777777" w:rsidR="009A4BFE" w:rsidRDefault="0051186A">
      <w:pPr>
        <w:pStyle w:val="BTEMEASMCA"/>
        <w:rPr>
          <w:sz w:val="22"/>
          <w:szCs w:val="22"/>
          <w:lang w:val="lt-LT"/>
        </w:rPr>
      </w:pPr>
      <w:r>
        <w:rPr>
          <w:sz w:val="22"/>
          <w:szCs w:val="22"/>
          <w:lang w:val="lt-LT"/>
        </w:rPr>
        <w:t>EXP {mm MMMM}</w:t>
      </w:r>
    </w:p>
    <w:p w14:paraId="06C370D2" w14:textId="77777777" w:rsidR="009A4BFE" w:rsidRDefault="009A4BFE">
      <w:pPr>
        <w:rPr>
          <w:lang w:val="lt-LT"/>
        </w:rPr>
      </w:pPr>
    </w:p>
    <w:p w14:paraId="12CBEF40" w14:textId="77777777" w:rsidR="009A4BFE" w:rsidRDefault="009A4BFE">
      <w:pPr>
        <w:rPr>
          <w:lang w:val="lt-LT"/>
        </w:rPr>
      </w:pPr>
    </w:p>
    <w:p w14:paraId="34A61E40" w14:textId="77777777" w:rsidR="009A4BFE" w:rsidRDefault="0051186A">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SERIJOS NUMERIS</w:t>
      </w:r>
    </w:p>
    <w:p w14:paraId="63E35956" w14:textId="77777777" w:rsidR="009A4BFE" w:rsidRDefault="009A4BFE">
      <w:pPr>
        <w:rPr>
          <w:lang w:val="lt-LT"/>
        </w:rPr>
      </w:pPr>
    </w:p>
    <w:p w14:paraId="23E71B26" w14:textId="77777777" w:rsidR="009A4BFE" w:rsidRDefault="0051186A">
      <w:pPr>
        <w:spacing w:line="240" w:lineRule="auto"/>
        <w:outlineLvl w:val="0"/>
        <w:rPr>
          <w:b/>
          <w:lang w:val="lt-LT"/>
        </w:rPr>
      </w:pPr>
      <w:r>
        <w:rPr>
          <w:lang w:val="lt-LT"/>
        </w:rPr>
        <w:t>Lot {numeris}</w:t>
      </w:r>
    </w:p>
    <w:p w14:paraId="740951A6" w14:textId="77777777" w:rsidR="009A4BFE" w:rsidRDefault="009A4BFE">
      <w:pPr>
        <w:rPr>
          <w:szCs w:val="24"/>
          <w:lang w:val="lt-LT"/>
        </w:rPr>
      </w:pPr>
    </w:p>
    <w:p w14:paraId="248E4D22" w14:textId="77777777" w:rsidR="009A4BFE" w:rsidRDefault="009A4BFE">
      <w:pPr>
        <w:rPr>
          <w:szCs w:val="24"/>
          <w:lang w:val="lt-LT"/>
        </w:rPr>
      </w:pPr>
    </w:p>
    <w:p w14:paraId="0231E6B3" w14:textId="77777777" w:rsidR="009A4BFE" w:rsidRDefault="0051186A">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14:paraId="4F6C103B" w14:textId="77777777" w:rsidR="009A4BFE" w:rsidRDefault="009A4BFE">
      <w:pPr>
        <w:rPr>
          <w:szCs w:val="24"/>
          <w:lang w:val="lt-LT"/>
        </w:rPr>
      </w:pPr>
    </w:p>
    <w:p w14:paraId="7FB791E8" w14:textId="77777777" w:rsidR="009A4BFE" w:rsidRDefault="0051186A">
      <w:pPr>
        <w:rPr>
          <w:szCs w:val="24"/>
          <w:highlight w:val="lightGray"/>
          <w:lang w:val="lt-LT"/>
        </w:rPr>
      </w:pPr>
      <w:r>
        <w:rPr>
          <w:i/>
          <w:szCs w:val="24"/>
          <w:highlight w:val="lightGray"/>
          <w:lang w:val="lt-LT"/>
        </w:rPr>
        <w:t>saulė</w:t>
      </w:r>
      <w:r>
        <w:rPr>
          <w:szCs w:val="24"/>
          <w:highlight w:val="lightGray"/>
          <w:lang w:val="lt-LT"/>
        </w:rPr>
        <w:t xml:space="preserve"> kaip simbolis</w:t>
      </w:r>
    </w:p>
    <w:p w14:paraId="40656665" w14:textId="77777777" w:rsidR="009A4BFE" w:rsidRDefault="0051186A">
      <w:pPr>
        <w:rPr>
          <w:szCs w:val="24"/>
          <w:lang w:val="lt-LT"/>
        </w:rPr>
      </w:pPr>
      <w:r>
        <w:rPr>
          <w:i/>
          <w:szCs w:val="24"/>
          <w:highlight w:val="lightGray"/>
          <w:lang w:val="lt-LT"/>
        </w:rPr>
        <w:t>mėnulis</w:t>
      </w:r>
      <w:r>
        <w:rPr>
          <w:szCs w:val="24"/>
          <w:highlight w:val="lightGray"/>
          <w:lang w:val="lt-LT"/>
        </w:rPr>
        <w:t xml:space="preserve"> kaip simbolis</w:t>
      </w:r>
    </w:p>
    <w:p w14:paraId="0D1606F0" w14:textId="77777777" w:rsidR="009A4BFE" w:rsidRDefault="009A4BFE">
      <w:pPr>
        <w:rPr>
          <w:szCs w:val="24"/>
          <w:lang w:val="lt-LT"/>
        </w:rPr>
      </w:pPr>
    </w:p>
    <w:p w14:paraId="2114DB4A" w14:textId="77777777" w:rsidR="009A4BFE" w:rsidRDefault="0051186A">
      <w:pPr>
        <w:tabs>
          <w:tab w:val="clear" w:pos="567"/>
        </w:tabs>
        <w:spacing w:line="240" w:lineRule="auto"/>
        <w:rPr>
          <w:lang w:val="lt-LT"/>
        </w:rPr>
      </w:pPr>
      <w:r>
        <w:rPr>
          <w:lang w:val="lt-LT"/>
        </w:rPr>
        <w:br w:type="page"/>
      </w:r>
    </w:p>
    <w:p w14:paraId="382D5EE7" w14:textId="77777777" w:rsidR="009A4BFE" w:rsidRDefault="009A4BFE">
      <w:pPr>
        <w:rPr>
          <w:szCs w:val="24"/>
          <w:lang w:val="lt-LT"/>
        </w:rPr>
      </w:pPr>
    </w:p>
    <w:p w14:paraId="3F9EA686" w14:textId="77777777" w:rsidR="009A4BFE" w:rsidRDefault="009A4BFE">
      <w:pPr>
        <w:jc w:val="center"/>
        <w:outlineLvl w:val="0"/>
        <w:rPr>
          <w:b/>
          <w:lang w:val="lt-LT"/>
        </w:rPr>
      </w:pPr>
    </w:p>
    <w:p w14:paraId="44673E04" w14:textId="77777777" w:rsidR="009A4BFE" w:rsidRDefault="009A4BFE">
      <w:pPr>
        <w:jc w:val="center"/>
        <w:outlineLvl w:val="0"/>
        <w:rPr>
          <w:b/>
          <w:lang w:val="lt-LT"/>
        </w:rPr>
      </w:pPr>
    </w:p>
    <w:p w14:paraId="47C30967" w14:textId="77777777" w:rsidR="009A4BFE" w:rsidRDefault="009A4BFE">
      <w:pPr>
        <w:jc w:val="center"/>
        <w:outlineLvl w:val="0"/>
        <w:rPr>
          <w:b/>
          <w:lang w:val="lt-LT"/>
        </w:rPr>
      </w:pPr>
    </w:p>
    <w:p w14:paraId="204C881D" w14:textId="77777777" w:rsidR="009A4BFE" w:rsidRDefault="009A4BFE">
      <w:pPr>
        <w:jc w:val="center"/>
        <w:outlineLvl w:val="0"/>
        <w:rPr>
          <w:b/>
          <w:lang w:val="lt-LT"/>
        </w:rPr>
      </w:pPr>
    </w:p>
    <w:p w14:paraId="330E9641" w14:textId="77777777" w:rsidR="009A4BFE" w:rsidRDefault="009A4BFE">
      <w:pPr>
        <w:jc w:val="center"/>
        <w:outlineLvl w:val="0"/>
        <w:rPr>
          <w:b/>
          <w:lang w:val="lt-LT"/>
        </w:rPr>
      </w:pPr>
    </w:p>
    <w:p w14:paraId="51A70DA9" w14:textId="77777777" w:rsidR="009A4BFE" w:rsidRDefault="009A4BFE">
      <w:pPr>
        <w:jc w:val="center"/>
        <w:outlineLvl w:val="0"/>
        <w:rPr>
          <w:b/>
          <w:lang w:val="lt-LT"/>
        </w:rPr>
      </w:pPr>
    </w:p>
    <w:p w14:paraId="10C3E244" w14:textId="77777777" w:rsidR="009A4BFE" w:rsidRDefault="009A4BFE">
      <w:pPr>
        <w:jc w:val="center"/>
        <w:outlineLvl w:val="0"/>
        <w:rPr>
          <w:b/>
          <w:lang w:val="lt-LT"/>
        </w:rPr>
      </w:pPr>
    </w:p>
    <w:p w14:paraId="45CC0453" w14:textId="77777777" w:rsidR="009A4BFE" w:rsidRDefault="009A4BFE">
      <w:pPr>
        <w:jc w:val="center"/>
        <w:outlineLvl w:val="0"/>
        <w:rPr>
          <w:b/>
          <w:lang w:val="lt-LT"/>
        </w:rPr>
      </w:pPr>
    </w:p>
    <w:p w14:paraId="3ECEB1C7" w14:textId="77777777" w:rsidR="009A4BFE" w:rsidRDefault="009A4BFE">
      <w:pPr>
        <w:jc w:val="center"/>
        <w:outlineLvl w:val="0"/>
        <w:rPr>
          <w:b/>
          <w:lang w:val="lt-LT"/>
        </w:rPr>
      </w:pPr>
    </w:p>
    <w:p w14:paraId="1A870007" w14:textId="77777777" w:rsidR="009A4BFE" w:rsidRDefault="009A4BFE">
      <w:pPr>
        <w:jc w:val="center"/>
        <w:outlineLvl w:val="0"/>
        <w:rPr>
          <w:b/>
          <w:lang w:val="lt-LT"/>
        </w:rPr>
      </w:pPr>
    </w:p>
    <w:p w14:paraId="4818D320" w14:textId="77777777" w:rsidR="009A4BFE" w:rsidRDefault="009A4BFE">
      <w:pPr>
        <w:jc w:val="center"/>
        <w:outlineLvl w:val="0"/>
        <w:rPr>
          <w:b/>
          <w:lang w:val="lt-LT"/>
        </w:rPr>
      </w:pPr>
    </w:p>
    <w:p w14:paraId="7B685082" w14:textId="77777777" w:rsidR="009A4BFE" w:rsidRDefault="009A4BFE">
      <w:pPr>
        <w:jc w:val="center"/>
        <w:outlineLvl w:val="0"/>
        <w:rPr>
          <w:b/>
          <w:lang w:val="lt-LT"/>
        </w:rPr>
      </w:pPr>
    </w:p>
    <w:p w14:paraId="6BE57BEB" w14:textId="77777777" w:rsidR="009A4BFE" w:rsidRDefault="009A4BFE">
      <w:pPr>
        <w:jc w:val="center"/>
        <w:outlineLvl w:val="0"/>
        <w:rPr>
          <w:b/>
          <w:lang w:val="lt-LT"/>
        </w:rPr>
      </w:pPr>
    </w:p>
    <w:p w14:paraId="5DCFC767" w14:textId="77777777" w:rsidR="009A4BFE" w:rsidRDefault="009A4BFE">
      <w:pPr>
        <w:jc w:val="center"/>
        <w:outlineLvl w:val="0"/>
        <w:rPr>
          <w:b/>
          <w:lang w:val="lt-LT"/>
        </w:rPr>
      </w:pPr>
    </w:p>
    <w:p w14:paraId="07219CF4" w14:textId="77777777" w:rsidR="009A4BFE" w:rsidRDefault="009A4BFE">
      <w:pPr>
        <w:jc w:val="center"/>
        <w:outlineLvl w:val="0"/>
        <w:rPr>
          <w:b/>
          <w:lang w:val="lt-LT"/>
        </w:rPr>
      </w:pPr>
    </w:p>
    <w:p w14:paraId="2F8EEAA6" w14:textId="77777777" w:rsidR="009A4BFE" w:rsidRDefault="009A4BFE">
      <w:pPr>
        <w:jc w:val="center"/>
        <w:outlineLvl w:val="0"/>
        <w:rPr>
          <w:b/>
          <w:lang w:val="lt-LT"/>
        </w:rPr>
      </w:pPr>
    </w:p>
    <w:p w14:paraId="18CCAA04" w14:textId="77777777" w:rsidR="009A4BFE" w:rsidRDefault="009A4BFE">
      <w:pPr>
        <w:jc w:val="center"/>
        <w:outlineLvl w:val="0"/>
        <w:rPr>
          <w:b/>
          <w:lang w:val="lt-LT"/>
        </w:rPr>
      </w:pPr>
    </w:p>
    <w:p w14:paraId="7EA30868" w14:textId="77777777" w:rsidR="009A4BFE" w:rsidRDefault="009A4BFE">
      <w:pPr>
        <w:jc w:val="center"/>
        <w:outlineLvl w:val="0"/>
        <w:rPr>
          <w:b/>
          <w:lang w:val="lt-LT"/>
        </w:rPr>
      </w:pPr>
    </w:p>
    <w:p w14:paraId="4F867D62" w14:textId="77777777" w:rsidR="009A4BFE" w:rsidRDefault="009A4BFE">
      <w:pPr>
        <w:jc w:val="center"/>
        <w:outlineLvl w:val="0"/>
        <w:rPr>
          <w:b/>
          <w:lang w:val="lt-LT"/>
        </w:rPr>
      </w:pPr>
    </w:p>
    <w:p w14:paraId="7584FF53" w14:textId="77777777" w:rsidR="009A4BFE" w:rsidRDefault="009A4BFE">
      <w:pPr>
        <w:jc w:val="center"/>
        <w:outlineLvl w:val="0"/>
        <w:rPr>
          <w:b/>
          <w:lang w:val="lt-LT"/>
        </w:rPr>
      </w:pPr>
    </w:p>
    <w:p w14:paraId="0A44147B" w14:textId="77777777" w:rsidR="009A4BFE" w:rsidRDefault="009A4BFE">
      <w:pPr>
        <w:jc w:val="center"/>
        <w:outlineLvl w:val="0"/>
        <w:rPr>
          <w:b/>
          <w:lang w:val="lt-LT"/>
        </w:rPr>
      </w:pPr>
    </w:p>
    <w:p w14:paraId="70D279F0" w14:textId="77777777" w:rsidR="009A4BFE" w:rsidRDefault="009A4BFE">
      <w:pPr>
        <w:jc w:val="center"/>
        <w:outlineLvl w:val="0"/>
        <w:rPr>
          <w:b/>
          <w:lang w:val="lt-LT"/>
        </w:rPr>
      </w:pPr>
    </w:p>
    <w:p w14:paraId="559CE26C" w14:textId="77777777" w:rsidR="009A4BFE" w:rsidRDefault="0051186A">
      <w:pPr>
        <w:jc w:val="center"/>
        <w:outlineLvl w:val="0"/>
        <w:rPr>
          <w:b/>
          <w:lang w:val="lt-LT"/>
        </w:rPr>
      </w:pPr>
      <w:r>
        <w:rPr>
          <w:b/>
          <w:lang w:val="lt-LT"/>
        </w:rPr>
        <w:t>B. PAKUOTĖS LAPELIS</w:t>
      </w:r>
    </w:p>
    <w:p w14:paraId="7EA73B59" w14:textId="77777777" w:rsidR="009A4BFE" w:rsidRDefault="0051186A">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pacientui</w:t>
      </w:r>
    </w:p>
    <w:p w14:paraId="709CB7AC" w14:textId="77777777" w:rsidR="009A4BFE" w:rsidRDefault="009A4BFE">
      <w:pPr>
        <w:numPr>
          <w:ilvl w:val="12"/>
          <w:numId w:val="0"/>
        </w:numPr>
        <w:shd w:val="clear" w:color="auto" w:fill="FFFFFF"/>
        <w:tabs>
          <w:tab w:val="clear" w:pos="567"/>
        </w:tabs>
        <w:spacing w:line="240" w:lineRule="auto"/>
        <w:jc w:val="center"/>
        <w:rPr>
          <w:szCs w:val="24"/>
          <w:lang w:val="lt-LT"/>
        </w:rPr>
      </w:pPr>
    </w:p>
    <w:p w14:paraId="473F2284" w14:textId="77777777" w:rsidR="009A4BFE" w:rsidRDefault="0051186A">
      <w:pPr>
        <w:autoSpaceDE w:val="0"/>
        <w:autoSpaceDN w:val="0"/>
        <w:jc w:val="center"/>
        <w:rPr>
          <w:b/>
          <w:lang w:val="lt-LT"/>
        </w:rPr>
      </w:pPr>
      <w:r w:rsidRPr="0022257B">
        <w:rPr>
          <w:b/>
          <w:lang w:val="pt-PT"/>
        </w:rPr>
        <w:t>Atixarso</w:t>
      </w:r>
      <w:r>
        <w:rPr>
          <w:b/>
          <w:lang w:val="lt-LT"/>
        </w:rPr>
        <w:t xml:space="preserve"> 60</w:t>
      </w:r>
      <w:r>
        <w:rPr>
          <w:rFonts w:eastAsia="TimesNewRoman"/>
          <w:snapToGrid/>
          <w:szCs w:val="22"/>
          <w:lang w:val="lt-LT"/>
        </w:rPr>
        <w:t> </w:t>
      </w:r>
      <w:r>
        <w:rPr>
          <w:b/>
          <w:lang w:val="lt-LT"/>
        </w:rPr>
        <w:t>mg plėvele dengtos tabletės</w:t>
      </w:r>
    </w:p>
    <w:p w14:paraId="5C1C047C" w14:textId="77777777" w:rsidR="009A4BFE" w:rsidRDefault="0051186A">
      <w:pPr>
        <w:jc w:val="center"/>
        <w:rPr>
          <w:szCs w:val="24"/>
          <w:lang w:val="lt-LT"/>
        </w:rPr>
      </w:pPr>
      <w:r>
        <w:rPr>
          <w:rFonts w:eastAsia="Calibri"/>
          <w:szCs w:val="22"/>
          <w:lang w:val="es-ES"/>
        </w:rPr>
        <w:t>tikagreloras</w:t>
      </w:r>
    </w:p>
    <w:p w14:paraId="39E4DD6B" w14:textId="77777777" w:rsidR="009A4BFE" w:rsidRDefault="009A4BFE">
      <w:pPr>
        <w:tabs>
          <w:tab w:val="clear" w:pos="567"/>
        </w:tabs>
        <w:spacing w:line="240" w:lineRule="auto"/>
        <w:rPr>
          <w:szCs w:val="24"/>
          <w:lang w:val="lt-LT"/>
        </w:rPr>
      </w:pPr>
    </w:p>
    <w:p w14:paraId="1C0F1994" w14:textId="77777777" w:rsidR="009A4BFE" w:rsidRDefault="009A4BFE">
      <w:pPr>
        <w:tabs>
          <w:tab w:val="clear" w:pos="567"/>
        </w:tabs>
        <w:spacing w:line="240" w:lineRule="auto"/>
        <w:rPr>
          <w:szCs w:val="24"/>
          <w:lang w:val="lt-LT"/>
        </w:rPr>
      </w:pPr>
    </w:p>
    <w:p w14:paraId="0A551617" w14:textId="77777777" w:rsidR="009A4BFE" w:rsidRDefault="0051186A">
      <w:pPr>
        <w:widowControl w:val="0"/>
        <w:tabs>
          <w:tab w:val="clear" w:pos="567"/>
        </w:tabs>
        <w:spacing w:line="240" w:lineRule="auto"/>
        <w:rPr>
          <w:szCs w:val="22"/>
          <w:lang w:val="lt-LT"/>
        </w:rPr>
      </w:pPr>
      <w:r>
        <w:rPr>
          <w:b/>
          <w:noProof/>
          <w:szCs w:val="22"/>
          <w:lang w:val="lt-LT"/>
        </w:rPr>
        <w:t>Atidžiai perskaitykite visą šį lapelį, prieš pradėdami vartoti vaistą, nes jame pateikiama Jums svarbi informacija.</w:t>
      </w:r>
    </w:p>
    <w:p w14:paraId="7D3D233A" w14:textId="77777777" w:rsidR="009A4BFE" w:rsidRDefault="0051186A">
      <w:pPr>
        <w:widowControl w:val="0"/>
        <w:numPr>
          <w:ilvl w:val="0"/>
          <w:numId w:val="5"/>
        </w:numPr>
        <w:tabs>
          <w:tab w:val="clear" w:pos="567"/>
        </w:tabs>
        <w:spacing w:line="240" w:lineRule="auto"/>
        <w:ind w:left="567" w:right="-2" w:hanging="567"/>
        <w:rPr>
          <w:szCs w:val="22"/>
          <w:lang w:val="lt-LT"/>
        </w:rPr>
      </w:pPr>
      <w:r>
        <w:rPr>
          <w:noProof/>
          <w:szCs w:val="22"/>
          <w:lang w:val="lt-LT"/>
        </w:rPr>
        <w:t>Neišmeskite šio lapelio, nes vėl gali prireikti jį perskaityti.</w:t>
      </w:r>
    </w:p>
    <w:p w14:paraId="2D7D7516" w14:textId="77777777" w:rsidR="009A4BFE" w:rsidRDefault="0051186A">
      <w:pPr>
        <w:widowControl w:val="0"/>
        <w:numPr>
          <w:ilvl w:val="0"/>
          <w:numId w:val="5"/>
        </w:numPr>
        <w:tabs>
          <w:tab w:val="clear" w:pos="567"/>
        </w:tabs>
        <w:spacing w:line="240" w:lineRule="auto"/>
        <w:ind w:left="567" w:right="-2" w:hanging="567"/>
        <w:rPr>
          <w:szCs w:val="22"/>
          <w:lang w:val="lt-LT"/>
        </w:rPr>
      </w:pPr>
      <w:r>
        <w:rPr>
          <w:noProof/>
          <w:szCs w:val="22"/>
          <w:lang w:val="lt-LT"/>
        </w:rPr>
        <w:t>Jeigu kiltų daugiau klausimų, kreipkitės į gydytoją arba vaistininką.</w:t>
      </w:r>
    </w:p>
    <w:p w14:paraId="4101A123" w14:textId="77777777" w:rsidR="009A4BFE" w:rsidRDefault="0051186A">
      <w:pPr>
        <w:widowControl w:val="0"/>
        <w:spacing w:line="240" w:lineRule="auto"/>
        <w:ind w:left="567" w:right="-2" w:hanging="567"/>
        <w:rPr>
          <w:szCs w:val="22"/>
          <w:lang w:val="lt-LT"/>
        </w:rPr>
      </w:pPr>
      <w:r>
        <w:rPr>
          <w:szCs w:val="22"/>
          <w:lang w:val="lt-LT"/>
        </w:rPr>
        <w:t>-</w:t>
      </w:r>
      <w:r>
        <w:rPr>
          <w:szCs w:val="22"/>
          <w:lang w:val="lt-LT"/>
        </w:rPr>
        <w:tab/>
      </w:r>
      <w:r>
        <w:rPr>
          <w:noProof/>
          <w:szCs w:val="22"/>
          <w:lang w:val="lt-LT"/>
        </w:rPr>
        <w:t>Šis vaistas skirtas tik Jums, todėl kitiems žmonėms jo duoti negalima.</w:t>
      </w:r>
      <w:r>
        <w:rPr>
          <w:szCs w:val="22"/>
          <w:lang w:val="lt-LT"/>
        </w:rPr>
        <w:t xml:space="preserve"> </w:t>
      </w:r>
      <w:r>
        <w:rPr>
          <w:noProof/>
          <w:szCs w:val="22"/>
          <w:lang w:val="lt-LT"/>
        </w:rPr>
        <w:t>Vaistas gali jiems pakenkti (net tiems, kurių ligos požymiai yra tokie patys kaip Jūsų).</w:t>
      </w:r>
    </w:p>
    <w:p w14:paraId="768F94E0" w14:textId="77777777" w:rsidR="009A4BFE" w:rsidRDefault="0051186A">
      <w:pPr>
        <w:widowControl w:val="0"/>
        <w:numPr>
          <w:ilvl w:val="0"/>
          <w:numId w:val="5"/>
        </w:numPr>
        <w:spacing w:line="240" w:lineRule="auto"/>
        <w:ind w:left="567" w:hanging="567"/>
        <w:rPr>
          <w:szCs w:val="22"/>
          <w:lang w:val="lt-LT"/>
        </w:rPr>
      </w:pPr>
      <w:r>
        <w:rPr>
          <w:noProof/>
          <w:szCs w:val="22"/>
          <w:lang w:val="lt-LT"/>
        </w:rPr>
        <w:t>Jeigu pasireiškė šalutinis poveikis (net jeigu jis šiame lapelyje nenurodytas), kreipkitės į gydytoją arba vaistininką. Žr. 4 skyrių.</w:t>
      </w:r>
    </w:p>
    <w:p w14:paraId="7D4F5B6B" w14:textId="77777777" w:rsidR="009A4BFE" w:rsidRDefault="009A4BFE">
      <w:pPr>
        <w:tabs>
          <w:tab w:val="clear" w:pos="567"/>
        </w:tabs>
        <w:spacing w:line="240" w:lineRule="auto"/>
        <w:ind w:right="-2"/>
        <w:rPr>
          <w:szCs w:val="24"/>
          <w:lang w:val="lt-LT"/>
        </w:rPr>
      </w:pPr>
    </w:p>
    <w:p w14:paraId="6873166C" w14:textId="77777777" w:rsidR="009A4BFE" w:rsidRDefault="009A4BFE">
      <w:pPr>
        <w:tabs>
          <w:tab w:val="clear" w:pos="567"/>
        </w:tabs>
        <w:spacing w:line="240" w:lineRule="auto"/>
        <w:ind w:right="-2"/>
        <w:rPr>
          <w:szCs w:val="24"/>
          <w:lang w:val="lt-LT"/>
        </w:rPr>
      </w:pPr>
    </w:p>
    <w:p w14:paraId="2230257F" w14:textId="77777777" w:rsidR="009A4BFE" w:rsidRDefault="0051186A">
      <w:pPr>
        <w:pStyle w:val="Antrat4"/>
        <w:rPr>
          <w:rFonts w:ascii="Times New Roman" w:hAnsi="Times New Roman"/>
          <w:sz w:val="22"/>
          <w:lang w:val="lt-LT"/>
        </w:rPr>
      </w:pPr>
      <w:r>
        <w:rPr>
          <w:rFonts w:ascii="Times New Roman" w:hAnsi="Times New Roman"/>
          <w:sz w:val="22"/>
          <w:lang w:val="lt-LT"/>
        </w:rPr>
        <w:t>Apie ką rašoma šiame lapelyje?</w:t>
      </w:r>
    </w:p>
    <w:p w14:paraId="2C1B4112" w14:textId="77777777" w:rsidR="009A4BFE" w:rsidRDefault="009A4BFE">
      <w:pPr>
        <w:numPr>
          <w:ilvl w:val="12"/>
          <w:numId w:val="0"/>
        </w:numPr>
        <w:tabs>
          <w:tab w:val="clear" w:pos="567"/>
        </w:tabs>
        <w:spacing w:line="240" w:lineRule="auto"/>
        <w:ind w:right="-2"/>
        <w:rPr>
          <w:szCs w:val="24"/>
          <w:lang w:val="lt-LT"/>
        </w:rPr>
      </w:pPr>
    </w:p>
    <w:p w14:paraId="2C9C1167"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1.</w:t>
      </w:r>
      <w:r>
        <w:rPr>
          <w:szCs w:val="24"/>
          <w:lang w:val="lt-LT"/>
        </w:rPr>
        <w:tab/>
      </w:r>
      <w:r>
        <w:rPr>
          <w:lang w:val="lt-LT"/>
        </w:rPr>
        <w:t xml:space="preserve">Kas yra </w:t>
      </w:r>
      <w:r w:rsidRPr="0022257B">
        <w:rPr>
          <w:lang w:val="pt-PT"/>
        </w:rPr>
        <w:t>Atixarso</w:t>
      </w:r>
      <w:r>
        <w:rPr>
          <w:lang w:val="lt-LT"/>
        </w:rPr>
        <w:t xml:space="preserve"> ir kam jis vartojamas</w:t>
      </w:r>
      <w:r>
        <w:rPr>
          <w:szCs w:val="24"/>
          <w:lang w:val="lt-LT"/>
        </w:rPr>
        <w:t xml:space="preserve"> </w:t>
      </w:r>
    </w:p>
    <w:p w14:paraId="7A54694B"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2.</w:t>
      </w:r>
      <w:r>
        <w:rPr>
          <w:szCs w:val="24"/>
          <w:lang w:val="lt-LT"/>
        </w:rPr>
        <w:tab/>
      </w:r>
      <w:r>
        <w:rPr>
          <w:noProof/>
          <w:szCs w:val="24"/>
          <w:lang w:val="lt-LT"/>
        </w:rPr>
        <w:t xml:space="preserve">Kas žinotina prieš vartojant </w:t>
      </w:r>
      <w:r w:rsidRPr="0022257B">
        <w:rPr>
          <w:lang w:val="pt-PT"/>
        </w:rPr>
        <w:t>Atixarso</w:t>
      </w:r>
    </w:p>
    <w:p w14:paraId="13584A06"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3.</w:t>
      </w:r>
      <w:r>
        <w:rPr>
          <w:szCs w:val="24"/>
          <w:lang w:val="lt-LT"/>
        </w:rPr>
        <w:tab/>
      </w:r>
      <w:r>
        <w:rPr>
          <w:noProof/>
          <w:szCs w:val="24"/>
          <w:lang w:val="lt-LT"/>
        </w:rPr>
        <w:t xml:space="preserve">Kaip vartoti </w:t>
      </w:r>
      <w:r w:rsidRPr="0022257B">
        <w:rPr>
          <w:lang w:val="pt-PT"/>
        </w:rPr>
        <w:t>Atixarso</w:t>
      </w:r>
    </w:p>
    <w:p w14:paraId="3D1C91AF"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0C0DC7AF"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5.</w:t>
      </w:r>
      <w:r>
        <w:rPr>
          <w:szCs w:val="24"/>
          <w:lang w:val="lt-LT"/>
        </w:rPr>
        <w:tab/>
      </w:r>
      <w:r>
        <w:rPr>
          <w:lang w:val="lt-LT"/>
        </w:rPr>
        <w:t xml:space="preserve">Kaip laikyti </w:t>
      </w:r>
      <w:r w:rsidRPr="0022257B">
        <w:rPr>
          <w:lang w:val="pt-PT"/>
        </w:rPr>
        <w:t>Atixarso</w:t>
      </w:r>
    </w:p>
    <w:p w14:paraId="07B247A4"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6.</w:t>
      </w:r>
      <w:r>
        <w:rPr>
          <w:szCs w:val="24"/>
          <w:lang w:val="lt-LT"/>
        </w:rPr>
        <w:tab/>
      </w:r>
      <w:r>
        <w:rPr>
          <w:noProof/>
          <w:szCs w:val="24"/>
          <w:lang w:val="lt-LT"/>
        </w:rPr>
        <w:t>Pakuotės turinys ir kita informacija</w:t>
      </w:r>
    </w:p>
    <w:p w14:paraId="5D73017E" w14:textId="77777777" w:rsidR="009A4BFE" w:rsidRDefault="009A4BFE">
      <w:pPr>
        <w:numPr>
          <w:ilvl w:val="12"/>
          <w:numId w:val="0"/>
        </w:numPr>
        <w:tabs>
          <w:tab w:val="clear" w:pos="567"/>
        </w:tabs>
        <w:spacing w:line="240" w:lineRule="auto"/>
        <w:ind w:right="-2"/>
        <w:rPr>
          <w:szCs w:val="24"/>
          <w:lang w:val="lt-LT"/>
        </w:rPr>
      </w:pPr>
    </w:p>
    <w:p w14:paraId="200D3157" w14:textId="77777777" w:rsidR="009A4BFE" w:rsidRDefault="009A4BFE">
      <w:pPr>
        <w:numPr>
          <w:ilvl w:val="12"/>
          <w:numId w:val="0"/>
        </w:numPr>
        <w:tabs>
          <w:tab w:val="clear" w:pos="567"/>
        </w:tabs>
        <w:spacing w:line="240" w:lineRule="auto"/>
        <w:ind w:right="-2"/>
        <w:rPr>
          <w:szCs w:val="24"/>
          <w:lang w:val="lt-LT"/>
        </w:rPr>
      </w:pPr>
    </w:p>
    <w:p w14:paraId="352AA608" w14:textId="77777777" w:rsidR="009A4BFE" w:rsidRDefault="0051186A">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w:t>
      </w:r>
      <w:r>
        <w:rPr>
          <w:rFonts w:ascii="Times New Roman" w:hAnsi="Times New Roman"/>
          <w:sz w:val="22"/>
          <w:szCs w:val="22"/>
          <w:lang w:val="lt-LT"/>
        </w:rPr>
        <w:t xml:space="preserve">yra </w:t>
      </w:r>
      <w:r w:rsidRPr="0022257B">
        <w:rPr>
          <w:rFonts w:ascii="Times New Roman" w:hAnsi="Times New Roman"/>
          <w:sz w:val="22"/>
          <w:lang w:val="pt-PT"/>
        </w:rPr>
        <w:t>Atixarso</w:t>
      </w:r>
      <w:r>
        <w:rPr>
          <w:rFonts w:ascii="Times New Roman" w:hAnsi="Times New Roman"/>
          <w:sz w:val="22"/>
          <w:szCs w:val="22"/>
          <w:lang w:val="lt-LT"/>
        </w:rPr>
        <w:t xml:space="preserve"> ir kam</w:t>
      </w:r>
      <w:r>
        <w:rPr>
          <w:rFonts w:ascii="Times New Roman" w:hAnsi="Times New Roman"/>
          <w:sz w:val="22"/>
          <w:lang w:val="lt-LT"/>
        </w:rPr>
        <w:t xml:space="preserve"> jis vartojamas</w:t>
      </w:r>
    </w:p>
    <w:p w14:paraId="40304910" w14:textId="77777777" w:rsidR="009A4BFE" w:rsidRDefault="009A4BFE">
      <w:pPr>
        <w:numPr>
          <w:ilvl w:val="12"/>
          <w:numId w:val="0"/>
        </w:numPr>
        <w:tabs>
          <w:tab w:val="clear" w:pos="567"/>
        </w:tabs>
        <w:spacing w:line="240" w:lineRule="auto"/>
        <w:ind w:right="-2"/>
        <w:rPr>
          <w:szCs w:val="24"/>
          <w:lang w:val="lt-LT"/>
        </w:rPr>
      </w:pPr>
    </w:p>
    <w:p w14:paraId="176FC195"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Kas yra </w:t>
      </w:r>
      <w:r w:rsidRPr="0022257B">
        <w:rPr>
          <w:b/>
          <w:lang w:val="pt-PT"/>
        </w:rPr>
        <w:t>Atixarso</w:t>
      </w:r>
      <w:r>
        <w:rPr>
          <w:rFonts w:eastAsia="TimesNewRoman,Bold"/>
          <w:b/>
          <w:bCs/>
          <w:snapToGrid/>
          <w:szCs w:val="22"/>
          <w:lang w:val="lt-LT"/>
        </w:rPr>
        <w:t>?</w:t>
      </w:r>
    </w:p>
    <w:p w14:paraId="356231A5"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Atixarso</w:t>
      </w:r>
      <w:proofErr w:type="spellEnd"/>
      <w:r>
        <w:rPr>
          <w:rFonts w:eastAsia="TimesNewRoman"/>
          <w:snapToGrid/>
          <w:szCs w:val="22"/>
          <w:lang w:val="lt-LT"/>
        </w:rPr>
        <w:t xml:space="preserve"> sudėtyje yra veikliosios medžiagos, vadinamos </w:t>
      </w:r>
      <w:proofErr w:type="spellStart"/>
      <w:r>
        <w:rPr>
          <w:rFonts w:eastAsia="TimesNewRoman"/>
          <w:snapToGrid/>
          <w:szCs w:val="22"/>
          <w:lang w:val="lt-LT"/>
        </w:rPr>
        <w:t>tikagreloru</w:t>
      </w:r>
      <w:proofErr w:type="spellEnd"/>
      <w:r>
        <w:rPr>
          <w:rFonts w:eastAsia="TimesNewRoman"/>
          <w:snapToGrid/>
          <w:szCs w:val="22"/>
          <w:lang w:val="lt-LT"/>
        </w:rPr>
        <w:t xml:space="preserve">. Ji priklauso vaistų, vadinamų </w:t>
      </w:r>
      <w:proofErr w:type="spellStart"/>
      <w:r>
        <w:rPr>
          <w:rFonts w:eastAsia="TimesNewRoman"/>
          <w:snapToGrid/>
          <w:szCs w:val="22"/>
          <w:lang w:val="lt-LT"/>
        </w:rPr>
        <w:t>antitrombocitiniais</w:t>
      </w:r>
      <w:proofErr w:type="spellEnd"/>
      <w:r>
        <w:rPr>
          <w:rFonts w:eastAsia="TimesNewRoman"/>
          <w:snapToGrid/>
          <w:szCs w:val="22"/>
          <w:lang w:val="lt-LT"/>
        </w:rPr>
        <w:t xml:space="preserve"> vaistais, grupei.</w:t>
      </w:r>
    </w:p>
    <w:p w14:paraId="1317497B"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7F6AB28B"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Kam vartojamas </w:t>
      </w:r>
      <w:r w:rsidRPr="0022257B">
        <w:rPr>
          <w:b/>
          <w:lang w:val="pt-PT"/>
        </w:rPr>
        <w:t>Atixarso</w:t>
      </w:r>
      <w:r>
        <w:rPr>
          <w:rFonts w:eastAsia="TimesNewRoman,Bold"/>
          <w:b/>
          <w:bCs/>
          <w:snapToGrid/>
          <w:szCs w:val="22"/>
          <w:lang w:val="lt-LT"/>
        </w:rPr>
        <w:t>?</w:t>
      </w:r>
    </w:p>
    <w:p w14:paraId="3B508DE9"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Atixarso</w:t>
      </w:r>
      <w:proofErr w:type="spellEnd"/>
      <w:r>
        <w:rPr>
          <w:rFonts w:eastAsia="TimesNewRoman"/>
          <w:snapToGrid/>
          <w:szCs w:val="22"/>
          <w:lang w:val="lt-LT"/>
        </w:rPr>
        <w:t xml:space="preserve"> </w:t>
      </w:r>
      <w:r w:rsidRPr="0022257B">
        <w:rPr>
          <w:lang w:val="lt-LT"/>
        </w:rPr>
        <w:t xml:space="preserve">skirtas tik suaugusiems žmonėms vartoti kartu su kitu trombocitų funkciją slopinančiu vaistu – </w:t>
      </w:r>
      <w:proofErr w:type="spellStart"/>
      <w:r w:rsidRPr="0022257B">
        <w:rPr>
          <w:lang w:val="lt-LT"/>
        </w:rPr>
        <w:t>acetilsalicilo</w:t>
      </w:r>
      <w:proofErr w:type="spellEnd"/>
      <w:r w:rsidRPr="0022257B">
        <w:rPr>
          <w:lang w:val="lt-LT"/>
        </w:rPr>
        <w:t xml:space="preserve"> rūgštimi. </w:t>
      </w:r>
      <w:r>
        <w:rPr>
          <w:rFonts w:eastAsia="TimesNewRoman"/>
          <w:snapToGrid/>
          <w:szCs w:val="22"/>
          <w:lang w:val="lt-LT"/>
        </w:rPr>
        <w:t>Šis vaistas Jums paskirtas:</w:t>
      </w:r>
    </w:p>
    <w:p w14:paraId="1C60F099" w14:textId="77777777" w:rsidR="009A4BFE" w:rsidRDefault="0051186A">
      <w:pPr>
        <w:pStyle w:val="Sraopastraipa"/>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dėl prieš metus ar daugiau įvykusio širdies priepuolio.</w:t>
      </w:r>
    </w:p>
    <w:p w14:paraId="4DFAE5F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Šis vaistas mažina riziką patirti dar vieną širdies priepuolį, insultą ir mirti nuo širdies ar kraujagyslių ligos.</w:t>
      </w:r>
    </w:p>
    <w:p w14:paraId="2D54FA0A"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30092C26"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Kaip veikia </w:t>
      </w:r>
      <w:proofErr w:type="spellStart"/>
      <w:r w:rsidRPr="0022257B">
        <w:rPr>
          <w:b/>
          <w:lang w:val="en-US"/>
        </w:rPr>
        <w:t>Atixarso</w:t>
      </w:r>
      <w:proofErr w:type="spellEnd"/>
      <w:r>
        <w:rPr>
          <w:rFonts w:eastAsia="TimesNewRoman,Bold"/>
          <w:b/>
          <w:bCs/>
          <w:snapToGrid/>
          <w:szCs w:val="22"/>
          <w:lang w:val="lt-LT"/>
        </w:rPr>
        <w:t>?</w:t>
      </w:r>
    </w:p>
    <w:p w14:paraId="6AEF717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sidRPr="0022257B">
        <w:rPr>
          <w:lang w:val="pt-PT"/>
        </w:rPr>
        <w:t>Atixarso</w:t>
      </w:r>
      <w:r>
        <w:rPr>
          <w:rFonts w:eastAsia="TimesNewRoman"/>
          <w:snapToGrid/>
          <w:szCs w:val="22"/>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7EE0BCE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0EBB6EF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Deja, kraujo plokštelės taip pat gali sudaryti krešulių pažeistų širdies ir smegenų kraujagyslių viduje. Tai gali būti labai pavojinga, kadangi:</w:t>
      </w:r>
    </w:p>
    <w:p w14:paraId="479BCD9F" w14:textId="77777777" w:rsidR="009A4BFE" w:rsidRDefault="0051186A">
      <w:pPr>
        <w:numPr>
          <w:ilvl w:val="0"/>
          <w:numId w:val="38"/>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krešulys gali visai užkirsti kelią kraujo tėkmei – tuomet gali įvykti širdies priepuolis (miokardo infarktas) arba insultas;</w:t>
      </w:r>
    </w:p>
    <w:p w14:paraId="3F2C1DD6" w14:textId="77777777" w:rsidR="009A4BFE" w:rsidRDefault="0051186A">
      <w:pPr>
        <w:numPr>
          <w:ilvl w:val="0"/>
          <w:numId w:val="38"/>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krešulys gali dalinai užkirsti kelią kraujo tėkmei į širdį ir pabloginti jos kraujotaką – tuomet gali prasidėti krūtinės skausmas, kuris atsiranda ir išnyksta (taip vadinama nestabili krūtinės angina).</w:t>
      </w:r>
    </w:p>
    <w:p w14:paraId="1A8162C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0B62894"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Atixarso</w:t>
      </w:r>
      <w:proofErr w:type="spellEnd"/>
      <w:r>
        <w:rPr>
          <w:rFonts w:eastAsia="TimesNewRoman"/>
          <w:snapToGrid/>
          <w:szCs w:val="22"/>
          <w:lang w:val="lt-LT"/>
        </w:rPr>
        <w:t xml:space="preserve"> padeda neleisti kraujo plokštelėms sulipti vienas su kitu ir tokiu būdu trukdo susidaryti kraujo krešuliui, kuris gali pabloginti kraujotaką.</w:t>
      </w:r>
    </w:p>
    <w:p w14:paraId="173FA4E3" w14:textId="77777777" w:rsidR="009A4BFE" w:rsidRDefault="009A4BFE">
      <w:pPr>
        <w:numPr>
          <w:ilvl w:val="12"/>
          <w:numId w:val="0"/>
        </w:numPr>
        <w:tabs>
          <w:tab w:val="clear" w:pos="567"/>
        </w:tabs>
        <w:spacing w:line="240" w:lineRule="auto"/>
        <w:ind w:right="-2"/>
        <w:rPr>
          <w:szCs w:val="24"/>
          <w:lang w:val="lt-LT"/>
        </w:rPr>
      </w:pPr>
    </w:p>
    <w:p w14:paraId="7FA55A53" w14:textId="77777777" w:rsidR="009A4BFE" w:rsidRDefault="009A4BFE">
      <w:pPr>
        <w:numPr>
          <w:ilvl w:val="12"/>
          <w:numId w:val="0"/>
        </w:numPr>
        <w:tabs>
          <w:tab w:val="clear" w:pos="567"/>
        </w:tabs>
        <w:spacing w:line="240" w:lineRule="auto"/>
        <w:ind w:right="-2"/>
        <w:rPr>
          <w:szCs w:val="24"/>
          <w:lang w:val="lt-LT"/>
        </w:rPr>
      </w:pPr>
    </w:p>
    <w:p w14:paraId="05871565" w14:textId="77777777" w:rsidR="009A4BFE" w:rsidRDefault="0051186A">
      <w:pPr>
        <w:pStyle w:val="Antrat4"/>
        <w:rPr>
          <w:rFonts w:ascii="Times New Roman" w:hAnsi="Times New Roman"/>
          <w:sz w:val="22"/>
          <w:lang w:val="lt-LT"/>
        </w:rPr>
      </w:pPr>
      <w:r>
        <w:rPr>
          <w:rFonts w:ascii="Times New Roman" w:hAnsi="Times New Roman"/>
          <w:sz w:val="22"/>
          <w:lang w:val="lt-LT"/>
        </w:rPr>
        <w:lastRenderedPageBreak/>
        <w:t>2.</w:t>
      </w:r>
      <w:r>
        <w:rPr>
          <w:rFonts w:ascii="Times New Roman" w:hAnsi="Times New Roman"/>
          <w:sz w:val="22"/>
          <w:lang w:val="lt-LT"/>
        </w:rPr>
        <w:tab/>
        <w:t xml:space="preserve">Kas žinotina prieš vartojant </w:t>
      </w:r>
      <w:proofErr w:type="spellStart"/>
      <w:r w:rsidRPr="0022257B">
        <w:rPr>
          <w:rFonts w:ascii="Times New Roman" w:hAnsi="Times New Roman"/>
          <w:sz w:val="22"/>
          <w:lang w:val="en-US"/>
        </w:rPr>
        <w:t>Atixarso</w:t>
      </w:r>
      <w:proofErr w:type="spellEnd"/>
    </w:p>
    <w:p w14:paraId="2A4C8541" w14:textId="77777777" w:rsidR="009A4BFE" w:rsidRDefault="009A4BFE">
      <w:pPr>
        <w:keepNext/>
        <w:numPr>
          <w:ilvl w:val="12"/>
          <w:numId w:val="0"/>
        </w:numPr>
        <w:tabs>
          <w:tab w:val="clear" w:pos="567"/>
        </w:tabs>
        <w:spacing w:line="240" w:lineRule="auto"/>
        <w:ind w:right="-2"/>
        <w:rPr>
          <w:szCs w:val="24"/>
          <w:lang w:val="lt-LT"/>
        </w:rPr>
      </w:pPr>
    </w:p>
    <w:p w14:paraId="54A0E5FB" w14:textId="592CF10D" w:rsidR="009A4BFE" w:rsidRDefault="0051186A">
      <w:pPr>
        <w:pStyle w:val="Antrat4"/>
        <w:rPr>
          <w:rFonts w:ascii="Times New Roman" w:hAnsi="Times New Roman"/>
          <w:sz w:val="22"/>
          <w:szCs w:val="22"/>
          <w:lang w:val="lt-LT"/>
        </w:rPr>
      </w:pPr>
      <w:proofErr w:type="spellStart"/>
      <w:r w:rsidRPr="0022257B">
        <w:rPr>
          <w:rFonts w:ascii="Times New Roman" w:hAnsi="Times New Roman"/>
          <w:sz w:val="22"/>
          <w:lang w:val="en-US"/>
        </w:rPr>
        <w:t>Atixarso</w:t>
      </w:r>
      <w:proofErr w:type="spellEnd"/>
      <w:r>
        <w:rPr>
          <w:rFonts w:ascii="Times New Roman" w:hAnsi="Times New Roman"/>
          <w:sz w:val="22"/>
          <w:szCs w:val="22"/>
          <w:lang w:val="lt-LT"/>
        </w:rPr>
        <w:t xml:space="preserve"> vartoti draudžiama</w:t>
      </w:r>
      <w:r w:rsidR="00F5265F">
        <w:rPr>
          <w:rFonts w:ascii="Times New Roman" w:hAnsi="Times New Roman"/>
          <w:sz w:val="22"/>
          <w:szCs w:val="22"/>
          <w:lang w:val="lt-LT"/>
        </w:rPr>
        <w:t>:</w:t>
      </w:r>
    </w:p>
    <w:p w14:paraId="3BA3A015" w14:textId="49016504" w:rsidR="009A4BFE" w:rsidRDefault="00F5265F">
      <w:pPr>
        <w:pStyle w:val="Sraopastraipa"/>
        <w:numPr>
          <w:ilvl w:val="0"/>
          <w:numId w:val="21"/>
        </w:numPr>
        <w:ind w:left="567" w:hanging="567"/>
        <w:rPr>
          <w:lang w:val="lt-LT"/>
        </w:rPr>
      </w:pPr>
      <w:r>
        <w:rPr>
          <w:lang w:val="lt-LT"/>
        </w:rPr>
        <w:t xml:space="preserve">jeigu </w:t>
      </w:r>
      <w:r w:rsidR="0051186A">
        <w:rPr>
          <w:lang w:val="lt-LT"/>
        </w:rPr>
        <w:t xml:space="preserve">yra alergija </w:t>
      </w:r>
      <w:proofErr w:type="spellStart"/>
      <w:r w:rsidR="0051186A">
        <w:rPr>
          <w:lang w:val="lt-LT"/>
        </w:rPr>
        <w:t>tikagrelorui</w:t>
      </w:r>
      <w:proofErr w:type="spellEnd"/>
      <w:r w:rsidR="0051186A">
        <w:rPr>
          <w:lang w:val="lt-LT"/>
        </w:rPr>
        <w:t xml:space="preserve"> arba bet kuriai pagalbinei šio vaisto medžiagai (jos išvardytos 6 skyriuje);</w:t>
      </w:r>
    </w:p>
    <w:p w14:paraId="0F410D90" w14:textId="2CE97ABA" w:rsidR="009A4BFE" w:rsidRDefault="00F5265F">
      <w:pPr>
        <w:numPr>
          <w:ilvl w:val="0"/>
          <w:numId w:val="21"/>
        </w:numPr>
        <w:ind w:left="567" w:hanging="567"/>
        <w:rPr>
          <w:rFonts w:eastAsia="TimesNewRoman"/>
          <w:lang w:val="lt-LT"/>
        </w:rPr>
      </w:pPr>
      <w:r>
        <w:rPr>
          <w:rFonts w:eastAsia="TimesNewRoman"/>
          <w:lang w:val="lt-LT"/>
        </w:rPr>
        <w:t xml:space="preserve">jeigu </w:t>
      </w:r>
      <w:r w:rsidR="0051186A">
        <w:rPr>
          <w:rFonts w:eastAsia="TimesNewRoman"/>
          <w:lang w:val="lt-LT"/>
        </w:rPr>
        <w:t>Jūsų organizme dabar vyksta kraujavimas;</w:t>
      </w:r>
    </w:p>
    <w:p w14:paraId="4DB20F2D" w14:textId="2C286075" w:rsidR="009A4BFE" w:rsidRDefault="00F5265F">
      <w:pPr>
        <w:numPr>
          <w:ilvl w:val="0"/>
          <w:numId w:val="21"/>
        </w:numPr>
        <w:ind w:left="567" w:hanging="567"/>
        <w:rPr>
          <w:rFonts w:eastAsia="TimesNewRoman"/>
          <w:lang w:val="lt-LT"/>
        </w:rPr>
      </w:pPr>
      <w:r>
        <w:rPr>
          <w:rFonts w:eastAsia="TimesNewRoman"/>
          <w:lang w:val="lt-LT"/>
        </w:rPr>
        <w:t xml:space="preserve">jeigu </w:t>
      </w:r>
      <w:r w:rsidR="0051186A">
        <w:rPr>
          <w:rFonts w:eastAsia="TimesNewRoman"/>
          <w:lang w:val="lt-LT"/>
        </w:rPr>
        <w:t>J</w:t>
      </w:r>
      <w:r>
        <w:rPr>
          <w:rFonts w:eastAsia="TimesNewRoman"/>
          <w:lang w:val="lt-LT"/>
        </w:rPr>
        <w:t>u</w:t>
      </w:r>
      <w:r w:rsidR="0051186A">
        <w:rPr>
          <w:rFonts w:eastAsia="TimesNewRoman"/>
          <w:lang w:val="lt-LT"/>
        </w:rPr>
        <w:t>s buvo ištikęs insultas dėl kraujavimo į smegenis;</w:t>
      </w:r>
    </w:p>
    <w:p w14:paraId="42FCFE39" w14:textId="6D7A8A0D" w:rsidR="009A4BFE" w:rsidRDefault="00F5265F">
      <w:pPr>
        <w:numPr>
          <w:ilvl w:val="0"/>
          <w:numId w:val="21"/>
        </w:numPr>
        <w:ind w:left="567" w:hanging="567"/>
        <w:rPr>
          <w:rFonts w:eastAsia="TimesNewRoman"/>
        </w:rPr>
      </w:pPr>
      <w:proofErr w:type="spellStart"/>
      <w:r>
        <w:rPr>
          <w:rFonts w:eastAsia="TimesNewRoman"/>
        </w:rPr>
        <w:t>jeigu</w:t>
      </w:r>
      <w:proofErr w:type="spellEnd"/>
      <w:r>
        <w:rPr>
          <w:rFonts w:eastAsia="TimesNewRoman"/>
        </w:rPr>
        <w:t xml:space="preserve"> </w:t>
      </w:r>
      <w:proofErr w:type="spellStart"/>
      <w:r w:rsidR="0051186A">
        <w:rPr>
          <w:rFonts w:eastAsia="TimesNewRoman"/>
        </w:rPr>
        <w:t>Jūs</w:t>
      </w:r>
      <w:proofErr w:type="spellEnd"/>
      <w:r w:rsidR="0051186A">
        <w:rPr>
          <w:rFonts w:eastAsia="TimesNewRoman"/>
        </w:rPr>
        <w:t xml:space="preserve"> </w:t>
      </w:r>
      <w:proofErr w:type="spellStart"/>
      <w:r w:rsidR="0051186A">
        <w:rPr>
          <w:rFonts w:eastAsia="TimesNewRoman"/>
        </w:rPr>
        <w:t>sergate</w:t>
      </w:r>
      <w:proofErr w:type="spellEnd"/>
      <w:r w:rsidR="0051186A">
        <w:rPr>
          <w:rFonts w:eastAsia="TimesNewRoman"/>
        </w:rPr>
        <w:t xml:space="preserve"> </w:t>
      </w:r>
      <w:proofErr w:type="spellStart"/>
      <w:r w:rsidR="0051186A">
        <w:rPr>
          <w:rFonts w:eastAsia="TimesNewRoman"/>
        </w:rPr>
        <w:t>sunkia</w:t>
      </w:r>
      <w:proofErr w:type="spellEnd"/>
      <w:r w:rsidR="0051186A">
        <w:rPr>
          <w:rFonts w:eastAsia="TimesNewRoman"/>
        </w:rPr>
        <w:t xml:space="preserve"> </w:t>
      </w:r>
      <w:proofErr w:type="spellStart"/>
      <w:r w:rsidR="0051186A">
        <w:rPr>
          <w:rFonts w:eastAsia="TimesNewRoman"/>
        </w:rPr>
        <w:t>kepenų</w:t>
      </w:r>
      <w:proofErr w:type="spellEnd"/>
      <w:r w:rsidR="0051186A">
        <w:rPr>
          <w:rFonts w:eastAsia="TimesNewRoman"/>
        </w:rPr>
        <w:t xml:space="preserve"> </w:t>
      </w:r>
      <w:proofErr w:type="spellStart"/>
      <w:proofErr w:type="gramStart"/>
      <w:r w:rsidR="0051186A">
        <w:rPr>
          <w:rFonts w:eastAsia="TimesNewRoman"/>
        </w:rPr>
        <w:t>liga</w:t>
      </w:r>
      <w:proofErr w:type="spellEnd"/>
      <w:r w:rsidR="0051186A">
        <w:rPr>
          <w:rFonts w:eastAsia="TimesNewRoman"/>
        </w:rPr>
        <w:t>;</w:t>
      </w:r>
      <w:proofErr w:type="gramEnd"/>
    </w:p>
    <w:p w14:paraId="7EB1B87B" w14:textId="0D970B6D" w:rsidR="009A4BFE" w:rsidRDefault="00F5265F">
      <w:pPr>
        <w:numPr>
          <w:ilvl w:val="0"/>
          <w:numId w:val="21"/>
        </w:numPr>
        <w:ind w:left="567" w:hanging="567"/>
        <w:rPr>
          <w:rFonts w:eastAsia="TimesNewRoman"/>
        </w:rPr>
      </w:pPr>
      <w:proofErr w:type="spellStart"/>
      <w:r>
        <w:rPr>
          <w:rFonts w:eastAsia="TimesNewRoman"/>
        </w:rPr>
        <w:t>jeigu</w:t>
      </w:r>
      <w:proofErr w:type="spellEnd"/>
      <w:r>
        <w:rPr>
          <w:rFonts w:eastAsia="TimesNewRoman"/>
        </w:rPr>
        <w:t xml:space="preserve"> </w:t>
      </w:r>
      <w:proofErr w:type="spellStart"/>
      <w:r w:rsidR="0051186A">
        <w:rPr>
          <w:rFonts w:eastAsia="TimesNewRoman"/>
        </w:rPr>
        <w:t>Jūs</w:t>
      </w:r>
      <w:proofErr w:type="spellEnd"/>
      <w:r w:rsidR="0051186A">
        <w:rPr>
          <w:rFonts w:eastAsia="TimesNewRoman"/>
        </w:rPr>
        <w:t xml:space="preserve"> </w:t>
      </w:r>
      <w:proofErr w:type="spellStart"/>
      <w:r w:rsidR="0051186A">
        <w:rPr>
          <w:rFonts w:eastAsia="TimesNewRoman"/>
        </w:rPr>
        <w:t>vartojate</w:t>
      </w:r>
      <w:proofErr w:type="spellEnd"/>
      <w:r w:rsidR="0051186A">
        <w:rPr>
          <w:rFonts w:eastAsia="TimesNewRoman"/>
        </w:rPr>
        <w:t xml:space="preserve"> </w:t>
      </w:r>
      <w:proofErr w:type="spellStart"/>
      <w:r w:rsidR="0051186A">
        <w:rPr>
          <w:rFonts w:eastAsia="TimesNewRoman"/>
        </w:rPr>
        <w:t>kurį</w:t>
      </w:r>
      <w:proofErr w:type="spellEnd"/>
      <w:r w:rsidR="0051186A">
        <w:rPr>
          <w:rFonts w:eastAsia="TimesNewRoman"/>
        </w:rPr>
        <w:t xml:space="preserve"> </w:t>
      </w:r>
      <w:proofErr w:type="spellStart"/>
      <w:r w:rsidR="0051186A">
        <w:rPr>
          <w:rFonts w:eastAsia="TimesNewRoman"/>
        </w:rPr>
        <w:t>nors</w:t>
      </w:r>
      <w:proofErr w:type="spellEnd"/>
      <w:r w:rsidR="0051186A">
        <w:rPr>
          <w:rFonts w:eastAsia="TimesNewRoman"/>
        </w:rPr>
        <w:t xml:space="preserve"> </w:t>
      </w:r>
      <w:proofErr w:type="spellStart"/>
      <w:r w:rsidR="0051186A">
        <w:rPr>
          <w:rFonts w:eastAsia="TimesNewRoman"/>
        </w:rPr>
        <w:t>iš</w:t>
      </w:r>
      <w:proofErr w:type="spellEnd"/>
      <w:r w:rsidR="0051186A">
        <w:rPr>
          <w:rFonts w:eastAsia="TimesNewRoman"/>
        </w:rPr>
        <w:t xml:space="preserve"> </w:t>
      </w:r>
      <w:proofErr w:type="spellStart"/>
      <w:r w:rsidR="0051186A">
        <w:rPr>
          <w:rFonts w:eastAsia="TimesNewRoman"/>
        </w:rPr>
        <w:t>šių</w:t>
      </w:r>
      <w:proofErr w:type="spellEnd"/>
      <w:r w:rsidR="0051186A">
        <w:rPr>
          <w:rFonts w:eastAsia="TimesNewRoman"/>
        </w:rPr>
        <w:t xml:space="preserve"> </w:t>
      </w:r>
      <w:proofErr w:type="spellStart"/>
      <w:r w:rsidR="0051186A">
        <w:rPr>
          <w:rFonts w:eastAsia="TimesNewRoman"/>
        </w:rPr>
        <w:t>vaistų</w:t>
      </w:r>
      <w:proofErr w:type="spellEnd"/>
      <w:r w:rsidR="0051186A">
        <w:rPr>
          <w:rFonts w:eastAsia="TimesNewRoman"/>
        </w:rPr>
        <w:t>:</w:t>
      </w:r>
    </w:p>
    <w:p w14:paraId="02FF367B" w14:textId="77777777" w:rsidR="009A4BFE" w:rsidRDefault="0051186A">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ketokonazolą</w:t>
      </w:r>
      <w:proofErr w:type="spellEnd"/>
      <w:r>
        <w:rPr>
          <w:rFonts w:eastAsia="TimesNewRoman"/>
          <w:snapToGrid/>
          <w:szCs w:val="22"/>
          <w:lang w:val="lt-LT"/>
        </w:rPr>
        <w:t xml:space="preserve"> (vartojamą grybelių infekcijai gydyti),</w:t>
      </w:r>
    </w:p>
    <w:p w14:paraId="13D9C076" w14:textId="77777777" w:rsidR="009A4BFE" w:rsidRDefault="0051186A">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klaritromiciną</w:t>
      </w:r>
      <w:proofErr w:type="spellEnd"/>
      <w:r>
        <w:rPr>
          <w:rFonts w:eastAsia="TimesNewRoman"/>
          <w:snapToGrid/>
          <w:szCs w:val="22"/>
          <w:lang w:val="lt-LT"/>
        </w:rPr>
        <w:t xml:space="preserve"> (vartojamą bakterijų infekcijai gydyti),</w:t>
      </w:r>
    </w:p>
    <w:p w14:paraId="23B9360E" w14:textId="77777777" w:rsidR="009A4BFE" w:rsidRDefault="0051186A">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nefazodoną</w:t>
      </w:r>
      <w:proofErr w:type="spellEnd"/>
      <w:r>
        <w:rPr>
          <w:rFonts w:eastAsia="TimesNewRoman"/>
          <w:snapToGrid/>
          <w:szCs w:val="22"/>
          <w:lang w:val="lt-LT"/>
        </w:rPr>
        <w:t xml:space="preserve"> (nuo depresijos),</w:t>
      </w:r>
    </w:p>
    <w:p w14:paraId="135B70A2" w14:textId="77777777" w:rsidR="009A4BFE" w:rsidRDefault="0051186A">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ritonavirą arba </w:t>
      </w:r>
      <w:proofErr w:type="spellStart"/>
      <w:r>
        <w:rPr>
          <w:rFonts w:eastAsia="TimesNewRoman"/>
          <w:snapToGrid/>
          <w:szCs w:val="22"/>
          <w:lang w:val="lt-LT"/>
        </w:rPr>
        <w:t>atazanavirą</w:t>
      </w:r>
      <w:proofErr w:type="spellEnd"/>
      <w:r>
        <w:rPr>
          <w:rFonts w:eastAsia="TimesNewRoman"/>
          <w:snapToGrid/>
          <w:szCs w:val="22"/>
          <w:lang w:val="lt-LT"/>
        </w:rPr>
        <w:t xml:space="preserve"> (vartojamus gydyti ŽIV infekcijai ir AIDS).</w:t>
      </w:r>
    </w:p>
    <w:p w14:paraId="35FCBD83" w14:textId="77777777" w:rsidR="009A4BFE" w:rsidRDefault="0051186A">
      <w:pPr>
        <w:numPr>
          <w:ilvl w:val="12"/>
          <w:numId w:val="0"/>
        </w:numPr>
        <w:tabs>
          <w:tab w:val="clear" w:pos="567"/>
        </w:tabs>
        <w:spacing w:line="240" w:lineRule="auto"/>
        <w:ind w:right="-2"/>
        <w:rPr>
          <w:szCs w:val="22"/>
          <w:lang w:val="lt-LT"/>
        </w:rPr>
      </w:pPr>
      <w:r>
        <w:rPr>
          <w:rFonts w:eastAsia="TimesNewRoman"/>
          <w:snapToGrid/>
          <w:szCs w:val="22"/>
          <w:lang w:val="lt-LT"/>
        </w:rPr>
        <w:t xml:space="preserve">Jeigu kuri nors iš anksčiau išvardytų būklių Jums tinka, </w:t>
      </w:r>
      <w:proofErr w:type="spellStart"/>
      <w:r w:rsidRPr="0022257B">
        <w:rPr>
          <w:lang w:val="lt-LT"/>
        </w:rPr>
        <w:t>Atixarso</w:t>
      </w:r>
      <w:proofErr w:type="spellEnd"/>
      <w:r>
        <w:rPr>
          <w:rFonts w:eastAsia="TimesNewRoman"/>
          <w:snapToGrid/>
          <w:szCs w:val="22"/>
          <w:lang w:val="lt-LT"/>
        </w:rPr>
        <w:t xml:space="preserve"> vartoti draudžiama. Jei abejojate, prieš pradėdami vartoti šį vaistą, pasitarkite su gydytoju arba vaistininku, </w:t>
      </w:r>
    </w:p>
    <w:p w14:paraId="3BFF0915" w14:textId="77777777" w:rsidR="009A4BFE" w:rsidRDefault="009A4BFE">
      <w:pPr>
        <w:pStyle w:val="Antrat4"/>
        <w:rPr>
          <w:rFonts w:ascii="Times New Roman" w:hAnsi="Times New Roman"/>
          <w:b w:val="0"/>
          <w:bCs w:val="0"/>
          <w:sz w:val="22"/>
          <w:lang w:val="lt-LT"/>
        </w:rPr>
      </w:pPr>
    </w:p>
    <w:p w14:paraId="420C30D6" w14:textId="77777777" w:rsidR="009A4BFE" w:rsidRDefault="0051186A">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68BA6326" w14:textId="77777777" w:rsidR="009A4BFE" w:rsidRDefault="0051186A">
      <w:pPr>
        <w:numPr>
          <w:ilvl w:val="12"/>
          <w:numId w:val="0"/>
        </w:numPr>
        <w:tabs>
          <w:tab w:val="clear" w:pos="567"/>
        </w:tabs>
        <w:spacing w:line="240" w:lineRule="auto"/>
        <w:ind w:right="-2"/>
        <w:rPr>
          <w:szCs w:val="24"/>
          <w:lang w:val="lt-LT"/>
        </w:rPr>
      </w:pPr>
      <w:r>
        <w:rPr>
          <w:noProof/>
          <w:szCs w:val="24"/>
          <w:lang w:val="lt-LT"/>
        </w:rPr>
        <w:t xml:space="preserve">Pasitarkite su Jūsų gydytoju arba vaistininku, prieš pradėdami vartoti </w:t>
      </w:r>
      <w:proofErr w:type="spellStart"/>
      <w:r w:rsidRPr="0022257B">
        <w:rPr>
          <w:lang w:val="lt-LT"/>
        </w:rPr>
        <w:t>Atixarso</w:t>
      </w:r>
      <w:proofErr w:type="spellEnd"/>
      <w:r>
        <w:rPr>
          <w:noProof/>
          <w:szCs w:val="24"/>
          <w:lang w:val="lt-LT"/>
        </w:rPr>
        <w:t>, jeigu:</w:t>
      </w:r>
    </w:p>
    <w:p w14:paraId="517A87BD" w14:textId="77777777" w:rsidR="009A4BFE" w:rsidRDefault="0051186A">
      <w:pPr>
        <w:pStyle w:val="Sraopastraipa"/>
        <w:numPr>
          <w:ilvl w:val="0"/>
          <w:numId w:val="23"/>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Jums padidėjusi kraujavimo rizika dėl:</w:t>
      </w:r>
    </w:p>
    <w:p w14:paraId="64B63CD1"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patirtos didelės traumos;</w:t>
      </w:r>
    </w:p>
    <w:p w14:paraId="3E4811FD"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atliktos operacijos (įskaitant dantų – apie tai klauskite odontologo);</w:t>
      </w:r>
    </w:p>
    <w:p w14:paraId="6DE6FE9C"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ligos, dėl kurios sutrinka kraujo krešėjimas;</w:t>
      </w:r>
    </w:p>
    <w:p w14:paraId="51C28F7F"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buvusio kraujavimo iš skrandžio arba žarnyno (kaip antai dėl skrandžio opos arba storosios žarnos polipų).</w:t>
      </w:r>
    </w:p>
    <w:p w14:paraId="3007D979"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Ruošiatės operacijai (įskaitant dantų) </w:t>
      </w:r>
      <w:proofErr w:type="spellStart"/>
      <w:r w:rsidRPr="0022257B">
        <w:rPr>
          <w:lang w:val="lt-LT"/>
        </w:rPr>
        <w:t>Atixarso</w:t>
      </w:r>
      <w:proofErr w:type="spellEnd"/>
      <w:r>
        <w:rPr>
          <w:rFonts w:eastAsia="TimesNewRoman"/>
          <w:snapToGrid/>
          <w:szCs w:val="22"/>
          <w:lang w:val="lt-LT"/>
        </w:rPr>
        <w:t xml:space="preserve"> vartojimo laikotarpiu. Tai svarbu dėl kraujavimo rizikos padidėjimo. Jūsų gydytojas gali Jums nurodyti nutraukti šio vaisto vartojimą likus 5 paroms iki operacijos.</w:t>
      </w:r>
    </w:p>
    <w:p w14:paraId="382EC4BC"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Jūsų širdies susitraukimų dažnis yra per mažas (paprastai mažesnis kaip 60 kartų per minutę) ir neturite įdėto širdies ritmą reguliuojančio prietaiso (stimuliatoriaus).</w:t>
      </w:r>
    </w:p>
    <w:p w14:paraId="753E289A"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Sergate astma ar kita plaučių liga arba Jūsų kvėpavimas sutrikęs.</w:t>
      </w:r>
    </w:p>
    <w:p w14:paraId="6CA880A6"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sidRPr="0022257B">
        <w:rPr>
          <w:lang w:val="lt-LT"/>
        </w:rPr>
        <w:t xml:space="preserve">Jūsų kvėpavimas pasidarytų netaisyklingas, pvz., pagreitėtų, sulėtėtų arba atsirastų trumpų kvėpavimo pauzių. </w:t>
      </w:r>
      <w:proofErr w:type="spellStart"/>
      <w:r>
        <w:t>Tokiu</w:t>
      </w:r>
      <w:proofErr w:type="spellEnd"/>
      <w:r>
        <w:t xml:space="preserve"> </w:t>
      </w:r>
      <w:proofErr w:type="spellStart"/>
      <w:r>
        <w:t>atveju</w:t>
      </w:r>
      <w:proofErr w:type="spellEnd"/>
      <w:r>
        <w:t xml:space="preserve"> </w:t>
      </w:r>
      <w:proofErr w:type="spellStart"/>
      <w:r>
        <w:t>gydytojas</w:t>
      </w:r>
      <w:proofErr w:type="spellEnd"/>
      <w:r>
        <w:t xml:space="preserve"> </w:t>
      </w:r>
      <w:proofErr w:type="spellStart"/>
      <w:r>
        <w:t>nuspręs</w:t>
      </w:r>
      <w:proofErr w:type="spellEnd"/>
      <w:r>
        <w:t xml:space="preserve">, </w:t>
      </w:r>
      <w:proofErr w:type="spellStart"/>
      <w:r>
        <w:t>ar</w:t>
      </w:r>
      <w:proofErr w:type="spellEnd"/>
      <w:r>
        <w:t xml:space="preserve"> Jums </w:t>
      </w:r>
      <w:proofErr w:type="spellStart"/>
      <w:r>
        <w:t>reikia</w:t>
      </w:r>
      <w:proofErr w:type="spellEnd"/>
      <w:r>
        <w:t xml:space="preserve"> </w:t>
      </w:r>
      <w:proofErr w:type="spellStart"/>
      <w:r>
        <w:t>išsamesnių</w:t>
      </w:r>
      <w:proofErr w:type="spellEnd"/>
      <w:r>
        <w:t xml:space="preserve"> </w:t>
      </w:r>
      <w:proofErr w:type="spellStart"/>
      <w:r>
        <w:t>tyrimų</w:t>
      </w:r>
      <w:proofErr w:type="spellEnd"/>
      <w:r>
        <w:t>.</w:t>
      </w:r>
    </w:p>
    <w:p w14:paraId="175C3EF1"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Turite kokių nors kepenų sutrikimų arba anksčiau sirgote kokia nors galėjusia jas pažeisti liga.</w:t>
      </w:r>
    </w:p>
    <w:p w14:paraId="48E766E9"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Jūsų kraujo tyrimas parodė padidėjusį šlapimo rūgšties kiekį.</w:t>
      </w:r>
    </w:p>
    <w:p w14:paraId="7063DDCC" w14:textId="77777777" w:rsidR="009A4BFE" w:rsidRDefault="0051186A">
      <w:pPr>
        <w:numPr>
          <w:ilvl w:val="12"/>
          <w:numId w:val="8"/>
        </w:numPr>
        <w:tabs>
          <w:tab w:val="clear" w:pos="360"/>
          <w:tab w:val="clear" w:pos="567"/>
          <w:tab w:val="num" w:pos="0"/>
        </w:tabs>
        <w:spacing w:line="240" w:lineRule="auto"/>
        <w:ind w:right="-2"/>
        <w:rPr>
          <w:szCs w:val="22"/>
          <w:lang w:val="lt-LT"/>
        </w:rPr>
      </w:pPr>
      <w:r>
        <w:rPr>
          <w:rFonts w:eastAsia="TimesNewRoman"/>
          <w:snapToGrid/>
          <w:szCs w:val="22"/>
          <w:lang w:val="lt-LT"/>
        </w:rPr>
        <w:t>Jeigu kuri nors iš anksčiau išvardytų būklių (arba dėl to abejojate) Jums tinka, tai pasitarkite su Jūsų gydytoju arba vaistininku, prieš pradėdami vartoti šį vaistą.</w:t>
      </w:r>
    </w:p>
    <w:p w14:paraId="4240BD31" w14:textId="77777777" w:rsidR="009A4BFE" w:rsidRDefault="009A4BFE">
      <w:pPr>
        <w:numPr>
          <w:ilvl w:val="12"/>
          <w:numId w:val="0"/>
        </w:numPr>
        <w:tabs>
          <w:tab w:val="clear" w:pos="567"/>
        </w:tabs>
        <w:spacing w:line="240" w:lineRule="auto"/>
        <w:ind w:right="-2"/>
        <w:rPr>
          <w:szCs w:val="22"/>
          <w:lang w:val="lt-LT"/>
        </w:rPr>
      </w:pPr>
    </w:p>
    <w:p w14:paraId="48A6D1C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Jūs kartu vartojate </w:t>
      </w:r>
      <w:r w:rsidRPr="0022257B">
        <w:rPr>
          <w:lang w:val="pt-PT"/>
        </w:rPr>
        <w:t>Atixarso</w:t>
      </w:r>
      <w:r>
        <w:rPr>
          <w:rFonts w:eastAsia="TimesNewRoman"/>
          <w:snapToGrid/>
          <w:szCs w:val="22"/>
          <w:lang w:val="lt-LT"/>
        </w:rPr>
        <w:t xml:space="preserve"> ir hepariną</w:t>
      </w:r>
    </w:p>
    <w:p w14:paraId="42CB668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Jūsų gydytojas įtaria heparino sukeltą retą kraujo plokštelių funkcijos sutrikimą, jis gali nurodyti paimti diagnostinį kraujo mėginį. </w:t>
      </w:r>
      <w:proofErr w:type="spellStart"/>
      <w:r>
        <w:rPr>
          <w:szCs w:val="22"/>
          <w:lang w:val="lt-LT"/>
        </w:rPr>
        <w:t>Atixarso</w:t>
      </w:r>
      <w:proofErr w:type="spellEnd"/>
      <w:r>
        <w:rPr>
          <w:rFonts w:eastAsia="TimesNewRoman"/>
          <w:snapToGrid/>
          <w:szCs w:val="22"/>
          <w:lang w:val="lt-LT"/>
        </w:rPr>
        <w:t xml:space="preserve"> gali iškreipti šio diagnostinio mėginio duomenis, todėl svarbu pasakyti gydytojui, jog kartu vartojate </w:t>
      </w:r>
      <w:proofErr w:type="spellStart"/>
      <w:r>
        <w:rPr>
          <w:szCs w:val="22"/>
          <w:lang w:val="lt-LT"/>
        </w:rPr>
        <w:t>Atixarso</w:t>
      </w:r>
      <w:proofErr w:type="spellEnd"/>
      <w:r>
        <w:rPr>
          <w:rFonts w:eastAsia="TimesNewRoman"/>
          <w:snapToGrid/>
          <w:szCs w:val="22"/>
          <w:lang w:val="lt-LT"/>
        </w:rPr>
        <w:t xml:space="preserve"> ir hepariną.</w:t>
      </w:r>
    </w:p>
    <w:p w14:paraId="10287C8B" w14:textId="77777777" w:rsidR="009A4BFE" w:rsidRDefault="009A4BFE">
      <w:pPr>
        <w:numPr>
          <w:ilvl w:val="12"/>
          <w:numId w:val="0"/>
        </w:numPr>
        <w:tabs>
          <w:tab w:val="clear" w:pos="567"/>
        </w:tabs>
        <w:spacing w:line="240" w:lineRule="auto"/>
        <w:ind w:right="-2"/>
        <w:rPr>
          <w:szCs w:val="24"/>
          <w:lang w:val="lt-LT"/>
        </w:rPr>
      </w:pPr>
    </w:p>
    <w:p w14:paraId="7C3EA8E0" w14:textId="77777777" w:rsidR="009A4BFE" w:rsidRDefault="0051186A">
      <w:pPr>
        <w:pStyle w:val="Antrat4"/>
        <w:rPr>
          <w:rFonts w:ascii="Times New Roman" w:hAnsi="Times New Roman"/>
          <w:sz w:val="22"/>
          <w:lang w:val="lt-LT"/>
        </w:rPr>
      </w:pPr>
      <w:r>
        <w:rPr>
          <w:rFonts w:ascii="Times New Roman" w:hAnsi="Times New Roman"/>
          <w:sz w:val="22"/>
          <w:lang w:val="lt-LT"/>
        </w:rPr>
        <w:t>Vaikams ir paaugliams</w:t>
      </w:r>
    </w:p>
    <w:p w14:paraId="0AE1850D" w14:textId="77777777" w:rsidR="009A4BFE" w:rsidRDefault="0051186A">
      <w:pPr>
        <w:numPr>
          <w:ilvl w:val="12"/>
          <w:numId w:val="0"/>
        </w:numPr>
        <w:tabs>
          <w:tab w:val="clear" w:pos="567"/>
        </w:tabs>
        <w:spacing w:line="240" w:lineRule="auto"/>
        <w:rPr>
          <w:rFonts w:ascii="TimesNewRoman" w:eastAsia="TimesNewRoman" w:hAnsi="Calibri" w:cs="TimesNewRoman"/>
          <w:snapToGrid/>
          <w:szCs w:val="22"/>
          <w:lang w:val="lt-LT"/>
        </w:rPr>
      </w:pPr>
      <w:proofErr w:type="spellStart"/>
      <w:r w:rsidRPr="0022257B">
        <w:rPr>
          <w:lang w:val="lt-LT"/>
        </w:rPr>
        <w:t>Atixarso</w:t>
      </w:r>
      <w:proofErr w:type="spellEnd"/>
      <w:r>
        <w:rPr>
          <w:rFonts w:eastAsia="TimesNewRoman"/>
          <w:snapToGrid/>
          <w:szCs w:val="22"/>
          <w:lang w:val="lt-LT"/>
        </w:rPr>
        <w:t xml:space="preserve"> nerekomenduojamas vartoti vaikams ir jaunesniems kaip 18 metų paaugliams.</w:t>
      </w:r>
    </w:p>
    <w:p w14:paraId="08B9F7F4" w14:textId="77777777" w:rsidR="009A4BFE" w:rsidRDefault="009A4BFE">
      <w:pPr>
        <w:numPr>
          <w:ilvl w:val="12"/>
          <w:numId w:val="0"/>
        </w:numPr>
        <w:tabs>
          <w:tab w:val="clear" w:pos="567"/>
        </w:tabs>
        <w:spacing w:line="240" w:lineRule="auto"/>
        <w:rPr>
          <w:bCs/>
          <w:szCs w:val="24"/>
          <w:lang w:val="lt-LT"/>
        </w:rPr>
      </w:pPr>
    </w:p>
    <w:p w14:paraId="6169EFE7" w14:textId="77777777" w:rsidR="009A4BFE" w:rsidRDefault="0051186A">
      <w:pPr>
        <w:pStyle w:val="Antrat4"/>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sidRPr="0022257B">
        <w:rPr>
          <w:rFonts w:ascii="Times New Roman" w:hAnsi="Times New Roman"/>
          <w:sz w:val="22"/>
          <w:lang w:val="lt-LT"/>
        </w:rPr>
        <w:t>Atixarso</w:t>
      </w:r>
      <w:proofErr w:type="spellEnd"/>
    </w:p>
    <w:p w14:paraId="38256DD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vartojate arba neseniai vartojote kitų vaistų arba jeigu dėl to nesate tikri, pasakykite Jūsų gydytojui arba vaistininkui. Tai svarbu dėl to, kad </w:t>
      </w:r>
      <w:proofErr w:type="spellStart"/>
      <w:r w:rsidRPr="0022257B">
        <w:rPr>
          <w:lang w:val="lt-LT"/>
        </w:rPr>
        <w:t>Atixarso</w:t>
      </w:r>
      <w:proofErr w:type="spellEnd"/>
      <w:r>
        <w:rPr>
          <w:rFonts w:eastAsia="TimesNewRoman"/>
          <w:snapToGrid/>
          <w:szCs w:val="22"/>
          <w:lang w:val="lt-LT"/>
        </w:rPr>
        <w:t xml:space="preserve"> gali keisti kai kurių vaistų veikimą, o kai kurie vaistai – </w:t>
      </w:r>
      <w:proofErr w:type="spellStart"/>
      <w:r w:rsidRPr="0022257B">
        <w:rPr>
          <w:lang w:val="lt-LT"/>
        </w:rPr>
        <w:t>Atixarso</w:t>
      </w:r>
      <w:proofErr w:type="spellEnd"/>
      <w:r>
        <w:rPr>
          <w:rFonts w:eastAsia="TimesNewRoman"/>
          <w:snapToGrid/>
          <w:szCs w:val="22"/>
          <w:lang w:val="lt-LT"/>
        </w:rPr>
        <w:t xml:space="preserve"> veikimą.</w:t>
      </w:r>
    </w:p>
    <w:p w14:paraId="0EF309A1"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CC50E0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Pasakykite Jūsų gydytojui arba vaistininkui, jeigu vartojate kurį nors iš šių vaistų:</w:t>
      </w:r>
    </w:p>
    <w:p w14:paraId="4EB7E049" w14:textId="77777777" w:rsidR="009A4BFE" w:rsidRDefault="0051186A">
      <w:pPr>
        <w:pStyle w:val="Sraopastraipa"/>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rozuvastatino</w:t>
      </w:r>
      <w:proofErr w:type="spellEnd"/>
      <w:r>
        <w:rPr>
          <w:rFonts w:eastAsia="TimesNewRoman"/>
          <w:snapToGrid/>
          <w:szCs w:val="22"/>
          <w:lang w:val="lt-LT"/>
        </w:rPr>
        <w:t xml:space="preserve"> (vaisto padidėjusiam cholesterolio kiekiui mažinti) ar daugiau kaip 40 mg per parą </w:t>
      </w:r>
      <w:proofErr w:type="spellStart"/>
      <w:r>
        <w:rPr>
          <w:rFonts w:eastAsia="TimesNewRoman"/>
          <w:snapToGrid/>
          <w:szCs w:val="22"/>
          <w:lang w:val="lt-LT"/>
        </w:rPr>
        <w:t>simvastatino</w:t>
      </w:r>
      <w:proofErr w:type="spellEnd"/>
      <w:r>
        <w:rPr>
          <w:rFonts w:eastAsia="TimesNewRoman"/>
          <w:snapToGrid/>
          <w:szCs w:val="22"/>
          <w:lang w:val="lt-LT"/>
        </w:rPr>
        <w:t xml:space="preserve"> ar </w:t>
      </w:r>
      <w:proofErr w:type="spellStart"/>
      <w:r>
        <w:rPr>
          <w:rFonts w:eastAsia="TimesNewRoman"/>
          <w:snapToGrid/>
          <w:szCs w:val="22"/>
          <w:lang w:val="lt-LT"/>
        </w:rPr>
        <w:t>lovastatino</w:t>
      </w:r>
      <w:proofErr w:type="spellEnd"/>
      <w:r>
        <w:rPr>
          <w:rFonts w:eastAsia="TimesNewRoman"/>
          <w:snapToGrid/>
          <w:szCs w:val="22"/>
          <w:lang w:val="lt-LT"/>
        </w:rPr>
        <w:t xml:space="preserve"> (vaistų nuo padidėjusio cholesterolio kiekio);</w:t>
      </w:r>
    </w:p>
    <w:p w14:paraId="7F241DC4" w14:textId="77777777" w:rsidR="009A4BFE" w:rsidRDefault="0051186A">
      <w:pPr>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rifampicino</w:t>
      </w:r>
      <w:proofErr w:type="spellEnd"/>
      <w:r>
        <w:rPr>
          <w:rFonts w:eastAsia="TimesNewRoman"/>
          <w:snapToGrid/>
          <w:szCs w:val="22"/>
          <w:lang w:val="lt-LT"/>
        </w:rPr>
        <w:t xml:space="preserve"> (antibiotiko);</w:t>
      </w:r>
    </w:p>
    <w:p w14:paraId="2796F2D3" w14:textId="77777777" w:rsidR="009A4BFE" w:rsidRDefault="0051186A">
      <w:pPr>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fenitoino</w:t>
      </w:r>
      <w:proofErr w:type="spellEnd"/>
      <w:r>
        <w:rPr>
          <w:rFonts w:eastAsia="TimesNewRoman"/>
          <w:snapToGrid/>
          <w:szCs w:val="22"/>
          <w:lang w:val="lt-LT"/>
        </w:rPr>
        <w:t xml:space="preserve">, </w:t>
      </w:r>
      <w:proofErr w:type="spellStart"/>
      <w:r>
        <w:rPr>
          <w:rFonts w:eastAsia="TimesNewRoman"/>
          <w:snapToGrid/>
          <w:szCs w:val="22"/>
          <w:lang w:val="lt-LT"/>
        </w:rPr>
        <w:t>karbamazepino</w:t>
      </w:r>
      <w:proofErr w:type="spellEnd"/>
      <w:r>
        <w:rPr>
          <w:rFonts w:eastAsia="TimesNewRoman"/>
          <w:snapToGrid/>
          <w:szCs w:val="22"/>
          <w:lang w:val="lt-LT"/>
        </w:rPr>
        <w:t xml:space="preserve"> ar </w:t>
      </w:r>
      <w:proofErr w:type="spellStart"/>
      <w:r>
        <w:rPr>
          <w:rFonts w:eastAsia="TimesNewRoman"/>
          <w:snapToGrid/>
          <w:szCs w:val="22"/>
          <w:lang w:val="lt-LT"/>
        </w:rPr>
        <w:t>fenobarbitalio</w:t>
      </w:r>
      <w:proofErr w:type="spellEnd"/>
      <w:r>
        <w:rPr>
          <w:rFonts w:eastAsia="TimesNewRoman"/>
          <w:snapToGrid/>
          <w:szCs w:val="22"/>
          <w:lang w:val="lt-LT"/>
        </w:rPr>
        <w:t xml:space="preserve"> (vartojamų norint išvengti traukulių);</w:t>
      </w:r>
    </w:p>
    <w:p w14:paraId="64EE3DA0"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digoksino</w:t>
      </w:r>
      <w:proofErr w:type="spellEnd"/>
      <w:r>
        <w:rPr>
          <w:rFonts w:eastAsia="TimesNewRoman"/>
          <w:snapToGrid/>
          <w:szCs w:val="22"/>
          <w:lang w:val="lt-LT"/>
        </w:rPr>
        <w:t xml:space="preserve"> (vartojamo širdies nepakankamumui gydyti);</w:t>
      </w:r>
    </w:p>
    <w:p w14:paraId="22BF0D13"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ciklosporino</w:t>
      </w:r>
      <w:proofErr w:type="spellEnd"/>
      <w:r>
        <w:rPr>
          <w:rFonts w:eastAsia="TimesNewRoman"/>
          <w:snapToGrid/>
          <w:szCs w:val="22"/>
          <w:lang w:val="lt-LT"/>
        </w:rPr>
        <w:t xml:space="preserve"> (vartojamo Jūsų organizmo savigynai mažinti);</w:t>
      </w:r>
    </w:p>
    <w:p w14:paraId="1665659A"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lastRenderedPageBreak/>
        <w:t>chinidino</w:t>
      </w:r>
      <w:proofErr w:type="spellEnd"/>
      <w:r>
        <w:rPr>
          <w:rFonts w:eastAsia="TimesNewRoman"/>
          <w:snapToGrid/>
          <w:szCs w:val="22"/>
          <w:lang w:val="lt-LT"/>
        </w:rPr>
        <w:t xml:space="preserve"> ar </w:t>
      </w:r>
      <w:proofErr w:type="spellStart"/>
      <w:r>
        <w:rPr>
          <w:rFonts w:eastAsia="TimesNewRoman"/>
          <w:snapToGrid/>
          <w:szCs w:val="22"/>
          <w:lang w:val="lt-LT"/>
        </w:rPr>
        <w:t>diltiazemo</w:t>
      </w:r>
      <w:proofErr w:type="spellEnd"/>
      <w:r>
        <w:rPr>
          <w:rFonts w:eastAsia="TimesNewRoman"/>
          <w:snapToGrid/>
          <w:szCs w:val="22"/>
          <w:lang w:val="lt-LT"/>
        </w:rPr>
        <w:t xml:space="preserve"> (vartojamų širdies ritmo sutrikimams gydyti);</w:t>
      </w:r>
    </w:p>
    <w:p w14:paraId="4AF7744D"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beta blokatorių ar </w:t>
      </w:r>
      <w:proofErr w:type="spellStart"/>
      <w:r>
        <w:rPr>
          <w:rFonts w:eastAsia="TimesNewRoman"/>
          <w:snapToGrid/>
          <w:szCs w:val="22"/>
          <w:lang w:val="lt-LT"/>
        </w:rPr>
        <w:t>verapamilio</w:t>
      </w:r>
      <w:proofErr w:type="spellEnd"/>
      <w:r>
        <w:rPr>
          <w:rFonts w:eastAsia="TimesNewRoman"/>
          <w:snapToGrid/>
          <w:szCs w:val="22"/>
          <w:lang w:val="lt-LT"/>
        </w:rPr>
        <w:t xml:space="preserve"> (vartojamų nuo padidėjusio kraujospūdžio);</w:t>
      </w:r>
    </w:p>
    <w:p w14:paraId="12358006"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morfino ar kitų </w:t>
      </w:r>
      <w:proofErr w:type="spellStart"/>
      <w:r>
        <w:rPr>
          <w:rFonts w:eastAsia="TimesNewRoman"/>
          <w:snapToGrid/>
          <w:szCs w:val="22"/>
          <w:lang w:val="lt-LT"/>
        </w:rPr>
        <w:t>opioidų</w:t>
      </w:r>
      <w:proofErr w:type="spellEnd"/>
      <w:r>
        <w:rPr>
          <w:rFonts w:eastAsia="TimesNewRoman"/>
          <w:snapToGrid/>
          <w:szCs w:val="22"/>
          <w:lang w:val="lt-LT"/>
        </w:rPr>
        <w:t xml:space="preserve"> (vartojamų stipriam skausmui malšinti).</w:t>
      </w:r>
    </w:p>
    <w:p w14:paraId="297D15B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3EB5BA8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Pasakyti gydytojui arba vaistininkui ypač svarbu, jeigu vartojate kurį nors iš šių vaistų, galinčių didinti</w:t>
      </w:r>
    </w:p>
    <w:p w14:paraId="5CC2CD9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kraujavimo pavojų:</w:t>
      </w:r>
    </w:p>
    <w:p w14:paraId="38556123" w14:textId="77777777" w:rsidR="009A4BFE" w:rsidRDefault="0051186A">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geriamųjų antikoaguliantų, dažnai vadinamų „kraują skystinančiais vaistais“ (varfarino);</w:t>
      </w:r>
    </w:p>
    <w:p w14:paraId="3E7C424C" w14:textId="77777777" w:rsidR="009A4BFE" w:rsidRDefault="0051186A">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 xml:space="preserve">nesteroidinių vaistų nuo uždegimo (santrumpa – NVNU), dažnai vartojamų skausmui malšinti (kaip antai </w:t>
      </w:r>
      <w:proofErr w:type="spellStart"/>
      <w:r>
        <w:rPr>
          <w:rFonts w:eastAsia="TimesNewRoman"/>
          <w:snapToGrid/>
          <w:szCs w:val="22"/>
          <w:lang w:val="lt-LT"/>
        </w:rPr>
        <w:t>ibuprofeno</w:t>
      </w:r>
      <w:proofErr w:type="spellEnd"/>
      <w:r>
        <w:rPr>
          <w:rFonts w:eastAsia="TimesNewRoman"/>
          <w:snapToGrid/>
          <w:szCs w:val="22"/>
          <w:lang w:val="lt-LT"/>
        </w:rPr>
        <w:t xml:space="preserve"> ar </w:t>
      </w:r>
      <w:proofErr w:type="spellStart"/>
      <w:r>
        <w:rPr>
          <w:rFonts w:eastAsia="TimesNewRoman"/>
          <w:snapToGrid/>
          <w:szCs w:val="22"/>
          <w:lang w:val="lt-LT"/>
        </w:rPr>
        <w:t>naprokseno</w:t>
      </w:r>
      <w:proofErr w:type="spellEnd"/>
      <w:r>
        <w:rPr>
          <w:rFonts w:eastAsia="TimesNewRoman"/>
          <w:snapToGrid/>
          <w:szCs w:val="22"/>
          <w:lang w:val="lt-LT"/>
        </w:rPr>
        <w:t>);</w:t>
      </w:r>
    </w:p>
    <w:p w14:paraId="40083B7F" w14:textId="77777777" w:rsidR="009A4BFE" w:rsidRDefault="0051186A">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 xml:space="preserve">selektyvių </w:t>
      </w:r>
      <w:proofErr w:type="spellStart"/>
      <w:r>
        <w:rPr>
          <w:rFonts w:eastAsia="TimesNewRoman"/>
          <w:snapToGrid/>
          <w:szCs w:val="22"/>
          <w:lang w:val="lt-LT"/>
        </w:rPr>
        <w:t>serotonino</w:t>
      </w:r>
      <w:proofErr w:type="spellEnd"/>
      <w:r>
        <w:rPr>
          <w:rFonts w:eastAsia="TimesNewRoman"/>
          <w:snapToGrid/>
          <w:szCs w:val="22"/>
          <w:lang w:val="lt-LT"/>
        </w:rPr>
        <w:t xml:space="preserve"> reabsorbcijos inhibitorių (santrumpa – SSRI), kaip antai </w:t>
      </w:r>
      <w:proofErr w:type="spellStart"/>
      <w:r>
        <w:rPr>
          <w:rFonts w:eastAsia="TimesNewRoman"/>
          <w:snapToGrid/>
          <w:szCs w:val="22"/>
          <w:lang w:val="lt-LT"/>
        </w:rPr>
        <w:t>paroksetino</w:t>
      </w:r>
      <w:proofErr w:type="spellEnd"/>
      <w:r>
        <w:rPr>
          <w:rFonts w:eastAsia="TimesNewRoman"/>
          <w:snapToGrid/>
          <w:szCs w:val="22"/>
          <w:lang w:val="lt-LT"/>
        </w:rPr>
        <w:t xml:space="preserve">, </w:t>
      </w:r>
      <w:proofErr w:type="spellStart"/>
      <w:r>
        <w:rPr>
          <w:rFonts w:eastAsia="TimesNewRoman"/>
          <w:snapToGrid/>
          <w:szCs w:val="22"/>
          <w:lang w:val="lt-LT"/>
        </w:rPr>
        <w:t>sertralino</w:t>
      </w:r>
      <w:proofErr w:type="spellEnd"/>
      <w:r>
        <w:rPr>
          <w:rFonts w:eastAsia="TimesNewRoman"/>
          <w:snapToGrid/>
          <w:szCs w:val="22"/>
          <w:lang w:val="lt-LT"/>
        </w:rPr>
        <w:t xml:space="preserve"> arba </w:t>
      </w:r>
      <w:proofErr w:type="spellStart"/>
      <w:r>
        <w:rPr>
          <w:rFonts w:eastAsia="TimesNewRoman"/>
          <w:snapToGrid/>
          <w:szCs w:val="22"/>
          <w:lang w:val="lt-LT"/>
        </w:rPr>
        <w:t>citalopramo</w:t>
      </w:r>
      <w:proofErr w:type="spellEnd"/>
      <w:r>
        <w:rPr>
          <w:rFonts w:eastAsia="TimesNewRoman"/>
          <w:snapToGrid/>
          <w:szCs w:val="22"/>
          <w:lang w:val="lt-LT"/>
        </w:rPr>
        <w:t xml:space="preserve"> (jų skiriama nuo depresijos);</w:t>
      </w:r>
    </w:p>
    <w:p w14:paraId="16DF4178" w14:textId="77777777" w:rsidR="009A4BFE" w:rsidRDefault="0051186A">
      <w:pPr>
        <w:numPr>
          <w:ilvl w:val="0"/>
          <w:numId w:val="10"/>
        </w:numPr>
        <w:tabs>
          <w:tab w:val="clear" w:pos="567"/>
        </w:tabs>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 xml:space="preserve">kitų vaistų, ypač </w:t>
      </w:r>
      <w:proofErr w:type="spellStart"/>
      <w:r>
        <w:rPr>
          <w:rFonts w:eastAsia="TimesNewRoman"/>
          <w:snapToGrid/>
          <w:szCs w:val="22"/>
          <w:lang w:val="lt-LT"/>
        </w:rPr>
        <w:t>ketokonazolo</w:t>
      </w:r>
      <w:proofErr w:type="spellEnd"/>
      <w:r>
        <w:rPr>
          <w:rFonts w:eastAsia="TimesNewRoman"/>
          <w:snapToGrid/>
          <w:szCs w:val="22"/>
          <w:lang w:val="lt-LT"/>
        </w:rPr>
        <w:t xml:space="preserve"> (grybelių infekcijai gydyti), </w:t>
      </w:r>
      <w:proofErr w:type="spellStart"/>
      <w:r>
        <w:rPr>
          <w:rFonts w:eastAsia="TimesNewRoman"/>
          <w:snapToGrid/>
          <w:szCs w:val="22"/>
          <w:lang w:val="lt-LT"/>
        </w:rPr>
        <w:t>klaritromicino</w:t>
      </w:r>
      <w:proofErr w:type="spellEnd"/>
      <w:r>
        <w:rPr>
          <w:rFonts w:eastAsia="TimesNewRoman"/>
          <w:snapToGrid/>
          <w:szCs w:val="22"/>
          <w:lang w:val="lt-LT"/>
        </w:rPr>
        <w:t xml:space="preserve"> (bakterijų sukeltai infekcijai gydyti), </w:t>
      </w:r>
      <w:proofErr w:type="spellStart"/>
      <w:r>
        <w:rPr>
          <w:rFonts w:eastAsia="TimesNewRoman"/>
          <w:snapToGrid/>
          <w:szCs w:val="22"/>
          <w:lang w:val="lt-LT"/>
        </w:rPr>
        <w:t>nefazodono</w:t>
      </w:r>
      <w:proofErr w:type="spellEnd"/>
      <w:r>
        <w:rPr>
          <w:rFonts w:eastAsia="TimesNewRoman"/>
          <w:snapToGrid/>
          <w:szCs w:val="22"/>
          <w:lang w:val="lt-LT"/>
        </w:rPr>
        <w:t xml:space="preserve"> (nuo depresijos), ritonaviro arba </w:t>
      </w:r>
      <w:proofErr w:type="spellStart"/>
      <w:r>
        <w:rPr>
          <w:rFonts w:eastAsia="TimesNewRoman"/>
          <w:snapToGrid/>
          <w:szCs w:val="22"/>
          <w:lang w:val="lt-LT"/>
        </w:rPr>
        <w:t>atazanaviro</w:t>
      </w:r>
      <w:proofErr w:type="spellEnd"/>
      <w:r>
        <w:rPr>
          <w:rFonts w:eastAsia="TimesNewRoman"/>
          <w:snapToGrid/>
          <w:szCs w:val="22"/>
          <w:lang w:val="lt-LT"/>
        </w:rPr>
        <w:t xml:space="preserve"> ( ŽIV infekcijai ir AIDS gydyti), </w:t>
      </w:r>
      <w:proofErr w:type="spellStart"/>
      <w:r>
        <w:rPr>
          <w:rFonts w:eastAsia="TimesNewRoman"/>
          <w:snapToGrid/>
          <w:szCs w:val="22"/>
          <w:lang w:val="lt-LT"/>
        </w:rPr>
        <w:t>cisaprido</w:t>
      </w:r>
      <w:proofErr w:type="spellEnd"/>
      <w:r>
        <w:rPr>
          <w:rFonts w:eastAsia="TimesNewRoman"/>
          <w:snapToGrid/>
          <w:szCs w:val="22"/>
          <w:lang w:val="lt-LT"/>
        </w:rPr>
        <w:t xml:space="preserve"> (nuo rėmens), skalsių alkaloidų (nuo migrenos ir galvos skausmo).</w:t>
      </w:r>
    </w:p>
    <w:p w14:paraId="0DDF5344"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4B8A13C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Taip pat pasakykite Jūsų gydytojui, kad vartojate </w:t>
      </w:r>
      <w:proofErr w:type="spellStart"/>
      <w:r w:rsidRPr="0022257B">
        <w:rPr>
          <w:lang w:val="lt-LT"/>
        </w:rPr>
        <w:t>Atixarso</w:t>
      </w:r>
      <w:proofErr w:type="spellEnd"/>
      <w:r>
        <w:rPr>
          <w:rFonts w:eastAsia="TimesNewRoman"/>
          <w:snapToGrid/>
          <w:szCs w:val="22"/>
          <w:lang w:val="lt-LT"/>
        </w:rPr>
        <w:t xml:space="preserve">, jeigu jis Jums skiria </w:t>
      </w:r>
      <w:proofErr w:type="spellStart"/>
      <w:r>
        <w:rPr>
          <w:rFonts w:eastAsia="TimesNewRoman"/>
          <w:snapToGrid/>
          <w:szCs w:val="22"/>
          <w:lang w:val="lt-LT"/>
        </w:rPr>
        <w:t>fibrinolizę</w:t>
      </w:r>
      <w:proofErr w:type="spellEnd"/>
      <w:r>
        <w:rPr>
          <w:rFonts w:eastAsia="TimesNewRoman"/>
          <w:snapToGrid/>
          <w:szCs w:val="22"/>
          <w:lang w:val="lt-LT"/>
        </w:rPr>
        <w:t xml:space="preserve"> skatinančių vaistų, dažnai vadinamų „tirpdančiais krešulius“ (kaip antai </w:t>
      </w:r>
      <w:proofErr w:type="spellStart"/>
      <w:r>
        <w:rPr>
          <w:rFonts w:eastAsia="TimesNewRoman"/>
          <w:snapToGrid/>
          <w:szCs w:val="22"/>
          <w:lang w:val="lt-LT"/>
        </w:rPr>
        <w:t>streptokinazės</w:t>
      </w:r>
      <w:proofErr w:type="spellEnd"/>
      <w:r>
        <w:rPr>
          <w:rFonts w:eastAsia="TimesNewRoman"/>
          <w:snapToGrid/>
          <w:szCs w:val="22"/>
          <w:lang w:val="lt-LT"/>
        </w:rPr>
        <w:t xml:space="preserve"> ar </w:t>
      </w:r>
      <w:proofErr w:type="spellStart"/>
      <w:r>
        <w:rPr>
          <w:rFonts w:eastAsia="TimesNewRoman"/>
          <w:snapToGrid/>
          <w:szCs w:val="22"/>
          <w:lang w:val="lt-LT"/>
        </w:rPr>
        <w:t>alteplazės</w:t>
      </w:r>
      <w:proofErr w:type="spellEnd"/>
      <w:r>
        <w:rPr>
          <w:rFonts w:eastAsia="TimesNewRoman"/>
          <w:snapToGrid/>
          <w:szCs w:val="22"/>
          <w:lang w:val="lt-LT"/>
        </w:rPr>
        <w:t>), kadangi gali padidėti kraujavimo pavojus.</w:t>
      </w:r>
    </w:p>
    <w:p w14:paraId="0B264684" w14:textId="77777777" w:rsidR="009A4BFE" w:rsidRDefault="009A4BFE">
      <w:pPr>
        <w:numPr>
          <w:ilvl w:val="12"/>
          <w:numId w:val="0"/>
        </w:numPr>
        <w:tabs>
          <w:tab w:val="clear" w:pos="567"/>
        </w:tabs>
        <w:spacing w:line="240" w:lineRule="auto"/>
        <w:rPr>
          <w:szCs w:val="24"/>
          <w:lang w:val="lt-LT"/>
        </w:rPr>
      </w:pPr>
    </w:p>
    <w:p w14:paraId="566BDB6B" w14:textId="77777777" w:rsidR="009A4BFE" w:rsidRDefault="0051186A">
      <w:pPr>
        <w:pStyle w:val="Antrat4"/>
        <w:rPr>
          <w:rFonts w:ascii="Times New Roman" w:hAnsi="Times New Roman"/>
          <w:sz w:val="22"/>
          <w:lang w:val="lt-LT"/>
        </w:rPr>
      </w:pPr>
      <w:r>
        <w:rPr>
          <w:rFonts w:ascii="Times New Roman" w:hAnsi="Times New Roman"/>
          <w:sz w:val="22"/>
          <w:lang w:val="lt-LT"/>
        </w:rPr>
        <w:t>Nėštumas ir žindymo laikotarpis</w:t>
      </w:r>
    </w:p>
    <w:p w14:paraId="02CD6AD2" w14:textId="77777777" w:rsidR="009A4BFE" w:rsidRDefault="0051186A">
      <w:pPr>
        <w:numPr>
          <w:ilvl w:val="12"/>
          <w:numId w:val="0"/>
        </w:numPr>
        <w:tabs>
          <w:tab w:val="clear" w:pos="567"/>
        </w:tabs>
        <w:spacing w:line="240" w:lineRule="auto"/>
        <w:rPr>
          <w:noProof/>
          <w:szCs w:val="24"/>
          <w:lang w:val="lt-LT"/>
        </w:rPr>
      </w:pPr>
      <w:r w:rsidRPr="0022257B">
        <w:rPr>
          <w:lang w:val="pt-PT"/>
        </w:rPr>
        <w:t>Jeigu esate nėščia arba galite pastoti, Atixarso vartoti Jums nerekomenduojama. Kol vartoja šio vaisto, moterys turi taikyti atitinkamą kontracepciją, kad nepastotų.</w:t>
      </w:r>
    </w:p>
    <w:p w14:paraId="1D87B0B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799224D5"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žindote kūdikį, prieš pradėdama vartoti šį vaistą apie tai pasakykite Jūsų gydytojui, kuris informuos apie </w:t>
      </w:r>
      <w:proofErr w:type="spellStart"/>
      <w:r>
        <w:rPr>
          <w:szCs w:val="22"/>
          <w:lang w:val="lt-LT"/>
        </w:rPr>
        <w:t>Atixarso</w:t>
      </w:r>
      <w:proofErr w:type="spellEnd"/>
      <w:r>
        <w:rPr>
          <w:rFonts w:eastAsia="TimesNewRoman"/>
          <w:snapToGrid/>
          <w:szCs w:val="22"/>
          <w:lang w:val="lt-LT"/>
        </w:rPr>
        <w:t xml:space="preserve"> vartojimo naudą ir riziką žindymo laikotarpiu.</w:t>
      </w:r>
    </w:p>
    <w:p w14:paraId="769BE880" w14:textId="77777777" w:rsidR="009A4BFE" w:rsidRDefault="009A4BFE">
      <w:pPr>
        <w:numPr>
          <w:ilvl w:val="12"/>
          <w:numId w:val="0"/>
        </w:numPr>
        <w:tabs>
          <w:tab w:val="clear" w:pos="567"/>
        </w:tabs>
        <w:spacing w:line="240" w:lineRule="auto"/>
        <w:rPr>
          <w:szCs w:val="24"/>
          <w:lang w:val="lt-LT"/>
        </w:rPr>
      </w:pPr>
    </w:p>
    <w:p w14:paraId="563370B5" w14:textId="77777777" w:rsidR="009A4BFE" w:rsidRPr="0022257B" w:rsidRDefault="0051186A">
      <w:pPr>
        <w:numPr>
          <w:ilvl w:val="12"/>
          <w:numId w:val="0"/>
        </w:numPr>
        <w:tabs>
          <w:tab w:val="clear" w:pos="567"/>
        </w:tabs>
        <w:spacing w:line="240" w:lineRule="auto"/>
        <w:rPr>
          <w:lang w:val="lt-LT"/>
        </w:rPr>
      </w:pPr>
      <w:r w:rsidRPr="0022257B">
        <w:rPr>
          <w:lang w:val="lt-LT"/>
        </w:rPr>
        <w:t>Jeigu esate nėščia, žindote kūdikį, manote, kad galbūt esate nėščia arba planuojate pastoti, tai prieš vartodama šį vaistą pasitarkite su Jūsų gydytoju arba vaistininku.</w:t>
      </w:r>
    </w:p>
    <w:p w14:paraId="0E77B37D" w14:textId="77777777" w:rsidR="009A4BFE" w:rsidRDefault="009A4BFE">
      <w:pPr>
        <w:numPr>
          <w:ilvl w:val="12"/>
          <w:numId w:val="0"/>
        </w:numPr>
        <w:tabs>
          <w:tab w:val="clear" w:pos="567"/>
        </w:tabs>
        <w:spacing w:line="240" w:lineRule="auto"/>
        <w:rPr>
          <w:szCs w:val="24"/>
          <w:lang w:val="lt-LT"/>
        </w:rPr>
      </w:pPr>
    </w:p>
    <w:p w14:paraId="212D6CD2" w14:textId="77777777" w:rsidR="009A4BFE" w:rsidRDefault="0051186A">
      <w:pPr>
        <w:pStyle w:val="Antrat4"/>
        <w:rPr>
          <w:rFonts w:ascii="Times New Roman" w:hAnsi="Times New Roman"/>
          <w:sz w:val="22"/>
          <w:lang w:val="lt-LT"/>
        </w:rPr>
      </w:pPr>
      <w:r>
        <w:rPr>
          <w:rFonts w:ascii="Times New Roman" w:hAnsi="Times New Roman"/>
          <w:sz w:val="22"/>
          <w:lang w:val="lt-LT"/>
        </w:rPr>
        <w:t>Vairavimas ir mechanizmų valdymas</w:t>
      </w:r>
    </w:p>
    <w:p w14:paraId="66B486C8" w14:textId="77777777" w:rsidR="009A4BFE" w:rsidRDefault="0051186A">
      <w:pPr>
        <w:tabs>
          <w:tab w:val="clear" w:pos="567"/>
        </w:tabs>
        <w:autoSpaceDE w:val="0"/>
        <w:autoSpaceDN w:val="0"/>
        <w:adjustRightInd w:val="0"/>
        <w:spacing w:line="240" w:lineRule="auto"/>
        <w:rPr>
          <w:rFonts w:eastAsia="TimesNewRoman"/>
          <w:snapToGrid/>
          <w:szCs w:val="22"/>
          <w:lang w:val="lt-LT"/>
        </w:rPr>
      </w:pPr>
      <w:r w:rsidRPr="0022257B">
        <w:rPr>
          <w:lang w:val="pt-PT"/>
        </w:rPr>
        <w:t>Tikėtina, kad Atixarso</w:t>
      </w:r>
      <w:r>
        <w:rPr>
          <w:rFonts w:eastAsia="TimesNewRoman"/>
          <w:snapToGrid/>
          <w:szCs w:val="22"/>
          <w:lang w:val="lt-LT"/>
        </w:rPr>
        <w:t xml:space="preserve"> vartojimas neturi įtakoti gebėjimo vairuoti ir valdyti mechanizmus. Vis dėlto, jeigu vartojant šį vaistą jaučiate svaigulį ar sumišimą, vairuokite ir valdykite mechanizmus atsargiai.</w:t>
      </w:r>
    </w:p>
    <w:p w14:paraId="36A3A656" w14:textId="77777777" w:rsidR="009A4BFE" w:rsidRDefault="009A4BFE">
      <w:pPr>
        <w:numPr>
          <w:ilvl w:val="12"/>
          <w:numId w:val="0"/>
        </w:numPr>
        <w:tabs>
          <w:tab w:val="clear" w:pos="567"/>
        </w:tabs>
        <w:spacing w:line="240" w:lineRule="auto"/>
        <w:ind w:right="-2"/>
        <w:rPr>
          <w:szCs w:val="24"/>
          <w:lang w:val="lt-LT"/>
        </w:rPr>
      </w:pPr>
    </w:p>
    <w:p w14:paraId="3F30F880" w14:textId="77777777" w:rsidR="009A4BFE" w:rsidRDefault="0051186A">
      <w:pPr>
        <w:pStyle w:val="Antrat4"/>
        <w:rPr>
          <w:rFonts w:ascii="Times New Roman" w:hAnsi="Times New Roman"/>
          <w:b w:val="0"/>
          <w:bCs w:val="0"/>
          <w:sz w:val="22"/>
          <w:lang w:val="lt-LT"/>
        </w:rPr>
      </w:pPr>
      <w:proofErr w:type="spellStart"/>
      <w:r>
        <w:rPr>
          <w:rFonts w:ascii="Times New Roman" w:hAnsi="Times New Roman"/>
          <w:sz w:val="22"/>
          <w:szCs w:val="22"/>
          <w:lang w:val="lt-LT"/>
        </w:rPr>
        <w:t>Atixarso</w:t>
      </w:r>
      <w:proofErr w:type="spellEnd"/>
      <w:r>
        <w:rPr>
          <w:rFonts w:ascii="Times New Roman" w:hAnsi="Times New Roman"/>
          <w:sz w:val="22"/>
          <w:lang w:val="lt-LT"/>
        </w:rPr>
        <w:t xml:space="preserve"> sudėtyje yra natrio</w:t>
      </w:r>
    </w:p>
    <w:p w14:paraId="54BA165F" w14:textId="26650D54" w:rsidR="009A4BFE" w:rsidRDefault="0051186A">
      <w:pPr>
        <w:numPr>
          <w:ilvl w:val="12"/>
          <w:numId w:val="0"/>
        </w:numPr>
        <w:tabs>
          <w:tab w:val="clear" w:pos="567"/>
        </w:tabs>
        <w:spacing w:line="240" w:lineRule="auto"/>
        <w:rPr>
          <w:szCs w:val="24"/>
          <w:lang w:val="lt-LT"/>
        </w:rPr>
      </w:pPr>
      <w:r>
        <w:rPr>
          <w:rFonts w:eastAsia="TimesNewRoman"/>
          <w:snapToGrid/>
          <w:szCs w:val="22"/>
          <w:lang w:val="lt-LT"/>
        </w:rPr>
        <w:t xml:space="preserve">Šio vaisto </w:t>
      </w:r>
      <w:r w:rsidR="00F5265F">
        <w:rPr>
          <w:rFonts w:eastAsia="TimesNewRoman"/>
          <w:snapToGrid/>
          <w:szCs w:val="22"/>
          <w:lang w:val="lt-LT"/>
        </w:rPr>
        <w:t>kiek</w:t>
      </w:r>
      <w:r>
        <w:rPr>
          <w:rFonts w:eastAsia="TimesNewRoman"/>
          <w:snapToGrid/>
          <w:szCs w:val="22"/>
          <w:lang w:val="lt-LT"/>
        </w:rPr>
        <w:t>vienoje tabletėje yra mažiau kaip 1</w:t>
      </w:r>
      <w:r>
        <w:rPr>
          <w:snapToGrid/>
          <w:szCs w:val="24"/>
          <w:lang w:val="lt-LT"/>
        </w:rPr>
        <w:t> </w:t>
      </w:r>
      <w:proofErr w:type="spellStart"/>
      <w:r>
        <w:rPr>
          <w:rFonts w:eastAsia="TimesNewRoman"/>
          <w:snapToGrid/>
          <w:szCs w:val="22"/>
          <w:lang w:val="lt-LT"/>
        </w:rPr>
        <w:t>mmol</w:t>
      </w:r>
      <w:proofErr w:type="spellEnd"/>
      <w:r>
        <w:rPr>
          <w:snapToGrid/>
          <w:szCs w:val="24"/>
          <w:lang w:val="lt-LT"/>
        </w:rPr>
        <w:t> </w:t>
      </w:r>
      <w:r>
        <w:rPr>
          <w:rFonts w:eastAsia="TimesNewRoman"/>
          <w:snapToGrid/>
          <w:szCs w:val="22"/>
          <w:lang w:val="lt-LT"/>
        </w:rPr>
        <w:t>(23</w:t>
      </w:r>
      <w:r>
        <w:rPr>
          <w:snapToGrid/>
          <w:szCs w:val="24"/>
          <w:lang w:val="lt-LT"/>
        </w:rPr>
        <w:t> </w:t>
      </w:r>
      <w:r>
        <w:rPr>
          <w:rFonts w:eastAsia="TimesNewRoman"/>
          <w:snapToGrid/>
          <w:szCs w:val="22"/>
          <w:lang w:val="lt-LT"/>
        </w:rPr>
        <w:t>mg) natrio, t.</w:t>
      </w:r>
      <w:r>
        <w:rPr>
          <w:snapToGrid/>
          <w:szCs w:val="24"/>
          <w:lang w:val="lt-LT"/>
        </w:rPr>
        <w:t> </w:t>
      </w:r>
      <w:r>
        <w:rPr>
          <w:rFonts w:eastAsia="TimesNewRoman"/>
          <w:snapToGrid/>
          <w:szCs w:val="22"/>
          <w:lang w:val="lt-LT"/>
        </w:rPr>
        <w:t>y. jis beveik neturi reikšmės.</w:t>
      </w:r>
    </w:p>
    <w:p w14:paraId="01F92C7B" w14:textId="77777777" w:rsidR="009A4BFE" w:rsidRDefault="009A4BFE">
      <w:pPr>
        <w:numPr>
          <w:ilvl w:val="12"/>
          <w:numId w:val="0"/>
        </w:numPr>
        <w:tabs>
          <w:tab w:val="clear" w:pos="567"/>
        </w:tabs>
        <w:spacing w:line="240" w:lineRule="auto"/>
        <w:ind w:right="-2"/>
        <w:rPr>
          <w:szCs w:val="24"/>
          <w:lang w:val="lt-LT"/>
        </w:rPr>
      </w:pPr>
    </w:p>
    <w:p w14:paraId="4F2C28B9" w14:textId="77777777" w:rsidR="009A4BFE" w:rsidRDefault="009A4BFE">
      <w:pPr>
        <w:numPr>
          <w:ilvl w:val="12"/>
          <w:numId w:val="0"/>
        </w:numPr>
        <w:tabs>
          <w:tab w:val="clear" w:pos="567"/>
        </w:tabs>
        <w:spacing w:line="240" w:lineRule="auto"/>
        <w:ind w:right="-2"/>
        <w:rPr>
          <w:szCs w:val="24"/>
          <w:lang w:val="lt-LT"/>
        </w:rPr>
      </w:pPr>
    </w:p>
    <w:p w14:paraId="6C232A55" w14:textId="77777777" w:rsidR="009A4BFE" w:rsidRDefault="0051186A">
      <w:pPr>
        <w:pStyle w:val="Antrat3"/>
        <w:spacing w:before="0" w:after="0" w:line="240" w:lineRule="auto"/>
        <w:rPr>
          <w:rFonts w:ascii="Times New Roman" w:hAnsi="Times New Roman"/>
          <w:b w:val="0"/>
          <w:bCs w:val="0"/>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sidRPr="0022257B">
        <w:rPr>
          <w:rFonts w:ascii="Times New Roman" w:hAnsi="Times New Roman"/>
          <w:sz w:val="22"/>
          <w:lang w:val="lt-LT"/>
        </w:rPr>
        <w:t>Atixarso</w:t>
      </w:r>
      <w:proofErr w:type="spellEnd"/>
    </w:p>
    <w:p w14:paraId="1C1BE9A7" w14:textId="77777777" w:rsidR="009A4BFE" w:rsidRDefault="009A4BFE">
      <w:pPr>
        <w:numPr>
          <w:ilvl w:val="12"/>
          <w:numId w:val="0"/>
        </w:numPr>
        <w:tabs>
          <w:tab w:val="clear" w:pos="567"/>
        </w:tabs>
        <w:spacing w:line="240" w:lineRule="auto"/>
        <w:ind w:right="-2"/>
        <w:rPr>
          <w:szCs w:val="24"/>
          <w:lang w:val="lt-LT"/>
        </w:rPr>
      </w:pPr>
    </w:p>
    <w:p w14:paraId="75DF7F5C" w14:textId="0A9464FD" w:rsidR="009A4BFE" w:rsidRDefault="0051186A">
      <w:pPr>
        <w:numPr>
          <w:ilvl w:val="12"/>
          <w:numId w:val="0"/>
        </w:numPr>
        <w:tabs>
          <w:tab w:val="clear" w:pos="567"/>
        </w:tabs>
        <w:spacing w:line="240" w:lineRule="auto"/>
        <w:ind w:right="-2"/>
        <w:rPr>
          <w:szCs w:val="24"/>
          <w:lang w:val="lt-LT"/>
        </w:rPr>
      </w:pPr>
      <w:r>
        <w:rPr>
          <w:noProof/>
          <w:szCs w:val="24"/>
          <w:lang w:val="lt-LT"/>
        </w:rPr>
        <w:t>Visada vartokite šį vaistą tiksliai</w:t>
      </w:r>
      <w:r w:rsidR="00F5265F">
        <w:rPr>
          <w:noProof/>
          <w:szCs w:val="24"/>
          <w:lang w:val="lt-LT"/>
        </w:rPr>
        <w:t>,</w:t>
      </w:r>
      <w:r>
        <w:rPr>
          <w:noProof/>
          <w:szCs w:val="24"/>
          <w:lang w:val="lt-LT"/>
        </w:rPr>
        <w:t xml:space="preserve"> kaip nurodė gydytojas arba vaistininkas.</w:t>
      </w:r>
      <w:r>
        <w:rPr>
          <w:szCs w:val="24"/>
          <w:lang w:val="lt-LT"/>
        </w:rPr>
        <w:t xml:space="preserve"> </w:t>
      </w:r>
      <w:r>
        <w:rPr>
          <w:noProof/>
          <w:szCs w:val="24"/>
          <w:lang w:val="lt-LT"/>
        </w:rPr>
        <w:t>Jeigu abejojate, kreipkitės į gydytoją arba vaistininką.</w:t>
      </w:r>
    </w:p>
    <w:p w14:paraId="1A25E881" w14:textId="77777777" w:rsidR="009A4BFE" w:rsidRDefault="009A4BFE">
      <w:pPr>
        <w:tabs>
          <w:tab w:val="clear" w:pos="567"/>
        </w:tabs>
        <w:autoSpaceDE w:val="0"/>
        <w:autoSpaceDN w:val="0"/>
        <w:adjustRightInd w:val="0"/>
        <w:spacing w:line="240" w:lineRule="auto"/>
        <w:rPr>
          <w:rFonts w:eastAsia="TimesNewRoman,Bold"/>
          <w:snapToGrid/>
          <w:szCs w:val="22"/>
          <w:lang w:val="en-US"/>
        </w:rPr>
      </w:pPr>
    </w:p>
    <w:p w14:paraId="3B556EE9" w14:textId="77777777" w:rsidR="009A4BFE" w:rsidRDefault="0051186A">
      <w:pPr>
        <w:tabs>
          <w:tab w:val="clear" w:pos="567"/>
        </w:tabs>
        <w:autoSpaceDE w:val="0"/>
        <w:autoSpaceDN w:val="0"/>
        <w:adjustRightInd w:val="0"/>
        <w:spacing w:line="240" w:lineRule="auto"/>
        <w:rPr>
          <w:rFonts w:eastAsia="TimesNewRoman,Bold"/>
          <w:b/>
          <w:bCs/>
          <w:snapToGrid/>
          <w:szCs w:val="22"/>
          <w:lang w:val="en-US"/>
        </w:rPr>
      </w:pPr>
      <w:proofErr w:type="spellStart"/>
      <w:r>
        <w:rPr>
          <w:rFonts w:eastAsia="TimesNewRoman,Bold"/>
          <w:b/>
          <w:bCs/>
          <w:snapToGrid/>
          <w:szCs w:val="22"/>
          <w:lang w:val="en-US"/>
        </w:rPr>
        <w:t>Kokią</w:t>
      </w:r>
      <w:proofErr w:type="spellEnd"/>
      <w:r>
        <w:rPr>
          <w:rFonts w:eastAsia="TimesNewRoman,Bold"/>
          <w:b/>
          <w:bCs/>
          <w:snapToGrid/>
          <w:szCs w:val="22"/>
          <w:lang w:val="en-US"/>
        </w:rPr>
        <w:t xml:space="preserve"> </w:t>
      </w:r>
      <w:proofErr w:type="spellStart"/>
      <w:r>
        <w:rPr>
          <w:rFonts w:eastAsia="TimesNewRoman,Bold"/>
          <w:b/>
          <w:bCs/>
          <w:snapToGrid/>
          <w:szCs w:val="22"/>
          <w:lang w:val="en-US"/>
        </w:rPr>
        <w:t>dozę</w:t>
      </w:r>
      <w:proofErr w:type="spellEnd"/>
      <w:r>
        <w:rPr>
          <w:rFonts w:eastAsia="TimesNewRoman,Bold"/>
          <w:b/>
          <w:bCs/>
          <w:snapToGrid/>
          <w:szCs w:val="22"/>
          <w:lang w:val="en-US"/>
        </w:rPr>
        <w:t xml:space="preserve"> </w:t>
      </w:r>
      <w:proofErr w:type="spellStart"/>
      <w:r>
        <w:rPr>
          <w:rFonts w:eastAsia="TimesNewRoman,Bold"/>
          <w:b/>
          <w:bCs/>
          <w:snapToGrid/>
          <w:szCs w:val="22"/>
          <w:lang w:val="en-US"/>
        </w:rPr>
        <w:t>vartoti</w:t>
      </w:r>
      <w:proofErr w:type="spellEnd"/>
    </w:p>
    <w:p w14:paraId="578CB683" w14:textId="77777777" w:rsidR="009A4BFE" w:rsidRDefault="0051186A">
      <w:pPr>
        <w:numPr>
          <w:ilvl w:val="0"/>
          <w:numId w:val="3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Įprastinė dozė yra po vieną 60 mg tabletę 2 kartus per parą. Vartokite </w:t>
      </w:r>
      <w:proofErr w:type="spellStart"/>
      <w:r w:rsidRPr="0022257B">
        <w:rPr>
          <w:lang w:val="lt-LT"/>
        </w:rPr>
        <w:t>Atixarso</w:t>
      </w:r>
      <w:proofErr w:type="spellEnd"/>
      <w:r>
        <w:rPr>
          <w:rFonts w:eastAsia="TimesNewRoman"/>
          <w:snapToGrid/>
          <w:szCs w:val="22"/>
          <w:lang w:val="lt-LT"/>
        </w:rPr>
        <w:t xml:space="preserve"> tiek laiko, kiek nurodė gydytojas.</w:t>
      </w:r>
    </w:p>
    <w:p w14:paraId="4C429F93" w14:textId="77777777" w:rsidR="009A4BFE" w:rsidRDefault="0051186A">
      <w:pPr>
        <w:numPr>
          <w:ilvl w:val="0"/>
          <w:numId w:val="3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Gerkite šį vaistą kasdien maždaug tuo pačiu laiku (pvz., vieną tabletę ryte ir vieną tabletę vakare).</w:t>
      </w:r>
    </w:p>
    <w:p w14:paraId="32F09807"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53052546"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sidRPr="0022257B">
        <w:rPr>
          <w:b/>
          <w:lang w:val="pt-PT"/>
        </w:rPr>
        <w:t>Atixarso</w:t>
      </w:r>
      <w:r>
        <w:rPr>
          <w:rFonts w:eastAsia="TimesNewRoman,Bold"/>
          <w:b/>
          <w:bCs/>
          <w:snapToGrid/>
          <w:szCs w:val="22"/>
          <w:lang w:val="lt-LT"/>
        </w:rPr>
        <w:t xml:space="preserve"> vartojimas kartu su kitais vaistais, skirtais apsaugoti nuo kraujo krešulių</w:t>
      </w:r>
    </w:p>
    <w:p w14:paraId="0773DB61"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Gydytojas paprastai nurodo kartu vartoti </w:t>
      </w:r>
      <w:proofErr w:type="spellStart"/>
      <w:r>
        <w:rPr>
          <w:rFonts w:eastAsia="TimesNewRoman"/>
          <w:snapToGrid/>
          <w:szCs w:val="22"/>
          <w:lang w:val="lt-LT"/>
        </w:rPr>
        <w:t>acetilsalicilo</w:t>
      </w:r>
      <w:proofErr w:type="spellEnd"/>
      <w:r>
        <w:rPr>
          <w:rFonts w:eastAsia="TimesNewRoman"/>
          <w:snapToGrid/>
          <w:szCs w:val="22"/>
          <w:lang w:val="lt-LT"/>
        </w:rPr>
        <w:t xml:space="preserve"> rūgšties, kurios yra daugelio vaistų, vartojamų norint išvengti kraujo krešulių susidarymo, sudėtyje. Taip pat Jūsų gydytojas nurodys reikalingą </w:t>
      </w:r>
      <w:proofErr w:type="spellStart"/>
      <w:r>
        <w:rPr>
          <w:rFonts w:eastAsia="TimesNewRoman"/>
          <w:snapToGrid/>
          <w:szCs w:val="22"/>
          <w:lang w:val="lt-LT"/>
        </w:rPr>
        <w:t>acetilsalicilo</w:t>
      </w:r>
      <w:proofErr w:type="spellEnd"/>
      <w:r>
        <w:rPr>
          <w:rFonts w:eastAsia="TimesNewRoman"/>
          <w:snapToGrid/>
          <w:szCs w:val="22"/>
          <w:lang w:val="lt-LT"/>
        </w:rPr>
        <w:t xml:space="preserve"> rūgšties dozę (paprastai ji būna 75-150 mg per parą).</w:t>
      </w:r>
    </w:p>
    <w:p w14:paraId="02B3CFC4"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4736362B"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Kaip vartoti </w:t>
      </w:r>
      <w:proofErr w:type="spellStart"/>
      <w:r>
        <w:rPr>
          <w:b/>
          <w:szCs w:val="22"/>
          <w:lang w:val="en-US"/>
        </w:rPr>
        <w:t>Atixarso</w:t>
      </w:r>
      <w:proofErr w:type="spellEnd"/>
    </w:p>
    <w:p w14:paraId="05C8F0A9" w14:textId="77777777" w:rsidR="009A4BFE" w:rsidRDefault="0051186A">
      <w:pPr>
        <w:numPr>
          <w:ilvl w:val="0"/>
          <w:numId w:val="4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Šį vaistą galima gerti valgio metu arba nevalgius.</w:t>
      </w:r>
    </w:p>
    <w:p w14:paraId="08C53021" w14:textId="77777777" w:rsidR="009A4BFE" w:rsidRDefault="0051186A">
      <w:pPr>
        <w:numPr>
          <w:ilvl w:val="0"/>
          <w:numId w:val="4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lastRenderedPageBreak/>
        <w:t xml:space="preserve">Kada išgėrėte paskutinę </w:t>
      </w:r>
      <w:proofErr w:type="spellStart"/>
      <w:r w:rsidRPr="0022257B">
        <w:rPr>
          <w:lang w:val="lt-LT"/>
        </w:rPr>
        <w:t>Atixarso</w:t>
      </w:r>
      <w:proofErr w:type="spellEnd"/>
      <w:r>
        <w:rPr>
          <w:rFonts w:eastAsia="TimesNewRoman"/>
          <w:snapToGrid/>
          <w:szCs w:val="22"/>
          <w:lang w:val="lt-LT"/>
        </w:rPr>
        <w:t xml:space="preserve"> tabletę, galite patikrinti pažiūrėję į lizdinę plokštelę, ant kurios nupiešta saulė, kuri reiškia rytą, ir mėnulis, kuris reiškia vakarą. Tokiu būdu prisiminsite, ar išgėrėte šio vaisto dozę.</w:t>
      </w:r>
    </w:p>
    <w:p w14:paraId="0FD42653"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58CF0ACE"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Jeigu sunku nuryti tabletę</w:t>
      </w:r>
    </w:p>
    <w:p w14:paraId="19DE53B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Jeigu Jums sunku nuryti tabletę, tai ją galite susmulkinti ir sumaišyti su vandeniu kaip aprašyta toliau:</w:t>
      </w:r>
    </w:p>
    <w:p w14:paraId="013E1C8D" w14:textId="77777777" w:rsidR="009A4BFE" w:rsidRDefault="0051186A">
      <w:pPr>
        <w:numPr>
          <w:ilvl w:val="0"/>
          <w:numId w:val="4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susmulkinkite tabletę į smulkius miltelius;</w:t>
      </w:r>
    </w:p>
    <w:p w14:paraId="46D9FFE0" w14:textId="77777777" w:rsidR="009A4BFE" w:rsidRDefault="0051186A">
      <w:pPr>
        <w:numPr>
          <w:ilvl w:val="0"/>
          <w:numId w:val="41"/>
        </w:numPr>
        <w:tabs>
          <w:tab w:val="clear" w:pos="567"/>
        </w:tabs>
        <w:spacing w:line="240" w:lineRule="auto"/>
        <w:ind w:left="567" w:hanging="567"/>
        <w:rPr>
          <w:rFonts w:eastAsia="TimesNewRoman"/>
          <w:snapToGrid/>
          <w:szCs w:val="22"/>
          <w:lang w:val="lt-LT"/>
        </w:rPr>
      </w:pPr>
      <w:r>
        <w:rPr>
          <w:rFonts w:eastAsia="TimesNewRoman"/>
          <w:snapToGrid/>
          <w:szCs w:val="22"/>
          <w:lang w:val="lt-LT"/>
        </w:rPr>
        <w:t>supilkite miltelius į pusę stiklinės vandens;</w:t>
      </w:r>
    </w:p>
    <w:p w14:paraId="343A0620" w14:textId="77777777" w:rsidR="009A4BFE" w:rsidRDefault="0051186A">
      <w:pPr>
        <w:numPr>
          <w:ilvl w:val="0"/>
          <w:numId w:val="41"/>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 išmaišykite ir nedelsdami išgerkite;</w:t>
      </w:r>
    </w:p>
    <w:p w14:paraId="3109BF16" w14:textId="77777777" w:rsidR="009A4BFE" w:rsidRDefault="0051186A">
      <w:pPr>
        <w:numPr>
          <w:ilvl w:val="0"/>
          <w:numId w:val="4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kad tuščioje stiklinėje neliktų vaisto, praskalaukite ją dar puse stiklinės vandens ir išgerkite.</w:t>
      </w:r>
    </w:p>
    <w:p w14:paraId="5DF47114" w14:textId="77777777" w:rsidR="009A4BFE" w:rsidRDefault="0051186A">
      <w:pPr>
        <w:tabs>
          <w:tab w:val="clear" w:pos="567"/>
          <w:tab w:val="left" w:pos="0"/>
        </w:tabs>
        <w:autoSpaceDE w:val="0"/>
        <w:autoSpaceDN w:val="0"/>
        <w:adjustRightInd w:val="0"/>
        <w:spacing w:line="240" w:lineRule="auto"/>
        <w:rPr>
          <w:rFonts w:eastAsia="TimesNewRoman"/>
          <w:snapToGrid/>
          <w:szCs w:val="22"/>
          <w:lang w:val="lt-LT"/>
        </w:rPr>
      </w:pPr>
      <w:r>
        <w:rPr>
          <w:rFonts w:eastAsia="TimesNewRoman"/>
          <w:snapToGrid/>
          <w:szCs w:val="22"/>
          <w:lang w:val="lt-LT"/>
        </w:rPr>
        <w:t>Jei esate ligoninėje, tai šią tabletę Jums gali paduoti sumaišytą su vandeniu per pro nosį į skrandį įkištą (</w:t>
      </w:r>
      <w:proofErr w:type="spellStart"/>
      <w:r>
        <w:rPr>
          <w:rFonts w:eastAsia="TimesNewRoman"/>
          <w:snapToGrid/>
          <w:szCs w:val="22"/>
          <w:lang w:val="lt-LT"/>
        </w:rPr>
        <w:t>nazogastrinį</w:t>
      </w:r>
      <w:proofErr w:type="spellEnd"/>
      <w:r>
        <w:rPr>
          <w:rFonts w:eastAsia="TimesNewRoman"/>
          <w:snapToGrid/>
          <w:szCs w:val="22"/>
          <w:lang w:val="lt-LT"/>
        </w:rPr>
        <w:t>) vamzdelį.</w:t>
      </w:r>
    </w:p>
    <w:p w14:paraId="05A2EE0D" w14:textId="77777777" w:rsidR="009A4BFE" w:rsidRDefault="009A4BFE">
      <w:pPr>
        <w:numPr>
          <w:ilvl w:val="12"/>
          <w:numId w:val="0"/>
        </w:numPr>
        <w:tabs>
          <w:tab w:val="clear" w:pos="567"/>
        </w:tabs>
        <w:spacing w:line="240" w:lineRule="auto"/>
        <w:ind w:right="-2"/>
        <w:rPr>
          <w:szCs w:val="24"/>
          <w:lang w:val="lt-LT"/>
        </w:rPr>
      </w:pPr>
    </w:p>
    <w:p w14:paraId="56931DC5" w14:textId="77777777" w:rsidR="009A4BFE" w:rsidRDefault="0051186A">
      <w:pPr>
        <w:pStyle w:val="Antrat4"/>
        <w:rPr>
          <w:rFonts w:ascii="Times New Roman" w:hAnsi="Times New Roman"/>
          <w:sz w:val="22"/>
          <w:lang w:val="lt-LT"/>
        </w:rPr>
      </w:pPr>
      <w:r>
        <w:rPr>
          <w:rFonts w:ascii="Times New Roman" w:hAnsi="Times New Roman"/>
          <w:sz w:val="22"/>
          <w:lang w:val="lt-LT"/>
        </w:rPr>
        <w:t xml:space="preserve">Ką daryti pavartojus per didelę </w:t>
      </w:r>
      <w:r w:rsidRPr="0022257B">
        <w:rPr>
          <w:rFonts w:ascii="Times New Roman" w:hAnsi="Times New Roman"/>
          <w:sz w:val="22"/>
          <w:lang w:val="pt-PT"/>
        </w:rPr>
        <w:t>Atixarso</w:t>
      </w:r>
      <w:r>
        <w:rPr>
          <w:rFonts w:ascii="Times New Roman" w:hAnsi="Times New Roman"/>
          <w:sz w:val="22"/>
          <w:lang w:val="lt-LT"/>
        </w:rPr>
        <w:t xml:space="preserve"> dozę</w:t>
      </w:r>
    </w:p>
    <w:p w14:paraId="64E9FF7B"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Išgėrę daugiau </w:t>
      </w:r>
      <w:proofErr w:type="spellStart"/>
      <w:r>
        <w:rPr>
          <w:szCs w:val="22"/>
          <w:lang w:val="lt-LT"/>
        </w:rPr>
        <w:t>Atixarso</w:t>
      </w:r>
      <w:proofErr w:type="spellEnd"/>
      <w:r>
        <w:rPr>
          <w:rFonts w:eastAsia="TimesNewRoman"/>
          <w:snapToGrid/>
          <w:szCs w:val="22"/>
          <w:lang w:val="lt-LT"/>
        </w:rPr>
        <w:t xml:space="preserve"> negu reikia, nedelsdami kreipkitės į savo gydytoją arba vykite į ligoninę, pasiėmę vaisto pakuotę. Pavartojus per didelę šio vaisto dozę, gali padidėti kraujavimo pavojus.</w:t>
      </w:r>
    </w:p>
    <w:p w14:paraId="7FFB079E" w14:textId="77777777" w:rsidR="009A4BFE" w:rsidRDefault="009A4BFE">
      <w:pPr>
        <w:numPr>
          <w:ilvl w:val="12"/>
          <w:numId w:val="0"/>
        </w:numPr>
        <w:tabs>
          <w:tab w:val="clear" w:pos="567"/>
        </w:tabs>
        <w:spacing w:line="240" w:lineRule="auto"/>
        <w:ind w:right="-2"/>
        <w:rPr>
          <w:szCs w:val="24"/>
          <w:lang w:val="lt-LT"/>
        </w:rPr>
      </w:pPr>
    </w:p>
    <w:p w14:paraId="5C6034DA" w14:textId="77777777" w:rsidR="009A4BFE" w:rsidRDefault="0051186A">
      <w:pPr>
        <w:pStyle w:val="Antrat4"/>
        <w:rPr>
          <w:rFonts w:ascii="Times New Roman" w:hAnsi="Times New Roman"/>
          <w:sz w:val="22"/>
          <w:lang w:val="lt-LT"/>
        </w:rPr>
      </w:pPr>
      <w:r>
        <w:rPr>
          <w:rFonts w:ascii="Times New Roman" w:hAnsi="Times New Roman"/>
          <w:sz w:val="22"/>
          <w:lang w:val="lt-LT"/>
        </w:rPr>
        <w:t xml:space="preserve">Pamiršus pavartoti </w:t>
      </w:r>
      <w:proofErr w:type="spellStart"/>
      <w:r>
        <w:rPr>
          <w:rFonts w:ascii="Times New Roman" w:hAnsi="Times New Roman"/>
          <w:sz w:val="22"/>
          <w:szCs w:val="22"/>
          <w:lang w:val="en-US"/>
        </w:rPr>
        <w:t>Atixarso</w:t>
      </w:r>
      <w:proofErr w:type="spellEnd"/>
    </w:p>
    <w:p w14:paraId="71D88428" w14:textId="77777777" w:rsidR="009A4BFE" w:rsidRDefault="0051186A">
      <w:pPr>
        <w:numPr>
          <w:ilvl w:val="0"/>
          <w:numId w:val="4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Užmiršę išgerti vieną dozę, kitą gerkite įprastu laiku.</w:t>
      </w:r>
    </w:p>
    <w:p w14:paraId="1A52E121" w14:textId="77777777" w:rsidR="009A4BFE" w:rsidRDefault="0051186A">
      <w:pPr>
        <w:numPr>
          <w:ilvl w:val="0"/>
          <w:numId w:val="42"/>
        </w:numPr>
        <w:tabs>
          <w:tab w:val="clear" w:pos="567"/>
        </w:tabs>
        <w:spacing w:line="240" w:lineRule="auto"/>
        <w:ind w:left="567" w:hanging="567"/>
        <w:rPr>
          <w:rFonts w:eastAsia="TimesNewRoman"/>
          <w:snapToGrid/>
          <w:szCs w:val="22"/>
          <w:lang w:val="lt-LT"/>
        </w:rPr>
      </w:pPr>
      <w:r>
        <w:rPr>
          <w:rFonts w:eastAsia="TimesNewRoman"/>
          <w:snapToGrid/>
          <w:szCs w:val="22"/>
          <w:lang w:val="lt-LT"/>
        </w:rPr>
        <w:t>Negalima vartoti dvigubos dozės (dviejų dozių iš karto) norint kompensuoti praleistą dozę.</w:t>
      </w:r>
    </w:p>
    <w:p w14:paraId="7893665B" w14:textId="77777777" w:rsidR="009A4BFE" w:rsidRDefault="009A4BFE">
      <w:pPr>
        <w:numPr>
          <w:ilvl w:val="12"/>
          <w:numId w:val="0"/>
        </w:numPr>
        <w:tabs>
          <w:tab w:val="clear" w:pos="567"/>
        </w:tabs>
        <w:spacing w:line="240" w:lineRule="auto"/>
        <w:ind w:right="-2"/>
        <w:rPr>
          <w:szCs w:val="24"/>
          <w:lang w:val="lt-LT"/>
        </w:rPr>
      </w:pPr>
    </w:p>
    <w:p w14:paraId="49CABA2D" w14:textId="77777777" w:rsidR="009A4BFE" w:rsidRDefault="0051186A">
      <w:pPr>
        <w:pStyle w:val="Antrat4"/>
        <w:rPr>
          <w:rFonts w:ascii="Times New Roman" w:hAnsi="Times New Roman"/>
          <w:sz w:val="22"/>
          <w:lang w:val="lt-LT"/>
        </w:rPr>
      </w:pPr>
      <w:r>
        <w:rPr>
          <w:rFonts w:ascii="Times New Roman" w:hAnsi="Times New Roman"/>
          <w:sz w:val="22"/>
          <w:lang w:val="lt-LT"/>
        </w:rPr>
        <w:t xml:space="preserve">Nustojus vartoti </w:t>
      </w:r>
      <w:r w:rsidRPr="0022257B">
        <w:rPr>
          <w:rFonts w:ascii="Times New Roman" w:hAnsi="Times New Roman"/>
          <w:sz w:val="22"/>
          <w:lang w:val="pt-PT"/>
        </w:rPr>
        <w:t>Atixarso</w:t>
      </w:r>
    </w:p>
    <w:p w14:paraId="015539C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Nenutraukite </w:t>
      </w:r>
      <w:r w:rsidRPr="0022257B">
        <w:rPr>
          <w:lang w:val="pt-PT"/>
        </w:rPr>
        <w:t>Atixarso</w:t>
      </w:r>
      <w:r>
        <w:rPr>
          <w:rFonts w:eastAsia="TimesNewRoman"/>
          <w:snapToGrid/>
          <w:szCs w:val="22"/>
          <w:lang w:val="lt-LT"/>
        </w:rPr>
        <w:t xml:space="preserve"> vartojimo nepasitarę su Jūsų gydytoju. Vartokite šį vaistą reguliariai, kol Jūsų gydytojas jo skiria. Nutraukus </w:t>
      </w:r>
      <w:proofErr w:type="spellStart"/>
      <w:r>
        <w:rPr>
          <w:szCs w:val="22"/>
          <w:lang w:val="lt-LT"/>
        </w:rPr>
        <w:t>Atixarso</w:t>
      </w:r>
      <w:proofErr w:type="spellEnd"/>
      <w:r>
        <w:rPr>
          <w:rFonts w:eastAsia="TimesNewRoman"/>
          <w:snapToGrid/>
          <w:szCs w:val="22"/>
          <w:lang w:val="lt-LT"/>
        </w:rPr>
        <w:t xml:space="preserve"> vartojimą gali padidėti rizika patirti naują širdies priepuolį ar insultą, taip pat numirti nuo ligos, susijusios su Jūsų širdimi ar kraujagyslėmis.</w:t>
      </w:r>
    </w:p>
    <w:p w14:paraId="3D962A36" w14:textId="77777777" w:rsidR="009A4BFE" w:rsidRDefault="009A4BFE">
      <w:pPr>
        <w:numPr>
          <w:ilvl w:val="12"/>
          <w:numId w:val="0"/>
        </w:numPr>
        <w:tabs>
          <w:tab w:val="clear" w:pos="567"/>
        </w:tabs>
        <w:spacing w:line="240" w:lineRule="auto"/>
        <w:ind w:right="-29"/>
        <w:rPr>
          <w:noProof/>
          <w:szCs w:val="24"/>
          <w:lang w:val="lt-LT"/>
        </w:rPr>
      </w:pPr>
    </w:p>
    <w:p w14:paraId="44DE25D2" w14:textId="77777777" w:rsidR="009A4BFE" w:rsidRDefault="0051186A">
      <w:pPr>
        <w:numPr>
          <w:ilvl w:val="12"/>
          <w:numId w:val="0"/>
        </w:numPr>
        <w:tabs>
          <w:tab w:val="clear" w:pos="567"/>
        </w:tabs>
        <w:spacing w:line="240" w:lineRule="auto"/>
        <w:ind w:right="-29"/>
        <w:rPr>
          <w:szCs w:val="24"/>
          <w:lang w:val="lt-LT"/>
        </w:rPr>
      </w:pPr>
      <w:r>
        <w:rPr>
          <w:noProof/>
          <w:szCs w:val="24"/>
          <w:lang w:val="lt-LT"/>
        </w:rPr>
        <w:t>Jeigu kiltų daugiau klausimų dėl šio vaisto vartojimo, kreipkitės į gydytoją arba vaistininką.</w:t>
      </w:r>
    </w:p>
    <w:p w14:paraId="195DC42E" w14:textId="77777777" w:rsidR="009A4BFE" w:rsidRDefault="009A4BFE">
      <w:pPr>
        <w:numPr>
          <w:ilvl w:val="12"/>
          <w:numId w:val="0"/>
        </w:numPr>
        <w:tabs>
          <w:tab w:val="clear" w:pos="567"/>
        </w:tabs>
        <w:spacing w:line="240" w:lineRule="auto"/>
        <w:rPr>
          <w:szCs w:val="24"/>
          <w:lang w:val="lt-LT"/>
        </w:rPr>
      </w:pPr>
    </w:p>
    <w:p w14:paraId="3D3BD8DA" w14:textId="77777777" w:rsidR="009A4BFE" w:rsidRDefault="009A4BFE">
      <w:pPr>
        <w:numPr>
          <w:ilvl w:val="12"/>
          <w:numId w:val="0"/>
        </w:numPr>
        <w:tabs>
          <w:tab w:val="clear" w:pos="567"/>
        </w:tabs>
        <w:spacing w:line="240" w:lineRule="auto"/>
        <w:rPr>
          <w:szCs w:val="24"/>
          <w:lang w:val="lt-LT"/>
        </w:rPr>
      </w:pPr>
    </w:p>
    <w:p w14:paraId="3BFAE941"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23D33616" w14:textId="77777777" w:rsidR="009A4BFE" w:rsidRDefault="009A4BFE">
      <w:pPr>
        <w:numPr>
          <w:ilvl w:val="12"/>
          <w:numId w:val="0"/>
        </w:numPr>
        <w:tabs>
          <w:tab w:val="clear" w:pos="567"/>
        </w:tabs>
        <w:spacing w:line="240" w:lineRule="auto"/>
        <w:rPr>
          <w:szCs w:val="24"/>
          <w:lang w:val="lt-LT"/>
        </w:rPr>
      </w:pPr>
    </w:p>
    <w:p w14:paraId="78CEAACD" w14:textId="77777777" w:rsidR="009A4BFE" w:rsidRDefault="0051186A">
      <w:pPr>
        <w:numPr>
          <w:ilvl w:val="12"/>
          <w:numId w:val="0"/>
        </w:numPr>
        <w:tabs>
          <w:tab w:val="clear" w:pos="567"/>
        </w:tabs>
        <w:spacing w:line="240" w:lineRule="auto"/>
        <w:ind w:right="-29"/>
        <w:rPr>
          <w:szCs w:val="24"/>
          <w:lang w:val="lt-LT"/>
        </w:rPr>
      </w:pPr>
      <w:r>
        <w:rPr>
          <w:noProof/>
          <w:szCs w:val="24"/>
          <w:lang w:val="lt-LT"/>
        </w:rPr>
        <w:t>Šis vaistas, kaip ir visi kiti, gali sukelti šalutinį poveikį, nors jis pasireiškia ne visiems žmonėms.</w:t>
      </w:r>
    </w:p>
    <w:p w14:paraId="2B7B7F3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Vartojant šio vaisto, gali pasireikšti toliau išvardytas šalutinis poveikis.</w:t>
      </w:r>
    </w:p>
    <w:p w14:paraId="3BCD68A2"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233D309"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sidRPr="0022257B">
        <w:rPr>
          <w:lang w:val="lt-LT"/>
        </w:rPr>
        <w:t>Atixarso</w:t>
      </w:r>
      <w:proofErr w:type="spellEnd"/>
      <w:r>
        <w:rPr>
          <w:rFonts w:eastAsia="TimesNewRoman"/>
          <w:snapToGrid/>
          <w:szCs w:val="22"/>
          <w:lang w:val="lt-LT"/>
        </w:rPr>
        <w:t xml:space="preserve"> veikia kraujo krešėjimą, todėl dauguma šalutinių poveikių yra susiję su kraujavimu. Kraujavimas galimas bet kurioje kūno vietoje. Kai kurie kraujavimai (kaip kraujosruvos, kraujavimas iš nosies) pasitaiko dažnai. Stiprus kraujavimas pasitaiko nedažnai, bet gali kelti pavojų gyvybei.</w:t>
      </w:r>
    </w:p>
    <w:p w14:paraId="2933E559"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46F26272"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Nedelsdami kreipkitės į gydytoją pastebėję bent vieną iš toliau išvardytų sutrikimų, kadangi Jums gali reikėti skubios gydytojo pagalbos:</w:t>
      </w:r>
    </w:p>
    <w:p w14:paraId="5BB78475" w14:textId="77777777" w:rsidR="009A4BFE" w:rsidRDefault="0051186A">
      <w:pPr>
        <w:pStyle w:val="Sraopastraipa"/>
        <w:numPr>
          <w:ilvl w:val="0"/>
          <w:numId w:val="27"/>
        </w:numPr>
        <w:tabs>
          <w:tab w:val="clear" w:pos="567"/>
        </w:tabs>
        <w:autoSpaceDE w:val="0"/>
        <w:autoSpaceDN w:val="0"/>
        <w:adjustRightInd w:val="0"/>
        <w:spacing w:line="240" w:lineRule="auto"/>
        <w:ind w:left="567" w:hanging="567"/>
        <w:rPr>
          <w:rFonts w:eastAsia="TimesNewRoman,Bold"/>
          <w:b/>
          <w:bCs/>
          <w:snapToGrid/>
          <w:szCs w:val="22"/>
          <w:lang w:val="lt-LT"/>
        </w:rPr>
      </w:pPr>
      <w:r>
        <w:rPr>
          <w:rFonts w:eastAsia="TimesNewRoman,Bold"/>
          <w:b/>
          <w:bCs/>
          <w:snapToGrid/>
          <w:szCs w:val="22"/>
          <w:lang w:val="lt-LT"/>
        </w:rPr>
        <w:t>Kraujavimas į smegenis arba kaukolės viduje yra nedažnas šalutinis poveikis, dėl kurio gali pasireikšti insulto požymių, kaip antai:</w:t>
      </w:r>
    </w:p>
    <w:p w14:paraId="2A615C90"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pasireiškę rankos, kojos arba veido nejautra ar silpnumas, ypač jei šie sutrikimai yra tik vienoje kūno pusėje;</w:t>
      </w:r>
    </w:p>
    <w:p w14:paraId="7428D4E7"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atsiradęs sumišimas, pasunkėjusi kalba ar pablogėjęs gebėjimas suprasti kitus žmones;</w:t>
      </w:r>
    </w:p>
    <w:p w14:paraId="5D7CA4E4"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pasunkėjęs ėjimas arba sutrikusi pusiausvyra ar koordinacija;</w:t>
      </w:r>
    </w:p>
    <w:p w14:paraId="11CEAC27"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be aiškios priežasties prasidėjęs svaigulys arba stiprus galvos skausmas.</w:t>
      </w:r>
    </w:p>
    <w:p w14:paraId="40AF082B"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5D935B6" w14:textId="77777777" w:rsidR="009A4BFE" w:rsidRDefault="0051186A">
      <w:pPr>
        <w:pStyle w:val="Sraopastraipa"/>
        <w:numPr>
          <w:ilvl w:val="0"/>
          <w:numId w:val="27"/>
        </w:numPr>
        <w:tabs>
          <w:tab w:val="clear" w:pos="567"/>
        </w:tabs>
        <w:autoSpaceDE w:val="0"/>
        <w:autoSpaceDN w:val="0"/>
        <w:adjustRightInd w:val="0"/>
        <w:spacing w:line="240" w:lineRule="auto"/>
        <w:ind w:left="567" w:hanging="567"/>
        <w:rPr>
          <w:rFonts w:eastAsia="TimesNewRoman"/>
          <w:b/>
          <w:snapToGrid/>
          <w:szCs w:val="22"/>
          <w:lang w:val="lt-LT"/>
        </w:rPr>
      </w:pPr>
      <w:r>
        <w:rPr>
          <w:rFonts w:eastAsia="TimesNewRoman,Bold"/>
          <w:b/>
          <w:bCs/>
          <w:snapToGrid/>
          <w:szCs w:val="22"/>
          <w:lang w:val="lt-LT"/>
        </w:rPr>
        <w:t>Kraujavimo požymiai, kaip antai</w:t>
      </w:r>
      <w:r>
        <w:rPr>
          <w:rFonts w:eastAsia="TimesNewRoman"/>
          <w:b/>
          <w:snapToGrid/>
          <w:szCs w:val="22"/>
          <w:lang w:val="lt-LT"/>
        </w:rPr>
        <w:t>:</w:t>
      </w:r>
    </w:p>
    <w:p w14:paraId="48EE43A9"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stiprus ar nekontroliuojamas kraujavimas;</w:t>
      </w:r>
    </w:p>
    <w:p w14:paraId="77A67B3D"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netikėtas ar ilgalaikis kraujavimas;</w:t>
      </w:r>
    </w:p>
    <w:p w14:paraId="48D2D2FD"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rožinis, raudonas arba rudas šlapimas;</w:t>
      </w:r>
    </w:p>
    <w:p w14:paraId="5AF50941"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vėmimas raudonu krauju arba panašiu į kavos tirščius turiniu;</w:t>
      </w:r>
    </w:p>
    <w:p w14:paraId="0570D82F"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raudonos ar juodos kaip degutas išmatos;</w:t>
      </w:r>
    </w:p>
    <w:p w14:paraId="5522472F"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kraujo atkosėjimas ar vėmimas kraujo krešuliais.</w:t>
      </w:r>
    </w:p>
    <w:p w14:paraId="1F11B43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053A4E50" w14:textId="77777777" w:rsidR="009A4BFE" w:rsidRDefault="0051186A">
      <w:pPr>
        <w:pStyle w:val="Sraopastraipa"/>
        <w:numPr>
          <w:ilvl w:val="0"/>
          <w:numId w:val="2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Bold"/>
          <w:b/>
          <w:bCs/>
          <w:snapToGrid/>
          <w:szCs w:val="22"/>
          <w:lang w:val="lt-LT"/>
        </w:rPr>
        <w:t>Alpimas (sinkopė)</w:t>
      </w:r>
      <w:r>
        <w:rPr>
          <w:rFonts w:eastAsia="TimesNewRoman"/>
          <w:snapToGrid/>
          <w:szCs w:val="22"/>
          <w:lang w:val="lt-LT"/>
        </w:rPr>
        <w:t>:</w:t>
      </w:r>
    </w:p>
    <w:p w14:paraId="28DB015F"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laikinas sąmonės netekimas dėl staigaus smegenų kraujotakos sutrikimo (pasitaiko dažnai).</w:t>
      </w:r>
    </w:p>
    <w:p w14:paraId="74D056BA" w14:textId="77777777" w:rsidR="009A4BFE" w:rsidRDefault="009A4BFE">
      <w:pPr>
        <w:tabs>
          <w:tab w:val="clear" w:pos="567"/>
          <w:tab w:val="left" w:pos="851"/>
        </w:tabs>
        <w:autoSpaceDE w:val="0"/>
        <w:autoSpaceDN w:val="0"/>
        <w:adjustRightInd w:val="0"/>
        <w:spacing w:line="240" w:lineRule="auto"/>
        <w:rPr>
          <w:rFonts w:eastAsia="TimesNewRoman"/>
          <w:snapToGrid/>
          <w:szCs w:val="22"/>
          <w:lang w:val="lt-LT"/>
        </w:rPr>
      </w:pPr>
    </w:p>
    <w:p w14:paraId="779C06C4" w14:textId="77777777" w:rsidR="009A4BFE" w:rsidRDefault="0051186A">
      <w:pPr>
        <w:pStyle w:val="Sraopastraipa"/>
        <w:numPr>
          <w:ilvl w:val="0"/>
          <w:numId w:val="27"/>
        </w:numPr>
        <w:tabs>
          <w:tab w:val="clear" w:pos="567"/>
        </w:tabs>
        <w:spacing w:line="240" w:lineRule="auto"/>
        <w:ind w:left="567" w:hanging="567"/>
        <w:rPr>
          <w:rFonts w:eastAsia="TimesNewRoman,Bold"/>
          <w:b/>
          <w:bCs/>
          <w:snapToGrid/>
          <w:szCs w:val="22"/>
          <w:lang w:val="lt-LT"/>
        </w:rPr>
      </w:pPr>
      <w:r>
        <w:rPr>
          <w:rFonts w:eastAsia="TimesNewRoman,Bold"/>
          <w:b/>
          <w:bCs/>
          <w:snapToGrid/>
          <w:szCs w:val="22"/>
          <w:lang w:val="lt-LT"/>
        </w:rPr>
        <w:t xml:space="preserve">Krešėjimo sutrikimo, vadinamo trombine </w:t>
      </w:r>
      <w:proofErr w:type="spellStart"/>
      <w:r>
        <w:rPr>
          <w:rFonts w:eastAsia="TimesNewRoman,Bold"/>
          <w:b/>
          <w:bCs/>
          <w:snapToGrid/>
          <w:szCs w:val="22"/>
          <w:lang w:val="lt-LT"/>
        </w:rPr>
        <w:t>trombocitopenine</w:t>
      </w:r>
      <w:proofErr w:type="spellEnd"/>
      <w:r>
        <w:rPr>
          <w:rFonts w:eastAsia="TimesNewRoman,Bold"/>
          <w:b/>
          <w:bCs/>
          <w:snapToGrid/>
          <w:szCs w:val="22"/>
          <w:lang w:val="lt-LT"/>
        </w:rPr>
        <w:t xml:space="preserve"> purpura (TTP), požymiai, kaip antai:</w:t>
      </w:r>
    </w:p>
    <w:p w14:paraId="37BC8E4E"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karščiavimas ir purpurinės dėmės (vadinamos purpura) odoje ar burnos ertmėje, kartu gali pagelsti oda ir akys (gelta), be aiškios priežasties pasireikšti labai didelis nuovargis arba sutrikti orientacija.</w:t>
      </w:r>
    </w:p>
    <w:p w14:paraId="57AC1EFA"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012D3218"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Pasitarkite su Jūsų gydytoju pajutę šį sutrikimą:</w:t>
      </w:r>
    </w:p>
    <w:p w14:paraId="3DE76AF5" w14:textId="77777777" w:rsidR="009A4BFE" w:rsidRDefault="0051186A">
      <w:pPr>
        <w:pStyle w:val="Sraopastraipa"/>
        <w:numPr>
          <w:ilvl w:val="0"/>
          <w:numId w:val="2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Bold"/>
          <w:b/>
          <w:bCs/>
          <w:snapToGrid/>
          <w:szCs w:val="22"/>
          <w:lang w:val="lt-LT"/>
        </w:rPr>
        <w:t xml:space="preserve">dusulys (oro trūkumas) - tai pasireiškia labai dažnai. </w:t>
      </w:r>
      <w:r>
        <w:rPr>
          <w:rFonts w:eastAsia="TimesNewRoman"/>
          <w:snapToGrid/>
          <w:szCs w:val="22"/>
          <w:lang w:val="lt-LT"/>
        </w:rPr>
        <w:t xml:space="preserve">Dusulio priežastis gali būti širdies liga, </w:t>
      </w:r>
      <w:proofErr w:type="spellStart"/>
      <w:r>
        <w:rPr>
          <w:szCs w:val="22"/>
          <w:lang w:val="lt-LT"/>
        </w:rPr>
        <w:t>Atixarso</w:t>
      </w:r>
      <w:proofErr w:type="spellEnd"/>
      <w:r>
        <w:rPr>
          <w:rFonts w:eastAsia="TimesNewRoman"/>
          <w:snapToGrid/>
          <w:szCs w:val="22"/>
          <w:lang w:val="lt-LT"/>
        </w:rPr>
        <w:t xml:space="preserve"> šalutinis poveikis ir kt. Su </w:t>
      </w:r>
      <w:proofErr w:type="spellStart"/>
      <w:r w:rsidRPr="0022257B">
        <w:rPr>
          <w:lang w:val="lt-LT"/>
        </w:rPr>
        <w:t>Atixarso</w:t>
      </w:r>
      <w:proofErr w:type="spellEnd"/>
      <w:r>
        <w:rPr>
          <w:rFonts w:eastAsia="TimesNewRoman"/>
          <w:snapToGrid/>
          <w:szCs w:val="22"/>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71FF013C"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5EDF43FF"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Kitas galimas šalutinis poveikis</w:t>
      </w:r>
    </w:p>
    <w:p w14:paraId="36406860"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5FF10370" w14:textId="24092F1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Labai dažni šalutinio poveikio reiškiniai (gali pasireikšti </w:t>
      </w:r>
      <w:r w:rsidR="00406949">
        <w:rPr>
          <w:rFonts w:eastAsia="TimesNewRoman,Bold"/>
          <w:b/>
          <w:bCs/>
          <w:snapToGrid/>
          <w:szCs w:val="22"/>
          <w:lang w:val="lt-LT"/>
        </w:rPr>
        <w:t xml:space="preserve">ne rečiau </w:t>
      </w:r>
      <w:r>
        <w:rPr>
          <w:rFonts w:eastAsia="TimesNewRoman,Bold"/>
          <w:b/>
          <w:bCs/>
          <w:snapToGrid/>
          <w:szCs w:val="22"/>
          <w:lang w:val="lt-LT"/>
        </w:rPr>
        <w:t>kaip 1 iš 10 asmenų):</w:t>
      </w:r>
    </w:p>
    <w:p w14:paraId="3C1DD45A" w14:textId="77777777" w:rsidR="009A4BFE" w:rsidRDefault="0051186A">
      <w:pPr>
        <w:numPr>
          <w:ilvl w:val="0"/>
          <w:numId w:val="3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padidėjusi šlapimo rūgšties koncentracija kraujyje (nustatoma tam tikru tyrimu);</w:t>
      </w:r>
    </w:p>
    <w:p w14:paraId="5F68536A" w14:textId="77777777" w:rsidR="009A4BFE" w:rsidRDefault="0051186A">
      <w:pPr>
        <w:numPr>
          <w:ilvl w:val="0"/>
          <w:numId w:val="3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dėl kraujo sutrikimų.</w:t>
      </w:r>
    </w:p>
    <w:p w14:paraId="4054F7BA"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6B07BD5"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Dažni šalutinio poveikio reiškiniai (gali pasireikšti rečiau kaip 1 iš 10 asmenų):</w:t>
      </w:r>
    </w:p>
    <w:p w14:paraId="0B8B4504"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kraujosruvos;</w:t>
      </w:r>
    </w:p>
    <w:p w14:paraId="78E36B7D"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galvos skausmas;</w:t>
      </w:r>
    </w:p>
    <w:p w14:paraId="479F8DBA"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svaigulys arba svaigimas (lyg suktųsi kambarys);</w:t>
      </w:r>
    </w:p>
    <w:p w14:paraId="4F0CE106"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viduriavimas ar </w:t>
      </w:r>
      <w:proofErr w:type="spellStart"/>
      <w:r>
        <w:rPr>
          <w:rFonts w:eastAsia="TimesNewRoman"/>
          <w:snapToGrid/>
          <w:szCs w:val="22"/>
          <w:lang w:val="lt-LT"/>
        </w:rPr>
        <w:t>nevirškinimas</w:t>
      </w:r>
      <w:proofErr w:type="spellEnd"/>
      <w:r>
        <w:rPr>
          <w:rFonts w:eastAsia="TimesNewRoman"/>
          <w:snapToGrid/>
          <w:szCs w:val="22"/>
          <w:lang w:val="lt-LT"/>
        </w:rPr>
        <w:t>;</w:t>
      </w:r>
    </w:p>
    <w:p w14:paraId="3C2195D2"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pykinimas;</w:t>
      </w:r>
    </w:p>
    <w:p w14:paraId="6F7D6FAE"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vidurių užkietėjimas;</w:t>
      </w:r>
    </w:p>
    <w:p w14:paraId="3A32509C"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išbėrimas;</w:t>
      </w:r>
    </w:p>
    <w:p w14:paraId="374B47D0"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niežėjimas;</w:t>
      </w:r>
    </w:p>
    <w:p w14:paraId="5E0ED9EA"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stiprus sąnarių skausmas ir patinimas (podagros požymiai);</w:t>
      </w:r>
    </w:p>
    <w:p w14:paraId="7ACAE0AA"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svaigulys ar apsvaigimas arba neryškus matymas (rodo sumažėjusį kraujospūdį);</w:t>
      </w:r>
    </w:p>
    <w:p w14:paraId="5419C0DC"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nosies;</w:t>
      </w:r>
    </w:p>
    <w:p w14:paraId="7B088F5C"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po operacijos arba įsipjovus (pvz., skutantis) ir iš žaizdų daugiau negu normaliai;</w:t>
      </w:r>
    </w:p>
    <w:p w14:paraId="1270BBA7"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skrandžio gleivinės (opos);</w:t>
      </w:r>
    </w:p>
    <w:p w14:paraId="09DBB9A2"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dantenų.</w:t>
      </w:r>
    </w:p>
    <w:p w14:paraId="4D6D25A9" w14:textId="77777777" w:rsidR="009A4BFE" w:rsidRDefault="009A4BFE">
      <w:pPr>
        <w:tabs>
          <w:tab w:val="clear" w:pos="567"/>
        </w:tabs>
        <w:autoSpaceDE w:val="0"/>
        <w:autoSpaceDN w:val="0"/>
        <w:adjustRightInd w:val="0"/>
        <w:spacing w:line="240" w:lineRule="auto"/>
        <w:ind w:left="567" w:hanging="567"/>
        <w:rPr>
          <w:rFonts w:eastAsia="TimesNewRoman"/>
          <w:snapToGrid/>
          <w:szCs w:val="22"/>
          <w:lang w:val="lt-LT"/>
        </w:rPr>
      </w:pPr>
    </w:p>
    <w:p w14:paraId="6F4AABDE"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Nedažni šalutinio poveikio reiškiniai (gali pasireikšti rečiau kaip 1 iš 100 asmenų):</w:t>
      </w:r>
    </w:p>
    <w:p w14:paraId="1EB05DEF"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alerginė reakcija – jos požymiai gali būti išbėrimas, niežėjimas arba veido, lūpų ar liežuvio patinimas;</w:t>
      </w:r>
    </w:p>
    <w:p w14:paraId="6F105E15"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sumišimas;</w:t>
      </w:r>
    </w:p>
    <w:p w14:paraId="61F637AC"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sutrikęs regėjimas dėl kraujo akyje;</w:t>
      </w:r>
    </w:p>
    <w:p w14:paraId="3DC2BEFD"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makšties – gausesnis arba ne mėnesinių metu;</w:t>
      </w:r>
    </w:p>
    <w:p w14:paraId="7325D343"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į sąnarius ir raumenis, dėl kurio gali atsirasti skausmingas patinimas;</w:t>
      </w:r>
    </w:p>
    <w:p w14:paraId="0D26AC00"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kraujas ausyje;</w:t>
      </w:r>
    </w:p>
    <w:p w14:paraId="1FA13CD1"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vidinis kraujavimas, dėl kurio gali pasireikšti svaigulys ar apsvaigimas.</w:t>
      </w:r>
    </w:p>
    <w:p w14:paraId="07A6D5FA" w14:textId="77777777" w:rsidR="009A4BFE" w:rsidRDefault="009A4BFE">
      <w:pPr>
        <w:tabs>
          <w:tab w:val="clear" w:pos="567"/>
        </w:tabs>
        <w:autoSpaceDE w:val="0"/>
        <w:autoSpaceDN w:val="0"/>
        <w:adjustRightInd w:val="0"/>
        <w:spacing w:line="240" w:lineRule="auto"/>
        <w:ind w:left="567"/>
        <w:rPr>
          <w:rFonts w:eastAsia="TimesNewRoman"/>
          <w:snapToGrid/>
          <w:szCs w:val="22"/>
          <w:lang w:val="lt-LT"/>
        </w:rPr>
      </w:pPr>
    </w:p>
    <w:p w14:paraId="266B8634" w14:textId="77777777" w:rsidR="009A4BFE" w:rsidRPr="0022257B" w:rsidRDefault="0051186A">
      <w:pPr>
        <w:spacing w:line="240" w:lineRule="auto"/>
        <w:rPr>
          <w:b/>
          <w:lang w:val="pt-PT"/>
        </w:rPr>
      </w:pPr>
      <w:r w:rsidRPr="0022257B">
        <w:rPr>
          <w:b/>
          <w:lang w:val="pt-PT"/>
        </w:rPr>
        <w:t>Dažnis nežinomas (negali būti apskaičiuotas pagal turimus duomenis):</w:t>
      </w:r>
    </w:p>
    <w:p w14:paraId="06083D14"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nenormaliai retas pulsas (dažniausiai retesnis kaip 60 dūžių per minutę).</w:t>
      </w:r>
    </w:p>
    <w:p w14:paraId="051BE6FC" w14:textId="77777777" w:rsidR="009A4BFE" w:rsidRDefault="009A4BFE">
      <w:pPr>
        <w:spacing w:line="240" w:lineRule="auto"/>
        <w:rPr>
          <w:bCs/>
          <w:szCs w:val="24"/>
          <w:lang w:val="lt-LT"/>
        </w:rPr>
      </w:pPr>
    </w:p>
    <w:p w14:paraId="1A79064D" w14:textId="77777777" w:rsidR="009A4BFE" w:rsidRDefault="0051186A">
      <w:pPr>
        <w:widowControl w:val="0"/>
        <w:spacing w:line="240" w:lineRule="auto"/>
        <w:rPr>
          <w:b/>
          <w:szCs w:val="22"/>
          <w:lang w:val="lt-LT"/>
        </w:rPr>
      </w:pPr>
      <w:r>
        <w:rPr>
          <w:b/>
          <w:noProof/>
          <w:szCs w:val="22"/>
          <w:lang w:val="lt-LT"/>
        </w:rPr>
        <w:t>Pranešimas apie šalutinį poveikį</w:t>
      </w:r>
    </w:p>
    <w:p w14:paraId="2FF366A7" w14:textId="77777777" w:rsidR="009A4BFE" w:rsidRDefault="0051186A">
      <w:pPr>
        <w:ind w:right="-1"/>
        <w:rPr>
          <w:snapToGrid/>
          <w:lang w:val="lt-LT"/>
        </w:rPr>
      </w:pPr>
      <w:r>
        <w:rPr>
          <w:snapToGrid/>
          <w:szCs w:val="22"/>
          <w:lang w:val="lt-LT" w:eastAsia="lt-LT"/>
        </w:rPr>
        <w:t xml:space="preserve">Jeigu pasireiškė šalutinis poveikis, įskaitant šiame lapelyje nenurodytą, pasakykite gydytojui, vaistininkui arba slaugytojui. </w:t>
      </w:r>
      <w:bookmarkStart w:id="2"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bookmarkEnd w:id="2"/>
    </w:p>
    <w:p w14:paraId="0A7A582B" w14:textId="77777777" w:rsidR="009A4BFE" w:rsidRDefault="009A4BFE">
      <w:pPr>
        <w:ind w:right="-449"/>
        <w:rPr>
          <w:noProof/>
          <w:szCs w:val="24"/>
          <w:lang w:val="lt-LT"/>
        </w:rPr>
      </w:pPr>
    </w:p>
    <w:p w14:paraId="12951FDF" w14:textId="77777777" w:rsidR="009A4BFE" w:rsidRDefault="009A4BFE">
      <w:pPr>
        <w:ind w:right="-449"/>
        <w:rPr>
          <w:noProof/>
          <w:szCs w:val="24"/>
          <w:lang w:val="lt-LT"/>
        </w:rPr>
      </w:pPr>
    </w:p>
    <w:p w14:paraId="7DF474F7"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proofErr w:type="spellStart"/>
      <w:r w:rsidRPr="0022257B">
        <w:rPr>
          <w:rFonts w:ascii="Times New Roman" w:hAnsi="Times New Roman"/>
          <w:sz w:val="22"/>
          <w:lang w:val="lt-LT"/>
        </w:rPr>
        <w:t>Atixarso</w:t>
      </w:r>
      <w:proofErr w:type="spellEnd"/>
    </w:p>
    <w:p w14:paraId="26382876" w14:textId="77777777" w:rsidR="009A4BFE" w:rsidRDefault="009A4BFE">
      <w:pPr>
        <w:numPr>
          <w:ilvl w:val="12"/>
          <w:numId w:val="0"/>
        </w:numPr>
        <w:tabs>
          <w:tab w:val="clear" w:pos="567"/>
        </w:tabs>
        <w:spacing w:line="240" w:lineRule="auto"/>
        <w:ind w:right="-2"/>
        <w:rPr>
          <w:szCs w:val="24"/>
          <w:lang w:val="lt-LT"/>
        </w:rPr>
      </w:pPr>
    </w:p>
    <w:p w14:paraId="5374ECBD" w14:textId="77777777" w:rsidR="009A4BFE" w:rsidRDefault="0051186A">
      <w:pPr>
        <w:numPr>
          <w:ilvl w:val="12"/>
          <w:numId w:val="0"/>
        </w:numPr>
        <w:tabs>
          <w:tab w:val="clear" w:pos="567"/>
        </w:tabs>
        <w:spacing w:line="240" w:lineRule="auto"/>
        <w:ind w:right="-2"/>
        <w:rPr>
          <w:szCs w:val="24"/>
          <w:lang w:val="lt-LT"/>
        </w:rPr>
      </w:pPr>
      <w:r>
        <w:rPr>
          <w:noProof/>
          <w:szCs w:val="24"/>
          <w:lang w:val="lt-LT"/>
        </w:rPr>
        <w:t>Šį vaistą laikykite vaikams nepastebimoje ir nepasiekiamoje vietoje.</w:t>
      </w:r>
    </w:p>
    <w:p w14:paraId="47AAFF81" w14:textId="77777777" w:rsidR="009A4BFE" w:rsidRDefault="009A4BFE">
      <w:pPr>
        <w:numPr>
          <w:ilvl w:val="12"/>
          <w:numId w:val="0"/>
        </w:numPr>
        <w:tabs>
          <w:tab w:val="clear" w:pos="567"/>
        </w:tabs>
        <w:spacing w:line="240" w:lineRule="auto"/>
        <w:ind w:right="-2"/>
        <w:rPr>
          <w:szCs w:val="24"/>
          <w:lang w:val="lt-LT"/>
        </w:rPr>
      </w:pPr>
    </w:p>
    <w:p w14:paraId="0618C079" w14:textId="77777777" w:rsidR="009A4BFE" w:rsidRDefault="0051186A">
      <w:pPr>
        <w:numPr>
          <w:ilvl w:val="12"/>
          <w:numId w:val="0"/>
        </w:numPr>
        <w:tabs>
          <w:tab w:val="clear" w:pos="567"/>
        </w:tabs>
        <w:spacing w:line="240" w:lineRule="auto"/>
        <w:ind w:right="-2"/>
        <w:rPr>
          <w:szCs w:val="24"/>
          <w:lang w:val="lt-LT"/>
        </w:rPr>
      </w:pPr>
      <w:r>
        <w:rPr>
          <w:noProof/>
          <w:szCs w:val="24"/>
          <w:lang w:val="lt-LT"/>
        </w:rPr>
        <w:t xml:space="preserve">Ant dėžutės ir lizdinės plokštelės po „EXP“ nurodytam tinkamumo laikui pasibaigus, šio vaisto vartoti negalima. Vaistas tinkamas vartoti iki paskutinės nurodyto mėnesio dienos. </w:t>
      </w:r>
    </w:p>
    <w:p w14:paraId="7E9C95CE" w14:textId="77777777" w:rsidR="009A4BFE" w:rsidRDefault="009A4BFE">
      <w:pPr>
        <w:numPr>
          <w:ilvl w:val="12"/>
          <w:numId w:val="0"/>
        </w:numPr>
        <w:tabs>
          <w:tab w:val="clear" w:pos="567"/>
        </w:tabs>
        <w:spacing w:line="240" w:lineRule="auto"/>
        <w:ind w:right="-2"/>
        <w:rPr>
          <w:szCs w:val="24"/>
          <w:lang w:val="lt-LT"/>
        </w:rPr>
      </w:pPr>
    </w:p>
    <w:p w14:paraId="582BF459"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Šiam vaistui specialių laikymo sąlygų nereikia.</w:t>
      </w:r>
    </w:p>
    <w:p w14:paraId="2949E58E" w14:textId="77777777" w:rsidR="009A4BFE" w:rsidRDefault="009A4BFE">
      <w:pPr>
        <w:numPr>
          <w:ilvl w:val="12"/>
          <w:numId w:val="0"/>
        </w:numPr>
        <w:tabs>
          <w:tab w:val="clear" w:pos="567"/>
        </w:tabs>
        <w:spacing w:line="240" w:lineRule="auto"/>
        <w:ind w:right="-2"/>
        <w:rPr>
          <w:szCs w:val="24"/>
          <w:lang w:val="lt-LT"/>
        </w:rPr>
      </w:pPr>
    </w:p>
    <w:p w14:paraId="12F84FA8" w14:textId="77777777" w:rsidR="009A4BFE" w:rsidRDefault="0051186A">
      <w:pPr>
        <w:numPr>
          <w:ilvl w:val="12"/>
          <w:numId w:val="0"/>
        </w:numPr>
        <w:tabs>
          <w:tab w:val="clear" w:pos="567"/>
        </w:tabs>
        <w:spacing w:line="240" w:lineRule="auto"/>
        <w:ind w:right="-2"/>
        <w:rPr>
          <w:i/>
          <w:lang w:val="lt-LT"/>
        </w:rPr>
      </w:pPr>
      <w:r>
        <w:rPr>
          <w:noProof/>
          <w:szCs w:val="24"/>
          <w:lang w:val="lt-LT"/>
        </w:rPr>
        <w:t>Vaistų negalima išmesti į kanalizaciją arba su buitinėmis atliekomis.</w:t>
      </w:r>
      <w:r>
        <w:rPr>
          <w:szCs w:val="24"/>
          <w:lang w:val="lt-LT"/>
        </w:rPr>
        <w:t xml:space="preserve"> </w:t>
      </w:r>
      <w:r>
        <w:rPr>
          <w:noProof/>
          <w:szCs w:val="24"/>
          <w:lang w:val="lt-LT"/>
        </w:rPr>
        <w:t>Kaip išmesti nereikalingus vaistus, klauskite vaistininko.</w:t>
      </w:r>
      <w:r>
        <w:rPr>
          <w:szCs w:val="24"/>
          <w:lang w:val="lt-LT"/>
        </w:rPr>
        <w:t xml:space="preserve"> </w:t>
      </w:r>
      <w:r>
        <w:rPr>
          <w:noProof/>
          <w:szCs w:val="24"/>
          <w:lang w:val="lt-LT"/>
        </w:rPr>
        <w:t>Šios priemonės padės apsaugoti aplinką.</w:t>
      </w:r>
    </w:p>
    <w:p w14:paraId="5B14960E" w14:textId="77777777" w:rsidR="009A4BFE" w:rsidRDefault="009A4BFE">
      <w:pPr>
        <w:numPr>
          <w:ilvl w:val="12"/>
          <w:numId w:val="0"/>
        </w:numPr>
        <w:tabs>
          <w:tab w:val="clear" w:pos="567"/>
        </w:tabs>
        <w:spacing w:line="240" w:lineRule="auto"/>
        <w:ind w:right="-2"/>
        <w:rPr>
          <w:noProof/>
          <w:szCs w:val="24"/>
          <w:lang w:val="lt-LT"/>
        </w:rPr>
      </w:pPr>
    </w:p>
    <w:p w14:paraId="3FCD6F80" w14:textId="77777777" w:rsidR="009A4BFE" w:rsidRDefault="009A4BFE">
      <w:pPr>
        <w:pStyle w:val="Antrat3"/>
        <w:spacing w:before="0" w:after="0" w:line="240" w:lineRule="auto"/>
        <w:rPr>
          <w:rFonts w:ascii="Times New Roman" w:hAnsi="Times New Roman"/>
          <w:b w:val="0"/>
          <w:bCs w:val="0"/>
          <w:sz w:val="22"/>
          <w:lang w:val="lt-LT"/>
        </w:rPr>
      </w:pPr>
    </w:p>
    <w:p w14:paraId="473B683A"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4D1A5408" w14:textId="77777777" w:rsidR="009A4BFE" w:rsidRDefault="009A4BFE">
      <w:pPr>
        <w:numPr>
          <w:ilvl w:val="12"/>
          <w:numId w:val="0"/>
        </w:numPr>
        <w:tabs>
          <w:tab w:val="clear" w:pos="567"/>
        </w:tabs>
        <w:spacing w:line="240" w:lineRule="auto"/>
        <w:rPr>
          <w:szCs w:val="24"/>
          <w:lang w:val="lt-LT"/>
        </w:rPr>
      </w:pPr>
    </w:p>
    <w:p w14:paraId="0616A461" w14:textId="77777777" w:rsidR="009A4BFE" w:rsidRDefault="0051186A">
      <w:pPr>
        <w:pStyle w:val="Antrat4"/>
        <w:rPr>
          <w:rFonts w:ascii="Times New Roman" w:hAnsi="Times New Roman"/>
          <w:sz w:val="22"/>
          <w:lang w:val="lt-LT"/>
        </w:rPr>
      </w:pPr>
      <w:r w:rsidRPr="0022257B">
        <w:rPr>
          <w:rFonts w:ascii="Times New Roman" w:hAnsi="Times New Roman"/>
          <w:sz w:val="22"/>
          <w:lang w:val="pt-PT"/>
        </w:rPr>
        <w:t>Atixarso</w:t>
      </w:r>
      <w:r>
        <w:rPr>
          <w:rFonts w:ascii="Times New Roman" w:hAnsi="Times New Roman"/>
          <w:sz w:val="22"/>
          <w:lang w:val="lt-LT"/>
        </w:rPr>
        <w:t xml:space="preserve"> sudėtis</w:t>
      </w:r>
    </w:p>
    <w:p w14:paraId="2DACDF2D" w14:textId="77777777" w:rsidR="009A4BFE" w:rsidRDefault="0051186A">
      <w:pPr>
        <w:numPr>
          <w:ilvl w:val="0"/>
          <w:numId w:val="19"/>
        </w:num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Veiklioji medžiaga yra </w:t>
      </w:r>
      <w:proofErr w:type="spellStart"/>
      <w:r>
        <w:rPr>
          <w:rFonts w:eastAsia="TimesNewRoman"/>
          <w:snapToGrid/>
          <w:szCs w:val="22"/>
          <w:lang w:val="lt-LT"/>
        </w:rPr>
        <w:t>tikagreloras</w:t>
      </w:r>
      <w:proofErr w:type="spellEnd"/>
      <w:r>
        <w:rPr>
          <w:rFonts w:eastAsia="TimesNewRoman"/>
          <w:snapToGrid/>
          <w:szCs w:val="22"/>
          <w:lang w:val="lt-LT"/>
        </w:rPr>
        <w:t xml:space="preserve">. Kiekvienoje plėvele dengtoje tabletėje yra 60 mg </w:t>
      </w:r>
      <w:proofErr w:type="spellStart"/>
      <w:r>
        <w:rPr>
          <w:rFonts w:eastAsia="TimesNewRoman"/>
          <w:snapToGrid/>
          <w:szCs w:val="22"/>
          <w:lang w:val="lt-LT"/>
        </w:rPr>
        <w:t>tikagreloro</w:t>
      </w:r>
      <w:proofErr w:type="spellEnd"/>
      <w:r>
        <w:rPr>
          <w:rFonts w:eastAsia="TimesNewRoman"/>
          <w:snapToGrid/>
          <w:szCs w:val="22"/>
          <w:lang w:val="lt-LT"/>
        </w:rPr>
        <w:t>.</w:t>
      </w:r>
    </w:p>
    <w:p w14:paraId="5BFA9531" w14:textId="77777777" w:rsidR="009A4BFE" w:rsidRDefault="0051186A">
      <w:pPr>
        <w:numPr>
          <w:ilvl w:val="0"/>
          <w:numId w:val="19"/>
        </w:numPr>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Pagalbinės medžiagos yra:</w:t>
      </w:r>
    </w:p>
    <w:p w14:paraId="373A5C75" w14:textId="77777777" w:rsidR="009A4BFE" w:rsidRPr="0022257B" w:rsidRDefault="0051186A">
      <w:pPr>
        <w:widowControl w:val="0"/>
        <w:ind w:left="567"/>
        <w:outlineLvl w:val="0"/>
        <w:rPr>
          <w:lang w:val="pt-PT"/>
        </w:rPr>
      </w:pPr>
      <w:r>
        <w:rPr>
          <w:szCs w:val="22"/>
          <w:u w:val="single"/>
          <w:lang w:val="lt-LT"/>
        </w:rPr>
        <w:t>Tabletės branduolys</w:t>
      </w:r>
      <w:r>
        <w:rPr>
          <w:szCs w:val="22"/>
          <w:lang w:val="lt-LT"/>
        </w:rPr>
        <w:t xml:space="preserve">: </w:t>
      </w:r>
      <w:proofErr w:type="spellStart"/>
      <w:r>
        <w:rPr>
          <w:szCs w:val="22"/>
          <w:lang w:val="lt-LT"/>
        </w:rPr>
        <w:t>mikrokristalinė</w:t>
      </w:r>
      <w:proofErr w:type="spellEnd"/>
      <w:r>
        <w:rPr>
          <w:szCs w:val="22"/>
          <w:lang w:val="lt-LT"/>
        </w:rPr>
        <w:t xml:space="preserve"> celiuliozė</w:t>
      </w:r>
      <w:r w:rsidRPr="0022257B">
        <w:rPr>
          <w:lang w:val="pt-PT"/>
        </w:rPr>
        <w:t xml:space="preserve"> (E460), k</w:t>
      </w:r>
      <w:proofErr w:type="spellStart"/>
      <w:r>
        <w:rPr>
          <w:szCs w:val="22"/>
          <w:lang w:val="lt-LT"/>
        </w:rPr>
        <w:t>alcio</w:t>
      </w:r>
      <w:proofErr w:type="spellEnd"/>
      <w:r>
        <w:rPr>
          <w:szCs w:val="22"/>
          <w:lang w:val="lt-LT"/>
        </w:rPr>
        <w:t xml:space="preserve">-vandenilio fosfatas </w:t>
      </w:r>
      <w:proofErr w:type="spellStart"/>
      <w:r>
        <w:rPr>
          <w:szCs w:val="22"/>
          <w:lang w:val="lt-LT"/>
        </w:rPr>
        <w:t>dihidratas</w:t>
      </w:r>
      <w:proofErr w:type="spellEnd"/>
      <w:r w:rsidRPr="0022257B">
        <w:rPr>
          <w:lang w:val="pt-PT"/>
        </w:rPr>
        <w:t xml:space="preserve"> (E341), h</w:t>
      </w:r>
      <w:proofErr w:type="spellStart"/>
      <w:r>
        <w:rPr>
          <w:szCs w:val="22"/>
          <w:lang w:val="lt-LT"/>
        </w:rPr>
        <w:t>ipromeliozė</w:t>
      </w:r>
      <w:proofErr w:type="spellEnd"/>
      <w:r w:rsidRPr="0022257B">
        <w:rPr>
          <w:lang w:val="pt-PT"/>
        </w:rPr>
        <w:t xml:space="preserve"> 2910 (E464), kroskarmeliozės natrio druska (E468), m</w:t>
      </w:r>
      <w:r>
        <w:rPr>
          <w:szCs w:val="22"/>
          <w:lang w:val="lt-LT"/>
        </w:rPr>
        <w:t xml:space="preserve">agnio </w:t>
      </w:r>
      <w:proofErr w:type="spellStart"/>
      <w:r>
        <w:rPr>
          <w:szCs w:val="22"/>
          <w:lang w:val="lt-LT"/>
        </w:rPr>
        <w:t>stearatas</w:t>
      </w:r>
      <w:proofErr w:type="spellEnd"/>
      <w:r w:rsidRPr="0022257B">
        <w:rPr>
          <w:lang w:val="pt-PT"/>
        </w:rPr>
        <w:t xml:space="preserve"> (E470b)</w:t>
      </w:r>
    </w:p>
    <w:p w14:paraId="54F9BE4F" w14:textId="77777777" w:rsidR="009A4BFE" w:rsidRPr="0022257B" w:rsidRDefault="0051186A">
      <w:pPr>
        <w:widowControl w:val="0"/>
        <w:ind w:left="567"/>
        <w:outlineLvl w:val="0"/>
        <w:rPr>
          <w:lang w:val="pt-PT"/>
        </w:rPr>
      </w:pPr>
      <w:r>
        <w:rPr>
          <w:szCs w:val="22"/>
          <w:u w:val="single"/>
          <w:lang w:val="lt-LT"/>
        </w:rPr>
        <w:t>Tabletės plėvelė</w:t>
      </w:r>
      <w:r>
        <w:rPr>
          <w:szCs w:val="22"/>
          <w:lang w:val="lt-LT"/>
        </w:rPr>
        <w:t xml:space="preserve">: </w:t>
      </w:r>
      <w:r>
        <w:rPr>
          <w:szCs w:val="22"/>
          <w:lang w:val="es-ES"/>
        </w:rPr>
        <w:t>hipromeliozė</w:t>
      </w:r>
      <w:r w:rsidRPr="0022257B">
        <w:rPr>
          <w:lang w:val="pt-PT"/>
        </w:rPr>
        <w:t xml:space="preserve"> (E464), t</w:t>
      </w:r>
      <w:r>
        <w:rPr>
          <w:szCs w:val="22"/>
          <w:lang w:val="pt-PT"/>
        </w:rPr>
        <w:t>itano dioksidas</w:t>
      </w:r>
      <w:r w:rsidRPr="0022257B">
        <w:rPr>
          <w:lang w:val="pt-PT"/>
        </w:rPr>
        <w:t xml:space="preserve"> (E171), talkas (E553b), p</w:t>
      </w:r>
      <w:r>
        <w:rPr>
          <w:szCs w:val="22"/>
          <w:lang w:val="pt-PT"/>
        </w:rPr>
        <w:t>ropilenglikolis</w:t>
      </w:r>
      <w:r w:rsidRPr="0022257B">
        <w:rPr>
          <w:lang w:val="pt-PT"/>
        </w:rPr>
        <w:t xml:space="preserve"> (E1520), </w:t>
      </w:r>
      <w:r>
        <w:rPr>
          <w:szCs w:val="22"/>
          <w:lang w:val="pt-PT"/>
        </w:rPr>
        <w:t>raudonasis geležies oksidas</w:t>
      </w:r>
      <w:r w:rsidRPr="0022257B">
        <w:rPr>
          <w:lang w:val="pt-PT"/>
        </w:rPr>
        <w:t xml:space="preserve"> (E172)</w:t>
      </w:r>
      <w:r w:rsidRPr="0022257B">
        <w:rPr>
          <w:i/>
          <w:lang w:val="pt-PT"/>
        </w:rPr>
        <w:t xml:space="preserve">, </w:t>
      </w:r>
      <w:r w:rsidRPr="0022257B">
        <w:rPr>
          <w:lang w:val="pt-PT"/>
        </w:rPr>
        <w:t>j</w:t>
      </w:r>
      <w:r>
        <w:rPr>
          <w:szCs w:val="22"/>
          <w:lang w:val="pt-PT"/>
        </w:rPr>
        <w:t>uodasis geležies oksidas</w:t>
      </w:r>
      <w:r w:rsidRPr="0022257B">
        <w:rPr>
          <w:lang w:val="pt-PT"/>
        </w:rPr>
        <w:t xml:space="preserve"> (E172).</w:t>
      </w:r>
    </w:p>
    <w:p w14:paraId="0C06B352" w14:textId="77777777" w:rsidR="009A4BFE" w:rsidRDefault="0051186A">
      <w:pPr>
        <w:autoSpaceDE w:val="0"/>
        <w:autoSpaceDN w:val="0"/>
        <w:adjustRightInd w:val="0"/>
        <w:spacing w:line="240" w:lineRule="auto"/>
        <w:ind w:left="567"/>
        <w:rPr>
          <w:szCs w:val="22"/>
          <w:lang w:val="lt-LT"/>
        </w:rPr>
      </w:pPr>
      <w:r>
        <w:rPr>
          <w:szCs w:val="22"/>
          <w:lang w:val="lt-LT"/>
        </w:rPr>
        <w:t>Žr. 2 skyrių „</w:t>
      </w:r>
      <w:proofErr w:type="spellStart"/>
      <w:r>
        <w:rPr>
          <w:szCs w:val="22"/>
          <w:lang w:val="lt-LT"/>
        </w:rPr>
        <w:t>Atixarso</w:t>
      </w:r>
      <w:proofErr w:type="spellEnd"/>
      <w:r>
        <w:rPr>
          <w:szCs w:val="22"/>
          <w:lang w:val="lt-LT"/>
        </w:rPr>
        <w:t xml:space="preserve"> sudėtyje yra natrio“.</w:t>
      </w:r>
    </w:p>
    <w:p w14:paraId="781A035D" w14:textId="77777777" w:rsidR="009A4BFE" w:rsidRDefault="009A4BFE">
      <w:pPr>
        <w:numPr>
          <w:ilvl w:val="12"/>
          <w:numId w:val="0"/>
        </w:numPr>
        <w:tabs>
          <w:tab w:val="clear" w:pos="567"/>
        </w:tabs>
        <w:spacing w:line="240" w:lineRule="auto"/>
        <w:ind w:right="-2"/>
        <w:rPr>
          <w:szCs w:val="24"/>
          <w:lang w:val="lt-LT"/>
        </w:rPr>
      </w:pPr>
    </w:p>
    <w:p w14:paraId="18FFF7EE" w14:textId="77777777" w:rsidR="009A4BFE" w:rsidRDefault="0051186A">
      <w:pPr>
        <w:pStyle w:val="Antrat4"/>
        <w:rPr>
          <w:rFonts w:ascii="Times New Roman" w:hAnsi="Times New Roman"/>
          <w:sz w:val="22"/>
          <w:lang w:val="lt-LT"/>
        </w:rPr>
      </w:pPr>
      <w:proofErr w:type="spellStart"/>
      <w:r w:rsidRPr="0022257B">
        <w:rPr>
          <w:rFonts w:ascii="Times New Roman" w:hAnsi="Times New Roman"/>
          <w:sz w:val="22"/>
          <w:lang w:val="lt-LT"/>
        </w:rPr>
        <w:t>Atixarso</w:t>
      </w:r>
      <w:proofErr w:type="spellEnd"/>
      <w:r>
        <w:rPr>
          <w:rFonts w:ascii="Times New Roman" w:hAnsi="Times New Roman"/>
          <w:sz w:val="22"/>
          <w:lang w:val="lt-LT"/>
        </w:rPr>
        <w:t xml:space="preserve"> išvaizda ir kiekis pakuotėje</w:t>
      </w:r>
    </w:p>
    <w:p w14:paraId="2ED723BA" w14:textId="77777777" w:rsidR="009A4BFE" w:rsidRDefault="0051186A">
      <w:pPr>
        <w:rPr>
          <w:rFonts w:eastAsia="TimesNewRoman"/>
          <w:snapToGrid/>
          <w:szCs w:val="22"/>
          <w:lang w:val="lt-LT"/>
        </w:rPr>
      </w:pPr>
      <w:r>
        <w:rPr>
          <w:rFonts w:eastAsia="TimesNewRoman"/>
          <w:snapToGrid/>
          <w:szCs w:val="22"/>
          <w:lang w:val="lt-LT"/>
        </w:rPr>
        <w:t>Šviesiai rožinės, apvalios, abipus išgaubtos plėvele dengtos tabletės (tabletės), kurių vienoje pusėje yra įspaudas 60.</w:t>
      </w:r>
    </w:p>
    <w:p w14:paraId="0E826E3D" w14:textId="77777777" w:rsidR="009A4BFE" w:rsidRDefault="0051186A">
      <w:pPr>
        <w:rPr>
          <w:rFonts w:eastAsia="TimesNewRoman"/>
          <w:snapToGrid/>
          <w:szCs w:val="22"/>
          <w:lang w:val="lt-LT"/>
        </w:rPr>
      </w:pPr>
      <w:r>
        <w:rPr>
          <w:rFonts w:eastAsia="TimesNewRoman"/>
          <w:snapToGrid/>
          <w:szCs w:val="22"/>
          <w:lang w:val="lt-LT"/>
        </w:rPr>
        <w:t xml:space="preserve">Tabletės matmenys: apytiksliai </w:t>
      </w:r>
      <w:r>
        <w:rPr>
          <w:szCs w:val="22"/>
          <w:lang w:val="lt-LT"/>
        </w:rPr>
        <w:t>8</w:t>
      </w:r>
      <w:r>
        <w:rPr>
          <w:snapToGrid/>
          <w:szCs w:val="22"/>
          <w:lang w:val="lt-LT"/>
        </w:rPr>
        <w:t> </w:t>
      </w:r>
      <w:r>
        <w:rPr>
          <w:szCs w:val="22"/>
          <w:lang w:val="lt-LT"/>
        </w:rPr>
        <w:t>mm skersmens.</w:t>
      </w:r>
    </w:p>
    <w:p w14:paraId="3CCBE191" w14:textId="77777777" w:rsidR="009A4BFE" w:rsidRDefault="009A4BFE">
      <w:pPr>
        <w:rPr>
          <w:rFonts w:eastAsia="TimesNewRoman"/>
          <w:snapToGrid/>
          <w:szCs w:val="22"/>
          <w:lang w:val="lt-LT"/>
        </w:rPr>
      </w:pPr>
    </w:p>
    <w:p w14:paraId="7499557C" w14:textId="77777777" w:rsidR="009A4BFE" w:rsidRDefault="0051186A">
      <w:pPr>
        <w:autoSpaceDE w:val="0"/>
        <w:autoSpaceDN w:val="0"/>
        <w:rPr>
          <w:rFonts w:eastAsia="TimesNewRoman"/>
          <w:snapToGrid/>
          <w:szCs w:val="22"/>
          <w:lang w:val="lt-LT"/>
        </w:rPr>
      </w:pPr>
      <w:proofErr w:type="spellStart"/>
      <w:r w:rsidRPr="0022257B">
        <w:rPr>
          <w:lang w:val="lt-LT"/>
        </w:rPr>
        <w:t>Atixarso</w:t>
      </w:r>
      <w:proofErr w:type="spellEnd"/>
      <w:r>
        <w:rPr>
          <w:szCs w:val="22"/>
          <w:lang w:val="lt-LT"/>
        </w:rPr>
        <w:t xml:space="preserve"> tiekiamos dėžutėse, kuriose yra </w:t>
      </w:r>
      <w:r w:rsidRPr="0022257B">
        <w:rPr>
          <w:lang w:val="lt-LT"/>
        </w:rPr>
        <w:t>14, 56, 60, 168 ar 180</w:t>
      </w:r>
      <w:r>
        <w:rPr>
          <w:szCs w:val="22"/>
          <w:lang w:val="lt-LT"/>
        </w:rPr>
        <w:t xml:space="preserve"> plėvele dengtos tabletės lizdinėse plokštelėse.</w:t>
      </w:r>
    </w:p>
    <w:p w14:paraId="39715FC5" w14:textId="77777777" w:rsidR="009A4BFE" w:rsidRDefault="009A4BFE">
      <w:pPr>
        <w:tabs>
          <w:tab w:val="clear" w:pos="567"/>
        </w:tabs>
        <w:spacing w:line="240" w:lineRule="auto"/>
        <w:rPr>
          <w:noProof/>
          <w:szCs w:val="24"/>
          <w:lang w:val="lt-LT"/>
        </w:rPr>
      </w:pPr>
    </w:p>
    <w:p w14:paraId="4D73EDCB" w14:textId="77777777" w:rsidR="009A4BFE" w:rsidRDefault="0051186A">
      <w:pPr>
        <w:tabs>
          <w:tab w:val="clear" w:pos="567"/>
        </w:tabs>
        <w:spacing w:line="240" w:lineRule="auto"/>
        <w:rPr>
          <w:szCs w:val="24"/>
          <w:lang w:val="lt-LT"/>
        </w:rPr>
      </w:pPr>
      <w:r>
        <w:rPr>
          <w:noProof/>
          <w:szCs w:val="24"/>
          <w:lang w:val="lt-LT"/>
        </w:rPr>
        <w:t>Gali būti tiekiamos ne visų dydžių pakuotės.</w:t>
      </w:r>
    </w:p>
    <w:p w14:paraId="73766DCB" w14:textId="77777777" w:rsidR="009A4BFE" w:rsidRDefault="009A4BFE">
      <w:pPr>
        <w:numPr>
          <w:ilvl w:val="12"/>
          <w:numId w:val="0"/>
        </w:numPr>
        <w:tabs>
          <w:tab w:val="clear" w:pos="567"/>
        </w:tabs>
        <w:spacing w:line="240" w:lineRule="auto"/>
        <w:ind w:right="-2"/>
        <w:rPr>
          <w:szCs w:val="24"/>
          <w:lang w:val="lt-LT"/>
        </w:rPr>
      </w:pPr>
    </w:p>
    <w:p w14:paraId="215EF7EA" w14:textId="77777777" w:rsidR="009A4BFE" w:rsidRDefault="009A4BFE">
      <w:pPr>
        <w:numPr>
          <w:ilvl w:val="12"/>
          <w:numId w:val="0"/>
        </w:numPr>
        <w:tabs>
          <w:tab w:val="clear" w:pos="567"/>
        </w:tabs>
        <w:spacing w:line="240" w:lineRule="auto"/>
        <w:ind w:right="-2"/>
        <w:rPr>
          <w:szCs w:val="24"/>
          <w:lang w:val="lt-LT"/>
        </w:rPr>
      </w:pPr>
    </w:p>
    <w:p w14:paraId="53598687" w14:textId="77777777" w:rsidR="009A4BFE" w:rsidRDefault="0051186A">
      <w:pPr>
        <w:pStyle w:val="Antrat4"/>
        <w:rPr>
          <w:rFonts w:ascii="Times New Roman" w:hAnsi="Times New Roman"/>
          <w:sz w:val="22"/>
          <w:lang w:val="lt-LT"/>
        </w:rPr>
      </w:pPr>
      <w:r>
        <w:rPr>
          <w:rFonts w:ascii="Times New Roman" w:hAnsi="Times New Roman"/>
          <w:sz w:val="22"/>
          <w:lang w:val="lt-LT"/>
        </w:rPr>
        <w:t>Registruotojas ir gamintojas</w:t>
      </w:r>
    </w:p>
    <w:p w14:paraId="2C8ABD90" w14:textId="77777777" w:rsidR="009A4BFE" w:rsidRDefault="009A4BFE">
      <w:pPr>
        <w:rPr>
          <w:lang w:val="pt-PT"/>
        </w:rPr>
      </w:pPr>
    </w:p>
    <w:p w14:paraId="619712F4" w14:textId="77777777" w:rsidR="009A4BFE" w:rsidRDefault="0051186A">
      <w:pPr>
        <w:rPr>
          <w:i/>
          <w:lang w:val="pt-PT"/>
        </w:rPr>
      </w:pPr>
      <w:r>
        <w:rPr>
          <w:i/>
          <w:lang w:val="pt-PT"/>
        </w:rPr>
        <w:t>Registruotojas ir</w:t>
      </w:r>
      <w:r>
        <w:rPr>
          <w:i/>
          <w:szCs w:val="24"/>
          <w:lang w:val="lt-LT"/>
        </w:rPr>
        <w:t xml:space="preserve"> gamintojas</w:t>
      </w:r>
    </w:p>
    <w:p w14:paraId="7BBF0C14" w14:textId="77777777" w:rsidR="009A4BFE" w:rsidRPr="0022257B" w:rsidRDefault="0051186A">
      <w:pPr>
        <w:widowControl w:val="0"/>
        <w:rPr>
          <w:lang w:val="pt-PT"/>
        </w:rPr>
      </w:pPr>
      <w:r>
        <w:rPr>
          <w:szCs w:val="22"/>
          <w:lang w:val="lt-LT"/>
        </w:rPr>
        <w:t xml:space="preserve">KRKA, </w:t>
      </w:r>
      <w:proofErr w:type="spellStart"/>
      <w:r>
        <w:rPr>
          <w:szCs w:val="22"/>
          <w:lang w:val="lt-LT"/>
        </w:rPr>
        <w:t>d.d</w:t>
      </w:r>
      <w:proofErr w:type="spellEnd"/>
      <w:r>
        <w:rPr>
          <w:szCs w:val="22"/>
          <w:lang w:val="lt-LT"/>
        </w:rPr>
        <w:t>., Novo mesto</w:t>
      </w:r>
    </w:p>
    <w:p w14:paraId="6B3F5B9E" w14:textId="77777777" w:rsidR="009A4BFE" w:rsidRPr="0022257B" w:rsidRDefault="0051186A">
      <w:pPr>
        <w:widowControl w:val="0"/>
        <w:rPr>
          <w:lang w:val="pt-P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78AA9C14" w14:textId="77777777" w:rsidR="009A4BFE" w:rsidRPr="0022257B" w:rsidRDefault="0051186A">
      <w:pPr>
        <w:widowControl w:val="0"/>
        <w:rPr>
          <w:lang w:val="pt-PT"/>
        </w:rPr>
      </w:pPr>
      <w:r>
        <w:rPr>
          <w:szCs w:val="22"/>
          <w:lang w:val="lt-LT"/>
        </w:rPr>
        <w:t>8501 Novo mesto</w:t>
      </w:r>
    </w:p>
    <w:p w14:paraId="4432A9D2" w14:textId="77777777" w:rsidR="009A4BFE" w:rsidRPr="0022257B" w:rsidRDefault="0051186A">
      <w:pPr>
        <w:widowControl w:val="0"/>
        <w:rPr>
          <w:lang w:val="pt-PT"/>
        </w:rPr>
      </w:pPr>
      <w:r>
        <w:rPr>
          <w:szCs w:val="22"/>
          <w:lang w:val="lt-LT"/>
        </w:rPr>
        <w:t>Slovėnija</w:t>
      </w:r>
    </w:p>
    <w:p w14:paraId="66A9AF2F" w14:textId="77777777" w:rsidR="009A4BFE" w:rsidRDefault="009A4BFE">
      <w:pPr>
        <w:numPr>
          <w:ilvl w:val="12"/>
          <w:numId w:val="0"/>
        </w:numPr>
        <w:tabs>
          <w:tab w:val="clear" w:pos="567"/>
        </w:tabs>
        <w:spacing w:line="240" w:lineRule="auto"/>
        <w:ind w:right="-2"/>
        <w:rPr>
          <w:szCs w:val="24"/>
          <w:lang w:val="lt-LT"/>
        </w:rPr>
      </w:pPr>
    </w:p>
    <w:p w14:paraId="16B28C5F" w14:textId="77777777" w:rsidR="009A4BFE" w:rsidRDefault="0051186A">
      <w:pPr>
        <w:numPr>
          <w:ilvl w:val="12"/>
          <w:numId w:val="0"/>
        </w:numPr>
        <w:spacing w:line="240" w:lineRule="auto"/>
        <w:ind w:right="-2"/>
        <w:rPr>
          <w:noProof/>
          <w:szCs w:val="24"/>
          <w:lang w:val="lt-LT"/>
        </w:rPr>
      </w:pPr>
      <w:r>
        <w:rPr>
          <w:noProof/>
          <w:szCs w:val="24"/>
          <w:lang w:val="lt-LT"/>
        </w:rPr>
        <w:t>Jeigu apie šį vaistą norite sužinoti daugiau, kreipkitės į vietinį registruotojo atstovą.</w:t>
      </w:r>
    </w:p>
    <w:p w14:paraId="5ABFDA5F" w14:textId="77777777" w:rsidR="009A4BFE" w:rsidRDefault="009A4BFE">
      <w:pPr>
        <w:spacing w:line="240" w:lineRule="auto"/>
        <w:rPr>
          <w:noProof/>
          <w:szCs w:val="24"/>
          <w:lang w:val="lt-LT"/>
        </w:rPr>
      </w:pPr>
    </w:p>
    <w:p w14:paraId="0D2961C1" w14:textId="77777777" w:rsidR="009A4BFE" w:rsidRPr="0022257B" w:rsidRDefault="0051186A">
      <w:pPr>
        <w:widowControl w:val="0"/>
        <w:rPr>
          <w:lang w:val="lt-LT"/>
        </w:rPr>
      </w:pPr>
      <w:r>
        <w:rPr>
          <w:szCs w:val="22"/>
          <w:lang w:val="lt-LT"/>
        </w:rPr>
        <w:t>UAB KRKA Lietuva</w:t>
      </w:r>
    </w:p>
    <w:p w14:paraId="0797EA88" w14:textId="77777777" w:rsidR="009A4BFE" w:rsidRPr="0022257B" w:rsidRDefault="0051186A">
      <w:pPr>
        <w:widowControl w:val="0"/>
        <w:rPr>
          <w:lang w:val="lt-LT"/>
        </w:rPr>
      </w:pPr>
      <w:r>
        <w:rPr>
          <w:szCs w:val="22"/>
          <w:lang w:val="lt-LT"/>
        </w:rPr>
        <w:t>Senasis Ukmergės kelias 4,</w:t>
      </w:r>
    </w:p>
    <w:p w14:paraId="6A0D0678" w14:textId="77777777" w:rsidR="009A4BFE" w:rsidRPr="0022257B" w:rsidRDefault="0051186A">
      <w:pPr>
        <w:widowControl w:val="0"/>
        <w:rPr>
          <w:lang w:val="lt-LT"/>
        </w:rPr>
      </w:pPr>
      <w:proofErr w:type="spellStart"/>
      <w:r>
        <w:rPr>
          <w:szCs w:val="22"/>
          <w:lang w:val="lt-LT"/>
        </w:rPr>
        <w:t>Užubalių</w:t>
      </w:r>
      <w:proofErr w:type="spellEnd"/>
      <w:r>
        <w:rPr>
          <w:szCs w:val="22"/>
          <w:lang w:val="lt-LT"/>
        </w:rPr>
        <w:t xml:space="preserve"> km., Vilniaus r.</w:t>
      </w:r>
    </w:p>
    <w:p w14:paraId="10BE2A19" w14:textId="77777777" w:rsidR="009A4BFE" w:rsidRPr="0022257B" w:rsidRDefault="0051186A">
      <w:pPr>
        <w:widowControl w:val="0"/>
        <w:rPr>
          <w:lang w:val="pt-PT"/>
        </w:rPr>
      </w:pPr>
      <w:r>
        <w:rPr>
          <w:szCs w:val="22"/>
          <w:lang w:val="lt-LT"/>
        </w:rPr>
        <w:t>LT - 14013</w:t>
      </w:r>
    </w:p>
    <w:p w14:paraId="6A61C843" w14:textId="77777777" w:rsidR="009A4BFE" w:rsidRDefault="0051186A">
      <w:pPr>
        <w:numPr>
          <w:ilvl w:val="12"/>
          <w:numId w:val="0"/>
        </w:numPr>
        <w:ind w:right="-2"/>
        <w:rPr>
          <w:szCs w:val="22"/>
          <w:lang w:val="lt-LT"/>
        </w:rPr>
      </w:pPr>
      <w:r>
        <w:rPr>
          <w:szCs w:val="22"/>
          <w:lang w:val="lt-LT"/>
        </w:rPr>
        <w:t>Tel. + 370 5 236 27 40</w:t>
      </w:r>
    </w:p>
    <w:p w14:paraId="444CA19C" w14:textId="77777777" w:rsidR="009A4BFE" w:rsidRDefault="009A4BFE">
      <w:pPr>
        <w:numPr>
          <w:ilvl w:val="12"/>
          <w:numId w:val="0"/>
        </w:numPr>
        <w:ind w:right="-2"/>
        <w:rPr>
          <w:lang w:val="lt-LT"/>
        </w:rPr>
      </w:pPr>
    </w:p>
    <w:p w14:paraId="4AE0AD65" w14:textId="77777777" w:rsidR="009A4BFE" w:rsidRDefault="0051186A">
      <w:pPr>
        <w:keepNext/>
        <w:numPr>
          <w:ilvl w:val="12"/>
          <w:numId w:val="0"/>
        </w:numPr>
        <w:ind w:right="-2"/>
        <w:rPr>
          <w:lang w:val="lt-LT"/>
        </w:rPr>
      </w:pPr>
      <w:r>
        <w:rPr>
          <w:b/>
          <w:lang w:val="lt-LT"/>
        </w:rPr>
        <w:lastRenderedPageBreak/>
        <w:t>Šis vaistas Europos ekonominės erdvės valstybėse narėse registruotas tokiais pavadinimais</w:t>
      </w:r>
      <w:r>
        <w:rPr>
          <w:lang w:val="lt-LT"/>
        </w:rPr>
        <w:t>:</w:t>
      </w:r>
    </w:p>
    <w:p w14:paraId="2868DFB9" w14:textId="77777777" w:rsidR="009A4BFE" w:rsidRDefault="009A4BFE">
      <w:pPr>
        <w:ind w:left="567" w:hanging="567"/>
        <w:rPr>
          <w:lang w:val="lt-LT"/>
        </w:rPr>
      </w:pPr>
    </w:p>
    <w:tbl>
      <w:tblPr>
        <w:tblW w:w="9367" w:type="dxa"/>
        <w:tblInd w:w="-40" w:type="dxa"/>
        <w:tblLayout w:type="fixed"/>
        <w:tblLook w:val="0000" w:firstRow="0" w:lastRow="0" w:firstColumn="0" w:lastColumn="0" w:noHBand="0" w:noVBand="0"/>
      </w:tblPr>
      <w:tblGrid>
        <w:gridCol w:w="3673"/>
        <w:gridCol w:w="5694"/>
      </w:tblGrid>
      <w:tr w:rsidR="009A4BFE" w14:paraId="26AE42D6" w14:textId="77777777">
        <w:tc>
          <w:tcPr>
            <w:tcW w:w="3673" w:type="dxa"/>
            <w:tcBorders>
              <w:top w:val="single" w:sz="4" w:space="0" w:color="000000"/>
              <w:left w:val="single" w:sz="4" w:space="0" w:color="000000"/>
              <w:bottom w:val="single" w:sz="4" w:space="0" w:color="000000"/>
            </w:tcBorders>
          </w:tcPr>
          <w:p w14:paraId="5A5B827D" w14:textId="77777777" w:rsidR="009A4BFE" w:rsidRDefault="0051186A">
            <w:pPr>
              <w:widowControl w:val="0"/>
              <w:tabs>
                <w:tab w:val="left" w:pos="708"/>
              </w:tabs>
              <w:ind w:right="-2"/>
            </w:pPr>
            <w:r>
              <w:rPr>
                <w:b/>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03A9DDCA" w14:textId="77777777" w:rsidR="009A4BFE" w:rsidRDefault="0051186A">
            <w:pPr>
              <w:widowControl w:val="0"/>
              <w:tabs>
                <w:tab w:val="left" w:pos="708"/>
              </w:tabs>
              <w:ind w:right="-2"/>
            </w:pPr>
            <w:r>
              <w:rPr>
                <w:b/>
                <w:szCs w:val="22"/>
                <w:lang w:val="lt-LT"/>
              </w:rPr>
              <w:t>Vaisto pavadinimas</w:t>
            </w:r>
          </w:p>
        </w:tc>
      </w:tr>
      <w:tr w:rsidR="009A4BFE" w14:paraId="7E3C7788" w14:textId="77777777">
        <w:trPr>
          <w:trHeight w:val="1155"/>
        </w:trPr>
        <w:tc>
          <w:tcPr>
            <w:tcW w:w="3673" w:type="dxa"/>
            <w:tcBorders>
              <w:top w:val="single" w:sz="4" w:space="0" w:color="000000"/>
              <w:left w:val="single" w:sz="4" w:space="0" w:color="000000"/>
              <w:bottom w:val="single" w:sz="4" w:space="0" w:color="auto"/>
            </w:tcBorders>
          </w:tcPr>
          <w:p w14:paraId="0646C4EB" w14:textId="77777777" w:rsidR="009A4BFE" w:rsidRDefault="0051186A">
            <w:pPr>
              <w:widowControl w:val="0"/>
              <w:tabs>
                <w:tab w:val="left" w:pos="708"/>
              </w:tabs>
              <w:ind w:right="-2"/>
            </w:pPr>
            <w:r>
              <w:rPr>
                <w:szCs w:val="22"/>
                <w:lang w:val="lt-LT"/>
              </w:rPr>
              <w:t>Vengrija, Čekija, Estija, Graikija, Kroatija, Lietuva, Latvija, Lenkija, Rumunija, Slovakija Slovėnija</w:t>
            </w:r>
          </w:p>
        </w:tc>
        <w:tc>
          <w:tcPr>
            <w:tcW w:w="5694" w:type="dxa"/>
            <w:tcBorders>
              <w:top w:val="single" w:sz="4" w:space="0" w:color="000000"/>
              <w:left w:val="single" w:sz="4" w:space="0" w:color="000000"/>
              <w:bottom w:val="single" w:sz="4" w:space="0" w:color="auto"/>
              <w:right w:val="single" w:sz="4" w:space="0" w:color="000000"/>
            </w:tcBorders>
          </w:tcPr>
          <w:p w14:paraId="63FD0F2F" w14:textId="77777777" w:rsidR="009A4BFE" w:rsidRDefault="0051186A">
            <w:pPr>
              <w:widowControl w:val="0"/>
              <w:tabs>
                <w:tab w:val="left" w:pos="708"/>
              </w:tabs>
              <w:ind w:right="-2"/>
            </w:pPr>
            <w:proofErr w:type="spellStart"/>
            <w:r>
              <w:rPr>
                <w:szCs w:val="22"/>
                <w:lang w:val="en-US"/>
              </w:rPr>
              <w:t>Atixarso</w:t>
            </w:r>
            <w:proofErr w:type="spellEnd"/>
          </w:p>
        </w:tc>
      </w:tr>
      <w:tr w:rsidR="009A4BFE" w14:paraId="4FB3F8D0" w14:textId="77777777">
        <w:trPr>
          <w:trHeight w:val="805"/>
        </w:trPr>
        <w:tc>
          <w:tcPr>
            <w:tcW w:w="3673" w:type="dxa"/>
            <w:tcBorders>
              <w:top w:val="single" w:sz="4" w:space="0" w:color="auto"/>
              <w:left w:val="single" w:sz="4" w:space="0" w:color="000000"/>
              <w:bottom w:val="single" w:sz="4" w:space="0" w:color="000000"/>
            </w:tcBorders>
          </w:tcPr>
          <w:p w14:paraId="70C2871A" w14:textId="77777777" w:rsidR="009A4BFE" w:rsidRDefault="0051186A">
            <w:pPr>
              <w:widowControl w:val="0"/>
              <w:tabs>
                <w:tab w:val="left" w:pos="708"/>
              </w:tabs>
              <w:ind w:right="-2"/>
              <w:rPr>
                <w:szCs w:val="22"/>
                <w:lang w:val="lt-LT"/>
              </w:rPr>
            </w:pPr>
            <w:r>
              <w:rPr>
                <w:szCs w:val="22"/>
                <w:lang w:val="lt-LT"/>
              </w:rPr>
              <w:t>Bulgarija</w:t>
            </w:r>
          </w:p>
        </w:tc>
        <w:tc>
          <w:tcPr>
            <w:tcW w:w="5694" w:type="dxa"/>
            <w:tcBorders>
              <w:top w:val="single" w:sz="4" w:space="0" w:color="auto"/>
              <w:left w:val="single" w:sz="4" w:space="0" w:color="000000"/>
              <w:bottom w:val="single" w:sz="4" w:space="0" w:color="000000"/>
              <w:right w:val="single" w:sz="4" w:space="0" w:color="000000"/>
            </w:tcBorders>
          </w:tcPr>
          <w:p w14:paraId="71C5E375" w14:textId="77777777" w:rsidR="009A4BFE" w:rsidRDefault="0051186A">
            <w:pPr>
              <w:widowControl w:val="0"/>
              <w:tabs>
                <w:tab w:val="left" w:pos="708"/>
              </w:tabs>
              <w:ind w:right="-2"/>
              <w:rPr>
                <w:szCs w:val="22"/>
                <w:lang w:val="en-US"/>
              </w:rPr>
            </w:pPr>
            <w:r>
              <w:rPr>
                <w:bCs/>
                <w:szCs w:val="22"/>
                <w:lang w:val="fr-FR"/>
              </w:rPr>
              <w:t>Атиксарсо</w:t>
            </w:r>
          </w:p>
        </w:tc>
      </w:tr>
    </w:tbl>
    <w:p w14:paraId="465D2066" w14:textId="77777777" w:rsidR="009A4BFE" w:rsidRDefault="009A4BFE">
      <w:pPr>
        <w:numPr>
          <w:ilvl w:val="12"/>
          <w:numId w:val="0"/>
        </w:numPr>
        <w:tabs>
          <w:tab w:val="clear" w:pos="567"/>
        </w:tabs>
        <w:spacing w:line="240" w:lineRule="auto"/>
        <w:ind w:right="-2"/>
        <w:rPr>
          <w:lang w:val="lt-LT"/>
        </w:rPr>
      </w:pPr>
    </w:p>
    <w:p w14:paraId="7DB0C4EA" w14:textId="451BC335" w:rsidR="009A4BFE" w:rsidRDefault="0051186A">
      <w:pPr>
        <w:numPr>
          <w:ilvl w:val="12"/>
          <w:numId w:val="0"/>
        </w:numPr>
        <w:tabs>
          <w:tab w:val="clear" w:pos="567"/>
        </w:tabs>
        <w:spacing w:line="240" w:lineRule="auto"/>
        <w:ind w:right="-2"/>
        <w:rPr>
          <w:b/>
          <w:lang w:val="lt-LT"/>
        </w:rPr>
      </w:pPr>
      <w:r>
        <w:rPr>
          <w:b/>
          <w:lang w:val="lt-LT"/>
        </w:rPr>
        <w:t xml:space="preserve">Šis pakuotės lapelis paskutinį kartą peržiūrėtas </w:t>
      </w:r>
      <w:r w:rsidR="00BC0E58">
        <w:rPr>
          <w:b/>
          <w:lang w:val="lt-LT"/>
        </w:rPr>
        <w:t>2025-09-12</w:t>
      </w:r>
      <w:r>
        <w:rPr>
          <w:b/>
          <w:lang w:val="lt-LT"/>
        </w:rPr>
        <w:t>.</w:t>
      </w:r>
    </w:p>
    <w:p w14:paraId="017F3960" w14:textId="77777777" w:rsidR="009A4BFE" w:rsidRDefault="009A4BFE">
      <w:pPr>
        <w:numPr>
          <w:ilvl w:val="12"/>
          <w:numId w:val="0"/>
        </w:numPr>
        <w:spacing w:line="240" w:lineRule="auto"/>
        <w:ind w:right="-2"/>
        <w:rPr>
          <w:i/>
          <w:szCs w:val="24"/>
          <w:lang w:val="lt-LT"/>
        </w:rPr>
      </w:pPr>
    </w:p>
    <w:p w14:paraId="08C8CECD" w14:textId="551CAAC9" w:rsidR="009A4BFE" w:rsidRDefault="0051186A">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bookmarkStart w:id="3" w:name="_Hlk173407610"/>
      <w:r>
        <w:rPr>
          <w:snapToGrid/>
          <w:color w:val="0000EE"/>
          <w:szCs w:val="22"/>
          <w:u w:val="single"/>
          <w:lang w:val="lt-LT" w:eastAsia="lt-LT"/>
        </w:rPr>
        <w:t>https://vvkt.lrv.lt/lt/</w:t>
      </w:r>
      <w:bookmarkEnd w:id="3"/>
      <w:r>
        <w:rPr>
          <w:snapToGrid/>
          <w:szCs w:val="24"/>
          <w:lang w:val="lt-LT"/>
        </w:rPr>
        <w:t>.</w:t>
      </w:r>
    </w:p>
    <w:p w14:paraId="1AB2476C" w14:textId="77777777" w:rsidR="009A4BFE" w:rsidRDefault="0051186A">
      <w:pPr>
        <w:widowControl w:val="0"/>
        <w:tabs>
          <w:tab w:val="clear" w:pos="567"/>
        </w:tabs>
        <w:spacing w:line="240" w:lineRule="auto"/>
        <w:rPr>
          <w:snapToGrid/>
          <w:szCs w:val="24"/>
          <w:lang w:val="lt-LT"/>
        </w:rPr>
      </w:pPr>
      <w:r>
        <w:rPr>
          <w:snapToGrid/>
          <w:szCs w:val="24"/>
          <w:lang w:val="lt-LT"/>
        </w:rPr>
        <w:br w:type="page"/>
      </w:r>
    </w:p>
    <w:p w14:paraId="446ABB03" w14:textId="77777777" w:rsidR="009A4BFE" w:rsidRDefault="0051186A">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pacientui</w:t>
      </w:r>
    </w:p>
    <w:p w14:paraId="4D9529D5" w14:textId="77777777" w:rsidR="009A4BFE" w:rsidRDefault="009A4BFE">
      <w:pPr>
        <w:numPr>
          <w:ilvl w:val="12"/>
          <w:numId w:val="0"/>
        </w:numPr>
        <w:shd w:val="clear" w:color="auto" w:fill="FFFFFF"/>
        <w:tabs>
          <w:tab w:val="clear" w:pos="567"/>
        </w:tabs>
        <w:spacing w:line="240" w:lineRule="auto"/>
        <w:jc w:val="center"/>
        <w:rPr>
          <w:szCs w:val="24"/>
          <w:lang w:val="lt-LT"/>
        </w:rPr>
      </w:pPr>
    </w:p>
    <w:p w14:paraId="6E72BA53" w14:textId="77777777" w:rsidR="009A4BFE" w:rsidRDefault="0051186A">
      <w:pPr>
        <w:autoSpaceDE w:val="0"/>
        <w:autoSpaceDN w:val="0"/>
        <w:jc w:val="center"/>
        <w:rPr>
          <w:b/>
          <w:lang w:val="lt-LT"/>
        </w:rPr>
      </w:pPr>
      <w:proofErr w:type="spellStart"/>
      <w:r>
        <w:rPr>
          <w:b/>
          <w:lang w:val="lt-LT"/>
        </w:rPr>
        <w:t>Atixarso</w:t>
      </w:r>
      <w:proofErr w:type="spellEnd"/>
      <w:r>
        <w:rPr>
          <w:b/>
          <w:lang w:val="lt-LT"/>
        </w:rPr>
        <w:t xml:space="preserve"> 90</w:t>
      </w:r>
      <w:r>
        <w:rPr>
          <w:rFonts w:eastAsia="TimesNewRoman"/>
          <w:snapToGrid/>
          <w:szCs w:val="22"/>
          <w:lang w:val="lt-LT"/>
        </w:rPr>
        <w:t> </w:t>
      </w:r>
      <w:r>
        <w:rPr>
          <w:b/>
          <w:lang w:val="lt-LT"/>
        </w:rPr>
        <w:t>mg plėvele dengtos tabletės</w:t>
      </w:r>
    </w:p>
    <w:p w14:paraId="4262FC36" w14:textId="77777777" w:rsidR="009A4BFE" w:rsidRDefault="0051186A">
      <w:pPr>
        <w:jc w:val="center"/>
        <w:rPr>
          <w:szCs w:val="24"/>
          <w:lang w:val="lt-LT"/>
        </w:rPr>
      </w:pPr>
      <w:r>
        <w:rPr>
          <w:rFonts w:eastAsia="Calibri"/>
          <w:szCs w:val="22"/>
          <w:lang w:val="es-ES"/>
        </w:rPr>
        <w:t>tikagreloras</w:t>
      </w:r>
    </w:p>
    <w:p w14:paraId="6A727968" w14:textId="77777777" w:rsidR="009A4BFE" w:rsidRDefault="009A4BFE">
      <w:pPr>
        <w:tabs>
          <w:tab w:val="clear" w:pos="567"/>
        </w:tabs>
        <w:spacing w:line="240" w:lineRule="auto"/>
        <w:rPr>
          <w:szCs w:val="24"/>
          <w:lang w:val="lt-LT"/>
        </w:rPr>
      </w:pPr>
    </w:p>
    <w:p w14:paraId="44A88A29" w14:textId="77777777" w:rsidR="009A4BFE" w:rsidRDefault="0051186A">
      <w:pPr>
        <w:widowControl w:val="0"/>
        <w:tabs>
          <w:tab w:val="clear" w:pos="567"/>
        </w:tabs>
        <w:spacing w:line="240" w:lineRule="auto"/>
        <w:rPr>
          <w:szCs w:val="22"/>
          <w:lang w:val="lt-LT"/>
        </w:rPr>
      </w:pPr>
      <w:r>
        <w:rPr>
          <w:b/>
          <w:noProof/>
          <w:szCs w:val="22"/>
          <w:lang w:val="lt-LT"/>
        </w:rPr>
        <w:t>Atidžiai perskaitykite visą šį lapelį, prieš pradėdami vartoti vaistą, nes jame pateikiama Jums svarbi informacija.</w:t>
      </w:r>
    </w:p>
    <w:p w14:paraId="10C918A5" w14:textId="77777777" w:rsidR="009A4BFE" w:rsidRDefault="0051186A">
      <w:pPr>
        <w:widowControl w:val="0"/>
        <w:numPr>
          <w:ilvl w:val="0"/>
          <w:numId w:val="5"/>
        </w:numPr>
        <w:tabs>
          <w:tab w:val="clear" w:pos="567"/>
        </w:tabs>
        <w:spacing w:line="240" w:lineRule="auto"/>
        <w:ind w:left="567" w:right="-2" w:hanging="567"/>
        <w:rPr>
          <w:szCs w:val="22"/>
          <w:lang w:val="lt-LT"/>
        </w:rPr>
      </w:pPr>
      <w:r>
        <w:rPr>
          <w:noProof/>
          <w:szCs w:val="22"/>
          <w:lang w:val="lt-LT"/>
        </w:rPr>
        <w:t>Neišmeskite šio lapelio, nes vėl gali prireikti jį perskaityti.</w:t>
      </w:r>
    </w:p>
    <w:p w14:paraId="0DC32BF0" w14:textId="77777777" w:rsidR="009A4BFE" w:rsidRDefault="0051186A">
      <w:pPr>
        <w:widowControl w:val="0"/>
        <w:numPr>
          <w:ilvl w:val="0"/>
          <w:numId w:val="5"/>
        </w:numPr>
        <w:tabs>
          <w:tab w:val="clear" w:pos="567"/>
        </w:tabs>
        <w:spacing w:line="240" w:lineRule="auto"/>
        <w:ind w:left="567" w:right="-2" w:hanging="567"/>
        <w:rPr>
          <w:szCs w:val="22"/>
          <w:lang w:val="lt-LT"/>
        </w:rPr>
      </w:pPr>
      <w:r>
        <w:rPr>
          <w:noProof/>
          <w:szCs w:val="22"/>
          <w:lang w:val="lt-LT"/>
        </w:rPr>
        <w:t>Jeigu kiltų daugiau klausimų, kreipkitės į gydytoją arba vaistininką.</w:t>
      </w:r>
    </w:p>
    <w:p w14:paraId="1379604B" w14:textId="77777777" w:rsidR="009A4BFE" w:rsidRDefault="0051186A">
      <w:pPr>
        <w:widowControl w:val="0"/>
        <w:spacing w:line="240" w:lineRule="auto"/>
        <w:ind w:left="567" w:right="-2" w:hanging="567"/>
        <w:rPr>
          <w:szCs w:val="22"/>
          <w:lang w:val="lt-LT"/>
        </w:rPr>
      </w:pPr>
      <w:r>
        <w:rPr>
          <w:szCs w:val="22"/>
          <w:lang w:val="lt-LT"/>
        </w:rPr>
        <w:t>-</w:t>
      </w:r>
      <w:r>
        <w:rPr>
          <w:szCs w:val="22"/>
          <w:lang w:val="lt-LT"/>
        </w:rPr>
        <w:tab/>
      </w:r>
      <w:r>
        <w:rPr>
          <w:noProof/>
          <w:szCs w:val="22"/>
          <w:lang w:val="lt-LT"/>
        </w:rPr>
        <w:t>Šis vaistas skirtas tik Jums, todėl kitiems žmonėms jo duoti negalima.</w:t>
      </w:r>
      <w:r>
        <w:rPr>
          <w:szCs w:val="22"/>
          <w:lang w:val="lt-LT"/>
        </w:rPr>
        <w:t xml:space="preserve"> </w:t>
      </w:r>
      <w:r>
        <w:rPr>
          <w:noProof/>
          <w:szCs w:val="22"/>
          <w:lang w:val="lt-LT"/>
        </w:rPr>
        <w:t>Vaistas gali jiems pakenkti (net tiems, kurių ligos požymiai yra tokie patys kaip Jūsų).</w:t>
      </w:r>
    </w:p>
    <w:p w14:paraId="326FE960" w14:textId="77777777" w:rsidR="009A4BFE" w:rsidRDefault="0051186A">
      <w:pPr>
        <w:widowControl w:val="0"/>
        <w:numPr>
          <w:ilvl w:val="0"/>
          <w:numId w:val="5"/>
        </w:numPr>
        <w:spacing w:line="240" w:lineRule="auto"/>
        <w:ind w:left="567" w:hanging="567"/>
        <w:rPr>
          <w:szCs w:val="22"/>
          <w:lang w:val="lt-LT"/>
        </w:rPr>
      </w:pPr>
      <w:r>
        <w:rPr>
          <w:noProof/>
          <w:szCs w:val="22"/>
          <w:lang w:val="lt-LT"/>
        </w:rPr>
        <w:t>Jeigu pasireiškė šalutinis poveikis (net jeigu jis šiame lapelyje nenurodytas), kreipkitės į gydytoją arba vaistininką. Žr. 4 skyrių.</w:t>
      </w:r>
    </w:p>
    <w:p w14:paraId="0A58D056" w14:textId="77777777" w:rsidR="009A4BFE" w:rsidRDefault="009A4BFE">
      <w:pPr>
        <w:tabs>
          <w:tab w:val="clear" w:pos="567"/>
        </w:tabs>
        <w:spacing w:line="240" w:lineRule="auto"/>
        <w:ind w:right="-2"/>
        <w:rPr>
          <w:szCs w:val="24"/>
          <w:lang w:val="lt-LT"/>
        </w:rPr>
      </w:pPr>
    </w:p>
    <w:p w14:paraId="0C3D1929" w14:textId="77777777" w:rsidR="009A4BFE" w:rsidRDefault="009A4BFE">
      <w:pPr>
        <w:tabs>
          <w:tab w:val="clear" w:pos="567"/>
        </w:tabs>
        <w:spacing w:line="240" w:lineRule="auto"/>
        <w:ind w:right="-2"/>
        <w:rPr>
          <w:szCs w:val="24"/>
          <w:lang w:val="lt-LT"/>
        </w:rPr>
      </w:pPr>
    </w:p>
    <w:p w14:paraId="1EFAE9ED" w14:textId="77777777" w:rsidR="009A4BFE" w:rsidRDefault="0051186A">
      <w:pPr>
        <w:pStyle w:val="Antrat4"/>
        <w:rPr>
          <w:rFonts w:ascii="Times New Roman" w:hAnsi="Times New Roman"/>
          <w:sz w:val="22"/>
          <w:lang w:val="lt-LT"/>
        </w:rPr>
      </w:pPr>
      <w:r>
        <w:rPr>
          <w:rFonts w:ascii="Times New Roman" w:hAnsi="Times New Roman"/>
          <w:sz w:val="22"/>
          <w:lang w:val="lt-LT"/>
        </w:rPr>
        <w:t>Apie ką rašoma šiame lapelyje?</w:t>
      </w:r>
    </w:p>
    <w:p w14:paraId="1AECED23" w14:textId="77777777" w:rsidR="009A4BFE" w:rsidRDefault="009A4BFE">
      <w:pPr>
        <w:numPr>
          <w:ilvl w:val="12"/>
          <w:numId w:val="0"/>
        </w:numPr>
        <w:tabs>
          <w:tab w:val="clear" w:pos="567"/>
        </w:tabs>
        <w:spacing w:line="240" w:lineRule="auto"/>
        <w:ind w:right="-2"/>
        <w:rPr>
          <w:szCs w:val="24"/>
          <w:lang w:val="lt-LT"/>
        </w:rPr>
      </w:pPr>
    </w:p>
    <w:p w14:paraId="0E52087F"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1.</w:t>
      </w:r>
      <w:r>
        <w:rPr>
          <w:szCs w:val="24"/>
          <w:lang w:val="lt-LT"/>
        </w:rPr>
        <w:tab/>
      </w:r>
      <w:r>
        <w:rPr>
          <w:lang w:val="lt-LT"/>
        </w:rPr>
        <w:t xml:space="preserve">Kas yra </w:t>
      </w:r>
      <w:proofErr w:type="spellStart"/>
      <w:r>
        <w:rPr>
          <w:lang w:val="lt-LT"/>
        </w:rPr>
        <w:t>Atixarso</w:t>
      </w:r>
      <w:proofErr w:type="spellEnd"/>
      <w:r>
        <w:rPr>
          <w:lang w:val="lt-LT"/>
        </w:rPr>
        <w:t xml:space="preserve"> ir kam jis vartojamas</w:t>
      </w:r>
      <w:r>
        <w:rPr>
          <w:szCs w:val="24"/>
          <w:lang w:val="lt-LT"/>
        </w:rPr>
        <w:t xml:space="preserve"> </w:t>
      </w:r>
    </w:p>
    <w:p w14:paraId="7C1CAD20"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2.</w:t>
      </w:r>
      <w:r>
        <w:rPr>
          <w:szCs w:val="24"/>
          <w:lang w:val="lt-LT"/>
        </w:rPr>
        <w:tab/>
      </w:r>
      <w:r>
        <w:rPr>
          <w:noProof/>
          <w:szCs w:val="24"/>
          <w:lang w:val="lt-LT"/>
        </w:rPr>
        <w:t xml:space="preserve">Kas žinotina prieš vartojant </w:t>
      </w:r>
      <w:proofErr w:type="spellStart"/>
      <w:r>
        <w:rPr>
          <w:lang w:val="lt-LT"/>
        </w:rPr>
        <w:t>Atixarso</w:t>
      </w:r>
      <w:proofErr w:type="spellEnd"/>
    </w:p>
    <w:p w14:paraId="732A9F48"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3.</w:t>
      </w:r>
      <w:r>
        <w:rPr>
          <w:szCs w:val="24"/>
          <w:lang w:val="lt-LT"/>
        </w:rPr>
        <w:tab/>
      </w:r>
      <w:r>
        <w:rPr>
          <w:noProof/>
          <w:szCs w:val="24"/>
          <w:lang w:val="lt-LT"/>
        </w:rPr>
        <w:t xml:space="preserve">Kaip vartoti </w:t>
      </w:r>
      <w:proofErr w:type="spellStart"/>
      <w:r>
        <w:rPr>
          <w:lang w:val="lt-LT"/>
        </w:rPr>
        <w:t>Atixarso</w:t>
      </w:r>
      <w:proofErr w:type="spellEnd"/>
    </w:p>
    <w:p w14:paraId="452D7455"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7BD4BF5C"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5.</w:t>
      </w:r>
      <w:r>
        <w:rPr>
          <w:szCs w:val="24"/>
          <w:lang w:val="lt-LT"/>
        </w:rPr>
        <w:tab/>
      </w:r>
      <w:r>
        <w:rPr>
          <w:lang w:val="lt-LT"/>
        </w:rPr>
        <w:t xml:space="preserve">Kaip laikyti </w:t>
      </w:r>
      <w:proofErr w:type="spellStart"/>
      <w:r>
        <w:rPr>
          <w:lang w:val="lt-LT"/>
        </w:rPr>
        <w:t>Atixarso</w:t>
      </w:r>
      <w:proofErr w:type="spellEnd"/>
    </w:p>
    <w:p w14:paraId="2BBE2E80" w14:textId="77777777" w:rsidR="009A4BFE" w:rsidRDefault="0051186A">
      <w:pPr>
        <w:numPr>
          <w:ilvl w:val="12"/>
          <w:numId w:val="0"/>
        </w:numPr>
        <w:tabs>
          <w:tab w:val="clear" w:pos="567"/>
          <w:tab w:val="left" w:pos="709"/>
        </w:tabs>
        <w:spacing w:line="240" w:lineRule="auto"/>
        <w:ind w:right="-2"/>
        <w:rPr>
          <w:szCs w:val="24"/>
          <w:lang w:val="lt-LT"/>
        </w:rPr>
      </w:pPr>
      <w:r>
        <w:rPr>
          <w:szCs w:val="24"/>
          <w:lang w:val="lt-LT"/>
        </w:rPr>
        <w:t>6.</w:t>
      </w:r>
      <w:r>
        <w:rPr>
          <w:szCs w:val="24"/>
          <w:lang w:val="lt-LT"/>
        </w:rPr>
        <w:tab/>
      </w:r>
      <w:r>
        <w:rPr>
          <w:noProof/>
          <w:szCs w:val="24"/>
          <w:lang w:val="lt-LT"/>
        </w:rPr>
        <w:t>Pakuotės turinys ir kita informacija</w:t>
      </w:r>
    </w:p>
    <w:p w14:paraId="3A0AA490" w14:textId="77777777" w:rsidR="009A4BFE" w:rsidRDefault="009A4BFE">
      <w:pPr>
        <w:numPr>
          <w:ilvl w:val="12"/>
          <w:numId w:val="0"/>
        </w:numPr>
        <w:tabs>
          <w:tab w:val="clear" w:pos="567"/>
        </w:tabs>
        <w:spacing w:line="240" w:lineRule="auto"/>
        <w:ind w:right="-2"/>
        <w:rPr>
          <w:szCs w:val="24"/>
          <w:lang w:val="lt-LT"/>
        </w:rPr>
      </w:pPr>
    </w:p>
    <w:p w14:paraId="45580DC4" w14:textId="77777777" w:rsidR="009A4BFE" w:rsidRDefault="009A4BFE">
      <w:pPr>
        <w:numPr>
          <w:ilvl w:val="12"/>
          <w:numId w:val="0"/>
        </w:numPr>
        <w:tabs>
          <w:tab w:val="clear" w:pos="567"/>
        </w:tabs>
        <w:spacing w:line="240" w:lineRule="auto"/>
        <w:ind w:right="-2"/>
        <w:rPr>
          <w:szCs w:val="24"/>
          <w:lang w:val="lt-LT"/>
        </w:rPr>
      </w:pPr>
    </w:p>
    <w:p w14:paraId="5E14EFCB" w14:textId="77777777" w:rsidR="009A4BFE" w:rsidRDefault="0051186A">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w:t>
      </w:r>
      <w:r>
        <w:rPr>
          <w:rFonts w:ascii="Times New Roman" w:hAnsi="Times New Roman"/>
          <w:sz w:val="22"/>
          <w:szCs w:val="22"/>
          <w:lang w:val="lt-LT"/>
        </w:rPr>
        <w:t xml:space="preserve">yra </w:t>
      </w:r>
      <w:proofErr w:type="spellStart"/>
      <w:r>
        <w:rPr>
          <w:rFonts w:ascii="Times New Roman" w:hAnsi="Times New Roman"/>
          <w:sz w:val="22"/>
          <w:szCs w:val="22"/>
          <w:lang w:val="lt-LT"/>
        </w:rPr>
        <w:t>Atixarso</w:t>
      </w:r>
      <w:proofErr w:type="spellEnd"/>
      <w:r>
        <w:rPr>
          <w:rFonts w:ascii="Times New Roman" w:hAnsi="Times New Roman"/>
          <w:sz w:val="22"/>
          <w:szCs w:val="22"/>
          <w:lang w:val="lt-LT"/>
        </w:rPr>
        <w:t xml:space="preserve"> ir kam</w:t>
      </w:r>
      <w:r>
        <w:rPr>
          <w:rFonts w:ascii="Times New Roman" w:hAnsi="Times New Roman"/>
          <w:sz w:val="22"/>
          <w:lang w:val="lt-LT"/>
        </w:rPr>
        <w:t xml:space="preserve"> jis vartojamas</w:t>
      </w:r>
    </w:p>
    <w:p w14:paraId="6440258C" w14:textId="77777777" w:rsidR="009A4BFE" w:rsidRDefault="009A4BFE">
      <w:pPr>
        <w:numPr>
          <w:ilvl w:val="12"/>
          <w:numId w:val="0"/>
        </w:numPr>
        <w:tabs>
          <w:tab w:val="clear" w:pos="567"/>
        </w:tabs>
        <w:spacing w:line="240" w:lineRule="auto"/>
        <w:ind w:right="-2"/>
        <w:rPr>
          <w:szCs w:val="24"/>
          <w:lang w:val="lt-LT"/>
        </w:rPr>
      </w:pPr>
    </w:p>
    <w:p w14:paraId="0BED4DCB"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Kas yra </w:t>
      </w:r>
      <w:proofErr w:type="spellStart"/>
      <w:r>
        <w:rPr>
          <w:b/>
          <w:lang w:val="lt-LT"/>
        </w:rPr>
        <w:t>Atixarso</w:t>
      </w:r>
      <w:proofErr w:type="spellEnd"/>
      <w:r>
        <w:rPr>
          <w:rFonts w:eastAsia="TimesNewRoman,Bold"/>
          <w:b/>
          <w:bCs/>
          <w:snapToGrid/>
          <w:szCs w:val="22"/>
          <w:lang w:val="lt-LT"/>
        </w:rPr>
        <w:t>?</w:t>
      </w:r>
    </w:p>
    <w:p w14:paraId="29CE27BC"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lang w:val="lt-LT"/>
        </w:rPr>
        <w:t>Atixarso</w:t>
      </w:r>
      <w:proofErr w:type="spellEnd"/>
      <w:r>
        <w:rPr>
          <w:rFonts w:eastAsia="TimesNewRoman"/>
          <w:snapToGrid/>
          <w:szCs w:val="22"/>
          <w:lang w:val="lt-LT"/>
        </w:rPr>
        <w:t xml:space="preserve"> sudėtyje yra veikliosios medžiagos, vadinamos </w:t>
      </w:r>
      <w:proofErr w:type="spellStart"/>
      <w:r>
        <w:rPr>
          <w:rFonts w:eastAsia="TimesNewRoman"/>
          <w:snapToGrid/>
          <w:szCs w:val="22"/>
          <w:lang w:val="lt-LT"/>
        </w:rPr>
        <w:t>tikagreloru</w:t>
      </w:r>
      <w:proofErr w:type="spellEnd"/>
      <w:r>
        <w:rPr>
          <w:rFonts w:eastAsia="TimesNewRoman"/>
          <w:snapToGrid/>
          <w:szCs w:val="22"/>
          <w:lang w:val="lt-LT"/>
        </w:rPr>
        <w:t xml:space="preserve">. Ji priklauso vaistų, vadinamų </w:t>
      </w:r>
      <w:proofErr w:type="spellStart"/>
      <w:r>
        <w:rPr>
          <w:rFonts w:eastAsia="TimesNewRoman"/>
          <w:snapToGrid/>
          <w:szCs w:val="22"/>
          <w:lang w:val="lt-LT"/>
        </w:rPr>
        <w:t>antitrombocitiniais</w:t>
      </w:r>
      <w:proofErr w:type="spellEnd"/>
      <w:r>
        <w:rPr>
          <w:rFonts w:eastAsia="TimesNewRoman"/>
          <w:snapToGrid/>
          <w:szCs w:val="22"/>
          <w:lang w:val="lt-LT"/>
        </w:rPr>
        <w:t xml:space="preserve"> vaistais, grupei.</w:t>
      </w:r>
    </w:p>
    <w:p w14:paraId="64D7199B"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2AFE45FF"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Kam vartojamas </w:t>
      </w:r>
      <w:proofErr w:type="spellStart"/>
      <w:r>
        <w:rPr>
          <w:b/>
          <w:lang w:val="lt-LT"/>
        </w:rPr>
        <w:t>Atixarso</w:t>
      </w:r>
      <w:proofErr w:type="spellEnd"/>
      <w:r>
        <w:rPr>
          <w:rFonts w:eastAsia="TimesNewRoman,Bold"/>
          <w:b/>
          <w:bCs/>
          <w:snapToGrid/>
          <w:szCs w:val="22"/>
          <w:lang w:val="lt-LT"/>
        </w:rPr>
        <w:t>?</w:t>
      </w:r>
    </w:p>
    <w:p w14:paraId="77D016AF"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lang w:val="lt-LT"/>
        </w:rPr>
        <w:t>Atixarso</w:t>
      </w:r>
      <w:proofErr w:type="spellEnd"/>
      <w:r>
        <w:rPr>
          <w:rFonts w:eastAsia="TimesNewRoman"/>
          <w:snapToGrid/>
          <w:szCs w:val="22"/>
          <w:lang w:val="lt-LT"/>
        </w:rPr>
        <w:t xml:space="preserve"> </w:t>
      </w:r>
      <w:r w:rsidRPr="0022257B">
        <w:rPr>
          <w:lang w:val="lt-LT"/>
        </w:rPr>
        <w:t xml:space="preserve">skirtas tik suaugusiems žmonėms vartoti kartu su kitu trombocitų funkciją slopinančiu vaistu – </w:t>
      </w:r>
      <w:proofErr w:type="spellStart"/>
      <w:r w:rsidRPr="0022257B">
        <w:rPr>
          <w:lang w:val="lt-LT"/>
        </w:rPr>
        <w:t>acetilsalicilo</w:t>
      </w:r>
      <w:proofErr w:type="spellEnd"/>
      <w:r w:rsidRPr="0022257B">
        <w:rPr>
          <w:lang w:val="lt-LT"/>
        </w:rPr>
        <w:t xml:space="preserve"> rūgštimi. </w:t>
      </w:r>
      <w:r>
        <w:rPr>
          <w:rFonts w:eastAsia="TimesNewRoman"/>
          <w:snapToGrid/>
          <w:szCs w:val="22"/>
          <w:lang w:val="lt-LT"/>
        </w:rPr>
        <w:t>Šis vaistas Jums paskirtas:</w:t>
      </w:r>
    </w:p>
    <w:p w14:paraId="0503299E" w14:textId="77777777" w:rsidR="009A4BFE" w:rsidRDefault="0051186A">
      <w:pPr>
        <w:pStyle w:val="Sraopastraipa"/>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dėl įvykusio širdies priepuolio, arba</w:t>
      </w:r>
    </w:p>
    <w:p w14:paraId="6560578E" w14:textId="77777777" w:rsidR="009A4BFE" w:rsidRDefault="0051186A">
      <w:pPr>
        <w:numPr>
          <w:ilvl w:val="0"/>
          <w:numId w:val="2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dėl nestabilios krūtinės anginos (angina ar krūtinės skausmas, kuris nėra gerai kontroliuojamas).</w:t>
      </w:r>
    </w:p>
    <w:p w14:paraId="3C0BD58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Šis vaistas mažina riziką patirti dar vieną širdies priepuolį, insultą ir mirti nuo širdies ar kraujagyslių ligos.</w:t>
      </w:r>
    </w:p>
    <w:p w14:paraId="2D0B67F2"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299F88D4"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Kaip veikia </w:t>
      </w:r>
      <w:proofErr w:type="spellStart"/>
      <w:r>
        <w:rPr>
          <w:b/>
          <w:lang w:val="lt-LT"/>
        </w:rPr>
        <w:t>Atixarso</w:t>
      </w:r>
      <w:proofErr w:type="spellEnd"/>
      <w:r>
        <w:rPr>
          <w:rFonts w:eastAsia="TimesNewRoman,Bold"/>
          <w:b/>
          <w:bCs/>
          <w:snapToGrid/>
          <w:szCs w:val="22"/>
          <w:lang w:val="lt-LT"/>
        </w:rPr>
        <w:t>?</w:t>
      </w:r>
    </w:p>
    <w:p w14:paraId="685105A7"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lang w:val="lt-LT"/>
        </w:rPr>
        <w:t>Atixarso</w:t>
      </w:r>
      <w:proofErr w:type="spellEnd"/>
      <w:r>
        <w:rPr>
          <w:rFonts w:eastAsia="TimesNewRoman"/>
          <w:snapToGrid/>
          <w:szCs w:val="22"/>
          <w:lang w:val="lt-LT"/>
        </w:rPr>
        <w:t xml:space="preserve"> veikia ląsteles, vadinamas „kraujo plokštelėmis“ (taip pat vadinamas trombocitais). Trombocitai yra labai mažos kraujo ląstelės, kurios padeda stabdyti kraujavimą, sulipdamos viena su kita ir užkimšdamos mažas skylutes įpjautose ar kitaip pažeistose kraujagyslėse.</w:t>
      </w:r>
    </w:p>
    <w:p w14:paraId="0752D34E"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0F80FF9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Deja, kraujo plokštelės taip pat gali sudaryti krešulių pažeistų širdies ir smegenų kraujagyslių viduje. Tai gali būti labai pavojinga, kadangi:</w:t>
      </w:r>
    </w:p>
    <w:p w14:paraId="62D972A2" w14:textId="77777777" w:rsidR="009A4BFE" w:rsidRDefault="0051186A">
      <w:pPr>
        <w:numPr>
          <w:ilvl w:val="0"/>
          <w:numId w:val="4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krešulys gali visai užkirsti kelią kraujo tėkmei – tuomet gali įvykti širdies priepuolis (miokardo infarktas) arba insultas;</w:t>
      </w:r>
    </w:p>
    <w:p w14:paraId="4B0F8E96" w14:textId="77777777" w:rsidR="009A4BFE" w:rsidRDefault="0051186A">
      <w:pPr>
        <w:numPr>
          <w:ilvl w:val="0"/>
          <w:numId w:val="4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krešulys gali dalinai užkirsti kelią kraujo tėkmei į širdį ir pabloginti jos kraujotaką – tuomet gali prasidėti krūtinės skausmas, kuris atsiranda ir išnyksta (taip vadinama nestabili krūtinės angina).</w:t>
      </w:r>
    </w:p>
    <w:p w14:paraId="2EDDF34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3C9A12A"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lang w:val="lt-LT"/>
        </w:rPr>
        <w:t>Atixarso</w:t>
      </w:r>
      <w:proofErr w:type="spellEnd"/>
      <w:r>
        <w:rPr>
          <w:rFonts w:eastAsia="TimesNewRoman"/>
          <w:snapToGrid/>
          <w:szCs w:val="22"/>
          <w:lang w:val="lt-LT"/>
        </w:rPr>
        <w:t xml:space="preserve"> padeda neleisti kraujo plokštelėms sulipti vienas su kitu ir tokiu būdu trukdo susidaryti kraujo krešuliui, kuris gali pabloginti kraujotaką.</w:t>
      </w:r>
    </w:p>
    <w:p w14:paraId="3938839A" w14:textId="77777777" w:rsidR="009A4BFE" w:rsidRDefault="009A4BFE">
      <w:pPr>
        <w:numPr>
          <w:ilvl w:val="12"/>
          <w:numId w:val="0"/>
        </w:numPr>
        <w:tabs>
          <w:tab w:val="clear" w:pos="567"/>
        </w:tabs>
        <w:spacing w:line="240" w:lineRule="auto"/>
        <w:ind w:right="-2"/>
        <w:rPr>
          <w:szCs w:val="24"/>
          <w:lang w:val="lt-LT"/>
        </w:rPr>
      </w:pPr>
    </w:p>
    <w:p w14:paraId="481D7F64" w14:textId="77777777" w:rsidR="009A4BFE" w:rsidRDefault="009A4BFE">
      <w:pPr>
        <w:numPr>
          <w:ilvl w:val="12"/>
          <w:numId w:val="0"/>
        </w:numPr>
        <w:tabs>
          <w:tab w:val="clear" w:pos="567"/>
        </w:tabs>
        <w:spacing w:line="240" w:lineRule="auto"/>
        <w:ind w:right="-2"/>
        <w:rPr>
          <w:szCs w:val="24"/>
          <w:lang w:val="lt-LT"/>
        </w:rPr>
      </w:pPr>
    </w:p>
    <w:p w14:paraId="2EACEE01" w14:textId="77777777" w:rsidR="009A4BFE" w:rsidRDefault="0051186A">
      <w:pPr>
        <w:pStyle w:val="Antrat4"/>
        <w:rPr>
          <w:rFonts w:ascii="Times New Roman" w:hAnsi="Times New Roman"/>
          <w:sz w:val="22"/>
          <w:lang w:val="lt-LT"/>
        </w:rPr>
      </w:pPr>
      <w:r>
        <w:rPr>
          <w:rFonts w:ascii="Times New Roman" w:hAnsi="Times New Roman"/>
          <w:sz w:val="22"/>
          <w:lang w:val="lt-LT"/>
        </w:rPr>
        <w:lastRenderedPageBreak/>
        <w:t>2.</w:t>
      </w:r>
      <w:r>
        <w:rPr>
          <w:rFonts w:ascii="Times New Roman" w:hAnsi="Times New Roman"/>
          <w:sz w:val="22"/>
          <w:lang w:val="lt-LT"/>
        </w:rPr>
        <w:tab/>
        <w:t xml:space="preserve">Kas žinotina prieš vartojant </w:t>
      </w:r>
      <w:proofErr w:type="spellStart"/>
      <w:r>
        <w:rPr>
          <w:rFonts w:ascii="Times New Roman" w:hAnsi="Times New Roman"/>
          <w:sz w:val="22"/>
          <w:szCs w:val="22"/>
          <w:lang w:val="lt-LT"/>
        </w:rPr>
        <w:t>Atixarso</w:t>
      </w:r>
      <w:proofErr w:type="spellEnd"/>
    </w:p>
    <w:p w14:paraId="3B336B90" w14:textId="77777777" w:rsidR="009A4BFE" w:rsidRDefault="009A4BFE">
      <w:pPr>
        <w:keepNext/>
        <w:numPr>
          <w:ilvl w:val="12"/>
          <w:numId w:val="0"/>
        </w:numPr>
        <w:tabs>
          <w:tab w:val="clear" w:pos="567"/>
        </w:tabs>
        <w:spacing w:line="240" w:lineRule="auto"/>
        <w:ind w:right="-2"/>
        <w:rPr>
          <w:szCs w:val="24"/>
          <w:lang w:val="lt-LT"/>
        </w:rPr>
      </w:pPr>
    </w:p>
    <w:p w14:paraId="3EB24CED" w14:textId="77777777" w:rsidR="009A4BFE" w:rsidRDefault="0051186A">
      <w:pPr>
        <w:pStyle w:val="Antrat4"/>
        <w:rPr>
          <w:rFonts w:ascii="Times New Roman" w:hAnsi="Times New Roman"/>
          <w:sz w:val="22"/>
          <w:szCs w:val="22"/>
          <w:lang w:val="lt-LT"/>
        </w:rPr>
      </w:pPr>
      <w:proofErr w:type="spellStart"/>
      <w:r>
        <w:rPr>
          <w:rFonts w:ascii="Times New Roman" w:hAnsi="Times New Roman"/>
          <w:sz w:val="22"/>
          <w:szCs w:val="22"/>
          <w:lang w:val="lt-LT"/>
        </w:rPr>
        <w:t>Atixarso</w:t>
      </w:r>
      <w:proofErr w:type="spellEnd"/>
      <w:r>
        <w:rPr>
          <w:rFonts w:ascii="Times New Roman" w:hAnsi="Times New Roman"/>
          <w:sz w:val="22"/>
          <w:szCs w:val="22"/>
          <w:lang w:val="lt-LT"/>
        </w:rPr>
        <w:t xml:space="preserve"> vartoti draudžiama jeigu</w:t>
      </w:r>
    </w:p>
    <w:p w14:paraId="593E033A" w14:textId="77777777" w:rsidR="009A4BFE" w:rsidRDefault="0051186A">
      <w:pPr>
        <w:pStyle w:val="Sraopastraipa"/>
        <w:numPr>
          <w:ilvl w:val="0"/>
          <w:numId w:val="21"/>
        </w:numPr>
        <w:ind w:left="567" w:hanging="567"/>
        <w:rPr>
          <w:lang w:val="lt-LT"/>
        </w:rPr>
      </w:pPr>
      <w:r>
        <w:rPr>
          <w:lang w:val="lt-LT"/>
        </w:rPr>
        <w:t xml:space="preserve">yra alergija </w:t>
      </w:r>
      <w:proofErr w:type="spellStart"/>
      <w:r>
        <w:rPr>
          <w:lang w:val="lt-LT"/>
        </w:rPr>
        <w:t>tikagrelorui</w:t>
      </w:r>
      <w:proofErr w:type="spellEnd"/>
      <w:r>
        <w:rPr>
          <w:lang w:val="lt-LT"/>
        </w:rPr>
        <w:t xml:space="preserve"> arba bet kuriai pagalbinei šio vaisto medžiagai (jos išvardytos 6 skyriuje);</w:t>
      </w:r>
    </w:p>
    <w:p w14:paraId="3B0EADD3" w14:textId="77777777" w:rsidR="009A4BFE" w:rsidRDefault="0051186A">
      <w:pPr>
        <w:numPr>
          <w:ilvl w:val="0"/>
          <w:numId w:val="21"/>
        </w:numPr>
        <w:ind w:left="567" w:hanging="567"/>
        <w:rPr>
          <w:rFonts w:eastAsia="TimesNewRoman"/>
          <w:lang w:val="lt-LT"/>
        </w:rPr>
      </w:pPr>
      <w:r>
        <w:rPr>
          <w:rFonts w:eastAsia="TimesNewRoman"/>
          <w:lang w:val="lt-LT"/>
        </w:rPr>
        <w:t>Jūsų organizme dabar vyksta kraujavimas;</w:t>
      </w:r>
    </w:p>
    <w:p w14:paraId="3D2F44C1" w14:textId="77777777" w:rsidR="009A4BFE" w:rsidRDefault="0051186A">
      <w:pPr>
        <w:numPr>
          <w:ilvl w:val="0"/>
          <w:numId w:val="21"/>
        </w:numPr>
        <w:ind w:left="567" w:hanging="567"/>
        <w:rPr>
          <w:rFonts w:eastAsia="TimesNewRoman"/>
          <w:lang w:val="lt-LT"/>
        </w:rPr>
      </w:pPr>
      <w:r>
        <w:rPr>
          <w:rFonts w:eastAsia="TimesNewRoman"/>
          <w:lang w:val="lt-LT"/>
        </w:rPr>
        <w:t>Jūs buvo ištikęs insultas dėl kraujavimo į smegenis;</w:t>
      </w:r>
    </w:p>
    <w:p w14:paraId="596D766E" w14:textId="77777777" w:rsidR="009A4BFE" w:rsidRDefault="0051186A">
      <w:pPr>
        <w:numPr>
          <w:ilvl w:val="0"/>
          <w:numId w:val="21"/>
        </w:numPr>
        <w:ind w:left="567" w:hanging="567"/>
        <w:rPr>
          <w:rFonts w:eastAsia="TimesNewRoman"/>
        </w:rPr>
      </w:pPr>
      <w:proofErr w:type="spellStart"/>
      <w:r>
        <w:rPr>
          <w:rFonts w:eastAsia="TimesNewRoman"/>
        </w:rPr>
        <w:t>Jūs</w:t>
      </w:r>
      <w:proofErr w:type="spellEnd"/>
      <w:r>
        <w:rPr>
          <w:rFonts w:eastAsia="TimesNewRoman"/>
        </w:rPr>
        <w:t xml:space="preserve"> </w:t>
      </w:r>
      <w:proofErr w:type="spellStart"/>
      <w:r>
        <w:rPr>
          <w:rFonts w:eastAsia="TimesNewRoman"/>
        </w:rPr>
        <w:t>sergate</w:t>
      </w:r>
      <w:proofErr w:type="spellEnd"/>
      <w:r>
        <w:rPr>
          <w:rFonts w:eastAsia="TimesNewRoman"/>
        </w:rPr>
        <w:t xml:space="preserve"> </w:t>
      </w:r>
      <w:proofErr w:type="spellStart"/>
      <w:r>
        <w:rPr>
          <w:rFonts w:eastAsia="TimesNewRoman"/>
        </w:rPr>
        <w:t>sunkia</w:t>
      </w:r>
      <w:proofErr w:type="spellEnd"/>
      <w:r>
        <w:rPr>
          <w:rFonts w:eastAsia="TimesNewRoman"/>
        </w:rPr>
        <w:t xml:space="preserve"> </w:t>
      </w:r>
      <w:proofErr w:type="spellStart"/>
      <w:r>
        <w:rPr>
          <w:rFonts w:eastAsia="TimesNewRoman"/>
        </w:rPr>
        <w:t>kepenų</w:t>
      </w:r>
      <w:proofErr w:type="spellEnd"/>
      <w:r>
        <w:rPr>
          <w:rFonts w:eastAsia="TimesNewRoman"/>
        </w:rPr>
        <w:t xml:space="preserve"> </w:t>
      </w:r>
      <w:proofErr w:type="spellStart"/>
      <w:proofErr w:type="gramStart"/>
      <w:r>
        <w:rPr>
          <w:rFonts w:eastAsia="TimesNewRoman"/>
        </w:rPr>
        <w:t>liga</w:t>
      </w:r>
      <w:proofErr w:type="spellEnd"/>
      <w:r>
        <w:rPr>
          <w:rFonts w:eastAsia="TimesNewRoman"/>
        </w:rPr>
        <w:t>;</w:t>
      </w:r>
      <w:proofErr w:type="gramEnd"/>
    </w:p>
    <w:p w14:paraId="57653D64" w14:textId="77777777" w:rsidR="009A4BFE" w:rsidRDefault="0051186A">
      <w:pPr>
        <w:numPr>
          <w:ilvl w:val="0"/>
          <w:numId w:val="21"/>
        </w:numPr>
        <w:ind w:left="567" w:hanging="567"/>
        <w:rPr>
          <w:rFonts w:eastAsia="TimesNewRoman"/>
        </w:rPr>
      </w:pPr>
      <w:proofErr w:type="spellStart"/>
      <w:r>
        <w:rPr>
          <w:rFonts w:eastAsia="TimesNewRoman"/>
        </w:rPr>
        <w:t>Jūs</w:t>
      </w:r>
      <w:proofErr w:type="spellEnd"/>
      <w:r>
        <w:rPr>
          <w:rFonts w:eastAsia="TimesNewRoman"/>
        </w:rPr>
        <w:t xml:space="preserve"> </w:t>
      </w:r>
      <w:proofErr w:type="spellStart"/>
      <w:r>
        <w:rPr>
          <w:rFonts w:eastAsia="TimesNewRoman"/>
        </w:rPr>
        <w:t>vartojate</w:t>
      </w:r>
      <w:proofErr w:type="spellEnd"/>
      <w:r>
        <w:rPr>
          <w:rFonts w:eastAsia="TimesNewRoman"/>
        </w:rPr>
        <w:t xml:space="preserve"> </w:t>
      </w:r>
      <w:proofErr w:type="spellStart"/>
      <w:r>
        <w:rPr>
          <w:rFonts w:eastAsia="TimesNewRoman"/>
        </w:rPr>
        <w:t>kurį</w:t>
      </w:r>
      <w:proofErr w:type="spellEnd"/>
      <w:r>
        <w:rPr>
          <w:rFonts w:eastAsia="TimesNewRoman"/>
        </w:rPr>
        <w:t xml:space="preserve"> </w:t>
      </w:r>
      <w:proofErr w:type="spellStart"/>
      <w:r>
        <w:rPr>
          <w:rFonts w:eastAsia="TimesNewRoman"/>
        </w:rPr>
        <w:t>nors</w:t>
      </w:r>
      <w:proofErr w:type="spellEnd"/>
      <w:r>
        <w:rPr>
          <w:rFonts w:eastAsia="TimesNewRoman"/>
        </w:rPr>
        <w:t xml:space="preserve"> </w:t>
      </w:r>
      <w:proofErr w:type="spellStart"/>
      <w:r>
        <w:rPr>
          <w:rFonts w:eastAsia="TimesNewRoman"/>
        </w:rPr>
        <w:t>iš</w:t>
      </w:r>
      <w:proofErr w:type="spellEnd"/>
      <w:r>
        <w:rPr>
          <w:rFonts w:eastAsia="TimesNewRoman"/>
        </w:rPr>
        <w:t xml:space="preserve"> </w:t>
      </w:r>
      <w:proofErr w:type="spellStart"/>
      <w:r>
        <w:rPr>
          <w:rFonts w:eastAsia="TimesNewRoman"/>
        </w:rPr>
        <w:t>šių</w:t>
      </w:r>
      <w:proofErr w:type="spellEnd"/>
      <w:r>
        <w:rPr>
          <w:rFonts w:eastAsia="TimesNewRoman"/>
        </w:rPr>
        <w:t xml:space="preserve"> </w:t>
      </w:r>
      <w:proofErr w:type="spellStart"/>
      <w:r>
        <w:rPr>
          <w:rFonts w:eastAsia="TimesNewRoman"/>
        </w:rPr>
        <w:t>vaistų</w:t>
      </w:r>
      <w:proofErr w:type="spellEnd"/>
      <w:r>
        <w:rPr>
          <w:rFonts w:eastAsia="TimesNewRoman"/>
        </w:rPr>
        <w:t>:</w:t>
      </w:r>
    </w:p>
    <w:p w14:paraId="61F10097" w14:textId="77777777" w:rsidR="009A4BFE" w:rsidRDefault="0051186A">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ketokonazolą</w:t>
      </w:r>
      <w:proofErr w:type="spellEnd"/>
      <w:r>
        <w:rPr>
          <w:rFonts w:eastAsia="TimesNewRoman"/>
          <w:snapToGrid/>
          <w:szCs w:val="22"/>
          <w:lang w:val="lt-LT"/>
        </w:rPr>
        <w:t xml:space="preserve"> (vartojamą grybelių infekcijai gydyti),</w:t>
      </w:r>
    </w:p>
    <w:p w14:paraId="75B083D5" w14:textId="77777777" w:rsidR="009A4BFE" w:rsidRDefault="0051186A">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klaritromiciną</w:t>
      </w:r>
      <w:proofErr w:type="spellEnd"/>
      <w:r>
        <w:rPr>
          <w:rFonts w:eastAsia="TimesNewRoman"/>
          <w:snapToGrid/>
          <w:szCs w:val="22"/>
          <w:lang w:val="lt-LT"/>
        </w:rPr>
        <w:t xml:space="preserve"> (vartojamą bakterijų infekcijai gydyti),</w:t>
      </w:r>
    </w:p>
    <w:p w14:paraId="0FBE8090" w14:textId="77777777" w:rsidR="009A4BFE" w:rsidRDefault="0051186A">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r>
      <w:proofErr w:type="spellStart"/>
      <w:r>
        <w:rPr>
          <w:rFonts w:eastAsia="TimesNewRoman"/>
          <w:snapToGrid/>
          <w:szCs w:val="22"/>
          <w:lang w:val="lt-LT"/>
        </w:rPr>
        <w:t>nefazodoną</w:t>
      </w:r>
      <w:proofErr w:type="spellEnd"/>
      <w:r>
        <w:rPr>
          <w:rFonts w:eastAsia="TimesNewRoman"/>
          <w:snapToGrid/>
          <w:szCs w:val="22"/>
          <w:lang w:val="lt-LT"/>
        </w:rPr>
        <w:t xml:space="preserve"> (nuo depresijos),</w:t>
      </w:r>
    </w:p>
    <w:p w14:paraId="1A56C34C" w14:textId="77777777" w:rsidR="009A4BFE" w:rsidRDefault="0051186A">
      <w:pPr>
        <w:autoSpaceDE w:val="0"/>
        <w:autoSpaceDN w:val="0"/>
        <w:adjustRightInd w:val="0"/>
        <w:spacing w:line="240" w:lineRule="auto"/>
        <w:ind w:left="720"/>
        <w:rPr>
          <w:rFonts w:eastAsia="TimesNewRoman"/>
          <w:snapToGrid/>
          <w:szCs w:val="22"/>
          <w:lang w:val="lt-LT"/>
        </w:rPr>
      </w:pPr>
      <w:r>
        <w:rPr>
          <w:rFonts w:eastAsia="TimesNewRoman"/>
          <w:snapToGrid/>
          <w:szCs w:val="22"/>
          <w:lang w:val="lt-LT"/>
        </w:rPr>
        <w:t>-</w:t>
      </w:r>
      <w:r>
        <w:rPr>
          <w:rFonts w:eastAsia="TimesNewRoman"/>
          <w:snapToGrid/>
          <w:szCs w:val="22"/>
          <w:lang w:val="lt-LT"/>
        </w:rPr>
        <w:tab/>
        <w:t xml:space="preserve">ritonavirą arba </w:t>
      </w:r>
      <w:proofErr w:type="spellStart"/>
      <w:r>
        <w:rPr>
          <w:rFonts w:eastAsia="TimesNewRoman"/>
          <w:snapToGrid/>
          <w:szCs w:val="22"/>
          <w:lang w:val="lt-LT"/>
        </w:rPr>
        <w:t>atazanavirą</w:t>
      </w:r>
      <w:proofErr w:type="spellEnd"/>
      <w:r>
        <w:rPr>
          <w:rFonts w:eastAsia="TimesNewRoman"/>
          <w:snapToGrid/>
          <w:szCs w:val="22"/>
          <w:lang w:val="lt-LT"/>
        </w:rPr>
        <w:t xml:space="preserve"> (vartojamus gydyti ŽIV infekcijai ir AIDS).</w:t>
      </w:r>
    </w:p>
    <w:p w14:paraId="0D8EE9D1" w14:textId="77777777" w:rsidR="009A4BFE" w:rsidRDefault="0051186A">
      <w:pPr>
        <w:numPr>
          <w:ilvl w:val="12"/>
          <w:numId w:val="0"/>
        </w:numPr>
        <w:tabs>
          <w:tab w:val="clear" w:pos="567"/>
        </w:tabs>
        <w:spacing w:line="240" w:lineRule="auto"/>
        <w:ind w:right="-2"/>
        <w:rPr>
          <w:szCs w:val="22"/>
          <w:lang w:val="lt-LT"/>
        </w:rPr>
      </w:pPr>
      <w:r>
        <w:rPr>
          <w:rFonts w:eastAsia="TimesNewRoman"/>
          <w:snapToGrid/>
          <w:szCs w:val="22"/>
          <w:lang w:val="lt-LT"/>
        </w:rPr>
        <w:t xml:space="preserve">Jeigu kuri nors iš anksčiau išvardytų būklių Jums tinka, </w:t>
      </w:r>
      <w:proofErr w:type="spellStart"/>
      <w:r>
        <w:rPr>
          <w:szCs w:val="22"/>
          <w:lang w:val="lt-LT"/>
        </w:rPr>
        <w:t>Atixarso</w:t>
      </w:r>
      <w:proofErr w:type="spellEnd"/>
      <w:r>
        <w:rPr>
          <w:rFonts w:eastAsia="TimesNewRoman"/>
          <w:snapToGrid/>
          <w:szCs w:val="22"/>
          <w:lang w:val="lt-LT"/>
        </w:rPr>
        <w:t xml:space="preserve"> vartoti draudžiama. Jei abejojate, prieš pradėdami vartoti šį vaistą, pasitarkite su gydytoju arba vaistininku, </w:t>
      </w:r>
    </w:p>
    <w:p w14:paraId="3EACBB09" w14:textId="77777777" w:rsidR="009A4BFE" w:rsidRDefault="009A4BFE">
      <w:pPr>
        <w:pStyle w:val="Antrat4"/>
        <w:rPr>
          <w:rFonts w:ascii="Times New Roman" w:hAnsi="Times New Roman"/>
          <w:b w:val="0"/>
          <w:bCs w:val="0"/>
          <w:sz w:val="22"/>
          <w:lang w:val="lt-LT"/>
        </w:rPr>
      </w:pPr>
    </w:p>
    <w:p w14:paraId="03902662" w14:textId="77777777" w:rsidR="009A4BFE" w:rsidRDefault="0051186A">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4C1D3679" w14:textId="77777777" w:rsidR="009A4BFE" w:rsidRDefault="0051186A">
      <w:pPr>
        <w:numPr>
          <w:ilvl w:val="12"/>
          <w:numId w:val="0"/>
        </w:numPr>
        <w:tabs>
          <w:tab w:val="clear" w:pos="567"/>
        </w:tabs>
        <w:spacing w:line="240" w:lineRule="auto"/>
        <w:ind w:right="-2"/>
        <w:rPr>
          <w:szCs w:val="24"/>
          <w:lang w:val="lt-LT"/>
        </w:rPr>
      </w:pPr>
      <w:r>
        <w:rPr>
          <w:noProof/>
          <w:szCs w:val="24"/>
          <w:lang w:val="lt-LT"/>
        </w:rPr>
        <w:t xml:space="preserve">Pasitarkite su Jūsų gydytoju arba vaistininku, prieš pradėdami vartoti </w:t>
      </w:r>
      <w:proofErr w:type="spellStart"/>
      <w:r>
        <w:rPr>
          <w:szCs w:val="22"/>
          <w:lang w:val="lt-LT"/>
        </w:rPr>
        <w:t>Atixarso</w:t>
      </w:r>
      <w:proofErr w:type="spellEnd"/>
      <w:r>
        <w:rPr>
          <w:noProof/>
          <w:szCs w:val="24"/>
          <w:lang w:val="lt-LT"/>
        </w:rPr>
        <w:t>, jeigu:</w:t>
      </w:r>
    </w:p>
    <w:p w14:paraId="17BF94A1" w14:textId="77777777" w:rsidR="009A4BFE" w:rsidRDefault="0051186A">
      <w:pPr>
        <w:pStyle w:val="Sraopastraipa"/>
        <w:numPr>
          <w:ilvl w:val="0"/>
          <w:numId w:val="23"/>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Jums padidėjusi kraujavimo rizika dėl:</w:t>
      </w:r>
    </w:p>
    <w:p w14:paraId="2BB5A1B5"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patirtos didelės traumos;</w:t>
      </w:r>
    </w:p>
    <w:p w14:paraId="72095F96"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atliktos operacijos (įskaitant dantų – apie tai klauskite odontologo);</w:t>
      </w:r>
    </w:p>
    <w:p w14:paraId="6CA4FE97"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ligos, dėl kurios sutrinka kraujo krešėjimas;</w:t>
      </w:r>
    </w:p>
    <w:p w14:paraId="10C7E5DD"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neseniai buvusio kraujavimo iš skrandžio arba žarnyno (kaip antai dėl skrandžio opos arba storosios žarnos polipų).</w:t>
      </w:r>
    </w:p>
    <w:p w14:paraId="5FC9FE43"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Ruošiatės operacijai (įskaitant dantų) </w:t>
      </w:r>
      <w:proofErr w:type="spellStart"/>
      <w:r>
        <w:rPr>
          <w:szCs w:val="22"/>
          <w:lang w:val="lt-LT"/>
        </w:rPr>
        <w:t>Atixarso</w:t>
      </w:r>
      <w:proofErr w:type="spellEnd"/>
      <w:r>
        <w:rPr>
          <w:rFonts w:eastAsia="TimesNewRoman"/>
          <w:snapToGrid/>
          <w:szCs w:val="22"/>
          <w:lang w:val="lt-LT"/>
        </w:rPr>
        <w:t xml:space="preserve"> vartojimo laikotarpiu. Tai svarbu dėl kraujavimo rizikos padidėjimo. Jūsų gydytojas gali Jums nurodyti nutraukti šio vaisto vartojimą likus 5 paroms iki operacijos.</w:t>
      </w:r>
    </w:p>
    <w:p w14:paraId="632C4C45"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Jūsų širdies susitraukimų dažnis yra per mažas (paprastai mažesnis kaip 60 kartų per minutę) ir neturite įdėto širdies ritmą reguliuojančio prietaiso (stimuliatoriaus).</w:t>
      </w:r>
    </w:p>
    <w:p w14:paraId="3576DD8A"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Sergate astma ar kita plaučių liga arba Jūsų kvėpavimas sutrikęs.</w:t>
      </w:r>
    </w:p>
    <w:p w14:paraId="2C1DD53F"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sidRPr="0022257B">
        <w:rPr>
          <w:lang w:val="lt-LT"/>
        </w:rPr>
        <w:t xml:space="preserve">Jūsų kvėpavimas pasidarytų netaisyklingas, pvz., pagreitėtų, sulėtėtų arba atsirastų trumpų kvėpavimo pauzių. </w:t>
      </w:r>
      <w:proofErr w:type="spellStart"/>
      <w:r>
        <w:t>Tokiu</w:t>
      </w:r>
      <w:proofErr w:type="spellEnd"/>
      <w:r>
        <w:t xml:space="preserve"> </w:t>
      </w:r>
      <w:proofErr w:type="spellStart"/>
      <w:r>
        <w:t>atveju</w:t>
      </w:r>
      <w:proofErr w:type="spellEnd"/>
      <w:r>
        <w:t xml:space="preserve"> </w:t>
      </w:r>
      <w:proofErr w:type="spellStart"/>
      <w:r>
        <w:t>gydytojas</w:t>
      </w:r>
      <w:proofErr w:type="spellEnd"/>
      <w:r>
        <w:t xml:space="preserve"> </w:t>
      </w:r>
      <w:proofErr w:type="spellStart"/>
      <w:r>
        <w:t>nuspręs</w:t>
      </w:r>
      <w:proofErr w:type="spellEnd"/>
      <w:r>
        <w:t xml:space="preserve">, </w:t>
      </w:r>
      <w:proofErr w:type="spellStart"/>
      <w:r>
        <w:t>ar</w:t>
      </w:r>
      <w:proofErr w:type="spellEnd"/>
      <w:r>
        <w:t xml:space="preserve"> Jums </w:t>
      </w:r>
      <w:proofErr w:type="spellStart"/>
      <w:r>
        <w:t>reikia</w:t>
      </w:r>
      <w:proofErr w:type="spellEnd"/>
      <w:r>
        <w:t xml:space="preserve"> </w:t>
      </w:r>
      <w:proofErr w:type="spellStart"/>
      <w:r>
        <w:t>išsamesnių</w:t>
      </w:r>
      <w:proofErr w:type="spellEnd"/>
      <w:r>
        <w:t xml:space="preserve"> </w:t>
      </w:r>
      <w:proofErr w:type="spellStart"/>
      <w:r>
        <w:t>tyrimų</w:t>
      </w:r>
      <w:proofErr w:type="spellEnd"/>
      <w:r>
        <w:t>.</w:t>
      </w:r>
    </w:p>
    <w:p w14:paraId="0F8A8AC3"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Turite kokių nors kepenų sutrikimų arba anksčiau sirgote kokia nors galėjusia jas pažeisti liga.</w:t>
      </w:r>
    </w:p>
    <w:p w14:paraId="50FA0925" w14:textId="77777777" w:rsidR="009A4BFE" w:rsidRDefault="0051186A">
      <w:pPr>
        <w:numPr>
          <w:ilvl w:val="0"/>
          <w:numId w:val="2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Jūsų kraujo tyrimas parodė padidėjusį šlapimo rūgšties kiekį.</w:t>
      </w:r>
    </w:p>
    <w:p w14:paraId="233DB406" w14:textId="77777777" w:rsidR="009A4BFE" w:rsidRDefault="0051186A">
      <w:pPr>
        <w:numPr>
          <w:ilvl w:val="12"/>
          <w:numId w:val="8"/>
        </w:numPr>
        <w:tabs>
          <w:tab w:val="clear" w:pos="360"/>
          <w:tab w:val="clear" w:pos="567"/>
          <w:tab w:val="num" w:pos="0"/>
        </w:tabs>
        <w:spacing w:line="240" w:lineRule="auto"/>
        <w:ind w:right="-2"/>
        <w:rPr>
          <w:szCs w:val="22"/>
          <w:lang w:val="lt-LT"/>
        </w:rPr>
      </w:pPr>
      <w:r>
        <w:rPr>
          <w:rFonts w:eastAsia="TimesNewRoman"/>
          <w:snapToGrid/>
          <w:szCs w:val="22"/>
          <w:lang w:val="lt-LT"/>
        </w:rPr>
        <w:t>Jeigu kuri nors iš anksčiau išvardytų būklių (arba dėl to abejojate) Jums tinka, tai pasitarkite su Jūsų gydytoju arba vaistininku, prieš pradėdami vartoti šį vaistą.</w:t>
      </w:r>
    </w:p>
    <w:p w14:paraId="11300D05" w14:textId="77777777" w:rsidR="009A4BFE" w:rsidRDefault="009A4BFE">
      <w:pPr>
        <w:numPr>
          <w:ilvl w:val="12"/>
          <w:numId w:val="0"/>
        </w:numPr>
        <w:tabs>
          <w:tab w:val="clear" w:pos="567"/>
        </w:tabs>
        <w:spacing w:line="240" w:lineRule="auto"/>
        <w:ind w:right="-2"/>
        <w:rPr>
          <w:szCs w:val="22"/>
          <w:lang w:val="lt-LT"/>
        </w:rPr>
      </w:pPr>
    </w:p>
    <w:p w14:paraId="7B702D30"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Jūs kartu vartojate </w:t>
      </w:r>
      <w:proofErr w:type="spellStart"/>
      <w:r>
        <w:rPr>
          <w:szCs w:val="22"/>
          <w:lang w:val="lt-LT"/>
        </w:rPr>
        <w:t>Atixarso</w:t>
      </w:r>
      <w:proofErr w:type="spellEnd"/>
      <w:r>
        <w:rPr>
          <w:rFonts w:eastAsia="TimesNewRoman"/>
          <w:snapToGrid/>
          <w:szCs w:val="22"/>
          <w:lang w:val="lt-LT"/>
        </w:rPr>
        <w:t xml:space="preserve"> ir hepariną:</w:t>
      </w:r>
    </w:p>
    <w:p w14:paraId="1982895E" w14:textId="77777777" w:rsidR="009A4BFE" w:rsidRDefault="0051186A">
      <w:pPr>
        <w:pStyle w:val="Sraopastraipa"/>
        <w:numPr>
          <w:ilvl w:val="0"/>
          <w:numId w:val="4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Jeigu Jūsų gydytojas įtaria heparino sukeltą retą kraujo plokštelių funkcijos sutrikimą, jis gali nurodyti paimti diagnostinį kraujo mėginį. </w:t>
      </w:r>
      <w:proofErr w:type="spellStart"/>
      <w:r>
        <w:rPr>
          <w:szCs w:val="22"/>
          <w:lang w:val="lt-LT"/>
        </w:rPr>
        <w:t>Atixarso</w:t>
      </w:r>
      <w:proofErr w:type="spellEnd"/>
      <w:r>
        <w:rPr>
          <w:rFonts w:eastAsia="TimesNewRoman"/>
          <w:snapToGrid/>
          <w:szCs w:val="22"/>
          <w:lang w:val="lt-LT"/>
        </w:rPr>
        <w:t xml:space="preserve"> gali iškreipti šio diagnostinio mėginio duomenis, todėl svarbu pasakyti gydytojui, jog kartu vartojate </w:t>
      </w:r>
      <w:proofErr w:type="spellStart"/>
      <w:r>
        <w:rPr>
          <w:szCs w:val="22"/>
          <w:lang w:val="lt-LT"/>
        </w:rPr>
        <w:t>Atixarso</w:t>
      </w:r>
      <w:proofErr w:type="spellEnd"/>
      <w:r>
        <w:rPr>
          <w:rFonts w:eastAsia="TimesNewRoman"/>
          <w:snapToGrid/>
          <w:szCs w:val="22"/>
          <w:lang w:val="lt-LT"/>
        </w:rPr>
        <w:t xml:space="preserve"> ir hepariną.</w:t>
      </w:r>
    </w:p>
    <w:p w14:paraId="3FDCA999" w14:textId="77777777" w:rsidR="009A4BFE" w:rsidRDefault="009A4BFE">
      <w:pPr>
        <w:numPr>
          <w:ilvl w:val="12"/>
          <w:numId w:val="0"/>
        </w:numPr>
        <w:tabs>
          <w:tab w:val="clear" w:pos="567"/>
        </w:tabs>
        <w:spacing w:line="240" w:lineRule="auto"/>
        <w:ind w:right="-2"/>
        <w:rPr>
          <w:szCs w:val="24"/>
          <w:lang w:val="lt-LT"/>
        </w:rPr>
      </w:pPr>
    </w:p>
    <w:p w14:paraId="0F63333E" w14:textId="77777777" w:rsidR="009A4BFE" w:rsidRDefault="0051186A">
      <w:pPr>
        <w:pStyle w:val="Antrat4"/>
        <w:rPr>
          <w:rFonts w:ascii="Times New Roman" w:hAnsi="Times New Roman"/>
          <w:sz w:val="22"/>
          <w:lang w:val="lt-LT"/>
        </w:rPr>
      </w:pPr>
      <w:r>
        <w:rPr>
          <w:rFonts w:ascii="Times New Roman" w:hAnsi="Times New Roman"/>
          <w:sz w:val="22"/>
          <w:lang w:val="lt-LT"/>
        </w:rPr>
        <w:t>Vaikams ir paaugliams</w:t>
      </w:r>
    </w:p>
    <w:p w14:paraId="6BB19123" w14:textId="77777777" w:rsidR="009A4BFE" w:rsidRDefault="0051186A">
      <w:pPr>
        <w:numPr>
          <w:ilvl w:val="12"/>
          <w:numId w:val="0"/>
        </w:numPr>
        <w:tabs>
          <w:tab w:val="clear" w:pos="567"/>
        </w:tabs>
        <w:spacing w:line="240" w:lineRule="auto"/>
        <w:rPr>
          <w:rFonts w:ascii="TimesNewRoman" w:eastAsia="TimesNewRoman" w:hAnsi="Calibri" w:cs="TimesNewRoman"/>
          <w:snapToGrid/>
          <w:szCs w:val="22"/>
          <w:lang w:val="lt-LT"/>
        </w:rPr>
      </w:pPr>
      <w:proofErr w:type="spellStart"/>
      <w:r>
        <w:rPr>
          <w:szCs w:val="22"/>
          <w:lang w:val="lt-LT"/>
        </w:rPr>
        <w:t>Atixarso</w:t>
      </w:r>
      <w:proofErr w:type="spellEnd"/>
      <w:r>
        <w:rPr>
          <w:rFonts w:eastAsia="TimesNewRoman"/>
          <w:snapToGrid/>
          <w:szCs w:val="22"/>
          <w:lang w:val="lt-LT"/>
        </w:rPr>
        <w:t xml:space="preserve"> nerekomenduojamas vartoti vaikams ir jaunesniems kaip 18 metų paaugliams.</w:t>
      </w:r>
    </w:p>
    <w:p w14:paraId="1619CDB9" w14:textId="77777777" w:rsidR="009A4BFE" w:rsidRDefault="009A4BFE">
      <w:pPr>
        <w:numPr>
          <w:ilvl w:val="12"/>
          <w:numId w:val="0"/>
        </w:numPr>
        <w:tabs>
          <w:tab w:val="clear" w:pos="567"/>
        </w:tabs>
        <w:spacing w:line="240" w:lineRule="auto"/>
        <w:rPr>
          <w:bCs/>
          <w:szCs w:val="24"/>
          <w:lang w:val="lt-LT"/>
        </w:rPr>
      </w:pPr>
    </w:p>
    <w:p w14:paraId="76F5FC29" w14:textId="77777777" w:rsidR="009A4BFE" w:rsidRDefault="0051186A">
      <w:pPr>
        <w:pStyle w:val="Antrat4"/>
        <w:rPr>
          <w:rFonts w:ascii="Times New Roman" w:hAnsi="Times New Roman"/>
          <w:sz w:val="22"/>
          <w:szCs w:val="22"/>
          <w:lang w:val="lt-LT"/>
        </w:rPr>
      </w:pPr>
      <w:r>
        <w:rPr>
          <w:rFonts w:ascii="Times New Roman" w:hAnsi="Times New Roman"/>
          <w:sz w:val="22"/>
          <w:szCs w:val="22"/>
          <w:lang w:val="lt-LT"/>
        </w:rPr>
        <w:t xml:space="preserve">Kiti vaistai ir </w:t>
      </w:r>
      <w:proofErr w:type="spellStart"/>
      <w:r>
        <w:rPr>
          <w:rFonts w:ascii="Times New Roman" w:hAnsi="Times New Roman"/>
          <w:sz w:val="22"/>
          <w:szCs w:val="22"/>
          <w:lang w:val="lt-LT"/>
        </w:rPr>
        <w:t>Atixarso</w:t>
      </w:r>
      <w:proofErr w:type="spellEnd"/>
    </w:p>
    <w:p w14:paraId="55D7957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vartojate arba neseniai vartojote kitų vaistų arba jeigu dėl to nesate tikri, pasakykite Jūsų gydytojui arba vaistininkui. Tai svarbu dėl to, kad </w:t>
      </w:r>
      <w:proofErr w:type="spellStart"/>
      <w:r>
        <w:rPr>
          <w:szCs w:val="22"/>
          <w:lang w:val="lt-LT"/>
        </w:rPr>
        <w:t>Atixarso</w:t>
      </w:r>
      <w:proofErr w:type="spellEnd"/>
      <w:r>
        <w:rPr>
          <w:rFonts w:eastAsia="TimesNewRoman"/>
          <w:snapToGrid/>
          <w:szCs w:val="22"/>
          <w:lang w:val="lt-LT"/>
        </w:rPr>
        <w:t xml:space="preserve"> gali keisti kai kurių vaistų veikimą, o kai kurie vaistai – </w:t>
      </w:r>
      <w:proofErr w:type="spellStart"/>
      <w:r>
        <w:rPr>
          <w:szCs w:val="22"/>
          <w:lang w:val="lt-LT"/>
        </w:rPr>
        <w:t>Atixarso</w:t>
      </w:r>
      <w:proofErr w:type="spellEnd"/>
      <w:r>
        <w:rPr>
          <w:rFonts w:eastAsia="TimesNewRoman"/>
          <w:snapToGrid/>
          <w:szCs w:val="22"/>
          <w:lang w:val="lt-LT"/>
        </w:rPr>
        <w:t xml:space="preserve"> veikimą.</w:t>
      </w:r>
    </w:p>
    <w:p w14:paraId="4A8D2DA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51C2C97"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Pasakykite Jūsų gydytojui arba vaistininkui, jeigu vartojate kurį nors iš šių vaistų:</w:t>
      </w:r>
    </w:p>
    <w:p w14:paraId="44E7720D" w14:textId="77777777" w:rsidR="009A4BFE" w:rsidRDefault="0051186A">
      <w:pPr>
        <w:pStyle w:val="Sraopastraipa"/>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rozuvastatino</w:t>
      </w:r>
      <w:proofErr w:type="spellEnd"/>
      <w:r>
        <w:rPr>
          <w:rFonts w:eastAsia="TimesNewRoman"/>
          <w:snapToGrid/>
          <w:szCs w:val="22"/>
          <w:lang w:val="lt-LT"/>
        </w:rPr>
        <w:t xml:space="preserve"> (vaisto padidėjusiam cholesterolio kiekiui mažinti) ar daugiau kaip 40 mg per parą </w:t>
      </w:r>
      <w:proofErr w:type="spellStart"/>
      <w:r>
        <w:rPr>
          <w:rFonts w:eastAsia="TimesNewRoman"/>
          <w:snapToGrid/>
          <w:szCs w:val="22"/>
          <w:lang w:val="lt-LT"/>
        </w:rPr>
        <w:t>simvastatino</w:t>
      </w:r>
      <w:proofErr w:type="spellEnd"/>
      <w:r>
        <w:rPr>
          <w:rFonts w:eastAsia="TimesNewRoman"/>
          <w:snapToGrid/>
          <w:szCs w:val="22"/>
          <w:lang w:val="lt-LT"/>
        </w:rPr>
        <w:t xml:space="preserve"> ar </w:t>
      </w:r>
      <w:proofErr w:type="spellStart"/>
      <w:r>
        <w:rPr>
          <w:rFonts w:eastAsia="TimesNewRoman"/>
          <w:snapToGrid/>
          <w:szCs w:val="22"/>
          <w:lang w:val="lt-LT"/>
        </w:rPr>
        <w:t>lovastatino</w:t>
      </w:r>
      <w:proofErr w:type="spellEnd"/>
      <w:r>
        <w:rPr>
          <w:rFonts w:eastAsia="TimesNewRoman"/>
          <w:snapToGrid/>
          <w:szCs w:val="22"/>
          <w:lang w:val="lt-LT"/>
        </w:rPr>
        <w:t xml:space="preserve"> (vaistų nuo padidėjusio cholesterolio kiekio);</w:t>
      </w:r>
    </w:p>
    <w:p w14:paraId="7E0F245A" w14:textId="77777777" w:rsidR="009A4BFE" w:rsidRDefault="0051186A">
      <w:pPr>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rifampicino</w:t>
      </w:r>
      <w:proofErr w:type="spellEnd"/>
      <w:r>
        <w:rPr>
          <w:rFonts w:eastAsia="TimesNewRoman"/>
          <w:snapToGrid/>
          <w:szCs w:val="22"/>
          <w:lang w:val="lt-LT"/>
        </w:rPr>
        <w:t xml:space="preserve"> (antibiotiko);</w:t>
      </w:r>
    </w:p>
    <w:p w14:paraId="25F2836A" w14:textId="77777777" w:rsidR="009A4BFE" w:rsidRDefault="0051186A">
      <w:pPr>
        <w:numPr>
          <w:ilvl w:val="0"/>
          <w:numId w:val="26"/>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fenitoino</w:t>
      </w:r>
      <w:proofErr w:type="spellEnd"/>
      <w:r>
        <w:rPr>
          <w:rFonts w:eastAsia="TimesNewRoman"/>
          <w:snapToGrid/>
          <w:szCs w:val="22"/>
          <w:lang w:val="lt-LT"/>
        </w:rPr>
        <w:t xml:space="preserve">, </w:t>
      </w:r>
      <w:proofErr w:type="spellStart"/>
      <w:r>
        <w:rPr>
          <w:rFonts w:eastAsia="TimesNewRoman"/>
          <w:snapToGrid/>
          <w:szCs w:val="22"/>
          <w:lang w:val="lt-LT"/>
        </w:rPr>
        <w:t>karbamazepino</w:t>
      </w:r>
      <w:proofErr w:type="spellEnd"/>
      <w:r>
        <w:rPr>
          <w:rFonts w:eastAsia="TimesNewRoman"/>
          <w:snapToGrid/>
          <w:szCs w:val="22"/>
          <w:lang w:val="lt-LT"/>
        </w:rPr>
        <w:t xml:space="preserve"> ar </w:t>
      </w:r>
      <w:proofErr w:type="spellStart"/>
      <w:r>
        <w:rPr>
          <w:rFonts w:eastAsia="TimesNewRoman"/>
          <w:snapToGrid/>
          <w:szCs w:val="22"/>
          <w:lang w:val="lt-LT"/>
        </w:rPr>
        <w:t>fenobarbitalio</w:t>
      </w:r>
      <w:proofErr w:type="spellEnd"/>
      <w:r>
        <w:rPr>
          <w:rFonts w:eastAsia="TimesNewRoman"/>
          <w:snapToGrid/>
          <w:szCs w:val="22"/>
          <w:lang w:val="lt-LT"/>
        </w:rPr>
        <w:t xml:space="preserve"> (vartojamų norint išvengti traukulių);</w:t>
      </w:r>
    </w:p>
    <w:p w14:paraId="63A83094"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digoksino</w:t>
      </w:r>
      <w:proofErr w:type="spellEnd"/>
      <w:r>
        <w:rPr>
          <w:rFonts w:eastAsia="TimesNewRoman"/>
          <w:snapToGrid/>
          <w:szCs w:val="22"/>
          <w:lang w:val="lt-LT"/>
        </w:rPr>
        <w:t xml:space="preserve"> (vartojamo širdies nepakankamumui gydyti);</w:t>
      </w:r>
    </w:p>
    <w:p w14:paraId="465C8B03"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t>ciklosporino</w:t>
      </w:r>
      <w:proofErr w:type="spellEnd"/>
      <w:r>
        <w:rPr>
          <w:rFonts w:eastAsia="TimesNewRoman"/>
          <w:snapToGrid/>
          <w:szCs w:val="22"/>
          <w:lang w:val="lt-LT"/>
        </w:rPr>
        <w:t xml:space="preserve"> (vartojamo Jūsų organizmo savigynai mažinti);</w:t>
      </w:r>
    </w:p>
    <w:p w14:paraId="674DC57C"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proofErr w:type="spellStart"/>
      <w:r>
        <w:rPr>
          <w:rFonts w:eastAsia="TimesNewRoman"/>
          <w:snapToGrid/>
          <w:szCs w:val="22"/>
          <w:lang w:val="lt-LT"/>
        </w:rPr>
        <w:lastRenderedPageBreak/>
        <w:t>chinidino</w:t>
      </w:r>
      <w:proofErr w:type="spellEnd"/>
      <w:r>
        <w:rPr>
          <w:rFonts w:eastAsia="TimesNewRoman"/>
          <w:snapToGrid/>
          <w:szCs w:val="22"/>
          <w:lang w:val="lt-LT"/>
        </w:rPr>
        <w:t xml:space="preserve"> ar </w:t>
      </w:r>
      <w:proofErr w:type="spellStart"/>
      <w:r>
        <w:rPr>
          <w:rFonts w:eastAsia="TimesNewRoman"/>
          <w:snapToGrid/>
          <w:szCs w:val="22"/>
          <w:lang w:val="lt-LT"/>
        </w:rPr>
        <w:t>diltiazemo</w:t>
      </w:r>
      <w:proofErr w:type="spellEnd"/>
      <w:r>
        <w:rPr>
          <w:rFonts w:eastAsia="TimesNewRoman"/>
          <w:snapToGrid/>
          <w:szCs w:val="22"/>
          <w:lang w:val="lt-LT"/>
        </w:rPr>
        <w:t xml:space="preserve"> (vartojamų širdies ritmo sutrikimams gydyti);</w:t>
      </w:r>
    </w:p>
    <w:p w14:paraId="2D9E0642"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beta blokatorių ar </w:t>
      </w:r>
      <w:proofErr w:type="spellStart"/>
      <w:r>
        <w:rPr>
          <w:rFonts w:eastAsia="TimesNewRoman"/>
          <w:snapToGrid/>
          <w:szCs w:val="22"/>
          <w:lang w:val="lt-LT"/>
        </w:rPr>
        <w:t>verapamilio</w:t>
      </w:r>
      <w:proofErr w:type="spellEnd"/>
      <w:r>
        <w:rPr>
          <w:rFonts w:eastAsia="TimesNewRoman"/>
          <w:snapToGrid/>
          <w:szCs w:val="22"/>
          <w:lang w:val="lt-LT"/>
        </w:rPr>
        <w:t xml:space="preserve"> (vartojamų nuo padidėjusio kraujospūdžio);</w:t>
      </w:r>
    </w:p>
    <w:p w14:paraId="2262CE25" w14:textId="77777777" w:rsidR="009A4BFE" w:rsidRDefault="0051186A">
      <w:pPr>
        <w:numPr>
          <w:ilvl w:val="0"/>
          <w:numId w:val="2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morfino ar kitų </w:t>
      </w:r>
      <w:proofErr w:type="spellStart"/>
      <w:r>
        <w:rPr>
          <w:rFonts w:eastAsia="TimesNewRoman"/>
          <w:snapToGrid/>
          <w:szCs w:val="22"/>
          <w:lang w:val="lt-LT"/>
        </w:rPr>
        <w:t>opioidų</w:t>
      </w:r>
      <w:proofErr w:type="spellEnd"/>
      <w:r>
        <w:rPr>
          <w:rFonts w:eastAsia="TimesNewRoman"/>
          <w:snapToGrid/>
          <w:szCs w:val="22"/>
          <w:lang w:val="lt-LT"/>
        </w:rPr>
        <w:t xml:space="preserve"> (vartojamų stipriam skausmui malšinti).</w:t>
      </w:r>
    </w:p>
    <w:p w14:paraId="438B35D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4E9C3445"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Pasakyti Jūsų gydytojui arba vaistininkui ypač svarbu, jeigu vartojate kurį nors iš šių vaistų, galinčių didinti kraujavimo pavojų:</w:t>
      </w:r>
    </w:p>
    <w:p w14:paraId="598E0E63" w14:textId="77777777" w:rsidR="009A4BFE" w:rsidRDefault="0051186A">
      <w:pPr>
        <w:numPr>
          <w:ilvl w:val="0"/>
          <w:numId w:val="3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geriamųjų antikoaguliantų, dažnai vadinamų „kraują skystinančiais vaistais“ (varfarino);</w:t>
      </w:r>
    </w:p>
    <w:p w14:paraId="39CAC535" w14:textId="77777777" w:rsidR="009A4BFE" w:rsidRDefault="0051186A">
      <w:pPr>
        <w:numPr>
          <w:ilvl w:val="0"/>
          <w:numId w:val="3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nesteroidinių vaistų nuo uždegimo (santrumpa – NVNU), dažnai vartojamų skausmui malšinti (kaip antai </w:t>
      </w:r>
      <w:proofErr w:type="spellStart"/>
      <w:r>
        <w:rPr>
          <w:rFonts w:eastAsia="TimesNewRoman"/>
          <w:snapToGrid/>
          <w:szCs w:val="22"/>
          <w:lang w:val="lt-LT"/>
        </w:rPr>
        <w:t>ibuprofeno</w:t>
      </w:r>
      <w:proofErr w:type="spellEnd"/>
      <w:r>
        <w:rPr>
          <w:rFonts w:eastAsia="TimesNewRoman"/>
          <w:snapToGrid/>
          <w:szCs w:val="22"/>
          <w:lang w:val="lt-LT"/>
        </w:rPr>
        <w:t xml:space="preserve"> ar </w:t>
      </w:r>
      <w:proofErr w:type="spellStart"/>
      <w:r>
        <w:rPr>
          <w:rFonts w:eastAsia="TimesNewRoman"/>
          <w:snapToGrid/>
          <w:szCs w:val="22"/>
          <w:lang w:val="lt-LT"/>
        </w:rPr>
        <w:t>naprokseno</w:t>
      </w:r>
      <w:proofErr w:type="spellEnd"/>
      <w:r>
        <w:rPr>
          <w:rFonts w:eastAsia="TimesNewRoman"/>
          <w:snapToGrid/>
          <w:szCs w:val="22"/>
          <w:lang w:val="lt-LT"/>
        </w:rPr>
        <w:t>);</w:t>
      </w:r>
    </w:p>
    <w:p w14:paraId="32FC428B" w14:textId="77777777" w:rsidR="009A4BFE" w:rsidRDefault="0051186A">
      <w:pPr>
        <w:numPr>
          <w:ilvl w:val="0"/>
          <w:numId w:val="3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selektyvių </w:t>
      </w:r>
      <w:proofErr w:type="spellStart"/>
      <w:r>
        <w:rPr>
          <w:rFonts w:eastAsia="TimesNewRoman"/>
          <w:snapToGrid/>
          <w:szCs w:val="22"/>
          <w:lang w:val="lt-LT"/>
        </w:rPr>
        <w:t>serotonino</w:t>
      </w:r>
      <w:proofErr w:type="spellEnd"/>
      <w:r>
        <w:rPr>
          <w:rFonts w:eastAsia="TimesNewRoman"/>
          <w:snapToGrid/>
          <w:szCs w:val="22"/>
          <w:lang w:val="lt-LT"/>
        </w:rPr>
        <w:t xml:space="preserve"> reabsorbcijos inhibitorių (santrumpa – SSRI), kaip antai </w:t>
      </w:r>
      <w:proofErr w:type="spellStart"/>
      <w:r>
        <w:rPr>
          <w:rFonts w:eastAsia="TimesNewRoman"/>
          <w:snapToGrid/>
          <w:szCs w:val="22"/>
          <w:lang w:val="lt-LT"/>
        </w:rPr>
        <w:t>paroksetino</w:t>
      </w:r>
      <w:proofErr w:type="spellEnd"/>
      <w:r>
        <w:rPr>
          <w:rFonts w:eastAsia="TimesNewRoman"/>
          <w:snapToGrid/>
          <w:szCs w:val="22"/>
          <w:lang w:val="lt-LT"/>
        </w:rPr>
        <w:t xml:space="preserve">, </w:t>
      </w:r>
      <w:proofErr w:type="spellStart"/>
      <w:r>
        <w:rPr>
          <w:rFonts w:eastAsia="TimesNewRoman"/>
          <w:snapToGrid/>
          <w:szCs w:val="22"/>
          <w:lang w:val="lt-LT"/>
        </w:rPr>
        <w:t>sertralino</w:t>
      </w:r>
      <w:proofErr w:type="spellEnd"/>
      <w:r>
        <w:rPr>
          <w:rFonts w:eastAsia="TimesNewRoman"/>
          <w:snapToGrid/>
          <w:szCs w:val="22"/>
          <w:lang w:val="lt-LT"/>
        </w:rPr>
        <w:t xml:space="preserve"> arba </w:t>
      </w:r>
      <w:proofErr w:type="spellStart"/>
      <w:r>
        <w:rPr>
          <w:rFonts w:eastAsia="TimesNewRoman"/>
          <w:snapToGrid/>
          <w:szCs w:val="22"/>
          <w:lang w:val="lt-LT"/>
        </w:rPr>
        <w:t>citalopramo</w:t>
      </w:r>
      <w:proofErr w:type="spellEnd"/>
      <w:r>
        <w:rPr>
          <w:rFonts w:eastAsia="TimesNewRoman"/>
          <w:snapToGrid/>
          <w:szCs w:val="22"/>
          <w:lang w:val="lt-LT"/>
        </w:rPr>
        <w:t xml:space="preserve"> (jų skiriama nuo depresijos);</w:t>
      </w:r>
    </w:p>
    <w:p w14:paraId="1291A27E" w14:textId="77777777" w:rsidR="009A4BFE" w:rsidRDefault="0051186A">
      <w:pPr>
        <w:numPr>
          <w:ilvl w:val="0"/>
          <w:numId w:val="31"/>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kitų vaistų, ypač </w:t>
      </w:r>
      <w:proofErr w:type="spellStart"/>
      <w:r>
        <w:rPr>
          <w:rFonts w:eastAsia="TimesNewRoman"/>
          <w:snapToGrid/>
          <w:szCs w:val="22"/>
          <w:lang w:val="lt-LT"/>
        </w:rPr>
        <w:t>ketokonazolo</w:t>
      </w:r>
      <w:proofErr w:type="spellEnd"/>
      <w:r>
        <w:rPr>
          <w:rFonts w:eastAsia="TimesNewRoman"/>
          <w:snapToGrid/>
          <w:szCs w:val="22"/>
          <w:lang w:val="lt-LT"/>
        </w:rPr>
        <w:t xml:space="preserve"> (grybelių infekcijai gydyti), </w:t>
      </w:r>
      <w:proofErr w:type="spellStart"/>
      <w:r>
        <w:rPr>
          <w:rFonts w:eastAsia="TimesNewRoman"/>
          <w:snapToGrid/>
          <w:szCs w:val="22"/>
          <w:lang w:val="lt-LT"/>
        </w:rPr>
        <w:t>klaritromicino</w:t>
      </w:r>
      <w:proofErr w:type="spellEnd"/>
      <w:r>
        <w:rPr>
          <w:rFonts w:eastAsia="TimesNewRoman"/>
          <w:snapToGrid/>
          <w:szCs w:val="22"/>
          <w:lang w:val="lt-LT"/>
        </w:rPr>
        <w:t xml:space="preserve"> (bakterijų sukeltai infekcijai gydyti), </w:t>
      </w:r>
      <w:proofErr w:type="spellStart"/>
      <w:r>
        <w:rPr>
          <w:rFonts w:eastAsia="TimesNewRoman"/>
          <w:snapToGrid/>
          <w:szCs w:val="22"/>
          <w:lang w:val="lt-LT"/>
        </w:rPr>
        <w:t>nefazodono</w:t>
      </w:r>
      <w:proofErr w:type="spellEnd"/>
      <w:r>
        <w:rPr>
          <w:rFonts w:eastAsia="TimesNewRoman"/>
          <w:snapToGrid/>
          <w:szCs w:val="22"/>
          <w:lang w:val="lt-LT"/>
        </w:rPr>
        <w:t xml:space="preserve"> (nuo depresijos), ritonaviro arba </w:t>
      </w:r>
      <w:proofErr w:type="spellStart"/>
      <w:r>
        <w:rPr>
          <w:rFonts w:eastAsia="TimesNewRoman"/>
          <w:snapToGrid/>
          <w:szCs w:val="22"/>
          <w:lang w:val="lt-LT"/>
        </w:rPr>
        <w:t>atazanaviro</w:t>
      </w:r>
      <w:proofErr w:type="spellEnd"/>
      <w:r>
        <w:rPr>
          <w:rFonts w:eastAsia="TimesNewRoman"/>
          <w:snapToGrid/>
          <w:szCs w:val="22"/>
          <w:lang w:val="lt-LT"/>
        </w:rPr>
        <w:t xml:space="preserve"> ( ŽIV infekcijai ir AIDS gydyti), </w:t>
      </w:r>
      <w:proofErr w:type="spellStart"/>
      <w:r>
        <w:rPr>
          <w:rFonts w:eastAsia="TimesNewRoman"/>
          <w:snapToGrid/>
          <w:szCs w:val="22"/>
          <w:lang w:val="lt-LT"/>
        </w:rPr>
        <w:t>cisaprido</w:t>
      </w:r>
      <w:proofErr w:type="spellEnd"/>
      <w:r>
        <w:rPr>
          <w:rFonts w:eastAsia="TimesNewRoman"/>
          <w:snapToGrid/>
          <w:szCs w:val="22"/>
          <w:lang w:val="lt-LT"/>
        </w:rPr>
        <w:t xml:space="preserve"> (nuo rėmens), skalsių alkaloidų (nuo migrenos ir galvos skausmo).</w:t>
      </w:r>
    </w:p>
    <w:p w14:paraId="78138700"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202EF2EE"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Taip pat pasakykite Jūsų gydytojui, kad vartojate </w:t>
      </w:r>
      <w:proofErr w:type="spellStart"/>
      <w:r>
        <w:rPr>
          <w:szCs w:val="22"/>
          <w:lang w:val="lt-LT"/>
        </w:rPr>
        <w:t>Atixarso</w:t>
      </w:r>
      <w:proofErr w:type="spellEnd"/>
      <w:r>
        <w:rPr>
          <w:rFonts w:eastAsia="TimesNewRoman"/>
          <w:snapToGrid/>
          <w:szCs w:val="22"/>
          <w:lang w:val="lt-LT"/>
        </w:rPr>
        <w:t xml:space="preserve">, jeigu jis Jums skiria </w:t>
      </w:r>
      <w:proofErr w:type="spellStart"/>
      <w:r>
        <w:rPr>
          <w:rFonts w:eastAsia="TimesNewRoman"/>
          <w:snapToGrid/>
          <w:szCs w:val="22"/>
          <w:lang w:val="lt-LT"/>
        </w:rPr>
        <w:t>fibrinolizę</w:t>
      </w:r>
      <w:proofErr w:type="spellEnd"/>
      <w:r>
        <w:rPr>
          <w:rFonts w:eastAsia="TimesNewRoman"/>
          <w:snapToGrid/>
          <w:szCs w:val="22"/>
          <w:lang w:val="lt-LT"/>
        </w:rPr>
        <w:t xml:space="preserve"> skatinančių vaistų, dažnai vadinamų „tirpdančiais krešulius“ (kaip antai </w:t>
      </w:r>
      <w:proofErr w:type="spellStart"/>
      <w:r>
        <w:rPr>
          <w:rFonts w:eastAsia="TimesNewRoman"/>
          <w:snapToGrid/>
          <w:szCs w:val="22"/>
          <w:lang w:val="lt-LT"/>
        </w:rPr>
        <w:t>streptokinazės</w:t>
      </w:r>
      <w:proofErr w:type="spellEnd"/>
      <w:r>
        <w:rPr>
          <w:rFonts w:eastAsia="TimesNewRoman"/>
          <w:snapToGrid/>
          <w:szCs w:val="22"/>
          <w:lang w:val="lt-LT"/>
        </w:rPr>
        <w:t xml:space="preserve"> ar </w:t>
      </w:r>
      <w:proofErr w:type="spellStart"/>
      <w:r>
        <w:rPr>
          <w:rFonts w:eastAsia="TimesNewRoman"/>
          <w:snapToGrid/>
          <w:szCs w:val="22"/>
          <w:lang w:val="lt-LT"/>
        </w:rPr>
        <w:t>alteplazės</w:t>
      </w:r>
      <w:proofErr w:type="spellEnd"/>
      <w:r>
        <w:rPr>
          <w:rFonts w:eastAsia="TimesNewRoman"/>
          <w:snapToGrid/>
          <w:szCs w:val="22"/>
          <w:lang w:val="lt-LT"/>
        </w:rPr>
        <w:t>), kadangi gali padidėti kraujavimo pavojus.</w:t>
      </w:r>
    </w:p>
    <w:p w14:paraId="442A458A" w14:textId="77777777" w:rsidR="009A4BFE" w:rsidRDefault="009A4BFE">
      <w:pPr>
        <w:numPr>
          <w:ilvl w:val="12"/>
          <w:numId w:val="0"/>
        </w:numPr>
        <w:tabs>
          <w:tab w:val="clear" w:pos="567"/>
        </w:tabs>
        <w:spacing w:line="240" w:lineRule="auto"/>
        <w:rPr>
          <w:szCs w:val="24"/>
          <w:lang w:val="lt-LT"/>
        </w:rPr>
      </w:pPr>
    </w:p>
    <w:p w14:paraId="24BA9800" w14:textId="77777777" w:rsidR="009A4BFE" w:rsidRDefault="0051186A">
      <w:pPr>
        <w:pStyle w:val="Antrat4"/>
        <w:rPr>
          <w:rFonts w:ascii="Times New Roman" w:hAnsi="Times New Roman"/>
          <w:sz w:val="22"/>
          <w:lang w:val="lt-LT"/>
        </w:rPr>
      </w:pPr>
      <w:r>
        <w:rPr>
          <w:rFonts w:ascii="Times New Roman" w:hAnsi="Times New Roman"/>
          <w:sz w:val="22"/>
          <w:lang w:val="lt-LT"/>
        </w:rPr>
        <w:t>Nėštumas ir žindymo laikotarpis</w:t>
      </w:r>
    </w:p>
    <w:p w14:paraId="2565FBD0" w14:textId="77777777" w:rsidR="009A4BFE" w:rsidRDefault="0051186A">
      <w:pPr>
        <w:numPr>
          <w:ilvl w:val="12"/>
          <w:numId w:val="0"/>
        </w:numPr>
        <w:tabs>
          <w:tab w:val="clear" w:pos="567"/>
        </w:tabs>
        <w:spacing w:line="240" w:lineRule="auto"/>
        <w:rPr>
          <w:noProof/>
          <w:szCs w:val="24"/>
          <w:lang w:val="lt-LT"/>
        </w:rPr>
      </w:pPr>
      <w:r w:rsidRPr="0022257B">
        <w:rPr>
          <w:lang w:val="pt-PT"/>
        </w:rPr>
        <w:t xml:space="preserve">Jeigu esate nėščia arba galite pastoti, </w:t>
      </w:r>
      <w:proofErr w:type="spellStart"/>
      <w:r>
        <w:rPr>
          <w:szCs w:val="22"/>
          <w:lang w:val="lt-LT"/>
        </w:rPr>
        <w:t>Atixarso</w:t>
      </w:r>
      <w:proofErr w:type="spellEnd"/>
      <w:r w:rsidRPr="0022257B">
        <w:rPr>
          <w:lang w:val="pt-PT"/>
        </w:rPr>
        <w:t xml:space="preserve"> vartoti Jums nerekomenduojama. Kol vartoja šio vaisto, moterys turi taikyti atitinkamą kontracepciją, kad nepastotų.</w:t>
      </w:r>
    </w:p>
    <w:p w14:paraId="547A1CCC"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BAFADD3"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Jeigu žindote kūdikį, prieš pradėdama vartoti šį vaistą apie tai pasakykite Jūsų gydytojui, kuris informuos apie </w:t>
      </w:r>
      <w:proofErr w:type="spellStart"/>
      <w:r>
        <w:rPr>
          <w:szCs w:val="22"/>
          <w:lang w:val="lt-LT"/>
        </w:rPr>
        <w:t>Atixarso</w:t>
      </w:r>
      <w:proofErr w:type="spellEnd"/>
      <w:r>
        <w:rPr>
          <w:rFonts w:eastAsia="TimesNewRoman"/>
          <w:snapToGrid/>
          <w:szCs w:val="22"/>
          <w:lang w:val="lt-LT"/>
        </w:rPr>
        <w:t xml:space="preserve"> vartojimo naudą ir riziką žindymo laikotarpiu.</w:t>
      </w:r>
    </w:p>
    <w:p w14:paraId="4DAC712F" w14:textId="77777777" w:rsidR="009A4BFE" w:rsidRDefault="009A4BFE">
      <w:pPr>
        <w:numPr>
          <w:ilvl w:val="12"/>
          <w:numId w:val="0"/>
        </w:numPr>
        <w:tabs>
          <w:tab w:val="clear" w:pos="567"/>
        </w:tabs>
        <w:spacing w:line="240" w:lineRule="auto"/>
        <w:rPr>
          <w:szCs w:val="24"/>
          <w:lang w:val="lt-LT"/>
        </w:rPr>
      </w:pPr>
    </w:p>
    <w:p w14:paraId="6B7F09E3" w14:textId="77777777" w:rsidR="009A4BFE" w:rsidRPr="0022257B" w:rsidRDefault="0051186A">
      <w:pPr>
        <w:numPr>
          <w:ilvl w:val="12"/>
          <w:numId w:val="0"/>
        </w:numPr>
        <w:tabs>
          <w:tab w:val="clear" w:pos="567"/>
        </w:tabs>
        <w:spacing w:line="240" w:lineRule="auto"/>
        <w:rPr>
          <w:lang w:val="lt-LT"/>
        </w:rPr>
      </w:pPr>
      <w:r w:rsidRPr="0022257B">
        <w:rPr>
          <w:lang w:val="lt-LT"/>
        </w:rPr>
        <w:t>Jeigu esate nėščia, žindote kūdikį, manote, kad galbūt esate nėščia arba planuojate pastoti, tai prieš vartodama šį vaistą pasitarkite su gydytoju arba vaistininku.</w:t>
      </w:r>
    </w:p>
    <w:p w14:paraId="03AB464D" w14:textId="77777777" w:rsidR="009A4BFE" w:rsidRDefault="009A4BFE">
      <w:pPr>
        <w:numPr>
          <w:ilvl w:val="12"/>
          <w:numId w:val="0"/>
        </w:numPr>
        <w:tabs>
          <w:tab w:val="clear" w:pos="567"/>
        </w:tabs>
        <w:spacing w:line="240" w:lineRule="auto"/>
        <w:rPr>
          <w:szCs w:val="24"/>
          <w:lang w:val="lt-LT"/>
        </w:rPr>
      </w:pPr>
    </w:p>
    <w:p w14:paraId="5CB49CC3" w14:textId="77777777" w:rsidR="009A4BFE" w:rsidRDefault="0051186A">
      <w:pPr>
        <w:pStyle w:val="Antrat4"/>
        <w:rPr>
          <w:rFonts w:ascii="Times New Roman" w:hAnsi="Times New Roman"/>
          <w:sz w:val="22"/>
          <w:lang w:val="lt-LT"/>
        </w:rPr>
      </w:pPr>
      <w:r>
        <w:rPr>
          <w:rFonts w:ascii="Times New Roman" w:hAnsi="Times New Roman"/>
          <w:sz w:val="22"/>
          <w:lang w:val="lt-LT"/>
        </w:rPr>
        <w:t>Vairavimas ir mechanizmų valdymas</w:t>
      </w:r>
    </w:p>
    <w:p w14:paraId="17EEC5C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szCs w:val="22"/>
          <w:lang w:val="lt-LT"/>
        </w:rPr>
        <w:t xml:space="preserve">Tikėtina, kad </w:t>
      </w:r>
      <w:proofErr w:type="spellStart"/>
      <w:r>
        <w:rPr>
          <w:szCs w:val="22"/>
          <w:lang w:val="lt-LT"/>
        </w:rPr>
        <w:t>Atixarso</w:t>
      </w:r>
      <w:proofErr w:type="spellEnd"/>
      <w:r>
        <w:rPr>
          <w:rFonts w:eastAsia="TimesNewRoman"/>
          <w:snapToGrid/>
          <w:szCs w:val="22"/>
          <w:lang w:val="lt-LT"/>
        </w:rPr>
        <w:t xml:space="preserve"> vartojimas neturi įtakoti gebėjimo vairuoti ir valdyti mechanizmus. Vis dėlto, jeigu vartojant šį vaistą jaučiate svaigulį ar sumišimą, vairuokite ir valdykite mechanizmus atsargiai.</w:t>
      </w:r>
    </w:p>
    <w:p w14:paraId="3E26FE99" w14:textId="77777777" w:rsidR="009A4BFE" w:rsidRDefault="009A4BFE">
      <w:pPr>
        <w:numPr>
          <w:ilvl w:val="12"/>
          <w:numId w:val="0"/>
        </w:numPr>
        <w:tabs>
          <w:tab w:val="clear" w:pos="567"/>
        </w:tabs>
        <w:spacing w:line="240" w:lineRule="auto"/>
        <w:ind w:right="-2"/>
        <w:rPr>
          <w:szCs w:val="24"/>
          <w:lang w:val="lt-LT"/>
        </w:rPr>
      </w:pPr>
    </w:p>
    <w:p w14:paraId="7902051A" w14:textId="77777777" w:rsidR="009A4BFE" w:rsidRDefault="0051186A">
      <w:pPr>
        <w:pStyle w:val="Antrat4"/>
        <w:rPr>
          <w:rFonts w:ascii="Times New Roman" w:hAnsi="Times New Roman"/>
          <w:b w:val="0"/>
          <w:bCs w:val="0"/>
          <w:sz w:val="22"/>
          <w:lang w:val="lt-LT"/>
        </w:rPr>
      </w:pPr>
      <w:proofErr w:type="spellStart"/>
      <w:r>
        <w:rPr>
          <w:rFonts w:ascii="Times New Roman" w:hAnsi="Times New Roman"/>
          <w:sz w:val="22"/>
          <w:szCs w:val="22"/>
          <w:lang w:val="lt-LT"/>
        </w:rPr>
        <w:t>Atixarso</w:t>
      </w:r>
      <w:proofErr w:type="spellEnd"/>
      <w:r>
        <w:rPr>
          <w:rFonts w:ascii="Times New Roman" w:hAnsi="Times New Roman"/>
          <w:sz w:val="22"/>
          <w:lang w:val="lt-LT"/>
        </w:rPr>
        <w:t xml:space="preserve"> sudėtyje yra natrio</w:t>
      </w:r>
    </w:p>
    <w:p w14:paraId="5D8AA843" w14:textId="77777777" w:rsidR="009A4BFE" w:rsidRDefault="0051186A">
      <w:pPr>
        <w:numPr>
          <w:ilvl w:val="12"/>
          <w:numId w:val="0"/>
        </w:numPr>
        <w:tabs>
          <w:tab w:val="clear" w:pos="567"/>
        </w:tabs>
        <w:spacing w:line="240" w:lineRule="auto"/>
        <w:rPr>
          <w:szCs w:val="24"/>
          <w:lang w:val="lt-LT"/>
        </w:rPr>
      </w:pPr>
      <w:r>
        <w:rPr>
          <w:rFonts w:eastAsia="TimesNewRoman"/>
          <w:snapToGrid/>
          <w:szCs w:val="22"/>
          <w:lang w:val="lt-LT"/>
        </w:rPr>
        <w:t>Šio vaisto vienoje tabletėje yra mažiau kaip 1</w:t>
      </w:r>
      <w:r>
        <w:rPr>
          <w:snapToGrid/>
          <w:szCs w:val="24"/>
          <w:lang w:val="lt-LT"/>
        </w:rPr>
        <w:t> </w:t>
      </w:r>
      <w:proofErr w:type="spellStart"/>
      <w:r>
        <w:rPr>
          <w:rFonts w:eastAsia="TimesNewRoman"/>
          <w:snapToGrid/>
          <w:szCs w:val="22"/>
          <w:lang w:val="lt-LT"/>
        </w:rPr>
        <w:t>mmol</w:t>
      </w:r>
      <w:proofErr w:type="spellEnd"/>
      <w:r>
        <w:rPr>
          <w:snapToGrid/>
          <w:szCs w:val="24"/>
          <w:lang w:val="lt-LT"/>
        </w:rPr>
        <w:t> </w:t>
      </w:r>
      <w:r>
        <w:rPr>
          <w:rFonts w:eastAsia="TimesNewRoman"/>
          <w:snapToGrid/>
          <w:szCs w:val="22"/>
          <w:lang w:val="lt-LT"/>
        </w:rPr>
        <w:t>(23</w:t>
      </w:r>
      <w:r>
        <w:rPr>
          <w:snapToGrid/>
          <w:szCs w:val="24"/>
          <w:lang w:val="lt-LT"/>
        </w:rPr>
        <w:t> </w:t>
      </w:r>
      <w:r>
        <w:rPr>
          <w:rFonts w:eastAsia="TimesNewRoman"/>
          <w:snapToGrid/>
          <w:szCs w:val="22"/>
          <w:lang w:val="lt-LT"/>
        </w:rPr>
        <w:t>mg) natrio, t.</w:t>
      </w:r>
      <w:r>
        <w:rPr>
          <w:snapToGrid/>
          <w:szCs w:val="24"/>
          <w:lang w:val="lt-LT"/>
        </w:rPr>
        <w:t> </w:t>
      </w:r>
      <w:r>
        <w:rPr>
          <w:rFonts w:eastAsia="TimesNewRoman"/>
          <w:snapToGrid/>
          <w:szCs w:val="22"/>
          <w:lang w:val="lt-LT"/>
        </w:rPr>
        <w:t>y. jis beveik neturi reikšmės.</w:t>
      </w:r>
    </w:p>
    <w:p w14:paraId="2B65E8E2" w14:textId="77777777" w:rsidR="009A4BFE" w:rsidRDefault="009A4BFE">
      <w:pPr>
        <w:numPr>
          <w:ilvl w:val="12"/>
          <w:numId w:val="0"/>
        </w:numPr>
        <w:tabs>
          <w:tab w:val="clear" w:pos="567"/>
        </w:tabs>
        <w:spacing w:line="240" w:lineRule="auto"/>
        <w:ind w:right="-2"/>
        <w:rPr>
          <w:szCs w:val="24"/>
          <w:lang w:val="lt-LT"/>
        </w:rPr>
      </w:pPr>
    </w:p>
    <w:p w14:paraId="7FA3F812" w14:textId="77777777" w:rsidR="009A4BFE" w:rsidRDefault="009A4BFE">
      <w:pPr>
        <w:numPr>
          <w:ilvl w:val="12"/>
          <w:numId w:val="0"/>
        </w:numPr>
        <w:tabs>
          <w:tab w:val="clear" w:pos="567"/>
        </w:tabs>
        <w:spacing w:line="240" w:lineRule="auto"/>
        <w:ind w:right="-2"/>
        <w:rPr>
          <w:szCs w:val="24"/>
          <w:lang w:val="lt-LT"/>
        </w:rPr>
      </w:pPr>
    </w:p>
    <w:p w14:paraId="5070BFCD" w14:textId="77777777" w:rsidR="009A4BFE" w:rsidRDefault="0051186A">
      <w:pPr>
        <w:pStyle w:val="Antrat3"/>
        <w:spacing w:before="0" w:after="0" w:line="240" w:lineRule="auto"/>
        <w:rPr>
          <w:rFonts w:ascii="Times New Roman" w:hAnsi="Times New Roman"/>
          <w:b w:val="0"/>
          <w:bCs w:val="0"/>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Pr>
          <w:rFonts w:ascii="Times New Roman" w:hAnsi="Times New Roman"/>
          <w:sz w:val="22"/>
          <w:szCs w:val="22"/>
          <w:lang w:val="lt-LT"/>
        </w:rPr>
        <w:t>Atixarso</w:t>
      </w:r>
      <w:proofErr w:type="spellEnd"/>
    </w:p>
    <w:p w14:paraId="107AFFA8" w14:textId="77777777" w:rsidR="009A4BFE" w:rsidRDefault="009A4BFE">
      <w:pPr>
        <w:numPr>
          <w:ilvl w:val="12"/>
          <w:numId w:val="0"/>
        </w:numPr>
        <w:tabs>
          <w:tab w:val="clear" w:pos="567"/>
        </w:tabs>
        <w:spacing w:line="240" w:lineRule="auto"/>
        <w:ind w:right="-2"/>
        <w:rPr>
          <w:szCs w:val="24"/>
          <w:lang w:val="lt-LT"/>
        </w:rPr>
      </w:pPr>
    </w:p>
    <w:p w14:paraId="59AE7DE3" w14:textId="77777777" w:rsidR="009A4BFE" w:rsidRDefault="0051186A">
      <w:pPr>
        <w:numPr>
          <w:ilvl w:val="12"/>
          <w:numId w:val="0"/>
        </w:numPr>
        <w:tabs>
          <w:tab w:val="clear" w:pos="567"/>
        </w:tabs>
        <w:spacing w:line="240" w:lineRule="auto"/>
        <w:ind w:right="-2"/>
        <w:rPr>
          <w:szCs w:val="24"/>
          <w:lang w:val="lt-LT"/>
        </w:rPr>
      </w:pPr>
      <w:r>
        <w:rPr>
          <w:noProof/>
          <w:szCs w:val="24"/>
          <w:lang w:val="lt-LT"/>
        </w:rPr>
        <w:t>Visada vartokite šį vaistą tiksliai kaip nurodė Jūsų gydytojas arba vaistininkas.</w:t>
      </w:r>
      <w:r>
        <w:rPr>
          <w:szCs w:val="24"/>
          <w:lang w:val="lt-LT"/>
        </w:rPr>
        <w:t xml:space="preserve"> </w:t>
      </w:r>
      <w:r>
        <w:rPr>
          <w:noProof/>
          <w:szCs w:val="24"/>
          <w:lang w:val="lt-LT"/>
        </w:rPr>
        <w:t>Jeigu abejojate, kreipkitės į gydytoją arba vaistininką.</w:t>
      </w:r>
    </w:p>
    <w:p w14:paraId="16204D9A" w14:textId="77777777" w:rsidR="009A4BFE" w:rsidRDefault="009A4BFE">
      <w:pPr>
        <w:tabs>
          <w:tab w:val="clear" w:pos="567"/>
        </w:tabs>
        <w:autoSpaceDE w:val="0"/>
        <w:autoSpaceDN w:val="0"/>
        <w:adjustRightInd w:val="0"/>
        <w:spacing w:line="240" w:lineRule="auto"/>
        <w:rPr>
          <w:rFonts w:eastAsia="TimesNewRoman,Bold"/>
          <w:snapToGrid/>
          <w:szCs w:val="22"/>
          <w:lang w:val="en-US"/>
        </w:rPr>
      </w:pPr>
    </w:p>
    <w:p w14:paraId="704DC224" w14:textId="77777777" w:rsidR="009A4BFE" w:rsidRDefault="0051186A">
      <w:pPr>
        <w:tabs>
          <w:tab w:val="clear" w:pos="567"/>
        </w:tabs>
        <w:autoSpaceDE w:val="0"/>
        <w:autoSpaceDN w:val="0"/>
        <w:adjustRightInd w:val="0"/>
        <w:spacing w:line="240" w:lineRule="auto"/>
        <w:rPr>
          <w:rFonts w:eastAsia="TimesNewRoman,Bold"/>
          <w:b/>
          <w:bCs/>
          <w:snapToGrid/>
          <w:szCs w:val="22"/>
          <w:lang w:val="en-US"/>
        </w:rPr>
      </w:pPr>
      <w:proofErr w:type="spellStart"/>
      <w:r>
        <w:rPr>
          <w:rFonts w:eastAsia="TimesNewRoman,Bold"/>
          <w:b/>
          <w:bCs/>
          <w:snapToGrid/>
          <w:szCs w:val="22"/>
          <w:lang w:val="en-US"/>
        </w:rPr>
        <w:t>Kokią</w:t>
      </w:r>
      <w:proofErr w:type="spellEnd"/>
      <w:r>
        <w:rPr>
          <w:rFonts w:eastAsia="TimesNewRoman,Bold"/>
          <w:b/>
          <w:bCs/>
          <w:snapToGrid/>
          <w:szCs w:val="22"/>
          <w:lang w:val="en-US"/>
        </w:rPr>
        <w:t xml:space="preserve"> </w:t>
      </w:r>
      <w:proofErr w:type="spellStart"/>
      <w:r>
        <w:rPr>
          <w:rFonts w:eastAsia="TimesNewRoman,Bold"/>
          <w:b/>
          <w:bCs/>
          <w:snapToGrid/>
          <w:szCs w:val="22"/>
          <w:lang w:val="en-US"/>
        </w:rPr>
        <w:t>dozę</w:t>
      </w:r>
      <w:proofErr w:type="spellEnd"/>
      <w:r>
        <w:rPr>
          <w:rFonts w:eastAsia="TimesNewRoman,Bold"/>
          <w:b/>
          <w:bCs/>
          <w:snapToGrid/>
          <w:szCs w:val="22"/>
          <w:lang w:val="en-US"/>
        </w:rPr>
        <w:t xml:space="preserve"> </w:t>
      </w:r>
      <w:proofErr w:type="spellStart"/>
      <w:r>
        <w:rPr>
          <w:rFonts w:eastAsia="TimesNewRoman,Bold"/>
          <w:b/>
          <w:bCs/>
          <w:snapToGrid/>
          <w:szCs w:val="22"/>
          <w:lang w:val="en-US"/>
        </w:rPr>
        <w:t>vartoti</w:t>
      </w:r>
      <w:proofErr w:type="spellEnd"/>
    </w:p>
    <w:p w14:paraId="721DDDEE" w14:textId="77777777" w:rsidR="009A4BFE" w:rsidRDefault="0051186A">
      <w:pPr>
        <w:numPr>
          <w:ilvl w:val="0"/>
          <w:numId w:val="3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Pradinė dozė yra 2 tabletės, kurios išgeriamos iš karto (180 mg įsotinimo dozė). Paprastai ji skiriama ligoninėje.</w:t>
      </w:r>
    </w:p>
    <w:p w14:paraId="7ED7E13A" w14:textId="77777777" w:rsidR="009A4BFE" w:rsidRDefault="0051186A">
      <w:pPr>
        <w:numPr>
          <w:ilvl w:val="0"/>
          <w:numId w:val="32"/>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Po šios pradinės dozės paprastai vartojama po vieną 90 mg tabletę 2 kartus per parą iki 12 mėn., (išskyrus atvejus, kai gydytojas nurodo kitaip).</w:t>
      </w:r>
    </w:p>
    <w:p w14:paraId="3AE87252" w14:textId="77777777" w:rsidR="009A4BFE" w:rsidRDefault="0051186A">
      <w:pPr>
        <w:numPr>
          <w:ilvl w:val="0"/>
          <w:numId w:val="32"/>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Gerkite šį vaistą kasdien maždaug tuo pačiu laiku (pvz., vieną tabletę ryte ir vieną tabletę vakare).</w:t>
      </w:r>
    </w:p>
    <w:p w14:paraId="02767E32"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16D405CE"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proofErr w:type="spellStart"/>
      <w:r>
        <w:rPr>
          <w:b/>
          <w:szCs w:val="22"/>
          <w:lang w:val="lt-LT"/>
        </w:rPr>
        <w:t>Atixarso</w:t>
      </w:r>
      <w:proofErr w:type="spellEnd"/>
      <w:r>
        <w:rPr>
          <w:rFonts w:eastAsia="TimesNewRoman,Bold"/>
          <w:b/>
          <w:bCs/>
          <w:snapToGrid/>
          <w:szCs w:val="22"/>
          <w:lang w:val="lt-LT"/>
        </w:rPr>
        <w:t xml:space="preserve"> vartojimas kartu su kitais vaistais, skirtais apsaugoti nuo kraujo krešulių</w:t>
      </w:r>
    </w:p>
    <w:p w14:paraId="5EEF67CF"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Gydytojas paprastai nurodo kartu vartoti </w:t>
      </w:r>
      <w:proofErr w:type="spellStart"/>
      <w:r>
        <w:rPr>
          <w:rFonts w:eastAsia="TimesNewRoman"/>
          <w:snapToGrid/>
          <w:szCs w:val="22"/>
          <w:lang w:val="lt-LT"/>
        </w:rPr>
        <w:t>acetilsalicilo</w:t>
      </w:r>
      <w:proofErr w:type="spellEnd"/>
      <w:r>
        <w:rPr>
          <w:rFonts w:eastAsia="TimesNewRoman"/>
          <w:snapToGrid/>
          <w:szCs w:val="22"/>
          <w:lang w:val="lt-LT"/>
        </w:rPr>
        <w:t xml:space="preserve"> rūgšties, kurios yra daugelio vaistų, vartojamų norint išvengti kraujo krešulių susidarymo, sudėtyje. Taip pat gydytojas nurodys reikalingą </w:t>
      </w:r>
      <w:proofErr w:type="spellStart"/>
      <w:r>
        <w:rPr>
          <w:rFonts w:eastAsia="TimesNewRoman"/>
          <w:snapToGrid/>
          <w:szCs w:val="22"/>
          <w:lang w:val="lt-LT"/>
        </w:rPr>
        <w:t>acetilsalicilo</w:t>
      </w:r>
      <w:proofErr w:type="spellEnd"/>
      <w:r>
        <w:rPr>
          <w:rFonts w:eastAsia="TimesNewRoman"/>
          <w:snapToGrid/>
          <w:szCs w:val="22"/>
          <w:lang w:val="lt-LT"/>
        </w:rPr>
        <w:t xml:space="preserve"> rūgšties dozę (paprastai ji būna 75-150 mg per parą).</w:t>
      </w:r>
    </w:p>
    <w:p w14:paraId="216E54FB"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20BEE06D"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Kaip vartoti </w:t>
      </w:r>
      <w:proofErr w:type="spellStart"/>
      <w:r>
        <w:rPr>
          <w:b/>
          <w:szCs w:val="22"/>
          <w:lang w:val="lt-LT"/>
        </w:rPr>
        <w:t>Atixarso</w:t>
      </w:r>
      <w:proofErr w:type="spellEnd"/>
    </w:p>
    <w:p w14:paraId="55B474C3" w14:textId="77777777" w:rsidR="009A4BFE" w:rsidRDefault="0051186A">
      <w:pPr>
        <w:numPr>
          <w:ilvl w:val="0"/>
          <w:numId w:val="3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Šį vaistą galima gerti valgio metu arba nevalgius.</w:t>
      </w:r>
    </w:p>
    <w:p w14:paraId="06F03B67" w14:textId="77777777" w:rsidR="009A4BFE" w:rsidRDefault="0051186A">
      <w:pPr>
        <w:numPr>
          <w:ilvl w:val="0"/>
          <w:numId w:val="3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lastRenderedPageBreak/>
        <w:t xml:space="preserve">Kada išgėrėte paskutinę </w:t>
      </w:r>
      <w:proofErr w:type="spellStart"/>
      <w:r>
        <w:rPr>
          <w:szCs w:val="22"/>
          <w:lang w:val="lt-LT"/>
        </w:rPr>
        <w:t>Atixarso</w:t>
      </w:r>
      <w:proofErr w:type="spellEnd"/>
      <w:r>
        <w:rPr>
          <w:rFonts w:eastAsia="TimesNewRoman"/>
          <w:snapToGrid/>
          <w:szCs w:val="22"/>
          <w:lang w:val="lt-LT"/>
        </w:rPr>
        <w:t xml:space="preserve"> tabletę, galite patikrinti pažiūrėję į lizdinę plokštelę, ant kurios nupiešta saulė, kuri reiškia rytą, ir mėnulis, kuris reiškia vakarą. Tokiu būdu prisiminsite, ar išgėrėte šio vaisto dozę.</w:t>
      </w:r>
    </w:p>
    <w:p w14:paraId="49239ABC"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75F4009A"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Jeigu sunku nuryti tabletę</w:t>
      </w:r>
    </w:p>
    <w:p w14:paraId="2CC7F9C6"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Jeigu Jums sunku nuryti tabletę, tai ją galite susmulkinti ir sumaišyti su vandeniu kaip aprašyta toliau:</w:t>
      </w:r>
    </w:p>
    <w:p w14:paraId="0EC5F514" w14:textId="77777777" w:rsidR="009A4BFE" w:rsidRDefault="0051186A">
      <w:pPr>
        <w:numPr>
          <w:ilvl w:val="0"/>
          <w:numId w:val="3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susmulkinkite tabletę į smulkius miltelius;</w:t>
      </w:r>
    </w:p>
    <w:p w14:paraId="5B57B311" w14:textId="77777777" w:rsidR="009A4BFE" w:rsidRDefault="0051186A">
      <w:pPr>
        <w:numPr>
          <w:ilvl w:val="0"/>
          <w:numId w:val="34"/>
        </w:numPr>
        <w:tabs>
          <w:tab w:val="clear" w:pos="567"/>
        </w:tabs>
        <w:spacing w:line="240" w:lineRule="auto"/>
        <w:ind w:left="567" w:hanging="567"/>
        <w:rPr>
          <w:rFonts w:eastAsia="TimesNewRoman"/>
          <w:snapToGrid/>
          <w:szCs w:val="22"/>
          <w:lang w:val="lt-LT"/>
        </w:rPr>
      </w:pPr>
      <w:r>
        <w:rPr>
          <w:rFonts w:eastAsia="TimesNewRoman"/>
          <w:snapToGrid/>
          <w:szCs w:val="22"/>
          <w:lang w:val="lt-LT"/>
        </w:rPr>
        <w:t>supilkite miltelius į pusę stiklinės vandens;</w:t>
      </w:r>
    </w:p>
    <w:p w14:paraId="4E7D72DC" w14:textId="77777777" w:rsidR="009A4BFE" w:rsidRDefault="0051186A">
      <w:pPr>
        <w:numPr>
          <w:ilvl w:val="0"/>
          <w:numId w:val="34"/>
        </w:numPr>
        <w:tabs>
          <w:tab w:val="clear" w:pos="567"/>
          <w:tab w:val="left" w:pos="709"/>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išmaišykite ir nedelsdami išgerkite;</w:t>
      </w:r>
    </w:p>
    <w:p w14:paraId="3DAC3A0A" w14:textId="77777777" w:rsidR="009A4BFE" w:rsidRDefault="0051186A">
      <w:pPr>
        <w:numPr>
          <w:ilvl w:val="0"/>
          <w:numId w:val="34"/>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kad tuščioje stiklinėje neliktų vaisto, praskalaukite ją dar puse stiklinės vandens ir išgerkite.</w:t>
      </w:r>
    </w:p>
    <w:p w14:paraId="133B5C7D" w14:textId="77777777" w:rsidR="009A4BFE" w:rsidRDefault="0051186A">
      <w:pPr>
        <w:tabs>
          <w:tab w:val="clear" w:pos="567"/>
          <w:tab w:val="left" w:pos="0"/>
        </w:tabs>
        <w:autoSpaceDE w:val="0"/>
        <w:autoSpaceDN w:val="0"/>
        <w:adjustRightInd w:val="0"/>
        <w:spacing w:line="240" w:lineRule="auto"/>
        <w:rPr>
          <w:rFonts w:eastAsia="TimesNewRoman"/>
          <w:snapToGrid/>
          <w:szCs w:val="22"/>
          <w:lang w:val="lt-LT"/>
        </w:rPr>
      </w:pPr>
      <w:r>
        <w:rPr>
          <w:rFonts w:eastAsia="TimesNewRoman"/>
          <w:snapToGrid/>
          <w:szCs w:val="22"/>
          <w:lang w:val="lt-LT"/>
        </w:rPr>
        <w:t>Jei esate ligoninėje, tai šią tabletę Jums gali paduoti sumaišytą su vandeniu per pro nosį į skrandį įkištą (</w:t>
      </w:r>
      <w:proofErr w:type="spellStart"/>
      <w:r>
        <w:rPr>
          <w:rFonts w:eastAsia="TimesNewRoman"/>
          <w:snapToGrid/>
          <w:szCs w:val="22"/>
          <w:lang w:val="lt-LT"/>
        </w:rPr>
        <w:t>nazogastrinį</w:t>
      </w:r>
      <w:proofErr w:type="spellEnd"/>
      <w:r>
        <w:rPr>
          <w:rFonts w:eastAsia="TimesNewRoman"/>
          <w:snapToGrid/>
          <w:szCs w:val="22"/>
          <w:lang w:val="lt-LT"/>
        </w:rPr>
        <w:t>) vamzdelį.</w:t>
      </w:r>
    </w:p>
    <w:p w14:paraId="6757EC7E" w14:textId="77777777" w:rsidR="009A4BFE" w:rsidRDefault="009A4BFE">
      <w:pPr>
        <w:numPr>
          <w:ilvl w:val="12"/>
          <w:numId w:val="0"/>
        </w:numPr>
        <w:tabs>
          <w:tab w:val="clear" w:pos="567"/>
        </w:tabs>
        <w:spacing w:line="240" w:lineRule="auto"/>
        <w:ind w:right="-2"/>
        <w:rPr>
          <w:szCs w:val="24"/>
          <w:lang w:val="lt-LT"/>
        </w:rPr>
      </w:pPr>
    </w:p>
    <w:p w14:paraId="331889BF" w14:textId="77777777" w:rsidR="009A4BFE" w:rsidRDefault="0051186A">
      <w:pPr>
        <w:pStyle w:val="Antrat4"/>
        <w:rPr>
          <w:rFonts w:ascii="Times New Roman" w:hAnsi="Times New Roman"/>
          <w:sz w:val="22"/>
          <w:lang w:val="lt-LT"/>
        </w:rPr>
      </w:pPr>
      <w:r>
        <w:rPr>
          <w:rFonts w:ascii="Times New Roman" w:hAnsi="Times New Roman"/>
          <w:sz w:val="22"/>
          <w:lang w:val="lt-LT"/>
        </w:rPr>
        <w:t xml:space="preserve">Ką daryti pavartojus per didelę </w:t>
      </w:r>
      <w:proofErr w:type="spellStart"/>
      <w:r>
        <w:rPr>
          <w:rFonts w:ascii="Times New Roman" w:hAnsi="Times New Roman"/>
          <w:sz w:val="22"/>
          <w:szCs w:val="22"/>
          <w:lang w:val="lt-LT"/>
        </w:rPr>
        <w:t>Atixarso</w:t>
      </w:r>
      <w:proofErr w:type="spellEnd"/>
      <w:r>
        <w:rPr>
          <w:rFonts w:ascii="Times New Roman" w:hAnsi="Times New Roman"/>
          <w:sz w:val="22"/>
          <w:lang w:val="lt-LT"/>
        </w:rPr>
        <w:t xml:space="preserve"> dozę</w:t>
      </w:r>
    </w:p>
    <w:p w14:paraId="4F693469"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Išgėrę daugiau </w:t>
      </w:r>
      <w:proofErr w:type="spellStart"/>
      <w:r>
        <w:rPr>
          <w:szCs w:val="22"/>
          <w:lang w:val="lt-LT"/>
        </w:rPr>
        <w:t>Atixarso</w:t>
      </w:r>
      <w:proofErr w:type="spellEnd"/>
      <w:r>
        <w:rPr>
          <w:rFonts w:eastAsia="TimesNewRoman"/>
          <w:snapToGrid/>
          <w:szCs w:val="22"/>
          <w:lang w:val="lt-LT"/>
        </w:rPr>
        <w:t xml:space="preserve"> negu reikia, nedelsdami kreipkitės į savo gydytoją arba vykite į ligoninę, pasiėmę vaisto pakuotę. Pavartojus per didelę šio vaisto dozę, gali padidėti kraujavimo pavojus.</w:t>
      </w:r>
    </w:p>
    <w:p w14:paraId="120C79B0" w14:textId="77777777" w:rsidR="009A4BFE" w:rsidRDefault="009A4BFE">
      <w:pPr>
        <w:numPr>
          <w:ilvl w:val="12"/>
          <w:numId w:val="0"/>
        </w:numPr>
        <w:tabs>
          <w:tab w:val="clear" w:pos="567"/>
        </w:tabs>
        <w:spacing w:line="240" w:lineRule="auto"/>
        <w:ind w:right="-2"/>
        <w:rPr>
          <w:szCs w:val="24"/>
          <w:lang w:val="lt-LT"/>
        </w:rPr>
      </w:pPr>
    </w:p>
    <w:p w14:paraId="03A50ABD" w14:textId="77777777" w:rsidR="009A4BFE" w:rsidRDefault="0051186A">
      <w:pPr>
        <w:pStyle w:val="Antrat4"/>
        <w:rPr>
          <w:rFonts w:ascii="Times New Roman" w:hAnsi="Times New Roman"/>
          <w:sz w:val="22"/>
          <w:lang w:val="lt-LT"/>
        </w:rPr>
      </w:pPr>
      <w:r>
        <w:rPr>
          <w:rFonts w:ascii="Times New Roman" w:hAnsi="Times New Roman"/>
          <w:sz w:val="22"/>
          <w:lang w:val="lt-LT"/>
        </w:rPr>
        <w:t xml:space="preserve">Pamiršus pavartoti </w:t>
      </w:r>
      <w:proofErr w:type="spellStart"/>
      <w:r>
        <w:rPr>
          <w:rFonts w:ascii="Times New Roman" w:hAnsi="Times New Roman"/>
          <w:sz w:val="22"/>
          <w:szCs w:val="22"/>
          <w:lang w:val="lt-LT"/>
        </w:rPr>
        <w:t>Atixarso</w:t>
      </w:r>
      <w:proofErr w:type="spellEnd"/>
    </w:p>
    <w:p w14:paraId="6D99B82B" w14:textId="77777777" w:rsidR="009A4BFE" w:rsidRDefault="0051186A">
      <w:pPr>
        <w:numPr>
          <w:ilvl w:val="0"/>
          <w:numId w:val="35"/>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Užmiršę išgerti vieną dozę, kitą gerkite įprastu laiku.</w:t>
      </w:r>
    </w:p>
    <w:p w14:paraId="3D3B3CB6" w14:textId="77777777" w:rsidR="009A4BFE" w:rsidRDefault="0051186A">
      <w:pPr>
        <w:numPr>
          <w:ilvl w:val="0"/>
          <w:numId w:val="35"/>
        </w:numPr>
        <w:tabs>
          <w:tab w:val="clear" w:pos="567"/>
        </w:tabs>
        <w:spacing w:line="240" w:lineRule="auto"/>
        <w:ind w:left="567" w:hanging="567"/>
        <w:rPr>
          <w:rFonts w:eastAsia="TimesNewRoman"/>
          <w:snapToGrid/>
          <w:szCs w:val="22"/>
          <w:lang w:val="lt-LT"/>
        </w:rPr>
      </w:pPr>
      <w:r>
        <w:rPr>
          <w:rFonts w:eastAsia="TimesNewRoman"/>
          <w:snapToGrid/>
          <w:szCs w:val="22"/>
          <w:lang w:val="lt-LT"/>
        </w:rPr>
        <w:t>Negalima vartoti dvigubos dozės (dviejų dozių iš karto) norint kompensuoti praleistą dozę.</w:t>
      </w:r>
    </w:p>
    <w:p w14:paraId="2494EBF5" w14:textId="77777777" w:rsidR="009A4BFE" w:rsidRDefault="009A4BFE">
      <w:pPr>
        <w:numPr>
          <w:ilvl w:val="12"/>
          <w:numId w:val="0"/>
        </w:numPr>
        <w:tabs>
          <w:tab w:val="clear" w:pos="567"/>
        </w:tabs>
        <w:spacing w:line="240" w:lineRule="auto"/>
        <w:ind w:right="-2"/>
        <w:rPr>
          <w:szCs w:val="24"/>
          <w:lang w:val="lt-LT"/>
        </w:rPr>
      </w:pPr>
    </w:p>
    <w:p w14:paraId="002CE7AE" w14:textId="77777777" w:rsidR="009A4BFE" w:rsidRDefault="0051186A">
      <w:pPr>
        <w:pStyle w:val="Antrat4"/>
        <w:rPr>
          <w:rFonts w:ascii="Times New Roman" w:hAnsi="Times New Roman"/>
          <w:sz w:val="22"/>
          <w:lang w:val="lt-LT"/>
        </w:rPr>
      </w:pPr>
      <w:r>
        <w:rPr>
          <w:rFonts w:ascii="Times New Roman" w:hAnsi="Times New Roman"/>
          <w:sz w:val="22"/>
          <w:lang w:val="lt-LT"/>
        </w:rPr>
        <w:t xml:space="preserve">Nustojus vartoti </w:t>
      </w:r>
      <w:proofErr w:type="spellStart"/>
      <w:r>
        <w:rPr>
          <w:rFonts w:ascii="Times New Roman" w:hAnsi="Times New Roman"/>
          <w:sz w:val="22"/>
          <w:szCs w:val="22"/>
          <w:lang w:val="lt-LT"/>
        </w:rPr>
        <w:t>Atixarso</w:t>
      </w:r>
      <w:proofErr w:type="spellEnd"/>
    </w:p>
    <w:p w14:paraId="55C0B13C"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Nenutraukite </w:t>
      </w:r>
      <w:proofErr w:type="spellStart"/>
      <w:r>
        <w:rPr>
          <w:szCs w:val="22"/>
          <w:lang w:val="lt-LT"/>
        </w:rPr>
        <w:t>Atixarso</w:t>
      </w:r>
      <w:proofErr w:type="spellEnd"/>
      <w:r>
        <w:rPr>
          <w:rFonts w:eastAsia="TimesNewRoman"/>
          <w:snapToGrid/>
          <w:szCs w:val="22"/>
          <w:lang w:val="lt-LT"/>
        </w:rPr>
        <w:t xml:space="preserve"> vartojimo nepasitarę su Jūsų gydytoju. Vartokite šį vaistą reguliariai, kol gydytojas jo skiria. Nutraukus </w:t>
      </w:r>
      <w:proofErr w:type="spellStart"/>
      <w:r>
        <w:rPr>
          <w:szCs w:val="22"/>
          <w:lang w:val="lt-LT"/>
        </w:rPr>
        <w:t>Atixarso</w:t>
      </w:r>
      <w:proofErr w:type="spellEnd"/>
      <w:r>
        <w:rPr>
          <w:rFonts w:eastAsia="TimesNewRoman"/>
          <w:snapToGrid/>
          <w:szCs w:val="22"/>
          <w:lang w:val="lt-LT"/>
        </w:rPr>
        <w:t xml:space="preserve"> vartojimą gali padidėti rizika patirti naują širdies priepuolį ar insultą, taip pat numirti nuo ligos, susijusios su Jūsų širdimi ar kraujagyslėmis.</w:t>
      </w:r>
    </w:p>
    <w:p w14:paraId="5C5C3F63" w14:textId="77777777" w:rsidR="009A4BFE" w:rsidRDefault="009A4BFE">
      <w:pPr>
        <w:numPr>
          <w:ilvl w:val="12"/>
          <w:numId w:val="0"/>
        </w:numPr>
        <w:tabs>
          <w:tab w:val="clear" w:pos="567"/>
        </w:tabs>
        <w:spacing w:line="240" w:lineRule="auto"/>
        <w:ind w:right="-29"/>
        <w:rPr>
          <w:noProof/>
          <w:szCs w:val="24"/>
          <w:lang w:val="lt-LT"/>
        </w:rPr>
      </w:pPr>
    </w:p>
    <w:p w14:paraId="59F8931A" w14:textId="77777777" w:rsidR="009A4BFE" w:rsidRDefault="0051186A">
      <w:pPr>
        <w:numPr>
          <w:ilvl w:val="12"/>
          <w:numId w:val="0"/>
        </w:numPr>
        <w:tabs>
          <w:tab w:val="clear" w:pos="567"/>
        </w:tabs>
        <w:spacing w:line="240" w:lineRule="auto"/>
        <w:ind w:right="-29"/>
        <w:rPr>
          <w:szCs w:val="24"/>
          <w:lang w:val="lt-LT"/>
        </w:rPr>
      </w:pPr>
      <w:r>
        <w:rPr>
          <w:noProof/>
          <w:szCs w:val="24"/>
          <w:lang w:val="lt-LT"/>
        </w:rPr>
        <w:t>Jeigu kiltų daugiau klausimų dėl šio vaisto vartojimo, kreipkitės į gydytoją arba vaistininką.</w:t>
      </w:r>
    </w:p>
    <w:p w14:paraId="303039FE" w14:textId="77777777" w:rsidR="009A4BFE" w:rsidRDefault="009A4BFE">
      <w:pPr>
        <w:numPr>
          <w:ilvl w:val="12"/>
          <w:numId w:val="0"/>
        </w:numPr>
        <w:tabs>
          <w:tab w:val="clear" w:pos="567"/>
        </w:tabs>
        <w:spacing w:line="240" w:lineRule="auto"/>
        <w:rPr>
          <w:szCs w:val="24"/>
          <w:lang w:val="lt-LT"/>
        </w:rPr>
      </w:pPr>
    </w:p>
    <w:p w14:paraId="452D8E2E" w14:textId="77777777" w:rsidR="009A4BFE" w:rsidRDefault="009A4BFE">
      <w:pPr>
        <w:numPr>
          <w:ilvl w:val="12"/>
          <w:numId w:val="0"/>
        </w:numPr>
        <w:tabs>
          <w:tab w:val="clear" w:pos="567"/>
        </w:tabs>
        <w:spacing w:line="240" w:lineRule="auto"/>
        <w:rPr>
          <w:szCs w:val="24"/>
          <w:lang w:val="lt-LT"/>
        </w:rPr>
      </w:pPr>
    </w:p>
    <w:p w14:paraId="7FB44A6E"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4298685B" w14:textId="77777777" w:rsidR="009A4BFE" w:rsidRDefault="009A4BFE">
      <w:pPr>
        <w:numPr>
          <w:ilvl w:val="12"/>
          <w:numId w:val="0"/>
        </w:numPr>
        <w:tabs>
          <w:tab w:val="clear" w:pos="567"/>
        </w:tabs>
        <w:spacing w:line="240" w:lineRule="auto"/>
        <w:rPr>
          <w:szCs w:val="24"/>
          <w:lang w:val="lt-LT"/>
        </w:rPr>
      </w:pPr>
    </w:p>
    <w:p w14:paraId="6BE8316A" w14:textId="77777777" w:rsidR="009A4BFE" w:rsidRDefault="0051186A">
      <w:pPr>
        <w:numPr>
          <w:ilvl w:val="12"/>
          <w:numId w:val="0"/>
        </w:numPr>
        <w:tabs>
          <w:tab w:val="clear" w:pos="567"/>
        </w:tabs>
        <w:spacing w:line="240" w:lineRule="auto"/>
        <w:ind w:right="-29"/>
        <w:rPr>
          <w:szCs w:val="24"/>
          <w:lang w:val="lt-LT"/>
        </w:rPr>
      </w:pPr>
      <w:r>
        <w:rPr>
          <w:noProof/>
          <w:szCs w:val="24"/>
          <w:lang w:val="lt-LT"/>
        </w:rPr>
        <w:t>Šis vaistas, kaip ir visi kiti, gali sukelti šalutinį poveikį, nors jis pasireiškia ne visiems žmonėms.</w:t>
      </w:r>
    </w:p>
    <w:p w14:paraId="45BC9EDA"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Vartojant šio vaisto, gali pasireikšti toliau išvardytas šalutinis poveikis.</w:t>
      </w:r>
    </w:p>
    <w:p w14:paraId="7026E809"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1FA08F1E" w14:textId="77777777" w:rsidR="009A4BFE" w:rsidRDefault="0051186A">
      <w:pPr>
        <w:tabs>
          <w:tab w:val="clear" w:pos="567"/>
        </w:tabs>
        <w:autoSpaceDE w:val="0"/>
        <w:autoSpaceDN w:val="0"/>
        <w:adjustRightInd w:val="0"/>
        <w:spacing w:line="240" w:lineRule="auto"/>
        <w:rPr>
          <w:rFonts w:eastAsia="TimesNewRoman"/>
          <w:snapToGrid/>
          <w:szCs w:val="22"/>
          <w:lang w:val="lt-LT"/>
        </w:rPr>
      </w:pPr>
      <w:proofErr w:type="spellStart"/>
      <w:r>
        <w:rPr>
          <w:szCs w:val="22"/>
          <w:lang w:val="lt-LT"/>
        </w:rPr>
        <w:t>Atixarso</w:t>
      </w:r>
      <w:proofErr w:type="spellEnd"/>
      <w:r>
        <w:rPr>
          <w:rFonts w:eastAsia="TimesNewRoman"/>
          <w:snapToGrid/>
          <w:szCs w:val="22"/>
          <w:lang w:val="lt-LT"/>
        </w:rPr>
        <w:t xml:space="preserve"> veikia kraujo krešėjimą, todėl dauguma šalutinių poveikių yra susiję su kraujavimu. Kraujavimas galimas bet kurioje kūno vietoje. Kai kurie kraujavimai (kaip kraujosruvos, kraujavimas iš nosies) pasitaiko dažnai. Stiprus kraujavimas pasitaiko nedažnai, bet gali kelti pavojų gyvybei.</w:t>
      </w:r>
    </w:p>
    <w:p w14:paraId="6D9F3076"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0F131269"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Nedelsdami kreipkitės į gydytoją pastebėję bent vieną iš toliau išvardytų sutrikimų, kadangi Jums gali reikėti skubios gydytojo pagalbos:</w:t>
      </w:r>
    </w:p>
    <w:p w14:paraId="69B5FD37" w14:textId="77777777" w:rsidR="009A4BFE" w:rsidRDefault="0051186A">
      <w:pPr>
        <w:pStyle w:val="Sraopastraipa"/>
        <w:numPr>
          <w:ilvl w:val="0"/>
          <w:numId w:val="27"/>
        </w:numPr>
        <w:tabs>
          <w:tab w:val="clear" w:pos="567"/>
        </w:tabs>
        <w:autoSpaceDE w:val="0"/>
        <w:autoSpaceDN w:val="0"/>
        <w:adjustRightInd w:val="0"/>
        <w:spacing w:line="240" w:lineRule="auto"/>
        <w:ind w:left="567" w:hanging="567"/>
        <w:rPr>
          <w:rFonts w:eastAsia="TimesNewRoman,Bold"/>
          <w:b/>
          <w:bCs/>
          <w:snapToGrid/>
          <w:szCs w:val="22"/>
          <w:lang w:val="lt-LT"/>
        </w:rPr>
      </w:pPr>
      <w:r>
        <w:rPr>
          <w:rFonts w:eastAsia="TimesNewRoman,Bold"/>
          <w:b/>
          <w:bCs/>
          <w:snapToGrid/>
          <w:szCs w:val="22"/>
          <w:lang w:val="lt-LT"/>
        </w:rPr>
        <w:t>Kraujavimas į smegenis arba kaukolės viduje yra nedažnas šalutinis poveikis, dėl kurio gali pasireikšti insulto požymių, kaip antai:</w:t>
      </w:r>
    </w:p>
    <w:p w14:paraId="05C0143B"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pasireiškę rankos, kojos arba veido nejautra ar silpnumas, ypač jei šie sutrikimai yra tik vienoje kūno pusėje;</w:t>
      </w:r>
    </w:p>
    <w:p w14:paraId="34D4C877"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atsiradęs sumišimas, pasunkėjusi kalba ar pablogėjęs gebėjimas suprasti kitus žmones;</w:t>
      </w:r>
    </w:p>
    <w:p w14:paraId="621B5D70"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pasunkėjęs ėjimas arba sutrikusi pusiausvyra ar koordinacija;</w:t>
      </w:r>
    </w:p>
    <w:p w14:paraId="4EDC7438"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staiga be aiškios priežasties prasidėjęs svaigulys arba stiprus galvos skausmas.</w:t>
      </w:r>
    </w:p>
    <w:p w14:paraId="7A635CB6"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0E8A030" w14:textId="77777777" w:rsidR="009A4BFE" w:rsidRDefault="0051186A">
      <w:pPr>
        <w:pStyle w:val="Sraopastraipa"/>
        <w:numPr>
          <w:ilvl w:val="0"/>
          <w:numId w:val="27"/>
        </w:numPr>
        <w:tabs>
          <w:tab w:val="clear" w:pos="567"/>
        </w:tabs>
        <w:autoSpaceDE w:val="0"/>
        <w:autoSpaceDN w:val="0"/>
        <w:adjustRightInd w:val="0"/>
        <w:spacing w:line="240" w:lineRule="auto"/>
        <w:ind w:left="567" w:hanging="567"/>
        <w:rPr>
          <w:rFonts w:eastAsia="TimesNewRoman"/>
          <w:b/>
          <w:snapToGrid/>
          <w:szCs w:val="22"/>
          <w:lang w:val="lt-LT"/>
        </w:rPr>
      </w:pPr>
      <w:r>
        <w:rPr>
          <w:rFonts w:eastAsia="TimesNewRoman,Bold"/>
          <w:b/>
          <w:bCs/>
          <w:snapToGrid/>
          <w:szCs w:val="22"/>
          <w:lang w:val="lt-LT"/>
        </w:rPr>
        <w:t>Kraujavimo požymiai, kaip antai</w:t>
      </w:r>
      <w:r>
        <w:rPr>
          <w:rFonts w:eastAsia="TimesNewRoman"/>
          <w:b/>
          <w:snapToGrid/>
          <w:szCs w:val="22"/>
          <w:lang w:val="lt-LT"/>
        </w:rPr>
        <w:t>:</w:t>
      </w:r>
    </w:p>
    <w:p w14:paraId="075624D6"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stiprus ar nekontroliuojamas kraujavimas;</w:t>
      </w:r>
    </w:p>
    <w:p w14:paraId="0ECFDF97"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netikėtas ar ilgalaikis kraujavimas;</w:t>
      </w:r>
    </w:p>
    <w:p w14:paraId="57C16006"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rožinis, raudonas arba rudas šlapimas;</w:t>
      </w:r>
    </w:p>
    <w:p w14:paraId="308D9A8D"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vėmimas raudonu krauju arba panašiu į kavos tirščius turiniu;</w:t>
      </w:r>
    </w:p>
    <w:p w14:paraId="436EDAEE"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raudonos ar juodos kaip degutas išmatos;</w:t>
      </w:r>
    </w:p>
    <w:p w14:paraId="0ED1AFC9"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kraujo atkosėjimas ar vėmimas kraujo krešuliais.</w:t>
      </w:r>
    </w:p>
    <w:p w14:paraId="1D5164E6"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56988BD8" w14:textId="77777777" w:rsidR="009A4BFE" w:rsidRDefault="0051186A">
      <w:pPr>
        <w:pStyle w:val="Sraopastraipa"/>
        <w:numPr>
          <w:ilvl w:val="0"/>
          <w:numId w:val="2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Bold"/>
          <w:b/>
          <w:bCs/>
          <w:snapToGrid/>
          <w:szCs w:val="22"/>
          <w:lang w:val="lt-LT"/>
        </w:rPr>
        <w:t>Alpimas (sinkopė)</w:t>
      </w:r>
      <w:r>
        <w:rPr>
          <w:rFonts w:eastAsia="TimesNewRoman"/>
          <w:snapToGrid/>
          <w:szCs w:val="22"/>
          <w:lang w:val="lt-LT"/>
        </w:rPr>
        <w:t>:</w:t>
      </w:r>
    </w:p>
    <w:p w14:paraId="3539B177"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lastRenderedPageBreak/>
        <w:t>laikinas sąmonės netekimas dėl staigaus smegenų kraujotakos sutrikimo (pasitaiko dažnai).</w:t>
      </w:r>
    </w:p>
    <w:p w14:paraId="0159ED76" w14:textId="77777777" w:rsidR="009A4BFE" w:rsidRDefault="009A4BFE">
      <w:pPr>
        <w:tabs>
          <w:tab w:val="clear" w:pos="567"/>
          <w:tab w:val="left" w:pos="851"/>
        </w:tabs>
        <w:autoSpaceDE w:val="0"/>
        <w:autoSpaceDN w:val="0"/>
        <w:adjustRightInd w:val="0"/>
        <w:spacing w:line="240" w:lineRule="auto"/>
        <w:rPr>
          <w:rFonts w:eastAsia="TimesNewRoman"/>
          <w:snapToGrid/>
          <w:szCs w:val="22"/>
          <w:lang w:val="lt-LT"/>
        </w:rPr>
      </w:pPr>
    </w:p>
    <w:p w14:paraId="71F7896D" w14:textId="77777777" w:rsidR="009A4BFE" w:rsidRDefault="0051186A">
      <w:pPr>
        <w:pStyle w:val="Sraopastraipa"/>
        <w:numPr>
          <w:ilvl w:val="0"/>
          <w:numId w:val="27"/>
        </w:numPr>
        <w:tabs>
          <w:tab w:val="clear" w:pos="567"/>
        </w:tabs>
        <w:spacing w:line="240" w:lineRule="auto"/>
        <w:ind w:left="567" w:hanging="567"/>
        <w:rPr>
          <w:rFonts w:eastAsia="TimesNewRoman,Bold"/>
          <w:b/>
          <w:bCs/>
          <w:snapToGrid/>
          <w:szCs w:val="22"/>
          <w:lang w:val="lt-LT"/>
        </w:rPr>
      </w:pPr>
      <w:r>
        <w:rPr>
          <w:rFonts w:eastAsia="TimesNewRoman,Bold"/>
          <w:b/>
          <w:bCs/>
          <w:snapToGrid/>
          <w:szCs w:val="22"/>
          <w:lang w:val="lt-LT"/>
        </w:rPr>
        <w:t xml:space="preserve">Krešėjimo sutrikimo, vadinamo trombine </w:t>
      </w:r>
      <w:proofErr w:type="spellStart"/>
      <w:r>
        <w:rPr>
          <w:rFonts w:eastAsia="TimesNewRoman,Bold"/>
          <w:b/>
          <w:bCs/>
          <w:snapToGrid/>
          <w:szCs w:val="22"/>
          <w:lang w:val="lt-LT"/>
        </w:rPr>
        <w:t>trombocitopenine</w:t>
      </w:r>
      <w:proofErr w:type="spellEnd"/>
      <w:r>
        <w:rPr>
          <w:rFonts w:eastAsia="TimesNewRoman,Bold"/>
          <w:b/>
          <w:bCs/>
          <w:snapToGrid/>
          <w:szCs w:val="22"/>
          <w:lang w:val="lt-LT"/>
        </w:rPr>
        <w:t xml:space="preserve"> purpura (TTP), požymiai, kaip antai:</w:t>
      </w:r>
    </w:p>
    <w:p w14:paraId="40601854" w14:textId="77777777" w:rsidR="009A4BFE" w:rsidRDefault="0051186A">
      <w:pPr>
        <w:numPr>
          <w:ilvl w:val="0"/>
          <w:numId w:val="19"/>
        </w:numPr>
        <w:tabs>
          <w:tab w:val="clear" w:pos="567"/>
          <w:tab w:val="left" w:pos="709"/>
        </w:tabs>
        <w:autoSpaceDE w:val="0"/>
        <w:autoSpaceDN w:val="0"/>
        <w:adjustRightInd w:val="0"/>
        <w:spacing w:line="240" w:lineRule="auto"/>
        <w:rPr>
          <w:rFonts w:eastAsia="TimesNewRoman"/>
          <w:snapToGrid/>
          <w:szCs w:val="22"/>
          <w:lang w:val="lt-LT"/>
        </w:rPr>
      </w:pPr>
      <w:r>
        <w:rPr>
          <w:rFonts w:eastAsia="TimesNewRoman"/>
          <w:snapToGrid/>
          <w:szCs w:val="22"/>
          <w:lang w:val="lt-LT"/>
        </w:rPr>
        <w:t>karščiavimas ir purpurinės dėmės (vadinamos purpura) odoje ar burnos ertmėje, kartu gali pagelsti oda ir akys (gelta), be aiškios priežasties pasireikšti labai didelis nuovargis arba sutrikti orientacija.</w:t>
      </w:r>
    </w:p>
    <w:p w14:paraId="41922BF4"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1FACF686"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Pasitarkite su gydytoju pajutę šį sutrikimą:</w:t>
      </w:r>
    </w:p>
    <w:p w14:paraId="497A4613" w14:textId="77777777" w:rsidR="009A4BFE" w:rsidRDefault="0051186A">
      <w:pPr>
        <w:pStyle w:val="Sraopastraipa"/>
        <w:numPr>
          <w:ilvl w:val="0"/>
          <w:numId w:val="27"/>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Bold"/>
          <w:b/>
          <w:bCs/>
          <w:snapToGrid/>
          <w:szCs w:val="22"/>
          <w:lang w:val="lt-LT"/>
        </w:rPr>
        <w:t xml:space="preserve">dusulys (oro trūkumas) - tai pasireiškia labai dažnai. </w:t>
      </w:r>
      <w:r>
        <w:rPr>
          <w:rFonts w:eastAsia="TimesNewRoman"/>
          <w:snapToGrid/>
          <w:szCs w:val="22"/>
          <w:lang w:val="lt-LT"/>
        </w:rPr>
        <w:t xml:space="preserve">Dusulio priežastis gali būti širdies liga, </w:t>
      </w:r>
      <w:proofErr w:type="spellStart"/>
      <w:r>
        <w:rPr>
          <w:szCs w:val="22"/>
          <w:lang w:val="lt-LT"/>
        </w:rPr>
        <w:t>Atixarso</w:t>
      </w:r>
      <w:proofErr w:type="spellEnd"/>
      <w:r>
        <w:rPr>
          <w:rFonts w:eastAsia="TimesNewRoman"/>
          <w:snapToGrid/>
          <w:szCs w:val="22"/>
          <w:lang w:val="lt-LT"/>
        </w:rPr>
        <w:t xml:space="preserve"> šalutinis poveikis ir kt. Su </w:t>
      </w:r>
      <w:proofErr w:type="spellStart"/>
      <w:r>
        <w:rPr>
          <w:szCs w:val="22"/>
          <w:lang w:val="lt-LT"/>
        </w:rPr>
        <w:t>Atixarso</w:t>
      </w:r>
      <w:proofErr w:type="spellEnd"/>
      <w:r>
        <w:rPr>
          <w:rFonts w:eastAsia="TimesNewRoman"/>
          <w:snapToGrid/>
          <w:szCs w:val="22"/>
          <w:lang w:val="lt-LT"/>
        </w:rPr>
        <w:t xml:space="preserve"> susijęs dusulys paprastai būna lengvas, pasireiškia staigiu ir netikėtu oro trūkumu, dažniausiai atsirandančiu ramybėje. Jis gali prasidėti pirmą gydymo savaitę ir paskui išnykti. Jeigu dusulys sunkėja arba ilgai nepraeina, apie jį pasakykite gydytojui, kuris nuspręs, ar nereikia keisti gydymo arba atlikti papildomų tyrimų.</w:t>
      </w:r>
    </w:p>
    <w:p w14:paraId="72DF271C"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75EC3FB3"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Kitas galimas šalutinis poveikis</w:t>
      </w:r>
    </w:p>
    <w:p w14:paraId="0354B0D7" w14:textId="77777777" w:rsidR="009A4BFE" w:rsidRDefault="009A4BFE">
      <w:pPr>
        <w:tabs>
          <w:tab w:val="clear" w:pos="567"/>
        </w:tabs>
        <w:autoSpaceDE w:val="0"/>
        <w:autoSpaceDN w:val="0"/>
        <w:adjustRightInd w:val="0"/>
        <w:spacing w:line="240" w:lineRule="auto"/>
        <w:rPr>
          <w:rFonts w:eastAsia="TimesNewRoman,Bold"/>
          <w:snapToGrid/>
          <w:szCs w:val="22"/>
          <w:lang w:val="lt-LT"/>
        </w:rPr>
      </w:pPr>
    </w:p>
    <w:p w14:paraId="6310D07D"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Labai dažni šalutinio poveikio reiškiniai (gali pasireikšti ne rečiau kaip 1 iš 10 asmenų):</w:t>
      </w:r>
    </w:p>
    <w:p w14:paraId="171B47F2" w14:textId="77777777" w:rsidR="009A4BFE" w:rsidRDefault="0051186A">
      <w:pPr>
        <w:numPr>
          <w:ilvl w:val="0"/>
          <w:numId w:val="3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padidėjusi šlapimo rūgšties koncentracija kraujyje (nustatoma tam tikru tyrimu);</w:t>
      </w:r>
    </w:p>
    <w:p w14:paraId="0CA3D50D" w14:textId="77777777" w:rsidR="009A4BFE" w:rsidRDefault="0051186A">
      <w:pPr>
        <w:numPr>
          <w:ilvl w:val="0"/>
          <w:numId w:val="30"/>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dėl kraujo sutrikimų.</w:t>
      </w:r>
    </w:p>
    <w:p w14:paraId="043107CD" w14:textId="77777777" w:rsidR="009A4BFE" w:rsidRDefault="009A4BFE">
      <w:pPr>
        <w:tabs>
          <w:tab w:val="clear" w:pos="567"/>
        </w:tabs>
        <w:autoSpaceDE w:val="0"/>
        <w:autoSpaceDN w:val="0"/>
        <w:adjustRightInd w:val="0"/>
        <w:spacing w:line="240" w:lineRule="auto"/>
        <w:rPr>
          <w:rFonts w:eastAsia="TimesNewRoman"/>
          <w:snapToGrid/>
          <w:szCs w:val="22"/>
          <w:lang w:val="lt-LT"/>
        </w:rPr>
      </w:pPr>
    </w:p>
    <w:p w14:paraId="6805002A"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Dažni šalutinio poveikio reiškiniai (gali pasireikšti rečiau kaip 1 iš 10 asmenų):</w:t>
      </w:r>
    </w:p>
    <w:p w14:paraId="22E42A0B"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kraujosruvos;</w:t>
      </w:r>
    </w:p>
    <w:p w14:paraId="262DB938"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galvos skausmas;</w:t>
      </w:r>
    </w:p>
    <w:p w14:paraId="43276F49"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svaigulys arba svaigimas (lyg suktųsi kambarys);</w:t>
      </w:r>
    </w:p>
    <w:p w14:paraId="5AE52A78"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viduriavimas ar </w:t>
      </w:r>
      <w:proofErr w:type="spellStart"/>
      <w:r>
        <w:rPr>
          <w:rFonts w:eastAsia="TimesNewRoman"/>
          <w:snapToGrid/>
          <w:szCs w:val="22"/>
          <w:lang w:val="lt-LT"/>
        </w:rPr>
        <w:t>nevirškinimas</w:t>
      </w:r>
      <w:proofErr w:type="spellEnd"/>
      <w:r>
        <w:rPr>
          <w:rFonts w:eastAsia="TimesNewRoman"/>
          <w:snapToGrid/>
          <w:szCs w:val="22"/>
          <w:lang w:val="lt-LT"/>
        </w:rPr>
        <w:t>;</w:t>
      </w:r>
    </w:p>
    <w:p w14:paraId="249B2D77"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pykinimas;</w:t>
      </w:r>
    </w:p>
    <w:p w14:paraId="702BE8F9"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vidurių užkietėjimas;</w:t>
      </w:r>
    </w:p>
    <w:p w14:paraId="5F9581E1"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išbėrimas;</w:t>
      </w:r>
    </w:p>
    <w:p w14:paraId="05A48476"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niežėjimas;</w:t>
      </w:r>
    </w:p>
    <w:p w14:paraId="137A4FAD"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stiprus sąnarių skausmas ir patinimas (podagros požymiai);</w:t>
      </w:r>
    </w:p>
    <w:p w14:paraId="564F6B26"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svaigulys ar apsvaigimas arba neryškus matymas (rodo sumažėjusį kraujospūdį);</w:t>
      </w:r>
    </w:p>
    <w:p w14:paraId="3FCE7FB3"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nosies;</w:t>
      </w:r>
    </w:p>
    <w:p w14:paraId="7005C945"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po operacijos arba įsipjovus (pvz., skutantis) ir iš žaizdų daugiau negu normaliai;</w:t>
      </w:r>
    </w:p>
    <w:p w14:paraId="290754B4"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skrandžio gleivinės (opos);</w:t>
      </w:r>
    </w:p>
    <w:p w14:paraId="194941F4" w14:textId="77777777" w:rsidR="009A4BFE" w:rsidRDefault="0051186A">
      <w:pPr>
        <w:numPr>
          <w:ilvl w:val="0"/>
          <w:numId w:val="29"/>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dantenų.</w:t>
      </w:r>
    </w:p>
    <w:p w14:paraId="2A73E8D6" w14:textId="77777777" w:rsidR="009A4BFE" w:rsidRDefault="009A4BFE">
      <w:pPr>
        <w:tabs>
          <w:tab w:val="clear" w:pos="567"/>
        </w:tabs>
        <w:autoSpaceDE w:val="0"/>
        <w:autoSpaceDN w:val="0"/>
        <w:adjustRightInd w:val="0"/>
        <w:spacing w:line="240" w:lineRule="auto"/>
        <w:ind w:left="567" w:hanging="567"/>
        <w:rPr>
          <w:rFonts w:eastAsia="TimesNewRoman"/>
          <w:snapToGrid/>
          <w:szCs w:val="22"/>
          <w:lang w:val="lt-LT"/>
        </w:rPr>
      </w:pPr>
    </w:p>
    <w:p w14:paraId="3BB82040" w14:textId="77777777" w:rsidR="009A4BFE" w:rsidRDefault="0051186A">
      <w:pPr>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Nedažni šalutinio poveikio reiškiniai (gali pasireikšti rečiau kaip 1 iš 100 asmenų):</w:t>
      </w:r>
    </w:p>
    <w:p w14:paraId="21BA0E2B" w14:textId="77777777" w:rsidR="009A4BFE" w:rsidRDefault="0051186A">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alerginė reakcija – jos požymiai gali būti išbėrimas, niežėjimas arba veido, lūpų ar liežuvio patinimas;</w:t>
      </w:r>
    </w:p>
    <w:p w14:paraId="79BE5611" w14:textId="77777777" w:rsidR="009A4BFE" w:rsidRDefault="0051186A">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sumišimas;</w:t>
      </w:r>
    </w:p>
    <w:p w14:paraId="15F8D133" w14:textId="77777777" w:rsidR="009A4BFE" w:rsidRDefault="0051186A">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sutrikęs regėjimas dėl kraujo akyje;</w:t>
      </w:r>
    </w:p>
    <w:p w14:paraId="057E514C" w14:textId="77777777" w:rsidR="009A4BFE" w:rsidRDefault="0051186A">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iš makšties – gausesnis arba ne mėnesinių metu;</w:t>
      </w:r>
    </w:p>
    <w:p w14:paraId="5A0173D3" w14:textId="77777777" w:rsidR="009A4BFE" w:rsidRDefault="0051186A">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kraujavimas į sąnarius ir raumenis, dėl kurio gali atsirasti skausmingas patinimas;</w:t>
      </w:r>
    </w:p>
    <w:p w14:paraId="04C54DBB" w14:textId="77777777" w:rsidR="009A4BFE" w:rsidRDefault="0051186A">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kraujas ausyje;</w:t>
      </w:r>
    </w:p>
    <w:p w14:paraId="2043BDE0" w14:textId="77777777" w:rsidR="009A4BFE" w:rsidRDefault="0051186A">
      <w:pPr>
        <w:numPr>
          <w:ilvl w:val="0"/>
          <w:numId w:val="36"/>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vidinis kraujavimas, dėl kurio gali pasireikšti svaigulys ar apsvaigimas.</w:t>
      </w:r>
    </w:p>
    <w:p w14:paraId="61D80407" w14:textId="77777777" w:rsidR="009A4BFE" w:rsidRDefault="009A4BFE">
      <w:pPr>
        <w:tabs>
          <w:tab w:val="clear" w:pos="567"/>
        </w:tabs>
        <w:autoSpaceDE w:val="0"/>
        <w:autoSpaceDN w:val="0"/>
        <w:adjustRightInd w:val="0"/>
        <w:spacing w:line="240" w:lineRule="auto"/>
        <w:ind w:left="567"/>
        <w:rPr>
          <w:rFonts w:eastAsia="TimesNewRoman"/>
          <w:snapToGrid/>
          <w:szCs w:val="22"/>
          <w:lang w:val="lt-LT"/>
        </w:rPr>
      </w:pPr>
    </w:p>
    <w:p w14:paraId="371F6F96" w14:textId="77777777" w:rsidR="009A4BFE" w:rsidRPr="0022257B" w:rsidRDefault="0051186A">
      <w:pPr>
        <w:spacing w:line="240" w:lineRule="auto"/>
        <w:rPr>
          <w:b/>
          <w:lang w:val="pt-PT"/>
        </w:rPr>
      </w:pPr>
      <w:r w:rsidRPr="0022257B">
        <w:rPr>
          <w:b/>
          <w:lang w:val="pt-PT"/>
        </w:rPr>
        <w:t>Dažnis nežinomas (negali būti apskaičiuotas pagal turimus duomenis):</w:t>
      </w:r>
    </w:p>
    <w:p w14:paraId="4C08AEAC" w14:textId="77777777" w:rsidR="009A4BFE" w:rsidRDefault="0051186A">
      <w:pPr>
        <w:numPr>
          <w:ilvl w:val="0"/>
          <w:numId w:val="43"/>
        </w:numPr>
        <w:tabs>
          <w:tab w:val="clear" w:pos="567"/>
        </w:tabs>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nenormaliai retas pulsas (dažniausiai retesnis kaip 60 dūžių per minutę).</w:t>
      </w:r>
    </w:p>
    <w:p w14:paraId="0421ECE1" w14:textId="77777777" w:rsidR="009A4BFE" w:rsidRDefault="009A4BFE">
      <w:pPr>
        <w:spacing w:line="240" w:lineRule="auto"/>
        <w:rPr>
          <w:bCs/>
          <w:szCs w:val="24"/>
          <w:lang w:val="lt-LT"/>
        </w:rPr>
      </w:pPr>
    </w:p>
    <w:p w14:paraId="248938E6" w14:textId="77777777" w:rsidR="009A4BFE" w:rsidRDefault="0051186A">
      <w:pPr>
        <w:widowControl w:val="0"/>
        <w:spacing w:line="240" w:lineRule="auto"/>
        <w:rPr>
          <w:b/>
          <w:szCs w:val="22"/>
          <w:lang w:val="lt-LT"/>
        </w:rPr>
      </w:pPr>
      <w:r>
        <w:rPr>
          <w:b/>
          <w:noProof/>
          <w:szCs w:val="22"/>
          <w:lang w:val="lt-LT"/>
        </w:rPr>
        <w:t>Pranešimas apie šalutinį poveikį</w:t>
      </w:r>
    </w:p>
    <w:p w14:paraId="3F589C22" w14:textId="77777777" w:rsidR="009A4BFE" w:rsidRDefault="0051186A">
      <w:pPr>
        <w:ind w:right="-1"/>
        <w:rPr>
          <w:snapToGrid/>
          <w:lang w:val="lt-LT"/>
        </w:rPr>
      </w:pPr>
      <w:r>
        <w:rPr>
          <w:snapToGrid/>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p>
    <w:p w14:paraId="242CE787" w14:textId="77777777" w:rsidR="009A4BFE" w:rsidRDefault="009A4BFE">
      <w:pPr>
        <w:ind w:right="-449"/>
        <w:rPr>
          <w:noProof/>
          <w:szCs w:val="24"/>
          <w:lang w:val="lt-LT"/>
        </w:rPr>
      </w:pPr>
    </w:p>
    <w:p w14:paraId="69BAFEAE" w14:textId="77777777" w:rsidR="009A4BFE" w:rsidRDefault="009A4BFE">
      <w:pPr>
        <w:ind w:right="-449"/>
        <w:rPr>
          <w:noProof/>
          <w:szCs w:val="24"/>
          <w:lang w:val="lt-LT"/>
        </w:rPr>
      </w:pPr>
    </w:p>
    <w:p w14:paraId="45C954D8"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proofErr w:type="spellStart"/>
      <w:r>
        <w:rPr>
          <w:rFonts w:ascii="Times New Roman" w:hAnsi="Times New Roman"/>
          <w:sz w:val="22"/>
          <w:szCs w:val="22"/>
          <w:lang w:val="lt-LT"/>
        </w:rPr>
        <w:t>Atixarso</w:t>
      </w:r>
      <w:proofErr w:type="spellEnd"/>
    </w:p>
    <w:p w14:paraId="57C8B111" w14:textId="77777777" w:rsidR="009A4BFE" w:rsidRDefault="009A4BFE">
      <w:pPr>
        <w:numPr>
          <w:ilvl w:val="12"/>
          <w:numId w:val="0"/>
        </w:numPr>
        <w:tabs>
          <w:tab w:val="clear" w:pos="567"/>
        </w:tabs>
        <w:spacing w:line="240" w:lineRule="auto"/>
        <w:ind w:right="-2"/>
        <w:rPr>
          <w:szCs w:val="24"/>
          <w:lang w:val="lt-LT"/>
        </w:rPr>
      </w:pPr>
    </w:p>
    <w:p w14:paraId="493DC7C5" w14:textId="77777777" w:rsidR="009A4BFE" w:rsidRDefault="0051186A">
      <w:pPr>
        <w:numPr>
          <w:ilvl w:val="12"/>
          <w:numId w:val="0"/>
        </w:numPr>
        <w:tabs>
          <w:tab w:val="clear" w:pos="567"/>
        </w:tabs>
        <w:spacing w:line="240" w:lineRule="auto"/>
        <w:ind w:right="-2"/>
        <w:rPr>
          <w:szCs w:val="24"/>
          <w:lang w:val="lt-LT"/>
        </w:rPr>
      </w:pPr>
      <w:r>
        <w:rPr>
          <w:noProof/>
          <w:szCs w:val="24"/>
          <w:lang w:val="lt-LT"/>
        </w:rPr>
        <w:t>Šį vaistą laikykite vaikams nepastebimoje ir nepasiekiamoje vietoje.</w:t>
      </w:r>
    </w:p>
    <w:p w14:paraId="6225AE4D" w14:textId="77777777" w:rsidR="009A4BFE" w:rsidRDefault="009A4BFE">
      <w:pPr>
        <w:numPr>
          <w:ilvl w:val="12"/>
          <w:numId w:val="0"/>
        </w:numPr>
        <w:tabs>
          <w:tab w:val="clear" w:pos="567"/>
        </w:tabs>
        <w:spacing w:line="240" w:lineRule="auto"/>
        <w:ind w:right="-2"/>
        <w:rPr>
          <w:szCs w:val="24"/>
          <w:lang w:val="lt-LT"/>
        </w:rPr>
      </w:pPr>
    </w:p>
    <w:p w14:paraId="5A9CA2BA" w14:textId="77777777" w:rsidR="009A4BFE" w:rsidRDefault="0051186A">
      <w:pPr>
        <w:numPr>
          <w:ilvl w:val="12"/>
          <w:numId w:val="0"/>
        </w:numPr>
        <w:tabs>
          <w:tab w:val="clear" w:pos="567"/>
        </w:tabs>
        <w:spacing w:line="240" w:lineRule="auto"/>
        <w:ind w:right="-2"/>
        <w:rPr>
          <w:szCs w:val="24"/>
          <w:lang w:val="lt-LT"/>
        </w:rPr>
      </w:pPr>
      <w:r>
        <w:rPr>
          <w:noProof/>
          <w:szCs w:val="24"/>
          <w:lang w:val="lt-LT"/>
        </w:rPr>
        <w:t xml:space="preserve">Ant dėžutės ir lizdinės plokštelės po „EXP“ nurodytam tinkamumo laikui pasibaigus, šio vaisto vartoti negalima. Vaistas tinkamas vartoti iki paskutinės nurodyto mėnesio dienos. </w:t>
      </w:r>
    </w:p>
    <w:p w14:paraId="461BA2D8" w14:textId="77777777" w:rsidR="009A4BFE" w:rsidRDefault="009A4BFE">
      <w:pPr>
        <w:numPr>
          <w:ilvl w:val="12"/>
          <w:numId w:val="0"/>
        </w:numPr>
        <w:tabs>
          <w:tab w:val="clear" w:pos="567"/>
        </w:tabs>
        <w:spacing w:line="240" w:lineRule="auto"/>
        <w:ind w:right="-2"/>
        <w:rPr>
          <w:szCs w:val="24"/>
          <w:lang w:val="lt-LT"/>
        </w:rPr>
      </w:pPr>
    </w:p>
    <w:p w14:paraId="2D431A2D" w14:textId="77777777" w:rsidR="009A4BFE" w:rsidRDefault="0051186A">
      <w:pPr>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Šiam vaistui specialių laikymo sąlygų nereikia.</w:t>
      </w:r>
    </w:p>
    <w:p w14:paraId="025004CC" w14:textId="77777777" w:rsidR="009A4BFE" w:rsidRDefault="009A4BFE">
      <w:pPr>
        <w:numPr>
          <w:ilvl w:val="12"/>
          <w:numId w:val="0"/>
        </w:numPr>
        <w:tabs>
          <w:tab w:val="clear" w:pos="567"/>
        </w:tabs>
        <w:spacing w:line="240" w:lineRule="auto"/>
        <w:ind w:right="-2"/>
        <w:rPr>
          <w:szCs w:val="24"/>
          <w:lang w:val="lt-LT"/>
        </w:rPr>
      </w:pPr>
    </w:p>
    <w:p w14:paraId="52D4AE6C" w14:textId="77777777" w:rsidR="009A4BFE" w:rsidRDefault="0051186A">
      <w:pPr>
        <w:numPr>
          <w:ilvl w:val="12"/>
          <w:numId w:val="0"/>
        </w:numPr>
        <w:tabs>
          <w:tab w:val="clear" w:pos="567"/>
        </w:tabs>
        <w:spacing w:line="240" w:lineRule="auto"/>
        <w:ind w:right="-2"/>
        <w:rPr>
          <w:i/>
          <w:lang w:val="lt-LT"/>
        </w:rPr>
      </w:pPr>
      <w:r>
        <w:rPr>
          <w:noProof/>
          <w:szCs w:val="24"/>
          <w:lang w:val="lt-LT"/>
        </w:rPr>
        <w:t>Vaistų negalima išmesti į kanalizaciją arba su buitinėmis atliekomis.</w:t>
      </w:r>
      <w:r>
        <w:rPr>
          <w:szCs w:val="24"/>
          <w:lang w:val="lt-LT"/>
        </w:rPr>
        <w:t xml:space="preserve"> </w:t>
      </w:r>
      <w:r>
        <w:rPr>
          <w:noProof/>
          <w:szCs w:val="24"/>
          <w:lang w:val="lt-LT"/>
        </w:rPr>
        <w:t>Kaip išmesti nereikalingus vaistus, klauskite vaistininko.</w:t>
      </w:r>
      <w:r>
        <w:rPr>
          <w:szCs w:val="24"/>
          <w:lang w:val="lt-LT"/>
        </w:rPr>
        <w:t xml:space="preserve"> </w:t>
      </w:r>
      <w:r>
        <w:rPr>
          <w:noProof/>
          <w:szCs w:val="24"/>
          <w:lang w:val="lt-LT"/>
        </w:rPr>
        <w:t>Šios priemonės padės apsaugoti aplinką.</w:t>
      </w:r>
    </w:p>
    <w:p w14:paraId="44343470" w14:textId="77777777" w:rsidR="009A4BFE" w:rsidRDefault="009A4BFE">
      <w:pPr>
        <w:numPr>
          <w:ilvl w:val="12"/>
          <w:numId w:val="0"/>
        </w:numPr>
        <w:tabs>
          <w:tab w:val="clear" w:pos="567"/>
        </w:tabs>
        <w:spacing w:line="240" w:lineRule="auto"/>
        <w:ind w:right="-2"/>
        <w:rPr>
          <w:noProof/>
          <w:szCs w:val="24"/>
          <w:lang w:val="lt-LT"/>
        </w:rPr>
      </w:pPr>
    </w:p>
    <w:p w14:paraId="21CC76F2" w14:textId="77777777" w:rsidR="009A4BFE" w:rsidRDefault="009A4BFE">
      <w:pPr>
        <w:pStyle w:val="Antrat3"/>
        <w:spacing w:before="0" w:after="0" w:line="240" w:lineRule="auto"/>
        <w:rPr>
          <w:rFonts w:ascii="Times New Roman" w:hAnsi="Times New Roman"/>
          <w:b w:val="0"/>
          <w:bCs w:val="0"/>
          <w:sz w:val="22"/>
          <w:lang w:val="lt-LT"/>
        </w:rPr>
      </w:pPr>
    </w:p>
    <w:p w14:paraId="3BFBD59D" w14:textId="77777777" w:rsidR="009A4BFE" w:rsidRDefault="0051186A">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473ECE9D" w14:textId="77777777" w:rsidR="009A4BFE" w:rsidRDefault="009A4BFE">
      <w:pPr>
        <w:numPr>
          <w:ilvl w:val="12"/>
          <w:numId w:val="0"/>
        </w:numPr>
        <w:tabs>
          <w:tab w:val="clear" w:pos="567"/>
        </w:tabs>
        <w:spacing w:line="240" w:lineRule="auto"/>
        <w:rPr>
          <w:szCs w:val="24"/>
          <w:lang w:val="lt-LT"/>
        </w:rPr>
      </w:pPr>
    </w:p>
    <w:p w14:paraId="4F892A10" w14:textId="77777777" w:rsidR="009A4BFE" w:rsidRDefault="0051186A">
      <w:pPr>
        <w:pStyle w:val="Antrat4"/>
        <w:rPr>
          <w:rFonts w:ascii="Times New Roman" w:hAnsi="Times New Roman"/>
          <w:sz w:val="22"/>
          <w:lang w:val="lt-LT"/>
        </w:rPr>
      </w:pPr>
      <w:proofErr w:type="spellStart"/>
      <w:r>
        <w:rPr>
          <w:rFonts w:ascii="Times New Roman" w:hAnsi="Times New Roman"/>
          <w:sz w:val="22"/>
          <w:szCs w:val="22"/>
          <w:lang w:val="lt-LT"/>
        </w:rPr>
        <w:t>Atixarso</w:t>
      </w:r>
      <w:proofErr w:type="spellEnd"/>
      <w:r>
        <w:rPr>
          <w:rFonts w:ascii="Times New Roman" w:hAnsi="Times New Roman"/>
          <w:sz w:val="22"/>
          <w:lang w:val="lt-LT"/>
        </w:rPr>
        <w:t xml:space="preserve"> sudėtis </w:t>
      </w:r>
    </w:p>
    <w:p w14:paraId="5C1F7729" w14:textId="77777777" w:rsidR="009A4BFE" w:rsidRDefault="0051186A">
      <w:pPr>
        <w:numPr>
          <w:ilvl w:val="0"/>
          <w:numId w:val="19"/>
        </w:numPr>
        <w:autoSpaceDE w:val="0"/>
        <w:autoSpaceDN w:val="0"/>
        <w:adjustRightInd w:val="0"/>
        <w:spacing w:line="240" w:lineRule="auto"/>
        <w:ind w:left="567" w:hanging="567"/>
        <w:rPr>
          <w:rFonts w:eastAsia="TimesNewRoman"/>
          <w:snapToGrid/>
          <w:szCs w:val="22"/>
          <w:lang w:val="lt-LT"/>
        </w:rPr>
      </w:pPr>
      <w:r>
        <w:rPr>
          <w:rFonts w:eastAsia="TimesNewRoman"/>
          <w:snapToGrid/>
          <w:szCs w:val="22"/>
          <w:lang w:val="lt-LT"/>
        </w:rPr>
        <w:t xml:space="preserve">Veiklioji medžiaga yra </w:t>
      </w:r>
      <w:proofErr w:type="spellStart"/>
      <w:r>
        <w:rPr>
          <w:rFonts w:eastAsia="TimesNewRoman"/>
          <w:snapToGrid/>
          <w:szCs w:val="22"/>
          <w:lang w:val="lt-LT"/>
        </w:rPr>
        <w:t>tikagreloras</w:t>
      </w:r>
      <w:proofErr w:type="spellEnd"/>
      <w:r>
        <w:rPr>
          <w:rFonts w:eastAsia="TimesNewRoman"/>
          <w:snapToGrid/>
          <w:szCs w:val="22"/>
          <w:lang w:val="lt-LT"/>
        </w:rPr>
        <w:t xml:space="preserve">. Kiekvienoje plėvele dengtoje tabletėje yra 90 mg </w:t>
      </w:r>
      <w:proofErr w:type="spellStart"/>
      <w:r>
        <w:rPr>
          <w:rFonts w:eastAsia="TimesNewRoman"/>
          <w:snapToGrid/>
          <w:szCs w:val="22"/>
          <w:lang w:val="lt-LT"/>
        </w:rPr>
        <w:t>tikagreloro</w:t>
      </w:r>
      <w:proofErr w:type="spellEnd"/>
      <w:r>
        <w:rPr>
          <w:rFonts w:eastAsia="TimesNewRoman"/>
          <w:snapToGrid/>
          <w:szCs w:val="22"/>
          <w:lang w:val="lt-LT"/>
        </w:rPr>
        <w:t>.</w:t>
      </w:r>
    </w:p>
    <w:p w14:paraId="3E2B4772" w14:textId="77777777" w:rsidR="009A4BFE" w:rsidRDefault="0051186A">
      <w:pPr>
        <w:numPr>
          <w:ilvl w:val="0"/>
          <w:numId w:val="19"/>
        </w:numPr>
        <w:autoSpaceDE w:val="0"/>
        <w:autoSpaceDN w:val="0"/>
        <w:adjustRightInd w:val="0"/>
        <w:spacing w:line="240" w:lineRule="auto"/>
        <w:ind w:hanging="720"/>
        <w:rPr>
          <w:rFonts w:eastAsia="TimesNewRoman"/>
          <w:snapToGrid/>
          <w:szCs w:val="22"/>
          <w:lang w:val="lt-LT"/>
        </w:rPr>
      </w:pPr>
      <w:r>
        <w:rPr>
          <w:rFonts w:eastAsia="TimesNewRoman"/>
          <w:snapToGrid/>
          <w:szCs w:val="22"/>
          <w:lang w:val="lt-LT"/>
        </w:rPr>
        <w:t>Pagalbinės medžiagos yra:</w:t>
      </w:r>
    </w:p>
    <w:p w14:paraId="1D60BB4E" w14:textId="77777777" w:rsidR="009A4BFE" w:rsidRPr="0022257B" w:rsidRDefault="0051186A">
      <w:pPr>
        <w:widowControl w:val="0"/>
        <w:ind w:left="567"/>
        <w:outlineLvl w:val="0"/>
        <w:rPr>
          <w:lang w:val="pt-PT"/>
        </w:rPr>
      </w:pPr>
      <w:r>
        <w:rPr>
          <w:szCs w:val="22"/>
          <w:u w:val="single"/>
          <w:lang w:val="lt-LT"/>
        </w:rPr>
        <w:t>Tabletės branduolys</w:t>
      </w:r>
      <w:r>
        <w:rPr>
          <w:szCs w:val="22"/>
          <w:lang w:val="lt-LT"/>
        </w:rPr>
        <w:t xml:space="preserve">: </w:t>
      </w:r>
      <w:proofErr w:type="spellStart"/>
      <w:r>
        <w:rPr>
          <w:szCs w:val="22"/>
          <w:lang w:val="lt-LT"/>
        </w:rPr>
        <w:t>mikrokristalinė</w:t>
      </w:r>
      <w:proofErr w:type="spellEnd"/>
      <w:r>
        <w:rPr>
          <w:szCs w:val="22"/>
          <w:lang w:val="lt-LT"/>
        </w:rPr>
        <w:t xml:space="preserve"> celiuliozė</w:t>
      </w:r>
      <w:r w:rsidRPr="0022257B">
        <w:rPr>
          <w:lang w:val="pt-PT"/>
        </w:rPr>
        <w:t xml:space="preserve"> (E460), k</w:t>
      </w:r>
      <w:proofErr w:type="spellStart"/>
      <w:r>
        <w:rPr>
          <w:szCs w:val="22"/>
          <w:lang w:val="lt-LT"/>
        </w:rPr>
        <w:t>alcio</w:t>
      </w:r>
      <w:proofErr w:type="spellEnd"/>
      <w:r>
        <w:rPr>
          <w:szCs w:val="22"/>
          <w:lang w:val="lt-LT"/>
        </w:rPr>
        <w:t xml:space="preserve">-vandenilio fosfatas </w:t>
      </w:r>
      <w:proofErr w:type="spellStart"/>
      <w:r>
        <w:rPr>
          <w:szCs w:val="22"/>
          <w:lang w:val="lt-LT"/>
        </w:rPr>
        <w:t>dihidratas</w:t>
      </w:r>
      <w:proofErr w:type="spellEnd"/>
      <w:r w:rsidRPr="0022257B">
        <w:rPr>
          <w:lang w:val="pt-PT"/>
        </w:rPr>
        <w:t xml:space="preserve"> (E341), h</w:t>
      </w:r>
      <w:proofErr w:type="spellStart"/>
      <w:r>
        <w:rPr>
          <w:szCs w:val="22"/>
          <w:lang w:val="lt-LT"/>
        </w:rPr>
        <w:t>ipromeliozė</w:t>
      </w:r>
      <w:proofErr w:type="spellEnd"/>
      <w:r w:rsidRPr="0022257B">
        <w:rPr>
          <w:lang w:val="pt-PT"/>
        </w:rPr>
        <w:t xml:space="preserve"> 2910 (E464), kroskarmeliozės natrio druska (E468), m</w:t>
      </w:r>
      <w:r>
        <w:rPr>
          <w:szCs w:val="22"/>
          <w:lang w:val="lt-LT"/>
        </w:rPr>
        <w:t xml:space="preserve">agnio </w:t>
      </w:r>
      <w:proofErr w:type="spellStart"/>
      <w:r>
        <w:rPr>
          <w:szCs w:val="22"/>
          <w:lang w:val="lt-LT"/>
        </w:rPr>
        <w:t>stearatas</w:t>
      </w:r>
      <w:proofErr w:type="spellEnd"/>
      <w:r w:rsidRPr="0022257B">
        <w:rPr>
          <w:lang w:val="pt-PT"/>
        </w:rPr>
        <w:t xml:space="preserve"> (E470b).</w:t>
      </w:r>
    </w:p>
    <w:p w14:paraId="22FE5F7A" w14:textId="77777777" w:rsidR="009A4BFE" w:rsidRPr="0022257B" w:rsidRDefault="0051186A">
      <w:pPr>
        <w:widowControl w:val="0"/>
        <w:ind w:left="567"/>
        <w:outlineLvl w:val="0"/>
        <w:rPr>
          <w:lang w:val="pt-PT"/>
        </w:rPr>
      </w:pPr>
      <w:r>
        <w:rPr>
          <w:szCs w:val="22"/>
          <w:u w:val="single"/>
          <w:lang w:val="lt-LT"/>
        </w:rPr>
        <w:t>Tabletės plėvelė</w:t>
      </w:r>
      <w:r>
        <w:rPr>
          <w:szCs w:val="22"/>
          <w:lang w:val="lt-LT"/>
        </w:rPr>
        <w:t xml:space="preserve">: </w:t>
      </w:r>
      <w:r>
        <w:rPr>
          <w:szCs w:val="22"/>
          <w:lang w:val="es-ES"/>
        </w:rPr>
        <w:t>hipromeliozė</w:t>
      </w:r>
      <w:r w:rsidRPr="0022257B">
        <w:rPr>
          <w:lang w:val="pt-PT"/>
        </w:rPr>
        <w:t xml:space="preserve"> (E464), t</w:t>
      </w:r>
      <w:r>
        <w:rPr>
          <w:szCs w:val="22"/>
          <w:lang w:val="pt-PT"/>
        </w:rPr>
        <w:t>itano dioksidas</w:t>
      </w:r>
      <w:r w:rsidRPr="0022257B">
        <w:rPr>
          <w:lang w:val="pt-PT"/>
        </w:rPr>
        <w:t xml:space="preserve"> (E171), talkas (E553b), p</w:t>
      </w:r>
      <w:r>
        <w:rPr>
          <w:szCs w:val="22"/>
          <w:lang w:val="pt-PT"/>
        </w:rPr>
        <w:t>ropilenglikolis</w:t>
      </w:r>
      <w:r w:rsidRPr="0022257B">
        <w:rPr>
          <w:lang w:val="pt-PT"/>
        </w:rPr>
        <w:t xml:space="preserve"> (E1520), </w:t>
      </w:r>
      <w:r>
        <w:rPr>
          <w:szCs w:val="22"/>
          <w:lang w:val="pt-PT"/>
        </w:rPr>
        <w:t>geltonasis geležies oksidas</w:t>
      </w:r>
      <w:r w:rsidRPr="0022257B">
        <w:rPr>
          <w:lang w:val="pt-PT"/>
        </w:rPr>
        <w:t xml:space="preserve"> (E172).</w:t>
      </w:r>
    </w:p>
    <w:p w14:paraId="13A19162" w14:textId="77777777" w:rsidR="009A4BFE" w:rsidRDefault="0051186A">
      <w:pPr>
        <w:autoSpaceDE w:val="0"/>
        <w:autoSpaceDN w:val="0"/>
        <w:adjustRightInd w:val="0"/>
        <w:spacing w:line="240" w:lineRule="auto"/>
        <w:ind w:left="567"/>
        <w:rPr>
          <w:szCs w:val="22"/>
          <w:lang w:val="lt-LT"/>
        </w:rPr>
      </w:pPr>
      <w:r>
        <w:rPr>
          <w:szCs w:val="22"/>
          <w:lang w:val="lt-LT"/>
        </w:rPr>
        <w:t>Žr. 2 skyrių „</w:t>
      </w:r>
      <w:proofErr w:type="spellStart"/>
      <w:r>
        <w:rPr>
          <w:szCs w:val="22"/>
          <w:lang w:val="lt-LT"/>
        </w:rPr>
        <w:t>Atixarso</w:t>
      </w:r>
      <w:proofErr w:type="spellEnd"/>
      <w:r>
        <w:rPr>
          <w:szCs w:val="22"/>
          <w:lang w:val="lt-LT"/>
        </w:rPr>
        <w:t xml:space="preserve"> sudėtyje yra natrio“.</w:t>
      </w:r>
    </w:p>
    <w:p w14:paraId="385309B6" w14:textId="77777777" w:rsidR="009A4BFE" w:rsidRDefault="009A4BFE">
      <w:pPr>
        <w:numPr>
          <w:ilvl w:val="12"/>
          <w:numId w:val="0"/>
        </w:numPr>
        <w:tabs>
          <w:tab w:val="clear" w:pos="567"/>
        </w:tabs>
        <w:spacing w:line="240" w:lineRule="auto"/>
        <w:ind w:right="-2"/>
        <w:rPr>
          <w:szCs w:val="24"/>
          <w:lang w:val="lt-LT"/>
        </w:rPr>
      </w:pPr>
    </w:p>
    <w:p w14:paraId="64A84BEE" w14:textId="77777777" w:rsidR="009A4BFE" w:rsidRDefault="0051186A">
      <w:pPr>
        <w:pStyle w:val="Antrat4"/>
        <w:rPr>
          <w:rFonts w:ascii="Times New Roman" w:hAnsi="Times New Roman"/>
          <w:sz w:val="22"/>
          <w:lang w:val="lt-LT"/>
        </w:rPr>
      </w:pPr>
      <w:proofErr w:type="spellStart"/>
      <w:r>
        <w:rPr>
          <w:rFonts w:ascii="Times New Roman" w:hAnsi="Times New Roman"/>
          <w:sz w:val="22"/>
          <w:szCs w:val="22"/>
          <w:lang w:val="lt-LT"/>
        </w:rPr>
        <w:t>Atixarso</w:t>
      </w:r>
      <w:proofErr w:type="spellEnd"/>
      <w:r>
        <w:rPr>
          <w:rFonts w:ascii="Times New Roman" w:hAnsi="Times New Roman"/>
          <w:sz w:val="22"/>
          <w:lang w:val="lt-LT"/>
        </w:rPr>
        <w:t xml:space="preserve"> išvaizda ir kiekis pakuotėje</w:t>
      </w:r>
    </w:p>
    <w:p w14:paraId="2775C7DF" w14:textId="77777777" w:rsidR="009A4BFE" w:rsidRDefault="0051186A">
      <w:pPr>
        <w:rPr>
          <w:rFonts w:eastAsia="TimesNewRoman"/>
          <w:snapToGrid/>
          <w:szCs w:val="22"/>
          <w:lang w:val="lt-LT"/>
        </w:rPr>
      </w:pPr>
      <w:r>
        <w:rPr>
          <w:rFonts w:eastAsia="TimesNewRoman"/>
          <w:snapToGrid/>
          <w:szCs w:val="22"/>
          <w:lang w:val="lt-LT"/>
        </w:rPr>
        <w:t>Šiek tiek rusvai gelsvos, apvalios, abipus išgaubtos plėvele dengtos tabletės (tabletės), kurių vienoje pusėje yra įspaudas 90.</w:t>
      </w:r>
    </w:p>
    <w:p w14:paraId="6C818AC1" w14:textId="77777777" w:rsidR="009A4BFE" w:rsidRDefault="0051186A">
      <w:pPr>
        <w:rPr>
          <w:rFonts w:eastAsia="TimesNewRoman"/>
          <w:snapToGrid/>
          <w:szCs w:val="22"/>
          <w:lang w:val="lt-LT"/>
        </w:rPr>
      </w:pPr>
      <w:r>
        <w:rPr>
          <w:rFonts w:eastAsia="TimesNewRoman"/>
          <w:snapToGrid/>
          <w:szCs w:val="22"/>
          <w:lang w:val="lt-LT"/>
        </w:rPr>
        <w:t xml:space="preserve">Tabletės matmenys: apytiksliai </w:t>
      </w:r>
      <w:r>
        <w:rPr>
          <w:szCs w:val="22"/>
          <w:lang w:val="lt-LT"/>
        </w:rPr>
        <w:t>9</w:t>
      </w:r>
      <w:r>
        <w:rPr>
          <w:snapToGrid/>
          <w:szCs w:val="22"/>
          <w:lang w:val="lt-LT"/>
        </w:rPr>
        <w:t> </w:t>
      </w:r>
      <w:r>
        <w:rPr>
          <w:szCs w:val="22"/>
          <w:lang w:val="lt-LT"/>
        </w:rPr>
        <w:t>mm skersmens.</w:t>
      </w:r>
    </w:p>
    <w:p w14:paraId="40B4F8A9" w14:textId="77777777" w:rsidR="009A4BFE" w:rsidRDefault="009A4BFE">
      <w:pPr>
        <w:rPr>
          <w:rFonts w:eastAsia="TimesNewRoman"/>
          <w:snapToGrid/>
          <w:szCs w:val="22"/>
          <w:lang w:val="lt-LT"/>
        </w:rPr>
      </w:pPr>
    </w:p>
    <w:p w14:paraId="79B4509F" w14:textId="77777777" w:rsidR="009A4BFE" w:rsidRDefault="0051186A">
      <w:pPr>
        <w:autoSpaceDE w:val="0"/>
        <w:autoSpaceDN w:val="0"/>
        <w:rPr>
          <w:rFonts w:eastAsia="TimesNewRoman"/>
          <w:snapToGrid/>
          <w:szCs w:val="22"/>
          <w:lang w:val="lt-LT"/>
        </w:rPr>
      </w:pPr>
      <w:proofErr w:type="spellStart"/>
      <w:r>
        <w:rPr>
          <w:szCs w:val="22"/>
          <w:lang w:val="lt-LT"/>
        </w:rPr>
        <w:t>Atixarso</w:t>
      </w:r>
      <w:proofErr w:type="spellEnd"/>
      <w:r>
        <w:rPr>
          <w:szCs w:val="22"/>
          <w:lang w:val="lt-LT"/>
        </w:rPr>
        <w:t xml:space="preserve"> tiekiamos dėžutėse, kuriose yra </w:t>
      </w:r>
      <w:r w:rsidRPr="0022257B">
        <w:rPr>
          <w:lang w:val="lt-LT"/>
        </w:rPr>
        <w:t>14, 56, 60, 100, 168 ar 180</w:t>
      </w:r>
      <w:r>
        <w:rPr>
          <w:szCs w:val="22"/>
          <w:lang w:val="lt-LT"/>
        </w:rPr>
        <w:t xml:space="preserve"> plėvele dengtos tabletės lizdinėse plokštelėse.</w:t>
      </w:r>
    </w:p>
    <w:p w14:paraId="1585CCD0" w14:textId="77777777" w:rsidR="009A4BFE" w:rsidRDefault="009A4BFE">
      <w:pPr>
        <w:tabs>
          <w:tab w:val="clear" w:pos="567"/>
        </w:tabs>
        <w:spacing w:line="240" w:lineRule="auto"/>
        <w:rPr>
          <w:noProof/>
          <w:szCs w:val="24"/>
          <w:lang w:val="lt-LT"/>
        </w:rPr>
      </w:pPr>
    </w:p>
    <w:p w14:paraId="490F1483" w14:textId="77777777" w:rsidR="009A4BFE" w:rsidRDefault="0051186A">
      <w:pPr>
        <w:tabs>
          <w:tab w:val="clear" w:pos="567"/>
        </w:tabs>
        <w:spacing w:line="240" w:lineRule="auto"/>
        <w:rPr>
          <w:szCs w:val="24"/>
          <w:lang w:val="lt-LT"/>
        </w:rPr>
      </w:pPr>
      <w:r>
        <w:rPr>
          <w:noProof/>
          <w:szCs w:val="24"/>
          <w:lang w:val="lt-LT"/>
        </w:rPr>
        <w:t>Gali būti tiekiamos ne visų dydžių pakuotės.</w:t>
      </w:r>
    </w:p>
    <w:p w14:paraId="6292D455" w14:textId="77777777" w:rsidR="009A4BFE" w:rsidRDefault="009A4BFE">
      <w:pPr>
        <w:numPr>
          <w:ilvl w:val="12"/>
          <w:numId w:val="0"/>
        </w:numPr>
        <w:tabs>
          <w:tab w:val="clear" w:pos="567"/>
        </w:tabs>
        <w:spacing w:line="240" w:lineRule="auto"/>
        <w:ind w:right="-2"/>
        <w:rPr>
          <w:szCs w:val="24"/>
          <w:lang w:val="lt-LT"/>
        </w:rPr>
      </w:pPr>
    </w:p>
    <w:p w14:paraId="35E8AC8D" w14:textId="77777777" w:rsidR="009A4BFE" w:rsidRDefault="009A4BFE">
      <w:pPr>
        <w:numPr>
          <w:ilvl w:val="12"/>
          <w:numId w:val="0"/>
        </w:numPr>
        <w:tabs>
          <w:tab w:val="clear" w:pos="567"/>
        </w:tabs>
        <w:spacing w:line="240" w:lineRule="auto"/>
        <w:ind w:right="-2"/>
        <w:rPr>
          <w:szCs w:val="24"/>
          <w:lang w:val="lt-LT"/>
        </w:rPr>
      </w:pPr>
    </w:p>
    <w:p w14:paraId="3A3077BD" w14:textId="77777777" w:rsidR="009A4BFE" w:rsidRDefault="0051186A">
      <w:pPr>
        <w:pStyle w:val="Antrat4"/>
        <w:rPr>
          <w:rFonts w:ascii="Times New Roman" w:hAnsi="Times New Roman"/>
          <w:sz w:val="22"/>
          <w:lang w:val="lt-LT"/>
        </w:rPr>
      </w:pPr>
      <w:r>
        <w:rPr>
          <w:rFonts w:ascii="Times New Roman" w:hAnsi="Times New Roman"/>
          <w:sz w:val="22"/>
          <w:lang w:val="lt-LT"/>
        </w:rPr>
        <w:t>Registruotojas ir gamintojas</w:t>
      </w:r>
    </w:p>
    <w:p w14:paraId="706E5151" w14:textId="77777777" w:rsidR="009A4BFE" w:rsidRDefault="009A4BFE">
      <w:pPr>
        <w:rPr>
          <w:lang w:val="pt-PT"/>
        </w:rPr>
      </w:pPr>
    </w:p>
    <w:p w14:paraId="53329174" w14:textId="77777777" w:rsidR="009A4BFE" w:rsidRDefault="0051186A">
      <w:pPr>
        <w:rPr>
          <w:i/>
          <w:lang w:val="pt-PT"/>
        </w:rPr>
      </w:pPr>
      <w:r>
        <w:rPr>
          <w:i/>
          <w:lang w:val="pt-PT"/>
        </w:rPr>
        <w:t>Registruotojas ir</w:t>
      </w:r>
      <w:r>
        <w:rPr>
          <w:i/>
          <w:szCs w:val="24"/>
          <w:lang w:val="lt-LT"/>
        </w:rPr>
        <w:t xml:space="preserve"> gamintojas</w:t>
      </w:r>
    </w:p>
    <w:p w14:paraId="5602E0E3" w14:textId="77777777" w:rsidR="009A4BFE" w:rsidRPr="0022257B" w:rsidRDefault="0051186A">
      <w:pPr>
        <w:widowControl w:val="0"/>
        <w:rPr>
          <w:lang w:val="pt-PT"/>
        </w:rPr>
      </w:pPr>
      <w:r>
        <w:rPr>
          <w:szCs w:val="22"/>
          <w:lang w:val="lt-LT"/>
        </w:rPr>
        <w:t xml:space="preserve">KRKA, </w:t>
      </w:r>
      <w:proofErr w:type="spellStart"/>
      <w:r>
        <w:rPr>
          <w:szCs w:val="22"/>
          <w:lang w:val="lt-LT"/>
        </w:rPr>
        <w:t>d.d</w:t>
      </w:r>
      <w:proofErr w:type="spellEnd"/>
      <w:r>
        <w:rPr>
          <w:szCs w:val="22"/>
          <w:lang w:val="lt-LT"/>
        </w:rPr>
        <w:t>., Novo mesto</w:t>
      </w:r>
    </w:p>
    <w:p w14:paraId="477A44D3" w14:textId="77777777" w:rsidR="009A4BFE" w:rsidRPr="0022257B" w:rsidRDefault="0051186A">
      <w:pPr>
        <w:widowControl w:val="0"/>
        <w:rPr>
          <w:lang w:val="pt-PT"/>
        </w:rPr>
      </w:pPr>
      <w:proofErr w:type="spellStart"/>
      <w:r>
        <w:rPr>
          <w:szCs w:val="22"/>
          <w:lang w:val="lt-LT"/>
        </w:rPr>
        <w:t>Šmarješka</w:t>
      </w:r>
      <w:proofErr w:type="spellEnd"/>
      <w:r>
        <w:rPr>
          <w:szCs w:val="22"/>
          <w:lang w:val="lt-LT"/>
        </w:rPr>
        <w:t xml:space="preserve"> </w:t>
      </w:r>
      <w:proofErr w:type="spellStart"/>
      <w:r>
        <w:rPr>
          <w:szCs w:val="22"/>
          <w:lang w:val="lt-LT"/>
        </w:rPr>
        <w:t>cesta</w:t>
      </w:r>
      <w:proofErr w:type="spellEnd"/>
      <w:r>
        <w:rPr>
          <w:szCs w:val="22"/>
          <w:lang w:val="lt-LT"/>
        </w:rPr>
        <w:t xml:space="preserve"> 6</w:t>
      </w:r>
    </w:p>
    <w:p w14:paraId="38AF1CC2" w14:textId="77777777" w:rsidR="009A4BFE" w:rsidRPr="0022257B" w:rsidRDefault="0051186A">
      <w:pPr>
        <w:widowControl w:val="0"/>
        <w:rPr>
          <w:lang w:val="pt-PT"/>
        </w:rPr>
      </w:pPr>
      <w:r>
        <w:rPr>
          <w:szCs w:val="22"/>
          <w:lang w:val="lt-LT"/>
        </w:rPr>
        <w:t>8501 Novo mesto</w:t>
      </w:r>
    </w:p>
    <w:p w14:paraId="30EF0A9B" w14:textId="77777777" w:rsidR="009A4BFE" w:rsidRPr="0022257B" w:rsidRDefault="0051186A">
      <w:pPr>
        <w:widowControl w:val="0"/>
        <w:rPr>
          <w:lang w:val="pt-PT"/>
        </w:rPr>
      </w:pPr>
      <w:r>
        <w:rPr>
          <w:szCs w:val="22"/>
          <w:lang w:val="lt-LT"/>
        </w:rPr>
        <w:t>Slovėnija</w:t>
      </w:r>
    </w:p>
    <w:p w14:paraId="5D76A4C3" w14:textId="77777777" w:rsidR="009A4BFE" w:rsidRDefault="009A4BFE">
      <w:pPr>
        <w:numPr>
          <w:ilvl w:val="12"/>
          <w:numId w:val="0"/>
        </w:numPr>
        <w:tabs>
          <w:tab w:val="clear" w:pos="567"/>
        </w:tabs>
        <w:spacing w:line="240" w:lineRule="auto"/>
        <w:ind w:right="-2"/>
        <w:rPr>
          <w:szCs w:val="24"/>
          <w:lang w:val="lt-LT"/>
        </w:rPr>
      </w:pPr>
    </w:p>
    <w:p w14:paraId="2B9BBF7B" w14:textId="77777777" w:rsidR="009A4BFE" w:rsidRDefault="0051186A">
      <w:pPr>
        <w:numPr>
          <w:ilvl w:val="12"/>
          <w:numId w:val="0"/>
        </w:numPr>
        <w:spacing w:line="240" w:lineRule="auto"/>
        <w:ind w:right="-2"/>
        <w:rPr>
          <w:noProof/>
          <w:szCs w:val="24"/>
          <w:lang w:val="lt-LT"/>
        </w:rPr>
      </w:pPr>
      <w:r>
        <w:rPr>
          <w:noProof/>
          <w:szCs w:val="24"/>
          <w:lang w:val="lt-LT"/>
        </w:rPr>
        <w:t>Jeigu apie šį vaistą norite sužinoti daugiau, kreipkitės į vietinį registruotojo atstovą.</w:t>
      </w:r>
    </w:p>
    <w:p w14:paraId="110DA814" w14:textId="77777777" w:rsidR="009A4BFE" w:rsidRDefault="009A4BFE">
      <w:pPr>
        <w:spacing w:line="240" w:lineRule="auto"/>
        <w:rPr>
          <w:noProof/>
          <w:szCs w:val="24"/>
          <w:lang w:val="lt-LT"/>
        </w:rPr>
      </w:pPr>
    </w:p>
    <w:p w14:paraId="53F5CB4D" w14:textId="77777777" w:rsidR="009A4BFE" w:rsidRPr="0022257B" w:rsidRDefault="0051186A">
      <w:pPr>
        <w:widowControl w:val="0"/>
        <w:rPr>
          <w:lang w:val="lt-LT"/>
        </w:rPr>
      </w:pPr>
      <w:r>
        <w:rPr>
          <w:szCs w:val="22"/>
          <w:lang w:val="lt-LT"/>
        </w:rPr>
        <w:t>UAB KRKA Lietuva</w:t>
      </w:r>
    </w:p>
    <w:p w14:paraId="1785201E" w14:textId="77777777" w:rsidR="009A4BFE" w:rsidRPr="0022257B" w:rsidRDefault="0051186A">
      <w:pPr>
        <w:widowControl w:val="0"/>
        <w:rPr>
          <w:lang w:val="lt-LT"/>
        </w:rPr>
      </w:pPr>
      <w:r>
        <w:rPr>
          <w:szCs w:val="22"/>
          <w:lang w:val="lt-LT"/>
        </w:rPr>
        <w:t>Senasis Ukmergės kelias 4,</w:t>
      </w:r>
    </w:p>
    <w:p w14:paraId="692DDBE3" w14:textId="77777777" w:rsidR="009A4BFE" w:rsidRPr="0022257B" w:rsidRDefault="0051186A">
      <w:pPr>
        <w:widowControl w:val="0"/>
        <w:rPr>
          <w:lang w:val="lt-LT"/>
        </w:rPr>
      </w:pPr>
      <w:proofErr w:type="spellStart"/>
      <w:r>
        <w:rPr>
          <w:szCs w:val="22"/>
          <w:lang w:val="lt-LT"/>
        </w:rPr>
        <w:t>Užubalių</w:t>
      </w:r>
      <w:proofErr w:type="spellEnd"/>
      <w:r>
        <w:rPr>
          <w:szCs w:val="22"/>
          <w:lang w:val="lt-LT"/>
        </w:rPr>
        <w:t xml:space="preserve"> km., Vilniaus r.</w:t>
      </w:r>
    </w:p>
    <w:p w14:paraId="1F598E20" w14:textId="77777777" w:rsidR="009A4BFE" w:rsidRPr="0022257B" w:rsidRDefault="0051186A">
      <w:pPr>
        <w:widowControl w:val="0"/>
        <w:rPr>
          <w:lang w:val="pt-PT"/>
        </w:rPr>
      </w:pPr>
      <w:r>
        <w:rPr>
          <w:szCs w:val="22"/>
          <w:lang w:val="lt-LT"/>
        </w:rPr>
        <w:t>LT - 14013</w:t>
      </w:r>
    </w:p>
    <w:p w14:paraId="49AE225D" w14:textId="77777777" w:rsidR="009A4BFE" w:rsidRDefault="0051186A">
      <w:pPr>
        <w:numPr>
          <w:ilvl w:val="12"/>
          <w:numId w:val="0"/>
        </w:numPr>
        <w:ind w:right="-2"/>
        <w:rPr>
          <w:szCs w:val="22"/>
          <w:lang w:val="lt-LT"/>
        </w:rPr>
      </w:pPr>
      <w:r>
        <w:rPr>
          <w:szCs w:val="22"/>
          <w:lang w:val="lt-LT"/>
        </w:rPr>
        <w:t>Tel. + 370 5 236 27 40</w:t>
      </w:r>
    </w:p>
    <w:p w14:paraId="3869213A" w14:textId="77777777" w:rsidR="009A4BFE" w:rsidRDefault="009A4BFE">
      <w:pPr>
        <w:numPr>
          <w:ilvl w:val="12"/>
          <w:numId w:val="0"/>
        </w:numPr>
        <w:ind w:right="-2"/>
        <w:rPr>
          <w:lang w:val="lt-LT"/>
        </w:rPr>
      </w:pPr>
    </w:p>
    <w:p w14:paraId="342C86F0" w14:textId="77777777" w:rsidR="009A4BFE" w:rsidRDefault="0051186A">
      <w:pPr>
        <w:keepNext/>
        <w:numPr>
          <w:ilvl w:val="12"/>
          <w:numId w:val="0"/>
        </w:numPr>
        <w:ind w:right="-2"/>
        <w:rPr>
          <w:lang w:val="lt-LT"/>
        </w:rPr>
      </w:pPr>
      <w:r>
        <w:rPr>
          <w:b/>
          <w:lang w:val="lt-LT"/>
        </w:rPr>
        <w:lastRenderedPageBreak/>
        <w:t>Šis vaistas Europos ekonominės erdvės valstybėse narėse registruotas tokiais pavadinimais</w:t>
      </w:r>
      <w:r>
        <w:rPr>
          <w:lang w:val="lt-LT"/>
        </w:rPr>
        <w:t>:</w:t>
      </w:r>
    </w:p>
    <w:p w14:paraId="2B416900" w14:textId="77777777" w:rsidR="009A4BFE" w:rsidRDefault="009A4BFE">
      <w:pPr>
        <w:ind w:left="567" w:hanging="567"/>
        <w:rPr>
          <w:lang w:val="lt-LT"/>
        </w:rPr>
      </w:pPr>
    </w:p>
    <w:tbl>
      <w:tblPr>
        <w:tblW w:w="9367" w:type="dxa"/>
        <w:tblInd w:w="-40" w:type="dxa"/>
        <w:tblLayout w:type="fixed"/>
        <w:tblLook w:val="0000" w:firstRow="0" w:lastRow="0" w:firstColumn="0" w:lastColumn="0" w:noHBand="0" w:noVBand="0"/>
      </w:tblPr>
      <w:tblGrid>
        <w:gridCol w:w="3673"/>
        <w:gridCol w:w="5694"/>
      </w:tblGrid>
      <w:tr w:rsidR="009A4BFE" w14:paraId="16D31320" w14:textId="77777777">
        <w:tc>
          <w:tcPr>
            <w:tcW w:w="3673" w:type="dxa"/>
            <w:tcBorders>
              <w:top w:val="single" w:sz="4" w:space="0" w:color="000000"/>
              <w:left w:val="single" w:sz="4" w:space="0" w:color="000000"/>
              <w:bottom w:val="single" w:sz="4" w:space="0" w:color="000000"/>
            </w:tcBorders>
          </w:tcPr>
          <w:p w14:paraId="0765E73E" w14:textId="77777777" w:rsidR="009A4BFE" w:rsidRDefault="0051186A">
            <w:pPr>
              <w:widowControl w:val="0"/>
              <w:tabs>
                <w:tab w:val="left" w:pos="708"/>
              </w:tabs>
              <w:ind w:right="-2"/>
            </w:pPr>
            <w:r>
              <w:rPr>
                <w:b/>
                <w:szCs w:val="22"/>
                <w:lang w:val="lt-LT"/>
              </w:rPr>
              <w:t>Valstybės narės pavadinimas</w:t>
            </w:r>
          </w:p>
        </w:tc>
        <w:tc>
          <w:tcPr>
            <w:tcW w:w="5694" w:type="dxa"/>
            <w:tcBorders>
              <w:top w:val="single" w:sz="4" w:space="0" w:color="000000"/>
              <w:left w:val="single" w:sz="4" w:space="0" w:color="000000"/>
              <w:bottom w:val="single" w:sz="4" w:space="0" w:color="000000"/>
              <w:right w:val="single" w:sz="4" w:space="0" w:color="000000"/>
            </w:tcBorders>
          </w:tcPr>
          <w:p w14:paraId="6B64D883" w14:textId="77777777" w:rsidR="009A4BFE" w:rsidRDefault="0051186A">
            <w:pPr>
              <w:widowControl w:val="0"/>
              <w:tabs>
                <w:tab w:val="left" w:pos="708"/>
              </w:tabs>
              <w:ind w:right="-2"/>
            </w:pPr>
            <w:r>
              <w:rPr>
                <w:b/>
                <w:szCs w:val="22"/>
                <w:lang w:val="lt-LT"/>
              </w:rPr>
              <w:t>Vaisto pavadinimas</w:t>
            </w:r>
          </w:p>
        </w:tc>
      </w:tr>
      <w:tr w:rsidR="009A4BFE" w14:paraId="31C9464D" w14:textId="77777777">
        <w:trPr>
          <w:trHeight w:val="759"/>
        </w:trPr>
        <w:tc>
          <w:tcPr>
            <w:tcW w:w="3673" w:type="dxa"/>
            <w:tcBorders>
              <w:top w:val="single" w:sz="4" w:space="0" w:color="000000"/>
              <w:left w:val="single" w:sz="4" w:space="0" w:color="000000"/>
              <w:bottom w:val="single" w:sz="4" w:space="0" w:color="auto"/>
            </w:tcBorders>
          </w:tcPr>
          <w:p w14:paraId="3A917E14" w14:textId="77777777" w:rsidR="009A4BFE" w:rsidRDefault="0051186A">
            <w:pPr>
              <w:widowControl w:val="0"/>
              <w:tabs>
                <w:tab w:val="left" w:pos="708"/>
              </w:tabs>
              <w:ind w:right="-2"/>
            </w:pPr>
            <w:r>
              <w:rPr>
                <w:szCs w:val="22"/>
                <w:lang w:val="lt-LT"/>
              </w:rPr>
              <w:t>Vengrija, Čekija, Estija, Graikija, Kroatija, Lietuva, Latvija, Lenkija, Rumunija, Slovakija Slovėnija</w:t>
            </w:r>
          </w:p>
        </w:tc>
        <w:tc>
          <w:tcPr>
            <w:tcW w:w="5694" w:type="dxa"/>
            <w:tcBorders>
              <w:top w:val="single" w:sz="4" w:space="0" w:color="000000"/>
              <w:left w:val="single" w:sz="4" w:space="0" w:color="000000"/>
              <w:bottom w:val="single" w:sz="4" w:space="0" w:color="auto"/>
              <w:right w:val="single" w:sz="4" w:space="0" w:color="000000"/>
            </w:tcBorders>
          </w:tcPr>
          <w:p w14:paraId="7A9E9BBB" w14:textId="77777777" w:rsidR="009A4BFE" w:rsidRDefault="0051186A">
            <w:pPr>
              <w:widowControl w:val="0"/>
              <w:tabs>
                <w:tab w:val="left" w:pos="708"/>
              </w:tabs>
              <w:ind w:right="-2"/>
            </w:pPr>
            <w:proofErr w:type="spellStart"/>
            <w:r>
              <w:rPr>
                <w:szCs w:val="22"/>
                <w:lang w:val="lt-LT"/>
              </w:rPr>
              <w:t>Atixarso</w:t>
            </w:r>
            <w:proofErr w:type="spellEnd"/>
          </w:p>
        </w:tc>
      </w:tr>
      <w:tr w:rsidR="009A4BFE" w14:paraId="4AB89F07" w14:textId="77777777">
        <w:trPr>
          <w:trHeight w:val="245"/>
        </w:trPr>
        <w:tc>
          <w:tcPr>
            <w:tcW w:w="3673" w:type="dxa"/>
            <w:tcBorders>
              <w:top w:val="single" w:sz="4" w:space="0" w:color="auto"/>
              <w:left w:val="single" w:sz="4" w:space="0" w:color="000000"/>
              <w:bottom w:val="single" w:sz="4" w:space="0" w:color="000000"/>
            </w:tcBorders>
          </w:tcPr>
          <w:p w14:paraId="119ACB12" w14:textId="77777777" w:rsidR="009A4BFE" w:rsidRDefault="0051186A">
            <w:pPr>
              <w:widowControl w:val="0"/>
              <w:tabs>
                <w:tab w:val="left" w:pos="708"/>
              </w:tabs>
              <w:ind w:right="-2"/>
              <w:rPr>
                <w:szCs w:val="22"/>
                <w:lang w:val="lt-LT"/>
              </w:rPr>
            </w:pPr>
            <w:r>
              <w:rPr>
                <w:szCs w:val="22"/>
                <w:lang w:val="lt-LT"/>
              </w:rPr>
              <w:t>Bulgarija</w:t>
            </w:r>
          </w:p>
        </w:tc>
        <w:tc>
          <w:tcPr>
            <w:tcW w:w="5694" w:type="dxa"/>
            <w:tcBorders>
              <w:top w:val="single" w:sz="4" w:space="0" w:color="auto"/>
              <w:left w:val="single" w:sz="4" w:space="0" w:color="000000"/>
              <w:bottom w:val="single" w:sz="4" w:space="0" w:color="000000"/>
              <w:right w:val="single" w:sz="4" w:space="0" w:color="000000"/>
            </w:tcBorders>
          </w:tcPr>
          <w:p w14:paraId="7A6D35DF" w14:textId="77777777" w:rsidR="009A4BFE" w:rsidRDefault="0051186A">
            <w:pPr>
              <w:widowControl w:val="0"/>
              <w:tabs>
                <w:tab w:val="left" w:pos="708"/>
              </w:tabs>
              <w:ind w:right="-2"/>
              <w:rPr>
                <w:szCs w:val="22"/>
                <w:lang w:val="lt-LT"/>
              </w:rPr>
            </w:pPr>
            <w:r>
              <w:rPr>
                <w:bCs/>
                <w:szCs w:val="22"/>
                <w:lang w:val="fr-FR"/>
              </w:rPr>
              <w:t>Атиксарсо</w:t>
            </w:r>
          </w:p>
        </w:tc>
      </w:tr>
    </w:tbl>
    <w:p w14:paraId="27B9A27E" w14:textId="77777777" w:rsidR="009A4BFE" w:rsidRDefault="009A4BFE">
      <w:pPr>
        <w:numPr>
          <w:ilvl w:val="12"/>
          <w:numId w:val="0"/>
        </w:numPr>
        <w:tabs>
          <w:tab w:val="clear" w:pos="567"/>
        </w:tabs>
        <w:spacing w:line="240" w:lineRule="auto"/>
        <w:ind w:right="-2"/>
        <w:rPr>
          <w:lang w:val="lt-LT"/>
        </w:rPr>
      </w:pPr>
    </w:p>
    <w:p w14:paraId="179B722D" w14:textId="16BB7D98" w:rsidR="009A4BFE" w:rsidRDefault="0051186A">
      <w:pPr>
        <w:numPr>
          <w:ilvl w:val="12"/>
          <w:numId w:val="0"/>
        </w:numPr>
        <w:tabs>
          <w:tab w:val="clear" w:pos="567"/>
        </w:tabs>
        <w:spacing w:line="240" w:lineRule="auto"/>
        <w:ind w:right="-2"/>
        <w:rPr>
          <w:b/>
          <w:lang w:val="lt-LT"/>
        </w:rPr>
      </w:pPr>
      <w:r>
        <w:rPr>
          <w:b/>
          <w:lang w:val="lt-LT"/>
        </w:rPr>
        <w:t xml:space="preserve">Šis pakuotės lapelis paskutinį kartą peržiūrėtas </w:t>
      </w:r>
      <w:r w:rsidR="00BC0E58">
        <w:rPr>
          <w:b/>
          <w:lang w:val="lt-LT"/>
        </w:rPr>
        <w:t>2025-09-12</w:t>
      </w:r>
      <w:r>
        <w:rPr>
          <w:b/>
          <w:lang w:val="lt-LT"/>
        </w:rPr>
        <w:t>.</w:t>
      </w:r>
    </w:p>
    <w:p w14:paraId="4177D6E1" w14:textId="77777777" w:rsidR="009A4BFE" w:rsidRDefault="009A4BFE">
      <w:pPr>
        <w:numPr>
          <w:ilvl w:val="12"/>
          <w:numId w:val="0"/>
        </w:numPr>
        <w:spacing w:line="240" w:lineRule="auto"/>
        <w:ind w:right="-2"/>
        <w:rPr>
          <w:i/>
          <w:szCs w:val="24"/>
          <w:lang w:val="lt-LT"/>
        </w:rPr>
      </w:pPr>
    </w:p>
    <w:p w14:paraId="2D7B47DC" w14:textId="31CDE319" w:rsidR="009A4BFE" w:rsidRDefault="0051186A">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r>
        <w:rPr>
          <w:snapToGrid/>
          <w:color w:val="0000EE"/>
          <w:szCs w:val="22"/>
          <w:u w:val="single"/>
          <w:lang w:val="lt-LT" w:eastAsia="lt-LT"/>
        </w:rPr>
        <w:t>https://vvkt.lrv.lt/lt/</w:t>
      </w:r>
      <w:r>
        <w:rPr>
          <w:snapToGrid/>
          <w:szCs w:val="24"/>
          <w:lang w:val="lt-LT"/>
        </w:rPr>
        <w:t>.</w:t>
      </w:r>
    </w:p>
    <w:p w14:paraId="6D809FC1" w14:textId="77777777" w:rsidR="009A4BFE" w:rsidRDefault="009A4BFE">
      <w:pPr>
        <w:widowControl w:val="0"/>
        <w:tabs>
          <w:tab w:val="clear" w:pos="567"/>
        </w:tabs>
        <w:spacing w:line="240" w:lineRule="auto"/>
        <w:rPr>
          <w:snapToGrid/>
          <w:szCs w:val="24"/>
          <w:lang w:val="lt-LT"/>
        </w:rPr>
      </w:pPr>
    </w:p>
    <w:sectPr w:rsidR="009A4BFE">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8DC8" w14:textId="77777777" w:rsidR="00694C10" w:rsidRDefault="00694C10">
      <w:pPr>
        <w:spacing w:line="240" w:lineRule="auto"/>
      </w:pPr>
      <w:r>
        <w:separator/>
      </w:r>
    </w:p>
  </w:endnote>
  <w:endnote w:type="continuationSeparator" w:id="0">
    <w:p w14:paraId="2CF611C5" w14:textId="77777777" w:rsidR="00694C10" w:rsidRDefault="00694C10">
      <w:pPr>
        <w:spacing w:line="240" w:lineRule="auto"/>
      </w:pPr>
      <w:r>
        <w:continuationSeparator/>
      </w:r>
    </w:p>
  </w:endnote>
  <w:endnote w:type="continuationNotice" w:id="1">
    <w:p w14:paraId="68C035F2" w14:textId="77777777" w:rsidR="00694C10" w:rsidRDefault="00694C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Italic">
    <w:altName w:val="MS Mincho"/>
    <w:panose1 w:val="00000000000000000000"/>
    <w:charset w:val="EE"/>
    <w:family w:val="auto"/>
    <w:notTrueType/>
    <w:pitch w:val="default"/>
    <w:sig w:usb0="00000005" w:usb1="00000000" w:usb2="00000000" w:usb3="00000000" w:csb0="00000002" w:csb1="00000000"/>
  </w:font>
  <w:font w:name="TimesNewRoman,Bold">
    <w:altName w:val="Klee One"/>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DC4B" w14:textId="77777777" w:rsidR="009A4BFE" w:rsidRDefault="009A4B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082033"/>
      <w:docPartObj>
        <w:docPartGallery w:val="Page Numbers (Bottom of Page)"/>
        <w:docPartUnique/>
      </w:docPartObj>
    </w:sdtPr>
    <w:sdtEndPr/>
    <w:sdtContent>
      <w:p w14:paraId="239D2F70" w14:textId="77777777" w:rsidR="009A4BFE" w:rsidRDefault="0051186A">
        <w:pPr>
          <w:pStyle w:val="Porat"/>
          <w:jc w:val="center"/>
        </w:pPr>
        <w:r>
          <w:fldChar w:fldCharType="begin"/>
        </w:r>
        <w:r>
          <w:instrText>PAGE   \* MERGEFORMAT</w:instrText>
        </w:r>
        <w:r>
          <w:fldChar w:fldCharType="separate"/>
        </w:r>
        <w:r>
          <w:rPr>
            <w:noProof/>
            <w:lang w:val="pl-PL"/>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DEBD" w14:textId="77777777" w:rsidR="009A4BFE" w:rsidRDefault="009A4B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8F80" w14:textId="77777777" w:rsidR="00694C10" w:rsidRDefault="00694C10">
      <w:pPr>
        <w:spacing w:line="240" w:lineRule="auto"/>
      </w:pPr>
      <w:r>
        <w:separator/>
      </w:r>
    </w:p>
  </w:footnote>
  <w:footnote w:type="continuationSeparator" w:id="0">
    <w:p w14:paraId="20A42D92" w14:textId="77777777" w:rsidR="00694C10" w:rsidRDefault="00694C10">
      <w:pPr>
        <w:spacing w:line="240" w:lineRule="auto"/>
      </w:pPr>
      <w:r>
        <w:continuationSeparator/>
      </w:r>
    </w:p>
  </w:footnote>
  <w:footnote w:type="continuationNotice" w:id="1">
    <w:p w14:paraId="0297A951" w14:textId="77777777" w:rsidR="00694C10" w:rsidRDefault="00694C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0D9A" w14:textId="77777777" w:rsidR="009A4BFE" w:rsidRDefault="009A4BF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718F" w14:textId="77777777" w:rsidR="009A4BFE" w:rsidRDefault="009A4BF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A10E" w14:textId="77777777" w:rsidR="009A4BFE" w:rsidRDefault="009A4B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B2784D"/>
    <w:multiLevelType w:val="hybridMultilevel"/>
    <w:tmpl w:val="5B08A716"/>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657CB0"/>
    <w:multiLevelType w:val="hybridMultilevel"/>
    <w:tmpl w:val="6D4424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0C73"/>
    <w:multiLevelType w:val="hybridMultilevel"/>
    <w:tmpl w:val="88C20B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D375EA"/>
    <w:multiLevelType w:val="hybridMultilevel"/>
    <w:tmpl w:val="AEB4AD28"/>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C02FCF"/>
    <w:multiLevelType w:val="hybridMultilevel"/>
    <w:tmpl w:val="66AC5D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AD5255"/>
    <w:multiLevelType w:val="hybridMultilevel"/>
    <w:tmpl w:val="853838F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7099F"/>
    <w:multiLevelType w:val="hybridMultilevel"/>
    <w:tmpl w:val="8914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E4268"/>
    <w:multiLevelType w:val="hybridMultilevel"/>
    <w:tmpl w:val="2534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5E4449"/>
    <w:multiLevelType w:val="hybridMultilevel"/>
    <w:tmpl w:val="CC3CD4E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2F36CC"/>
    <w:multiLevelType w:val="hybridMultilevel"/>
    <w:tmpl w:val="F0C69C82"/>
    <w:lvl w:ilvl="0" w:tplc="EEA49B66">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 w15:restartNumberingAfterBreak="0">
    <w:nsid w:val="1EDC10A0"/>
    <w:multiLevelType w:val="hybridMultilevel"/>
    <w:tmpl w:val="B81C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21B39"/>
    <w:multiLevelType w:val="hybridMultilevel"/>
    <w:tmpl w:val="3868588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A78FA"/>
    <w:multiLevelType w:val="hybridMultilevel"/>
    <w:tmpl w:val="B2B446B4"/>
    <w:lvl w:ilvl="0" w:tplc="00000003">
      <w:start w:val="1"/>
      <w:numFmt w:val="bullet"/>
      <w:lvlText w:val="-"/>
      <w:lvlJc w:val="left"/>
      <w:pPr>
        <w:ind w:left="720" w:hanging="360"/>
      </w:pPr>
      <w:rPr>
        <w:rFonts w:ascii="Liberation Serif" w:hAnsi="Liberation Serif" w:cs="Liberation Serif"/>
        <w:sz w:val="22"/>
        <w:szCs w:val="22"/>
        <w:lang w:val="lt-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B145232"/>
    <w:multiLevelType w:val="hybridMultilevel"/>
    <w:tmpl w:val="F432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8A610F"/>
    <w:multiLevelType w:val="hybridMultilevel"/>
    <w:tmpl w:val="C2D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72E8A"/>
    <w:multiLevelType w:val="hybridMultilevel"/>
    <w:tmpl w:val="41C465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36D76"/>
    <w:multiLevelType w:val="hybridMultilevel"/>
    <w:tmpl w:val="4C50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A91650"/>
    <w:multiLevelType w:val="hybridMultilevel"/>
    <w:tmpl w:val="8572C8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2B4CD1"/>
    <w:multiLevelType w:val="hybridMultilevel"/>
    <w:tmpl w:val="40F0C62A"/>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BA7301"/>
    <w:multiLevelType w:val="hybridMultilevel"/>
    <w:tmpl w:val="5BBEE9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44A3B"/>
    <w:multiLevelType w:val="hybridMultilevel"/>
    <w:tmpl w:val="3126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D385F"/>
    <w:multiLevelType w:val="hybridMultilevel"/>
    <w:tmpl w:val="B544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32B53"/>
    <w:multiLevelType w:val="hybridMultilevel"/>
    <w:tmpl w:val="7FB263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7D3325D"/>
    <w:multiLevelType w:val="hybridMultilevel"/>
    <w:tmpl w:val="D2B2A6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AAB3C23"/>
    <w:multiLevelType w:val="hybridMultilevel"/>
    <w:tmpl w:val="A94095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2705F3"/>
    <w:multiLevelType w:val="hybridMultilevel"/>
    <w:tmpl w:val="C9241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23B66C3"/>
    <w:multiLevelType w:val="hybridMultilevel"/>
    <w:tmpl w:val="8C76F9F4"/>
    <w:lvl w:ilvl="0" w:tplc="0415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4C6276"/>
    <w:multiLevelType w:val="hybridMultilevel"/>
    <w:tmpl w:val="D23C0780"/>
    <w:lvl w:ilvl="0" w:tplc="8A90271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0" w15:restartNumberingAfterBreak="0">
    <w:nsid w:val="54256662"/>
    <w:multiLevelType w:val="hybridMultilevel"/>
    <w:tmpl w:val="14B26D1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B25D01"/>
    <w:multiLevelType w:val="hybridMultilevel"/>
    <w:tmpl w:val="E7EA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46BF4"/>
    <w:multiLevelType w:val="hybridMultilevel"/>
    <w:tmpl w:val="8ED86D2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819A1"/>
    <w:multiLevelType w:val="hybridMultilevel"/>
    <w:tmpl w:val="CE60C794"/>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FC4936"/>
    <w:multiLevelType w:val="hybridMultilevel"/>
    <w:tmpl w:val="DF902C66"/>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563948"/>
    <w:multiLevelType w:val="hybridMultilevel"/>
    <w:tmpl w:val="52C6E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0829D5"/>
    <w:multiLevelType w:val="hybridMultilevel"/>
    <w:tmpl w:val="FC3AF03A"/>
    <w:lvl w:ilvl="0" w:tplc="FFFFFFFF">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E5043F0"/>
    <w:multiLevelType w:val="hybridMultilevel"/>
    <w:tmpl w:val="0AA0011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A7C20"/>
    <w:multiLevelType w:val="hybridMultilevel"/>
    <w:tmpl w:val="5DCE292C"/>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445D0"/>
    <w:multiLevelType w:val="hybridMultilevel"/>
    <w:tmpl w:val="254E6B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2F49E4"/>
    <w:multiLevelType w:val="hybridMultilevel"/>
    <w:tmpl w:val="EFBECCC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7C46C9"/>
    <w:multiLevelType w:val="hybridMultilevel"/>
    <w:tmpl w:val="BB58952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2318186">
    <w:abstractNumId w:val="4"/>
  </w:num>
  <w:num w:numId="2" w16cid:durableId="661810543">
    <w:abstractNumId w:val="38"/>
  </w:num>
  <w:num w:numId="3" w16cid:durableId="1082988180">
    <w:abstractNumId w:val="0"/>
    <w:lvlOverride w:ilvl="0">
      <w:lvl w:ilvl="0">
        <w:start w:val="1"/>
        <w:numFmt w:val="bullet"/>
        <w:lvlText w:val="-"/>
        <w:lvlJc w:val="left"/>
        <w:pPr>
          <w:ind w:left="360" w:hanging="360"/>
        </w:pPr>
      </w:lvl>
    </w:lvlOverride>
  </w:num>
  <w:num w:numId="4" w16cid:durableId="566497702">
    <w:abstractNumId w:val="0"/>
    <w:lvlOverride w:ilvl="0">
      <w:lvl w:ilvl="0">
        <w:start w:val="1"/>
        <w:numFmt w:val="bullet"/>
        <w:lvlText w:val=""/>
        <w:lvlJc w:val="left"/>
        <w:pPr>
          <w:ind w:left="360" w:hanging="360"/>
        </w:pPr>
        <w:rPr>
          <w:rFonts w:ascii="Symbol" w:hAnsi="Symbol" w:hint="default"/>
        </w:rPr>
      </w:lvl>
    </w:lvlOverride>
  </w:num>
  <w:num w:numId="5" w16cid:durableId="667026509">
    <w:abstractNumId w:val="0"/>
    <w:lvlOverride w:ilvl="0">
      <w:lvl w:ilvl="0">
        <w:start w:val="1"/>
        <w:numFmt w:val="bullet"/>
        <w:lvlText w:val="-"/>
        <w:lvlJc w:val="left"/>
        <w:pPr>
          <w:ind w:left="360" w:hanging="360"/>
        </w:pPr>
      </w:lvl>
    </w:lvlOverride>
  </w:num>
  <w:num w:numId="6" w16cid:durableId="91365540">
    <w:abstractNumId w:val="8"/>
  </w:num>
  <w:num w:numId="7" w16cid:durableId="928584117">
    <w:abstractNumId w:val="28"/>
  </w:num>
  <w:num w:numId="8" w16cid:durableId="1084104880">
    <w:abstractNumId w:val="35"/>
  </w:num>
  <w:num w:numId="9" w16cid:durableId="659113392">
    <w:abstractNumId w:val="9"/>
  </w:num>
  <w:num w:numId="10" w16cid:durableId="996349456">
    <w:abstractNumId w:val="18"/>
  </w:num>
  <w:num w:numId="11" w16cid:durableId="1269266321">
    <w:abstractNumId w:val="22"/>
  </w:num>
  <w:num w:numId="12" w16cid:durableId="1933128043">
    <w:abstractNumId w:val="23"/>
  </w:num>
  <w:num w:numId="13" w16cid:durableId="169107563">
    <w:abstractNumId w:val="16"/>
  </w:num>
  <w:num w:numId="14" w16cid:durableId="53167700">
    <w:abstractNumId w:val="31"/>
  </w:num>
  <w:num w:numId="15" w16cid:durableId="1581328331">
    <w:abstractNumId w:val="12"/>
  </w:num>
  <w:num w:numId="16" w16cid:durableId="1783376237">
    <w:abstractNumId w:val="15"/>
  </w:num>
  <w:num w:numId="17" w16cid:durableId="760833691">
    <w:abstractNumId w:val="29"/>
  </w:num>
  <w:num w:numId="18" w16cid:durableId="905185290">
    <w:abstractNumId w:val="25"/>
  </w:num>
  <w:num w:numId="19" w16cid:durableId="506598880">
    <w:abstractNumId w:val="5"/>
  </w:num>
  <w:num w:numId="20" w16cid:durableId="597257022">
    <w:abstractNumId w:val="11"/>
  </w:num>
  <w:num w:numId="21" w16cid:durableId="773327199">
    <w:abstractNumId w:val="10"/>
  </w:num>
  <w:num w:numId="22" w16cid:durableId="369886804">
    <w:abstractNumId w:val="1"/>
  </w:num>
  <w:num w:numId="23" w16cid:durableId="751396419">
    <w:abstractNumId w:val="14"/>
  </w:num>
  <w:num w:numId="24" w16cid:durableId="395322612">
    <w:abstractNumId w:val="20"/>
  </w:num>
  <w:num w:numId="25" w16cid:durableId="669527800">
    <w:abstractNumId w:val="37"/>
  </w:num>
  <w:num w:numId="26" w16cid:durableId="1772124135">
    <w:abstractNumId w:val="26"/>
  </w:num>
  <w:num w:numId="27" w16cid:durableId="476460434">
    <w:abstractNumId w:val="6"/>
  </w:num>
  <w:num w:numId="28" w16cid:durableId="557131311">
    <w:abstractNumId w:val="39"/>
  </w:num>
  <w:num w:numId="29" w16cid:durableId="1750276252">
    <w:abstractNumId w:val="7"/>
  </w:num>
  <w:num w:numId="30" w16cid:durableId="1477723478">
    <w:abstractNumId w:val="30"/>
  </w:num>
  <w:num w:numId="31" w16cid:durableId="1481536495">
    <w:abstractNumId w:val="41"/>
  </w:num>
  <w:num w:numId="32" w16cid:durableId="516236764">
    <w:abstractNumId w:val="42"/>
  </w:num>
  <w:num w:numId="33" w16cid:durableId="2008094528">
    <w:abstractNumId w:val="17"/>
  </w:num>
  <w:num w:numId="34" w16cid:durableId="1475641218">
    <w:abstractNumId w:val="19"/>
  </w:num>
  <w:num w:numId="35" w16cid:durableId="1541625395">
    <w:abstractNumId w:val="40"/>
  </w:num>
  <w:num w:numId="36" w16cid:durableId="669257552">
    <w:abstractNumId w:val="32"/>
  </w:num>
  <w:num w:numId="37" w16cid:durableId="2043482728">
    <w:abstractNumId w:val="36"/>
  </w:num>
  <w:num w:numId="38" w16cid:durableId="599725194">
    <w:abstractNumId w:val="34"/>
  </w:num>
  <w:num w:numId="39" w16cid:durableId="1221936929">
    <w:abstractNumId w:val="2"/>
  </w:num>
  <w:num w:numId="40" w16cid:durableId="1333558811">
    <w:abstractNumId w:val="3"/>
  </w:num>
  <w:num w:numId="41" w16cid:durableId="2019695246">
    <w:abstractNumId w:val="27"/>
  </w:num>
  <w:num w:numId="42" w16cid:durableId="529925089">
    <w:abstractNumId w:val="21"/>
  </w:num>
  <w:num w:numId="43" w16cid:durableId="170727068">
    <w:abstractNumId w:val="13"/>
  </w:num>
  <w:num w:numId="44" w16cid:durableId="70736608">
    <w:abstractNumId w:val="33"/>
  </w:num>
  <w:num w:numId="45" w16cid:durableId="1539007431">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BFE"/>
    <w:rsid w:val="00023960"/>
    <w:rsid w:val="001646A3"/>
    <w:rsid w:val="00187266"/>
    <w:rsid w:val="0022257B"/>
    <w:rsid w:val="00255E3A"/>
    <w:rsid w:val="002C46D4"/>
    <w:rsid w:val="00304C60"/>
    <w:rsid w:val="003104A2"/>
    <w:rsid w:val="003F1FE5"/>
    <w:rsid w:val="00406949"/>
    <w:rsid w:val="0051186A"/>
    <w:rsid w:val="00635EF3"/>
    <w:rsid w:val="00694C10"/>
    <w:rsid w:val="006B55EE"/>
    <w:rsid w:val="00722B71"/>
    <w:rsid w:val="00733C40"/>
    <w:rsid w:val="008373C3"/>
    <w:rsid w:val="00991E68"/>
    <w:rsid w:val="009A4BFE"/>
    <w:rsid w:val="009B41A2"/>
    <w:rsid w:val="009D71A1"/>
    <w:rsid w:val="00AC7EB8"/>
    <w:rsid w:val="00BC0E58"/>
    <w:rsid w:val="00BE4913"/>
    <w:rsid w:val="00C0231B"/>
    <w:rsid w:val="00C16B85"/>
    <w:rsid w:val="00C27782"/>
    <w:rsid w:val="00CD0CC9"/>
    <w:rsid w:val="00D3049D"/>
    <w:rsid w:val="00D344D7"/>
    <w:rsid w:val="00EB5E76"/>
    <w:rsid w:val="00EB66CA"/>
    <w:rsid w:val="00F5265F"/>
    <w:rsid w:val="00F974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CE27A"/>
  <w15:chartTrackingRefBased/>
  <w15:docId w15:val="{4177E7AC-2291-41B0-B6BB-F0AF37F0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pPr>
      <w:tabs>
        <w:tab w:val="clear" w:pos="567"/>
      </w:tabs>
      <w:autoSpaceDE w:val="0"/>
      <w:autoSpaceDN w:val="0"/>
      <w:adjustRightInd w:val="0"/>
      <w:spacing w:line="240" w:lineRule="auto"/>
    </w:pPr>
    <w:rPr>
      <w:snapToGrid/>
      <w:sz w:val="24"/>
      <w:szCs w:val="24"/>
      <w:lang w:val="pl-PL" w:eastAsia="pl-PL"/>
    </w:rPr>
  </w:style>
  <w:style w:type="character" w:customStyle="1" w:styleId="tlid-translation">
    <w:name w:val="tlid-translation"/>
  </w:style>
  <w:style w:type="character" w:customStyle="1" w:styleId="highlight">
    <w:name w:val="highlight"/>
  </w:style>
  <w:style w:type="paragraph" w:styleId="Sraopastraipa">
    <w:name w:val="List Paragraph"/>
    <w:basedOn w:val="prastasis"/>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53296564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24301275">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05625852">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599872671">
      <w:bodyDiv w:val="1"/>
      <w:marLeft w:val="0"/>
      <w:marRight w:val="0"/>
      <w:marTop w:val="0"/>
      <w:marBottom w:val="0"/>
      <w:divBdr>
        <w:top w:val="none" w:sz="0" w:space="0" w:color="auto"/>
        <w:left w:val="none" w:sz="0" w:space="0" w:color="auto"/>
        <w:bottom w:val="none" w:sz="0" w:space="0" w:color="auto"/>
        <w:right w:val="none" w:sz="0" w:space="0" w:color="auto"/>
      </w:divBdr>
    </w:div>
    <w:div w:id="1712149345">
      <w:bodyDiv w:val="1"/>
      <w:marLeft w:val="0"/>
      <w:marRight w:val="0"/>
      <w:marTop w:val="0"/>
      <w:marBottom w:val="0"/>
      <w:divBdr>
        <w:top w:val="none" w:sz="0" w:space="0" w:color="auto"/>
        <w:left w:val="none" w:sz="0" w:space="0" w:color="auto"/>
        <w:bottom w:val="none" w:sz="0" w:space="0" w:color="auto"/>
        <w:right w:val="none" w:sz="0" w:space="0" w:color="auto"/>
      </w:divBdr>
      <w:divsChild>
        <w:div w:id="1454591531">
          <w:marLeft w:val="0"/>
          <w:marRight w:val="0"/>
          <w:marTop w:val="0"/>
          <w:marBottom w:val="0"/>
          <w:divBdr>
            <w:top w:val="none" w:sz="0" w:space="0" w:color="auto"/>
            <w:left w:val="none" w:sz="0" w:space="0" w:color="auto"/>
            <w:bottom w:val="none" w:sz="0" w:space="0" w:color="auto"/>
            <w:right w:val="none" w:sz="0" w:space="0" w:color="auto"/>
          </w:divBdr>
          <w:divsChild>
            <w:div w:id="239797390">
              <w:marLeft w:val="0"/>
              <w:marRight w:val="0"/>
              <w:marTop w:val="0"/>
              <w:marBottom w:val="0"/>
              <w:divBdr>
                <w:top w:val="none" w:sz="0" w:space="0" w:color="auto"/>
                <w:left w:val="none" w:sz="0" w:space="0" w:color="auto"/>
                <w:bottom w:val="none" w:sz="0" w:space="0" w:color="auto"/>
                <w:right w:val="none" w:sz="0" w:space="0" w:color="auto"/>
              </w:divBdr>
              <w:divsChild>
                <w:div w:id="350230079">
                  <w:marLeft w:val="0"/>
                  <w:marRight w:val="0"/>
                  <w:marTop w:val="0"/>
                  <w:marBottom w:val="0"/>
                  <w:divBdr>
                    <w:top w:val="none" w:sz="0" w:space="0" w:color="auto"/>
                    <w:left w:val="none" w:sz="0" w:space="0" w:color="auto"/>
                    <w:bottom w:val="none" w:sz="0" w:space="0" w:color="auto"/>
                    <w:right w:val="none" w:sz="0" w:space="0" w:color="auto"/>
                  </w:divBdr>
                  <w:divsChild>
                    <w:div w:id="141393769">
                      <w:marLeft w:val="0"/>
                      <w:marRight w:val="0"/>
                      <w:marTop w:val="0"/>
                      <w:marBottom w:val="0"/>
                      <w:divBdr>
                        <w:top w:val="none" w:sz="0" w:space="0" w:color="auto"/>
                        <w:left w:val="none" w:sz="0" w:space="0" w:color="auto"/>
                        <w:bottom w:val="none" w:sz="0" w:space="0" w:color="auto"/>
                        <w:right w:val="none" w:sz="0" w:space="0" w:color="auto"/>
                      </w:divBdr>
                      <w:divsChild>
                        <w:div w:id="1098797605">
                          <w:marLeft w:val="0"/>
                          <w:marRight w:val="0"/>
                          <w:marTop w:val="0"/>
                          <w:marBottom w:val="0"/>
                          <w:divBdr>
                            <w:top w:val="none" w:sz="0" w:space="0" w:color="auto"/>
                            <w:left w:val="none" w:sz="0" w:space="0" w:color="auto"/>
                            <w:bottom w:val="none" w:sz="0" w:space="0" w:color="auto"/>
                            <w:right w:val="none" w:sz="0" w:space="0" w:color="auto"/>
                          </w:divBdr>
                          <w:divsChild>
                            <w:div w:id="1551260924">
                              <w:marLeft w:val="0"/>
                              <w:marRight w:val="0"/>
                              <w:marTop w:val="0"/>
                              <w:marBottom w:val="0"/>
                              <w:divBdr>
                                <w:top w:val="none" w:sz="0" w:space="0" w:color="auto"/>
                                <w:left w:val="none" w:sz="0" w:space="0" w:color="auto"/>
                                <w:bottom w:val="none" w:sz="0" w:space="0" w:color="auto"/>
                                <w:right w:val="none" w:sz="0" w:space="0" w:color="auto"/>
                              </w:divBdr>
                              <w:divsChild>
                                <w:div w:id="745683911">
                                  <w:marLeft w:val="0"/>
                                  <w:marRight w:val="0"/>
                                  <w:marTop w:val="0"/>
                                  <w:marBottom w:val="0"/>
                                  <w:divBdr>
                                    <w:top w:val="none" w:sz="0" w:space="0" w:color="auto"/>
                                    <w:left w:val="none" w:sz="0" w:space="0" w:color="auto"/>
                                    <w:bottom w:val="none" w:sz="0" w:space="0" w:color="auto"/>
                                    <w:right w:val="none" w:sz="0" w:space="0" w:color="auto"/>
                                  </w:divBdr>
                                  <w:divsChild>
                                    <w:div w:id="179971439">
                                      <w:marLeft w:val="0"/>
                                      <w:marRight w:val="0"/>
                                      <w:marTop w:val="0"/>
                                      <w:marBottom w:val="0"/>
                                      <w:divBdr>
                                        <w:top w:val="none" w:sz="0" w:space="0" w:color="auto"/>
                                        <w:left w:val="none" w:sz="0" w:space="0" w:color="auto"/>
                                        <w:bottom w:val="none" w:sz="0" w:space="0" w:color="auto"/>
                                        <w:right w:val="none" w:sz="0" w:space="0" w:color="auto"/>
                                      </w:divBdr>
                                      <w:divsChild>
                                        <w:div w:id="525795598">
                                          <w:marLeft w:val="0"/>
                                          <w:marRight w:val="0"/>
                                          <w:marTop w:val="0"/>
                                          <w:marBottom w:val="0"/>
                                          <w:divBdr>
                                            <w:top w:val="none" w:sz="0" w:space="0" w:color="auto"/>
                                            <w:left w:val="none" w:sz="0" w:space="0" w:color="auto"/>
                                            <w:bottom w:val="none" w:sz="0" w:space="0" w:color="auto"/>
                                            <w:right w:val="none" w:sz="0" w:space="0" w:color="auto"/>
                                          </w:divBdr>
                                          <w:divsChild>
                                            <w:div w:id="1148592558">
                                              <w:marLeft w:val="0"/>
                                              <w:marRight w:val="0"/>
                                              <w:marTop w:val="0"/>
                                              <w:marBottom w:val="0"/>
                                              <w:divBdr>
                                                <w:top w:val="none" w:sz="0" w:space="0" w:color="auto"/>
                                                <w:left w:val="none" w:sz="0" w:space="0" w:color="auto"/>
                                                <w:bottom w:val="none" w:sz="0" w:space="0" w:color="auto"/>
                                                <w:right w:val="none" w:sz="0" w:space="0" w:color="auto"/>
                                              </w:divBdr>
                                              <w:divsChild>
                                                <w:div w:id="543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8B53-6D61-42D4-BD4B-CC8E1905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68505</Words>
  <Characters>39049</Characters>
  <Application>Microsoft Office Word</Application>
  <DocSecurity>4</DocSecurity>
  <Lines>325</Lines>
  <Paragraphs>214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1 lentelė. Nepageidaujamos reakcijos pagal dažnį ir organų sistemų klases (OSK)</vt:lpstr>
      <vt:lpstr/>
      <vt:lpstr>Bendri kraujavimo dažnių duomenys, gauti PLATO tyrimo metu, pateikiami 2 lentelė</vt:lpstr>
      <vt:lpstr/>
      <vt:lpstr>tyrimas)</vt:lpstr>
      <vt:lpstr/>
      <vt:lpstr/>
      <vt:lpstr>Bendri kraujavimo duomenys, gauti PEGASUS tyrimo metu, pateikiami 3 lentelėje.</vt:lpstr>
      <vt:lpstr/>
      <vt:lpstr>tyrimas)</vt:lpstr>
      <vt:lpstr/>
      <vt:lpstr>PLATO nedideli – reikėjo medicininės intervencijos kraujavimui stabdyti ar gydyt</vt:lpstr>
      <vt:lpstr/>
      <vt:lpstr/>
      <vt:lpstr/>
      <vt:lpstr>        5.	FARMAKOLOGINĖS SAVYBĖS</vt:lpstr>
      <vt:lpstr>        6.	FARMACINĖ INFORMACIJA</vt:lpstr>
      <vt:lpstr>Tabletės branduolys:</vt:lpstr>
      <vt:lpstr>Mikrokristalinė celiuliozė (E460)</vt:lpstr>
      <vt:lpstr>Kalcio-vandenilio fosfatas dihidratas (E341)</vt:lpstr>
      <vt:lpstr>Hipromeliozė 2910 (E464)</vt:lpstr>
      <vt:lpstr>Kroskarmeliozės natrio druska (E468)</vt:lpstr>
      <vt:lpstr>Magnio stearatas (E470b)</vt:lpstr>
      <vt:lpstr/>
      <vt:lpstr>Tabletės plėvelė:</vt:lpstr>
      <vt:lpstr>Hipromeliozė (E464)</vt:lpstr>
      <vt:lpstr>Titano dioksidas (E171)</vt:lpstr>
      <vt:lpstr>Talkas (E553b)</vt:lpstr>
      <vt:lpstr>Propilenglikolis (E1520)</vt:lpstr>
      <vt:lpstr>Geltonasis geležies oksidas (E172) – tik 90 mg</vt:lpstr>
      <vt:lpstr>Raudonasis geležies oksidas (E172) – tik 60 mg</vt:lpstr>
      <vt:lpstr>Juodasis geležies oksidas (E172) – tik 60 mg</vt:lpstr>
      <vt:lpstr>        7.	REGISTRUOTOJAS</vt:lpstr>
      <vt:lpstr>        8.	REGISTRACIJOS PAŽYMĖJIMO NUMERIS (-IAI) </vt:lpstr>
      <vt:lpstr>        9.	REGISTRAVIMO / PERREGISTRAVIMO DATA</vt:lpstr>
      <vt:lpstr>        10.	TEKSTO PERŽIŪROS DATA</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vt:lpstr>
      <vt:lpstr>3.	TINKAMUMO LAIKAS</vt:lpstr>
      <vt:lpstr>4.	SERIJOS NUMERIS</vt:lpstr>
      <vt:lpstr>Lot {numeris}</vt:lpstr>
      <vt:lpstr>5.	KITA</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3.	Kaip vartoti Atixarso</vt:lpstr>
      <vt:lpstr>        4.	Galimas šalutinis poveikis</vt:lpstr>
      <vt:lpstr>        5.	Kaip laikyti Atixarso</vt:lpstr>
    </vt:vector>
  </TitlesOfParts>
  <Company/>
  <LinksUpToDate>false</LinksUpToDate>
  <CharactersWithSpaces>107340</CharactersWithSpaces>
  <SharedDoc>false</SharedDoc>
  <HLinks>
    <vt:vector size="60" baseType="variant">
      <vt:variant>
        <vt:i4>7077950</vt:i4>
      </vt:variant>
      <vt:variant>
        <vt:i4>27</vt:i4>
      </vt:variant>
      <vt:variant>
        <vt:i4>0</vt:i4>
      </vt:variant>
      <vt:variant>
        <vt:i4>5</vt:i4>
      </vt:variant>
      <vt:variant>
        <vt:lpwstr>http://www.vvkt.lt/</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Pauze, Lina</dc:creator>
  <cp:keywords/>
  <dc:description/>
  <cp:lastModifiedBy>Albina Burkauskaitė</cp:lastModifiedBy>
  <cp:revision>2</cp:revision>
  <dcterms:created xsi:type="dcterms:W3CDTF">2026-01-21T11:18:00Z</dcterms:created>
  <dcterms:modified xsi:type="dcterms:W3CDTF">2026-01-21T11:18:00Z</dcterms:modified>
</cp:coreProperties>
</file>