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0E1" w:rsidRPr="00933AB9" w:rsidRDefault="00E250E1">
      <w:pPr>
        <w:spacing w:after="0" w:line="240" w:lineRule="auto"/>
        <w:rPr>
          <w:rFonts w:ascii="Times New Roman" w:hAnsi="Times New Roman"/>
          <w:lang w:val="en-U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rPr>
          <w:rFonts w:ascii="Times New Roman" w:hAnsi="Times New Roman"/>
          <w:b/>
          <w:caps/>
        </w:rPr>
      </w:pPr>
    </w:p>
    <w:p w:rsidR="00E250E1" w:rsidRPr="002F4C6C" w:rsidRDefault="00E250E1">
      <w:pPr>
        <w:tabs>
          <w:tab w:val="left" w:pos="567"/>
        </w:tabs>
        <w:spacing w:after="0" w:line="240" w:lineRule="auto"/>
        <w:ind w:left="567" w:hanging="567"/>
        <w:jc w:val="center"/>
        <w:rPr>
          <w:rFonts w:ascii="Times New Roman" w:hAnsi="Times New Roman"/>
          <w:b/>
          <w:caps/>
        </w:rPr>
      </w:pPr>
    </w:p>
    <w:p w:rsidR="00E250E1" w:rsidRPr="002F4C6C" w:rsidRDefault="00E250E1">
      <w:pPr>
        <w:tabs>
          <w:tab w:val="left" w:pos="567"/>
        </w:tabs>
        <w:spacing w:after="0" w:line="240" w:lineRule="auto"/>
        <w:ind w:left="567" w:hanging="567"/>
        <w:jc w:val="center"/>
        <w:rPr>
          <w:rFonts w:ascii="Times New Roman" w:hAnsi="Times New Roman"/>
          <w:b/>
          <w:caps/>
        </w:rPr>
      </w:pPr>
    </w:p>
    <w:p w:rsidR="00E250E1" w:rsidRPr="002F4C6C" w:rsidRDefault="00E250E1">
      <w:pPr>
        <w:tabs>
          <w:tab w:val="left" w:pos="567"/>
        </w:tabs>
        <w:spacing w:after="0" w:line="240" w:lineRule="auto"/>
        <w:rPr>
          <w:rFonts w:ascii="Times New Roman" w:hAnsi="Times New Roman"/>
          <w:b/>
          <w:caps/>
        </w:rPr>
      </w:pPr>
    </w:p>
    <w:p w:rsidR="00E250E1" w:rsidRPr="002F4C6C" w:rsidRDefault="00E250E1">
      <w:pPr>
        <w:tabs>
          <w:tab w:val="left" w:pos="567"/>
        </w:tabs>
        <w:spacing w:after="0" w:line="240" w:lineRule="auto"/>
        <w:ind w:left="567" w:hanging="567"/>
        <w:jc w:val="center"/>
        <w:rPr>
          <w:rFonts w:ascii="Times New Roman" w:hAnsi="Times New Roman"/>
        </w:rPr>
      </w:pPr>
      <w:r w:rsidRPr="002F4C6C">
        <w:rPr>
          <w:rFonts w:ascii="Times New Roman" w:hAnsi="Times New Roman"/>
          <w:b/>
          <w:caps/>
        </w:rPr>
        <w:t>I PRIEDAS</w:t>
      </w:r>
    </w:p>
    <w:p w:rsidR="00E250E1" w:rsidRPr="002F4C6C" w:rsidRDefault="00E250E1">
      <w:pPr>
        <w:spacing w:after="0" w:line="240" w:lineRule="auto"/>
        <w:jc w:val="center"/>
        <w:rPr>
          <w:rFonts w:ascii="Times New Roman" w:hAnsi="Times New Roman"/>
          <w:b/>
          <w:caps/>
        </w:rPr>
      </w:pPr>
    </w:p>
    <w:p w:rsidR="00E250E1" w:rsidRPr="002F4C6C" w:rsidRDefault="00E250E1">
      <w:pPr>
        <w:tabs>
          <w:tab w:val="left" w:pos="567"/>
        </w:tabs>
        <w:spacing w:after="0" w:line="240" w:lineRule="auto"/>
        <w:ind w:left="567" w:hanging="567"/>
        <w:jc w:val="center"/>
        <w:rPr>
          <w:rFonts w:ascii="Times New Roman" w:hAnsi="Times New Roman"/>
        </w:rPr>
      </w:pPr>
      <w:r w:rsidRPr="002F4C6C">
        <w:rPr>
          <w:rFonts w:ascii="Times New Roman" w:hAnsi="Times New Roman"/>
          <w:b/>
          <w:caps/>
        </w:rPr>
        <w:t>PREPARATO CHARAKTERISTIKŲ SANTRAUKA</w:t>
      </w:r>
    </w:p>
    <w:p w:rsidR="00E250E1" w:rsidRPr="002F4C6C" w:rsidRDefault="00E250E1">
      <w:pPr>
        <w:pageBreakBefore/>
        <w:tabs>
          <w:tab w:val="left" w:pos="567"/>
        </w:tabs>
        <w:spacing w:after="0" w:line="240" w:lineRule="auto"/>
        <w:rPr>
          <w:rFonts w:ascii="Times New Roman" w:hAnsi="Times New Roman"/>
        </w:rPr>
      </w:pPr>
      <w:r w:rsidRPr="002F4C6C">
        <w:rPr>
          <w:rFonts w:ascii="Times New Roman" w:hAnsi="Times New Roman"/>
          <w:b/>
        </w:rPr>
        <w:lastRenderedPageBreak/>
        <w:t>1.</w:t>
      </w:r>
      <w:r w:rsidRPr="002F4C6C">
        <w:rPr>
          <w:rFonts w:ascii="Times New Roman" w:hAnsi="Times New Roman"/>
          <w:b/>
        </w:rPr>
        <w:tab/>
      </w:r>
      <w:r w:rsidRPr="002F4C6C">
        <w:rPr>
          <w:rFonts w:ascii="Times New Roman" w:hAnsi="Times New Roman"/>
          <w:b/>
          <w:caps/>
        </w:rPr>
        <w:t>VAISTINIO</w:t>
      </w:r>
      <w:r w:rsidRPr="002F4C6C">
        <w:rPr>
          <w:rFonts w:ascii="Times New Roman" w:hAnsi="Times New Roman"/>
          <w:b/>
        </w:rPr>
        <w:t xml:space="preserve"> PREPARATO PAVADINIMAS</w:t>
      </w:r>
    </w:p>
    <w:p w:rsidR="00E250E1" w:rsidRPr="002F4C6C" w:rsidRDefault="00E250E1">
      <w:pPr>
        <w:spacing w:after="0" w:line="240" w:lineRule="auto"/>
        <w:rPr>
          <w:rFonts w:ascii="Times New Roman" w:hAnsi="Times New Roman"/>
        </w:rPr>
      </w:pP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mg/5 mg tabletės</w:t>
      </w:r>
    </w:p>
    <w:p w:rsidR="00E250E1" w:rsidRPr="002F4C6C" w:rsidRDefault="00E250E1">
      <w:pPr>
        <w:shd w:val="clear" w:color="auto" w:fill="FFFFFF"/>
        <w:spacing w:after="0" w:line="240" w:lineRule="auto"/>
        <w:rPr>
          <w:rFonts w:ascii="Times New Roman" w:eastAsia="Times New Roman" w:hAnsi="Times New Roman"/>
        </w:rPr>
      </w:pPr>
      <w:r w:rsidRPr="002F4C6C">
        <w:rPr>
          <w:rFonts w:ascii="Times New Roman" w:eastAsia="Times New Roman" w:hAnsi="Times New Roman"/>
        </w:rPr>
        <w:t>Perindopril tosilate/Amlodipine Teva Pharma 10 mg/10 mg tabletės</w:t>
      </w:r>
    </w:p>
    <w:p w:rsidR="00E250E1" w:rsidRPr="002F4C6C" w:rsidRDefault="00E250E1">
      <w:pPr>
        <w:widowControl w:val="0"/>
        <w:spacing w:after="0" w:line="240" w:lineRule="auto"/>
        <w:rPr>
          <w:rFonts w:ascii="Times New Roman" w:eastAsia="Times New Roman" w:hAnsi="Times New Roman"/>
        </w:rPr>
      </w:pPr>
    </w:p>
    <w:p w:rsidR="00E250E1" w:rsidRPr="002F4C6C" w:rsidRDefault="00E250E1">
      <w:pPr>
        <w:widowControl w:val="0"/>
        <w:spacing w:after="0" w:line="240" w:lineRule="auto"/>
        <w:rPr>
          <w:rFonts w:ascii="Times New Roman" w:eastAsia="Times New Roman" w:hAnsi="Times New Roman"/>
        </w:rPr>
      </w:pPr>
    </w:p>
    <w:p w:rsidR="00E250E1" w:rsidRPr="002F4C6C" w:rsidRDefault="00E250E1">
      <w:pPr>
        <w:widowControl w:val="0"/>
        <w:tabs>
          <w:tab w:val="left" w:pos="567"/>
        </w:tabs>
        <w:spacing w:after="0" w:line="240" w:lineRule="auto"/>
        <w:rPr>
          <w:rFonts w:ascii="Times New Roman" w:hAnsi="Times New Roman"/>
        </w:rPr>
      </w:pPr>
      <w:r w:rsidRPr="002F4C6C">
        <w:rPr>
          <w:rFonts w:ascii="Times New Roman" w:hAnsi="Times New Roman"/>
          <w:b/>
        </w:rPr>
        <w:t>2.</w:t>
      </w:r>
      <w:r w:rsidRPr="002F4C6C">
        <w:rPr>
          <w:rFonts w:ascii="Times New Roman" w:hAnsi="Times New Roman"/>
          <w:b/>
        </w:rPr>
        <w:tab/>
      </w:r>
      <w:r w:rsidRPr="002F4C6C">
        <w:rPr>
          <w:rFonts w:ascii="Times New Roman" w:hAnsi="Times New Roman"/>
          <w:b/>
          <w:caps/>
        </w:rPr>
        <w:t>kokybinĖ ir kiekybinĖ sudĖtis</w:t>
      </w:r>
    </w:p>
    <w:p w:rsidR="00E250E1" w:rsidRPr="002F4C6C" w:rsidRDefault="00E250E1">
      <w:pPr>
        <w:widowControl w:val="0"/>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Kiekvienoje tabletėje yra 10,0 mg perindoprilio tozilato, atitinkančio 6,815 mg perindoprilio, </w:t>
      </w:r>
      <w:r w:rsidRPr="002F4C6C">
        <w:rPr>
          <w:rFonts w:ascii="Times New Roman" w:hAnsi="Times New Roman"/>
          <w:i/>
        </w:rPr>
        <w:t>in situ</w:t>
      </w:r>
      <w:r w:rsidRPr="002F4C6C">
        <w:rPr>
          <w:rFonts w:ascii="Times New Roman" w:hAnsi="Times New Roman"/>
        </w:rPr>
        <w:t xml:space="preserve"> virstančio perindoprilio natrio druska ir 6,935 mg amlodipino besilato, atitinkančio 5,0 mg amlodipino.</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Kiekvienoje tabletėje yra10,0 mg perindoprilio tozilato, atitinkančio 6,815 mg perindoprilio, </w:t>
      </w:r>
      <w:r w:rsidRPr="002F4C6C">
        <w:rPr>
          <w:rFonts w:ascii="Times New Roman" w:hAnsi="Times New Roman"/>
          <w:i/>
        </w:rPr>
        <w:t>in situ</w:t>
      </w:r>
      <w:r w:rsidRPr="002F4C6C">
        <w:rPr>
          <w:rFonts w:ascii="Times New Roman" w:hAnsi="Times New Roman"/>
        </w:rPr>
        <w:t xml:space="preserve"> virstančio perindoprilio natrio druska ir 13,87 mg amlodipino besilato, atitinkančio 10,0 mg amlodipino.</w:t>
      </w:r>
    </w:p>
    <w:p w:rsidR="00E250E1" w:rsidRPr="002F4C6C" w:rsidRDefault="00E250E1">
      <w:pPr>
        <w:tabs>
          <w:tab w:val="left" w:pos="540"/>
        </w:tabs>
        <w:spacing w:after="0" w:line="240" w:lineRule="auto"/>
        <w:rPr>
          <w:rFonts w:ascii="Times New Roman" w:hAnsi="Times New Roman"/>
        </w:rPr>
      </w:pP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u w:val="single"/>
        </w:rPr>
        <w:t>Pagalbinė medžiaga, kurios poveikis žinomas</w:t>
      </w:r>
      <w:r w:rsidRPr="002F4C6C">
        <w:rPr>
          <w:rFonts w:ascii="Times New Roman" w:hAnsi="Times New Roman"/>
        </w:rPr>
        <w:t xml:space="preserve">: </w:t>
      </w:r>
    </w:p>
    <w:p w:rsidR="00E250E1" w:rsidRPr="002F4C6C" w:rsidRDefault="00E250E1">
      <w:pPr>
        <w:tabs>
          <w:tab w:val="left" w:pos="540"/>
        </w:tabs>
        <w:spacing w:after="0" w:line="240" w:lineRule="auto"/>
        <w:rPr>
          <w:rFonts w:ascii="Times New Roman" w:hAnsi="Times New Roman"/>
        </w:rPr>
      </w:pPr>
    </w:p>
    <w:p w:rsidR="00E250E1" w:rsidRPr="002F4C6C" w:rsidRDefault="00E250E1">
      <w:pPr>
        <w:shd w:val="clear" w:color="auto" w:fill="FFFFFF"/>
        <w:spacing w:after="0" w:line="240" w:lineRule="auto"/>
        <w:rPr>
          <w:rFonts w:ascii="Times New Roman" w:hAnsi="Times New Roman"/>
        </w:rPr>
      </w:pPr>
      <w:r w:rsidRPr="002F4C6C">
        <w:rPr>
          <w:rFonts w:ascii="Times New Roman" w:hAnsi="Times New Roman"/>
          <w:iCs/>
        </w:rPr>
        <w:t xml:space="preserve">Kiekvienoje </w:t>
      </w:r>
      <w:r w:rsidRPr="002F4C6C">
        <w:rPr>
          <w:rFonts w:ascii="Times New Roman" w:eastAsia="Times New Roman" w:hAnsi="Times New Roman"/>
        </w:rPr>
        <w:t>Perindopril tosilate/Amlodipine Teva Pharma 10 mg/5 mg tabletėje yra 173,2 mg izomalto.</w:t>
      </w: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Kiekvienoje Perindopril tosilate/Amlodipine Teva Pharma 10 mg/10 mg tabletėje yra 173,2 mg izomalto.</w:t>
      </w:r>
    </w:p>
    <w:p w:rsidR="00E250E1" w:rsidRPr="002F4C6C" w:rsidRDefault="00E250E1">
      <w:pPr>
        <w:spacing w:after="0" w:line="240" w:lineRule="auto"/>
        <w:rPr>
          <w:rFonts w:ascii="Times New Roman" w:eastAsia="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Visos pagalbinės medžiagos išvardytos </w:t>
      </w:r>
      <w:r w:rsidR="008C41B5" w:rsidRPr="002F4C6C">
        <w:rPr>
          <w:rFonts w:ascii="Times New Roman" w:hAnsi="Times New Roman"/>
        </w:rPr>
        <w:t xml:space="preserve"> </w:t>
      </w:r>
      <w:r w:rsidRPr="002F4C6C">
        <w:rPr>
          <w:rFonts w:ascii="Times New Roman" w:hAnsi="Times New Roman"/>
        </w:rPr>
        <w:t>6.1 skyriuje.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3.</w:t>
      </w:r>
      <w:r w:rsidRPr="002F4C6C">
        <w:rPr>
          <w:rFonts w:ascii="Times New Roman" w:hAnsi="Times New Roman"/>
          <w:b/>
        </w:rPr>
        <w:tab/>
        <w:t>FARMACINĖ</w:t>
      </w:r>
      <w:r w:rsidRPr="002F4C6C">
        <w:rPr>
          <w:rFonts w:ascii="Times New Roman" w:hAnsi="Times New Roman"/>
          <w:b/>
          <w:caps/>
        </w:rPr>
        <w:t xml:space="preserve"> forma</w:t>
      </w:r>
    </w:p>
    <w:p w:rsidR="00E250E1" w:rsidRPr="002F4C6C" w:rsidRDefault="00E250E1">
      <w:pPr>
        <w:spacing w:after="0" w:line="240" w:lineRule="auto"/>
        <w:rPr>
          <w:rFonts w:ascii="Times New Roman" w:hAnsi="Times New Roman"/>
          <w:caps/>
        </w:rPr>
      </w:pPr>
    </w:p>
    <w:p w:rsidR="00E250E1" w:rsidRPr="002F4C6C" w:rsidRDefault="00E250E1">
      <w:pPr>
        <w:spacing w:after="0" w:line="240" w:lineRule="auto"/>
        <w:rPr>
          <w:rFonts w:ascii="Times New Roman" w:hAnsi="Times New Roman"/>
        </w:rPr>
      </w:pPr>
      <w:r w:rsidRPr="002F4C6C">
        <w:rPr>
          <w:rFonts w:ascii="Times New Roman" w:hAnsi="Times New Roman"/>
        </w:rPr>
        <w:t>Tabletė.</w:t>
      </w:r>
    </w:p>
    <w:p w:rsidR="00E250E1" w:rsidRPr="002F4C6C" w:rsidRDefault="00E250E1">
      <w:pPr>
        <w:spacing w:after="0" w:line="240" w:lineRule="auto"/>
        <w:rPr>
          <w:rFonts w:ascii="Times New Roman" w:hAnsi="Times New Roman"/>
        </w:rPr>
      </w:pP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mg/5 mg tabletės</w:t>
      </w:r>
    </w:p>
    <w:p w:rsidR="00E250E1" w:rsidRPr="002F4C6C" w:rsidRDefault="00E250E1">
      <w:pPr>
        <w:spacing w:after="0" w:line="240" w:lineRule="auto"/>
        <w:rPr>
          <w:rFonts w:ascii="Times New Roman" w:hAnsi="Times New Roman"/>
        </w:rPr>
      </w:pPr>
      <w:r w:rsidRPr="002F4C6C">
        <w:rPr>
          <w:rFonts w:ascii="Times New Roman" w:hAnsi="Times New Roman"/>
        </w:rPr>
        <w:t>Baltos, ovalios abipus išgaubtos, tabletės, apytikriai 13x7 mm dydžio, vienoje pusėje yra įspaudas „10/5“, kita pusė lygi.</w:t>
      </w:r>
    </w:p>
    <w:p w:rsidR="00E250E1" w:rsidRPr="002F4C6C" w:rsidRDefault="00E250E1">
      <w:pPr>
        <w:shd w:val="clear" w:color="auto" w:fill="FFFFFF"/>
        <w:spacing w:after="0" w:line="240" w:lineRule="auto"/>
        <w:rPr>
          <w:rFonts w:ascii="Times New Roman" w:eastAsia="Times New Roman" w:hAnsi="Times New Roman"/>
        </w:rPr>
      </w:pP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mg/10 mg tabletės</w:t>
      </w:r>
    </w:p>
    <w:p w:rsidR="00E250E1" w:rsidRPr="002F4C6C" w:rsidRDefault="00E250E1">
      <w:pPr>
        <w:spacing w:after="0" w:line="240" w:lineRule="auto"/>
        <w:rPr>
          <w:rFonts w:ascii="Times New Roman" w:hAnsi="Times New Roman"/>
        </w:rPr>
      </w:pPr>
      <w:r w:rsidRPr="002F4C6C">
        <w:rPr>
          <w:rFonts w:ascii="Times New Roman" w:hAnsi="Times New Roman"/>
        </w:rPr>
        <w:t>Baltos, apvalios abipus išgaubtos, tabletės, apytikriai 9 mm diametro, vienoje pusėje yra įspaudas „10/10“, kita pusė lygi.</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caps/>
        </w:rPr>
        <w:t>4.</w:t>
      </w:r>
      <w:r w:rsidRPr="002F4C6C">
        <w:rPr>
          <w:rFonts w:ascii="Times New Roman" w:hAnsi="Times New Roman"/>
          <w:b/>
          <w:caps/>
        </w:rPr>
        <w:tab/>
        <w:t>klinikinĖ informacija</w:t>
      </w:r>
    </w:p>
    <w:p w:rsidR="00E250E1" w:rsidRPr="002F4C6C" w:rsidRDefault="00E250E1">
      <w:pPr>
        <w:spacing w:after="0" w:line="240" w:lineRule="auto"/>
        <w:rPr>
          <w:rFonts w:ascii="Times New Roman" w:hAnsi="Times New Roman"/>
          <w:caps/>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4.1</w:t>
      </w:r>
      <w:r w:rsidRPr="002F4C6C">
        <w:rPr>
          <w:rFonts w:ascii="Times New Roman" w:hAnsi="Times New Roman"/>
          <w:b/>
        </w:rPr>
        <w:tab/>
        <w:t>Terapinės indikacijos</w:t>
      </w:r>
    </w:p>
    <w:p w:rsidR="00E250E1" w:rsidRPr="002F4C6C" w:rsidRDefault="00E250E1">
      <w:pPr>
        <w:spacing w:after="0" w:line="240" w:lineRule="auto"/>
        <w:rPr>
          <w:rFonts w:ascii="Times New Roman" w:hAnsi="Times New Roman"/>
        </w:rPr>
      </w:pPr>
    </w:p>
    <w:p w:rsidR="00E250E1" w:rsidRPr="002F4C6C" w:rsidRDefault="00E250E1">
      <w:pPr>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hAnsi="Times New Roman"/>
        </w:rPr>
        <w:t xml:space="preserve"> skirtas pirminės arterinės hipertenzijos ir (arba) stabilios išeminės (koronarinės) širdies ligos pakeičiamajam gydymui tiems pacientams, kurių liga jau yra kontroliuojama tokiomis pat kartu vartojamų perindoprilio ir amlodipino dozėmis.</w:t>
      </w:r>
    </w:p>
    <w:p w:rsidR="00F24E64" w:rsidRPr="002F4C6C" w:rsidRDefault="00F24E64" w:rsidP="00F24E64">
      <w:pPr>
        <w:spacing w:after="0" w:line="240" w:lineRule="auto"/>
        <w:ind w:left="567" w:hanging="567"/>
        <w:rPr>
          <w:rFonts w:ascii="Times New Roman" w:hAnsi="Times New Roman"/>
        </w:rPr>
      </w:pPr>
      <w:r w:rsidRPr="002F4C6C">
        <w:rPr>
          <w:rFonts w:ascii="Times New Roman" w:hAnsi="Times New Roman"/>
          <w:b/>
        </w:rPr>
        <w:t>4.2</w:t>
      </w:r>
      <w:r w:rsidRPr="002F4C6C">
        <w:rPr>
          <w:rFonts w:ascii="Times New Roman" w:hAnsi="Times New Roman"/>
          <w:b/>
        </w:rPr>
        <w:tab/>
        <w:t>Dozavimas ir vartojimo metodas</w:t>
      </w: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Dozavimas</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Vartojama po vieną tabletę vieną kartą per parą, patartina ryte, prieš valgį.</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rPr>
        <w:t>Fiksuotų dozių derinys nėra skirtas pradiniam gydymui.</w:t>
      </w:r>
    </w:p>
    <w:p w:rsidR="00E250E1" w:rsidRPr="002F4C6C" w:rsidRDefault="00E250E1">
      <w:pPr>
        <w:spacing w:after="0" w:line="240" w:lineRule="auto"/>
        <w:rPr>
          <w:rFonts w:ascii="Times New Roman" w:hAnsi="Times New Roman"/>
        </w:rPr>
      </w:pPr>
      <w:r w:rsidRPr="002F4C6C">
        <w:rPr>
          <w:rFonts w:ascii="Times New Roman" w:hAnsi="Times New Roman"/>
        </w:rPr>
        <w:t xml:space="preserve">Jeigu reikia keisti vaistinio preparato dozavimą, perindoprilio ir amlodipino derinio dozę galima keisti arba </w:t>
      </w:r>
      <w:r w:rsidRPr="002F4C6C">
        <w:rPr>
          <w:rFonts w:ascii="Times New Roman" w:hAnsi="Times New Roman"/>
          <w:lang w:eastAsia="fr-FR"/>
        </w:rPr>
        <w:t xml:space="preserve">apsvarstyti galimybę gydyti individualiai parinktu atskirų vaistinių </w:t>
      </w:r>
      <w:r w:rsidR="00AA59E7">
        <w:rPr>
          <w:rFonts w:ascii="Times New Roman" w:hAnsi="Times New Roman"/>
          <w:lang w:eastAsia="fr-FR"/>
        </w:rPr>
        <w:t>preparatų</w:t>
      </w:r>
      <w:r w:rsidR="00AA59E7" w:rsidRPr="002F4C6C">
        <w:rPr>
          <w:rFonts w:ascii="Times New Roman" w:hAnsi="Times New Roman"/>
          <w:lang w:eastAsia="fr-FR"/>
        </w:rPr>
        <w:t xml:space="preserve"> </w:t>
      </w:r>
      <w:r w:rsidRPr="002F4C6C">
        <w:rPr>
          <w:rFonts w:ascii="Times New Roman" w:hAnsi="Times New Roman"/>
          <w:lang w:eastAsia="fr-FR"/>
        </w:rPr>
        <w:t>deriniu</w:t>
      </w:r>
      <w:r w:rsidRPr="002F4C6C">
        <w:rPr>
          <w:rFonts w:ascii="Times New Roman" w:hAnsi="Times New Roman"/>
        </w:rPr>
        <w:t>.</w:t>
      </w:r>
    </w:p>
    <w:p w:rsidR="00E250E1" w:rsidRPr="002F4C6C" w:rsidRDefault="00E250E1">
      <w:pPr>
        <w:spacing w:after="0" w:line="240" w:lineRule="auto"/>
        <w:rPr>
          <w:rFonts w:ascii="Times New Roman" w:hAnsi="Times New Roman"/>
        </w:rPr>
      </w:pPr>
    </w:p>
    <w:p w:rsidR="00E250E1" w:rsidRPr="002F4C6C" w:rsidRDefault="00E250E1">
      <w:pPr>
        <w:keepNext/>
        <w:rPr>
          <w:rFonts w:ascii="Times New Roman" w:hAnsi="Times New Roman"/>
        </w:rPr>
      </w:pPr>
      <w:r w:rsidRPr="002F4C6C">
        <w:rPr>
          <w:rFonts w:ascii="Times New Roman" w:hAnsi="Times New Roman"/>
          <w:bCs/>
          <w:i/>
        </w:rPr>
        <w:lastRenderedPageBreak/>
        <w:t>Ypatingos populiacijos</w:t>
      </w:r>
    </w:p>
    <w:p w:rsidR="00E250E1" w:rsidRPr="002F4C6C" w:rsidRDefault="00E250E1">
      <w:pPr>
        <w:keepNext/>
        <w:rPr>
          <w:rFonts w:ascii="Times New Roman" w:hAnsi="Times New Roman"/>
        </w:rPr>
      </w:pPr>
      <w:r w:rsidRPr="002F4C6C">
        <w:rPr>
          <w:rFonts w:ascii="Times New Roman" w:hAnsi="Times New Roman"/>
          <w:bCs/>
          <w:i/>
        </w:rPr>
        <w:t>Pacientams, kurių inkstų funkcija sutrikusi ir senyviems pacientams (žr. 4.4 ir 5.2 skyrius)</w:t>
      </w:r>
    </w:p>
    <w:p w:rsidR="00E250E1" w:rsidRPr="002F4C6C" w:rsidRDefault="00E250E1">
      <w:pPr>
        <w:rPr>
          <w:rFonts w:ascii="Times New Roman" w:hAnsi="Times New Roman"/>
        </w:rPr>
      </w:pPr>
      <w:r w:rsidRPr="002F4C6C">
        <w:rPr>
          <w:rFonts w:ascii="Times New Roman" w:hAnsi="Times New Roman"/>
        </w:rPr>
        <w:t>Iš senyvų pacientų ir pacientų, sergančių inkstų nepakankamumu, organizmo perindoprilato išskyrimas vyksta lėčiau. Taigi įprastai stebint pacientą, reikės dažnai tirti kreatinino ir kalio koncentracijas.</w:t>
      </w:r>
    </w:p>
    <w:p w:rsidR="00E250E1" w:rsidRPr="002F4C6C" w:rsidRDefault="00E250E1">
      <w:pPr>
        <w:rPr>
          <w:rFonts w:ascii="Times New Roman" w:hAnsi="Times New Roman"/>
        </w:rPr>
      </w:pPr>
      <w:r w:rsidRPr="002F4C6C">
        <w:rPr>
          <w:rFonts w:ascii="Times New Roman" w:hAnsi="Times New Roman"/>
        </w:rPr>
        <w:t xml:space="preserve">Perindoprilio ir amlodipino derinį </w:t>
      </w:r>
      <w:r w:rsidRPr="002F4C6C">
        <w:rPr>
          <w:rFonts w:ascii="Times New Roman" w:hAnsi="Times New Roman"/>
          <w:bCs/>
          <w:iCs/>
        </w:rPr>
        <w:t>galima skirti pacientams, kurių kreatinino klirensas yra 60 ml/min ar didesnis, bet jis ne</w:t>
      </w:r>
      <w:r w:rsidR="007A0C60" w:rsidRPr="002F4C6C">
        <w:rPr>
          <w:rFonts w:ascii="Times New Roman" w:hAnsi="Times New Roman"/>
          <w:bCs/>
          <w:iCs/>
        </w:rPr>
        <w:t>tinka</w:t>
      </w:r>
      <w:r w:rsidRPr="002F4C6C">
        <w:rPr>
          <w:rFonts w:ascii="Times New Roman" w:hAnsi="Times New Roman"/>
          <w:bCs/>
          <w:iCs/>
        </w:rPr>
        <w:t xml:space="preserve"> pacientams, kurių kreatinino klirensas mažesnis nei </w:t>
      </w:r>
      <w:r w:rsidRPr="002F4C6C">
        <w:rPr>
          <w:rFonts w:ascii="Times New Roman" w:hAnsi="Times New Roman"/>
        </w:rPr>
        <w:t> </w:t>
      </w:r>
      <w:r w:rsidRPr="002F4C6C">
        <w:rPr>
          <w:rFonts w:ascii="Times New Roman" w:hAnsi="Times New Roman"/>
          <w:bCs/>
          <w:iCs/>
        </w:rPr>
        <w:t xml:space="preserve">60 ml/min. Šiems pacientams rekomenduojama parinkti individualias atskirų </w:t>
      </w:r>
      <w:r w:rsidR="00F86BA2">
        <w:rPr>
          <w:rFonts w:ascii="Times New Roman" w:hAnsi="Times New Roman"/>
          <w:bCs/>
          <w:iCs/>
        </w:rPr>
        <w:t>vaistinių preparatų</w:t>
      </w:r>
      <w:r w:rsidR="00F86BA2" w:rsidRPr="002F4C6C">
        <w:rPr>
          <w:rFonts w:ascii="Times New Roman" w:hAnsi="Times New Roman"/>
          <w:bCs/>
          <w:iCs/>
        </w:rPr>
        <w:t xml:space="preserve"> </w:t>
      </w:r>
      <w:r w:rsidRPr="002F4C6C">
        <w:rPr>
          <w:rFonts w:ascii="Times New Roman" w:hAnsi="Times New Roman"/>
          <w:bCs/>
          <w:iCs/>
        </w:rPr>
        <w:t>dozes.</w:t>
      </w:r>
    </w:p>
    <w:p w:rsidR="00E250E1" w:rsidRPr="002F4C6C" w:rsidRDefault="00E250E1">
      <w:pPr>
        <w:rPr>
          <w:rFonts w:ascii="Times New Roman" w:hAnsi="Times New Roman"/>
        </w:rPr>
      </w:pPr>
      <w:r w:rsidRPr="002F4C6C">
        <w:rPr>
          <w:rFonts w:ascii="Times New Roman" w:hAnsi="Times New Roman"/>
          <w:bCs/>
          <w:iCs/>
        </w:rPr>
        <w:t xml:space="preserve">Senyvi pacientai arba jaunesni pacientai, vartojantys amlodipiną panašiomis dozėmis, jį toleruoja gerai. Senyviems pacientams rekomenduojamas normalus dozavimo režimas, tačiau dozę didinti reikia atsargiai. Amlodipino koncentracijos plazmoje pokyčiai nepriklauso nuo inkstų funkcijos sutrikimo sunkumo. </w:t>
      </w:r>
    </w:p>
    <w:p w:rsidR="00E250E1" w:rsidRPr="002F4C6C" w:rsidRDefault="00E250E1">
      <w:pPr>
        <w:rPr>
          <w:rFonts w:ascii="Times New Roman" w:hAnsi="Times New Roman"/>
        </w:rPr>
      </w:pPr>
      <w:r w:rsidRPr="002F4C6C">
        <w:rPr>
          <w:rFonts w:ascii="Times New Roman" w:hAnsi="Times New Roman"/>
          <w:bCs/>
          <w:iCs/>
        </w:rPr>
        <w:t>Amlodipinas dializės būdu nepasišalina.</w:t>
      </w:r>
    </w:p>
    <w:p w:rsidR="00E250E1" w:rsidRPr="002F4C6C" w:rsidRDefault="00E250E1">
      <w:pPr>
        <w:rPr>
          <w:rFonts w:ascii="Times New Roman" w:hAnsi="Times New Roman"/>
        </w:rPr>
      </w:pPr>
      <w:r w:rsidRPr="002F4C6C">
        <w:rPr>
          <w:rFonts w:ascii="Times New Roman" w:hAnsi="Times New Roman"/>
          <w:bCs/>
          <w:i/>
        </w:rPr>
        <w:t>Pacientams, kurių kepenų funkcija sutrikusi (žr. 4.4 ir 5.2 skyrius)</w:t>
      </w:r>
    </w:p>
    <w:p w:rsidR="00E250E1" w:rsidRPr="002F4C6C" w:rsidRDefault="00E250E1">
      <w:pPr>
        <w:rPr>
          <w:rFonts w:ascii="Times New Roman" w:hAnsi="Times New Roman"/>
        </w:rPr>
      </w:pPr>
      <w:r w:rsidRPr="002F4C6C">
        <w:rPr>
          <w:rFonts w:ascii="Times New Roman" w:hAnsi="Times New Roman"/>
        </w:rPr>
        <w:t>Pacientams, kuriems yra lengvas ar vidutinio sunkumo kepenų funkcijos sutrikimas, dozavimo rekomendacijos nėra nustatytos, todėl dozę reikia pasirinkti atsargiai ir gydymą pradėti nuo mažiausios dozės (žr. 4.4 ir 5.2 skyrius). Norint nustatyti optimalią pradinę ir palaikomąją dozes pacientams, kurių kepenų funkcija sutrikusi, dozę reikia nustatyti individualiai, laisvai derinant amlodipiną ir perindoprilį. Amlodipino farmakokinetika esant sunkiam kepenų funkcijos sutrikimui tirta nebuvo. Pacientams, kuriems yra sunkus kepenų funkcijos sutrikimas, gydymas amlodipinu turi būti pradėtas nuo mažiausios dozės, tuomet lėtai didinant nustatoma dozė.</w:t>
      </w:r>
    </w:p>
    <w:p w:rsidR="00E250E1" w:rsidRPr="002F4C6C" w:rsidRDefault="00E250E1">
      <w:pPr>
        <w:rPr>
          <w:rFonts w:ascii="Times New Roman" w:hAnsi="Times New Roman"/>
        </w:rPr>
      </w:pPr>
      <w:r w:rsidRPr="002F4C6C">
        <w:rPr>
          <w:rFonts w:ascii="Times New Roman" w:hAnsi="Times New Roman"/>
          <w:i/>
        </w:rPr>
        <w:t>Vaikų populiacija</w:t>
      </w:r>
    </w:p>
    <w:p w:rsidR="00E250E1" w:rsidRPr="002F4C6C" w:rsidRDefault="00E250E1">
      <w:pPr>
        <w:rPr>
          <w:rFonts w:ascii="Times New Roman" w:hAnsi="Times New Roman"/>
        </w:rPr>
      </w:pPr>
      <w:r w:rsidRPr="002F4C6C">
        <w:rPr>
          <w:rFonts w:ascii="Times New Roman" w:hAnsi="Times New Roman"/>
        </w:rPr>
        <w:t xml:space="preserve">Perindoprilio ir amlodipino derinys neturi būti skiriamas vaikams ir paaugliams, kadangi perindoprilio ir amlodipino, derinamų kartu, </w:t>
      </w:r>
      <w:r w:rsidR="007A0C60" w:rsidRPr="002F4C6C">
        <w:rPr>
          <w:rFonts w:ascii="Times New Roman" w:hAnsi="Times New Roman"/>
        </w:rPr>
        <w:t>veiksmingumas</w:t>
      </w:r>
      <w:r w:rsidRPr="002F4C6C">
        <w:rPr>
          <w:rFonts w:ascii="Times New Roman" w:hAnsi="Times New Roman"/>
        </w:rPr>
        <w:t xml:space="preserve"> ir toleravimas vaikų ir paauglių populiacijoje nėra nustatyti.</w:t>
      </w:r>
    </w:p>
    <w:p w:rsidR="00E250E1" w:rsidRPr="002F4C6C" w:rsidRDefault="00E250E1">
      <w:pPr>
        <w:spacing w:after="0" w:line="240" w:lineRule="auto"/>
        <w:rPr>
          <w:rFonts w:ascii="Times New Roman" w:hAnsi="Times New Roman"/>
        </w:rPr>
      </w:pPr>
      <w:r w:rsidRPr="002F4C6C">
        <w:rPr>
          <w:rFonts w:ascii="Times New Roman" w:hAnsi="Times New Roman"/>
          <w:u w:val="single"/>
        </w:rPr>
        <w:t>Vartojimo metodas</w:t>
      </w:r>
    </w:p>
    <w:p w:rsidR="00E250E1" w:rsidRPr="002F4C6C" w:rsidRDefault="00E250E1">
      <w:pPr>
        <w:spacing w:after="0" w:line="240" w:lineRule="auto"/>
        <w:rPr>
          <w:rFonts w:ascii="Times New Roman" w:hAnsi="Times New Roman"/>
        </w:rPr>
      </w:pPr>
      <w:r w:rsidRPr="002F4C6C">
        <w:rPr>
          <w:rFonts w:ascii="Times New Roman" w:hAnsi="Times New Roman"/>
        </w:rPr>
        <w:t>Vartoti per burną.</w:t>
      </w:r>
    </w:p>
    <w:p w:rsidR="00E250E1" w:rsidRPr="002F4C6C" w:rsidRDefault="00E250E1">
      <w:pPr>
        <w:spacing w:after="0" w:line="240" w:lineRule="auto"/>
        <w:rPr>
          <w:rFonts w:ascii="Times New Roman" w:hAnsi="Times New Roman"/>
        </w:rPr>
      </w:pPr>
    </w:p>
    <w:p w:rsidR="00F24E64" w:rsidRPr="002F4C6C" w:rsidRDefault="00F24E64" w:rsidP="00F24E64">
      <w:pPr>
        <w:keepNext/>
        <w:tabs>
          <w:tab w:val="left" w:pos="567"/>
        </w:tabs>
        <w:spacing w:line="260" w:lineRule="exact"/>
        <w:jc w:val="both"/>
        <w:outlineLvl w:val="3"/>
        <w:rPr>
          <w:rFonts w:ascii="Times New Roman" w:eastAsia="Times New Roman" w:hAnsi="Times New Roman"/>
          <w:b/>
          <w:bCs/>
          <w:lang w:eastAsia="x-none"/>
        </w:rPr>
      </w:pPr>
      <w:r w:rsidRPr="002F4C6C">
        <w:rPr>
          <w:rFonts w:ascii="Times New Roman" w:hAnsi="Times New Roman"/>
          <w:b/>
          <w:bCs/>
          <w:lang w:eastAsia="x-none"/>
        </w:rPr>
        <w:t>4.3</w:t>
      </w:r>
      <w:r w:rsidRPr="002F4C6C">
        <w:rPr>
          <w:rFonts w:ascii="Times New Roman" w:hAnsi="Times New Roman"/>
          <w:b/>
          <w:bCs/>
          <w:lang w:eastAsia="x-none"/>
        </w:rPr>
        <w:tab/>
        <w:t>Kontraindikacijos</w:t>
      </w:r>
    </w:p>
    <w:p w:rsidR="00E250E1" w:rsidRPr="002F4C6C" w:rsidRDefault="00E250E1">
      <w:pPr>
        <w:spacing w:after="0" w:line="240" w:lineRule="auto"/>
        <w:rPr>
          <w:rFonts w:ascii="Times New Roman" w:hAnsi="Times New Roman"/>
        </w:rPr>
      </w:pPr>
      <w:r w:rsidRPr="002F4C6C">
        <w:rPr>
          <w:rFonts w:ascii="Times New Roman" w:hAnsi="Times New Roman"/>
          <w:i/>
          <w:iCs/>
        </w:rPr>
        <w:t>Susijusios su perindopriliu:</w:t>
      </w:r>
    </w:p>
    <w:p w:rsidR="00E250E1" w:rsidRPr="002F4C6C" w:rsidRDefault="00E250E1" w:rsidP="007A0C60">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bCs/>
          <w:iCs/>
        </w:rPr>
        <w:t>padidėjęs jautrumas veikliajai medžiagai ar bet kokiam kitam AKF inhibitoriui;</w:t>
      </w:r>
    </w:p>
    <w:p w:rsidR="00E250E1" w:rsidRPr="002F4C6C" w:rsidRDefault="00E250E1" w:rsidP="007A0C60">
      <w:pPr>
        <w:numPr>
          <w:ilvl w:val="0"/>
          <w:numId w:val="5"/>
        </w:numPr>
        <w:tabs>
          <w:tab w:val="clear" w:pos="0"/>
          <w:tab w:val="left" w:pos="567"/>
        </w:tabs>
        <w:spacing w:after="0" w:line="240" w:lineRule="auto"/>
        <w:ind w:left="567" w:hanging="567"/>
        <w:rPr>
          <w:rFonts w:ascii="Times New Roman" w:hAnsi="Times New Roman"/>
        </w:rPr>
      </w:pPr>
      <w:r w:rsidRPr="002F4C6C">
        <w:rPr>
          <w:rFonts w:ascii="Times New Roman" w:hAnsi="Times New Roman"/>
          <w:bCs/>
          <w:iCs/>
        </w:rPr>
        <w:t>praeityje buvusi angioneurozinė edema, susijusi su gydymu AKF inhibitoriais (žr. 4.4 skyrių);</w:t>
      </w:r>
    </w:p>
    <w:p w:rsidR="00E250E1" w:rsidRPr="002F4C6C" w:rsidRDefault="00E250E1" w:rsidP="007A0C60">
      <w:pPr>
        <w:numPr>
          <w:ilvl w:val="0"/>
          <w:numId w:val="5"/>
        </w:numPr>
        <w:tabs>
          <w:tab w:val="clear" w:pos="0"/>
          <w:tab w:val="left" w:pos="567"/>
        </w:tabs>
        <w:spacing w:after="0" w:line="240" w:lineRule="auto"/>
        <w:ind w:left="567" w:hanging="567"/>
        <w:rPr>
          <w:rFonts w:ascii="Times New Roman" w:hAnsi="Times New Roman"/>
        </w:rPr>
      </w:pPr>
      <w:r w:rsidRPr="002F4C6C">
        <w:rPr>
          <w:rFonts w:ascii="Times New Roman" w:hAnsi="Times New Roman"/>
          <w:bCs/>
          <w:iCs/>
        </w:rPr>
        <w:t>paveldėta arba idiopatinė angioneurozinė edema;</w:t>
      </w:r>
    </w:p>
    <w:p w:rsidR="00E250E1" w:rsidRPr="002F4C6C" w:rsidRDefault="00E250E1" w:rsidP="007A0C60">
      <w:pPr>
        <w:numPr>
          <w:ilvl w:val="0"/>
          <w:numId w:val="5"/>
        </w:numPr>
        <w:tabs>
          <w:tab w:val="clear" w:pos="0"/>
          <w:tab w:val="left" w:pos="567"/>
        </w:tabs>
        <w:spacing w:after="0" w:line="240" w:lineRule="auto"/>
        <w:ind w:left="567" w:hanging="567"/>
        <w:rPr>
          <w:rFonts w:ascii="Times New Roman" w:hAnsi="Times New Roman"/>
        </w:rPr>
      </w:pPr>
      <w:r w:rsidRPr="002F4C6C">
        <w:rPr>
          <w:rFonts w:ascii="Times New Roman" w:hAnsi="Times New Roman"/>
          <w:bCs/>
          <w:iCs/>
        </w:rPr>
        <w:t>antrasis ir trečiasis nėštumo trimestrai (žr. 4.4 ir 4.6 skyrius);</w:t>
      </w:r>
    </w:p>
    <w:p w:rsidR="00E250E1" w:rsidRPr="002F4C6C" w:rsidRDefault="009E3CAB" w:rsidP="007A0C60">
      <w:pPr>
        <w:numPr>
          <w:ilvl w:val="0"/>
          <w:numId w:val="5"/>
        </w:numPr>
        <w:tabs>
          <w:tab w:val="clear" w:pos="0"/>
          <w:tab w:val="left" w:pos="567"/>
        </w:tabs>
        <w:spacing w:after="0" w:line="240" w:lineRule="auto"/>
        <w:ind w:left="567" w:hanging="567"/>
        <w:rPr>
          <w:rFonts w:ascii="Times New Roman" w:hAnsi="Times New Roman"/>
        </w:rPr>
      </w:pPr>
      <w:r w:rsidRPr="002F4C6C">
        <w:rPr>
          <w:rFonts w:ascii="Times New Roman" w:hAnsi="Times New Roman"/>
        </w:rPr>
        <w:t xml:space="preserve">perindoprilio ir amlodipino derinio vartojimas </w:t>
      </w:r>
      <w:r w:rsidRPr="002F4C6C">
        <w:rPr>
          <w:rFonts w:ascii="Times New Roman" w:hAnsi="Times New Roman"/>
          <w:bCs/>
          <w:iCs/>
        </w:rPr>
        <w:t xml:space="preserve">kartu su vaistiniais preparatais, kurių sudėtyje yra aliskireno </w:t>
      </w:r>
      <w:r w:rsidR="00E250E1" w:rsidRPr="002F4C6C">
        <w:rPr>
          <w:rFonts w:ascii="Times New Roman" w:hAnsi="Times New Roman"/>
          <w:bCs/>
          <w:iCs/>
        </w:rPr>
        <w:t>pacientams, serga</w:t>
      </w:r>
      <w:r w:rsidR="006D0A73" w:rsidRPr="002F4C6C">
        <w:rPr>
          <w:rFonts w:ascii="Times New Roman" w:hAnsi="Times New Roman"/>
          <w:bCs/>
          <w:iCs/>
        </w:rPr>
        <w:t>ntiems</w:t>
      </w:r>
      <w:r w:rsidR="00E250E1" w:rsidRPr="002F4C6C">
        <w:rPr>
          <w:rFonts w:ascii="Times New Roman" w:hAnsi="Times New Roman"/>
          <w:bCs/>
          <w:iCs/>
        </w:rPr>
        <w:t xml:space="preserve"> cukriniu diabetu arba kurių inkstų funkcija sutrikusi (</w:t>
      </w:r>
      <w:r w:rsidR="00501529">
        <w:rPr>
          <w:rFonts w:ascii="Times New Roman" w:hAnsi="Times New Roman"/>
          <w:bCs/>
          <w:iCs/>
        </w:rPr>
        <w:t>glomerulų filtracijos greitis [GFG]</w:t>
      </w:r>
      <w:r w:rsidR="00D63557">
        <w:rPr>
          <w:rFonts w:ascii="Times New Roman" w:hAnsi="Times New Roman"/>
          <w:bCs/>
          <w:iCs/>
        </w:rPr>
        <w:t xml:space="preserve"> </w:t>
      </w:r>
      <w:r w:rsidR="00E250E1" w:rsidRPr="002F4C6C">
        <w:rPr>
          <w:rFonts w:ascii="Times New Roman" w:hAnsi="Times New Roman"/>
          <w:bCs/>
          <w:iCs/>
        </w:rPr>
        <w:t>&lt; 60 ml/min/1,73 m</w:t>
      </w:r>
      <w:r w:rsidR="00E250E1" w:rsidRPr="002F4C6C">
        <w:rPr>
          <w:rFonts w:ascii="Times New Roman" w:hAnsi="Times New Roman"/>
          <w:bCs/>
          <w:iCs/>
          <w:vertAlign w:val="superscript"/>
        </w:rPr>
        <w:t>2</w:t>
      </w:r>
      <w:r w:rsidR="00E250E1" w:rsidRPr="002F4C6C">
        <w:rPr>
          <w:rFonts w:ascii="Times New Roman" w:hAnsi="Times New Roman"/>
          <w:bCs/>
          <w:iCs/>
        </w:rPr>
        <w:t>) (žr. 4.5 ir 5.1 skyrius);</w:t>
      </w:r>
    </w:p>
    <w:p w:rsidR="00E250E1" w:rsidRPr="002F4C6C" w:rsidRDefault="00E250E1" w:rsidP="007A0C60">
      <w:pPr>
        <w:numPr>
          <w:ilvl w:val="0"/>
          <w:numId w:val="5"/>
        </w:numPr>
        <w:tabs>
          <w:tab w:val="clear" w:pos="0"/>
          <w:tab w:val="left" w:pos="567"/>
        </w:tabs>
        <w:spacing w:after="0" w:line="240" w:lineRule="auto"/>
        <w:ind w:left="567" w:hanging="567"/>
        <w:rPr>
          <w:rFonts w:ascii="Times New Roman" w:hAnsi="Times New Roman"/>
        </w:rPr>
      </w:pPr>
      <w:bookmarkStart w:id="0" w:name="_Hlk505957529"/>
      <w:r w:rsidRPr="002F4C6C">
        <w:rPr>
          <w:rFonts w:ascii="Times New Roman" w:hAnsi="Times New Roman"/>
          <w:bCs/>
          <w:iCs/>
        </w:rPr>
        <w:t>vartojimas kartu su sakubitrilu / valsartanu (žr. 4.4 ir 4.5 skyrius)</w:t>
      </w:r>
      <w:r w:rsidR="009E3CAB" w:rsidRPr="002F4C6C">
        <w:rPr>
          <w:rFonts w:ascii="Times New Roman" w:hAnsi="Times New Roman"/>
          <w:bCs/>
          <w:iCs/>
        </w:rPr>
        <w:t xml:space="preserve">. Perindoprilio ir amlodipino </w:t>
      </w:r>
      <w:r w:rsidR="00A430CA">
        <w:rPr>
          <w:rFonts w:ascii="Times New Roman" w:hAnsi="Times New Roman"/>
          <w:bCs/>
          <w:iCs/>
        </w:rPr>
        <w:t>derinio draudžiama</w:t>
      </w:r>
      <w:r w:rsidR="009E3CAB" w:rsidRPr="002F4C6C">
        <w:rPr>
          <w:rFonts w:ascii="Times New Roman" w:hAnsi="Times New Roman"/>
          <w:bCs/>
          <w:iCs/>
        </w:rPr>
        <w:t xml:space="preserve"> pradėti vartoti anksčiau </w:t>
      </w:r>
      <w:r w:rsidR="00A430CA">
        <w:rPr>
          <w:rFonts w:ascii="Times New Roman" w:hAnsi="Times New Roman"/>
          <w:bCs/>
          <w:iCs/>
        </w:rPr>
        <w:t>kaip po</w:t>
      </w:r>
      <w:r w:rsidR="009E3CAB" w:rsidRPr="002F4C6C">
        <w:rPr>
          <w:rFonts w:ascii="Times New Roman" w:hAnsi="Times New Roman"/>
          <w:bCs/>
          <w:iCs/>
        </w:rPr>
        <w:t xml:space="preserve"> 36 valand</w:t>
      </w:r>
      <w:r w:rsidR="00A430CA">
        <w:rPr>
          <w:rFonts w:ascii="Times New Roman" w:hAnsi="Times New Roman"/>
          <w:bCs/>
          <w:iCs/>
        </w:rPr>
        <w:t>ų</w:t>
      </w:r>
      <w:r w:rsidR="009E3CAB" w:rsidRPr="002F4C6C">
        <w:rPr>
          <w:rFonts w:ascii="Times New Roman" w:hAnsi="Times New Roman"/>
          <w:bCs/>
          <w:iCs/>
        </w:rPr>
        <w:t xml:space="preserve"> po paskutinės sakubitril</w:t>
      </w:r>
      <w:r w:rsidR="00262E45" w:rsidRPr="002F4C6C">
        <w:rPr>
          <w:rFonts w:ascii="Times New Roman" w:hAnsi="Times New Roman"/>
          <w:bCs/>
          <w:iCs/>
        </w:rPr>
        <w:t xml:space="preserve">o </w:t>
      </w:r>
      <w:r w:rsidR="009E3CAB" w:rsidRPr="002F4C6C">
        <w:rPr>
          <w:rFonts w:ascii="Times New Roman" w:hAnsi="Times New Roman"/>
          <w:bCs/>
          <w:iCs/>
        </w:rPr>
        <w:t>/ valsartan</w:t>
      </w:r>
      <w:r w:rsidR="00262E45" w:rsidRPr="002F4C6C">
        <w:rPr>
          <w:rFonts w:ascii="Times New Roman" w:hAnsi="Times New Roman"/>
          <w:bCs/>
          <w:iCs/>
        </w:rPr>
        <w:t xml:space="preserve">o dozės </w:t>
      </w:r>
      <w:r w:rsidR="008F62FA" w:rsidRPr="002F4C6C">
        <w:rPr>
          <w:rFonts w:ascii="Times New Roman" w:hAnsi="Times New Roman"/>
          <w:bCs/>
          <w:iCs/>
        </w:rPr>
        <w:t>pa</w:t>
      </w:r>
      <w:r w:rsidR="009E3CAB" w:rsidRPr="002F4C6C">
        <w:rPr>
          <w:rFonts w:ascii="Times New Roman" w:hAnsi="Times New Roman"/>
          <w:bCs/>
          <w:iCs/>
        </w:rPr>
        <w:t>vartojimo</w:t>
      </w:r>
      <w:r w:rsidRPr="002F4C6C">
        <w:rPr>
          <w:rFonts w:ascii="Times New Roman" w:hAnsi="Times New Roman"/>
          <w:bCs/>
          <w:iCs/>
        </w:rPr>
        <w:t>;</w:t>
      </w:r>
    </w:p>
    <w:p w:rsidR="00E250E1" w:rsidRPr="002F4C6C" w:rsidRDefault="00E250E1" w:rsidP="007A0C60">
      <w:pPr>
        <w:numPr>
          <w:ilvl w:val="0"/>
          <w:numId w:val="5"/>
        </w:numPr>
        <w:tabs>
          <w:tab w:val="clear" w:pos="0"/>
          <w:tab w:val="left" w:pos="567"/>
        </w:tabs>
        <w:spacing w:after="0" w:line="240" w:lineRule="auto"/>
        <w:ind w:left="567" w:hanging="567"/>
        <w:rPr>
          <w:rFonts w:ascii="Times New Roman" w:hAnsi="Times New Roman"/>
        </w:rPr>
      </w:pPr>
      <w:r w:rsidRPr="002F4C6C">
        <w:rPr>
          <w:rFonts w:ascii="Times New Roman" w:hAnsi="Times New Roman"/>
          <w:bCs/>
          <w:iCs/>
        </w:rPr>
        <w:t>ekstrakorporinis gydymas, dėl kurio kraujas sąveikauja su neigiamą krūvį turinčiais paviršiais (žr. 4.5 skyrių);</w:t>
      </w:r>
    </w:p>
    <w:p w:rsidR="00E250E1" w:rsidRPr="002F4C6C" w:rsidRDefault="00E250E1" w:rsidP="007A0C60">
      <w:pPr>
        <w:numPr>
          <w:ilvl w:val="0"/>
          <w:numId w:val="5"/>
        </w:numPr>
        <w:tabs>
          <w:tab w:val="clear" w:pos="0"/>
          <w:tab w:val="left" w:pos="567"/>
        </w:tabs>
        <w:spacing w:after="0" w:line="240" w:lineRule="auto"/>
        <w:ind w:left="567" w:hanging="567"/>
        <w:rPr>
          <w:rFonts w:ascii="Times New Roman" w:hAnsi="Times New Roman"/>
        </w:rPr>
      </w:pPr>
      <w:r w:rsidRPr="002F4C6C">
        <w:rPr>
          <w:rFonts w:ascii="Times New Roman" w:hAnsi="Times New Roman"/>
          <w:bCs/>
          <w:iCs/>
        </w:rPr>
        <w:t>reikšminga abiejų inkstų arterijų stenozė arba vienintelio funkcionuojančio inksto arterijos stenozė (žr. 4.4 skyrių).</w:t>
      </w:r>
    </w:p>
    <w:bookmarkEnd w:id="0"/>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i/>
          <w:iCs/>
        </w:rPr>
        <w:t>Susijusios su amlodipinu:</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bCs/>
          <w:iCs/>
        </w:rPr>
        <w:t xml:space="preserve">padidėjęs jautrumas </w:t>
      </w:r>
      <w:r w:rsidR="00262E45" w:rsidRPr="002F4C6C">
        <w:rPr>
          <w:rFonts w:ascii="Times New Roman" w:hAnsi="Times New Roman"/>
          <w:bCs/>
          <w:iCs/>
        </w:rPr>
        <w:t>veikliajai medžiagai</w:t>
      </w:r>
      <w:r w:rsidRPr="002F4C6C">
        <w:rPr>
          <w:rFonts w:ascii="Times New Roman" w:hAnsi="Times New Roman"/>
          <w:bCs/>
          <w:iCs/>
        </w:rPr>
        <w:t xml:space="preserve"> ar dihidropiridino dariniams;</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bCs/>
          <w:iCs/>
        </w:rPr>
        <w:t>sunki hipotenzija;</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bCs/>
          <w:iCs/>
        </w:rPr>
        <w:lastRenderedPageBreak/>
        <w:t>šokas, įskaitant kardiogeninį šoką;</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bCs/>
          <w:iCs/>
        </w:rPr>
        <w:t>kairiojo skilvelio išvarymo trakto obstrukcija (pvz., didelio laipsnio aortos stenozė);</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bCs/>
          <w:iCs/>
        </w:rPr>
        <w:t>hemodinamiškai nestabilus širdies nepakankamumas po ūminio miokardo infarkto.</w:t>
      </w:r>
    </w:p>
    <w:p w:rsidR="00E250E1" w:rsidRPr="002F4C6C" w:rsidRDefault="00E250E1">
      <w:pPr>
        <w:spacing w:after="0" w:line="240" w:lineRule="auto"/>
        <w:rPr>
          <w:rFonts w:ascii="Times New Roman" w:hAnsi="Times New Roman"/>
          <w:bCs/>
          <w:iCs/>
        </w:rPr>
      </w:pPr>
    </w:p>
    <w:p w:rsidR="00E250E1" w:rsidRPr="002F4C6C" w:rsidRDefault="00E250E1">
      <w:pPr>
        <w:keepNext/>
        <w:spacing w:after="0" w:line="240" w:lineRule="auto"/>
        <w:rPr>
          <w:rFonts w:ascii="Times New Roman" w:hAnsi="Times New Roman"/>
        </w:rPr>
      </w:pPr>
      <w:r w:rsidRPr="002F4C6C">
        <w:rPr>
          <w:rFonts w:ascii="Times New Roman" w:hAnsi="Times New Roman"/>
          <w:i/>
          <w:iCs/>
        </w:rPr>
        <w:t xml:space="preserve">Susijusios su </w:t>
      </w:r>
      <w:r w:rsidRPr="002F4C6C">
        <w:rPr>
          <w:rFonts w:ascii="Times New Roman" w:eastAsia="Times New Roman" w:hAnsi="Times New Roman"/>
          <w:i/>
        </w:rPr>
        <w:t>Perindopril tosilate/Amlodipine Teva Pharma</w:t>
      </w:r>
    </w:p>
    <w:p w:rsidR="00E250E1" w:rsidRPr="002F4C6C" w:rsidRDefault="00E250E1">
      <w:pPr>
        <w:spacing w:after="0" w:line="240" w:lineRule="auto"/>
        <w:rPr>
          <w:rFonts w:ascii="Times New Roman" w:hAnsi="Times New Roman"/>
        </w:rPr>
      </w:pPr>
      <w:r w:rsidRPr="002F4C6C">
        <w:rPr>
          <w:rFonts w:ascii="Times New Roman" w:hAnsi="Times New Roman"/>
        </w:rPr>
        <w:t>Anksčiau išvardytos su kiekvienu vaistini</w:t>
      </w:r>
      <w:r w:rsidR="00F86BA2">
        <w:rPr>
          <w:rFonts w:ascii="Times New Roman" w:hAnsi="Times New Roman"/>
        </w:rPr>
        <w:t>u</w:t>
      </w:r>
      <w:r w:rsidRPr="002F4C6C">
        <w:rPr>
          <w:rFonts w:ascii="Times New Roman" w:hAnsi="Times New Roman"/>
        </w:rPr>
        <w:t xml:space="preserve"> preparat</w:t>
      </w:r>
      <w:r w:rsidR="00F86BA2">
        <w:rPr>
          <w:rFonts w:ascii="Times New Roman" w:hAnsi="Times New Roman"/>
        </w:rPr>
        <w:t>u</w:t>
      </w:r>
      <w:r w:rsidRPr="002F4C6C">
        <w:rPr>
          <w:rFonts w:ascii="Times New Roman" w:hAnsi="Times New Roman"/>
        </w:rPr>
        <w:t xml:space="preserve"> susijusios kontraindikacijos taip pat tinka ir fiksuotų dozių perindoprilio ir amlodipino deriniui.</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rPr>
        <w:t xml:space="preserve">padidėjęs jautrumas bet </w:t>
      </w:r>
      <w:r w:rsidR="008D08BD" w:rsidRPr="002F4C6C">
        <w:rPr>
          <w:rFonts w:ascii="Times New Roman" w:hAnsi="Times New Roman"/>
        </w:rPr>
        <w:t xml:space="preserve">kuriai </w:t>
      </w:r>
      <w:r w:rsidRPr="002F4C6C">
        <w:rPr>
          <w:rFonts w:ascii="Times New Roman" w:hAnsi="Times New Roman"/>
        </w:rPr>
        <w:t xml:space="preserve">6.1 skyriuje </w:t>
      </w:r>
      <w:r w:rsidR="008D08BD" w:rsidRPr="002F4C6C">
        <w:rPr>
          <w:rFonts w:ascii="Times New Roman" w:hAnsi="Times New Roman"/>
        </w:rPr>
        <w:t xml:space="preserve">nurodytai </w:t>
      </w:r>
      <w:r w:rsidRPr="002F4C6C">
        <w:rPr>
          <w:rFonts w:ascii="Times New Roman" w:hAnsi="Times New Roman"/>
        </w:rPr>
        <w:t>pagalbinei medžiagai.</w:t>
      </w:r>
    </w:p>
    <w:p w:rsidR="00E250E1" w:rsidRPr="002F4C6C" w:rsidRDefault="00E250E1">
      <w:pPr>
        <w:tabs>
          <w:tab w:val="left" w:pos="851"/>
        </w:tabs>
        <w:spacing w:after="0" w:line="240" w:lineRule="auto"/>
        <w:ind w:left="426" w:hanging="426"/>
        <w:rPr>
          <w:rFonts w:ascii="Times New Roman" w:hAnsi="Times New Roman"/>
          <w:b/>
        </w:rPr>
      </w:pPr>
    </w:p>
    <w:p w:rsidR="00E250E1" w:rsidRPr="002F4C6C" w:rsidRDefault="00E250E1">
      <w:pPr>
        <w:keepNext/>
        <w:keepLines/>
        <w:tabs>
          <w:tab w:val="left" w:pos="567"/>
        </w:tabs>
        <w:spacing w:after="0" w:line="240" w:lineRule="auto"/>
        <w:ind w:left="567" w:hanging="567"/>
        <w:rPr>
          <w:rFonts w:ascii="Times New Roman" w:hAnsi="Times New Roman"/>
        </w:rPr>
      </w:pPr>
      <w:r w:rsidRPr="002F4C6C">
        <w:rPr>
          <w:rFonts w:ascii="Times New Roman" w:hAnsi="Times New Roman"/>
          <w:b/>
          <w:kern w:val="2"/>
        </w:rPr>
        <w:t>4.4</w:t>
      </w:r>
      <w:r w:rsidRPr="002F4C6C">
        <w:rPr>
          <w:rFonts w:ascii="Times New Roman" w:hAnsi="Times New Roman"/>
          <w:b/>
          <w:kern w:val="2"/>
        </w:rPr>
        <w:tab/>
        <w:t>Specialūs įspėjimai ir atsargumo priemonės</w:t>
      </w:r>
    </w:p>
    <w:p w:rsidR="00E250E1" w:rsidRPr="002F4C6C" w:rsidRDefault="00E250E1">
      <w:pPr>
        <w:spacing w:after="0" w:line="240" w:lineRule="auto"/>
        <w:rPr>
          <w:rFonts w:ascii="Times New Roman" w:hAnsi="Times New Roman"/>
          <w:b/>
          <w:kern w:val="2"/>
        </w:rPr>
      </w:pPr>
    </w:p>
    <w:p w:rsidR="00E250E1" w:rsidRPr="002F4C6C" w:rsidRDefault="00E250E1">
      <w:pPr>
        <w:spacing w:after="0" w:line="240" w:lineRule="auto"/>
        <w:rPr>
          <w:rFonts w:ascii="Times New Roman" w:hAnsi="Times New Roman"/>
        </w:rPr>
      </w:pPr>
      <w:r w:rsidRPr="002F4C6C">
        <w:rPr>
          <w:rFonts w:ascii="Times New Roman" w:hAnsi="Times New Roman"/>
        </w:rPr>
        <w:t>Toliau išvardyti su kiekvienu vaistinio preparato komponentu susiję įspėjimai taip pat tinka ir fiksuotų dozių perindoprilio ir amlodipino deriniui.</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Cs/>
          <w:u w:val="single"/>
        </w:rPr>
        <w:t>Dėl perindoprilio</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Specialūs įspėjimai</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bCs/>
          <w:i/>
        </w:rPr>
        <w:t>Padidėjęs jautrumas ir angioneurozinė edema</w:t>
      </w: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Retais atvejais pacientams, gydytiems AKF inhibitoriais, įskaitant perindoprilį, pasireiškė veido, galūnių, lūpų, gleivinių, liežuvio, balso klosčių ir (arba) gerklų angioneurozinė edema (žr. 4.8 skyrių). Ji gali atsirasti bet kuriuo gydymo momentu. Tokiais atvejais reikia nedelsiant nutraukti </w:t>
      </w:r>
      <w:r w:rsidRPr="002F4C6C">
        <w:rPr>
          <w:rFonts w:ascii="Times New Roman" w:hAnsi="Times New Roman"/>
        </w:rPr>
        <w:t>perindoprilio ir amlodipino derinio</w:t>
      </w:r>
      <w:r w:rsidRPr="002F4C6C">
        <w:rPr>
          <w:rFonts w:ascii="Times New Roman" w:hAnsi="Times New Roman"/>
          <w:bCs/>
          <w:iCs/>
        </w:rPr>
        <w:t xml:space="preserve"> vartojimą ir pradėti atitinkamą būklės stebėjimą, kuris turi būti tęsiamas, kol visiškai išnyks simptomai. Tik veido ir lūpų paburkimas paprastai praeina negydomas, tačiau norint palengvinti simptomus, galima pavartoti antihistamininių vaistinių preparatų.</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Angioneurozinė edema, susijusi su gerklų paburkimu, gali baigtis mirtimi. Jeigu paburksta liežuvis, balso klostės arba gerklos, dėl ko gali užsikimšti kvėpavimo takai, reikia nedelsiant imtis neatidėliotinos pagalbos priemonių. Tuo tikslu galima suleisti adrenalino ir (arba) kvėpavimo takus palaikyti atvirus. Pacientą turia atidžiai stebėti gydytojai, kol simptomai visiškai išnyks ir būklė ilgesnį laiką išliks stabili.</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Pacientams, kuriems kada nors yra buvusi angioneurozinė edema, nesusijusi su gydymu AKF inhibitoriais, gali būti didesnė rizika pasireikšti angioneurozinei edemai vartojant AKF inhibitorius (žr. 4.3 skyrių).</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Retais atvejais pacientams, gydytiems AKF inhibitoriais, pasireiškė</w:t>
      </w:r>
      <w:r w:rsidRPr="002F4C6C">
        <w:rPr>
          <w:rFonts w:ascii="Times New Roman" w:hAnsi="Times New Roman"/>
        </w:rPr>
        <w:t xml:space="preserve"> žarnyno angioneurozinė edema. Šie pacientai jautė pilvo skausmą (esant pykinimui ar vėmimui arba jų nesant); kai kuriais atvejais prieš tai nebuvo veido angioneurozinės edemos ir C-1 esterazės koncentracija buvo normali. Angioneurozinė edema diagnozuojama atliekant pilvo KT ar ultragarsinį tyrimą arba nustatoma operacijos metu, o jos simptomai praeina nustojus vartoti AKF inhibitorius. Jeigu AKF inhibitorius vartojantiems pacientams atsiranda pilvo skausmas, atliekant diferencinę diagnostiką, reikia nepamiršti ir žarnyno angioneurozinės edemos (žr. 4.8 skyrių). </w:t>
      </w:r>
    </w:p>
    <w:p w:rsidR="00E250E1" w:rsidRPr="002F4C6C" w:rsidRDefault="00E250E1">
      <w:pPr>
        <w:spacing w:after="0" w:line="240" w:lineRule="auto"/>
        <w:rPr>
          <w:rFonts w:ascii="Times New Roman" w:hAnsi="Times New Roman"/>
        </w:rPr>
      </w:pPr>
    </w:p>
    <w:p w:rsidR="00E250E1" w:rsidRPr="002F4C6C" w:rsidRDefault="00E250E1">
      <w:pPr>
        <w:tabs>
          <w:tab w:val="left" w:pos="0"/>
        </w:tabs>
        <w:autoSpaceDE w:val="0"/>
        <w:spacing w:after="0" w:line="240" w:lineRule="auto"/>
        <w:rPr>
          <w:rFonts w:ascii="Times New Roman" w:hAnsi="Times New Roman"/>
        </w:rPr>
      </w:pPr>
      <w:r w:rsidRPr="002F4C6C">
        <w:rPr>
          <w:rFonts w:ascii="Times New Roman" w:hAnsi="Times New Roman"/>
          <w:lang w:eastAsia="en-GB"/>
        </w:rPr>
        <w:t xml:space="preserve">Perindoprilio negalima vartoti </w:t>
      </w:r>
      <w:r w:rsidR="00F24E64" w:rsidRPr="002F4C6C">
        <w:rPr>
          <w:rFonts w:ascii="Times New Roman" w:hAnsi="Times New Roman"/>
          <w:lang w:eastAsia="en-GB"/>
        </w:rPr>
        <w:t>derinyje</w:t>
      </w:r>
      <w:r w:rsidRPr="002F4C6C">
        <w:rPr>
          <w:rFonts w:ascii="Times New Roman" w:hAnsi="Times New Roman"/>
          <w:lang w:eastAsia="en-GB"/>
        </w:rPr>
        <w:t xml:space="preserve"> su sakubitrilu / valsartanu dėl padidėjusios angioneurozinės edemos rizikos (žr. 4.3 skyrių). Sakubitrilo / valsartano negalima pradėti vartoti tol, kol nepraėjo 36 valandos po paskutinės perindoprilio dozės </w:t>
      </w:r>
      <w:bookmarkStart w:id="1" w:name="_Hlk505861725"/>
      <w:r w:rsidRPr="002F4C6C">
        <w:rPr>
          <w:rFonts w:ascii="Times New Roman" w:hAnsi="Times New Roman"/>
          <w:lang w:eastAsia="en-GB"/>
        </w:rPr>
        <w:t>suvartojimo</w:t>
      </w:r>
      <w:bookmarkEnd w:id="1"/>
      <w:r w:rsidRPr="002F4C6C">
        <w:rPr>
          <w:rFonts w:ascii="Times New Roman" w:hAnsi="Times New Roman"/>
          <w:lang w:eastAsia="en-GB"/>
        </w:rPr>
        <w:t xml:space="preserve">. Nutraukus sakubitrilo / valsartano vartojimą, gydymo perindopriliu negalima pradėti tol, kol nepraėjo 36 valandos po paskutinės sakubitrilo / valsartano dozės suvartojimo (žr. 4.3 ir 4.5 skyrius). </w:t>
      </w:r>
    </w:p>
    <w:p w:rsidR="00F24E64" w:rsidRPr="002F4C6C" w:rsidRDefault="00F24E64" w:rsidP="00F24E64">
      <w:pPr>
        <w:tabs>
          <w:tab w:val="left" w:pos="0"/>
        </w:tabs>
        <w:spacing w:after="0" w:line="240" w:lineRule="auto"/>
        <w:outlineLvl w:val="0"/>
        <w:rPr>
          <w:rFonts w:ascii="Times New Roman" w:hAnsi="Times New Roman"/>
        </w:rPr>
      </w:pPr>
      <w:r w:rsidRPr="002F4C6C">
        <w:rPr>
          <w:rFonts w:ascii="Times New Roman" w:hAnsi="Times New Roman"/>
        </w:rPr>
        <w:t xml:space="preserve">AKF inhibitorių vartojimas kartu su neutraliosios endopeptidazės (NEP) inhibitoriais (pvz., racekadotriliu), mTOR inhibitoriais (pvz.: sirolimuzu, everolimuzu, temsirolimuzu) ir gliptinais (pvz., linagliptinu, saksagliptinu, </w:t>
      </w:r>
      <w:r w:rsidR="00A45E99">
        <w:rPr>
          <w:rFonts w:ascii="Times New Roman" w:hAnsi="Times New Roman"/>
        </w:rPr>
        <w:t xml:space="preserve">sitagliptinu, </w:t>
      </w:r>
      <w:r w:rsidRPr="002F4C6C">
        <w:rPr>
          <w:rFonts w:ascii="Times New Roman" w:hAnsi="Times New Roman"/>
        </w:rPr>
        <w:t xml:space="preserve">vildagliptinu) gali padidinti angioneurozinės edemos </w:t>
      </w:r>
      <w:r w:rsidR="00A45E99">
        <w:rPr>
          <w:rFonts w:ascii="Times New Roman" w:hAnsi="Times New Roman"/>
        </w:rPr>
        <w:t>pasireiškimo</w:t>
      </w:r>
      <w:r w:rsidRPr="002F4C6C">
        <w:rPr>
          <w:rFonts w:ascii="Times New Roman" w:hAnsi="Times New Roman"/>
        </w:rPr>
        <w:t xml:space="preserve"> riziką (tai yra kvėpavimo takų ar liežuvio paburkimo, pasireiškiančio su kvėpavimo sutrikimu arba be jo) (žr. 4.5 skyrių). </w:t>
      </w:r>
      <w:r w:rsidR="00A45E99">
        <w:rPr>
          <w:rFonts w:ascii="Times New Roman" w:hAnsi="Times New Roman"/>
        </w:rPr>
        <w:t>Saugumo priemonių</w:t>
      </w:r>
      <w:r w:rsidRPr="002F4C6C">
        <w:rPr>
          <w:rFonts w:ascii="Times New Roman" w:hAnsi="Times New Roman"/>
        </w:rPr>
        <w:t xml:space="preserve"> reikia laikytis kai pradedamas gydymas racekadotriliu, mTOR </w:t>
      </w:r>
      <w:r w:rsidRPr="002F4C6C">
        <w:rPr>
          <w:rFonts w:ascii="Times New Roman" w:hAnsi="Times New Roman"/>
        </w:rPr>
        <w:lastRenderedPageBreak/>
        <w:t xml:space="preserve">inhibitoriais (pvz.: sirolimuzu, everolimuzu, temsirolimuzu) ir gliptinais (pvz., linagliptinu, saksagliptinu, </w:t>
      </w:r>
      <w:r w:rsidR="00A45E99">
        <w:rPr>
          <w:rFonts w:ascii="Times New Roman" w:hAnsi="Times New Roman"/>
        </w:rPr>
        <w:t xml:space="preserve">sitagliptinu, </w:t>
      </w:r>
      <w:r w:rsidRPr="002F4C6C">
        <w:rPr>
          <w:rFonts w:ascii="Times New Roman" w:hAnsi="Times New Roman"/>
        </w:rPr>
        <w:t>vildagliptinu) pacientams, jau vartojantiems AKF inhibitori</w:t>
      </w:r>
      <w:r w:rsidR="00A45E99">
        <w:rPr>
          <w:rFonts w:ascii="Times New Roman" w:hAnsi="Times New Roman"/>
        </w:rPr>
        <w:t>ų</w:t>
      </w:r>
      <w:r w:rsidRPr="002F4C6C">
        <w:rPr>
          <w:rFonts w:ascii="Times New Roman" w:hAnsi="Times New Roman"/>
        </w:rPr>
        <w:t>.</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
        </w:rPr>
        <w:t>Anafilaktoidinės reakcijos, vykstančios atliekant mažo tankio lipoproteinų (MTL) aferezę</w:t>
      </w:r>
    </w:p>
    <w:p w:rsidR="00E250E1" w:rsidRPr="002F4C6C" w:rsidRDefault="00E250E1">
      <w:pPr>
        <w:spacing w:after="0" w:line="240" w:lineRule="auto"/>
        <w:rPr>
          <w:rFonts w:ascii="Times New Roman" w:hAnsi="Times New Roman"/>
        </w:rPr>
      </w:pPr>
      <w:r w:rsidRPr="002F4C6C">
        <w:rPr>
          <w:rFonts w:ascii="Times New Roman" w:hAnsi="Times New Roman"/>
        </w:rPr>
        <w:t>Retais atvejais AKF inhibitorius vartojantiems pacientams mažo tankio lipoproteinų (MTL) aferezės metu, naudojant dekstrano sulfatą, pasireiškė gyvybei grėsmingų anafilaktoidinių reakcijų. Kad šių reakcijų nebūtų, prieš kiekvieną aferezę gydymas AKF inhibitoriais laikinai nutraukiamas.</w:t>
      </w:r>
    </w:p>
    <w:p w:rsidR="00E250E1" w:rsidRPr="002F4C6C" w:rsidRDefault="00E250E1">
      <w:pPr>
        <w:spacing w:after="0" w:line="240" w:lineRule="auto"/>
        <w:rPr>
          <w:rFonts w:ascii="Times New Roman" w:hAnsi="Times New Roman"/>
          <w:bCs/>
          <w:i/>
        </w:rPr>
      </w:pPr>
    </w:p>
    <w:p w:rsidR="00E250E1" w:rsidRPr="002F4C6C" w:rsidRDefault="00E250E1">
      <w:pPr>
        <w:spacing w:after="0" w:line="240" w:lineRule="auto"/>
        <w:rPr>
          <w:rFonts w:ascii="Times New Roman" w:hAnsi="Times New Roman"/>
        </w:rPr>
      </w:pPr>
      <w:r w:rsidRPr="002F4C6C">
        <w:rPr>
          <w:rFonts w:ascii="Times New Roman" w:hAnsi="Times New Roman"/>
          <w:bCs/>
          <w:i/>
        </w:rPr>
        <w:t>Anafilaktoidinės reakcijos atliekant desensibilizaciją</w:t>
      </w:r>
    </w:p>
    <w:p w:rsidR="00E250E1" w:rsidRPr="002F4C6C" w:rsidRDefault="00E250E1">
      <w:pPr>
        <w:spacing w:after="0" w:line="240" w:lineRule="auto"/>
        <w:rPr>
          <w:rFonts w:ascii="Times New Roman" w:hAnsi="Times New Roman"/>
        </w:rPr>
      </w:pPr>
      <w:r w:rsidRPr="002F4C6C">
        <w:rPr>
          <w:rFonts w:ascii="Times New Roman" w:hAnsi="Times New Roman"/>
        </w:rPr>
        <w:t xml:space="preserve">Pacientams, vartojantiems AKF inhibitorius desensibilizacijos (pvz., nuo plėviasparnių nuodų) metu, pasireiškė anafilaktoidinių reakcijų. Tie patys pacientai šių reakcijų išvengė, laikinai nutraukę AKF inhibitorių vartojimą, tačiau reakcijos vėl pasireiškė, jei netyčia vėl buvo </w:t>
      </w:r>
      <w:r w:rsidR="0008131D" w:rsidRPr="002F4C6C">
        <w:rPr>
          <w:rFonts w:ascii="Times New Roman" w:hAnsi="Times New Roman"/>
        </w:rPr>
        <w:t>atnaujintas gydymas</w:t>
      </w:r>
      <w:r w:rsidRPr="002F4C6C">
        <w:rPr>
          <w:rFonts w:ascii="Times New Roman" w:hAnsi="Times New Roman"/>
        </w:rPr>
        <w:t>.</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rPr>
        <w:t>Neutropenija, agranulocitozė, trombocitopenija, anemija</w:t>
      </w:r>
    </w:p>
    <w:p w:rsidR="00E250E1" w:rsidRPr="002F4C6C" w:rsidRDefault="00E250E1">
      <w:pPr>
        <w:spacing w:after="0" w:line="240" w:lineRule="auto"/>
        <w:rPr>
          <w:rFonts w:ascii="Times New Roman" w:hAnsi="Times New Roman"/>
        </w:rPr>
      </w:pPr>
      <w:r w:rsidRPr="002F4C6C">
        <w:rPr>
          <w:rFonts w:ascii="Times New Roman" w:hAnsi="Times New Roman"/>
          <w:bCs/>
          <w:iCs/>
        </w:rPr>
        <w:t>Pranešama, kad pacientams, vartojantiems AKF inhibitorius, pasitaikė neutropenijos, agranulocitozės, trombocitopenijos ir anemijos atvejų. Pacientams, kurių inkstų funkcija normali ir nėra kitų komplikuojančių veiksnių, neutropenija atsiranda retai. Ypač atsargiai perindoprilį turi vartoti pacientai, sergantys kolageninėmis kraujagyslių ligomis (kolagenozėmis), gaunantys imunosupresinį gydymą, vartojantys alopurinolį ar prokainamidą, arba esant šių komplikuojančių veiksnių deriniui, ypač jeigu jau sutrikusi inkstų funkcija. Kai kurie iš šių pacientų susirgo sunkiomis infekcijomis, kurios keletu atvejų buvo atsparios intensyviam gydymui antibiotikais. Jei tokie pacientai vartoja perindoprilį, patartina nuolat stebėti baltųjų kraujo kūnelių skaičių, o pacientams nurodyti, kad praneštų apie bet kokį infekcijos požymį (pvz., gerklės skausmas, karščiavimas).</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bookmarkStart w:id="2" w:name="_Hlk505957666"/>
      <w:r w:rsidRPr="002F4C6C">
        <w:rPr>
          <w:rFonts w:ascii="Times New Roman" w:hAnsi="Times New Roman"/>
          <w:i/>
        </w:rPr>
        <w:t>Inkstų kraujagyslių (renovaskulinė) hipertenzija</w:t>
      </w:r>
    </w:p>
    <w:p w:rsidR="00E250E1" w:rsidRPr="002F4C6C" w:rsidRDefault="00E250E1">
      <w:pPr>
        <w:tabs>
          <w:tab w:val="left" w:pos="0"/>
        </w:tabs>
        <w:autoSpaceDE w:val="0"/>
        <w:spacing w:after="0" w:line="240" w:lineRule="auto"/>
        <w:rPr>
          <w:rFonts w:ascii="Times New Roman" w:hAnsi="Times New Roman"/>
        </w:rPr>
      </w:pPr>
      <w:r w:rsidRPr="002F4C6C">
        <w:rPr>
          <w:rFonts w:ascii="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skyrių). Gydymas diuretikais gali būti papildomas veiksnys. Gali silpnėti inkstų funkcija, pasireiškiant tik mažiems kreatinino koncentracijos serume pokyčiams net kai yra vieno paciento inksto arterijos stenozė.</w:t>
      </w:r>
    </w:p>
    <w:bookmarkEnd w:id="2"/>
    <w:p w:rsidR="00E250E1" w:rsidRPr="002F4C6C" w:rsidRDefault="00E250E1">
      <w:pPr>
        <w:tabs>
          <w:tab w:val="left" w:pos="0"/>
        </w:tabs>
        <w:autoSpaceDE w:val="0"/>
        <w:spacing w:after="0" w:line="240" w:lineRule="auto"/>
        <w:rPr>
          <w:rFonts w:ascii="Times New Roman" w:hAnsi="Times New Roman"/>
          <w:lang w:eastAsia="en-GB"/>
        </w:rPr>
      </w:pPr>
    </w:p>
    <w:p w:rsidR="00E250E1" w:rsidRPr="002F4C6C" w:rsidRDefault="00E250E1">
      <w:pPr>
        <w:spacing w:after="0" w:line="240" w:lineRule="auto"/>
        <w:rPr>
          <w:rFonts w:ascii="Times New Roman" w:hAnsi="Times New Roman"/>
        </w:rPr>
      </w:pPr>
      <w:r w:rsidRPr="002F4C6C">
        <w:rPr>
          <w:rFonts w:ascii="Times New Roman" w:hAnsi="Times New Roman"/>
          <w:i/>
        </w:rPr>
        <w:t>Dvigubas renino, angiotenzino ir aldosterono sistemos (RAAS) nuslopinimas</w:t>
      </w:r>
    </w:p>
    <w:p w:rsidR="00E250E1" w:rsidRPr="002F4C6C" w:rsidRDefault="00E250E1">
      <w:pPr>
        <w:spacing w:after="0" w:line="240" w:lineRule="auto"/>
        <w:rPr>
          <w:rFonts w:ascii="Times New Roman" w:hAnsi="Times New Roman"/>
        </w:rPr>
      </w:pPr>
      <w:r w:rsidRPr="002F4C6C">
        <w:rPr>
          <w:rFonts w:ascii="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E250E1" w:rsidRPr="002F4C6C" w:rsidRDefault="00E250E1">
      <w:pPr>
        <w:spacing w:after="0" w:line="240" w:lineRule="auto"/>
        <w:rPr>
          <w:rFonts w:ascii="Times New Roman" w:hAnsi="Times New Roman"/>
        </w:rPr>
      </w:pPr>
      <w:r w:rsidRPr="002F4C6C">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Pacientams, sergantiems diabetine nefropatija, negalima kartu vartoti AKF inhibitorių ir angiotenzino II receptorių blokatorių.</w:t>
      </w:r>
    </w:p>
    <w:p w:rsidR="00E250E1" w:rsidRPr="002F4C6C" w:rsidRDefault="00E250E1">
      <w:pPr>
        <w:spacing w:after="0" w:line="240" w:lineRule="auto"/>
        <w:rPr>
          <w:rFonts w:ascii="Times New Roman" w:hAnsi="Times New Roman"/>
          <w:bCs/>
          <w:iCs/>
          <w:u w:val="single"/>
        </w:rPr>
      </w:pPr>
    </w:p>
    <w:p w:rsidR="00E250E1" w:rsidRPr="002F4C6C" w:rsidRDefault="00E250E1">
      <w:pPr>
        <w:tabs>
          <w:tab w:val="left" w:pos="0"/>
        </w:tabs>
        <w:autoSpaceDE w:val="0"/>
        <w:spacing w:after="0" w:line="240" w:lineRule="auto"/>
        <w:rPr>
          <w:rFonts w:ascii="Times New Roman" w:hAnsi="Times New Roman"/>
        </w:rPr>
      </w:pPr>
      <w:r w:rsidRPr="002F4C6C">
        <w:rPr>
          <w:rFonts w:ascii="Times New Roman" w:hAnsi="Times New Roman"/>
          <w:i/>
          <w:lang w:eastAsia="en-GB"/>
        </w:rPr>
        <w:t>Pirminis hiperaldosteronizmas</w:t>
      </w:r>
    </w:p>
    <w:p w:rsidR="00E250E1" w:rsidRPr="002F4C6C" w:rsidRDefault="00E250E1">
      <w:pPr>
        <w:tabs>
          <w:tab w:val="left" w:pos="0"/>
        </w:tabs>
        <w:autoSpaceDE w:val="0"/>
        <w:spacing w:after="0" w:line="240" w:lineRule="auto"/>
        <w:rPr>
          <w:rFonts w:ascii="Times New Roman" w:hAnsi="Times New Roman"/>
        </w:rPr>
      </w:pPr>
      <w:r w:rsidRPr="002F4C6C">
        <w:rPr>
          <w:rFonts w:ascii="Times New Roman" w:hAnsi="Times New Roman"/>
          <w:lang w:eastAsia="en-GB"/>
        </w:rPr>
        <w:t>Pacientai, kuriems pasireiškia pirminis hiperaldosteronizmas, paprastai nereaguoja į antihipertenzinius vaistinius preparatus, slopinančius renino ir angiotenzino sistemą. Todėl šiems pacientams šio vaistinio preparato vartoti nerekomenduojama</w:t>
      </w:r>
    </w:p>
    <w:p w:rsidR="00E250E1" w:rsidRPr="002F4C6C" w:rsidRDefault="00E250E1">
      <w:pPr>
        <w:spacing w:after="0" w:line="240" w:lineRule="auto"/>
        <w:rPr>
          <w:rFonts w:ascii="Times New Roman" w:hAnsi="Times New Roman"/>
          <w:bCs/>
          <w:iCs/>
          <w:lang w:eastAsia="en-GB"/>
        </w:rPr>
      </w:pPr>
    </w:p>
    <w:p w:rsidR="00E250E1" w:rsidRPr="002F4C6C" w:rsidRDefault="00E250E1">
      <w:pPr>
        <w:spacing w:after="0" w:line="240" w:lineRule="auto"/>
        <w:rPr>
          <w:rFonts w:ascii="Times New Roman" w:hAnsi="Times New Roman"/>
        </w:rPr>
      </w:pPr>
      <w:r w:rsidRPr="002F4C6C">
        <w:rPr>
          <w:rFonts w:ascii="Times New Roman" w:hAnsi="Times New Roman"/>
          <w:i/>
        </w:rPr>
        <w:t>Nėštumas</w:t>
      </w:r>
    </w:p>
    <w:p w:rsidR="00E250E1" w:rsidRPr="002F4C6C" w:rsidRDefault="00E250E1">
      <w:pPr>
        <w:spacing w:after="0" w:line="240" w:lineRule="auto"/>
        <w:rPr>
          <w:rFonts w:ascii="Times New Roman" w:hAnsi="Times New Roman"/>
        </w:rPr>
      </w:pPr>
      <w:r w:rsidRPr="002F4C6C">
        <w:rPr>
          <w:rFonts w:ascii="Times New Roman" w:hAnsi="Times New Roman"/>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w:t>
      </w:r>
      <w:r w:rsidRPr="002F4C6C">
        <w:rPr>
          <w:rFonts w:ascii="Times New Roman" w:hAnsi="Times New Roman"/>
        </w:rPr>
        <w:lastRenderedPageBreak/>
        <w:t xml:space="preserve">inhibitorių vartojimą būtina nedelsiant nutraukti ir, jei reikia, skirti kitokį tinkamą gydymą (žr. 4.3 ir 4.6 skyrius). </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Atsargumo priemonės</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rPr>
        <w:t>Hipotenzija</w:t>
      </w:r>
    </w:p>
    <w:p w:rsidR="00E250E1" w:rsidRPr="002F4C6C" w:rsidRDefault="00E250E1">
      <w:pPr>
        <w:spacing w:after="0" w:line="240" w:lineRule="auto"/>
        <w:rPr>
          <w:rFonts w:ascii="Times New Roman" w:hAnsi="Times New Roman"/>
        </w:rPr>
      </w:pPr>
      <w:r w:rsidRPr="002F4C6C">
        <w:rPr>
          <w:rFonts w:ascii="Times New Roman" w:hAnsi="Times New Roman"/>
        </w:rPr>
        <w:t xml:space="preserve">Dėl AKF inhibitorių gali staiga nukristi kraujospūdis. Simptominė hipotenzija retai pasireiškia pacientams, kuriems yra nekomplikuota hipertenzija, ir dažniau būna asmenims, kurių kraujo tūris yra sumažėjęs, pvz., dėl diuretikų vartojimo, mažiau vartojant druskos, atliekant dializę, dėl viduriavimo ar vėmimo, taip pat sergant sunkia nuo renino priklausoma hipertenzija (žr. 4.5 ir 4.8 skyrius). Gydant perindoprilio ir amlodipino deriniu pacientus, kuriems yra didelė simptominės hipotenzijos rizika, reikia atidžiai stebėti kraujospūdį, inkstų funkciją ir kalio koncentraciją kraujo serume. </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Panašių priemonių būtina laikytis ir gydant išemine širdies arba galvos smegenų kraujagyslių liga sergančius pacientus, kuriuos dėl pernelyg didelio kraujospūdžio kritimo gali ištikti miokardo infarktas arba insultas. </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Pasireiškus hipotenzijai, pacientą reikia paguldyti ant nugaros, prireikus į veną suleisti</w:t>
      </w:r>
      <w:r w:rsidR="0008131D" w:rsidRPr="002F4C6C">
        <w:rPr>
          <w:rFonts w:ascii="Times New Roman" w:hAnsi="Times New Roman"/>
        </w:rPr>
        <w:t xml:space="preserve"> 9 mg/ml (0,9 %)</w:t>
      </w:r>
      <w:r w:rsidRPr="002F4C6C">
        <w:rPr>
          <w:rFonts w:ascii="Times New Roman" w:hAnsi="Times New Roman"/>
        </w:rPr>
        <w:t xml:space="preserve"> natrio chlorido tirpalo. Trumpalaik</w:t>
      </w:r>
      <w:r w:rsidR="0008131D" w:rsidRPr="002F4C6C">
        <w:rPr>
          <w:rFonts w:ascii="Times New Roman" w:hAnsi="Times New Roman"/>
        </w:rPr>
        <w:t>is</w:t>
      </w:r>
      <w:r w:rsidRPr="002F4C6C">
        <w:rPr>
          <w:rFonts w:ascii="Times New Roman" w:hAnsi="Times New Roman"/>
        </w:rPr>
        <w:t xml:space="preserve"> hipotenzi</w:t>
      </w:r>
      <w:r w:rsidR="0008131D" w:rsidRPr="002F4C6C">
        <w:rPr>
          <w:rFonts w:ascii="Times New Roman" w:hAnsi="Times New Roman"/>
        </w:rPr>
        <w:t>nis atsakas</w:t>
      </w:r>
      <w:r w:rsidRPr="002F4C6C">
        <w:rPr>
          <w:rFonts w:ascii="Times New Roman" w:hAnsi="Times New Roman"/>
        </w:rPr>
        <w:t xml:space="preserve"> nėra kontraindikacija tolesniam vaistinio preparato vartojimui, kai atstačius kraujo tūrį padidėja kraujospūdis.</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u w:val="single"/>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Aortos ar mitralinio vožtuvo stenozė, hipertrofinė kardiomiopatija</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Jeigu yra mitralinio vožtuvo stenozė arba kraujo tekėjimo iš kairiojo širdies skilvelio obstrukcija, pvz., aortos vožtuvo stenozė arba hipertrofinė kardiomiopatija, Perindopril Teva, kaip ir kitokiais AKF inhibitoriais, reikia gydyti atsargiai. </w:t>
      </w:r>
    </w:p>
    <w:p w:rsidR="00E250E1" w:rsidRPr="002F4C6C" w:rsidRDefault="00E250E1">
      <w:pPr>
        <w:tabs>
          <w:tab w:val="left" w:pos="567"/>
        </w:tabs>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Inkstų funkcijos sutrikimas</w:t>
      </w:r>
    </w:p>
    <w:p w:rsidR="00E250E1" w:rsidRPr="002F4C6C" w:rsidRDefault="00E250E1">
      <w:pPr>
        <w:spacing w:after="0" w:line="240" w:lineRule="auto"/>
        <w:rPr>
          <w:rFonts w:ascii="Times New Roman" w:hAnsi="Times New Roman"/>
        </w:rPr>
      </w:pPr>
      <w:r w:rsidRPr="002F4C6C">
        <w:rPr>
          <w:rFonts w:ascii="Times New Roman" w:hAnsi="Times New Roman"/>
          <w:bCs/>
          <w:iCs/>
        </w:rPr>
        <w:t>Esant inkstų funkcijos sutrikimui (kreatinino klirensas mažesnis nei 60 ml/min), rekomenduojama parinkti individualias atskirų komponentų dozes (žr. 4.2 skyrių).</w:t>
      </w:r>
    </w:p>
    <w:p w:rsidR="00E250E1" w:rsidRPr="002F4C6C" w:rsidRDefault="00E250E1">
      <w:pPr>
        <w:spacing w:after="0" w:line="240" w:lineRule="auto"/>
        <w:rPr>
          <w:rFonts w:ascii="Times New Roman" w:hAnsi="Times New Roman"/>
        </w:rPr>
      </w:pPr>
      <w:r w:rsidRPr="002F4C6C">
        <w:rPr>
          <w:rFonts w:ascii="Times New Roman" w:hAnsi="Times New Roman"/>
          <w:bCs/>
          <w:iCs/>
        </w:rPr>
        <w:t>Jei paciento inkstų veikla sutrikusi, įprasta procedūra yra stebėti kalio ir kreatinino koncentraciją (žr. 4.8 skyrių).</w:t>
      </w:r>
    </w:p>
    <w:p w:rsidR="00E250E1" w:rsidRPr="002F4C6C" w:rsidRDefault="00E250E1">
      <w:pPr>
        <w:spacing w:after="0" w:line="240" w:lineRule="auto"/>
        <w:rPr>
          <w:rFonts w:ascii="Times New Roman" w:hAnsi="Times New Roman"/>
        </w:rPr>
      </w:pPr>
      <w:r w:rsidRPr="002F4C6C">
        <w:rPr>
          <w:rFonts w:ascii="Times New Roman" w:hAnsi="Times New Roman"/>
          <w:bCs/>
          <w:iCs/>
        </w:rPr>
        <w:t>Kai kuriems AKF inhibitorius vartojantiems pacientams, sergantiems abipuse inkstų arterijų stenoze ar vienintelio inksto arterijos stenoze, buvo nustatytas šlapalo koncentracijos kraujyje ir kreatinino koncentracijos kraujo serume padidėjimas, paprastai laikinas, išnykstantis nutraukus gydymą. Tai ypač tikėtina, sergant inkstų nepakankamumu. Jei kartu yra ir renovaskulinė hipertenzija, sunkios hipotenzijos ir inkstų nepakankamumo rizika didesnė. Kai kuriems hipertenzija sergantiems pacientams, kuriems anksčiau nebuvo pastebėta inkstų kraujagyslių ligų požymių, padidėja šlapalo koncentracija kraujyje ir kreatinino koncentracija kraujo serume. Paprastai šie pokyčiai būna nedideli ir laikini, ypač kai perindoprilis vartojamas kartu su diuretiku. Tai labiau būdinga pacientams, kuriems jau sutrikusi inkstų funkcija.</w:t>
      </w:r>
    </w:p>
    <w:p w:rsidR="00E250E1" w:rsidRPr="002F4C6C" w:rsidRDefault="00E250E1">
      <w:pPr>
        <w:spacing w:after="0" w:line="240" w:lineRule="auto"/>
        <w:rPr>
          <w:rFonts w:ascii="Times New Roman" w:hAnsi="Times New Roman"/>
          <w:bCs/>
          <w:iCs/>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Kepenų nepakankamumas</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Retais atvejais AKF inhibitorių vartojimas siejamas su sindromu, prasidedančiu cholestazine gelta, progresuojančiu į žaibišką kepenų nekrozę, kartais net mirtiną. Šio sindromo atsiradimo mechanizmas neaiškus. Jeigu gydant AKF inhibitoriais atsiranda gelta arba gerokai padidėja kepenų fermentų aktyvumas kraujyje, AKF inhibitoriaus vartojimą reikia nutraukti ir imtis tinkamų medicininių priemonių (žr. 4.8 skyrių). </w:t>
      </w:r>
    </w:p>
    <w:p w:rsidR="00E250E1" w:rsidRPr="002F4C6C" w:rsidRDefault="00E250E1">
      <w:pPr>
        <w:spacing w:after="0" w:line="240" w:lineRule="auto"/>
        <w:rPr>
          <w:rFonts w:ascii="Times New Roman" w:hAnsi="Times New Roman"/>
          <w:u w:val="single"/>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Rasė</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Juodaodžiams AKF inhibitoriai angioneurozinę edemą sukelia dažniau negu nejuodaodžiams. Perindoprilis, kaip ir kitokie AKF inhibitoriai, juodaodžiams kraujospūdį mažina silpniau negu nejuodaodžiams galbūt todėl, kad hipertenzija sergančių juodaodžių kraujyje renino kiekis būna mažas dažniau negu nejuodaodžių.  </w:t>
      </w:r>
    </w:p>
    <w:p w:rsidR="00E250E1" w:rsidRPr="002F4C6C" w:rsidRDefault="00E250E1">
      <w:pPr>
        <w:tabs>
          <w:tab w:val="left" w:pos="567"/>
        </w:tabs>
        <w:spacing w:after="0" w:line="240" w:lineRule="auto"/>
        <w:rPr>
          <w:rFonts w:ascii="Times New Roman" w:hAnsi="Times New Roman"/>
          <w:u w:val="single"/>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Kosulys</w:t>
      </w:r>
    </w:p>
    <w:p w:rsidR="00E250E1" w:rsidRPr="002F4C6C" w:rsidRDefault="00E250E1">
      <w:pPr>
        <w:tabs>
          <w:tab w:val="left" w:pos="567"/>
        </w:tabs>
        <w:spacing w:after="200" w:line="240" w:lineRule="auto"/>
        <w:rPr>
          <w:rFonts w:ascii="Times New Roman" w:hAnsi="Times New Roman"/>
        </w:rPr>
      </w:pPr>
      <w:r w:rsidRPr="002F4C6C">
        <w:rPr>
          <w:rFonts w:ascii="Times New Roman" w:hAnsi="Times New Roman"/>
        </w:rPr>
        <w:t>Vartojant AKF inhibitorių, gali atsirasti kosulys. Paprastai jis būna neproduktyvus ir nuolatinis, bet gydymą nutraukus, kosulys išnyksta. Nustatant kosulio diferencinę diagnozę, reikia įvertinti ar kosulį galėjo sukelti AKF inhibitoriai.</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Operacija, anestezija</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Pacientams, kuriems atliekama didelė operacija arba atliekama anestezija su vaistiniais preparatais, sukeliančiais hipotenziją,,, perindoprilio ir amlodipine derinys gali blokuoti angiotenzino II atsiradimą, vykstantį dėl kompensacinio renino išsiskyrimo. Vieną parą prieš operaciją reikia nutraukti vaistinio preparato vartojimą. </w:t>
      </w:r>
      <w:r w:rsidRPr="002F4C6C">
        <w:rPr>
          <w:rFonts w:ascii="Times New Roman" w:hAnsi="Times New Roman"/>
          <w:bCs/>
          <w:iCs/>
        </w:rPr>
        <w:t>Jei atsiranda hipotenzija ir manoma, kad ją sukėlė šis mechanizmas, ją koreguoti galima didinant kraujo tūrį.</w:t>
      </w:r>
    </w:p>
    <w:p w:rsidR="00E250E1" w:rsidRPr="002F4C6C" w:rsidRDefault="00E250E1">
      <w:pPr>
        <w:spacing w:after="0" w:line="240" w:lineRule="auto"/>
        <w:rPr>
          <w:rFonts w:ascii="Times New Roman" w:hAnsi="Times New Roman"/>
          <w:i/>
          <w:iCs/>
        </w:rPr>
      </w:pPr>
    </w:p>
    <w:p w:rsidR="00E250E1" w:rsidRPr="002F4C6C" w:rsidRDefault="00E250E1">
      <w:pPr>
        <w:spacing w:after="0" w:line="240" w:lineRule="auto"/>
        <w:rPr>
          <w:rFonts w:ascii="Times New Roman" w:hAnsi="Times New Roman"/>
        </w:rPr>
      </w:pPr>
      <w:r w:rsidRPr="002F4C6C">
        <w:rPr>
          <w:rFonts w:ascii="Times New Roman" w:hAnsi="Times New Roman"/>
          <w:i/>
          <w:iCs/>
        </w:rPr>
        <w:t>Hiperkalemija</w:t>
      </w:r>
    </w:p>
    <w:p w:rsidR="00E250E1" w:rsidRPr="002F4C6C" w:rsidRDefault="00E250E1" w:rsidP="00610551">
      <w:pPr>
        <w:tabs>
          <w:tab w:val="left" w:pos="567"/>
        </w:tabs>
        <w:spacing w:after="0" w:line="240" w:lineRule="auto"/>
        <w:rPr>
          <w:rFonts w:ascii="Times New Roman" w:hAnsi="Times New Roman"/>
        </w:rPr>
      </w:pPr>
      <w:r w:rsidRPr="002F4C6C">
        <w:rPr>
          <w:rFonts w:ascii="Times New Roman" w:hAnsi="Times New Roman"/>
          <w:bCs/>
          <w:iCs/>
        </w:rPr>
        <w:t xml:space="preserve">Pastebėta, kad kai kuriems pacientams, gydomiems AKF inhibitoriais, įskaitant perindoprilį, padidėja kalio koncentracija kraujo serume. </w:t>
      </w:r>
      <w:r w:rsidR="0008131D" w:rsidRPr="002F4C6C">
        <w:rPr>
          <w:rFonts w:ascii="Times New Roman" w:hAnsi="Times New Roman"/>
        </w:rPr>
        <w:t xml:space="preserve">AKF inhibitoriai gali sukelti hiperkalemiją, nes jie slopina aldosterono išskyrimą. Paprastai pacientams, kurių inkstų funkcija yra normali, poveikis nėra reikšmingas. </w:t>
      </w:r>
      <w:r w:rsidRPr="002F4C6C">
        <w:rPr>
          <w:rFonts w:ascii="Times New Roman" w:hAnsi="Times New Roman"/>
          <w:bCs/>
        </w:rPr>
        <w:t xml:space="preserve">Rizikos faktoriai hiperkalemijai atsirasti yra inkstų nepakankamumas, inkstų funkcijos pablogėjimas, amžius (&gt; 70 metų), cukrinis diabetas, gretutinės būklės, ypač dehidratacija, ūminė širdies dekompensacija, metabolinė acidozė ir kartu vartojami kalį tausojantys diuretikai (pvz., spironolaktonas, eplerenonas, triamterenas ar amiloridas), kalio papildai ar druskos pakaitalai, kuriuose yra kalio; arba kitų vaistinių preparatų, didinančių kalio koncentraciją serume (pvz., heparino, </w:t>
      </w:r>
      <w:bookmarkStart w:id="3" w:name="_Hlk505796528"/>
      <w:r w:rsidRPr="002F4C6C">
        <w:rPr>
          <w:rFonts w:ascii="Times New Roman" w:hAnsi="Times New Roman"/>
          <w:lang w:eastAsia="en-GB"/>
        </w:rPr>
        <w:t>kotrimoksazolo, kuris dar vadinamas trimetoprimu / sulfametoksazolu</w:t>
      </w:r>
      <w:bookmarkEnd w:id="3"/>
      <w:r w:rsidRPr="002F4C6C">
        <w:rPr>
          <w:rFonts w:ascii="Times New Roman" w:hAnsi="Times New Roman"/>
          <w:bCs/>
        </w:rPr>
        <w:t>)</w:t>
      </w:r>
      <w:r w:rsidR="00610551" w:rsidRPr="002F4C6C">
        <w:rPr>
          <w:rFonts w:ascii="Times New Roman" w:hAnsi="Times New Roman"/>
          <w:bCs/>
        </w:rPr>
        <w:t xml:space="preserve"> </w:t>
      </w:r>
      <w:r w:rsidR="00106E13">
        <w:rPr>
          <w:rFonts w:ascii="Times New Roman" w:hAnsi="Times New Roman"/>
          <w:bCs/>
        </w:rPr>
        <w:t xml:space="preserve">ir </w:t>
      </w:r>
      <w:r w:rsidR="00610551" w:rsidRPr="002F4C6C">
        <w:rPr>
          <w:rFonts w:ascii="Times New Roman" w:hAnsi="Times New Roman"/>
          <w:bCs/>
        </w:rPr>
        <w:t xml:space="preserve">ypač aldosterono antagonistų arba angiotenzino receptorių blokatorių </w:t>
      </w:r>
      <w:r w:rsidRPr="002F4C6C">
        <w:rPr>
          <w:rFonts w:ascii="Times New Roman" w:hAnsi="Times New Roman"/>
          <w:bCs/>
        </w:rPr>
        <w:t xml:space="preserve">vartojimas. Jeigu kalio papildai, kalį tausojantys diuretikai arba druskos pakaitalai, kuriuose yra kalio, vartojami esant sutrikusiai inkstų funkcijai, kalio koncentracija serume gali gerokai padidėti. </w:t>
      </w:r>
    </w:p>
    <w:p w:rsidR="00E250E1" w:rsidRPr="002F4C6C" w:rsidRDefault="00E250E1">
      <w:pPr>
        <w:spacing w:after="0" w:line="240" w:lineRule="auto"/>
        <w:rPr>
          <w:rFonts w:ascii="Times New Roman" w:hAnsi="Times New Roman"/>
          <w:bCs/>
        </w:rPr>
      </w:pPr>
    </w:p>
    <w:p w:rsidR="00E250E1" w:rsidRPr="002F4C6C" w:rsidRDefault="00E250E1">
      <w:pPr>
        <w:spacing w:after="0" w:line="240" w:lineRule="auto"/>
        <w:rPr>
          <w:rFonts w:ascii="Times New Roman" w:hAnsi="Times New Roman"/>
        </w:rPr>
      </w:pPr>
      <w:r w:rsidRPr="002F4C6C">
        <w:rPr>
          <w:rFonts w:ascii="Times New Roman" w:hAnsi="Times New Roman"/>
          <w:bCs/>
        </w:rPr>
        <w:t xml:space="preserve">Hiperkalemija gali sukelti pavojingas, kartais mirtinas aritmijas. </w:t>
      </w:r>
      <w:r w:rsidR="00AD7DAD">
        <w:rPr>
          <w:rFonts w:ascii="Times New Roman" w:hAnsi="Times New Roman"/>
          <w:bCs/>
        </w:rPr>
        <w:t>Pacientams, vartojantiems AKF inhibitorių, skir</w:t>
      </w:r>
      <w:r w:rsidR="00BD5CFE">
        <w:rPr>
          <w:rFonts w:ascii="Times New Roman" w:hAnsi="Times New Roman"/>
          <w:bCs/>
        </w:rPr>
        <w:t>ti</w:t>
      </w:r>
      <w:r w:rsidR="00AD7DAD">
        <w:rPr>
          <w:rFonts w:ascii="Times New Roman" w:hAnsi="Times New Roman"/>
          <w:bCs/>
        </w:rPr>
        <w:t xml:space="preserve"> kalį organizme sulaikančių diuretikų ir angiotenzino receptorių blokatorių</w:t>
      </w:r>
      <w:r w:rsidR="00BD5CFE">
        <w:rPr>
          <w:rFonts w:ascii="Times New Roman" w:hAnsi="Times New Roman"/>
          <w:bCs/>
        </w:rPr>
        <w:t xml:space="preserve"> reikia laikantis saugumo priemonių ir</w:t>
      </w:r>
      <w:r w:rsidR="00610551" w:rsidRPr="002F4C6C">
        <w:rPr>
          <w:rFonts w:ascii="Times New Roman" w:hAnsi="Times New Roman"/>
        </w:rPr>
        <w:t xml:space="preserve"> reikia </w:t>
      </w:r>
      <w:r w:rsidR="00AD7DAD">
        <w:rPr>
          <w:rFonts w:ascii="Times New Roman" w:hAnsi="Times New Roman"/>
        </w:rPr>
        <w:t>stebėti</w:t>
      </w:r>
      <w:r w:rsidR="00610551" w:rsidRPr="002F4C6C">
        <w:rPr>
          <w:rFonts w:ascii="Times New Roman" w:hAnsi="Times New Roman"/>
        </w:rPr>
        <w:t xml:space="preserve"> tokių pacientų kalio koncentraciją kraujyje ir inkstų funkciją</w:t>
      </w:r>
      <w:r w:rsidR="008F62FA" w:rsidRPr="002F4C6C">
        <w:rPr>
          <w:rFonts w:ascii="Times New Roman" w:hAnsi="Times New Roman"/>
        </w:rPr>
        <w:t>.</w:t>
      </w:r>
      <w:r w:rsidR="00610551" w:rsidRPr="002F4C6C">
        <w:rPr>
          <w:rFonts w:ascii="Times New Roman" w:hAnsi="Times New Roman"/>
        </w:rPr>
        <w:t xml:space="preserve"> </w:t>
      </w:r>
      <w:r w:rsidRPr="002F4C6C">
        <w:rPr>
          <w:rFonts w:ascii="Times New Roman" w:hAnsi="Times New Roman"/>
          <w:bCs/>
        </w:rPr>
        <w:t>Jeigu galvojama, kad pacientui tinka kartu vartoti perindoprilį ir kurį nors aukščiau minėtą vaistinį preparatą, tuos vaistinius preparatus reikia vartoti atsargiai ir dažnai tikrinti kalio koncentraciją serume (žr. 4.5 skyrių).</w:t>
      </w:r>
    </w:p>
    <w:p w:rsidR="00E250E1" w:rsidRPr="002F4C6C" w:rsidRDefault="00E250E1">
      <w:pPr>
        <w:spacing w:after="0" w:line="240" w:lineRule="auto"/>
        <w:rPr>
          <w:rFonts w:ascii="Times New Roman" w:hAnsi="Times New Roman"/>
          <w:bCs/>
          <w:i/>
        </w:rPr>
      </w:pPr>
    </w:p>
    <w:p w:rsidR="00E250E1" w:rsidRPr="002F4C6C" w:rsidRDefault="00E250E1">
      <w:pPr>
        <w:spacing w:after="0" w:line="240" w:lineRule="auto"/>
        <w:rPr>
          <w:rFonts w:ascii="Times New Roman" w:hAnsi="Times New Roman"/>
        </w:rPr>
      </w:pPr>
      <w:r w:rsidRPr="002F4C6C">
        <w:rPr>
          <w:rFonts w:ascii="Times New Roman" w:hAnsi="Times New Roman"/>
          <w:bCs/>
          <w:i/>
        </w:rPr>
        <w:t>Cukrinis diabetas</w:t>
      </w: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Cukriniu diabetu sergantiems pacientams, kurie vartoja geriamuosius vaistinius preparatus nuo cukrinio diabeto arba insuliną, reikia atidžiai kontroliuoti glikemiją pirmąjį gydymosi AKF inhibitoriumi mėnesį (žr. 4.5 skyrių). </w:t>
      </w:r>
    </w:p>
    <w:p w:rsidR="00E250E1" w:rsidRPr="002F4C6C" w:rsidRDefault="00E250E1">
      <w:pPr>
        <w:spacing w:after="0" w:line="240" w:lineRule="auto"/>
        <w:rPr>
          <w:rFonts w:ascii="Times New Roman" w:hAnsi="Times New Roman"/>
          <w:bCs/>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Cs/>
          <w:u w:val="single"/>
        </w:rPr>
        <w:t>Dėl amlodipino</w:t>
      </w:r>
    </w:p>
    <w:p w:rsidR="00E250E1" w:rsidRPr="002F4C6C" w:rsidRDefault="00E250E1">
      <w:pPr>
        <w:spacing w:after="0" w:line="240" w:lineRule="auto"/>
        <w:rPr>
          <w:rFonts w:ascii="Times New Roman" w:hAnsi="Times New Roman"/>
          <w:i/>
          <w:iCs/>
          <w:u w:val="single"/>
        </w:rPr>
      </w:pPr>
    </w:p>
    <w:p w:rsidR="008F62FA" w:rsidRPr="002F4C6C" w:rsidRDefault="008F62FA">
      <w:pPr>
        <w:spacing w:after="0" w:line="240" w:lineRule="auto"/>
        <w:rPr>
          <w:rFonts w:ascii="Times New Roman" w:hAnsi="Times New Roman"/>
          <w:i/>
          <w:iCs/>
          <w:u w:val="single"/>
        </w:rPr>
      </w:pPr>
      <w:r w:rsidRPr="002F4C6C">
        <w:rPr>
          <w:rFonts w:ascii="Times New Roman" w:hAnsi="Times New Roman"/>
          <w:i/>
          <w:iCs/>
          <w:u w:val="single"/>
        </w:rPr>
        <w:t>Atsargumo priemonės</w:t>
      </w:r>
    </w:p>
    <w:p w:rsidR="00E250E1" w:rsidRPr="002F4C6C" w:rsidRDefault="00E250E1">
      <w:pPr>
        <w:spacing w:after="0" w:line="240" w:lineRule="auto"/>
        <w:rPr>
          <w:rFonts w:ascii="Times New Roman" w:hAnsi="Times New Roman"/>
        </w:rPr>
      </w:pPr>
      <w:r w:rsidRPr="002F4C6C">
        <w:rPr>
          <w:rFonts w:ascii="Times New Roman" w:hAnsi="Times New Roman"/>
          <w:bCs/>
          <w:iCs/>
        </w:rPr>
        <w:t>Amlodipino saugumas ir veiksmingumas esant hipertenzinei krizei nebuvo nustatyti.</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Š</w:t>
      </w:r>
      <w:r w:rsidRPr="002F4C6C">
        <w:rPr>
          <w:rFonts w:ascii="Times New Roman" w:hAnsi="Times New Roman"/>
          <w:i/>
          <w:iCs/>
        </w:rPr>
        <w:t>irdies nepakankamumas</w:t>
      </w:r>
    </w:p>
    <w:p w:rsidR="00E250E1" w:rsidRPr="002F4C6C" w:rsidRDefault="00E250E1">
      <w:pPr>
        <w:spacing w:after="0" w:line="240" w:lineRule="auto"/>
        <w:rPr>
          <w:rFonts w:ascii="Times New Roman" w:hAnsi="Times New Roman"/>
        </w:rPr>
      </w:pPr>
      <w:r w:rsidRPr="002F4C6C">
        <w:rPr>
          <w:rFonts w:ascii="Times New Roman" w:hAnsi="Times New Roman"/>
        </w:rPr>
        <w:t>Pacientus, kuriems yra širdies nepakankamumas, reikia gydyti atsargiai.</w:t>
      </w:r>
    </w:p>
    <w:p w:rsidR="00E250E1" w:rsidRPr="002F4C6C" w:rsidRDefault="00E250E1">
      <w:pPr>
        <w:spacing w:after="0" w:line="240" w:lineRule="auto"/>
        <w:rPr>
          <w:rFonts w:ascii="Times New Roman" w:hAnsi="Times New Roman"/>
        </w:rPr>
      </w:pPr>
      <w:r w:rsidRPr="002F4C6C">
        <w:rPr>
          <w:rFonts w:ascii="Times New Roman" w:hAnsi="Times New Roman"/>
        </w:rPr>
        <w:t>Ilgalaikio placebu kontroliuojamo tyrimo metu pacientams, kuriems buvo sunkus širdies nepakankamumas (III ir IV klasės pagal NYHA klasifikaciją), pranešimų apie plaučių edemos atvejus skaičius buvo didesnis amlodipinu gydytų pacientų grupėje nei placebo grupėje (žr. 5.1 skyrių). Pacientai, kuriems yra stazinis širdies nepakankamumas, kalcio kanalo blokatorius, įskaitant amlodipiną, turi vartoti atsargiai, nes šie vaistiniai preparatai gali padidinti širdies ir kraujagyslių sutrikimų ir mirtingumo riziką ateityje.</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i/>
        </w:rPr>
        <w:t>Kepenų funkcijos sutrikimas</w:t>
      </w:r>
    </w:p>
    <w:p w:rsidR="00E250E1" w:rsidRPr="002F4C6C" w:rsidRDefault="00E250E1">
      <w:pPr>
        <w:spacing w:after="0" w:line="240" w:lineRule="auto"/>
        <w:rPr>
          <w:rFonts w:ascii="Times New Roman" w:hAnsi="Times New Roman"/>
        </w:rPr>
      </w:pPr>
      <w:r w:rsidRPr="002F4C6C">
        <w:rPr>
          <w:rFonts w:ascii="Times New Roman" w:hAnsi="Times New Roman"/>
        </w:rPr>
        <w:lastRenderedPageBreak/>
        <w:t>Pacientams, kurių kepenų funkcija yra sutrikusi, amlodipino pusinės eliminacijos laikas pailgėja, o koncentracijos ploto po kreive (AUC) rodmenys yra didesni; dozavimo rekomendacijos nėra nustatytos. Dėl šių priežasčių amlodipiną reikia pradėti vartoti nuo mažiausios visos paskirtos dozės. Reikia imtis atsargumo priemonių ir pradedant gydymą, ir didinant dozę. Pacientams, kuriems yra sunkus kepenų funkcijos sutrikimas, dozę gali reikėti didinti iš lėto, o pacientus atidžiai stebėti.</w:t>
      </w:r>
    </w:p>
    <w:p w:rsidR="00E250E1" w:rsidRPr="002F4C6C" w:rsidRDefault="00E250E1">
      <w:pPr>
        <w:spacing w:after="0" w:line="240" w:lineRule="auto"/>
        <w:rPr>
          <w:rFonts w:ascii="Times New Roman" w:hAnsi="Times New Roman"/>
        </w:rPr>
      </w:pPr>
    </w:p>
    <w:p w:rsidR="00E250E1" w:rsidRPr="002F4C6C" w:rsidRDefault="00E250E1">
      <w:pPr>
        <w:keepNext/>
        <w:spacing w:after="0" w:line="240" w:lineRule="auto"/>
        <w:rPr>
          <w:rFonts w:ascii="Times New Roman" w:hAnsi="Times New Roman"/>
        </w:rPr>
      </w:pPr>
      <w:r w:rsidRPr="002F4C6C">
        <w:rPr>
          <w:rFonts w:ascii="Times New Roman" w:hAnsi="Times New Roman"/>
          <w:i/>
        </w:rPr>
        <w:t>Senyvi pacientai</w:t>
      </w:r>
    </w:p>
    <w:p w:rsidR="00E250E1" w:rsidRPr="002F4C6C" w:rsidRDefault="00E250E1">
      <w:pPr>
        <w:spacing w:after="0" w:line="240" w:lineRule="auto"/>
        <w:rPr>
          <w:rFonts w:ascii="Times New Roman" w:hAnsi="Times New Roman"/>
        </w:rPr>
      </w:pPr>
      <w:r w:rsidRPr="002F4C6C">
        <w:rPr>
          <w:rFonts w:ascii="Times New Roman" w:hAnsi="Times New Roman"/>
        </w:rPr>
        <w:t>Senyviems pacientams dozę didinti reikia atsargiai (žr. 4.2 ir 5.2 skyrius).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Inkstų nepakankamumas</w:t>
      </w:r>
    </w:p>
    <w:p w:rsidR="00E250E1" w:rsidRPr="002F4C6C" w:rsidRDefault="00E250E1">
      <w:pPr>
        <w:spacing w:after="0" w:line="240" w:lineRule="auto"/>
        <w:rPr>
          <w:rFonts w:ascii="Times New Roman" w:hAnsi="Times New Roman"/>
        </w:rPr>
      </w:pPr>
      <w:r w:rsidRPr="002F4C6C">
        <w:rPr>
          <w:rFonts w:ascii="Times New Roman" w:hAnsi="Times New Roman"/>
        </w:rPr>
        <w:t xml:space="preserve">Tokie pacientai gali vartoti normalią amlodipino dozę. Amlodipino koncentracijos kraujo plazmoje pokyčiai nėra susiję su inkstų pažeidimo laipsniu. </w:t>
      </w:r>
    </w:p>
    <w:p w:rsidR="00E250E1" w:rsidRPr="002F4C6C" w:rsidRDefault="00E250E1">
      <w:pPr>
        <w:spacing w:after="0" w:line="240" w:lineRule="auto"/>
        <w:rPr>
          <w:rFonts w:ascii="Times New Roman" w:hAnsi="Times New Roman"/>
        </w:rPr>
      </w:pPr>
      <w:r w:rsidRPr="002F4C6C">
        <w:rPr>
          <w:rFonts w:ascii="Times New Roman" w:hAnsi="Times New Roman"/>
        </w:rPr>
        <w:t>Amlodipinas dializės būdu nepašalinamas.</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Cs/>
          <w:u w:val="single"/>
        </w:rPr>
        <w:t>Dėl p</w:t>
      </w:r>
      <w:r w:rsidRPr="002F4C6C">
        <w:rPr>
          <w:rFonts w:ascii="Times New Roman" w:hAnsi="Times New Roman"/>
          <w:u w:val="single"/>
        </w:rPr>
        <w:t>erindoprilio ir amlodipino derinio</w:t>
      </w:r>
    </w:p>
    <w:p w:rsidR="00E250E1" w:rsidRPr="002F4C6C" w:rsidRDefault="00E250E1">
      <w:pPr>
        <w:spacing w:after="0" w:line="240" w:lineRule="auto"/>
        <w:rPr>
          <w:rFonts w:ascii="Times New Roman" w:hAnsi="Times New Roman"/>
        </w:rPr>
      </w:pPr>
      <w:r w:rsidRPr="002F4C6C">
        <w:rPr>
          <w:rFonts w:ascii="Times New Roman" w:hAnsi="Times New Roman"/>
          <w:iCs/>
        </w:rPr>
        <w:t xml:space="preserve">Visi kiekvienos sudedamosios dalies aukščiau paminėti įspėjimai turi būti taikomi ir fiksuotų dozių </w:t>
      </w:r>
      <w:r w:rsidRPr="002F4C6C">
        <w:rPr>
          <w:rFonts w:ascii="Times New Roman" w:hAnsi="Times New Roman"/>
        </w:rPr>
        <w:t>perindoprilio ir amlodipino</w:t>
      </w:r>
      <w:r w:rsidRPr="002F4C6C">
        <w:rPr>
          <w:rFonts w:ascii="Times New Roman" w:hAnsi="Times New Roman"/>
          <w:iCs/>
        </w:rPr>
        <w:t xml:space="preserve"> deriniui.</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Atsargumo priemonės</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bCs/>
          <w:i/>
        </w:rPr>
        <w:t xml:space="preserve">Tarpusavio sąveika </w:t>
      </w:r>
    </w:p>
    <w:p w:rsidR="00E250E1" w:rsidRPr="002F4C6C" w:rsidRDefault="00E250E1">
      <w:pPr>
        <w:spacing w:after="0" w:line="240" w:lineRule="auto"/>
        <w:rPr>
          <w:rFonts w:ascii="Times New Roman" w:hAnsi="Times New Roman"/>
        </w:rPr>
      </w:pPr>
      <w:r w:rsidRPr="002F4C6C">
        <w:rPr>
          <w:rFonts w:ascii="Times New Roman" w:hAnsi="Times New Roman"/>
        </w:rPr>
        <w:t xml:space="preserve">Perindoprilio ir amlodipino derinio </w:t>
      </w:r>
      <w:r w:rsidRPr="002F4C6C">
        <w:rPr>
          <w:rFonts w:ascii="Times New Roman" w:hAnsi="Times New Roman"/>
          <w:bCs/>
        </w:rPr>
        <w:t>nerekomenduojama vartoti kartu su ličio vaistiniais preparatais, kalį organizme sulaikančiais vaistiniais preparatais, kalio papildais ar dantrolenu (žr. 4.5 skyrių).</w:t>
      </w:r>
    </w:p>
    <w:p w:rsidR="00E250E1" w:rsidRPr="002F4C6C" w:rsidRDefault="00E250E1">
      <w:pPr>
        <w:spacing w:after="0" w:line="240" w:lineRule="auto"/>
        <w:rPr>
          <w:rFonts w:ascii="Times New Roman" w:hAnsi="Times New Roman"/>
          <w:bCs/>
          <w:i/>
          <w:iCs/>
          <w:u w:val="single"/>
        </w:rPr>
      </w:pPr>
    </w:p>
    <w:p w:rsidR="00E250E1" w:rsidRPr="00933AB9" w:rsidRDefault="00E250E1">
      <w:pPr>
        <w:spacing w:after="0" w:line="240" w:lineRule="auto"/>
        <w:rPr>
          <w:rFonts w:ascii="Times New Roman" w:hAnsi="Times New Roman"/>
          <w:u w:val="single"/>
        </w:rPr>
      </w:pPr>
      <w:r w:rsidRPr="00933AB9">
        <w:rPr>
          <w:rFonts w:ascii="Times New Roman" w:hAnsi="Times New Roman"/>
          <w:iCs/>
          <w:u w:val="single"/>
        </w:rPr>
        <w:t>Pagalbinės medžiagos</w:t>
      </w:r>
    </w:p>
    <w:p w:rsidR="00E250E1" w:rsidRPr="002F4C6C" w:rsidRDefault="00E250E1">
      <w:pPr>
        <w:spacing w:after="0" w:line="240" w:lineRule="auto"/>
        <w:rPr>
          <w:rFonts w:ascii="Times New Roman" w:hAnsi="Times New Roman"/>
        </w:rPr>
      </w:pPr>
      <w:r w:rsidRPr="002F4C6C">
        <w:rPr>
          <w:rFonts w:ascii="Times New Roman" w:hAnsi="Times New Roman"/>
          <w:i/>
        </w:rPr>
        <w:t>Natris</w:t>
      </w:r>
    </w:p>
    <w:p w:rsidR="00E250E1" w:rsidRPr="002F4C6C" w:rsidRDefault="00BB23BC">
      <w:pPr>
        <w:spacing w:after="0" w:line="240" w:lineRule="auto"/>
        <w:rPr>
          <w:rFonts w:ascii="Times New Roman" w:hAnsi="Times New Roman"/>
        </w:rPr>
      </w:pPr>
      <w:r>
        <w:rPr>
          <w:rFonts w:ascii="Times New Roman" w:hAnsi="Times New Roman"/>
        </w:rPr>
        <w:t>Kiekvienoje š</w:t>
      </w:r>
      <w:r w:rsidR="00E250E1" w:rsidRPr="002F4C6C">
        <w:rPr>
          <w:rFonts w:ascii="Times New Roman" w:hAnsi="Times New Roman"/>
        </w:rPr>
        <w:t>io vaistinio preparato  tabletėje yra mažiau kaip 1 mmol (23 mg) natrio, t. y. jis beveik neturi reikšmės.</w:t>
      </w:r>
    </w:p>
    <w:p w:rsidR="00E250E1" w:rsidRPr="002F4C6C" w:rsidRDefault="00E250E1">
      <w:pPr>
        <w:spacing w:after="0" w:line="240" w:lineRule="auto"/>
        <w:rPr>
          <w:rFonts w:ascii="Times New Roman" w:hAnsi="Times New Roman"/>
          <w:u w:val="single"/>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Izomaltas</w:t>
      </w:r>
    </w:p>
    <w:p w:rsidR="00E250E1" w:rsidRPr="002F4C6C" w:rsidRDefault="00E250E1">
      <w:pPr>
        <w:spacing w:after="0" w:line="240" w:lineRule="auto"/>
        <w:rPr>
          <w:rFonts w:ascii="Times New Roman" w:hAnsi="Times New Roman"/>
        </w:rPr>
      </w:pPr>
      <w:r w:rsidRPr="002F4C6C">
        <w:rPr>
          <w:rFonts w:ascii="Times New Roman" w:hAnsi="Times New Roman"/>
          <w:bCs/>
          <w:iCs/>
        </w:rPr>
        <w:t>Šio vaistinio preparato negalima vartoti pacientams, kuriems nustatytas retas paveldimas sutrikimas – fruktozės netoleravimas.</w:t>
      </w:r>
    </w:p>
    <w:p w:rsidR="00E250E1" w:rsidRPr="002F4C6C" w:rsidRDefault="00E250E1">
      <w:pPr>
        <w:autoSpaceDE w:val="0"/>
        <w:spacing w:after="0" w:line="240" w:lineRule="auto"/>
        <w:rPr>
          <w:rFonts w:ascii="Times New Roman" w:hAnsi="Times New Roman"/>
          <w:bCs/>
          <w:iCs/>
          <w:u w:val="single"/>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b/>
        </w:rPr>
        <w:t>4.5</w:t>
      </w:r>
      <w:r w:rsidRPr="002F4C6C">
        <w:rPr>
          <w:rFonts w:ascii="Times New Roman" w:hAnsi="Times New Roman"/>
          <w:b/>
        </w:rPr>
        <w:tab/>
        <w:t>Sąveika su kitais vaistiniais preparatais ir kitokia sąveika</w:t>
      </w:r>
    </w:p>
    <w:p w:rsidR="00E250E1" w:rsidRPr="002F4C6C" w:rsidRDefault="00E250E1">
      <w:pPr>
        <w:tabs>
          <w:tab w:val="left" w:pos="567"/>
        </w:tabs>
        <w:spacing w:after="0" w:line="240" w:lineRule="auto"/>
        <w:rPr>
          <w:rFonts w:ascii="Times New Roman" w:hAnsi="Times New Roman"/>
          <w:b/>
          <w:u w:val="single"/>
        </w:rPr>
      </w:pPr>
    </w:p>
    <w:p w:rsidR="00E250E1" w:rsidRPr="002F4C6C" w:rsidRDefault="00E250E1">
      <w:pPr>
        <w:spacing w:after="0" w:line="240" w:lineRule="auto"/>
        <w:rPr>
          <w:rFonts w:ascii="Times New Roman" w:hAnsi="Times New Roman"/>
        </w:rPr>
      </w:pPr>
      <w:r w:rsidRPr="002F4C6C">
        <w:rPr>
          <w:rFonts w:ascii="Times New Roman" w:hAnsi="Times New Roman"/>
          <w:iCs/>
          <w:u w:val="single"/>
        </w:rPr>
        <w:t>Susijusi su perindopriliu</w:t>
      </w:r>
    </w:p>
    <w:p w:rsidR="00E250E1" w:rsidRPr="002F4C6C" w:rsidRDefault="00E250E1">
      <w:pPr>
        <w:spacing w:after="0" w:line="240" w:lineRule="auto"/>
        <w:rPr>
          <w:rFonts w:ascii="Times New Roman" w:hAnsi="Times New Roman"/>
          <w:i/>
          <w:iCs/>
          <w:u w:val="single"/>
        </w:rPr>
      </w:pPr>
    </w:p>
    <w:p w:rsidR="00E250E1" w:rsidRPr="002F4C6C" w:rsidRDefault="00E250E1" w:rsidP="00610551">
      <w:pPr>
        <w:spacing w:after="0" w:line="240" w:lineRule="auto"/>
        <w:rPr>
          <w:rFonts w:ascii="Times New Roman" w:hAnsi="Times New Roman"/>
        </w:rPr>
      </w:pPr>
      <w:r w:rsidRPr="002F4C6C">
        <w:rPr>
          <w:rFonts w:ascii="Times New Roman" w:hAnsi="Times New Roman"/>
        </w:rPr>
        <w:t>Klinikinių tyrimų duomenys parodė, kad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610551" w:rsidRPr="002F4C6C">
        <w:rPr>
          <w:rFonts w:ascii="Times New Roman" w:hAnsi="Times New Roman"/>
        </w:rPr>
        <w:t xml:space="preserve"> palyginti su vieno RAAS veikiančio vaistinio preparato vartojimu</w:t>
      </w:r>
      <w:r w:rsidRPr="002F4C6C">
        <w:rPr>
          <w:rFonts w:ascii="Times New Roman" w:hAnsi="Times New Roman"/>
        </w:rPr>
        <w:t xml:space="preserve"> (žr. 4.3, 4.4 ir 5.1 skyrius).</w:t>
      </w:r>
    </w:p>
    <w:p w:rsidR="00E250E1" w:rsidRPr="002F4C6C" w:rsidRDefault="00E250E1" w:rsidP="00E15A9F">
      <w:pPr>
        <w:spacing w:after="0" w:line="240" w:lineRule="auto"/>
        <w:rPr>
          <w:rFonts w:ascii="Times New Roman" w:hAnsi="Times New Roman"/>
          <w:i/>
          <w:iCs/>
          <w:u w:val="single"/>
        </w:rPr>
      </w:pPr>
    </w:p>
    <w:p w:rsidR="00610551" w:rsidRPr="002F4C6C" w:rsidRDefault="00610551" w:rsidP="00E15A9F">
      <w:pPr>
        <w:pStyle w:val="Antrat6"/>
        <w:suppressAutoHyphens w:val="0"/>
        <w:spacing w:after="0"/>
        <w:rPr>
          <w:rFonts w:ascii="Times New Roman" w:eastAsia="Calibri" w:hAnsi="Times New Roman"/>
          <w:b w:val="0"/>
          <w:i/>
          <w:u w:val="single"/>
          <w:lang w:eastAsia="en-US"/>
        </w:rPr>
      </w:pPr>
      <w:r w:rsidRPr="002F4C6C">
        <w:rPr>
          <w:rFonts w:ascii="Times New Roman" w:eastAsia="Calibri" w:hAnsi="Times New Roman"/>
          <w:b w:val="0"/>
          <w:i/>
          <w:u w:val="single"/>
          <w:lang w:eastAsia="en-US"/>
        </w:rPr>
        <w:t>Vaistiniai preparatai, didinantys angioneurozinės edemos riziką</w:t>
      </w:r>
    </w:p>
    <w:p w:rsidR="00610551" w:rsidRPr="002F4C6C" w:rsidRDefault="00610551" w:rsidP="00610551">
      <w:pPr>
        <w:tabs>
          <w:tab w:val="left" w:pos="0"/>
        </w:tabs>
        <w:autoSpaceDE w:val="0"/>
        <w:autoSpaceDN w:val="0"/>
        <w:adjustRightInd w:val="0"/>
        <w:spacing w:after="0" w:line="240" w:lineRule="auto"/>
        <w:rPr>
          <w:rFonts w:ascii="Times New Roman" w:eastAsia="Times New Roman" w:hAnsi="Times New Roman"/>
          <w:lang w:eastAsia="en-GB"/>
        </w:rPr>
      </w:pPr>
      <w:r w:rsidRPr="002F4C6C">
        <w:rPr>
          <w:rFonts w:ascii="Times New Roman" w:eastAsia="Times New Roman" w:hAnsi="Times New Roman"/>
          <w:lang w:eastAsia="en-GB"/>
        </w:rPr>
        <w:t xml:space="preserve">AKF inhibitorių </w:t>
      </w:r>
      <w:r w:rsidR="000E314E">
        <w:rPr>
          <w:rFonts w:ascii="Times New Roman" w:eastAsia="Times New Roman" w:hAnsi="Times New Roman"/>
          <w:lang w:eastAsia="en-GB"/>
        </w:rPr>
        <w:t>draudžiama</w:t>
      </w:r>
      <w:r w:rsidRPr="002F4C6C">
        <w:rPr>
          <w:rFonts w:ascii="Times New Roman" w:eastAsia="Times New Roman" w:hAnsi="Times New Roman"/>
          <w:lang w:eastAsia="en-GB"/>
        </w:rPr>
        <w:t xml:space="preserve"> vartoti kartu su sakubitrilu / valsartanu dėl padidėjusios angioneurozinės edemos rizikos (žr. 4.3 ir </w:t>
      </w:r>
      <w:r w:rsidRPr="00933AB9">
        <w:rPr>
          <w:rFonts w:ascii="Times New Roman" w:eastAsia="Times New Roman" w:hAnsi="Times New Roman"/>
          <w:lang w:eastAsia="en-GB"/>
        </w:rPr>
        <w:t>4.4</w:t>
      </w:r>
      <w:r w:rsidRPr="002F4C6C">
        <w:rPr>
          <w:rFonts w:ascii="Times New Roman" w:eastAsia="Times New Roman" w:hAnsi="Times New Roman"/>
          <w:lang w:eastAsia="en-GB"/>
        </w:rPr>
        <w:t xml:space="preserve"> skyrius). Sakubitrilo/valsartano </w:t>
      </w:r>
      <w:r w:rsidR="000E314E">
        <w:rPr>
          <w:rFonts w:ascii="Times New Roman" w:eastAsia="Times New Roman" w:hAnsi="Times New Roman"/>
          <w:lang w:eastAsia="en-GB"/>
        </w:rPr>
        <w:t>draudžiama</w:t>
      </w:r>
      <w:r w:rsidRPr="002F4C6C">
        <w:rPr>
          <w:rFonts w:ascii="Times New Roman" w:eastAsia="Times New Roman" w:hAnsi="Times New Roman"/>
          <w:lang w:eastAsia="en-GB"/>
        </w:rPr>
        <w:t xml:space="preserve"> pradėti vartoti tol, kol nepraėjo 36 valandos po paskutinės perindoprilio dozės suvartojimo. Nutraukus sakubitrilo / valsartano vartojimą, gydym</w:t>
      </w:r>
      <w:r w:rsidR="000E314E">
        <w:rPr>
          <w:rFonts w:ascii="Times New Roman" w:eastAsia="Times New Roman" w:hAnsi="Times New Roman"/>
          <w:lang w:eastAsia="en-GB"/>
        </w:rPr>
        <w:t>ą</w:t>
      </w:r>
      <w:r w:rsidRPr="002F4C6C">
        <w:rPr>
          <w:rFonts w:ascii="Times New Roman" w:eastAsia="Times New Roman" w:hAnsi="Times New Roman"/>
          <w:lang w:eastAsia="en-GB"/>
        </w:rPr>
        <w:t xml:space="preserve"> perindopriliu </w:t>
      </w:r>
      <w:r w:rsidR="000E314E">
        <w:rPr>
          <w:rFonts w:ascii="Times New Roman" w:eastAsia="Times New Roman" w:hAnsi="Times New Roman"/>
          <w:lang w:eastAsia="en-GB"/>
        </w:rPr>
        <w:t>draudžiama</w:t>
      </w:r>
      <w:r w:rsidRPr="002F4C6C">
        <w:rPr>
          <w:rFonts w:ascii="Times New Roman" w:eastAsia="Times New Roman" w:hAnsi="Times New Roman"/>
          <w:lang w:eastAsia="en-GB"/>
        </w:rPr>
        <w:t xml:space="preserve"> pradėti tol, kol nepraėjo 36 valandos po paskutinės sakubitrilo / valsartano dozės suvartojimo (žr. 4.3 ir 4.4 skyrius). </w:t>
      </w:r>
    </w:p>
    <w:p w:rsidR="00610551" w:rsidRPr="002F4C6C" w:rsidRDefault="00610551" w:rsidP="00E15A9F">
      <w:pPr>
        <w:tabs>
          <w:tab w:val="left" w:pos="0"/>
        </w:tabs>
        <w:autoSpaceDE w:val="0"/>
        <w:autoSpaceDN w:val="0"/>
        <w:adjustRightInd w:val="0"/>
        <w:spacing w:after="0" w:line="240" w:lineRule="auto"/>
        <w:rPr>
          <w:rFonts w:ascii="Times New Roman" w:hAnsi="Times New Roman"/>
        </w:rPr>
      </w:pPr>
      <w:r w:rsidRPr="002F4C6C">
        <w:rPr>
          <w:rFonts w:ascii="Times New Roman" w:eastAsia="Times New Roman" w:hAnsi="Times New Roman"/>
          <w:lang w:eastAsia="en-GB"/>
        </w:rPr>
        <w:t>Kartu vartojant AKF inhibitori</w:t>
      </w:r>
      <w:r w:rsidR="000E314E">
        <w:rPr>
          <w:rFonts w:ascii="Times New Roman" w:eastAsia="Times New Roman" w:hAnsi="Times New Roman"/>
          <w:lang w:eastAsia="en-GB"/>
        </w:rPr>
        <w:t>ų</w:t>
      </w:r>
      <w:r w:rsidRPr="002F4C6C">
        <w:rPr>
          <w:rFonts w:ascii="Times New Roman" w:eastAsia="Times New Roman" w:hAnsi="Times New Roman"/>
          <w:lang w:eastAsia="en-GB"/>
        </w:rPr>
        <w:t xml:space="preserve"> su racekadotriliu, mTOR inhibitoriais (pvz.:</w:t>
      </w:r>
      <w:r w:rsidRPr="002F4C6C">
        <w:rPr>
          <w:rFonts w:ascii="Times New Roman" w:hAnsi="Times New Roman"/>
          <w:lang w:eastAsia="en-GB"/>
        </w:rPr>
        <w:t xml:space="preserve"> sirolimuzu, everolimuzu, temsirolimuzu) ir gliptinais (pvz.: linagliptinu, saksagliptinu, sitagliptinu, vildagliptinu) gali būti didesnė angioneurozinės edemos atsiradimo rizika (žr. 4.</w:t>
      </w:r>
      <w:r w:rsidRPr="00933AB9">
        <w:rPr>
          <w:rFonts w:ascii="Times New Roman" w:hAnsi="Times New Roman"/>
          <w:lang w:eastAsia="en-GB"/>
        </w:rPr>
        <w:t>4</w:t>
      </w:r>
      <w:r w:rsidRPr="002F4C6C">
        <w:rPr>
          <w:rFonts w:ascii="Times New Roman" w:hAnsi="Times New Roman"/>
          <w:lang w:eastAsia="en-GB"/>
        </w:rPr>
        <w:t xml:space="preserve"> skyrių). </w:t>
      </w:r>
    </w:p>
    <w:p w:rsidR="00610551" w:rsidRPr="002F4C6C" w:rsidRDefault="00610551" w:rsidP="00E15A9F">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rPr>
        <w:t>Hiperkalemiją sukeliantys vaistiniai preparatai</w:t>
      </w:r>
    </w:p>
    <w:p w:rsidR="00E15A9F" w:rsidRPr="002F4C6C" w:rsidRDefault="00E15A9F" w:rsidP="00E15A9F">
      <w:pPr>
        <w:pStyle w:val="Betarp"/>
        <w:widowControl w:val="0"/>
        <w:rPr>
          <w:rFonts w:ascii="Times New Roman" w:hAnsi="Times New Roman"/>
        </w:rPr>
      </w:pPr>
      <w:r w:rsidRPr="002F4C6C">
        <w:rPr>
          <w:rFonts w:ascii="Times New Roman" w:hAnsi="Times New Roman"/>
        </w:rPr>
        <w:t>Nors kalio koncentracija kraujyje paprastai neviršija normos, kai kuriems pacientams, gydomiems Perindopril/Amlodipine Teva</w:t>
      </w:r>
      <w:r w:rsidR="006717DC" w:rsidRPr="002F4C6C">
        <w:rPr>
          <w:rFonts w:ascii="Times New Roman" w:hAnsi="Times New Roman"/>
        </w:rPr>
        <w:t xml:space="preserve"> Pharma</w:t>
      </w:r>
      <w:r w:rsidRPr="002F4C6C">
        <w:rPr>
          <w:rFonts w:ascii="Times New Roman" w:hAnsi="Times New Roman"/>
        </w:rPr>
        <w:t>, gali pasireikšti hiperkalemija. Kai kurie vaistiniai preparatai ar jų grupės gali sukelti hiperkalemiją: aliskirenas, kalio druskos, kalį tausojantys diuretikai (pvz., spironolaktonas, triamterenas ar amiloridas), AKF inhibitoriai, angiotenzino II receptorių antagonistai, NV</w:t>
      </w:r>
      <w:r w:rsidR="00831946">
        <w:rPr>
          <w:rFonts w:ascii="Times New Roman" w:hAnsi="Times New Roman"/>
        </w:rPr>
        <w:t>P</w:t>
      </w:r>
      <w:r w:rsidRPr="002F4C6C">
        <w:rPr>
          <w:rFonts w:ascii="Times New Roman" w:hAnsi="Times New Roman"/>
        </w:rPr>
        <w:t>NU, heparinai, imunosupres</w:t>
      </w:r>
      <w:r w:rsidR="00831946">
        <w:rPr>
          <w:rFonts w:ascii="Times New Roman" w:hAnsi="Times New Roman"/>
        </w:rPr>
        <w:t>antai</w:t>
      </w:r>
      <w:r w:rsidRPr="002F4C6C">
        <w:rPr>
          <w:rFonts w:ascii="Times New Roman" w:hAnsi="Times New Roman"/>
        </w:rPr>
        <w:t>, tokie kaip ciklosporinas arba takrolimuzas, trimetoprimas,</w:t>
      </w:r>
      <w:r w:rsidRPr="002F4C6C">
        <w:rPr>
          <w:rFonts w:ascii="Times New Roman" w:eastAsia="Times New Roman" w:hAnsi="Times New Roman"/>
          <w:lang w:eastAsia="sl-SI"/>
        </w:rPr>
        <w:t xml:space="preserve"> kotrimoksazolas (trimetoprimas/sulfametoksazolas), nes žinoma, kad trimetoprimas veikia kaip kalį tausojantis diuretikas panašiai kaip amiloridas</w:t>
      </w:r>
      <w:r w:rsidRPr="002F4C6C">
        <w:rPr>
          <w:rFonts w:ascii="Times New Roman" w:hAnsi="Times New Roman"/>
        </w:rPr>
        <w:t xml:space="preserve">. Šių vaistinių preparatų derinys </w:t>
      </w:r>
      <w:r w:rsidR="00831946">
        <w:rPr>
          <w:rFonts w:ascii="Times New Roman" w:hAnsi="Times New Roman"/>
        </w:rPr>
        <w:t>didina</w:t>
      </w:r>
      <w:r w:rsidRPr="002F4C6C">
        <w:rPr>
          <w:rFonts w:ascii="Times New Roman" w:hAnsi="Times New Roman"/>
        </w:rPr>
        <w:t xml:space="preserve"> hiperkalemijos riziką. Todėl Perindopril/Amlodipine Teva </w:t>
      </w:r>
      <w:r w:rsidR="006717DC" w:rsidRPr="002F4C6C">
        <w:rPr>
          <w:rFonts w:ascii="Times New Roman" w:hAnsi="Times New Roman"/>
        </w:rPr>
        <w:t xml:space="preserve">Pharma </w:t>
      </w:r>
      <w:r w:rsidRPr="002F4C6C">
        <w:rPr>
          <w:rFonts w:ascii="Times New Roman" w:hAnsi="Times New Roman"/>
        </w:rPr>
        <w:t xml:space="preserve">vartoti kartu su </w:t>
      </w:r>
      <w:r w:rsidR="00831946">
        <w:rPr>
          <w:rFonts w:ascii="Times New Roman" w:hAnsi="Times New Roman"/>
        </w:rPr>
        <w:t>pirmiau</w:t>
      </w:r>
      <w:r w:rsidRPr="002F4C6C">
        <w:rPr>
          <w:rFonts w:ascii="Times New Roman" w:hAnsi="Times New Roman"/>
        </w:rPr>
        <w:t xml:space="preserve"> išvardintais vaistiniais preparatais nerekomenduojama. Jeigu vis dėlto vartoti kartu yra būtina, juos reikia vartoti </w:t>
      </w:r>
      <w:r w:rsidR="008700D0">
        <w:rPr>
          <w:rFonts w:ascii="Times New Roman" w:hAnsi="Times New Roman"/>
        </w:rPr>
        <w:t>laikantis saugumo priemonių</w:t>
      </w:r>
      <w:r w:rsidRPr="002F4C6C">
        <w:rPr>
          <w:rFonts w:ascii="Times New Roman" w:hAnsi="Times New Roman"/>
        </w:rPr>
        <w:t xml:space="preserve"> ir </w:t>
      </w:r>
      <w:r w:rsidR="008700D0">
        <w:rPr>
          <w:rFonts w:ascii="Times New Roman" w:hAnsi="Times New Roman"/>
        </w:rPr>
        <w:t xml:space="preserve">reikia </w:t>
      </w:r>
      <w:r w:rsidRPr="002F4C6C">
        <w:rPr>
          <w:rFonts w:ascii="Times New Roman" w:hAnsi="Times New Roman"/>
        </w:rPr>
        <w:t xml:space="preserve">dažnai </w:t>
      </w:r>
      <w:r w:rsidR="008700D0">
        <w:rPr>
          <w:rFonts w:ascii="Times New Roman" w:hAnsi="Times New Roman"/>
        </w:rPr>
        <w:t>stebėti</w:t>
      </w:r>
      <w:r w:rsidRPr="002F4C6C">
        <w:rPr>
          <w:rFonts w:ascii="Times New Roman" w:hAnsi="Times New Roman"/>
        </w:rPr>
        <w:t xml:space="preserve"> kalio k</w:t>
      </w:r>
      <w:r w:rsidR="008700D0">
        <w:rPr>
          <w:rFonts w:ascii="Times New Roman" w:hAnsi="Times New Roman"/>
        </w:rPr>
        <w:t>oncentraciją</w:t>
      </w:r>
      <w:r w:rsidRPr="002F4C6C">
        <w:rPr>
          <w:rFonts w:ascii="Times New Roman" w:hAnsi="Times New Roman"/>
        </w:rPr>
        <w:t xml:space="preserve"> serume.</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Vartojimas kartu kontraindikuotinas (žr. 4.3 skyrių)</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rPr>
        <w:t>Aliskirenas</w:t>
      </w:r>
    </w:p>
    <w:p w:rsidR="00E250E1" w:rsidRPr="002F4C6C" w:rsidRDefault="00E250E1">
      <w:pPr>
        <w:spacing w:after="0" w:line="240" w:lineRule="auto"/>
        <w:rPr>
          <w:rFonts w:ascii="Times New Roman" w:hAnsi="Times New Roman"/>
        </w:rPr>
      </w:pPr>
      <w:r w:rsidRPr="002F4C6C">
        <w:rPr>
          <w:rFonts w:ascii="Times New Roman" w:hAnsi="Times New Roman"/>
          <w:iCs/>
        </w:rPr>
        <w:t>Cukriniu diabetu sergantiems pacientams ar pacientams, kurių inkstų funkcija yra sutrikusi, padidėja hiperkalemijos, inkstų funkcijos pablogėjimo bei kardiovaskulinio sergamumo ir mirtingumo rizika.</w:t>
      </w:r>
    </w:p>
    <w:p w:rsidR="00E250E1" w:rsidRPr="002F4C6C" w:rsidRDefault="00E250E1">
      <w:pPr>
        <w:spacing w:after="0" w:line="240" w:lineRule="auto"/>
        <w:rPr>
          <w:rFonts w:ascii="Times New Roman" w:hAnsi="Times New Roman"/>
          <w:iCs/>
        </w:rPr>
      </w:pPr>
    </w:p>
    <w:p w:rsidR="00E250E1" w:rsidRPr="002F4C6C" w:rsidRDefault="00E250E1">
      <w:pPr>
        <w:tabs>
          <w:tab w:val="left" w:pos="0"/>
        </w:tabs>
        <w:autoSpaceDE w:val="0"/>
        <w:spacing w:after="0" w:line="240" w:lineRule="auto"/>
        <w:rPr>
          <w:rFonts w:ascii="Times New Roman" w:hAnsi="Times New Roman"/>
        </w:rPr>
      </w:pPr>
      <w:bookmarkStart w:id="4" w:name="_Hlk505796627"/>
      <w:bookmarkStart w:id="5" w:name="_Hlk505957985"/>
      <w:r w:rsidRPr="002F4C6C">
        <w:rPr>
          <w:rFonts w:ascii="Times New Roman" w:hAnsi="Times New Roman"/>
          <w:i/>
          <w:color w:val="000000"/>
        </w:rPr>
        <w:t>Ekstrakorporinis gydymas</w:t>
      </w:r>
      <w:bookmarkEnd w:id="4"/>
    </w:p>
    <w:p w:rsidR="00E250E1" w:rsidRPr="002F4C6C" w:rsidRDefault="00E250E1">
      <w:pPr>
        <w:tabs>
          <w:tab w:val="left" w:pos="0"/>
        </w:tabs>
        <w:autoSpaceDE w:val="0"/>
        <w:spacing w:after="0" w:line="240" w:lineRule="auto"/>
        <w:rPr>
          <w:rFonts w:ascii="Times New Roman" w:hAnsi="Times New Roman"/>
        </w:rPr>
      </w:pPr>
      <w:bookmarkStart w:id="6" w:name="_Hlk505796652"/>
      <w:r w:rsidRPr="002F4C6C">
        <w:rPr>
          <w:rFonts w:ascii="Times New Roman" w:hAnsi="Times New Roman"/>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bookmarkEnd w:id="6"/>
    </w:p>
    <w:p w:rsidR="00E250E1" w:rsidRPr="002F4C6C" w:rsidRDefault="00E250E1">
      <w:pPr>
        <w:tabs>
          <w:tab w:val="left" w:pos="0"/>
        </w:tabs>
        <w:autoSpaceDE w:val="0"/>
        <w:spacing w:after="0" w:line="240" w:lineRule="auto"/>
        <w:rPr>
          <w:rFonts w:ascii="Times New Roman" w:hAnsi="Times New Roman"/>
          <w:lang w:eastAsia="en-GB"/>
        </w:rPr>
      </w:pPr>
    </w:p>
    <w:bookmarkEnd w:id="5"/>
    <w:p w:rsidR="00E250E1" w:rsidRPr="002F4C6C" w:rsidRDefault="00E250E1">
      <w:pPr>
        <w:spacing w:after="0" w:line="240" w:lineRule="auto"/>
        <w:rPr>
          <w:rFonts w:ascii="Times New Roman" w:hAnsi="Times New Roman"/>
        </w:rPr>
      </w:pPr>
      <w:r w:rsidRPr="002F4C6C">
        <w:rPr>
          <w:rFonts w:ascii="Times New Roman" w:hAnsi="Times New Roman"/>
          <w:i/>
          <w:iCs/>
          <w:u w:val="single"/>
        </w:rPr>
        <w:t>Kartu vartoti nerekomenduojama</w:t>
      </w:r>
      <w:r w:rsidR="006717DC" w:rsidRPr="002F4C6C">
        <w:rPr>
          <w:rFonts w:ascii="Times New Roman" w:hAnsi="Times New Roman"/>
          <w:i/>
          <w:iCs/>
          <w:u w:val="single"/>
        </w:rPr>
        <w:t xml:space="preserve"> (žr. 4.4 skyrių)</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rPr>
        <w:t>Aliskirenas</w:t>
      </w:r>
    </w:p>
    <w:p w:rsidR="00E250E1" w:rsidRPr="002F4C6C" w:rsidRDefault="00E250E1">
      <w:pPr>
        <w:spacing w:after="0" w:line="240" w:lineRule="auto"/>
        <w:rPr>
          <w:rFonts w:ascii="Times New Roman" w:hAnsi="Times New Roman"/>
        </w:rPr>
      </w:pPr>
      <w:r w:rsidRPr="002F4C6C">
        <w:rPr>
          <w:rFonts w:ascii="Times New Roman" w:hAnsi="Times New Roman"/>
          <w:iCs/>
        </w:rPr>
        <w:t>Hiperkalemijos, inkstų funkcijos pablogėjimo bei kardiovaskulinio sergamumo ir mirtingumo rizik</w:t>
      </w:r>
      <w:r w:rsidR="006717DC" w:rsidRPr="002F4C6C">
        <w:rPr>
          <w:rFonts w:ascii="Times New Roman" w:hAnsi="Times New Roman"/>
          <w:iCs/>
        </w:rPr>
        <w:t>a</w:t>
      </w:r>
      <w:r w:rsidRPr="002F4C6C">
        <w:rPr>
          <w:rFonts w:ascii="Times New Roman" w:hAnsi="Times New Roman"/>
          <w:iCs/>
        </w:rPr>
        <w:t xml:space="preserve"> padidėj</w:t>
      </w:r>
      <w:r w:rsidR="006717DC" w:rsidRPr="002F4C6C">
        <w:rPr>
          <w:rFonts w:ascii="Times New Roman" w:hAnsi="Times New Roman"/>
          <w:iCs/>
        </w:rPr>
        <w:t>a</w:t>
      </w:r>
      <w:r w:rsidRPr="002F4C6C">
        <w:rPr>
          <w:rFonts w:ascii="Times New Roman" w:hAnsi="Times New Roman"/>
          <w:iCs/>
        </w:rPr>
        <w:t xml:space="preserve"> cukriniu diabetu nesergantiems pacientams ar pacientams, kurių inkstų funkcija nėra sutrikusi.</w:t>
      </w:r>
    </w:p>
    <w:p w:rsidR="00E250E1" w:rsidRPr="002F4C6C" w:rsidRDefault="00E250E1">
      <w:pPr>
        <w:spacing w:after="0" w:line="240" w:lineRule="auto"/>
        <w:rPr>
          <w:rFonts w:ascii="Times New Roman" w:hAnsi="Times New Roman"/>
          <w:iCs/>
        </w:rPr>
      </w:pPr>
    </w:p>
    <w:p w:rsidR="00E250E1" w:rsidRPr="002F4C6C" w:rsidRDefault="00E250E1">
      <w:pPr>
        <w:spacing w:after="0" w:line="240" w:lineRule="auto"/>
        <w:rPr>
          <w:rFonts w:ascii="Times New Roman" w:hAnsi="Times New Roman"/>
        </w:rPr>
      </w:pPr>
      <w:r w:rsidRPr="002F4C6C">
        <w:rPr>
          <w:rFonts w:ascii="Times New Roman" w:hAnsi="Times New Roman"/>
          <w:i/>
          <w:iCs/>
        </w:rPr>
        <w:t>Vartojimas kartu su AKF inhibitoriais ir angiotenzino receptorių blokatoriais</w:t>
      </w:r>
    </w:p>
    <w:p w:rsidR="00E250E1" w:rsidRPr="002F4C6C" w:rsidRDefault="00E250E1">
      <w:pPr>
        <w:spacing w:after="0" w:line="240" w:lineRule="auto"/>
        <w:rPr>
          <w:rFonts w:ascii="Times New Roman" w:hAnsi="Times New Roman"/>
        </w:rPr>
      </w:pPr>
      <w:r w:rsidRPr="002F4C6C">
        <w:rPr>
          <w:rFonts w:ascii="Times New Roman" w:hAnsi="Times New Roman"/>
          <w:iCs/>
        </w:rPr>
        <w:t xml:space="preserve">Literatūroje yra pranešimų, kad pacientų, kuriems diagnozuota aterosklerozinė liga, širdies nepakankamumas arba cukrinis diabetas su galutinės stadijos organų pažaida, gydymas </w:t>
      </w:r>
      <w:r w:rsidR="00076851">
        <w:rPr>
          <w:rFonts w:ascii="Times New Roman" w:hAnsi="Times New Roman"/>
          <w:iCs/>
        </w:rPr>
        <w:t xml:space="preserve">kartu </w:t>
      </w:r>
      <w:r w:rsidRPr="002F4C6C">
        <w:rPr>
          <w:rFonts w:ascii="Times New Roman" w:hAnsi="Times New Roman"/>
          <w:iCs/>
        </w:rPr>
        <w:t>AKF inhibitoriumi ir angiotenzino receptorių blokatoriumi</w:t>
      </w:r>
      <w:r w:rsidR="006717DC" w:rsidRPr="002F4C6C">
        <w:rPr>
          <w:rFonts w:ascii="Times New Roman" w:hAnsi="Times New Roman"/>
          <w:iCs/>
        </w:rPr>
        <w:t xml:space="preserve"> </w:t>
      </w:r>
      <w:r w:rsidRPr="002F4C6C">
        <w:rPr>
          <w:rFonts w:ascii="Times New Roman" w:hAnsi="Times New Roman"/>
          <w:iCs/>
        </w:rPr>
        <w:t>yra susijęs su hipotenzijos, apalpimo, hiperkalemijos ir inkstų funkcijos pablogėjimo (įskaitant ūminį inkstų nepakankamumą) padažnėjimu, palyginti su vieno renino, angiotenzino ir aldosterono sistemą veikiančio vaistinio preparato vartojimu. Dvigubas nuslopinimas (t. y. AKF inhibitoriaus vartojimas kartu su angionenzino II receptorių blokatoriumi) turi būti skiriamas tik išskirtiniais, atskirai apibrėžtais atvejais, atidžiai stebint inkstų funkciją bei matuojant kalio koncentracijas ir kraujospūdį.</w:t>
      </w:r>
    </w:p>
    <w:p w:rsidR="00E250E1" w:rsidRPr="002F4C6C" w:rsidRDefault="00E250E1">
      <w:pPr>
        <w:spacing w:after="0" w:line="240" w:lineRule="auto"/>
        <w:rPr>
          <w:rFonts w:ascii="Times New Roman" w:hAnsi="Times New Roman"/>
          <w:iCs/>
        </w:rPr>
      </w:pPr>
    </w:p>
    <w:p w:rsidR="00E250E1" w:rsidRPr="002F4C6C" w:rsidRDefault="00E250E1">
      <w:pPr>
        <w:spacing w:after="0" w:line="240" w:lineRule="auto"/>
        <w:rPr>
          <w:rFonts w:ascii="Times New Roman" w:hAnsi="Times New Roman"/>
        </w:rPr>
      </w:pPr>
      <w:r w:rsidRPr="002F4C6C">
        <w:rPr>
          <w:rFonts w:ascii="Times New Roman" w:hAnsi="Times New Roman"/>
          <w:i/>
          <w:iCs/>
        </w:rPr>
        <w:t>Estramustinas</w:t>
      </w:r>
    </w:p>
    <w:p w:rsidR="00E250E1" w:rsidRPr="002F4C6C" w:rsidRDefault="00E250E1">
      <w:pPr>
        <w:spacing w:after="0" w:line="240" w:lineRule="auto"/>
        <w:rPr>
          <w:rFonts w:ascii="Times New Roman" w:hAnsi="Times New Roman"/>
        </w:rPr>
      </w:pPr>
      <w:r w:rsidRPr="002F4C6C">
        <w:rPr>
          <w:rFonts w:ascii="Times New Roman" w:hAnsi="Times New Roman"/>
          <w:iCs/>
        </w:rPr>
        <w:t>Nepageidaujamo poveikio, pavyzdžiui, angioneurozinės edemos (angioedemos) rizikos padidėjimas.</w:t>
      </w:r>
    </w:p>
    <w:p w:rsidR="00E250E1" w:rsidRPr="002F4C6C" w:rsidRDefault="00E250E1">
      <w:pPr>
        <w:spacing w:after="0" w:line="240" w:lineRule="auto"/>
        <w:rPr>
          <w:rFonts w:ascii="Times New Roman" w:hAnsi="Times New Roman"/>
          <w:iCs/>
        </w:rPr>
      </w:pPr>
    </w:p>
    <w:p w:rsidR="00E250E1" w:rsidRPr="002F4C6C" w:rsidRDefault="00E250E1">
      <w:pPr>
        <w:spacing w:after="0" w:line="240" w:lineRule="auto"/>
        <w:rPr>
          <w:rFonts w:ascii="Times New Roman" w:hAnsi="Times New Roman"/>
          <w:iCs/>
          <w:lang w:eastAsia="en-GB"/>
        </w:rPr>
      </w:pPr>
    </w:p>
    <w:p w:rsidR="00E250E1" w:rsidRPr="002F4C6C" w:rsidRDefault="00E250E1">
      <w:pPr>
        <w:spacing w:after="0" w:line="240" w:lineRule="auto"/>
        <w:rPr>
          <w:rFonts w:ascii="Times New Roman" w:hAnsi="Times New Roman"/>
        </w:rPr>
      </w:pPr>
      <w:r w:rsidRPr="002F4C6C">
        <w:rPr>
          <w:rFonts w:ascii="Times New Roman" w:hAnsi="Times New Roman"/>
          <w:bCs/>
          <w:i/>
        </w:rPr>
        <w:t>Kalį organizme sulaikantys diuretikai</w:t>
      </w:r>
      <w:r w:rsidR="006717DC" w:rsidRPr="002F4C6C">
        <w:rPr>
          <w:rFonts w:ascii="Times New Roman" w:hAnsi="Times New Roman"/>
          <w:bCs/>
          <w:i/>
        </w:rPr>
        <w:t xml:space="preserve"> (pvz.</w:t>
      </w:r>
      <w:r w:rsidR="008F62FA" w:rsidRPr="002F4C6C">
        <w:rPr>
          <w:rFonts w:ascii="Times New Roman" w:hAnsi="Times New Roman"/>
          <w:bCs/>
          <w:i/>
        </w:rPr>
        <w:t>,</w:t>
      </w:r>
      <w:r w:rsidR="006717DC" w:rsidRPr="002F4C6C">
        <w:rPr>
          <w:rFonts w:ascii="Times New Roman" w:hAnsi="Times New Roman"/>
          <w:bCs/>
          <w:i/>
        </w:rPr>
        <w:t xml:space="preserve"> triamterenas, amiloridas</w:t>
      </w:r>
      <w:r w:rsidR="008F62FA" w:rsidRPr="002F4C6C">
        <w:rPr>
          <w:rFonts w:ascii="Times New Roman" w:hAnsi="Times New Roman"/>
          <w:bCs/>
          <w:i/>
        </w:rPr>
        <w:t xml:space="preserve"> ir pan.</w:t>
      </w:r>
      <w:r w:rsidR="006717DC" w:rsidRPr="002F4C6C">
        <w:rPr>
          <w:rFonts w:ascii="Times New Roman" w:hAnsi="Times New Roman"/>
          <w:bCs/>
          <w:i/>
        </w:rPr>
        <w:t>)</w:t>
      </w:r>
      <w:r w:rsidRPr="002F4C6C">
        <w:rPr>
          <w:rFonts w:ascii="Times New Roman" w:hAnsi="Times New Roman"/>
          <w:bCs/>
          <w:i/>
        </w:rPr>
        <w:t>,, kalio druskos</w:t>
      </w:r>
    </w:p>
    <w:p w:rsidR="00E250E1" w:rsidRPr="002F4C6C" w:rsidRDefault="00E250E1">
      <w:pPr>
        <w:spacing w:after="0" w:line="240" w:lineRule="auto"/>
        <w:rPr>
          <w:rFonts w:ascii="Times New Roman" w:hAnsi="Times New Roman"/>
        </w:rPr>
      </w:pPr>
      <w:r w:rsidRPr="002F4C6C">
        <w:rPr>
          <w:rFonts w:ascii="Times New Roman" w:hAnsi="Times New Roman"/>
        </w:rPr>
        <w:t>Hiperkalemija (kuri gali būti mirtina), ypač kai kartu yra inkstų funkcijos sutrikimas (adityvus hiperkaleminis poveikis).</w:t>
      </w:r>
      <w:r w:rsidR="006717DC" w:rsidRPr="002F4C6C">
        <w:rPr>
          <w:rFonts w:ascii="Times New Roman" w:hAnsi="Times New Roman"/>
        </w:rPr>
        <w:t xml:space="preserve"> </w:t>
      </w:r>
      <w:r w:rsidRPr="002F4C6C">
        <w:rPr>
          <w:rFonts w:ascii="Times New Roman" w:hAnsi="Times New Roman"/>
        </w:rPr>
        <w:t xml:space="preserve">Dėl to minėtų vaistinių preparatų vartoti kartu su perindopriliu nerekomenduojama (žr. 4.4 skyrių). Jeigu vis dėlto </w:t>
      </w:r>
      <w:r w:rsidR="00A93311" w:rsidRPr="002F4C6C">
        <w:rPr>
          <w:rFonts w:ascii="Times New Roman" w:hAnsi="Times New Roman"/>
        </w:rPr>
        <w:t xml:space="preserve">yra indikacija </w:t>
      </w:r>
      <w:r w:rsidRPr="002F4C6C">
        <w:rPr>
          <w:rFonts w:ascii="Times New Roman" w:hAnsi="Times New Roman"/>
        </w:rPr>
        <w:t>šiuos vaistinius preparatus vartoti kartu, jų reikia vartoti atsargiai ir reikia dažnai tikrinti kalio koncentracijas kraujo serume. Apie spironolaktono vartojimą širdies nepakankamumui gydyti žr. toliau.</w:t>
      </w:r>
    </w:p>
    <w:p w:rsidR="00E250E1" w:rsidRPr="002F4C6C" w:rsidRDefault="00E250E1">
      <w:pPr>
        <w:spacing w:after="0" w:line="240" w:lineRule="auto"/>
        <w:rPr>
          <w:rFonts w:ascii="Times New Roman" w:hAnsi="Times New Roman"/>
          <w:bCs/>
          <w:i/>
          <w:iCs/>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Litis</w:t>
      </w:r>
    </w:p>
    <w:p w:rsidR="00E250E1" w:rsidRPr="002F4C6C" w:rsidRDefault="00E250E1">
      <w:pPr>
        <w:spacing w:after="0" w:line="240" w:lineRule="auto"/>
        <w:rPr>
          <w:rFonts w:ascii="Times New Roman" w:hAnsi="Times New Roman"/>
        </w:rPr>
      </w:pPr>
      <w:r w:rsidRPr="002F4C6C">
        <w:rPr>
          <w:rFonts w:ascii="Times New Roman" w:hAnsi="Times New Roman"/>
          <w:bCs/>
          <w:iCs/>
        </w:rPr>
        <w:t>Aprašyta, kad litį ir AKF inhibitorius vartojant tuo pačiu metu, laikinai padidėja ličio koncentracija kraujo serume ir jo toksiškumas (sunkus neurotoksiškumas). Perindoprilio vartoti kartu su ličiu nerekomenduojama. Jeigu tai būtina, reikia atidžiai stebėti ličio koncentraciją kraujo serume (žr. 4.4 skyrių).</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Kartu vartojant būtina ypatinga priežiūra</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Vaistiniai preparatai cukriniam diabetui gydyti (insulinas, geriamieji gliukozės koncentraciją kraujyje mažinantys</w:t>
      </w:r>
      <w:r w:rsidR="00A93311" w:rsidRPr="002F4C6C">
        <w:rPr>
          <w:rFonts w:ascii="Times New Roman" w:hAnsi="Times New Roman"/>
          <w:bCs/>
          <w:i/>
          <w:iCs/>
        </w:rPr>
        <w:t xml:space="preserve"> vaistiniai preparatai</w:t>
      </w:r>
      <w:r w:rsidRPr="002F4C6C">
        <w:rPr>
          <w:rFonts w:ascii="Times New Roman" w:hAnsi="Times New Roman"/>
          <w:bCs/>
          <w:i/>
          <w:iCs/>
        </w:rPr>
        <w:t>)</w:t>
      </w: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Epidemiologiniai tyrimai rodo, kad AKF inhibitorius vartojant kartu su vaistiniais preparatais cukriniam diabetui gydyti (insulinais, geriamaisiais gliukozės koncentraciją kraujyje mažinančiais </w:t>
      </w:r>
      <w:r w:rsidR="00A93311" w:rsidRPr="002F4C6C">
        <w:rPr>
          <w:rFonts w:ascii="Times New Roman" w:hAnsi="Times New Roman"/>
          <w:bCs/>
          <w:iCs/>
        </w:rPr>
        <w:t>vaistiniai preparatais</w:t>
      </w:r>
      <w:r w:rsidRPr="002F4C6C">
        <w:rPr>
          <w:rFonts w:ascii="Times New Roman" w:hAnsi="Times New Roman"/>
          <w:bCs/>
          <w:iCs/>
        </w:rPr>
        <w:t>), gliukozės koncentracijų kraujyje mažinamasis poveikis gali sustiprėti ir kilti hipoglikemijos atsiradimo rizika. Šio reiškinio atsiradimo rizika yra didesnė pirmosiomis gydymo kartu savaitėmis ir pacientams, kuriems pasireiškia inkstų funkcijos sutrikimas.</w:t>
      </w:r>
    </w:p>
    <w:p w:rsidR="00A93311" w:rsidRPr="002F4C6C" w:rsidRDefault="00A93311" w:rsidP="00A93311">
      <w:pPr>
        <w:pStyle w:val="Betarp"/>
        <w:widowControl w:val="0"/>
        <w:rPr>
          <w:rFonts w:ascii="Times New Roman" w:hAnsi="Times New Roman"/>
          <w:i/>
          <w:iCs/>
        </w:rPr>
      </w:pP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Kalio organizme ne</w:t>
      </w:r>
      <w:r w:rsidR="00A93311" w:rsidRPr="002F4C6C">
        <w:rPr>
          <w:rFonts w:ascii="Times New Roman" w:hAnsi="Times New Roman"/>
          <w:bCs/>
          <w:i/>
          <w:iCs/>
        </w:rPr>
        <w:t>tausojantys</w:t>
      </w:r>
      <w:r w:rsidRPr="002F4C6C">
        <w:rPr>
          <w:rFonts w:ascii="Times New Roman" w:hAnsi="Times New Roman"/>
          <w:bCs/>
          <w:i/>
          <w:iCs/>
        </w:rPr>
        <w:t xml:space="preserve"> diuretikai</w:t>
      </w:r>
    </w:p>
    <w:p w:rsidR="00E250E1" w:rsidRPr="002F4C6C" w:rsidRDefault="00E250E1">
      <w:pPr>
        <w:spacing w:after="0" w:line="240" w:lineRule="auto"/>
        <w:rPr>
          <w:rFonts w:ascii="Times New Roman" w:hAnsi="Times New Roman"/>
        </w:rPr>
      </w:pPr>
      <w:r w:rsidRPr="002F4C6C">
        <w:rPr>
          <w:rFonts w:ascii="Times New Roman" w:hAnsi="Times New Roman"/>
          <w:bCs/>
          <w:iCs/>
        </w:rPr>
        <w:t>Pradėjus gydymą AKF inhibitoriumi, gali pernelyg sumažėti diuretikus vartojančių pacientų, ypač tų, kurių organizme trūksta skysčių ir (arba) elektrolitų, kraujospūdis. Hipotenzinio poveikio riziką galima sumažinti, nutraukus diuretikų vartojimą, padidinus skysčių arba druskų suvartojimą prieš pradedant gydymą mažomis, polaipsniui didėjančiomis perindoprilio dozėmis.</w:t>
      </w:r>
    </w:p>
    <w:p w:rsidR="00E250E1" w:rsidRPr="002F4C6C" w:rsidRDefault="00E250E1" w:rsidP="00A93311">
      <w:pPr>
        <w:spacing w:after="0" w:line="240" w:lineRule="auto"/>
        <w:ind w:firstLine="567"/>
        <w:rPr>
          <w:rFonts w:ascii="Times New Roman" w:hAnsi="Times New Roman"/>
        </w:rPr>
      </w:pPr>
      <w:r w:rsidRPr="002F4C6C">
        <w:rPr>
          <w:rFonts w:ascii="Times New Roman" w:hAnsi="Times New Roman"/>
          <w:bCs/>
          <w:i/>
          <w:iCs/>
        </w:rPr>
        <w:t xml:space="preserve">Gydant arterine hipertenzija sergančius pacientus, </w:t>
      </w:r>
      <w:r w:rsidRPr="002F4C6C">
        <w:rPr>
          <w:rFonts w:ascii="Times New Roman" w:hAnsi="Times New Roman"/>
          <w:bCs/>
          <w:iCs/>
        </w:rPr>
        <w:t>tais atvejais, kai dėl ankstesnio gydymo diuretikais galėjo būti sumažėjęs elektrolių ar skysčių kiekis organizme, reikia arba nutraukti diuretikų vartojimą prieš pradedant vartoti AKF inhibitorius (šiuo atveju vėliau galima atnaujinti kalio organizme nesulaikančių diuretikų vartojimą), arba gydymo pradžioje vartoti mažą AKF inhibitoriaus dozę, vėliau ją polaipsniui padidinant.</w:t>
      </w:r>
    </w:p>
    <w:p w:rsidR="00E250E1" w:rsidRPr="002F4C6C" w:rsidRDefault="00E250E1" w:rsidP="00A93311">
      <w:pPr>
        <w:spacing w:after="0" w:line="240" w:lineRule="auto"/>
        <w:ind w:firstLine="567"/>
        <w:rPr>
          <w:rFonts w:ascii="Times New Roman" w:hAnsi="Times New Roman"/>
        </w:rPr>
      </w:pPr>
      <w:r w:rsidRPr="002F4C6C">
        <w:rPr>
          <w:rFonts w:ascii="Times New Roman" w:hAnsi="Times New Roman"/>
          <w:bCs/>
          <w:i/>
          <w:iCs/>
        </w:rPr>
        <w:t xml:space="preserve">Gydant diuretikais gydomus staziniu širdies nepakankamumu sergančius pacientus, </w:t>
      </w:r>
      <w:r w:rsidRPr="002F4C6C">
        <w:rPr>
          <w:rFonts w:ascii="Times New Roman" w:hAnsi="Times New Roman"/>
          <w:bCs/>
          <w:iCs/>
        </w:rPr>
        <w:t>gydymo pradžioje vartoti labai mažą AKF inhibitoriaus dozę, galimai po pirmesnio susijusio kalio organizme nesulaikančio diuretiko dozės sumažinimo.</w:t>
      </w:r>
    </w:p>
    <w:p w:rsidR="00E250E1" w:rsidRPr="002F4C6C" w:rsidRDefault="00E250E1">
      <w:pPr>
        <w:spacing w:after="0" w:line="240" w:lineRule="auto"/>
        <w:rPr>
          <w:rFonts w:ascii="Times New Roman" w:hAnsi="Times New Roman"/>
        </w:rPr>
      </w:pPr>
      <w:r w:rsidRPr="002F4C6C">
        <w:rPr>
          <w:rFonts w:ascii="Times New Roman" w:hAnsi="Times New Roman"/>
          <w:bCs/>
          <w:iCs/>
        </w:rPr>
        <w:t>Visais atvejais pirmąsias kelias gydymo AKF inhibitoriumi savaites reikia stebėti inkstų funkciją (matuoti kreatinino koncentracijas).</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Kalį organizme sulaikantys diuretikai (eplerenonas, spironolaktonas)</w:t>
      </w:r>
    </w:p>
    <w:p w:rsidR="00A93311" w:rsidRPr="002F4C6C" w:rsidRDefault="00E250E1">
      <w:pPr>
        <w:spacing w:after="0" w:line="240" w:lineRule="auto"/>
        <w:rPr>
          <w:rFonts w:ascii="Times New Roman" w:hAnsi="Times New Roman"/>
          <w:bCs/>
          <w:iCs/>
        </w:rPr>
      </w:pPr>
      <w:r w:rsidRPr="002F4C6C">
        <w:rPr>
          <w:rFonts w:ascii="Times New Roman" w:hAnsi="Times New Roman"/>
          <w:bCs/>
          <w:iCs/>
        </w:rPr>
        <w:t>Eplerenoną arba spironolaktoną nuo 12,5 mg iki 50 mg dozes vartojant su mažomis AKF inhibitorių dozėmis pacientams, kuriems yra diagnozuotas II-IV klasės širdies nepakankamumas (NYHA) ir išstūmimo frakcija mažesnė kaip 40</w:t>
      </w:r>
      <w:r w:rsidR="00A93311" w:rsidRPr="002F4C6C">
        <w:rPr>
          <w:rFonts w:ascii="Times New Roman" w:hAnsi="Times New Roman"/>
          <w:bCs/>
          <w:iCs/>
        </w:rPr>
        <w:t> </w:t>
      </w:r>
      <w:r w:rsidRPr="002F4C6C">
        <w:rPr>
          <w:rFonts w:ascii="Times New Roman" w:hAnsi="Times New Roman"/>
          <w:bCs/>
          <w:iCs/>
        </w:rPr>
        <w:t xml:space="preserve">%, pirmiau gydytiems AKF inhibitoriais ir kilpiniais diuretikais, kyla hiperkalemijos, kuri gali būti mirtina, rizika, ypač tuo atveju, kai nesilaikoma šio derinio skyrimo rekomendacijų. </w:t>
      </w:r>
    </w:p>
    <w:p w:rsidR="00E250E1" w:rsidRPr="002F4C6C" w:rsidRDefault="00E250E1">
      <w:pPr>
        <w:spacing w:after="0" w:line="240" w:lineRule="auto"/>
        <w:rPr>
          <w:rFonts w:ascii="Times New Roman" w:hAnsi="Times New Roman"/>
        </w:rPr>
      </w:pPr>
      <w:r w:rsidRPr="002F4C6C">
        <w:rPr>
          <w:rFonts w:ascii="Times New Roman" w:hAnsi="Times New Roman"/>
          <w:bCs/>
          <w:iCs/>
        </w:rPr>
        <w:t>Prieš pradedant gydymą tokiu deriniu, reikia įsitikinti, kad nėra hiperkalemijos ir inkstų funkcijos sutrikimo. Iš pradžių (pirmąjį gydymo mėnesį) rekomenduojama atidžiai matuoti kalio ir kreatinino koncentracijas kraujyje vieną kartą per savaitę, o vėliau matuoti jas kas mėnesį.</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iCs/>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Nesteroidiniai vaistiniai preparatai nuo uždegimo (NV</w:t>
      </w:r>
      <w:r w:rsidR="008863F4" w:rsidRPr="002F4C6C">
        <w:rPr>
          <w:rFonts w:ascii="Times New Roman" w:hAnsi="Times New Roman"/>
          <w:bCs/>
          <w:i/>
          <w:iCs/>
        </w:rPr>
        <w:t>P</w:t>
      </w:r>
      <w:r w:rsidRPr="002F4C6C">
        <w:rPr>
          <w:rFonts w:ascii="Times New Roman" w:hAnsi="Times New Roman"/>
          <w:bCs/>
          <w:i/>
          <w:iCs/>
        </w:rPr>
        <w:t xml:space="preserve">NU), įskaitant </w:t>
      </w:r>
      <w:r w:rsidR="00AE1C2E">
        <w:rPr>
          <w:rFonts w:ascii="Times New Roman" w:hAnsi="Times New Roman"/>
          <w:bCs/>
          <w:i/>
          <w:iCs/>
        </w:rPr>
        <w:t>a</w:t>
      </w:r>
      <w:r w:rsidR="00AE1C2E" w:rsidRPr="00AE1C2E">
        <w:rPr>
          <w:rFonts w:ascii="Times New Roman" w:hAnsi="Times New Roman"/>
          <w:bCs/>
          <w:i/>
          <w:iCs/>
        </w:rPr>
        <w:t>cetilsalicilo rūgšt</w:t>
      </w:r>
      <w:r w:rsidR="00AE1C2E">
        <w:rPr>
          <w:rFonts w:ascii="Times New Roman" w:hAnsi="Times New Roman"/>
          <w:bCs/>
          <w:i/>
          <w:iCs/>
        </w:rPr>
        <w:t>į</w:t>
      </w:r>
      <w:r w:rsidR="00AE1C2E" w:rsidRPr="00AE1C2E" w:rsidDel="00AE1C2E">
        <w:rPr>
          <w:rFonts w:ascii="Times New Roman" w:hAnsi="Times New Roman"/>
          <w:bCs/>
          <w:i/>
          <w:iCs/>
        </w:rPr>
        <w:t xml:space="preserve"> </w:t>
      </w:r>
      <w:r w:rsidR="00AE1C2E" w:rsidRPr="00AE1C2E">
        <w:rPr>
          <w:rFonts w:ascii="Times New Roman" w:eastAsia="Symbol" w:hAnsi="Times New Roman"/>
          <w:bCs/>
          <w:i/>
          <w:iCs/>
        </w:rPr>
        <w:t xml:space="preserve">≥ </w:t>
      </w:r>
      <w:r w:rsidRPr="002F4C6C">
        <w:rPr>
          <w:rFonts w:ascii="Times New Roman" w:hAnsi="Times New Roman"/>
          <w:bCs/>
          <w:i/>
          <w:iCs/>
        </w:rPr>
        <w:t>3 g per parą</w:t>
      </w:r>
    </w:p>
    <w:p w:rsidR="00E250E1" w:rsidRPr="002F4C6C" w:rsidRDefault="00E250E1">
      <w:pPr>
        <w:spacing w:after="0" w:line="240" w:lineRule="auto"/>
        <w:rPr>
          <w:rFonts w:ascii="Times New Roman" w:hAnsi="Times New Roman"/>
        </w:rPr>
      </w:pPr>
      <w:r w:rsidRPr="002F4C6C">
        <w:rPr>
          <w:rFonts w:ascii="Times New Roman" w:hAnsi="Times New Roman"/>
        </w:rPr>
        <w:t>AKF inhibitorius vartojant kartu su nesteroidiniais vaistiniais preparatais nuo uždegimo (acetilsalicilo rūgšties dozėmis nuo uždegimo, COX-2 inhibitoriais ir neselektyviais NV</w:t>
      </w:r>
      <w:r w:rsidR="008863F4" w:rsidRPr="002F4C6C">
        <w:rPr>
          <w:rFonts w:ascii="Times New Roman" w:hAnsi="Times New Roman"/>
        </w:rPr>
        <w:t>P</w:t>
      </w:r>
      <w:r w:rsidRPr="002F4C6C">
        <w:rPr>
          <w:rFonts w:ascii="Times New Roman" w:hAnsi="Times New Roman"/>
        </w:rPr>
        <w:t>NU), gali sumažėti jų kraujospūdį mažinantis poveikis. Kartu vartojant AKF inhibitorius ir NV</w:t>
      </w:r>
      <w:r w:rsidR="008863F4" w:rsidRPr="002F4C6C">
        <w:rPr>
          <w:rFonts w:ascii="Times New Roman" w:hAnsi="Times New Roman"/>
        </w:rPr>
        <w:t>P</w:t>
      </w:r>
      <w:r w:rsidRPr="002F4C6C">
        <w:rPr>
          <w:rFonts w:ascii="Times New Roman" w:hAnsi="Times New Roman"/>
        </w:rPr>
        <w:t xml:space="preserve">NU gali padidėti inkstų funkcijos pablogėjimo rizika, įskaitant ūminio inkstų nepakankamumo galimybę, ir padidėti kalio </w:t>
      </w:r>
      <w:r w:rsidR="008863F4" w:rsidRPr="002F4C6C">
        <w:rPr>
          <w:rFonts w:ascii="Times New Roman" w:hAnsi="Times New Roman"/>
        </w:rPr>
        <w:t>koncentracija</w:t>
      </w:r>
      <w:r w:rsidRPr="002F4C6C">
        <w:rPr>
          <w:rFonts w:ascii="Times New Roman" w:hAnsi="Times New Roman"/>
        </w:rPr>
        <w:t xml:space="preserve">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Cs/>
          <w:i/>
          <w:iCs/>
          <w:u w:val="single"/>
        </w:rPr>
        <w:t>Vartojant kartu, reikia imtis tam tikrų atsargumo priemonių</w:t>
      </w:r>
    </w:p>
    <w:p w:rsidR="00E250E1" w:rsidRPr="002F4C6C" w:rsidRDefault="00E250E1">
      <w:pPr>
        <w:spacing w:after="0" w:line="240" w:lineRule="auto"/>
        <w:rPr>
          <w:rFonts w:ascii="Times New Roman" w:hAnsi="Times New Roman"/>
          <w:bCs/>
          <w:i/>
          <w:iCs/>
          <w:u w:val="single"/>
        </w:rPr>
      </w:pPr>
    </w:p>
    <w:p w:rsidR="00E250E1" w:rsidRPr="002F4C6C" w:rsidRDefault="00E250E1">
      <w:pPr>
        <w:keepNext/>
        <w:spacing w:after="0" w:line="240" w:lineRule="auto"/>
        <w:rPr>
          <w:rFonts w:ascii="Times New Roman" w:hAnsi="Times New Roman"/>
        </w:rPr>
      </w:pPr>
      <w:r w:rsidRPr="002F4C6C">
        <w:rPr>
          <w:rFonts w:ascii="Times New Roman" w:hAnsi="Times New Roman"/>
          <w:bCs/>
          <w:i/>
          <w:iCs/>
        </w:rPr>
        <w:t>Simpatomimetikai</w:t>
      </w:r>
    </w:p>
    <w:p w:rsidR="00E250E1" w:rsidRPr="002F4C6C" w:rsidRDefault="00E250E1">
      <w:pPr>
        <w:spacing w:after="0" w:line="240" w:lineRule="auto"/>
        <w:rPr>
          <w:rFonts w:ascii="Times New Roman" w:hAnsi="Times New Roman"/>
        </w:rPr>
      </w:pPr>
      <w:r w:rsidRPr="002F4C6C">
        <w:rPr>
          <w:rFonts w:ascii="Times New Roman" w:hAnsi="Times New Roman"/>
        </w:rPr>
        <w:t>Simpatomimetikai gali susilpninti antihipertenzinį AKF inhibitorių poveikį.</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 xml:space="preserve">Aukso </w:t>
      </w:r>
      <w:r w:rsidR="008863F4" w:rsidRPr="002F4C6C">
        <w:rPr>
          <w:rFonts w:ascii="Times New Roman" w:hAnsi="Times New Roman"/>
          <w:i/>
        </w:rPr>
        <w:t xml:space="preserve">vaistiniai </w:t>
      </w:r>
      <w:r w:rsidRPr="002F4C6C">
        <w:rPr>
          <w:rFonts w:ascii="Times New Roman" w:hAnsi="Times New Roman"/>
          <w:i/>
        </w:rPr>
        <w:t>preparatai</w:t>
      </w:r>
    </w:p>
    <w:p w:rsidR="00E250E1" w:rsidRPr="002F4C6C" w:rsidRDefault="00E250E1">
      <w:pPr>
        <w:spacing w:after="0" w:line="240" w:lineRule="auto"/>
        <w:rPr>
          <w:rFonts w:ascii="Times New Roman" w:hAnsi="Times New Roman"/>
        </w:rPr>
      </w:pPr>
      <w:r w:rsidRPr="002F4C6C">
        <w:rPr>
          <w:rFonts w:ascii="Times New Roman" w:hAnsi="Times New Roman"/>
        </w:rPr>
        <w:t xml:space="preserve">Pacientams, kurie gydomi injekciniais aukso </w:t>
      </w:r>
      <w:r w:rsidR="008863F4" w:rsidRPr="002F4C6C">
        <w:rPr>
          <w:rFonts w:ascii="Times New Roman" w:hAnsi="Times New Roman"/>
        </w:rPr>
        <w:t xml:space="preserve">vaistiniais </w:t>
      </w:r>
      <w:r w:rsidRPr="002F4C6C">
        <w:rPr>
          <w:rFonts w:ascii="Times New Roman" w:hAnsi="Times New Roman"/>
        </w:rPr>
        <w:t xml:space="preserve">preparatais (natrio aurotiomalatu) ir kartu vartoja AKF inhibitorius, įskaitant perindoprilį, retais atvejais pasireiškia vazomotorinės reakcijos (simptomai: veido paraudimas, pykinimas, vėmimas ir hipotenzija). </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Cs/>
          <w:u w:val="single"/>
        </w:rPr>
        <w:t>Susijusi su amlodipinu</w:t>
      </w:r>
      <w:r w:rsidRPr="002F4C6C">
        <w:rPr>
          <w:rFonts w:ascii="Times New Roman" w:hAnsi="Times New Roman"/>
        </w:rPr>
        <w:t xml:space="preserve"> </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Kartu vartoti nerekomenduojama</w:t>
      </w:r>
    </w:p>
    <w:p w:rsidR="005D3ACE" w:rsidRPr="002F4C6C" w:rsidRDefault="005D3ACE">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rPr>
        <w:t>Dantrolenas (infuzija)</w:t>
      </w:r>
    </w:p>
    <w:p w:rsidR="00E250E1" w:rsidRPr="002F4C6C" w:rsidRDefault="00E250E1">
      <w:pPr>
        <w:spacing w:after="0" w:line="240" w:lineRule="auto"/>
        <w:rPr>
          <w:rFonts w:ascii="Times New Roman" w:hAnsi="Times New Roman"/>
        </w:rPr>
      </w:pPr>
      <w:r w:rsidRPr="002F4C6C">
        <w:rPr>
          <w:rFonts w:ascii="Times New Roman" w:hAnsi="Times New Roman"/>
        </w:rPr>
        <w:t>Gyvūnams buvo stebima</w:t>
      </w:r>
      <w:r w:rsidR="008863F4" w:rsidRPr="002F4C6C">
        <w:rPr>
          <w:rFonts w:ascii="Times New Roman" w:hAnsi="Times New Roman"/>
        </w:rPr>
        <w:t>s</w:t>
      </w:r>
      <w:r w:rsidRPr="002F4C6C">
        <w:rPr>
          <w:rFonts w:ascii="Times New Roman" w:hAnsi="Times New Roman"/>
        </w:rPr>
        <w:t xml:space="preserve"> mirtina</w:t>
      </w:r>
      <w:r w:rsidR="008863F4" w:rsidRPr="002F4C6C">
        <w:rPr>
          <w:rFonts w:ascii="Times New Roman" w:hAnsi="Times New Roman"/>
        </w:rPr>
        <w:t>s</w:t>
      </w:r>
      <w:r w:rsidRPr="002F4C6C">
        <w:rPr>
          <w:rFonts w:ascii="Times New Roman" w:hAnsi="Times New Roman"/>
        </w:rPr>
        <w:t xml:space="preserve"> skilveli</w:t>
      </w:r>
      <w:r w:rsidR="008863F4" w:rsidRPr="002F4C6C">
        <w:rPr>
          <w:rFonts w:ascii="Times New Roman" w:hAnsi="Times New Roman"/>
        </w:rPr>
        <w:t>ų</w:t>
      </w:r>
      <w:r w:rsidRPr="002F4C6C">
        <w:rPr>
          <w:rFonts w:ascii="Times New Roman" w:hAnsi="Times New Roman"/>
        </w:rPr>
        <w:t xml:space="preserve"> </w:t>
      </w:r>
      <w:r w:rsidR="008863F4" w:rsidRPr="002F4C6C">
        <w:rPr>
          <w:rFonts w:ascii="Times New Roman" w:hAnsi="Times New Roman"/>
        </w:rPr>
        <w:t>virpėjimas</w:t>
      </w:r>
      <w:r w:rsidRPr="002F4C6C">
        <w:rPr>
          <w:rFonts w:ascii="Times New Roman" w:hAnsi="Times New Roman"/>
        </w:rPr>
        <w:t xml:space="preserve"> ir širdies ir kraujagyslių kolapsas, susijęs su hiperkalemija po verapamilio ir intraveninio dantroleno skyrimo. Dėl hiperkalemijos rizikos rekomenduojama vengti kartu skirti kalcio kanalų blokatorius, tokius kaip amlodipinas, pacientams, kuriems yra įtariama piktybinė hipertermija, bei piktybinės hipertermijos gydymo metu.</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Kartu vartojant būtina ypatinga priežiūra</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rPr>
        <w:t>CYP3A4 induktoriai</w:t>
      </w:r>
    </w:p>
    <w:p w:rsidR="00E250E1" w:rsidRPr="002F4C6C" w:rsidRDefault="00E250E1">
      <w:pPr>
        <w:spacing w:after="0" w:line="240" w:lineRule="auto"/>
        <w:rPr>
          <w:rFonts w:ascii="Times New Roman" w:hAnsi="Times New Roman"/>
        </w:rPr>
      </w:pPr>
      <w:r w:rsidRPr="002F4C6C">
        <w:rPr>
          <w:rFonts w:ascii="Times New Roman" w:hAnsi="Times New Roman"/>
          <w:lang w:eastAsia="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w:t>
      </w:r>
      <w:r w:rsidR="008863F4" w:rsidRPr="002F4C6C">
        <w:rPr>
          <w:rFonts w:ascii="Times New Roman" w:hAnsi="Times New Roman"/>
          <w:lang w:eastAsia="lt-LT"/>
        </w:rPr>
        <w:t>osios</w:t>
      </w:r>
      <w:r w:rsidRPr="002F4C6C">
        <w:rPr>
          <w:rFonts w:ascii="Times New Roman" w:hAnsi="Times New Roman"/>
          <w:lang w:eastAsia="lt-LT"/>
        </w:rPr>
        <w:t xml:space="preserve"> jonažol</w:t>
      </w:r>
      <w:r w:rsidR="008863F4" w:rsidRPr="002F4C6C">
        <w:rPr>
          <w:rFonts w:ascii="Times New Roman" w:hAnsi="Times New Roman"/>
          <w:lang w:eastAsia="lt-LT"/>
        </w:rPr>
        <w:t>ės</w:t>
      </w:r>
      <w:r w:rsidRPr="002F4C6C">
        <w:rPr>
          <w:rFonts w:ascii="Times New Roman" w:hAnsi="Times New Roman"/>
          <w:lang w:eastAsia="lt-LT"/>
        </w:rPr>
        <w:t xml:space="preserve"> </w:t>
      </w:r>
      <w:r w:rsidRPr="002F4C6C">
        <w:rPr>
          <w:rFonts w:ascii="Times New Roman" w:hAnsi="Times New Roman"/>
          <w:i/>
          <w:lang w:eastAsia="lt-LT"/>
        </w:rPr>
        <w:t>[Hypericum perforatum]</w:t>
      </w:r>
      <w:r w:rsidRPr="002F4C6C">
        <w:rPr>
          <w:rFonts w:ascii="Times New Roman" w:hAnsi="Times New Roman"/>
          <w:iCs/>
          <w:lang w:eastAsia="lt-LT"/>
        </w:rPr>
        <w:t xml:space="preserve"> </w:t>
      </w:r>
      <w:r w:rsidR="008863F4" w:rsidRPr="002F4C6C">
        <w:rPr>
          <w:rFonts w:ascii="Times New Roman" w:hAnsi="Times New Roman"/>
          <w:iCs/>
          <w:lang w:eastAsia="lt-LT"/>
        </w:rPr>
        <w:t>vaistinių</w:t>
      </w:r>
      <w:r w:rsidR="008863F4" w:rsidRPr="002F4C6C">
        <w:rPr>
          <w:rFonts w:ascii="Times New Roman" w:hAnsi="Times New Roman"/>
          <w:i/>
          <w:lang w:eastAsia="lt-LT"/>
        </w:rPr>
        <w:t xml:space="preserve"> </w:t>
      </w:r>
      <w:r w:rsidRPr="002F4C6C">
        <w:rPr>
          <w:rFonts w:ascii="Times New Roman" w:hAnsi="Times New Roman"/>
          <w:lang w:eastAsia="lt-LT"/>
        </w:rPr>
        <w:t>preparatų).</w:t>
      </w:r>
    </w:p>
    <w:p w:rsidR="00E250E1" w:rsidRPr="002F4C6C" w:rsidRDefault="00E250E1">
      <w:pPr>
        <w:spacing w:after="0" w:line="240" w:lineRule="auto"/>
        <w:rPr>
          <w:rFonts w:ascii="Times New Roman" w:hAnsi="Times New Roman"/>
          <w:lang w:eastAsia="lt-LT"/>
        </w:rPr>
      </w:pPr>
    </w:p>
    <w:p w:rsidR="00E250E1" w:rsidRPr="002F4C6C" w:rsidRDefault="00E250E1">
      <w:pPr>
        <w:spacing w:after="0" w:line="240" w:lineRule="auto"/>
        <w:rPr>
          <w:rFonts w:ascii="Times New Roman" w:hAnsi="Times New Roman"/>
        </w:rPr>
      </w:pPr>
      <w:r w:rsidRPr="002F4C6C">
        <w:rPr>
          <w:rFonts w:ascii="Times New Roman" w:hAnsi="Times New Roman"/>
          <w:i/>
          <w:iCs/>
        </w:rPr>
        <w:t>CYP3A4 inhibitoriai</w:t>
      </w:r>
    </w:p>
    <w:p w:rsidR="00E250E1" w:rsidRPr="002F4C6C" w:rsidRDefault="00E250E1">
      <w:pPr>
        <w:spacing w:after="0" w:line="240" w:lineRule="auto"/>
        <w:rPr>
          <w:rFonts w:ascii="Times New Roman" w:hAnsi="Times New Roman"/>
        </w:rPr>
      </w:pPr>
      <w:r w:rsidRPr="002F4C6C">
        <w:rPr>
          <w:rFonts w:ascii="Times New Roman" w:hAnsi="Times New Roman"/>
        </w:rPr>
        <w:t>Amlodipino vartojimas kartu su stipriais arba vidutinio stiprumo CYP3A4 inhibitoriais (proteazės inhibitoriais, azolo priešgrybeliniais vaist</w:t>
      </w:r>
      <w:r w:rsidR="003309D0" w:rsidRPr="002F4C6C">
        <w:rPr>
          <w:rFonts w:ascii="Times New Roman" w:hAnsi="Times New Roman"/>
        </w:rPr>
        <w:t>ini</w:t>
      </w:r>
      <w:r w:rsidRPr="002F4C6C">
        <w:rPr>
          <w:rFonts w:ascii="Times New Roman" w:hAnsi="Times New Roman"/>
        </w:rPr>
        <w:t>ais</w:t>
      </w:r>
      <w:r w:rsidR="003309D0" w:rsidRPr="002F4C6C">
        <w:rPr>
          <w:rFonts w:ascii="Times New Roman" w:hAnsi="Times New Roman"/>
        </w:rPr>
        <w:t xml:space="preserve"> preparatais</w:t>
      </w:r>
      <w:r w:rsidRPr="002F4C6C">
        <w:rPr>
          <w:rFonts w:ascii="Times New Roman" w:hAnsi="Times New Roman"/>
        </w:rPr>
        <w:t xml:space="preserve">, makrolidais, tokiais kaip ertitromicinas ar klaritromicinas, verapamilis arba diltiazemas) gali reikšmingai padidinti amlodipino poveikį. Šių farmakokinetinių variacijų klinikinė išraiška labiau būdinga </w:t>
      </w:r>
      <w:r w:rsidR="003309D0" w:rsidRPr="002F4C6C">
        <w:rPr>
          <w:rFonts w:ascii="Times New Roman" w:hAnsi="Times New Roman"/>
        </w:rPr>
        <w:t>senyviems</w:t>
      </w:r>
      <w:r w:rsidRPr="002F4C6C">
        <w:rPr>
          <w:rFonts w:ascii="Times New Roman" w:hAnsi="Times New Roman"/>
        </w:rPr>
        <w:t xml:space="preserve"> pacientams. Pacientus reikia kliniškai stebėti bei atitinkamai pritaikyti dozę.</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Padidėja hipotenzijos rizika pacientams, vartojantiems klaritromiciną kartu su amlodipinu. Rekomenduojama atidžiai stebėti pacientus amlodipino vartojimo kartu su klaritromicinu metu.</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u w:val="single"/>
        </w:rPr>
        <w:t>Kartu vartojant būtina atsižvelgti</w:t>
      </w:r>
    </w:p>
    <w:p w:rsidR="005D3ACE" w:rsidRPr="002F4C6C" w:rsidRDefault="005D3ACE">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Amlodipino kraujo spaudimą mažinantis poveikis stiprina kitų vaist</w:t>
      </w:r>
      <w:r w:rsidR="003309D0" w:rsidRPr="002F4C6C">
        <w:rPr>
          <w:rFonts w:ascii="Times New Roman" w:hAnsi="Times New Roman"/>
        </w:rPr>
        <w:t>ini</w:t>
      </w:r>
      <w:r w:rsidRPr="002F4C6C">
        <w:rPr>
          <w:rFonts w:ascii="Times New Roman" w:hAnsi="Times New Roman"/>
        </w:rPr>
        <w:t>ų</w:t>
      </w:r>
      <w:r w:rsidR="003309D0" w:rsidRPr="002F4C6C">
        <w:rPr>
          <w:rFonts w:ascii="Times New Roman" w:hAnsi="Times New Roman"/>
        </w:rPr>
        <w:t xml:space="preserve"> preparatų</w:t>
      </w:r>
      <w:r w:rsidRPr="002F4C6C">
        <w:rPr>
          <w:rFonts w:ascii="Times New Roman" w:hAnsi="Times New Roman"/>
        </w:rPr>
        <w:t>, turinčių antihipertenzinių savybių, kraujo spaudimą mažinantį poveikį.</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Takrolimuzas</w:t>
      </w:r>
    </w:p>
    <w:p w:rsidR="00E250E1" w:rsidRPr="002F4C6C" w:rsidRDefault="00E250E1">
      <w:pPr>
        <w:spacing w:after="0" w:line="240" w:lineRule="auto"/>
        <w:rPr>
          <w:rFonts w:ascii="Times New Roman" w:hAnsi="Times New Roman"/>
        </w:rPr>
      </w:pPr>
      <w:r w:rsidRPr="002F4C6C">
        <w:rPr>
          <w:rFonts w:ascii="Times New Roman" w:hAnsi="Times New Roman"/>
        </w:rPr>
        <w:t>Kyla kartu su amlodipinu vartojamo takrolimuzo koncentracijų kraujyje padidėjimo rizika. Norint išvengti takrolimuzo toksinio poveikio, takrolimuzu gydomiems pacientams, vartojantiems amlodipiną, reikia matuoti takrolimuzo koncentracijas kraujyje ir, jeigu reikia, keisti takrolimuzo dozę.</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 xml:space="preserve">Rapamicino </w:t>
      </w:r>
      <w:r w:rsidR="003309D0" w:rsidRPr="002F4C6C">
        <w:rPr>
          <w:rFonts w:ascii="Times New Roman" w:hAnsi="Times New Roman"/>
          <w:i/>
        </w:rPr>
        <w:t xml:space="preserve">mechanistinio </w:t>
      </w:r>
      <w:r w:rsidRPr="002F4C6C">
        <w:rPr>
          <w:rFonts w:ascii="Times New Roman" w:hAnsi="Times New Roman"/>
          <w:i/>
        </w:rPr>
        <w:t>taikinio (mTOR) inhibitoriai</w:t>
      </w:r>
    </w:p>
    <w:p w:rsidR="00E250E1" w:rsidRPr="002F4C6C" w:rsidRDefault="00E250E1">
      <w:pPr>
        <w:spacing w:after="0" w:line="240" w:lineRule="auto"/>
        <w:rPr>
          <w:rFonts w:ascii="Times New Roman" w:hAnsi="Times New Roman"/>
        </w:rPr>
      </w:pPr>
      <w:r w:rsidRPr="002F4C6C">
        <w:rPr>
          <w:rFonts w:ascii="Times New Roman" w:hAnsi="Times New Roman"/>
        </w:rPr>
        <w:t xml:space="preserve">mTOR inhibitoriai, tokie kaip sirolimuzas, temsirolimuzas ir everolimuzas yra CYP3A substratai. Amlodipinas yra silpnas CYP3A inhibitorius. Amlodipinas, vartojamas kartu su mTOR inhibitoriais, gali padidinti mTOR inhibitorių koncentraciją.  </w:t>
      </w:r>
    </w:p>
    <w:p w:rsidR="00E250E1" w:rsidRPr="002F4C6C" w:rsidRDefault="00E250E1">
      <w:pPr>
        <w:spacing w:after="0" w:line="240" w:lineRule="auto"/>
        <w:rPr>
          <w:rFonts w:ascii="Times New Roman" w:hAnsi="Times New Roman"/>
          <w:i/>
          <w:u w:val="single"/>
        </w:rPr>
      </w:pPr>
    </w:p>
    <w:p w:rsidR="00E250E1" w:rsidRPr="002F4C6C" w:rsidRDefault="00E250E1">
      <w:pPr>
        <w:spacing w:after="0" w:line="240" w:lineRule="auto"/>
        <w:rPr>
          <w:rFonts w:ascii="Times New Roman" w:hAnsi="Times New Roman"/>
        </w:rPr>
      </w:pPr>
      <w:r w:rsidRPr="002F4C6C">
        <w:rPr>
          <w:rFonts w:ascii="Times New Roman" w:hAnsi="Times New Roman"/>
          <w:i/>
        </w:rPr>
        <w:t>Ciklosporinas</w:t>
      </w:r>
    </w:p>
    <w:p w:rsidR="00E250E1" w:rsidRPr="002F4C6C" w:rsidRDefault="00E250E1">
      <w:pPr>
        <w:spacing w:after="0" w:line="240" w:lineRule="auto"/>
        <w:rPr>
          <w:rFonts w:ascii="Times New Roman" w:hAnsi="Times New Roman"/>
        </w:rPr>
      </w:pPr>
      <w:r w:rsidRPr="002F4C6C">
        <w:rPr>
          <w:rFonts w:ascii="Times New Roman" w:hAnsi="Times New Roman"/>
        </w:rPr>
        <w:t>Ciklosporino ir amlodipino sąveikos tyrimų su sveikais savanoriais ar kitomis populiacijomis neatlikta, išskyrus pacientus po inkstų persodinimo, kuriems buvo išmatuotos didesnės mažiausiosios ciklosporino koncentracijos (vidutiniškai 0</w:t>
      </w:r>
      <w:r w:rsidR="005D3ACE" w:rsidRPr="002F4C6C">
        <w:rPr>
          <w:rFonts w:ascii="Times New Roman" w:hAnsi="Times New Roman"/>
        </w:rPr>
        <w:t> </w:t>
      </w:r>
      <w:r w:rsidRPr="002F4C6C">
        <w:rPr>
          <w:rFonts w:ascii="Times New Roman" w:hAnsi="Times New Roman"/>
        </w:rPr>
        <w:t xml:space="preserve">% </w:t>
      </w:r>
      <w:r w:rsidRPr="002F4C6C">
        <w:rPr>
          <w:rFonts w:ascii="Times New Roman" w:hAnsi="Times New Roman"/>
        </w:rPr>
        <w:noBreakHyphen/>
        <w:t xml:space="preserve"> 40</w:t>
      </w:r>
      <w:r w:rsidR="005D3ACE" w:rsidRPr="002F4C6C">
        <w:rPr>
          <w:rFonts w:ascii="Times New Roman" w:hAnsi="Times New Roman"/>
        </w:rPr>
        <w:t> </w:t>
      </w:r>
      <w:r w:rsidRPr="002F4C6C">
        <w:rPr>
          <w:rFonts w:ascii="Times New Roman" w:hAnsi="Times New Roman"/>
        </w:rPr>
        <w:t>%). Pacientams, kuriems buvo persodinti inkstai, vartojantiems amlodipiną, reikia apgalvotai matuoti ciklosporino koncentracijas ir, prireikus, mažinti ciklosporino dozę.</w:t>
      </w:r>
    </w:p>
    <w:p w:rsidR="00E250E1" w:rsidRPr="002F4C6C" w:rsidRDefault="00E250E1">
      <w:pPr>
        <w:spacing w:after="0" w:line="240" w:lineRule="auto"/>
        <w:rPr>
          <w:rFonts w:ascii="Times New Roman" w:hAnsi="Times New Roman"/>
        </w:rPr>
      </w:pPr>
    </w:p>
    <w:p w:rsidR="00E250E1" w:rsidRPr="002F4C6C" w:rsidRDefault="00E250E1">
      <w:pPr>
        <w:keepNext/>
        <w:spacing w:after="0" w:line="240" w:lineRule="auto"/>
        <w:rPr>
          <w:rFonts w:ascii="Times New Roman" w:hAnsi="Times New Roman"/>
        </w:rPr>
      </w:pPr>
      <w:r w:rsidRPr="002F4C6C">
        <w:rPr>
          <w:rFonts w:ascii="Times New Roman" w:hAnsi="Times New Roman"/>
          <w:i/>
        </w:rPr>
        <w:t>Simvastatinas</w:t>
      </w:r>
    </w:p>
    <w:p w:rsidR="00E250E1" w:rsidRPr="002F4C6C" w:rsidRDefault="00E250E1">
      <w:pPr>
        <w:spacing w:after="0" w:line="240" w:lineRule="auto"/>
        <w:rPr>
          <w:rFonts w:ascii="Times New Roman" w:hAnsi="Times New Roman"/>
        </w:rPr>
      </w:pPr>
      <w:r w:rsidRPr="002F4C6C">
        <w:rPr>
          <w:rFonts w:ascii="Times New Roman" w:hAnsi="Times New Roman"/>
        </w:rPr>
        <w:t>Vartojant kartotines 10 mg amlodipino dozes kartu su 80 mg simvastatino doze, 77</w:t>
      </w:r>
      <w:r w:rsidR="005D3ACE" w:rsidRPr="002F4C6C">
        <w:rPr>
          <w:rFonts w:ascii="Times New Roman" w:hAnsi="Times New Roman"/>
        </w:rPr>
        <w:t> </w:t>
      </w:r>
      <w:r w:rsidRPr="002F4C6C">
        <w:rPr>
          <w:rFonts w:ascii="Times New Roman" w:hAnsi="Times New Roman"/>
        </w:rPr>
        <w:t>% padidėjo simvastatino ekspozicija, palyginti su vieno simvastatino vartojimu. Pacientams, vartojantiems amlodipiną, reikia vartoti ne didesnę kaip 20 mg simvastatino dozę.</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u w:val="single"/>
        </w:rPr>
        <w:t>Kiti deriniai</w:t>
      </w:r>
    </w:p>
    <w:p w:rsidR="00E250E1" w:rsidRPr="002F4C6C" w:rsidRDefault="00E250E1">
      <w:pPr>
        <w:spacing w:after="0" w:line="240" w:lineRule="auto"/>
        <w:rPr>
          <w:rFonts w:ascii="Times New Roman" w:hAnsi="Times New Roman"/>
          <w:i/>
        </w:rPr>
      </w:pPr>
    </w:p>
    <w:p w:rsidR="00E250E1" w:rsidRPr="002F4C6C" w:rsidRDefault="00E250E1">
      <w:pPr>
        <w:spacing w:after="0" w:line="240" w:lineRule="auto"/>
        <w:rPr>
          <w:rFonts w:ascii="Times New Roman" w:hAnsi="Times New Roman"/>
        </w:rPr>
      </w:pPr>
      <w:r w:rsidRPr="002F4C6C">
        <w:rPr>
          <w:rFonts w:ascii="Times New Roman" w:hAnsi="Times New Roman"/>
        </w:rPr>
        <w:t>Klinikinės sąveikos tyrimuose amlodipinas neveikė ato</w:t>
      </w:r>
      <w:r w:rsidR="003309D0" w:rsidRPr="002F4C6C">
        <w:rPr>
          <w:rFonts w:ascii="Times New Roman" w:hAnsi="Times New Roman"/>
        </w:rPr>
        <w:t>r</w:t>
      </w:r>
      <w:r w:rsidRPr="002F4C6C">
        <w:rPr>
          <w:rFonts w:ascii="Times New Roman" w:hAnsi="Times New Roman"/>
        </w:rPr>
        <w:t>vastatino, digoksino ar varfarino farmakokinetikos.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Amlodipiną vartoti kartu su greipfrutais ar greipfrutų sultimis nerekomenduojama, nes kai kuriems pacientams dėl to gali padidėti biologinis prieinamumas, dėl kurio gali padidėti kraujo spaudimą mažinantis poveikis.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Dėl perindoprilio ir amlodipino derinio</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Vartojant kartu, būtina imtis specialių atsargumo priemonių</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bCs/>
          <w:i/>
        </w:rPr>
        <w:t>Baklofenas</w:t>
      </w:r>
    </w:p>
    <w:p w:rsidR="00E250E1" w:rsidRPr="002F4C6C" w:rsidRDefault="00E250E1">
      <w:pPr>
        <w:spacing w:after="0" w:line="240" w:lineRule="auto"/>
        <w:rPr>
          <w:rFonts w:ascii="Times New Roman" w:hAnsi="Times New Roman"/>
        </w:rPr>
      </w:pPr>
      <w:r w:rsidRPr="002F4C6C">
        <w:rPr>
          <w:rFonts w:ascii="Times New Roman" w:hAnsi="Times New Roman"/>
          <w:bCs/>
        </w:rPr>
        <w:t>Antihipertenzinio poveikio sustiprėjimas. Matuoti kraujospūdį ir, jei reikia, parinkti tinkamą antihipertenzinio vaistinio preparato dozę.</w:t>
      </w:r>
    </w:p>
    <w:p w:rsidR="00E250E1" w:rsidRPr="002F4C6C" w:rsidRDefault="00E250E1">
      <w:pPr>
        <w:spacing w:after="0" w:line="240" w:lineRule="auto"/>
        <w:rPr>
          <w:rFonts w:ascii="Times New Roman" w:hAnsi="Times New Roman"/>
          <w:bCs/>
        </w:rPr>
      </w:pPr>
    </w:p>
    <w:p w:rsidR="00E250E1" w:rsidRPr="002F4C6C" w:rsidRDefault="00E250E1">
      <w:pPr>
        <w:spacing w:after="0" w:line="240" w:lineRule="auto"/>
        <w:rPr>
          <w:rFonts w:ascii="Times New Roman" w:hAnsi="Times New Roman"/>
        </w:rPr>
      </w:pPr>
      <w:r w:rsidRPr="002F4C6C">
        <w:rPr>
          <w:rFonts w:ascii="Times New Roman" w:hAnsi="Times New Roman"/>
          <w:i/>
          <w:u w:val="single"/>
        </w:rPr>
        <w:t>Kartu vartojant būtina atsižvelgti</w:t>
      </w:r>
    </w:p>
    <w:p w:rsidR="00E250E1" w:rsidRPr="002F4C6C" w:rsidRDefault="00E250E1">
      <w:pPr>
        <w:spacing w:after="0" w:line="240" w:lineRule="auto"/>
        <w:rPr>
          <w:rFonts w:ascii="Times New Roman" w:hAnsi="Times New Roman"/>
          <w:i/>
        </w:rPr>
      </w:pPr>
    </w:p>
    <w:p w:rsidR="00E250E1" w:rsidRPr="002F4C6C" w:rsidRDefault="00E250E1">
      <w:pPr>
        <w:spacing w:after="0" w:line="240" w:lineRule="auto"/>
        <w:rPr>
          <w:rFonts w:ascii="Times New Roman" w:hAnsi="Times New Roman"/>
        </w:rPr>
      </w:pPr>
      <w:r w:rsidRPr="002F4C6C">
        <w:rPr>
          <w:rFonts w:ascii="Times New Roman" w:hAnsi="Times New Roman"/>
          <w:i/>
        </w:rPr>
        <w:t>Antihipertenziniai (tokie kaip beta adrenoblokatoriai) ir kraujagysles plečiantys vaistiniai preparatai</w:t>
      </w:r>
    </w:p>
    <w:p w:rsidR="00E250E1" w:rsidRPr="002F4C6C" w:rsidRDefault="00E250E1">
      <w:pPr>
        <w:spacing w:after="0" w:line="240" w:lineRule="auto"/>
        <w:rPr>
          <w:rFonts w:ascii="Times New Roman" w:hAnsi="Times New Roman"/>
        </w:rPr>
      </w:pPr>
      <w:r w:rsidRPr="002F4C6C">
        <w:rPr>
          <w:rFonts w:ascii="Times New Roman" w:hAnsi="Times New Roman"/>
        </w:rPr>
        <w:t>Šiuos vaist</w:t>
      </w:r>
      <w:r w:rsidR="003309D0" w:rsidRPr="002F4C6C">
        <w:rPr>
          <w:rFonts w:ascii="Times New Roman" w:hAnsi="Times New Roman"/>
        </w:rPr>
        <w:t>ini</w:t>
      </w:r>
      <w:r w:rsidRPr="002F4C6C">
        <w:rPr>
          <w:rFonts w:ascii="Times New Roman" w:hAnsi="Times New Roman"/>
        </w:rPr>
        <w:t xml:space="preserve">us </w:t>
      </w:r>
      <w:r w:rsidR="003309D0" w:rsidRPr="002F4C6C">
        <w:rPr>
          <w:rFonts w:ascii="Times New Roman" w:hAnsi="Times New Roman"/>
        </w:rPr>
        <w:t xml:space="preserve">preparatus </w:t>
      </w:r>
      <w:r w:rsidRPr="002F4C6C">
        <w:rPr>
          <w:rFonts w:ascii="Times New Roman" w:hAnsi="Times New Roman"/>
        </w:rPr>
        <w:t>vartojant kartu gali sustiprėti perindoprilio ir amlodipino kraujo spaudimą mažinantis poveikis. Vartojant kartu su nitroglicerinu ir kitais nitratais ar kitais kraujagysles plečiančiais vaist</w:t>
      </w:r>
      <w:r w:rsidR="003309D0" w:rsidRPr="002F4C6C">
        <w:rPr>
          <w:rFonts w:ascii="Times New Roman" w:hAnsi="Times New Roman"/>
        </w:rPr>
        <w:t>ini</w:t>
      </w:r>
      <w:r w:rsidRPr="002F4C6C">
        <w:rPr>
          <w:rFonts w:ascii="Times New Roman" w:hAnsi="Times New Roman"/>
        </w:rPr>
        <w:t>ais</w:t>
      </w:r>
      <w:r w:rsidR="003309D0" w:rsidRPr="002F4C6C">
        <w:rPr>
          <w:rFonts w:ascii="Times New Roman" w:hAnsi="Times New Roman"/>
        </w:rPr>
        <w:t xml:space="preserve"> preparatais</w:t>
      </w:r>
      <w:r w:rsidRPr="002F4C6C">
        <w:rPr>
          <w:rFonts w:ascii="Times New Roman" w:hAnsi="Times New Roman"/>
        </w:rPr>
        <w:t xml:space="preserve">, gali dar labiau sumažėti kraujo spaudimas, todėl juos reikia vartoti atsargiai. </w:t>
      </w:r>
    </w:p>
    <w:p w:rsidR="00E250E1" w:rsidRPr="002F4C6C" w:rsidRDefault="00E250E1">
      <w:pPr>
        <w:spacing w:after="0" w:line="240" w:lineRule="auto"/>
        <w:rPr>
          <w:rFonts w:ascii="Times New Roman" w:hAnsi="Times New Roman"/>
          <w:i/>
        </w:rPr>
      </w:pPr>
    </w:p>
    <w:p w:rsidR="00E250E1" w:rsidRPr="002F4C6C" w:rsidRDefault="00E250E1">
      <w:pPr>
        <w:spacing w:after="0" w:line="240" w:lineRule="auto"/>
        <w:rPr>
          <w:rFonts w:ascii="Times New Roman" w:hAnsi="Times New Roman"/>
        </w:rPr>
      </w:pPr>
      <w:r w:rsidRPr="002F4C6C">
        <w:rPr>
          <w:rFonts w:ascii="Times New Roman" w:hAnsi="Times New Roman"/>
          <w:i/>
        </w:rPr>
        <w:t>Kortikosteroidai, tetrakozaktidas</w:t>
      </w:r>
    </w:p>
    <w:p w:rsidR="00E250E1" w:rsidRPr="002F4C6C" w:rsidRDefault="00E250E1">
      <w:pPr>
        <w:spacing w:after="0" w:line="240" w:lineRule="auto"/>
        <w:rPr>
          <w:rFonts w:ascii="Times New Roman" w:hAnsi="Times New Roman"/>
        </w:rPr>
      </w:pPr>
      <w:r w:rsidRPr="002F4C6C">
        <w:rPr>
          <w:rFonts w:ascii="Times New Roman" w:hAnsi="Times New Roman"/>
        </w:rPr>
        <w:t>Sumažėja antihipertenzinis poveikis (kortikosteroidai sulaiko druskas ir vandenį).</w:t>
      </w:r>
    </w:p>
    <w:p w:rsidR="00E250E1" w:rsidRPr="002F4C6C" w:rsidRDefault="00E250E1">
      <w:pPr>
        <w:spacing w:after="0" w:line="240" w:lineRule="auto"/>
        <w:ind w:left="567" w:hanging="567"/>
        <w:rPr>
          <w:rFonts w:ascii="Times New Roman" w:hAnsi="Times New Roman"/>
          <w:i/>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i/>
        </w:rPr>
        <w:t>Alfa adrenoblokatoriai (prazozinas, alfuzozinas, doksazosinas, tamsulozinas, terazozinas)</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 xml:space="preserve">Sustiprėja antihipertenzinis poveikis ir padidėja ortostatinės hipotenzijos pavojus. </w:t>
      </w:r>
    </w:p>
    <w:p w:rsidR="00E250E1" w:rsidRPr="002F4C6C" w:rsidRDefault="00E250E1">
      <w:pPr>
        <w:spacing w:after="0" w:line="240" w:lineRule="auto"/>
        <w:ind w:left="567" w:hanging="567"/>
        <w:rPr>
          <w:rFonts w:ascii="Times New Roman" w:hAnsi="Times New Roman"/>
          <w:i/>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i/>
        </w:rPr>
        <w:t>Amifostinas</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Gali sustiprinti amlodipino antihipertenzinį poveikį.</w:t>
      </w:r>
    </w:p>
    <w:p w:rsidR="00E250E1" w:rsidRPr="002F4C6C" w:rsidRDefault="00E250E1">
      <w:pPr>
        <w:spacing w:after="0" w:line="240" w:lineRule="auto"/>
        <w:ind w:left="567" w:hanging="567"/>
        <w:rPr>
          <w:rFonts w:ascii="Times New Roman" w:hAnsi="Times New Roman"/>
          <w:i/>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i/>
        </w:rPr>
        <w:t>Tricikliai antidepresantai, antipsichoziniai vaist</w:t>
      </w:r>
      <w:r w:rsidR="003309D0" w:rsidRPr="002F4C6C">
        <w:rPr>
          <w:rFonts w:ascii="Times New Roman" w:hAnsi="Times New Roman"/>
          <w:i/>
        </w:rPr>
        <w:t>ini</w:t>
      </w:r>
      <w:r w:rsidRPr="002F4C6C">
        <w:rPr>
          <w:rFonts w:ascii="Times New Roman" w:hAnsi="Times New Roman"/>
          <w:i/>
        </w:rPr>
        <w:t>ai</w:t>
      </w:r>
      <w:r w:rsidR="003309D0" w:rsidRPr="002F4C6C">
        <w:rPr>
          <w:rFonts w:ascii="Times New Roman" w:hAnsi="Times New Roman"/>
          <w:i/>
        </w:rPr>
        <w:t xml:space="preserve"> preparatai </w:t>
      </w:r>
      <w:r w:rsidRPr="002F4C6C">
        <w:rPr>
          <w:rFonts w:ascii="Times New Roman" w:hAnsi="Times New Roman"/>
          <w:i/>
        </w:rPr>
        <w:t xml:space="preserve"> ir anestetikai</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Sustiprina antihipertenzinį poveikį ir padidina ortostatinės hipotenzijos pavojų.</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4.6</w:t>
      </w:r>
      <w:r w:rsidRPr="002F4C6C">
        <w:rPr>
          <w:rFonts w:ascii="Times New Roman" w:hAnsi="Times New Roman"/>
          <w:b/>
        </w:rPr>
        <w:tab/>
        <w:t>Vaisingumas, nėštumo ir žindymo laikotarpis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Atsižvelgiant į šio sudėtinio vaistinio preparato sudedamųjų dalių poveikį nėštumo ir žindymo laikotarpiu, perindoprilio ir amlodipino derinio nerekomenduojama vartoti pirmąjį nėštumo trimestrą. Perindoprilio ir amlodipino derinį draudžiama vartoti antrąjį ir </w:t>
      </w:r>
      <w:r w:rsidR="003309D0" w:rsidRPr="002F4C6C">
        <w:rPr>
          <w:rFonts w:ascii="Times New Roman" w:hAnsi="Times New Roman"/>
        </w:rPr>
        <w:t>trečiąjį</w:t>
      </w:r>
      <w:r w:rsidRPr="002F4C6C">
        <w:rPr>
          <w:rFonts w:ascii="Times New Roman" w:hAnsi="Times New Roman"/>
        </w:rPr>
        <w:t xml:space="preserve"> nėštumo trimestrą.</w:t>
      </w:r>
    </w:p>
    <w:p w:rsidR="00E250E1" w:rsidRPr="002F4C6C" w:rsidRDefault="00E250E1">
      <w:pPr>
        <w:spacing w:after="0" w:line="240" w:lineRule="auto"/>
        <w:rPr>
          <w:rFonts w:ascii="Times New Roman" w:hAnsi="Times New Roman"/>
        </w:rPr>
      </w:pPr>
      <w:r w:rsidRPr="002F4C6C">
        <w:rPr>
          <w:rFonts w:ascii="Times New Roman" w:hAnsi="Times New Roman"/>
        </w:rPr>
        <w:lastRenderedPageBreak/>
        <w:t xml:space="preserve">Perindoprilio ir amlodipino derinį  nerekomenduojama vartoti žindymo laikotarpiu. Toliau reikia nuspręsti, nustoti žindyti ar nustoti vartoti perindoprilio ir amlodipino derinį, atsižvelgiant į tai, kiek svarbus šis gydymas motinai. </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Nėštumas</w:t>
      </w:r>
    </w:p>
    <w:p w:rsidR="00E250E1" w:rsidRPr="002F4C6C" w:rsidRDefault="00E250E1">
      <w:pPr>
        <w:spacing w:after="0" w:line="240" w:lineRule="auto"/>
        <w:rPr>
          <w:rFonts w:ascii="Times New Roman" w:hAnsi="Times New Roman"/>
          <w:bCs/>
          <w:iCs/>
          <w:u w:val="single"/>
        </w:rPr>
      </w:pPr>
    </w:p>
    <w:p w:rsidR="00E250E1" w:rsidRPr="002F4C6C" w:rsidRDefault="00E250E1">
      <w:pPr>
        <w:spacing w:after="0" w:line="240" w:lineRule="auto"/>
        <w:rPr>
          <w:rFonts w:ascii="Times New Roman" w:hAnsi="Times New Roman"/>
          <w:bCs/>
          <w:i/>
        </w:rPr>
      </w:pPr>
      <w:r w:rsidRPr="002F4C6C">
        <w:rPr>
          <w:rFonts w:ascii="Times New Roman" w:hAnsi="Times New Roman"/>
          <w:bCs/>
          <w:i/>
        </w:rPr>
        <w:t>Susiję su peridopriliu</w:t>
      </w:r>
    </w:p>
    <w:p w:rsidR="00E250E1" w:rsidRPr="002F4C6C" w:rsidRDefault="00E250E1">
      <w:pPr>
        <w:spacing w:after="0" w:line="240" w:lineRule="auto"/>
        <w:rPr>
          <w:rFonts w:ascii="Times New Roman" w:hAnsi="Times New Roman"/>
          <w:bCs/>
          <w:iCs/>
          <w:u w:val="single"/>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rPr>
      </w:pPr>
      <w:r w:rsidRPr="002F4C6C">
        <w:rPr>
          <w:rFonts w:ascii="Times New Roman" w:hAnsi="Times New Roman"/>
        </w:rPr>
        <w:t>Pirmuoju nėštumo trimestru AKF inhibitorių vartoti nerekomenduojama (žr. 4.4 skyrių). Antruoju ir trečiuoju nėštumo trimestrais jų vartoti draudžiama (žr. 4.3 ir 4.4 skyrius).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Epidemiologiniai duomenys dėl teratogeninio </w:t>
      </w:r>
      <w:r w:rsidR="003309D0" w:rsidRPr="002F4C6C">
        <w:rPr>
          <w:rFonts w:ascii="Times New Roman" w:hAnsi="Times New Roman"/>
        </w:rPr>
        <w:t xml:space="preserve">poveikio </w:t>
      </w:r>
      <w:r w:rsidRPr="002F4C6C">
        <w:rPr>
          <w:rFonts w:ascii="Times New Roman" w:hAnsi="Times New Roman"/>
        </w:rPr>
        <w:t xml:space="preserve">pavojaus, kylančio vartojant AKF inhibitorius pirmąjį nėštumo trimestrą, nėra įtikinami, tačiau nedidelio rizikos padidėjimo atmesti negalima. Išskyrus tuos atvejus, kai tolesnis gydymas AKF inhibitoriais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E250E1" w:rsidRPr="002F4C6C" w:rsidRDefault="00E250E1">
      <w:pPr>
        <w:spacing w:after="0" w:line="240" w:lineRule="auto"/>
        <w:rPr>
          <w:rFonts w:ascii="Times New Roman" w:hAnsi="Times New Roman"/>
        </w:rPr>
      </w:pPr>
    </w:p>
    <w:p w:rsidR="00E250E1" w:rsidRPr="002F4C6C" w:rsidRDefault="00E250E1">
      <w:pPr>
        <w:tabs>
          <w:tab w:val="left" w:pos="567"/>
        </w:tabs>
        <w:autoSpaceDE w:val="0"/>
        <w:spacing w:after="0" w:line="240" w:lineRule="auto"/>
        <w:rPr>
          <w:rFonts w:ascii="Times New Roman" w:hAnsi="Times New Roman"/>
        </w:rPr>
      </w:pPr>
      <w:r w:rsidRPr="002F4C6C">
        <w:rPr>
          <w:rFonts w:ascii="Times New Roman" w:hAnsi="Times New Roman"/>
        </w:rPr>
        <w:t xml:space="preserve">Žinoma, kad antrąjį ir trečiąjį nėštumo trimestrą gydant AKF inhibitoriais pasireiškia toksinis poveikis žmogaus vaisiui (inkstų funkcijos susilpnėjimas, oligohidramnionas, kaukolės kaulėjimo sulėtėjimas) ir naujagimiui (inkstų nepakankamumas, hipotenzija, hiperkalemija) (žr. 5.3 skyrių). Jeigu moteris nuo antrojo nėštumo trimestro vartojo AKF inhibitorių, reikia atlikti ultragarsinius inkstų funkcijos ir kaukolės tyrimus. </w:t>
      </w:r>
    </w:p>
    <w:p w:rsidR="00E250E1" w:rsidRPr="002F4C6C" w:rsidRDefault="00E250E1">
      <w:pPr>
        <w:tabs>
          <w:tab w:val="left" w:pos="567"/>
        </w:tabs>
        <w:autoSpaceDE w:val="0"/>
        <w:spacing w:after="0" w:line="240" w:lineRule="auto"/>
        <w:rPr>
          <w:rFonts w:ascii="Times New Roman" w:hAnsi="Times New Roman"/>
        </w:rPr>
      </w:pPr>
      <w:r w:rsidRPr="002F4C6C">
        <w:rPr>
          <w:rFonts w:ascii="Times New Roman" w:hAnsi="Times New Roman"/>
        </w:rPr>
        <w:t xml:space="preserve">Reikia atidžiai sekti, ar naujagimiams, kurių motinos nėštumo metu vartojo AKF inhibitorių, nepasireiškia hipotenzija (žr. 4.3 ir 4.4 skyrius). </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i/>
        </w:rPr>
      </w:pPr>
      <w:r w:rsidRPr="002F4C6C">
        <w:rPr>
          <w:rFonts w:ascii="Times New Roman" w:hAnsi="Times New Roman"/>
          <w:bCs/>
          <w:i/>
        </w:rPr>
        <w:t>Susiję su amlodipinu</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rPr>
        <w:t>Ar saugu amlodipiną vartoti nėštumo metu, nenustatyta.</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lang w:eastAsia="fr-FR"/>
        </w:rPr>
        <w:t>Skiriant dideles dozes, tyrimuose su gyvūnais buvo stebimas toksinis poveikis reprodukcijai (žr. 5.3 skyrių). Vartoti nėštumo metu rekomenduojama tik tuomet, kai nėra saugesnių alternatyvų ir kai pati liga sukelia didesnę riziką motinai ir vaisiui.</w:t>
      </w:r>
    </w:p>
    <w:p w:rsidR="00E250E1" w:rsidRPr="002F4C6C" w:rsidRDefault="00E250E1">
      <w:pPr>
        <w:spacing w:after="0" w:line="240" w:lineRule="auto"/>
        <w:rPr>
          <w:rFonts w:ascii="Times New Roman" w:hAnsi="Times New Roman"/>
          <w:lang w:eastAsia="fr-FR"/>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Žindymas</w:t>
      </w:r>
    </w:p>
    <w:p w:rsidR="00E250E1" w:rsidRPr="002F4C6C" w:rsidRDefault="00E250E1">
      <w:pPr>
        <w:spacing w:after="0" w:line="240" w:lineRule="auto"/>
        <w:rPr>
          <w:rFonts w:ascii="Times New Roman" w:hAnsi="Times New Roman"/>
          <w:i/>
          <w:u w:val="single"/>
        </w:rPr>
      </w:pPr>
    </w:p>
    <w:p w:rsidR="00E250E1" w:rsidRPr="002F4C6C" w:rsidRDefault="00E250E1">
      <w:pPr>
        <w:spacing w:after="0" w:line="240" w:lineRule="auto"/>
        <w:rPr>
          <w:rFonts w:ascii="Times New Roman" w:hAnsi="Times New Roman"/>
          <w:i/>
        </w:rPr>
      </w:pPr>
      <w:r w:rsidRPr="002F4C6C">
        <w:rPr>
          <w:rFonts w:ascii="Times New Roman" w:hAnsi="Times New Roman"/>
          <w:bCs/>
          <w:i/>
        </w:rPr>
        <w:t>Susiję su peridopriliu</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Kadangi nėra informacijos apie perindoprilio vartojimą žindymo metu, perindoprilis nerekomenduojamas ir alternatyvus gydymas vaistiniu preparatu, geriau ištirtu dėl saugumo žindymo metu, yra tinkamesnis, ypač žindant naujagimius bei neišnešiotus </w:t>
      </w:r>
      <w:r w:rsidR="00F17A26" w:rsidRPr="002F4C6C">
        <w:rPr>
          <w:rFonts w:ascii="Times New Roman" w:hAnsi="Times New Roman"/>
        </w:rPr>
        <w:t>kūdikius</w:t>
      </w:r>
      <w:r w:rsidRPr="002F4C6C">
        <w:rPr>
          <w:rFonts w:ascii="Times New Roman" w:hAnsi="Times New Roman"/>
        </w:rPr>
        <w:t xml:space="preserve">. </w:t>
      </w:r>
    </w:p>
    <w:p w:rsidR="00E250E1" w:rsidRPr="002F4C6C" w:rsidRDefault="00E250E1">
      <w:pPr>
        <w:spacing w:after="0" w:line="240" w:lineRule="auto"/>
        <w:rPr>
          <w:rFonts w:ascii="Times New Roman" w:hAnsi="Times New Roman"/>
          <w:i/>
        </w:rPr>
      </w:pPr>
    </w:p>
    <w:p w:rsidR="00E250E1" w:rsidRPr="002F4C6C" w:rsidRDefault="00E250E1">
      <w:pPr>
        <w:spacing w:after="0" w:line="240" w:lineRule="auto"/>
        <w:rPr>
          <w:rFonts w:ascii="Times New Roman" w:hAnsi="Times New Roman"/>
          <w:i/>
        </w:rPr>
      </w:pPr>
      <w:r w:rsidRPr="002F4C6C">
        <w:rPr>
          <w:rFonts w:ascii="Times New Roman" w:hAnsi="Times New Roman"/>
          <w:bCs/>
          <w:i/>
        </w:rPr>
        <w:t>Susiję su amlodipinu</w:t>
      </w:r>
    </w:p>
    <w:p w:rsidR="00E250E1" w:rsidRPr="002F4C6C" w:rsidRDefault="00E250E1">
      <w:pPr>
        <w:autoSpaceDE w:val="0"/>
        <w:spacing w:after="0" w:line="240" w:lineRule="auto"/>
        <w:rPr>
          <w:rFonts w:ascii="Times New Roman" w:hAnsi="Times New Roman"/>
          <w:bCs/>
          <w:iCs/>
          <w:lang w:eastAsia="lt-LT"/>
        </w:rPr>
      </w:pPr>
    </w:p>
    <w:p w:rsidR="00E250E1" w:rsidRPr="002F4C6C" w:rsidRDefault="00E250E1">
      <w:pPr>
        <w:autoSpaceDE w:val="0"/>
        <w:spacing w:after="0" w:line="240" w:lineRule="auto"/>
        <w:rPr>
          <w:rFonts w:ascii="Times New Roman" w:hAnsi="Times New Roman"/>
        </w:rPr>
      </w:pPr>
      <w:r w:rsidRPr="002F4C6C">
        <w:rPr>
          <w:rFonts w:ascii="Times New Roman" w:hAnsi="Times New Roman"/>
          <w:lang w:eastAsia="lt-LT"/>
        </w:rPr>
        <w:t>Amlodipinas išsiskiria į motinos pieną. Apskaičiuota motinos suvartotos dozės dalis, kurią gauna</w:t>
      </w:r>
    </w:p>
    <w:p w:rsidR="00E250E1" w:rsidRPr="002F4C6C" w:rsidRDefault="00E250E1">
      <w:pPr>
        <w:autoSpaceDE w:val="0"/>
        <w:spacing w:after="0" w:line="240" w:lineRule="auto"/>
        <w:rPr>
          <w:rFonts w:ascii="Times New Roman" w:hAnsi="Times New Roman"/>
        </w:rPr>
      </w:pPr>
      <w:r w:rsidRPr="002F4C6C">
        <w:rPr>
          <w:rFonts w:ascii="Times New Roman" w:hAnsi="Times New Roman"/>
          <w:lang w:eastAsia="lt-LT"/>
        </w:rPr>
        <w:t>kūdikis, atitinka 3–7 % intervalą tarp kvartilių, o maksimalią dozę sudaro 15 %. Amlodipino poveikis</w:t>
      </w:r>
    </w:p>
    <w:p w:rsidR="00E250E1" w:rsidRPr="002F4C6C" w:rsidRDefault="00E250E1">
      <w:pPr>
        <w:spacing w:after="0" w:line="240" w:lineRule="auto"/>
        <w:rPr>
          <w:rFonts w:ascii="Times New Roman" w:hAnsi="Times New Roman"/>
        </w:rPr>
      </w:pPr>
      <w:r w:rsidRPr="002F4C6C">
        <w:rPr>
          <w:rFonts w:ascii="Times New Roman" w:hAnsi="Times New Roman"/>
          <w:lang w:eastAsia="lt-LT"/>
        </w:rPr>
        <w:t>kūdikiams nežinomas.</w:t>
      </w:r>
      <w:r w:rsidRPr="002F4C6C">
        <w:rPr>
          <w:rFonts w:ascii="Times New Roman" w:hAnsi="Times New Roman"/>
        </w:rPr>
        <w:t xml:space="preserve"> Tęsti ar nutraukti žindymą krūtimi arba tęsti ar nutraukti gydymą amlodipinu, reikia nuspręsti atsižvelgiant į galimą naudą žindančiai motinai, gydomai amlodipinu.</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u w:val="single"/>
        </w:rPr>
        <w:t>Vaisingumas</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i/>
        </w:rPr>
      </w:pPr>
      <w:r w:rsidRPr="002F4C6C">
        <w:rPr>
          <w:rFonts w:ascii="Times New Roman" w:hAnsi="Times New Roman"/>
          <w:bCs/>
          <w:i/>
        </w:rPr>
        <w:t>Susiję su peridopriliu</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lastRenderedPageBreak/>
        <w:t xml:space="preserve">Neveikia reprodukcinės </w:t>
      </w:r>
      <w:r w:rsidR="00F17A26" w:rsidRPr="002F4C6C">
        <w:rPr>
          <w:rFonts w:ascii="Times New Roman" w:hAnsi="Times New Roman"/>
          <w:bCs/>
          <w:iCs/>
        </w:rPr>
        <w:t>funkcijos</w:t>
      </w:r>
      <w:r w:rsidRPr="002F4C6C">
        <w:rPr>
          <w:rFonts w:ascii="Times New Roman" w:hAnsi="Times New Roman"/>
          <w:bCs/>
          <w:iCs/>
        </w:rPr>
        <w:t xml:space="preserve"> ar vaisingumo.</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i/>
        </w:rPr>
      </w:pPr>
      <w:r w:rsidRPr="002F4C6C">
        <w:rPr>
          <w:rFonts w:ascii="Times New Roman" w:hAnsi="Times New Roman"/>
          <w:bCs/>
          <w:i/>
        </w:rPr>
        <w:t>Susiję su amlodipinu</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Gydant kalcio kanalų blokatoriais kai kuriems pacientams stebėti grįžtami spermatozoido galvutės biocheminiai pakitimai. Klinikinių duomenų, susijusių su potencialiu poveikiu vaisingumui, nepakanka. Vienuose tyrimuose su žiurkėmis buvo nustatytas šalutinis poveikis patin</w:t>
      </w:r>
      <w:r w:rsidR="00F17A26" w:rsidRPr="002F4C6C">
        <w:rPr>
          <w:rFonts w:ascii="Times New Roman" w:hAnsi="Times New Roman"/>
          <w:bCs/>
          <w:iCs/>
        </w:rPr>
        <w:t>ų</w:t>
      </w:r>
      <w:r w:rsidRPr="002F4C6C">
        <w:rPr>
          <w:rFonts w:ascii="Times New Roman" w:hAnsi="Times New Roman"/>
          <w:bCs/>
          <w:iCs/>
        </w:rPr>
        <w:t xml:space="preserve"> </w:t>
      </w:r>
      <w:r w:rsidR="00F17A26" w:rsidRPr="002F4C6C">
        <w:rPr>
          <w:rFonts w:ascii="Times New Roman" w:hAnsi="Times New Roman"/>
          <w:bCs/>
          <w:iCs/>
        </w:rPr>
        <w:t xml:space="preserve">vaisingumui </w:t>
      </w:r>
      <w:r w:rsidRPr="002F4C6C">
        <w:rPr>
          <w:rFonts w:ascii="Times New Roman" w:hAnsi="Times New Roman"/>
          <w:bCs/>
          <w:iCs/>
        </w:rPr>
        <w:t>(žr. 5.3 skyrių).</w:t>
      </w:r>
    </w:p>
    <w:p w:rsidR="00E250E1" w:rsidRPr="002F4C6C" w:rsidRDefault="00E250E1">
      <w:pPr>
        <w:tabs>
          <w:tab w:val="left" w:pos="540"/>
        </w:tabs>
        <w:spacing w:after="0" w:line="240" w:lineRule="auto"/>
        <w:rPr>
          <w:rFonts w:ascii="Times New Roman" w:hAnsi="Times New Roman"/>
          <w:b/>
          <w:bCs/>
          <w:iCs/>
        </w:rPr>
      </w:pP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b/>
        </w:rPr>
        <w:t>4.7</w:t>
      </w:r>
      <w:r w:rsidRPr="002F4C6C">
        <w:rPr>
          <w:rFonts w:ascii="Times New Roman" w:hAnsi="Times New Roman"/>
          <w:b/>
        </w:rPr>
        <w:tab/>
        <w:t>Poveikis gebėjimui vairuoti ir valdyti mechanizmus</w:t>
      </w:r>
    </w:p>
    <w:p w:rsidR="00E250E1" w:rsidRPr="002F4C6C" w:rsidRDefault="00E250E1">
      <w:pPr>
        <w:spacing w:after="0" w:line="240" w:lineRule="auto"/>
        <w:rPr>
          <w:rFonts w:ascii="Times New Roman" w:hAnsi="Times New Roman"/>
        </w:rPr>
      </w:pPr>
    </w:p>
    <w:p w:rsidR="00E250E1" w:rsidRPr="002F4C6C" w:rsidRDefault="00E250E1">
      <w:pPr>
        <w:spacing w:line="240" w:lineRule="auto"/>
        <w:rPr>
          <w:rFonts w:ascii="Times New Roman" w:hAnsi="Times New Roman"/>
        </w:rPr>
      </w:pPr>
      <w:r w:rsidRPr="002F4C6C">
        <w:rPr>
          <w:rFonts w:ascii="Times New Roman" w:hAnsi="Times New Roman"/>
        </w:rPr>
        <w:t xml:space="preserve">Perindoprilio ir amlodipino derinio poveikis gebėjimui vairuoti ir valdyti mechanizmus netirtas. </w:t>
      </w:r>
    </w:p>
    <w:p w:rsidR="00E250E1" w:rsidRPr="002F4C6C" w:rsidRDefault="00E250E1">
      <w:pPr>
        <w:spacing w:line="240" w:lineRule="auto"/>
        <w:rPr>
          <w:rFonts w:ascii="Times New Roman" w:hAnsi="Times New Roman"/>
        </w:rPr>
      </w:pPr>
      <w:r w:rsidRPr="002F4C6C">
        <w:rPr>
          <w:rFonts w:ascii="Times New Roman" w:hAnsi="Times New Roman"/>
        </w:rPr>
        <w:t xml:space="preserve">Amlodipinas gali silpnai ar vidutiniškai veikti gebėjimą vairuoti ir valdyti mechanizmus. Jei </w:t>
      </w:r>
      <w:r w:rsidR="00F932EF">
        <w:rPr>
          <w:rFonts w:ascii="Times New Roman" w:hAnsi="Times New Roman"/>
        </w:rPr>
        <w:t>pasireiškia</w:t>
      </w:r>
      <w:r w:rsidRPr="002F4C6C">
        <w:rPr>
          <w:rFonts w:ascii="Times New Roman" w:hAnsi="Times New Roman"/>
        </w:rPr>
        <w:t xml:space="preserve"> galvos svaigimas ar skausmas, nuovargis, išsekimas arba pykinimas, gebėjimas reaguoti gali sutrikti. Rekomenduojama imtis atsargumo priemonių, ypač gydymo pradžioje.</w:t>
      </w:r>
    </w:p>
    <w:p w:rsidR="00E250E1" w:rsidRPr="002F4C6C" w:rsidRDefault="00E250E1">
      <w:pPr>
        <w:spacing w:after="0" w:line="240" w:lineRule="auto"/>
        <w:rPr>
          <w:rFonts w:ascii="Times New Roman" w:hAnsi="Times New Roman"/>
          <w:bCs/>
          <w:iCs/>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b/>
        </w:rPr>
        <w:t>4.8</w:t>
      </w:r>
      <w:r w:rsidRPr="002F4C6C">
        <w:rPr>
          <w:rFonts w:ascii="Times New Roman" w:hAnsi="Times New Roman"/>
          <w:b/>
        </w:rPr>
        <w:tab/>
        <w:t>Nepageidaujamas poveikis</w:t>
      </w:r>
    </w:p>
    <w:p w:rsidR="00E250E1" w:rsidRPr="002F4C6C" w:rsidRDefault="00E250E1">
      <w:pPr>
        <w:tabs>
          <w:tab w:val="left" w:pos="567"/>
        </w:tabs>
        <w:spacing w:after="0" w:line="240" w:lineRule="auto"/>
        <w:rPr>
          <w:rFonts w:ascii="Times New Roman" w:hAnsi="Times New Roman"/>
          <w:b/>
        </w:rPr>
      </w:pPr>
    </w:p>
    <w:p w:rsidR="00E250E1" w:rsidRPr="002F4C6C" w:rsidRDefault="00E250E1">
      <w:pPr>
        <w:keepNext/>
        <w:numPr>
          <w:ilvl w:val="0"/>
          <w:numId w:val="13"/>
        </w:numPr>
        <w:tabs>
          <w:tab w:val="left" w:pos="720"/>
        </w:tabs>
        <w:spacing w:after="0" w:line="240" w:lineRule="auto"/>
        <w:ind w:left="567" w:hanging="567"/>
        <w:rPr>
          <w:rFonts w:ascii="Times New Roman" w:hAnsi="Times New Roman"/>
        </w:rPr>
      </w:pPr>
      <w:r w:rsidRPr="002F4C6C">
        <w:rPr>
          <w:rFonts w:ascii="Times New Roman" w:hAnsi="Times New Roman"/>
          <w:u w:val="single"/>
        </w:rPr>
        <w:t>Saugumo duomenų santrauka</w:t>
      </w:r>
    </w:p>
    <w:p w:rsidR="00E250E1" w:rsidRPr="002F4C6C" w:rsidRDefault="00E250E1">
      <w:pPr>
        <w:keepNext/>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Nepageidaujamos reakcijos, apie kurias vartojant atskirai perindoprilį ar amlodipiną buvo pranešta dažniausiai, buvo: edema, somnolencija, svaig</w:t>
      </w:r>
      <w:r w:rsidR="00F17A26" w:rsidRPr="002F4C6C">
        <w:rPr>
          <w:rFonts w:ascii="Times New Roman" w:hAnsi="Times New Roman"/>
        </w:rPr>
        <w:t>ulys</w:t>
      </w:r>
      <w:r w:rsidRPr="002F4C6C">
        <w:rPr>
          <w:rFonts w:ascii="Times New Roman" w:hAnsi="Times New Roman"/>
        </w:rPr>
        <w:t xml:space="preserve">, galvos skausmas (ypač gydymo pradžioje), skonio pojūčio pokytis, parestezija, regos sutrikimas (įskaitant dvejinimąsi akyse), </w:t>
      </w:r>
      <w:r w:rsidR="00F17A26" w:rsidRPr="002F4C6C">
        <w:rPr>
          <w:rFonts w:ascii="Times New Roman" w:hAnsi="Times New Roman"/>
        </w:rPr>
        <w:t>ūžesys (</w:t>
      </w:r>
      <w:r w:rsidR="00F17A26" w:rsidRPr="002F4C6C">
        <w:rPr>
          <w:rFonts w:ascii="Times New Roman" w:hAnsi="Times New Roman"/>
          <w:i/>
          <w:iCs/>
        </w:rPr>
        <w:t>tinnitus</w:t>
      </w:r>
      <w:r w:rsidR="00F17A26" w:rsidRPr="002F4C6C">
        <w:rPr>
          <w:rFonts w:ascii="Times New Roman" w:hAnsi="Times New Roman"/>
        </w:rPr>
        <w:t>)</w:t>
      </w:r>
      <w:r w:rsidRPr="002F4C6C">
        <w:rPr>
          <w:rFonts w:ascii="Times New Roman" w:hAnsi="Times New Roman"/>
        </w:rPr>
        <w:t xml:space="preserve">, galvos sukimasis, </w:t>
      </w:r>
      <w:r w:rsidR="00F17A26" w:rsidRPr="002F4C6C">
        <w:rPr>
          <w:rFonts w:ascii="Times New Roman" w:hAnsi="Times New Roman"/>
        </w:rPr>
        <w:t>širdies plakimai, perplakimai (</w:t>
      </w:r>
      <w:r w:rsidRPr="002F4C6C">
        <w:rPr>
          <w:rFonts w:ascii="Times New Roman" w:hAnsi="Times New Roman"/>
        </w:rPr>
        <w:t>palpitacijos</w:t>
      </w:r>
      <w:r w:rsidR="00F17A26" w:rsidRPr="002F4C6C">
        <w:rPr>
          <w:rFonts w:ascii="Times New Roman" w:hAnsi="Times New Roman"/>
        </w:rPr>
        <w:t>)</w:t>
      </w:r>
      <w:r w:rsidRPr="002F4C6C">
        <w:rPr>
          <w:rFonts w:ascii="Times New Roman" w:hAnsi="Times New Roman"/>
        </w:rPr>
        <w:t>, kraujo samplūdis į veidą ir kaklą, hipotenzija (su hipotenzija susijęs poveikis), dusulys, kosulys, pilvo skausmas, pykinimas, vėmimas, dispepsija, tuštinimosi pokyčiai, viduriavimas, vidurių užkietėjimas, niež</w:t>
      </w:r>
      <w:r w:rsidR="00F246A3" w:rsidRPr="002F4C6C">
        <w:rPr>
          <w:rFonts w:ascii="Times New Roman" w:hAnsi="Times New Roman"/>
        </w:rPr>
        <w:t>ėjimas</w:t>
      </w:r>
      <w:r w:rsidRPr="002F4C6C">
        <w:rPr>
          <w:rFonts w:ascii="Times New Roman" w:hAnsi="Times New Roman"/>
        </w:rPr>
        <w:t xml:space="preserve">, </w:t>
      </w:r>
      <w:r w:rsidR="00F246A3" w:rsidRPr="002F4C6C">
        <w:rPr>
          <w:rFonts w:ascii="Times New Roman" w:hAnsi="Times New Roman"/>
        </w:rPr>
        <w:t>iš</w:t>
      </w:r>
      <w:r w:rsidRPr="002F4C6C">
        <w:rPr>
          <w:rFonts w:ascii="Times New Roman" w:hAnsi="Times New Roman"/>
        </w:rPr>
        <w:t>bėrimas, egzantema, sąnarių patinimas (kulkšnių patinimas), raumenų spazmai, nuovargis, astenija.</w:t>
      </w:r>
    </w:p>
    <w:p w:rsidR="00F246A3" w:rsidRPr="002F4C6C" w:rsidRDefault="00F246A3">
      <w:pPr>
        <w:spacing w:after="0" w:line="240" w:lineRule="auto"/>
        <w:rPr>
          <w:rFonts w:ascii="Times New Roman" w:hAnsi="Times New Roman"/>
        </w:rPr>
      </w:pPr>
    </w:p>
    <w:p w:rsidR="00E250E1" w:rsidRPr="002F4C6C" w:rsidRDefault="00E250E1">
      <w:pPr>
        <w:numPr>
          <w:ilvl w:val="0"/>
          <w:numId w:val="13"/>
        </w:numPr>
        <w:tabs>
          <w:tab w:val="left" w:pos="720"/>
        </w:tabs>
        <w:spacing w:after="0" w:line="240" w:lineRule="auto"/>
        <w:ind w:left="567" w:hanging="567"/>
        <w:rPr>
          <w:rFonts w:ascii="Times New Roman" w:hAnsi="Times New Roman"/>
          <w:u w:val="single"/>
        </w:rPr>
      </w:pPr>
      <w:r w:rsidRPr="002F4C6C">
        <w:rPr>
          <w:rFonts w:ascii="Times New Roman" w:hAnsi="Times New Roman"/>
          <w:u w:val="single"/>
        </w:rPr>
        <w:t>Nepageidaujamų reakcijų santrauka lentelėje</w:t>
      </w:r>
    </w:p>
    <w:p w:rsidR="00E250E1" w:rsidRPr="002F4C6C" w:rsidRDefault="00E250E1">
      <w:pPr>
        <w:spacing w:after="0" w:line="240" w:lineRule="auto"/>
        <w:rPr>
          <w:rFonts w:ascii="Times New Roman" w:hAnsi="Times New Roman"/>
        </w:rPr>
      </w:pPr>
    </w:p>
    <w:p w:rsidR="006E5CBA" w:rsidRPr="002F4C6C" w:rsidRDefault="00E250E1">
      <w:pPr>
        <w:spacing w:after="0" w:line="240" w:lineRule="auto"/>
        <w:rPr>
          <w:rFonts w:ascii="Times New Roman" w:hAnsi="Times New Roman"/>
        </w:rPr>
      </w:pPr>
      <w:r w:rsidRPr="002F4C6C">
        <w:rPr>
          <w:rFonts w:ascii="Times New Roman" w:hAnsi="Times New Roman"/>
        </w:rPr>
        <w:t>Gydant atskirai vartojamu perindopriliu ar amlodipinu, klinikinių tyrimų metu ir (arba) po vaistinių preparatų registracijos buvo pastebėti toliau išvardyti nepageidaujamo poveikio reiškiniai. Jie suskirstyti, naudojantis MedDRA klasifikacija pagal organų sistemas ir dažnį:</w:t>
      </w:r>
      <w:r w:rsidR="00F246A3" w:rsidRPr="002F4C6C">
        <w:rPr>
          <w:rFonts w:ascii="Times New Roman" w:hAnsi="Times New Roman"/>
        </w:rPr>
        <w:t xml:space="preserve"> </w:t>
      </w:r>
    </w:p>
    <w:p w:rsidR="006E5CBA" w:rsidRPr="002F4C6C" w:rsidRDefault="006E5CBA">
      <w:pPr>
        <w:spacing w:after="0" w:line="240" w:lineRule="auto"/>
        <w:rPr>
          <w:rFonts w:ascii="Times New Roman" w:hAnsi="Times New Roman"/>
        </w:rPr>
      </w:pPr>
    </w:p>
    <w:p w:rsidR="00E250E1" w:rsidRPr="002F4C6C" w:rsidRDefault="00F246A3">
      <w:pPr>
        <w:spacing w:after="0" w:line="240" w:lineRule="auto"/>
        <w:rPr>
          <w:rFonts w:ascii="Times New Roman" w:hAnsi="Times New Roman"/>
        </w:rPr>
      </w:pPr>
      <w:r w:rsidRPr="002F4C6C">
        <w:rPr>
          <w:rFonts w:ascii="Times New Roman" w:hAnsi="Times New Roman"/>
        </w:rPr>
        <w:t>labai dažnas (≥ 1/10), dažnas (nuo ≥ 1/100 iki &lt; 1/10), nedažnas (nuo ≥ 1/1 000 iki &lt; 1/100), retas (nuo ≥ 1/10 000 iki &lt; 1/1 000), labai retas (&lt; 1/10 000) ir nežinomas (negali būti apskaičiuotas pagal turimus duomenis).</w:t>
      </w:r>
      <w:r w:rsidR="00E250E1" w:rsidRPr="002F4C6C">
        <w:rPr>
          <w:rFonts w:ascii="Times New Roman" w:hAnsi="Times New Roman"/>
        </w:rPr>
        <w:t xml:space="preserve"> </w:t>
      </w:r>
    </w:p>
    <w:p w:rsidR="00E250E1" w:rsidRPr="002F4C6C" w:rsidRDefault="00E250E1">
      <w:pPr>
        <w:spacing w:after="0" w:line="240" w:lineRule="auto"/>
        <w:rPr>
          <w:rFonts w:ascii="Times New Roman" w:hAnsi="Times New Roman"/>
        </w:rPr>
      </w:pPr>
    </w:p>
    <w:tbl>
      <w:tblPr>
        <w:tblW w:w="5000" w:type="pct"/>
        <w:jc w:val="center"/>
        <w:tblLayout w:type="fixed"/>
        <w:tblCellMar>
          <w:left w:w="70" w:type="dxa"/>
          <w:right w:w="70" w:type="dxa"/>
        </w:tblCellMar>
        <w:tblLook w:val="0000" w:firstRow="0" w:lastRow="0" w:firstColumn="0" w:lastColumn="0" w:noHBand="0" w:noVBand="0"/>
      </w:tblPr>
      <w:tblGrid>
        <w:gridCol w:w="1739"/>
        <w:gridCol w:w="4849"/>
        <w:gridCol w:w="1344"/>
        <w:gridCol w:w="1462"/>
      </w:tblGrid>
      <w:tr w:rsidR="00E250E1" w:rsidRPr="002F4C6C" w:rsidTr="00383D73">
        <w:trPr>
          <w:cantSplit/>
          <w:tblHeade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MedDRA</w:t>
            </w:r>
          </w:p>
          <w:p w:rsidR="00E250E1" w:rsidRPr="002F4C6C" w:rsidRDefault="00E250E1">
            <w:pPr>
              <w:spacing w:after="0" w:line="240" w:lineRule="auto"/>
              <w:rPr>
                <w:rFonts w:ascii="Times New Roman" w:hAnsi="Times New Roman"/>
              </w:rPr>
            </w:pPr>
            <w:r w:rsidRPr="002F4C6C">
              <w:rPr>
                <w:rFonts w:ascii="Times New Roman" w:hAnsi="Times New Roman"/>
                <w:b/>
                <w:lang w:eastAsia="lt-LT"/>
              </w:rPr>
              <w:t>Organų sistemų klasės</w:t>
            </w:r>
          </w:p>
        </w:tc>
        <w:tc>
          <w:tcPr>
            <w:tcW w:w="4929"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Nepageidaujamas poveikis</w:t>
            </w:r>
          </w:p>
        </w:tc>
        <w:tc>
          <w:tcPr>
            <w:tcW w:w="2848" w:type="dxa"/>
            <w:gridSpan w:val="2"/>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 xml:space="preserve">Dažnis </w:t>
            </w:r>
          </w:p>
        </w:tc>
      </w:tr>
      <w:tr w:rsidR="00E250E1" w:rsidRPr="002F4C6C" w:rsidTr="00383D73">
        <w:trPr>
          <w:cantSplit/>
          <w:trHeight w:val="371"/>
          <w:tblHeade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b/>
                <w:lang w:eastAsia="lt-LT"/>
              </w:rPr>
              <w:t>Amlodipinas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b/>
                <w:lang w:eastAsia="lt-LT"/>
              </w:rPr>
              <w:t>Perindoprilis</w:t>
            </w:r>
          </w:p>
        </w:tc>
      </w:tr>
      <w:tr w:rsidR="00E250E1" w:rsidRPr="002F4C6C" w:rsidTr="00383D73">
        <w:trPr>
          <w:cantSplit/>
          <w:trHeight w:val="278"/>
          <w:jc w:val="center"/>
        </w:trPr>
        <w:tc>
          <w:tcPr>
            <w:tcW w:w="1767"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Infekcijos ir infestacijos</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Rinitas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r>
      <w:tr w:rsidR="00E250E1" w:rsidRPr="002F4C6C" w:rsidTr="00383D73">
        <w:trPr>
          <w:cantSplit/>
          <w:trHeight w:val="278"/>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 xml:space="preserve">Kraujo ir limfinės sistemos sutrikimai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Eozinofilija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r>
      <w:tr w:rsidR="00E250E1" w:rsidRPr="002F4C6C" w:rsidTr="00383D73">
        <w:trPr>
          <w:cantSplit/>
          <w:trHeight w:val="278"/>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Leukopenija ir neutropenija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r>
      <w:tr w:rsidR="00E250E1" w:rsidRPr="002F4C6C" w:rsidTr="00383D73">
        <w:trPr>
          <w:cantSplit/>
          <w:trHeight w:val="278"/>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Agranulocitozė ar pancitopenija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r>
      <w:tr w:rsidR="00E250E1" w:rsidRPr="002F4C6C" w:rsidTr="00383D73">
        <w:trPr>
          <w:cantSplit/>
          <w:trHeight w:val="277"/>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Trombocitopenija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r>
      <w:tr w:rsidR="00E250E1" w:rsidRPr="002F4C6C" w:rsidTr="00383D73">
        <w:trPr>
          <w:cantSplit/>
          <w:trHeight w:val="277"/>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Hemolizinė anemija (susijusi su specifiniu fermentu) pacientams su įgimta G-6PDH stoka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r>
      <w:tr w:rsidR="00E250E1" w:rsidRPr="002F4C6C" w:rsidTr="00383D73">
        <w:trPr>
          <w:cantSplit/>
          <w:trHeight w:val="277"/>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jc w:val="center"/>
              <w:rPr>
                <w:rFonts w:ascii="Times New Roman" w:eastAsia="Times New Roman" w:hAnsi="Times New Roman"/>
                <w:b/>
                <w:lang w:eastAsia="lt-LT"/>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napToGrid w:val="0"/>
              <w:spacing w:after="0" w:line="240" w:lineRule="auto"/>
              <w:jc w:val="center"/>
              <w:rPr>
                <w:rFonts w:ascii="Times New Roman" w:eastAsia="Times New Roman" w:hAnsi="Times New Roman"/>
                <w:b/>
                <w:lang w:eastAsia="lt-LT"/>
              </w:rPr>
            </w:pPr>
          </w:p>
        </w:tc>
      </w:tr>
      <w:tr w:rsidR="00E250E1" w:rsidRPr="002F4C6C" w:rsidTr="00383D73">
        <w:trPr>
          <w:jc w:val="center"/>
        </w:trPr>
        <w:tc>
          <w:tcPr>
            <w:tcW w:w="1767"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lastRenderedPageBreak/>
              <w:t>Imuninės sistemos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Padidėjęs jautrumas: dilgelinė</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r>
      <w:tr w:rsidR="009623B5" w:rsidRPr="002F4C6C" w:rsidTr="00383D73">
        <w:trPr>
          <w:jc w:val="center"/>
        </w:trPr>
        <w:tc>
          <w:tcPr>
            <w:tcW w:w="1767" w:type="dxa"/>
            <w:tcBorders>
              <w:top w:val="single" w:sz="4" w:space="0" w:color="000000"/>
              <w:left w:val="single" w:sz="4" w:space="0" w:color="000000"/>
              <w:bottom w:val="single" w:sz="4" w:space="0" w:color="000000"/>
            </w:tcBorders>
            <w:shd w:val="clear" w:color="auto" w:fill="auto"/>
          </w:tcPr>
          <w:p w:rsidR="009623B5" w:rsidRPr="002F4C6C" w:rsidRDefault="009623B5">
            <w:pPr>
              <w:spacing w:after="0" w:line="240" w:lineRule="auto"/>
              <w:rPr>
                <w:rFonts w:ascii="Times New Roman" w:hAnsi="Times New Roman"/>
                <w:b/>
                <w:lang w:eastAsia="lt-LT"/>
              </w:rPr>
            </w:pPr>
            <w:r w:rsidRPr="002F4C6C">
              <w:rPr>
                <w:rFonts w:ascii="Times New Roman" w:hAnsi="Times New Roman"/>
                <w:b/>
                <w:lang w:eastAsia="lt-LT"/>
              </w:rPr>
              <w:t>Endokrininiai sutrikimai</w:t>
            </w:r>
          </w:p>
        </w:tc>
        <w:tc>
          <w:tcPr>
            <w:tcW w:w="4929" w:type="dxa"/>
            <w:tcBorders>
              <w:top w:val="single" w:sz="4" w:space="0" w:color="000000"/>
              <w:left w:val="single" w:sz="4" w:space="0" w:color="000000"/>
              <w:bottom w:val="single" w:sz="4" w:space="0" w:color="000000"/>
            </w:tcBorders>
            <w:shd w:val="clear" w:color="auto" w:fill="auto"/>
          </w:tcPr>
          <w:p w:rsidR="009623B5" w:rsidRPr="002F4C6C" w:rsidRDefault="009623B5">
            <w:pPr>
              <w:spacing w:after="0" w:line="240" w:lineRule="auto"/>
              <w:rPr>
                <w:rFonts w:ascii="Times New Roman" w:hAnsi="Times New Roman"/>
                <w:lang w:eastAsia="lt-LT"/>
              </w:rPr>
            </w:pPr>
            <w:r w:rsidRPr="002F4C6C">
              <w:rPr>
                <w:rFonts w:ascii="Times New Roman" w:hAnsi="Times New Roman"/>
                <w:lang w:eastAsia="lt-LT"/>
              </w:rPr>
              <w:t>Sutrikusios antidiurezinio hormono sekrecijos sindromas (SAHSS)</w:t>
            </w:r>
          </w:p>
        </w:tc>
        <w:tc>
          <w:tcPr>
            <w:tcW w:w="1364" w:type="dxa"/>
            <w:tcBorders>
              <w:top w:val="single" w:sz="4" w:space="0" w:color="000000"/>
              <w:left w:val="single" w:sz="4" w:space="0" w:color="000000"/>
              <w:bottom w:val="single" w:sz="4" w:space="0" w:color="000000"/>
            </w:tcBorders>
            <w:shd w:val="clear" w:color="auto" w:fill="auto"/>
          </w:tcPr>
          <w:p w:rsidR="009623B5" w:rsidRPr="002F4C6C" w:rsidRDefault="009623B5">
            <w:pPr>
              <w:spacing w:after="0" w:line="240" w:lineRule="auto"/>
              <w:jc w:val="center"/>
              <w:rPr>
                <w:rFonts w:ascii="Times New Roman" w:hAnsi="Times New Roman"/>
                <w:lang w:eastAsia="lt-LT"/>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623B5" w:rsidRPr="002F4C6C" w:rsidRDefault="009623B5">
            <w:pPr>
              <w:spacing w:after="0" w:line="240" w:lineRule="auto"/>
              <w:jc w:val="center"/>
              <w:rPr>
                <w:rFonts w:ascii="Times New Roman" w:hAnsi="Times New Roman"/>
                <w:lang w:eastAsia="lt-LT"/>
              </w:rPr>
            </w:pPr>
            <w:r w:rsidRPr="002F4C6C">
              <w:rPr>
                <w:rFonts w:ascii="Times New Roman" w:hAnsi="Times New Roman"/>
                <w:lang w:eastAsia="lt-LT"/>
              </w:rPr>
              <w:t>Retas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Metabolizmo ir mitybos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Hiperglikemija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F246A3">
            <w:pPr>
              <w:snapToGrid w:val="0"/>
              <w:spacing w:after="0" w:line="240" w:lineRule="auto"/>
              <w:jc w:val="center"/>
              <w:rPr>
                <w:rFonts w:ascii="Times New Roman" w:hAnsi="Times New Roman"/>
                <w:lang w:eastAsia="lt-LT"/>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Hipoglikemija (žr. 4.4 ir 4.5 skyrius)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F246A3">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Hiponatremija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Hiperkalemija, išnykstanti nutraukus vartojimą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 xml:space="preserve">Psichikos sutrikimai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Nemiga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Nuotaikos pokyčiai (įskaitant nerimą)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Depresija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F246A3">
            <w:pPr>
              <w:snapToGrid w:val="0"/>
              <w:spacing w:after="0" w:line="240" w:lineRule="auto"/>
              <w:jc w:val="center"/>
              <w:rPr>
                <w:rFonts w:ascii="Times New Roman" w:hAnsi="Times New Roman"/>
                <w:lang w:eastAsia="lt-LT"/>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6E5CBA">
            <w:pPr>
              <w:spacing w:after="0" w:line="240" w:lineRule="auto"/>
              <w:rPr>
                <w:rFonts w:ascii="Times New Roman" w:hAnsi="Times New Roman"/>
              </w:rPr>
            </w:pPr>
            <w:r w:rsidRPr="002F4C6C">
              <w:rPr>
                <w:rFonts w:ascii="Times New Roman" w:hAnsi="Times New Roman"/>
                <w:lang w:eastAsia="lt-LT"/>
              </w:rPr>
              <w:t xml:space="preserve">Miego </w:t>
            </w:r>
            <w:r w:rsidR="006E5CBA" w:rsidRPr="002F4C6C">
              <w:rPr>
                <w:rFonts w:ascii="Times New Roman" w:hAnsi="Times New Roman"/>
                <w:lang w:eastAsia="lt-LT"/>
              </w:rPr>
              <w:t>sutrikimai</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Nervų sistemos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Somnolencija (ypatingai gydymo pradžioje)</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F246A3">
            <w:pPr>
              <w:spacing w:after="0" w:line="240" w:lineRule="auto"/>
              <w:rPr>
                <w:rFonts w:ascii="Times New Roman" w:hAnsi="Times New Roman"/>
              </w:rPr>
            </w:pPr>
            <w:r w:rsidRPr="002F4C6C">
              <w:rPr>
                <w:rFonts w:ascii="Times New Roman" w:hAnsi="Times New Roman"/>
                <w:lang w:eastAsia="lt-LT"/>
              </w:rPr>
              <w:t>Svaigulys</w:t>
            </w:r>
            <w:r w:rsidR="00E250E1" w:rsidRPr="002F4C6C">
              <w:rPr>
                <w:rFonts w:ascii="Times New Roman" w:hAnsi="Times New Roman"/>
                <w:lang w:eastAsia="lt-LT"/>
              </w:rPr>
              <w:t xml:space="preserve"> (ypatingai gydymo pradžioje)</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Galvos skausmas (ypatingai gydymo pradžioje)</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Skonio pojūčio sutrikimas (disgeuzija)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Dreb</w:t>
            </w:r>
            <w:r w:rsidR="00F246A3" w:rsidRPr="002F4C6C">
              <w:rPr>
                <w:rFonts w:ascii="Times New Roman" w:hAnsi="Times New Roman"/>
                <w:lang w:eastAsia="lt-LT"/>
              </w:rPr>
              <w:t>ėjimas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Hipestezija </w:t>
            </w:r>
          </w:p>
          <w:p w:rsidR="00E250E1" w:rsidRPr="002F4C6C" w:rsidRDefault="00E250E1">
            <w:pPr>
              <w:spacing w:after="0" w:line="240" w:lineRule="auto"/>
              <w:rPr>
                <w:rFonts w:ascii="Times New Roman" w:hAnsi="Times New Roman"/>
              </w:rPr>
            </w:pPr>
            <w:r w:rsidRPr="002F4C6C">
              <w:rPr>
                <w:rFonts w:ascii="Times New Roman" w:hAnsi="Times New Roman"/>
                <w:lang w:eastAsia="lt-LT"/>
              </w:rPr>
              <w:t>Parestezija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F246A3"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A</w:t>
            </w:r>
            <w:r w:rsidR="00D0035B" w:rsidRPr="002F4C6C">
              <w:rPr>
                <w:rFonts w:ascii="Times New Roman" w:hAnsi="Times New Roman"/>
                <w:lang w:eastAsia="lt-LT"/>
              </w:rPr>
              <w:t>palpimas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F246A3"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Hipertonija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Periferinė neuropatija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Ekstrapiramidinis sutrikimas (ekstrapiramidinis sindromas)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Dažnis nežinomas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F932EF" w:rsidP="005360B3">
            <w:pPr>
              <w:spacing w:after="0" w:line="240" w:lineRule="auto"/>
              <w:rPr>
                <w:rFonts w:ascii="Times New Roman" w:hAnsi="Times New Roman"/>
              </w:rPr>
            </w:pPr>
            <w:r w:rsidRPr="00F932EF">
              <w:rPr>
                <w:rFonts w:ascii="Times New Roman" w:hAnsi="Times New Roman"/>
                <w:lang w:eastAsia="lt-LT"/>
              </w:rPr>
              <w:t>Cerebrovaskulinis (smegenų kraujagyslių) įvykis</w:t>
            </w:r>
            <w:r w:rsidR="005D3ACE" w:rsidRPr="002F4C6C">
              <w:rPr>
                <w:rFonts w:ascii="Times New Roman" w:hAnsi="Times New Roman"/>
                <w:lang w:eastAsia="lt-LT"/>
              </w:rPr>
              <w:t xml:space="preserve">, galimai antrinis dėl </w:t>
            </w:r>
            <w:r w:rsidR="005360B3" w:rsidRPr="002F4C6C">
              <w:rPr>
                <w:rFonts w:ascii="Times New Roman" w:hAnsi="Times New Roman"/>
                <w:lang w:eastAsia="lt-LT"/>
              </w:rPr>
              <w:t>p</w:t>
            </w:r>
            <w:r w:rsidR="00E250E1" w:rsidRPr="002F4C6C">
              <w:rPr>
                <w:rFonts w:ascii="Times New Roman" w:hAnsi="Times New Roman"/>
                <w:lang w:eastAsia="lt-LT"/>
              </w:rPr>
              <w:t>ernelyg didelė</w:t>
            </w:r>
            <w:r w:rsidR="005360B3" w:rsidRPr="002F4C6C">
              <w:rPr>
                <w:rFonts w:ascii="Times New Roman" w:hAnsi="Times New Roman"/>
                <w:lang w:eastAsia="lt-LT"/>
              </w:rPr>
              <w:t>s</w:t>
            </w:r>
            <w:r w:rsidR="00E250E1" w:rsidRPr="002F4C6C">
              <w:rPr>
                <w:rFonts w:ascii="Times New Roman" w:hAnsi="Times New Roman"/>
                <w:lang w:eastAsia="lt-LT"/>
              </w:rPr>
              <w:t xml:space="preserve"> hipotenzij</w:t>
            </w:r>
            <w:r w:rsidR="005360B3" w:rsidRPr="002F4C6C">
              <w:rPr>
                <w:rFonts w:ascii="Times New Roman" w:hAnsi="Times New Roman"/>
                <w:lang w:eastAsia="lt-LT"/>
              </w:rPr>
              <w:t>os</w:t>
            </w:r>
            <w:r w:rsidR="00E250E1" w:rsidRPr="002F4C6C">
              <w:rPr>
                <w:rFonts w:ascii="Times New Roman" w:hAnsi="Times New Roman"/>
                <w:lang w:eastAsia="lt-LT"/>
              </w:rPr>
              <w:t xml:space="preserve"> didelės rizikos grupės pacientams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Sumišim</w:t>
            </w:r>
            <w:r w:rsidR="00D0035B" w:rsidRPr="002F4C6C">
              <w:rPr>
                <w:rFonts w:ascii="Times New Roman" w:hAnsi="Times New Roman"/>
                <w:lang w:eastAsia="lt-LT"/>
              </w:rPr>
              <w:t>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 xml:space="preserve">Akių sutrikimai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F95B4E">
            <w:pPr>
              <w:spacing w:after="0" w:line="240" w:lineRule="auto"/>
              <w:rPr>
                <w:rFonts w:ascii="Times New Roman" w:hAnsi="Times New Roman"/>
              </w:rPr>
            </w:pPr>
            <w:r w:rsidRPr="002F4C6C">
              <w:rPr>
                <w:rFonts w:ascii="Times New Roman" w:hAnsi="Times New Roman"/>
                <w:lang w:eastAsia="lt-LT"/>
              </w:rPr>
              <w:t xml:space="preserve">Regėjimo </w:t>
            </w:r>
            <w:r w:rsidR="00F95B4E" w:rsidRPr="002F4C6C">
              <w:rPr>
                <w:rFonts w:ascii="Times New Roman" w:hAnsi="Times New Roman"/>
                <w:lang w:eastAsia="lt-LT"/>
              </w:rPr>
              <w:t>pablogėjimas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Dvejinimasis akyse</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D0035B">
            <w:pPr>
              <w:spacing w:after="0" w:line="240" w:lineRule="auto"/>
              <w:jc w:val="center"/>
              <w:rPr>
                <w:rFonts w:ascii="Times New Roman" w:hAnsi="Times New Roman"/>
              </w:rPr>
            </w:pPr>
            <w:r w:rsidRPr="002F4C6C">
              <w:rPr>
                <w:rFonts w:ascii="Times New Roman" w:hAnsi="Times New Roman"/>
                <w:lang w:eastAsia="lt-LT"/>
              </w:rPr>
              <w:t>Dažnas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Ausų ir labirintų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D0035B">
            <w:pPr>
              <w:spacing w:after="0" w:line="240" w:lineRule="auto"/>
              <w:rPr>
                <w:rFonts w:ascii="Times New Roman" w:hAnsi="Times New Roman"/>
              </w:rPr>
            </w:pPr>
            <w:r w:rsidRPr="002F4C6C">
              <w:rPr>
                <w:rFonts w:ascii="Times New Roman" w:hAnsi="Times New Roman"/>
                <w:lang w:eastAsia="lt-LT"/>
              </w:rPr>
              <w:t>Ūžesys (</w:t>
            </w:r>
            <w:r w:rsidRPr="002F4C6C">
              <w:rPr>
                <w:rFonts w:ascii="Times New Roman" w:hAnsi="Times New Roman"/>
                <w:i/>
                <w:iCs/>
                <w:lang w:eastAsia="lt-LT"/>
              </w:rPr>
              <w:t>tinnitus</w:t>
            </w:r>
            <w:r w:rsidRPr="002F4C6C">
              <w:rPr>
                <w:rFonts w:ascii="Times New Roman" w:hAnsi="Times New Roman"/>
                <w:lang w:eastAsia="lt-LT"/>
              </w:rPr>
              <w:t>)</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D0035B">
            <w:pPr>
              <w:spacing w:after="0" w:line="240" w:lineRule="auto"/>
              <w:rPr>
                <w:rFonts w:ascii="Times New Roman" w:hAnsi="Times New Roman"/>
              </w:rPr>
            </w:pPr>
            <w:r w:rsidRPr="002F4C6C">
              <w:rPr>
                <w:rFonts w:ascii="Times New Roman" w:hAnsi="Times New Roman"/>
                <w:lang w:eastAsia="lt-LT"/>
              </w:rPr>
              <w:t>Svaigimas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jc w:val="center"/>
              <w:rPr>
                <w:rFonts w:ascii="Times New Roman" w:hAnsi="Times New Roman"/>
                <w:lang w:eastAsia="lt-LT"/>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Širdies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Širdies plakim</w:t>
            </w:r>
            <w:r w:rsidR="00D0035B" w:rsidRPr="002F4C6C">
              <w:rPr>
                <w:rFonts w:ascii="Times New Roman" w:hAnsi="Times New Roman"/>
                <w:lang w:eastAsia="lt-LT"/>
              </w:rPr>
              <w:t>ai, perplakimai</w:t>
            </w:r>
            <w:r w:rsidRPr="002F4C6C">
              <w:rPr>
                <w:rFonts w:ascii="Times New Roman" w:hAnsi="Times New Roman"/>
                <w:lang w:eastAsia="lt-LT"/>
              </w:rPr>
              <w:t xml:space="preserve"> (palpitacijos)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5360B3" w:rsidP="005360B3">
            <w:pPr>
              <w:spacing w:after="0" w:line="240" w:lineRule="auto"/>
              <w:rPr>
                <w:rFonts w:ascii="Times New Roman" w:hAnsi="Times New Roman"/>
              </w:rPr>
            </w:pPr>
            <w:r w:rsidRPr="002F4C6C">
              <w:rPr>
                <w:rFonts w:ascii="Times New Roman" w:hAnsi="Times New Roman"/>
                <w:lang w:eastAsia="lt-LT"/>
              </w:rPr>
              <w:t>Tachikardija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5360B3">
            <w:pPr>
              <w:spacing w:after="0" w:line="240" w:lineRule="auto"/>
              <w:jc w:val="center"/>
              <w:rPr>
                <w:rFonts w:ascii="Times New Roman" w:hAnsi="Times New Roman"/>
              </w:rPr>
            </w:pPr>
            <w:r w:rsidRPr="002F4C6C">
              <w:rPr>
                <w:rFonts w:ascii="Times New Roman" w:hAnsi="Times New Roman"/>
                <w:lang w:eastAsia="lt-LT"/>
              </w:rPr>
              <w:t>Nedažnas</w:t>
            </w:r>
            <w:r w:rsidR="00E250E1"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Krūtinės angina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Miokardo infarktas, galimai dėl per didelės hipotenzijos didelės rizikos pacientų grupėje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Aritmija (įskaitant bradikardiją, skilvelinę tachikardiją ir prieširdžių virpėjimą)</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5360B3">
            <w:pPr>
              <w:spacing w:after="0"/>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pStyle w:val="ListParagraph1"/>
              <w:spacing w:after="0"/>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b/>
                <w:lang w:eastAsia="lt-LT"/>
              </w:rPr>
              <w:t xml:space="preserve">Kraujagyslių sutrikimai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Paraudimas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9623B5">
            <w:pPr>
              <w:spacing w:after="0"/>
              <w:jc w:val="center"/>
              <w:rPr>
                <w:rFonts w:ascii="Times New Roman" w:hAnsi="Times New Roman"/>
                <w:lang w:val="en-US"/>
              </w:rPr>
            </w:pPr>
            <w:r w:rsidRPr="002F4C6C">
              <w:rPr>
                <w:rFonts w:ascii="Times New Roman" w:hAnsi="Times New Roman"/>
                <w:lang w:eastAsia="lt-LT"/>
              </w:rPr>
              <w:t>Retas</w:t>
            </w:r>
            <w:r w:rsidR="005360B3" w:rsidRPr="002F4C6C">
              <w:rPr>
                <w:rFonts w:ascii="Times New Roman" w:hAnsi="Times New Roman"/>
                <w:lang w:val="en-US"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Hipotenzija (ir poveikis, susijęs su hipotenzija)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 xml:space="preserve">Vaskulitas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bCs/>
                <w:iCs/>
                <w:lang w:eastAsia="lt-LT"/>
              </w:rPr>
              <w:t>Reino (</w:t>
            </w:r>
            <w:r w:rsidRPr="002F4C6C">
              <w:rPr>
                <w:rFonts w:ascii="Times New Roman" w:hAnsi="Times New Roman"/>
                <w:bCs/>
                <w:i/>
                <w:iCs/>
                <w:lang w:eastAsia="lt-LT"/>
              </w:rPr>
              <w:t>Raynaud</w:t>
            </w:r>
            <w:r w:rsidRPr="002F4C6C">
              <w:rPr>
                <w:rFonts w:ascii="Times New Roman" w:hAnsi="Times New Roman"/>
                <w:bCs/>
                <w:iCs/>
                <w:lang w:eastAsia="lt-LT"/>
              </w:rPr>
              <w:t>) fenomenas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Dažnis nežinomas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b/>
                <w:lang w:eastAsia="lt-LT"/>
              </w:rPr>
              <w:t xml:space="preserve">Kvėpavimo sistemos, krūtinės ląstos ir tarpuplaučio sutrikimai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 xml:space="preserve">Dusulys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 xml:space="preserve">Kosulys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Bronchų spazmas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 xml:space="preserve">Eozinofilinė pneumonija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b/>
                <w:lang w:eastAsia="lt-LT"/>
              </w:rPr>
              <w:t>Virškinimo trakto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Dantenų hiperplazija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5360B3">
            <w:pPr>
              <w:spacing w:after="0"/>
              <w:rPr>
                <w:rFonts w:ascii="Times New Roman" w:hAnsi="Times New Roman"/>
              </w:rPr>
            </w:pPr>
            <w:r w:rsidRPr="002F4C6C">
              <w:rPr>
                <w:rFonts w:ascii="Times New Roman" w:hAnsi="Times New Roman"/>
                <w:lang w:eastAsia="lt-LT"/>
              </w:rPr>
              <w:t>Pilvo skausmas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5360B3"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5360B3" w:rsidRPr="002F4C6C" w:rsidRDefault="005360B3">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rPr>
                <w:rFonts w:ascii="Times New Roman" w:hAnsi="Times New Roman"/>
                <w:lang w:eastAsia="lt-LT"/>
              </w:rPr>
            </w:pPr>
            <w:r w:rsidRPr="002F4C6C">
              <w:rPr>
                <w:rFonts w:ascii="Times New Roman" w:hAnsi="Times New Roman"/>
                <w:lang w:eastAsia="lt-LT"/>
              </w:rPr>
              <w:t>Pykinimas</w:t>
            </w:r>
          </w:p>
        </w:tc>
        <w:tc>
          <w:tcPr>
            <w:tcW w:w="1364"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jc w:val="center"/>
              <w:rPr>
                <w:rFonts w:ascii="Times New Roman" w:hAnsi="Times New Roman"/>
                <w:lang w:eastAsia="lt-LT"/>
              </w:rPr>
            </w:pPr>
            <w:r w:rsidRPr="002F4C6C">
              <w:rPr>
                <w:rFonts w:ascii="Times New Roman" w:hAnsi="Times New Roman"/>
                <w:lang w:eastAsia="lt-LT"/>
              </w:rPr>
              <w:t>Dažnas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5360B3" w:rsidRPr="002F4C6C" w:rsidRDefault="005360B3">
            <w:pPr>
              <w:spacing w:after="0"/>
              <w:jc w:val="center"/>
              <w:rPr>
                <w:rFonts w:ascii="Times New Roman" w:hAnsi="Times New Roman"/>
                <w:lang w:eastAsia="lt-LT"/>
              </w:rPr>
            </w:pPr>
            <w:r w:rsidRPr="002F4C6C">
              <w:rPr>
                <w:rFonts w:ascii="Times New Roman" w:hAnsi="Times New Roman"/>
                <w:lang w:eastAsia="lt-LT"/>
              </w:rPr>
              <w:t>Dažnas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Vėmimas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Virškinimo sutrikimas (dispepsija)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Tuštinimosi pokytis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Burnos džiūvimas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Nedažn</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5360B3">
            <w:pPr>
              <w:spacing w:after="0"/>
              <w:rPr>
                <w:rFonts w:ascii="Times New Roman" w:hAnsi="Times New Roman"/>
              </w:rPr>
            </w:pPr>
            <w:r w:rsidRPr="002F4C6C">
              <w:rPr>
                <w:rFonts w:ascii="Times New Roman" w:hAnsi="Times New Roman"/>
                <w:lang w:eastAsia="lt-LT"/>
              </w:rPr>
              <w:t>Viduriavimas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Dažn</w:t>
            </w:r>
            <w:r w:rsidR="00D0035B" w:rsidRPr="002F4C6C">
              <w:rPr>
                <w:rFonts w:ascii="Times New Roman" w:hAnsi="Times New Roman"/>
                <w:lang w:eastAsia="lt-LT"/>
              </w:rPr>
              <w:t>as</w:t>
            </w:r>
          </w:p>
        </w:tc>
      </w:tr>
      <w:tr w:rsidR="005360B3"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5360B3" w:rsidRPr="002F4C6C" w:rsidRDefault="005360B3">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rPr>
                <w:rFonts w:ascii="Times New Roman" w:hAnsi="Times New Roman"/>
                <w:lang w:eastAsia="lt-LT"/>
              </w:rPr>
            </w:pPr>
            <w:r w:rsidRPr="002F4C6C">
              <w:rPr>
                <w:rFonts w:ascii="Times New Roman" w:hAnsi="Times New Roman"/>
                <w:lang w:eastAsia="lt-LT"/>
              </w:rPr>
              <w:t>Vidurių užkietėjimas</w:t>
            </w:r>
          </w:p>
        </w:tc>
        <w:tc>
          <w:tcPr>
            <w:tcW w:w="1364"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jc w:val="center"/>
              <w:rPr>
                <w:rFonts w:ascii="Times New Roman" w:hAnsi="Times New Roman"/>
                <w:lang w:eastAsia="lt-LT"/>
              </w:rPr>
            </w:pPr>
            <w:r w:rsidRPr="002F4C6C">
              <w:rPr>
                <w:rFonts w:ascii="Times New Roman" w:hAnsi="Times New Roman"/>
                <w:lang w:eastAsia="lt-LT"/>
              </w:rPr>
              <w:t>Dažnas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5360B3" w:rsidRPr="002F4C6C" w:rsidRDefault="005360B3">
            <w:pPr>
              <w:spacing w:after="0"/>
              <w:jc w:val="center"/>
              <w:rPr>
                <w:rFonts w:ascii="Times New Roman" w:hAnsi="Times New Roman"/>
                <w:lang w:eastAsia="lt-LT"/>
              </w:rPr>
            </w:pPr>
            <w:r w:rsidRPr="002F4C6C">
              <w:rPr>
                <w:rFonts w:ascii="Times New Roman" w:hAnsi="Times New Roman"/>
                <w:lang w:eastAsia="lt-LT"/>
              </w:rPr>
              <w:t>Dažnas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 xml:space="preserve">Pankreatitas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r w:rsidRPr="002F4C6C">
              <w:rPr>
                <w:rFonts w:ascii="Times New Roman" w:hAnsi="Times New Roman"/>
                <w:lang w:eastAsia="lt-LT"/>
              </w:rPr>
              <w:t>Gastritas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jc w:val="cente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jc w:val="center"/>
              <w:rPr>
                <w:rFonts w:ascii="Times New Roman" w:hAnsi="Times New Roman"/>
              </w:rPr>
            </w:pP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Kepenų, tulžies pūslės ir latakų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Hepatitas, gelta</w:t>
            </w:r>
          </w:p>
          <w:p w:rsidR="00E250E1" w:rsidRPr="002F4C6C" w:rsidRDefault="00E250E1">
            <w:pPr>
              <w:spacing w:after="0" w:line="240" w:lineRule="auto"/>
              <w:rPr>
                <w:rFonts w:ascii="Times New Roman" w:hAnsi="Times New Roman"/>
              </w:rPr>
            </w:pPr>
            <w:r w:rsidRPr="002F4C6C">
              <w:rPr>
                <w:rFonts w:ascii="Times New Roman" w:hAnsi="Times New Roman"/>
                <w:lang w:eastAsia="lt-LT"/>
              </w:rPr>
              <w:t>Citolizinis arba cholestazinis hepatitas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Kepenų fermentų aktyvumo padidėjimas (dažniausiai susijęs su cholestaze)</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Odos ir poodinio audinio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Kvinkės</w:t>
            </w:r>
            <w:r w:rsidR="00D0035B" w:rsidRPr="002F4C6C">
              <w:rPr>
                <w:rFonts w:ascii="Times New Roman" w:hAnsi="Times New Roman"/>
                <w:lang w:eastAsia="lt-LT"/>
              </w:rPr>
              <w:t xml:space="preserve"> (</w:t>
            </w:r>
            <w:r w:rsidR="00D0035B" w:rsidRPr="002F4C6C">
              <w:rPr>
                <w:rFonts w:ascii="Times New Roman" w:hAnsi="Times New Roman"/>
                <w:i/>
                <w:iCs/>
                <w:lang w:eastAsia="lt-LT"/>
              </w:rPr>
              <w:t>Quincke‘s</w:t>
            </w:r>
            <w:r w:rsidR="00D0035B" w:rsidRPr="002F4C6C">
              <w:rPr>
                <w:rFonts w:ascii="Times New Roman" w:hAnsi="Times New Roman"/>
                <w:lang w:eastAsia="lt-LT"/>
              </w:rPr>
              <w:t>)</w:t>
            </w:r>
            <w:r w:rsidRPr="002F4C6C">
              <w:rPr>
                <w:rFonts w:ascii="Times New Roman" w:hAnsi="Times New Roman"/>
                <w:lang w:eastAsia="lt-LT"/>
              </w:rPr>
              <w:t xml:space="preserve"> edema</w:t>
            </w:r>
          </w:p>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Veido, galūnių lūpų, gleivinių, liežuvio, balso </w:t>
            </w:r>
            <w:r w:rsidR="00821E92" w:rsidRPr="002F4C6C">
              <w:rPr>
                <w:rFonts w:ascii="Times New Roman" w:hAnsi="Times New Roman"/>
                <w:lang w:eastAsia="lt-LT"/>
              </w:rPr>
              <w:t>klosčių</w:t>
            </w:r>
            <w:r w:rsidRPr="002F4C6C">
              <w:rPr>
                <w:rFonts w:ascii="Times New Roman" w:hAnsi="Times New Roman"/>
                <w:lang w:eastAsia="lt-LT"/>
              </w:rPr>
              <w:t xml:space="preserve"> ir (arba) gerklų angio</w:t>
            </w:r>
            <w:r w:rsidR="00D0035B" w:rsidRPr="002F4C6C">
              <w:rPr>
                <w:rFonts w:ascii="Times New Roman" w:hAnsi="Times New Roman"/>
                <w:lang w:eastAsia="lt-LT"/>
              </w:rPr>
              <w:t xml:space="preserve">neurozinė </w:t>
            </w:r>
            <w:r w:rsidRPr="002F4C6C">
              <w:rPr>
                <w:rFonts w:ascii="Times New Roman" w:hAnsi="Times New Roman"/>
                <w:lang w:eastAsia="lt-LT"/>
              </w:rPr>
              <w:t xml:space="preserve">edema (žr. 4.4 skyrių)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D0035B" w:rsidRPr="002F4C6C">
              <w:rPr>
                <w:rFonts w:ascii="Times New Roman" w:hAnsi="Times New Roman"/>
                <w:lang w:eastAsia="lt-LT"/>
              </w:rPr>
              <w:t>as</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Daugiaformė raudonė</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Nuplikimas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Purpura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Odos spalvos išnykimas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821E92">
            <w:pPr>
              <w:spacing w:after="0" w:line="240" w:lineRule="auto"/>
              <w:jc w:val="center"/>
              <w:rPr>
                <w:rFonts w:ascii="Times New Roman" w:hAnsi="Times New Roman"/>
              </w:rPr>
            </w:pPr>
            <w:r w:rsidRPr="002F4C6C">
              <w:rPr>
                <w:rFonts w:ascii="Times New Roman" w:hAnsi="Times New Roman"/>
                <w:lang w:eastAsia="lt-LT"/>
              </w:rPr>
              <w:t>Nedažnas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Hiperhidrozė</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Niež</w:t>
            </w:r>
            <w:r w:rsidR="00821E92" w:rsidRPr="002F4C6C">
              <w:rPr>
                <w:rFonts w:ascii="Times New Roman" w:hAnsi="Times New Roman"/>
                <w:lang w:eastAsia="lt-LT"/>
              </w:rPr>
              <w:t>ėjimas</w:t>
            </w:r>
            <w:r w:rsidRPr="002F4C6C">
              <w:rPr>
                <w:rFonts w:ascii="Times New Roman" w:hAnsi="Times New Roman"/>
                <w:lang w:eastAsia="lt-LT"/>
              </w:rPr>
              <w:t xml:space="preserve">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821E92">
            <w:pPr>
              <w:spacing w:after="0" w:line="240" w:lineRule="auto"/>
              <w:rPr>
                <w:rFonts w:ascii="Times New Roman" w:hAnsi="Times New Roman"/>
              </w:rPr>
            </w:pPr>
            <w:r w:rsidRPr="002F4C6C">
              <w:rPr>
                <w:rFonts w:ascii="Times New Roman" w:hAnsi="Times New Roman"/>
                <w:lang w:eastAsia="lt-LT"/>
              </w:rPr>
              <w:t>Išb</w:t>
            </w:r>
            <w:r w:rsidR="00E250E1" w:rsidRPr="002F4C6C">
              <w:rPr>
                <w:rFonts w:ascii="Times New Roman" w:hAnsi="Times New Roman"/>
                <w:lang w:eastAsia="lt-LT"/>
              </w:rPr>
              <w:t>ėrimas, egzantema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Dilgėlinė</w:t>
            </w:r>
            <w:r w:rsidR="005360B3" w:rsidRPr="002F4C6C">
              <w:rPr>
                <w:rFonts w:ascii="Times New Roman" w:hAnsi="Times New Roman"/>
                <w:lang w:eastAsia="lt-LT"/>
              </w:rPr>
              <w:t xml:space="preserve"> (žr. 4. 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Stivenso-Džonsono</w:t>
            </w:r>
            <w:r w:rsidR="00821E92" w:rsidRPr="002F4C6C">
              <w:rPr>
                <w:rFonts w:ascii="Times New Roman" w:hAnsi="Times New Roman"/>
                <w:lang w:eastAsia="lt-LT"/>
              </w:rPr>
              <w:t xml:space="preserve"> (</w:t>
            </w:r>
            <w:r w:rsidR="00821E92" w:rsidRPr="002F4C6C">
              <w:rPr>
                <w:rFonts w:ascii="Times New Roman" w:hAnsi="Times New Roman"/>
                <w:i/>
                <w:iCs/>
                <w:lang w:eastAsia="lt-LT"/>
              </w:rPr>
              <w:t>Stevens-Johnson</w:t>
            </w:r>
            <w:r w:rsidR="00821E92" w:rsidRPr="002F4C6C">
              <w:rPr>
                <w:rFonts w:ascii="Times New Roman" w:hAnsi="Times New Roman"/>
                <w:lang w:eastAsia="lt-LT"/>
              </w:rPr>
              <w:t>)</w:t>
            </w:r>
            <w:r w:rsidRPr="002F4C6C">
              <w:rPr>
                <w:rFonts w:ascii="Times New Roman" w:hAnsi="Times New Roman"/>
                <w:lang w:eastAsia="lt-LT"/>
              </w:rPr>
              <w:t xml:space="preserve"> sindromas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Toksinė epidermio nekrolizė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Dažnis nežinomas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Eksfoliacinis dermatitas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Padidėjusio jautrumo šviesai reakcijos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Žvynelinės pasunkėjimas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Ret</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Pemfigoidas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bCs/>
                <w:lang w:eastAsia="lt-LT"/>
              </w:rPr>
              <w:t xml:space="preserve">Skeleto, raumenų ir </w:t>
            </w:r>
            <w:r w:rsidRPr="002F4C6C">
              <w:rPr>
                <w:rFonts w:ascii="Times New Roman" w:hAnsi="Times New Roman"/>
                <w:b/>
                <w:bCs/>
                <w:lang w:eastAsia="lt-LT"/>
              </w:rPr>
              <w:lastRenderedPageBreak/>
              <w:t>jungiamojo audinio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5360B3" w:rsidP="005360B3">
            <w:pPr>
              <w:spacing w:after="0" w:line="240" w:lineRule="auto"/>
              <w:rPr>
                <w:rFonts w:ascii="Times New Roman" w:hAnsi="Times New Roman"/>
              </w:rPr>
            </w:pPr>
            <w:r w:rsidRPr="002F4C6C">
              <w:rPr>
                <w:rFonts w:ascii="Times New Roman" w:hAnsi="Times New Roman"/>
                <w:lang w:eastAsia="lt-LT"/>
              </w:rPr>
              <w:lastRenderedPageBreak/>
              <w:t>Sąnarių patinimas (k</w:t>
            </w:r>
            <w:r w:rsidR="00E250E1" w:rsidRPr="002F4C6C">
              <w:rPr>
                <w:rFonts w:ascii="Times New Roman" w:hAnsi="Times New Roman"/>
                <w:lang w:eastAsia="lt-LT"/>
              </w:rPr>
              <w:t>ulkšnių patinimas</w:t>
            </w:r>
            <w:r w:rsidRPr="002F4C6C">
              <w:rPr>
                <w:rFonts w:ascii="Times New Roman" w:hAnsi="Times New Roman"/>
                <w:lang w:eastAsia="lt-LT"/>
              </w:rPr>
              <w:t>)</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bCs/>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5360B3">
            <w:pPr>
              <w:spacing w:after="0" w:line="240" w:lineRule="auto"/>
              <w:rPr>
                <w:rFonts w:ascii="Times New Roman" w:hAnsi="Times New Roman"/>
              </w:rPr>
            </w:pPr>
            <w:r w:rsidRPr="002F4C6C">
              <w:rPr>
                <w:rFonts w:ascii="Times New Roman" w:hAnsi="Times New Roman"/>
                <w:lang w:eastAsia="lt-LT"/>
              </w:rPr>
              <w:t>Sąnarių skausmai</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w:t>
            </w:r>
          </w:p>
        </w:tc>
      </w:tr>
      <w:tr w:rsidR="005360B3"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5360B3" w:rsidRPr="002F4C6C" w:rsidRDefault="005360B3">
            <w:pPr>
              <w:snapToGrid w:val="0"/>
              <w:spacing w:after="0" w:line="240" w:lineRule="auto"/>
              <w:rPr>
                <w:rFonts w:ascii="Times New Roman" w:eastAsia="Times New Roman" w:hAnsi="Times New Roman"/>
                <w:b/>
                <w:bCs/>
                <w:lang w:eastAsia="lt-LT"/>
              </w:rPr>
            </w:pPr>
          </w:p>
        </w:tc>
        <w:tc>
          <w:tcPr>
            <w:tcW w:w="4929" w:type="dxa"/>
            <w:tcBorders>
              <w:top w:val="single" w:sz="4" w:space="0" w:color="000000"/>
              <w:left w:val="single" w:sz="4" w:space="0" w:color="000000"/>
              <w:bottom w:val="single" w:sz="4" w:space="0" w:color="000000"/>
            </w:tcBorders>
            <w:shd w:val="clear" w:color="auto" w:fill="auto"/>
          </w:tcPr>
          <w:p w:rsidR="005360B3" w:rsidRPr="002F4C6C" w:rsidRDefault="007E2103" w:rsidP="005360B3">
            <w:pPr>
              <w:spacing w:after="0" w:line="240" w:lineRule="auto"/>
              <w:rPr>
                <w:rFonts w:ascii="Times New Roman" w:hAnsi="Times New Roman"/>
                <w:lang w:eastAsia="lt-LT"/>
              </w:rPr>
            </w:pPr>
            <w:r>
              <w:rPr>
                <w:rFonts w:ascii="Times New Roman" w:hAnsi="Times New Roman"/>
                <w:lang w:eastAsia="lt-LT"/>
              </w:rPr>
              <w:t>Mialgija</w:t>
            </w:r>
          </w:p>
        </w:tc>
        <w:tc>
          <w:tcPr>
            <w:tcW w:w="1364"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line="240" w:lineRule="auto"/>
              <w:jc w:val="center"/>
              <w:rPr>
                <w:rFonts w:ascii="Times New Roman" w:hAnsi="Times New Roman"/>
                <w:lang w:eastAsia="lt-LT"/>
              </w:rPr>
            </w:pPr>
            <w:r w:rsidRPr="002F4C6C">
              <w:rPr>
                <w:rFonts w:ascii="Times New Roman" w:hAnsi="Times New Roman"/>
                <w:lang w:eastAsia="lt-LT"/>
              </w:rPr>
              <w:t>Nedažnas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5360B3" w:rsidRPr="002F4C6C" w:rsidRDefault="005360B3" w:rsidP="005360B3">
            <w:pPr>
              <w:spacing w:after="0" w:line="240" w:lineRule="auto"/>
              <w:jc w:val="center"/>
              <w:rPr>
                <w:rFonts w:ascii="Times New Roman" w:hAnsi="Times New Roman"/>
                <w:lang w:eastAsia="lt-LT"/>
              </w:rPr>
            </w:pPr>
            <w:r w:rsidRPr="002F4C6C">
              <w:rPr>
                <w:rFonts w:ascii="Times New Roman" w:hAnsi="Times New Roman"/>
                <w:lang w:eastAsia="lt-LT"/>
              </w:rPr>
              <w:t>Nedažnas*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bCs/>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Raumenų spazmai</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bCs/>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Nugaros skausmas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Inkstų ir šlapimo takų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Šlapinimosi sutrikimas, naktinis šlapinimasis, dažnas šlapinimasis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Inkstų funkcijos </w:t>
            </w:r>
            <w:r w:rsidR="00821E92" w:rsidRPr="002F4C6C">
              <w:rPr>
                <w:rFonts w:ascii="Times New Roman" w:hAnsi="Times New Roman"/>
                <w:lang w:eastAsia="lt-LT"/>
              </w:rPr>
              <w:t>sutrikimas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r>
      <w:tr w:rsidR="009623B5"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9623B5" w:rsidRPr="002F4C6C" w:rsidRDefault="009623B5">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9623B5" w:rsidRPr="002F4C6C" w:rsidRDefault="009623B5">
            <w:pPr>
              <w:spacing w:after="0" w:line="240" w:lineRule="auto"/>
              <w:rPr>
                <w:rFonts w:ascii="Times New Roman" w:hAnsi="Times New Roman"/>
                <w:lang w:eastAsia="lt-LT"/>
              </w:rPr>
            </w:pPr>
            <w:r w:rsidRPr="002F4C6C">
              <w:rPr>
                <w:rFonts w:ascii="Times New Roman" w:hAnsi="Times New Roman"/>
                <w:lang w:eastAsia="lt-LT"/>
              </w:rPr>
              <w:t>Anurija/</w:t>
            </w:r>
            <w:r w:rsidR="005360B3" w:rsidRPr="002F4C6C">
              <w:rPr>
                <w:rFonts w:ascii="Times New Roman" w:hAnsi="Times New Roman"/>
                <w:lang w:eastAsia="lt-LT"/>
              </w:rPr>
              <w:t>o</w:t>
            </w:r>
            <w:r w:rsidRPr="002F4C6C">
              <w:rPr>
                <w:rFonts w:ascii="Times New Roman" w:hAnsi="Times New Roman"/>
                <w:lang w:eastAsia="lt-LT"/>
              </w:rPr>
              <w:t>ligurija</w:t>
            </w:r>
          </w:p>
        </w:tc>
        <w:tc>
          <w:tcPr>
            <w:tcW w:w="1364" w:type="dxa"/>
            <w:tcBorders>
              <w:top w:val="single" w:sz="4" w:space="0" w:color="000000"/>
              <w:left w:val="single" w:sz="4" w:space="0" w:color="000000"/>
              <w:bottom w:val="single" w:sz="4" w:space="0" w:color="000000"/>
            </w:tcBorders>
            <w:shd w:val="clear" w:color="auto" w:fill="auto"/>
          </w:tcPr>
          <w:p w:rsidR="009623B5" w:rsidRPr="002F4C6C" w:rsidRDefault="009623B5">
            <w:pPr>
              <w:spacing w:after="0" w:line="240" w:lineRule="auto"/>
              <w:jc w:val="center"/>
              <w:rPr>
                <w:rFonts w:ascii="Times New Roman" w:hAnsi="Times New Roman"/>
                <w:lang w:eastAsia="lt-LT"/>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623B5" w:rsidRPr="002F4C6C" w:rsidRDefault="009623B5">
            <w:pPr>
              <w:spacing w:after="0" w:line="240" w:lineRule="auto"/>
              <w:jc w:val="center"/>
              <w:rPr>
                <w:rFonts w:ascii="Times New Roman" w:hAnsi="Times New Roman"/>
                <w:lang w:eastAsia="lt-LT"/>
              </w:rPr>
            </w:pPr>
            <w:r w:rsidRPr="002F4C6C">
              <w:rPr>
                <w:rFonts w:ascii="Times New Roman" w:hAnsi="Times New Roman"/>
                <w:lang w:eastAsia="lt-LT"/>
              </w:rPr>
              <w:t>Retas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Ūminis inkstų nepakankamumas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7680A">
            <w:pPr>
              <w:spacing w:after="0" w:line="240" w:lineRule="auto"/>
              <w:jc w:val="center"/>
              <w:rPr>
                <w:rFonts w:ascii="Times New Roman" w:hAnsi="Times New Roman"/>
              </w:rPr>
            </w:pPr>
            <w:r w:rsidRPr="002F4C6C">
              <w:rPr>
                <w:rFonts w:ascii="Times New Roman" w:hAnsi="Times New Roman"/>
                <w:lang w:eastAsia="lt-LT"/>
              </w:rPr>
              <w:t>R</w:t>
            </w:r>
            <w:r w:rsidR="00E250E1" w:rsidRPr="002F4C6C">
              <w:rPr>
                <w:rFonts w:ascii="Times New Roman" w:hAnsi="Times New Roman"/>
                <w:lang w:eastAsia="lt-LT"/>
              </w:rPr>
              <w:t>et</w:t>
            </w:r>
            <w:r w:rsidR="00821E92" w:rsidRPr="002F4C6C">
              <w:rPr>
                <w:rFonts w:ascii="Times New Roman" w:hAnsi="Times New Roman"/>
                <w:lang w:eastAsia="lt-LT"/>
              </w:rPr>
              <w:t>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Lytinės sistemos ir krūties sutrikimai</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Ginekomastija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Erekcijos sutrikim</w:t>
            </w:r>
            <w:r w:rsidR="00821E92" w:rsidRPr="002F4C6C">
              <w:rPr>
                <w:rFonts w:ascii="Times New Roman" w:hAnsi="Times New Roman"/>
                <w:lang w:eastAsia="lt-LT"/>
              </w:rPr>
              <w:t>a</w:t>
            </w:r>
            <w:r w:rsidRPr="002F4C6C">
              <w:rPr>
                <w:rFonts w:ascii="Times New Roman" w:hAnsi="Times New Roman"/>
                <w:lang w:eastAsia="lt-LT"/>
              </w:rPr>
              <w:t>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 xml:space="preserve">Bendrieji sutrikimai ir vartojimo vietos pažeidimai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Edema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Periferinė edema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Nuovargis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Krūtinės skausmas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Astenija</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Dažn</w:t>
            </w:r>
            <w:r w:rsidR="00821E92" w:rsidRPr="002F4C6C">
              <w:rPr>
                <w:rFonts w:ascii="Times New Roman" w:hAnsi="Times New Roman"/>
                <w:lang w:eastAsia="lt-LT"/>
              </w:rPr>
              <w: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Skausmas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821E92">
            <w:pPr>
              <w:spacing w:after="0" w:line="240" w:lineRule="auto"/>
              <w:rPr>
                <w:rFonts w:ascii="Times New Roman" w:hAnsi="Times New Roman"/>
              </w:rPr>
            </w:pPr>
            <w:r w:rsidRPr="002F4C6C">
              <w:rPr>
                <w:rFonts w:ascii="Times New Roman" w:hAnsi="Times New Roman"/>
                <w:lang w:eastAsia="lt-LT"/>
              </w:rPr>
              <w:t>N</w:t>
            </w:r>
            <w:r w:rsidR="00E250E1" w:rsidRPr="002F4C6C">
              <w:rPr>
                <w:rFonts w:ascii="Times New Roman" w:hAnsi="Times New Roman"/>
                <w:lang w:eastAsia="lt-LT"/>
              </w:rPr>
              <w:t xml:space="preserve">egalavimas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Karščiavimas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r w:rsidRPr="002F4C6C">
              <w:rPr>
                <w:rFonts w:ascii="Times New Roman" w:hAnsi="Times New Roman"/>
                <w:lang w:eastAsia="lt-LT"/>
              </w:rPr>
              <w:t xml:space="preserve"> *</w:t>
            </w:r>
          </w:p>
        </w:tc>
      </w:tr>
      <w:tr w:rsidR="00E250E1" w:rsidRPr="002F4C6C" w:rsidTr="00383D73">
        <w:trPr>
          <w:jc w:val="center"/>
        </w:trPr>
        <w:tc>
          <w:tcPr>
            <w:tcW w:w="1767" w:type="dxa"/>
            <w:vMerge w:val="restart"/>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 xml:space="preserve">Tyrimai </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Svorio padidėjimas, svorio sumažėjimas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821E92" w:rsidRPr="002F4C6C">
              <w:rPr>
                <w:rFonts w:ascii="Times New Roman" w:hAnsi="Times New Roman"/>
                <w:lang w:eastAsia="lt-LT"/>
              </w:rPr>
              <w:t>as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Bilirubino koncentracijos kraujyje padidėjimas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Ret</w:t>
            </w:r>
            <w:r w:rsidR="00C71B52" w:rsidRPr="002F4C6C">
              <w:rPr>
                <w:rFonts w:ascii="Times New Roman" w:hAnsi="Times New Roman"/>
                <w:lang w:eastAsia="lt-LT"/>
              </w:rPr>
              <w:t>as</w:t>
            </w:r>
          </w:p>
        </w:tc>
      </w:tr>
      <w:tr w:rsidR="005360B3"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5360B3" w:rsidRPr="002F4C6C" w:rsidRDefault="005360B3">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line="240" w:lineRule="auto"/>
              <w:rPr>
                <w:rFonts w:ascii="Times New Roman" w:hAnsi="Times New Roman"/>
                <w:lang w:eastAsia="lt-LT"/>
              </w:rPr>
            </w:pPr>
            <w:r w:rsidRPr="002F4C6C">
              <w:rPr>
                <w:rFonts w:ascii="Times New Roman" w:hAnsi="Times New Roman"/>
                <w:lang w:eastAsia="lt-LT"/>
              </w:rPr>
              <w:t>Kepenų fermentų aktyvumo padidėjimas</w:t>
            </w:r>
          </w:p>
        </w:tc>
        <w:tc>
          <w:tcPr>
            <w:tcW w:w="1364"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line="240" w:lineRule="auto"/>
              <w:jc w:val="center"/>
              <w:rPr>
                <w:rFonts w:ascii="Times New Roman" w:hAnsi="Times New Roman"/>
                <w:lang w:eastAsia="lt-LT"/>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5360B3" w:rsidRPr="002F4C6C" w:rsidRDefault="005360B3">
            <w:pPr>
              <w:spacing w:after="0" w:line="240" w:lineRule="auto"/>
              <w:jc w:val="center"/>
              <w:rPr>
                <w:rFonts w:ascii="Times New Roman" w:hAnsi="Times New Roman"/>
                <w:lang w:eastAsia="lt-LT"/>
              </w:rPr>
            </w:pPr>
            <w:r w:rsidRPr="002F4C6C">
              <w:rPr>
                <w:rFonts w:ascii="Times New Roman" w:hAnsi="Times New Roman"/>
                <w:lang w:eastAsia="lt-LT"/>
              </w:rPr>
              <w:t>Retas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rsidP="005360B3">
            <w:pPr>
              <w:spacing w:after="0" w:line="240" w:lineRule="auto"/>
              <w:rPr>
                <w:rFonts w:ascii="Times New Roman" w:hAnsi="Times New Roman"/>
              </w:rPr>
            </w:pPr>
            <w:r w:rsidRPr="002F4C6C">
              <w:rPr>
                <w:rFonts w:ascii="Times New Roman" w:hAnsi="Times New Roman"/>
                <w:lang w:eastAsia="lt-LT"/>
              </w:rPr>
              <w:t>Šlapalo koncentracijos kraujyje padidėjimas</w:t>
            </w:r>
            <w:r w:rsidR="00C71B52" w:rsidRPr="002F4C6C">
              <w:rPr>
                <w:rFonts w:ascii="Times New Roman" w:hAnsi="Times New Roman"/>
                <w:lang w:eastAsia="lt-LT"/>
              </w:rPr>
              <w:t xml:space="preserve"> (žr. 4.4 skyrių)</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C71B52" w:rsidRPr="002F4C6C">
              <w:rPr>
                <w:rFonts w:ascii="Times New Roman" w:hAnsi="Times New Roman"/>
                <w:lang w:eastAsia="lt-LT"/>
              </w:rPr>
              <w:t>as</w:t>
            </w:r>
            <w:r w:rsidRPr="002F4C6C">
              <w:rPr>
                <w:rFonts w:ascii="Times New Roman" w:hAnsi="Times New Roman"/>
                <w:lang w:eastAsia="lt-LT"/>
              </w:rPr>
              <w:t>*</w:t>
            </w:r>
          </w:p>
        </w:tc>
      </w:tr>
      <w:tr w:rsidR="005360B3"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5360B3" w:rsidRPr="002F4C6C" w:rsidRDefault="005360B3">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5360B3" w:rsidRPr="002F4C6C" w:rsidRDefault="005360B3" w:rsidP="00815937">
            <w:pPr>
              <w:spacing w:after="0" w:line="240" w:lineRule="auto"/>
              <w:rPr>
                <w:rFonts w:ascii="Times New Roman" w:hAnsi="Times New Roman"/>
                <w:lang w:eastAsia="lt-LT"/>
              </w:rPr>
            </w:pPr>
            <w:r w:rsidRPr="002F4C6C">
              <w:rPr>
                <w:rFonts w:ascii="Times New Roman" w:hAnsi="Times New Roman"/>
                <w:lang w:eastAsia="lt-LT"/>
              </w:rPr>
              <w:t xml:space="preserve">Kreatinino koncentracijos kraujyje padidėjimas </w:t>
            </w:r>
          </w:p>
        </w:tc>
        <w:tc>
          <w:tcPr>
            <w:tcW w:w="1364" w:type="dxa"/>
            <w:tcBorders>
              <w:top w:val="single" w:sz="4" w:space="0" w:color="000000"/>
              <w:left w:val="single" w:sz="4" w:space="0" w:color="000000"/>
              <w:bottom w:val="single" w:sz="4" w:space="0" w:color="000000"/>
            </w:tcBorders>
            <w:shd w:val="clear" w:color="auto" w:fill="auto"/>
          </w:tcPr>
          <w:p w:rsidR="005360B3" w:rsidRPr="002F4C6C" w:rsidRDefault="005360B3">
            <w:pPr>
              <w:spacing w:after="0" w:line="240" w:lineRule="auto"/>
              <w:jc w:val="center"/>
              <w:rPr>
                <w:rFonts w:ascii="Times New Roman" w:hAnsi="Times New Roman"/>
                <w:lang w:eastAsia="lt-LT"/>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5360B3" w:rsidRPr="002F4C6C" w:rsidRDefault="00815937">
            <w:pPr>
              <w:spacing w:after="0" w:line="240" w:lineRule="auto"/>
              <w:jc w:val="center"/>
              <w:rPr>
                <w:rFonts w:ascii="Times New Roman" w:hAnsi="Times New Roman"/>
                <w:lang w:eastAsia="lt-LT"/>
              </w:rPr>
            </w:pPr>
            <w:r w:rsidRPr="002F4C6C">
              <w:rPr>
                <w:rFonts w:ascii="Times New Roman" w:hAnsi="Times New Roman"/>
                <w:lang w:eastAsia="lt-LT"/>
              </w:rPr>
              <w:t>Nedažnas*</w:t>
            </w: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p>
        </w:tc>
      </w:tr>
      <w:tr w:rsidR="00E250E1" w:rsidRPr="002F4C6C" w:rsidTr="00383D73">
        <w:trPr>
          <w:jc w:val="center"/>
        </w:trPr>
        <w:tc>
          <w:tcPr>
            <w:tcW w:w="1767" w:type="dxa"/>
            <w:vMerge/>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eastAsia="Times New Roman" w:hAnsi="Times New Roman"/>
                <w:b/>
                <w:lang w:eastAsia="lt-LT"/>
              </w:rPr>
            </w:pP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Hemoglobino koncentracijos kraujyje sumažėjimas ir hematokrito sumažėjimas</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Labai ret</w:t>
            </w:r>
            <w:r w:rsidR="00C71B52" w:rsidRPr="002F4C6C">
              <w:rPr>
                <w:rFonts w:ascii="Times New Roman" w:hAnsi="Times New Roman"/>
                <w:lang w:eastAsia="lt-LT"/>
              </w:rPr>
              <w:t>as</w:t>
            </w:r>
          </w:p>
        </w:tc>
      </w:tr>
      <w:tr w:rsidR="00E250E1" w:rsidRPr="002F4C6C" w:rsidTr="00383D73">
        <w:trPr>
          <w:jc w:val="center"/>
        </w:trPr>
        <w:tc>
          <w:tcPr>
            <w:tcW w:w="1767"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b/>
                <w:lang w:eastAsia="lt-LT"/>
              </w:rPr>
              <w:t>Sužalojimai, apsinuodijimai ir procedūrų komplikacijos</w:t>
            </w:r>
          </w:p>
        </w:tc>
        <w:tc>
          <w:tcPr>
            <w:tcW w:w="492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lang w:eastAsia="lt-LT"/>
              </w:rPr>
              <w:t xml:space="preserve">Pargriuvimas </w:t>
            </w:r>
          </w:p>
        </w:tc>
        <w:tc>
          <w:tcPr>
            <w:tcW w:w="1364"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jc w:val="center"/>
              <w:rPr>
                <w:rFonts w:ascii="Times New Roman" w:hAnsi="Times New Roman"/>
              </w:rPr>
            </w:pPr>
            <w:r w:rsidRPr="002F4C6C">
              <w:rPr>
                <w:rFonts w:ascii="Times New Roman" w:hAnsi="Times New Roman"/>
                <w:lang w:eastAsia="lt-LT"/>
              </w:rPr>
              <w:t>Nedažn</w:t>
            </w:r>
            <w:r w:rsidR="00C71B52" w:rsidRPr="002F4C6C">
              <w:rPr>
                <w:rFonts w:ascii="Times New Roman" w:hAnsi="Times New Roman"/>
                <w:lang w:eastAsia="lt-LT"/>
              </w:rPr>
              <w:t>as</w:t>
            </w:r>
            <w:r w:rsidRPr="002F4C6C">
              <w:rPr>
                <w:rFonts w:ascii="Times New Roman" w:hAnsi="Times New Roman"/>
                <w:lang w:eastAsia="lt-LT"/>
              </w:rPr>
              <w:t>*</w:t>
            </w:r>
          </w:p>
        </w:tc>
      </w:tr>
    </w:tbl>
    <w:p w:rsidR="00E250E1" w:rsidRPr="002F4C6C" w:rsidRDefault="00E250E1">
      <w:pPr>
        <w:spacing w:after="0" w:line="240" w:lineRule="auto"/>
        <w:rPr>
          <w:rFonts w:ascii="Times New Roman" w:hAnsi="Times New Roman"/>
        </w:rPr>
      </w:pPr>
      <w:r w:rsidRPr="002F4C6C">
        <w:rPr>
          <w:rFonts w:ascii="Times New Roman" w:hAnsi="Times New Roman"/>
        </w:rPr>
        <w:t>*</w:t>
      </w:r>
      <w:r w:rsidRPr="002F4C6C">
        <w:rPr>
          <w:rFonts w:ascii="Times New Roman" w:hAnsi="Times New Roman"/>
          <w:i/>
        </w:rPr>
        <w:t>Dažnis apskaičiuotas, remiantis klinikinių tyrimų duomenimis apie nepageidaujamus reiškinius, apie kuriuos buvo gauti savanoriški pranešimai.</w:t>
      </w:r>
    </w:p>
    <w:p w:rsidR="00E250E1" w:rsidRPr="002F4C6C" w:rsidRDefault="00E250E1">
      <w:pPr>
        <w:spacing w:after="0" w:line="240" w:lineRule="auto"/>
        <w:rPr>
          <w:rFonts w:ascii="Times New Roman" w:eastAsia="Times New Roman" w:hAnsi="Times New Roman"/>
          <w:i/>
          <w:u w:val="single"/>
        </w:rPr>
      </w:pPr>
    </w:p>
    <w:p w:rsidR="00E250E1" w:rsidRPr="002F4C6C" w:rsidRDefault="00E250E1">
      <w:pPr>
        <w:autoSpaceDE w:val="0"/>
        <w:spacing w:after="0" w:line="240" w:lineRule="auto"/>
        <w:jc w:val="both"/>
        <w:rPr>
          <w:rFonts w:ascii="Times New Roman" w:hAnsi="Times New Roman"/>
        </w:rPr>
      </w:pPr>
      <w:r w:rsidRPr="002F4C6C">
        <w:rPr>
          <w:rFonts w:ascii="Times New Roman" w:hAnsi="Times New Roman"/>
          <w:u w:val="single"/>
        </w:rPr>
        <w:t>Pranešimas apie įtariamas nepageidaujamas reakcijas</w:t>
      </w:r>
    </w:p>
    <w:p w:rsidR="00E250E1" w:rsidRPr="002F4C6C" w:rsidRDefault="00C71B52">
      <w:pPr>
        <w:spacing w:after="0" w:line="240" w:lineRule="auto"/>
        <w:rPr>
          <w:rFonts w:ascii="Times New Roman" w:hAnsi="Times New Roman"/>
        </w:rPr>
      </w:pPr>
      <w:r w:rsidRPr="002F4C6C">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2F4C6C">
        <w:rPr>
          <w:rFonts w:ascii="Times New Roman" w:hAnsi="Times New Roman"/>
          <w:color w:val="0000FF"/>
        </w:rPr>
        <w:t>https://vapris.vvkt.lt/vvkt-web/public/nrvSpecialist</w:t>
      </w:r>
      <w:r w:rsidRPr="002F4C6C">
        <w:rPr>
          <w:rFonts w:ascii="Times New Roman" w:hAnsi="Times New Roman"/>
        </w:rPr>
        <w:t xml:space="preserve"> arba užpildę Sveikatos priežiūros ar farmacijos specialisto pranešimo apie įtariamą nepageidaujamą reakciją formą, kuri skelbiama </w:t>
      </w:r>
      <w:r w:rsidRPr="002F4C6C">
        <w:rPr>
          <w:rFonts w:ascii="Times New Roman" w:hAnsi="Times New Roman"/>
          <w:color w:val="0000FF"/>
        </w:rPr>
        <w:t>https://www.vvkt.lt/index.php?1399030386</w:t>
      </w:r>
      <w:r w:rsidRPr="002F4C6C">
        <w:rPr>
          <w:rFonts w:ascii="Times New Roman" w:hAnsi="Times New Roman"/>
        </w:rPr>
        <w:t xml:space="preserve">, ir atsiųsti elektroniniu paštu (adresu </w:t>
      </w:r>
      <w:r w:rsidRPr="002F4C6C">
        <w:rPr>
          <w:rFonts w:ascii="Times New Roman" w:hAnsi="Times New Roman"/>
          <w:color w:val="0000FF"/>
        </w:rPr>
        <w:t>NepageidaujamaR@vvkt.lt</w:t>
      </w:r>
      <w:r w:rsidRPr="002F4C6C">
        <w:rPr>
          <w:rFonts w:ascii="Times New Roman" w:hAnsi="Times New Roman"/>
        </w:rPr>
        <w:t>).</w:t>
      </w:r>
    </w:p>
    <w:p w:rsidR="00CC399D" w:rsidRPr="002F4C6C" w:rsidRDefault="00CC399D">
      <w:pPr>
        <w:tabs>
          <w:tab w:val="left" w:pos="567"/>
        </w:tabs>
        <w:spacing w:after="0" w:line="240" w:lineRule="auto"/>
        <w:rPr>
          <w:rFonts w:ascii="Times New Roman" w:hAnsi="Times New Roman"/>
          <w:b/>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b/>
        </w:rPr>
        <w:t>4.9</w:t>
      </w:r>
      <w:r w:rsidRPr="002F4C6C">
        <w:rPr>
          <w:rFonts w:ascii="Times New Roman" w:hAnsi="Times New Roman"/>
          <w:b/>
        </w:rPr>
        <w:tab/>
        <w:t>Perdozavimas</w:t>
      </w:r>
    </w:p>
    <w:p w:rsidR="00E250E1" w:rsidRPr="002F4C6C" w:rsidRDefault="00E250E1">
      <w:pPr>
        <w:tabs>
          <w:tab w:val="left" w:pos="567"/>
        </w:tabs>
        <w:spacing w:after="0" w:line="240" w:lineRule="auto"/>
        <w:rPr>
          <w:rFonts w:ascii="Times New Roman" w:hAnsi="Times New Roman"/>
          <w:b/>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Apie perindoprilio ir amlodipino derinio perdozavimą žmonėms duomenų nėra. </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lastRenderedPageBreak/>
        <w:t xml:space="preserve">Apie amlodipino tyčinį perdozavimą duomenų yra nedaug. </w:t>
      </w:r>
    </w:p>
    <w:p w:rsidR="00E250E1" w:rsidRPr="002F4C6C" w:rsidRDefault="00E250E1">
      <w:pPr>
        <w:tabs>
          <w:tab w:val="left" w:pos="567"/>
        </w:tabs>
        <w:spacing w:after="0" w:line="240" w:lineRule="auto"/>
        <w:rPr>
          <w:rFonts w:ascii="Times New Roman" w:hAnsi="Times New Roman"/>
          <w:bCs/>
          <w:i/>
          <w:iCs/>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Simptomai</w:t>
      </w:r>
    </w:p>
    <w:p w:rsidR="00E250E1" w:rsidRPr="002F4C6C" w:rsidRDefault="00E250E1">
      <w:pPr>
        <w:spacing w:after="0" w:line="240" w:lineRule="auto"/>
        <w:rPr>
          <w:rFonts w:ascii="Times New Roman" w:hAnsi="Times New Roman"/>
          <w:bCs/>
          <w:iCs/>
        </w:rPr>
      </w:pPr>
      <w:r w:rsidRPr="002F4C6C">
        <w:rPr>
          <w:rFonts w:ascii="Times New Roman" w:hAnsi="Times New Roman"/>
          <w:bCs/>
          <w:iCs/>
        </w:rPr>
        <w:t xml:space="preserve">Prieinami duomenys rodo, kad stiprus perdozavimas gali sukelti pernelyg didelį periferinių kraujagyslių išsiplėtimą ir galimai </w:t>
      </w:r>
      <w:r w:rsidR="007131D2" w:rsidRPr="002F4C6C">
        <w:rPr>
          <w:rFonts w:ascii="Times New Roman" w:hAnsi="Times New Roman"/>
          <w:bCs/>
          <w:iCs/>
        </w:rPr>
        <w:t xml:space="preserve">refleksinę </w:t>
      </w:r>
      <w:r w:rsidRPr="002F4C6C">
        <w:rPr>
          <w:rFonts w:ascii="Times New Roman" w:hAnsi="Times New Roman"/>
          <w:bCs/>
          <w:iCs/>
        </w:rPr>
        <w:t>tachikardijos. Buvo gauta pranešimų apie žymią ir galimai pailgėjusią sisteminę hipotenziją net iki šoko bei įskaitant šoką, pasibaigusį mirtimi.</w:t>
      </w:r>
    </w:p>
    <w:p w:rsidR="0069375B" w:rsidRPr="002F4C6C" w:rsidRDefault="0069375B">
      <w:pPr>
        <w:spacing w:after="0" w:line="240" w:lineRule="auto"/>
        <w:rPr>
          <w:rFonts w:ascii="Times New Roman" w:hAnsi="Times New Roman"/>
          <w:bCs/>
          <w:iCs/>
        </w:rPr>
      </w:pPr>
    </w:p>
    <w:p w:rsidR="0069375B" w:rsidRPr="002F4C6C" w:rsidRDefault="0069375B">
      <w:pPr>
        <w:spacing w:after="0" w:line="240" w:lineRule="auto"/>
        <w:rPr>
          <w:rFonts w:ascii="Times New Roman" w:hAnsi="Times New Roman"/>
        </w:rPr>
      </w:pPr>
      <w:r w:rsidRPr="002F4C6C">
        <w:rPr>
          <w:rFonts w:ascii="Times New Roman" w:hAnsi="Times New Roman"/>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rsidR="00E250E1" w:rsidRPr="002F4C6C" w:rsidRDefault="00E250E1">
      <w:pPr>
        <w:spacing w:after="0" w:line="240" w:lineRule="auto"/>
        <w:rPr>
          <w:rFonts w:ascii="Times New Roman" w:hAnsi="Times New Roman"/>
          <w:bCs/>
          <w:i/>
          <w:iCs/>
        </w:rPr>
      </w:pPr>
    </w:p>
    <w:p w:rsidR="00E250E1" w:rsidRPr="002F4C6C" w:rsidRDefault="00E250E1">
      <w:pPr>
        <w:spacing w:after="0" w:line="240" w:lineRule="auto"/>
        <w:rPr>
          <w:rFonts w:ascii="Times New Roman" w:hAnsi="Times New Roman"/>
        </w:rPr>
      </w:pPr>
      <w:r w:rsidRPr="002F4C6C">
        <w:rPr>
          <w:rFonts w:ascii="Times New Roman" w:hAnsi="Times New Roman"/>
          <w:bCs/>
          <w:i/>
          <w:iCs/>
        </w:rPr>
        <w:t>Gydymas</w:t>
      </w:r>
    </w:p>
    <w:p w:rsidR="00E250E1" w:rsidRPr="002F4C6C" w:rsidRDefault="00E250E1">
      <w:pPr>
        <w:spacing w:after="0" w:line="240" w:lineRule="auto"/>
        <w:rPr>
          <w:rFonts w:ascii="Times New Roman" w:hAnsi="Times New Roman"/>
        </w:rPr>
      </w:pPr>
      <w:r w:rsidRPr="002F4C6C">
        <w:rPr>
          <w:rFonts w:ascii="Times New Roman" w:hAnsi="Times New Roman"/>
          <w:bCs/>
          <w:iCs/>
        </w:rPr>
        <w:t>Kliniškai reikšminga hipotenzija, susijusi su amlodipino perdozavimu, rodo aktyvaus širdies ir kraujagyslių veiklos palaikymo poreikį, įskaitant dažną širdies ir kvėpavimo funkcijos stebėjimą, galūnių pakėlimą į viršų bei reikalingumą atkreipti dėmesį į cirkuliuojančių skysčių tūrį bei šlapimo išsiskyrimą.</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Kraujagysles sutraukiantis </w:t>
      </w:r>
      <w:r w:rsidR="007131D2" w:rsidRPr="002F4C6C">
        <w:rPr>
          <w:rFonts w:ascii="Times New Roman" w:hAnsi="Times New Roman"/>
          <w:bCs/>
          <w:iCs/>
        </w:rPr>
        <w:t xml:space="preserve">vaistinis </w:t>
      </w:r>
      <w:r w:rsidRPr="002F4C6C">
        <w:rPr>
          <w:rFonts w:ascii="Times New Roman" w:hAnsi="Times New Roman"/>
          <w:bCs/>
          <w:iCs/>
        </w:rPr>
        <w:t xml:space="preserve">preparatas, jeigu nėra kontraindikacijų tokį </w:t>
      </w:r>
      <w:r w:rsidR="007131D2" w:rsidRPr="002F4C6C">
        <w:rPr>
          <w:rFonts w:ascii="Times New Roman" w:hAnsi="Times New Roman"/>
          <w:bCs/>
          <w:iCs/>
        </w:rPr>
        <w:t xml:space="preserve">vaistinį </w:t>
      </w:r>
      <w:r w:rsidRPr="002F4C6C">
        <w:rPr>
          <w:rFonts w:ascii="Times New Roman" w:hAnsi="Times New Roman"/>
          <w:bCs/>
          <w:iCs/>
        </w:rPr>
        <w:t xml:space="preserve">preparatą </w:t>
      </w:r>
      <w:r w:rsidR="007131D2" w:rsidRPr="002F4C6C">
        <w:rPr>
          <w:rFonts w:ascii="Times New Roman" w:hAnsi="Times New Roman"/>
          <w:bCs/>
          <w:iCs/>
        </w:rPr>
        <w:t>vartoti</w:t>
      </w:r>
      <w:r w:rsidRPr="002F4C6C">
        <w:rPr>
          <w:rFonts w:ascii="Times New Roman" w:hAnsi="Times New Roman"/>
          <w:bCs/>
          <w:iCs/>
        </w:rPr>
        <w:t xml:space="preserve">, gali padėti atstatyti kraujagyslių tonusą ir kraujo spaudimą. Į veną </w:t>
      </w:r>
      <w:r w:rsidR="007131D2" w:rsidRPr="002F4C6C">
        <w:rPr>
          <w:rFonts w:ascii="Times New Roman" w:hAnsi="Times New Roman"/>
          <w:bCs/>
          <w:iCs/>
        </w:rPr>
        <w:t>leidžiamas</w:t>
      </w:r>
      <w:r w:rsidRPr="002F4C6C">
        <w:rPr>
          <w:rFonts w:ascii="Times New Roman" w:hAnsi="Times New Roman"/>
          <w:bCs/>
          <w:iCs/>
        </w:rPr>
        <w:t xml:space="preserve"> kalcio gliukonatas gali padėti panaikinti kalcio kanalų blokados reiškinius.</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bCs/>
          <w:iCs/>
        </w:rPr>
      </w:pPr>
      <w:r w:rsidRPr="002F4C6C">
        <w:rPr>
          <w:rFonts w:ascii="Times New Roman" w:hAnsi="Times New Roman"/>
          <w:bCs/>
          <w:iCs/>
        </w:rPr>
        <w:t>Kai kuriais atvejais gali būti naudinga išplauti skrandį. Sveikiems savanoriams aktyvintosios anglies pavartojimas praėjus 2 valandoms po 10 mg amlodipino pavartojimo rodė amlodipino absorbcijos greičio sumažėjimą. Nepanašu, kad dializė būtų kiek nors naudinga, nes amlodipinas stipriai jungiasi prie kraujo plazmos baltymų.</w:t>
      </w:r>
    </w:p>
    <w:p w:rsidR="007131D2" w:rsidRPr="002F4C6C" w:rsidRDefault="007131D2">
      <w:pPr>
        <w:spacing w:after="0" w:line="240" w:lineRule="auto"/>
        <w:rPr>
          <w:rFonts w:ascii="Times New Roman" w:hAnsi="Times New Roman"/>
        </w:rPr>
      </w:pPr>
    </w:p>
    <w:p w:rsidR="00E250E1" w:rsidRPr="002F4C6C" w:rsidRDefault="00E250E1">
      <w:pPr>
        <w:spacing w:after="0" w:line="240" w:lineRule="auto"/>
        <w:rPr>
          <w:rFonts w:ascii="Times New Roman" w:hAnsi="Times New Roman"/>
          <w:bCs/>
          <w:iCs/>
        </w:rPr>
      </w:pPr>
      <w:r w:rsidRPr="002F4C6C">
        <w:rPr>
          <w:rFonts w:ascii="Times New Roman" w:hAnsi="Times New Roman"/>
          <w:bCs/>
          <w:iCs/>
        </w:rPr>
        <w:t xml:space="preserve">Apie perindoprilio perdozavimą žmonėms duomenų turima nedaug. </w:t>
      </w:r>
    </w:p>
    <w:p w:rsidR="007131D2" w:rsidRPr="002F4C6C" w:rsidRDefault="007131D2">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AKF inhibitorių perdozavimo simptomai gali būti hipotenzija, kraujotakos šokas, elektrolitų disbalansas, inkstų funkcijos sutrikimas, hiperventiliacija, tachikardija, širdies plakimo jausmas, bradikardija, </w:t>
      </w:r>
      <w:r w:rsidR="007131D2" w:rsidRPr="002F4C6C">
        <w:rPr>
          <w:rFonts w:ascii="Times New Roman" w:hAnsi="Times New Roman"/>
          <w:bCs/>
          <w:iCs/>
        </w:rPr>
        <w:t>svaigulys</w:t>
      </w:r>
      <w:r w:rsidRPr="002F4C6C">
        <w:rPr>
          <w:rFonts w:ascii="Times New Roman" w:hAnsi="Times New Roman"/>
          <w:bCs/>
          <w:iCs/>
        </w:rPr>
        <w:t>, nerimas ir kosulys.</w:t>
      </w: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Perdozavimo atveju rekomenduojama gydyti intravenine fiziologinio tirpalo infuzija. Jeigu atsiranda hipotenzija, pacientą reikia paguldyti į šoko padėtį (paguldyti ant nugaros ir pakelti kojas). Jei turima, galima gydyti angiotenzino II infuzija ir (arba) </w:t>
      </w:r>
      <w:r w:rsidR="007131D2" w:rsidRPr="002F4C6C">
        <w:rPr>
          <w:rFonts w:ascii="Times New Roman" w:hAnsi="Times New Roman"/>
          <w:bCs/>
          <w:iCs/>
        </w:rPr>
        <w:t>leisti</w:t>
      </w:r>
      <w:r w:rsidRPr="002F4C6C">
        <w:rPr>
          <w:rFonts w:ascii="Times New Roman" w:hAnsi="Times New Roman"/>
          <w:bCs/>
          <w:iCs/>
        </w:rPr>
        <w:t xml:space="preserve"> į veną katecholaminų. Perindoprilį iš sisteminės kraujotakos galima pašalinti hemodializės būdu (žr. 4.4 skyrių). </w:t>
      </w:r>
    </w:p>
    <w:p w:rsidR="00E250E1" w:rsidRPr="002F4C6C" w:rsidRDefault="00E250E1">
      <w:pPr>
        <w:spacing w:after="0" w:line="240" w:lineRule="auto"/>
        <w:rPr>
          <w:rFonts w:ascii="Times New Roman" w:hAnsi="Times New Roman"/>
        </w:rPr>
      </w:pPr>
      <w:r w:rsidRPr="002F4C6C">
        <w:rPr>
          <w:rFonts w:ascii="Times New Roman" w:hAnsi="Times New Roman"/>
          <w:bCs/>
          <w:iCs/>
        </w:rPr>
        <w:t>Jei bradikardija atspari skiriamam gydymui, reikia pradėti elektrinę širdies stimuliaciją. Reikia nuolat stebėti gyvybinius požymius, serumo elektrolitų ir kreatinino koncentraciją.</w:t>
      </w:r>
    </w:p>
    <w:p w:rsidR="00E250E1" w:rsidRPr="002F4C6C" w:rsidRDefault="00E250E1">
      <w:pPr>
        <w:spacing w:after="0" w:line="240" w:lineRule="auto"/>
        <w:rPr>
          <w:rFonts w:ascii="Times New Roman" w:hAnsi="Times New Roman"/>
          <w:b/>
          <w:bCs/>
          <w:iCs/>
        </w:rPr>
      </w:pPr>
    </w:p>
    <w:p w:rsidR="00E250E1" w:rsidRPr="002F4C6C" w:rsidRDefault="00E250E1">
      <w:pPr>
        <w:tabs>
          <w:tab w:val="left" w:pos="567"/>
        </w:tabs>
        <w:spacing w:after="0" w:line="240" w:lineRule="auto"/>
        <w:rPr>
          <w:rFonts w:ascii="Times New Roman" w:hAnsi="Times New Roman"/>
          <w:b/>
          <w:bCs/>
          <w:iCs/>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b/>
        </w:rPr>
        <w:t>5.</w:t>
      </w:r>
      <w:r w:rsidRPr="002F4C6C">
        <w:rPr>
          <w:rFonts w:ascii="Times New Roman" w:hAnsi="Times New Roman"/>
          <w:b/>
        </w:rPr>
        <w:tab/>
        <w:t>FARMAKOLOGINĖS SAVYBĖS</w:t>
      </w:r>
    </w:p>
    <w:p w:rsidR="00E250E1" w:rsidRPr="002F4C6C" w:rsidRDefault="00E250E1">
      <w:pPr>
        <w:tabs>
          <w:tab w:val="left" w:pos="567"/>
        </w:tabs>
        <w:spacing w:after="0" w:line="240" w:lineRule="auto"/>
        <w:rPr>
          <w:rFonts w:ascii="Times New Roman" w:hAnsi="Times New Roman"/>
          <w:b/>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b/>
        </w:rPr>
        <w:t>5.1</w:t>
      </w:r>
      <w:r w:rsidRPr="002F4C6C">
        <w:rPr>
          <w:rFonts w:ascii="Times New Roman" w:hAnsi="Times New Roman"/>
          <w:b/>
        </w:rPr>
        <w:tab/>
        <w:t>Farmakodinaminės savybės</w:t>
      </w:r>
    </w:p>
    <w:p w:rsidR="00E250E1" w:rsidRPr="002F4C6C" w:rsidRDefault="00E250E1">
      <w:pPr>
        <w:tabs>
          <w:tab w:val="left" w:pos="567"/>
        </w:tabs>
        <w:spacing w:after="0" w:line="240" w:lineRule="auto"/>
        <w:rPr>
          <w:rFonts w:ascii="Times New Roman" w:hAnsi="Times New Roman"/>
          <w:b/>
        </w:rPr>
      </w:pPr>
    </w:p>
    <w:p w:rsidR="00E250E1" w:rsidRPr="002F4C6C" w:rsidRDefault="00E250E1">
      <w:pPr>
        <w:rPr>
          <w:rFonts w:ascii="Times New Roman" w:hAnsi="Times New Roman"/>
        </w:rPr>
      </w:pPr>
      <w:r w:rsidRPr="002F4C6C">
        <w:rPr>
          <w:rFonts w:ascii="Times New Roman" w:hAnsi="Times New Roman"/>
        </w:rPr>
        <w:t xml:space="preserve">Farmakoterapinė grupė </w:t>
      </w:r>
      <w:r w:rsidRPr="002F4C6C">
        <w:rPr>
          <w:rFonts w:ascii="Times New Roman" w:eastAsia="Symbol" w:hAnsi="Times New Roman"/>
        </w:rPr>
        <w:t></w:t>
      </w:r>
      <w:r w:rsidRPr="002F4C6C">
        <w:rPr>
          <w:rFonts w:ascii="Times New Roman" w:hAnsi="Times New Roman"/>
        </w:rPr>
        <w:t xml:space="preserve"> AKF inhibitoriai</w:t>
      </w:r>
      <w:r w:rsidR="007131D2" w:rsidRPr="002F4C6C">
        <w:rPr>
          <w:rFonts w:ascii="Times New Roman" w:hAnsi="Times New Roman"/>
        </w:rPr>
        <w:t xml:space="preserve"> ir </w:t>
      </w:r>
      <w:r w:rsidRPr="002F4C6C">
        <w:rPr>
          <w:rFonts w:ascii="Times New Roman" w:hAnsi="Times New Roman"/>
        </w:rPr>
        <w:t xml:space="preserve"> kalcio kanalų blokatoriai, ATC kodas – C09BB04.</w:t>
      </w:r>
    </w:p>
    <w:p w:rsidR="00E250E1" w:rsidRPr="002F4C6C" w:rsidRDefault="00E250E1">
      <w:pPr>
        <w:rPr>
          <w:rFonts w:ascii="Times New Roman" w:hAnsi="Times New Roman"/>
        </w:rPr>
      </w:pPr>
      <w:r w:rsidRPr="002F4C6C">
        <w:rPr>
          <w:rFonts w:ascii="Times New Roman" w:hAnsi="Times New Roman"/>
          <w:bCs/>
          <w:i/>
          <w:iCs/>
          <w:u w:val="single"/>
        </w:rPr>
        <w:t>Perindoprilis</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u w:val="single"/>
        </w:rPr>
        <w:t>Veikimo mechanizmas</w:t>
      </w:r>
    </w:p>
    <w:p w:rsidR="00E250E1" w:rsidRPr="002F4C6C" w:rsidRDefault="00E250E1">
      <w:pPr>
        <w:tabs>
          <w:tab w:val="left" w:pos="567"/>
        </w:tabs>
        <w:spacing w:after="0" w:line="240" w:lineRule="auto"/>
        <w:rPr>
          <w:rFonts w:ascii="Times New Roman" w:hAnsi="Times New Roman"/>
          <w:u w:val="single"/>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Perindoprilis yra fermento, angiotenziną I paverčiančio angiotenzinu II, inhibitorius (AKF-inhibitorius). AKF arba kinazė, yra egzopeptidazė, kuri ne tik angiotenziną I verčia </w:t>
      </w:r>
      <w:r w:rsidR="00FB1A5D" w:rsidRPr="002F4C6C">
        <w:rPr>
          <w:rFonts w:ascii="Times New Roman" w:hAnsi="Times New Roman"/>
        </w:rPr>
        <w:t>vazokonstrikciniu</w:t>
      </w:r>
      <w:r w:rsidRPr="002F4C6C">
        <w:rPr>
          <w:rFonts w:ascii="Times New Roman" w:hAnsi="Times New Roman"/>
        </w:rPr>
        <w:t xml:space="preserve"> angiotenzinu II, bet ir skaldo </w:t>
      </w:r>
      <w:r w:rsidR="00FB1A5D" w:rsidRPr="002F4C6C">
        <w:rPr>
          <w:rFonts w:ascii="Times New Roman" w:hAnsi="Times New Roman"/>
        </w:rPr>
        <w:t>vazodilatatorių</w:t>
      </w:r>
      <w:r w:rsidRPr="002F4C6C">
        <w:rPr>
          <w:rFonts w:ascii="Times New Roman" w:hAnsi="Times New Roman"/>
        </w:rPr>
        <w:t xml:space="preserve"> bradikininą į neveiklius heptapeptidus. AKF slopinimas sukelia kraujo </w:t>
      </w:r>
      <w:r w:rsidRPr="002F4C6C">
        <w:rPr>
          <w:rFonts w:ascii="Times New Roman" w:hAnsi="Times New Roman"/>
        </w:rPr>
        <w:lastRenderedPageBreak/>
        <w:t>plazmoje angiotenzino II kiekio sumažėjimą ir dėl to padidėja renino aktyvumas (dėl neigiamo grįžtamojo ryšio slopinimo) kraujo plazmoje, sumažėja aldosterono sekrecija. Kadangi AKF ardo bradikininą, šį fermentą užslopinus lokaliai ir sisteminėje kraujotakoje padidėja kalikreino ir kininų sistemos aktyvumas (dėl to aktyvinama prostaglandinų sistema). Gali būti, kad šie pokyčiai gali prisidėti prie AKF inhibitorių sukeliamo kraujospūdžio maž</w:t>
      </w:r>
      <w:r w:rsidR="00316D49" w:rsidRPr="002F4C6C">
        <w:rPr>
          <w:rFonts w:ascii="Times New Roman" w:hAnsi="Times New Roman"/>
        </w:rPr>
        <w:t>inančio poveikio</w:t>
      </w:r>
      <w:r w:rsidRPr="002F4C6C">
        <w:rPr>
          <w:rFonts w:ascii="Times New Roman" w:hAnsi="Times New Roman"/>
        </w:rPr>
        <w:t xml:space="preserve"> ir turėti įtakos tam tikro nepageidaujamo poveikio (pvz., kosulio) pasireiškimui.</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 xml:space="preserve">Perindoprilis veikia per savo aktyvų metabolitą perindoprilatą. Kiti metabolitai </w:t>
      </w:r>
      <w:r w:rsidRPr="002F4C6C">
        <w:rPr>
          <w:rFonts w:ascii="Times New Roman" w:hAnsi="Times New Roman"/>
          <w:i/>
        </w:rPr>
        <w:t>in vitro</w:t>
      </w:r>
      <w:r w:rsidRPr="002F4C6C">
        <w:rPr>
          <w:rFonts w:ascii="Times New Roman" w:hAnsi="Times New Roman"/>
        </w:rPr>
        <w:t xml:space="preserve"> AKF neslopina.</w:t>
      </w:r>
    </w:p>
    <w:p w:rsidR="00E250E1" w:rsidRPr="002F4C6C" w:rsidRDefault="00E250E1">
      <w:pPr>
        <w:tabs>
          <w:tab w:val="left" w:pos="567"/>
        </w:tabs>
        <w:spacing w:after="0" w:line="240" w:lineRule="auto"/>
        <w:rPr>
          <w:rFonts w:ascii="Times New Roman" w:hAnsi="Times New Roman"/>
        </w:rPr>
      </w:pPr>
    </w:p>
    <w:p w:rsidR="00E250E1" w:rsidRPr="002F4C6C" w:rsidRDefault="00815937">
      <w:pPr>
        <w:tabs>
          <w:tab w:val="left" w:pos="567"/>
        </w:tabs>
        <w:spacing w:after="0" w:line="240" w:lineRule="auto"/>
        <w:rPr>
          <w:rFonts w:ascii="Times New Roman" w:hAnsi="Times New Roman"/>
        </w:rPr>
      </w:pPr>
      <w:r w:rsidRPr="002F4C6C">
        <w:rPr>
          <w:rFonts w:ascii="Times New Roman" w:hAnsi="Times New Roman"/>
          <w:u w:val="single"/>
        </w:rPr>
        <w:t>Klinikinis veiksmingumas ir saugumas</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i/>
        </w:rPr>
        <w:t>Hipertenzija</w:t>
      </w:r>
    </w:p>
    <w:p w:rsidR="00E250E1" w:rsidRPr="002F4C6C" w:rsidRDefault="00E250E1">
      <w:pPr>
        <w:spacing w:after="0" w:line="240" w:lineRule="auto"/>
        <w:rPr>
          <w:rFonts w:ascii="Times New Roman" w:hAnsi="Times New Roman"/>
        </w:rPr>
      </w:pPr>
      <w:r w:rsidRPr="002F4C6C">
        <w:rPr>
          <w:rFonts w:ascii="Times New Roman" w:hAnsi="Times New Roman"/>
        </w:rPr>
        <w:t>Perindoprilis yra aktyvus esant visiems hipertenzijos laipsniams: lengvam, vidutiniam, sunkiam; jis sumažina sistolinį ir diastolinį kraujospūdį tiek gulint, tiek stovint.</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Perindoprilis sumažina periferinių kraujagyslių pasipriešinimą, dėl to sumažėja kraujospūdis. Dėl šio poveikio padidėja periferinė kraujotaka, o širdies susitraukimų dažniui įtakos nėra.</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Paprastai padidėja kraujotaka per inkstus, o glomerulų filtracijos greitis (GFG) išlieka nepakitęs.</w:t>
      </w:r>
    </w:p>
    <w:p w:rsidR="00E250E1" w:rsidRPr="002F4C6C" w:rsidRDefault="00E250E1">
      <w:pPr>
        <w:spacing w:after="0" w:line="240" w:lineRule="auto"/>
        <w:rPr>
          <w:rFonts w:ascii="Times New Roman" w:hAnsi="Times New Roman"/>
        </w:rPr>
      </w:pPr>
      <w:r w:rsidRPr="002F4C6C">
        <w:rPr>
          <w:rFonts w:ascii="Times New Roman" w:hAnsi="Times New Roman"/>
        </w:rPr>
        <w:t>Maksimalus antihipertenzinis poveikis pasiekiamas po 4–6 valandų nuo vienos dozės suvartojimo ir išlieka mažiausiai 24 valandas: mažiausias poveikis sudaro maždaug 87–100 % didžiausio poveikio.</w:t>
      </w:r>
    </w:p>
    <w:p w:rsidR="00E250E1" w:rsidRPr="002F4C6C" w:rsidRDefault="00E250E1">
      <w:pPr>
        <w:spacing w:after="0" w:line="240" w:lineRule="auto"/>
        <w:rPr>
          <w:rFonts w:ascii="Times New Roman" w:hAnsi="Times New Roman"/>
        </w:rPr>
      </w:pPr>
      <w:r w:rsidRPr="002F4C6C">
        <w:rPr>
          <w:rFonts w:ascii="Times New Roman" w:hAnsi="Times New Roman"/>
        </w:rPr>
        <w:t>Kraujospūdis nukrenta greitai. Reaguojantiems į vaist</w:t>
      </w:r>
      <w:r w:rsidR="00FB1A5D" w:rsidRPr="002F4C6C">
        <w:rPr>
          <w:rFonts w:ascii="Times New Roman" w:hAnsi="Times New Roman"/>
        </w:rPr>
        <w:t>inį</w:t>
      </w:r>
      <w:r w:rsidRPr="002F4C6C">
        <w:rPr>
          <w:rFonts w:ascii="Times New Roman" w:hAnsi="Times New Roman"/>
        </w:rPr>
        <w:t xml:space="preserve"> </w:t>
      </w:r>
      <w:r w:rsidR="00FB1A5D" w:rsidRPr="002F4C6C">
        <w:rPr>
          <w:rFonts w:ascii="Times New Roman" w:hAnsi="Times New Roman"/>
        </w:rPr>
        <w:t xml:space="preserve">preparatą </w:t>
      </w:r>
      <w:r w:rsidRPr="002F4C6C">
        <w:rPr>
          <w:rFonts w:ascii="Times New Roman" w:hAnsi="Times New Roman"/>
        </w:rPr>
        <w:t>pacientams kraujospūdis, vaist</w:t>
      </w:r>
      <w:r w:rsidR="00FB1A5D" w:rsidRPr="002F4C6C">
        <w:rPr>
          <w:rFonts w:ascii="Times New Roman" w:hAnsi="Times New Roman"/>
        </w:rPr>
        <w:t>inį</w:t>
      </w:r>
      <w:r w:rsidRPr="002F4C6C">
        <w:rPr>
          <w:rFonts w:ascii="Times New Roman" w:hAnsi="Times New Roman"/>
        </w:rPr>
        <w:t xml:space="preserve"> </w:t>
      </w:r>
      <w:r w:rsidR="00FB1A5D" w:rsidRPr="002F4C6C">
        <w:rPr>
          <w:rFonts w:ascii="Times New Roman" w:hAnsi="Times New Roman"/>
        </w:rPr>
        <w:t xml:space="preserve"> preparatą </w:t>
      </w:r>
      <w:r w:rsidRPr="002F4C6C">
        <w:rPr>
          <w:rFonts w:ascii="Times New Roman" w:hAnsi="Times New Roman"/>
        </w:rPr>
        <w:t>vartojant, sunormalėja po mėnesio ir šis poveikis išlieka, tachifilaksija neatsiranda.</w:t>
      </w:r>
    </w:p>
    <w:p w:rsidR="00E250E1" w:rsidRPr="002F4C6C" w:rsidRDefault="00E250E1">
      <w:pPr>
        <w:spacing w:after="0" w:line="240" w:lineRule="auto"/>
        <w:rPr>
          <w:rFonts w:ascii="Times New Roman" w:hAnsi="Times New Roman"/>
        </w:rPr>
      </w:pPr>
      <w:r w:rsidRPr="002F4C6C">
        <w:rPr>
          <w:rFonts w:ascii="Times New Roman" w:hAnsi="Times New Roman"/>
        </w:rPr>
        <w:t>Gydymo nutraukimas nesukelia atoveiksmio fenomeno.</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Perindoprilis mažina kairiojo skilvelio hipertrofiją.</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Patvirtinta, kad žmogaus organizme perindoprilis turi vazodilatacinių savybių. Jis didina didžiųjų arterijų elastingumą ir sumažina mažųjų arterijų vidurinio dangalo ir spindžio </w:t>
      </w:r>
      <w:r w:rsidR="00FB1A5D" w:rsidRPr="002F4C6C">
        <w:rPr>
          <w:rFonts w:ascii="Times New Roman" w:hAnsi="Times New Roman"/>
        </w:rPr>
        <w:t>santykį</w:t>
      </w:r>
      <w:r w:rsidRPr="002F4C6C">
        <w:rPr>
          <w:rFonts w:ascii="Times New Roman" w:hAnsi="Times New Roman"/>
        </w:rPr>
        <w:t>.</w:t>
      </w:r>
    </w:p>
    <w:p w:rsidR="00E250E1" w:rsidRPr="002F4C6C" w:rsidRDefault="00E250E1">
      <w:pPr>
        <w:spacing w:after="0" w:line="240" w:lineRule="auto"/>
        <w:rPr>
          <w:rFonts w:ascii="Times New Roman" w:eastAsia="Arial Unicode MS" w:hAnsi="Times New Roman"/>
          <w:u w:val="single"/>
        </w:rPr>
      </w:pPr>
    </w:p>
    <w:p w:rsidR="00E250E1" w:rsidRPr="002F4C6C" w:rsidRDefault="00E250E1">
      <w:pPr>
        <w:spacing w:after="0" w:line="240" w:lineRule="auto"/>
        <w:rPr>
          <w:rFonts w:ascii="Times New Roman" w:hAnsi="Times New Roman"/>
        </w:rPr>
      </w:pPr>
      <w:r w:rsidRPr="002F4C6C">
        <w:rPr>
          <w:rFonts w:ascii="Times New Roman" w:eastAsia="Arial Unicode MS" w:hAnsi="Times New Roman"/>
          <w:i/>
        </w:rPr>
        <w:t>Stabili vainikinių arterijų (išeminė širdies) liga</w:t>
      </w:r>
    </w:p>
    <w:p w:rsidR="00E250E1" w:rsidRPr="002F4C6C" w:rsidRDefault="00E250E1">
      <w:pPr>
        <w:spacing w:after="0" w:line="240" w:lineRule="auto"/>
        <w:rPr>
          <w:rFonts w:ascii="Times New Roman" w:hAnsi="Times New Roman"/>
        </w:rPr>
      </w:pPr>
      <w:r w:rsidRPr="002F4C6C">
        <w:rPr>
          <w:rFonts w:ascii="Times New Roman" w:hAnsi="Times New Roman"/>
        </w:rPr>
        <w:t>Buvo atliktas daugiacentris, tarptautinis, atsitiktinės atrankos, dvigub</w:t>
      </w:r>
      <w:r w:rsidR="00FB1A5D" w:rsidRPr="002F4C6C">
        <w:rPr>
          <w:rFonts w:ascii="Times New Roman" w:hAnsi="Times New Roman"/>
        </w:rPr>
        <w:t>ai</w:t>
      </w:r>
      <w:r w:rsidRPr="002F4C6C">
        <w:rPr>
          <w:rFonts w:ascii="Times New Roman" w:hAnsi="Times New Roman"/>
        </w:rPr>
        <w:t xml:space="preserve"> kod</w:t>
      </w:r>
      <w:r w:rsidR="00FB1A5D" w:rsidRPr="002F4C6C">
        <w:rPr>
          <w:rFonts w:ascii="Times New Roman" w:hAnsi="Times New Roman"/>
        </w:rPr>
        <w:t>uotas</w:t>
      </w:r>
      <w:r w:rsidRPr="002F4C6C">
        <w:rPr>
          <w:rFonts w:ascii="Times New Roman" w:hAnsi="Times New Roman"/>
        </w:rPr>
        <w:t>, placebu kontroliuojamas klinikinis tyrimas EUROPA, kuris tęsėsi 4 metus.</w:t>
      </w:r>
    </w:p>
    <w:p w:rsidR="00E250E1" w:rsidRPr="002F4C6C" w:rsidRDefault="00E250E1">
      <w:pPr>
        <w:spacing w:after="0" w:line="240" w:lineRule="auto"/>
        <w:rPr>
          <w:rFonts w:ascii="Times New Roman" w:hAnsi="Times New Roman"/>
        </w:rPr>
      </w:pPr>
      <w:r w:rsidRPr="002F4C6C">
        <w:rPr>
          <w:rFonts w:ascii="Times New Roman" w:hAnsi="Times New Roman"/>
        </w:rPr>
        <w:t>12 218 pacientų, vyresnių kaip 18 metų amžiaus, buvo atsitiktinai suskirstyti į dvi grupes: pirmoji pacientų grupė vartojo perindoprilio tert-butilaminą (kuris atitinka 10 mg perindoprilio arginino) (n = 6110), antroji pacientų grupė gavo placebą (n = 6108).</w:t>
      </w:r>
    </w:p>
    <w:p w:rsidR="00E250E1" w:rsidRPr="002F4C6C" w:rsidRDefault="00E250E1">
      <w:pPr>
        <w:spacing w:after="0" w:line="240" w:lineRule="auto"/>
        <w:rPr>
          <w:rFonts w:ascii="Times New Roman" w:hAnsi="Times New Roman"/>
        </w:rPr>
      </w:pPr>
      <w:r w:rsidRPr="002F4C6C">
        <w:rPr>
          <w:rFonts w:ascii="Times New Roman" w:hAnsi="Times New Roman"/>
        </w:rPr>
        <w:t xml:space="preserve">Tyrime dalyvavę pacientai sirgo vainikinių arterijų liga be klinikinių širdies nepakankamumo požymių. Iš viso 90 % pacientų anksčiau buvo patyrę miokardo infarktą ir (arba) jiems buvo atlikta vainikinių kraujagyslių revaskuliarizacija. Didžioji dalis pacientų vartojo ne tik tiriamąjį </w:t>
      </w:r>
      <w:r w:rsidR="00FB1A5D" w:rsidRPr="002F4C6C">
        <w:rPr>
          <w:rFonts w:ascii="Times New Roman" w:hAnsi="Times New Roman"/>
        </w:rPr>
        <w:t xml:space="preserve">vaistinį </w:t>
      </w:r>
      <w:r w:rsidRPr="002F4C6C">
        <w:rPr>
          <w:rFonts w:ascii="Times New Roman" w:hAnsi="Times New Roman"/>
        </w:rPr>
        <w:t xml:space="preserve">preparatą, bet gavo ir įprastinį gydymą, įskaitant trombocitų agregacijos inhibitorius, lipidus mažinančius </w:t>
      </w:r>
      <w:r w:rsidR="00914478" w:rsidRPr="002F4C6C">
        <w:rPr>
          <w:rFonts w:ascii="Times New Roman" w:hAnsi="Times New Roman"/>
        </w:rPr>
        <w:t xml:space="preserve">vaistinius </w:t>
      </w:r>
      <w:r w:rsidRPr="002F4C6C">
        <w:rPr>
          <w:rFonts w:ascii="Times New Roman" w:hAnsi="Times New Roman"/>
        </w:rPr>
        <w:t>preparatus ir beta adrenoblokatorius.</w:t>
      </w:r>
    </w:p>
    <w:p w:rsidR="00E250E1" w:rsidRPr="002F4C6C" w:rsidRDefault="00E250E1">
      <w:pPr>
        <w:spacing w:after="0" w:line="240" w:lineRule="auto"/>
        <w:rPr>
          <w:rFonts w:ascii="Times New Roman" w:hAnsi="Times New Roman"/>
        </w:rPr>
      </w:pPr>
      <w:r w:rsidRPr="002F4C6C">
        <w:rPr>
          <w:rFonts w:ascii="Times New Roman" w:hAnsi="Times New Roman"/>
        </w:rPr>
        <w:t>Pagrindinį veiksmingumo kriterijų sudarė mirštamumas nuo širdies ir kraujagyslių sistemos ligų, nemirtinas miokardo infarktas ir (arba) širdies sustojimas su sėkmingu atgaivinimu. Gydant 8 mg perindoprilio tert-butilamino (atitinkančio 10 mg perindoprilio arginino) vieną kartą per parą doze, pagrindinis vertinimo kriterijus reikšmingai absoliučiai sumažėjo 1,9 % (santykinis rizikos [SR] sumažėjimas 20 %, 95 %PI [9,4; 28,6] – p &lt; 0,001).</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Pacientams, kurie buvo sirgę miokardo infarktu ir (arba) kuriems buvo atlikta revaskuliarizacija, palyginti su placebą vartojančiais pacientais, buvo nustatytas absoliutus pagrindinio vertinimo kriterijaus sumažėjimas 2,2 %, kuris atitinka 22,4 % SR sumažėjimą (95 %PI [12,0; 31,6] – p &lt; 0,001).</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Dvigubo renino-angiotenzino-aldosterono sistemos (RAAS) nuslopinimo klinikinių tyrimų duomenys</w:t>
      </w:r>
    </w:p>
    <w:p w:rsidR="00E250E1" w:rsidRPr="002F4C6C" w:rsidRDefault="00E250E1">
      <w:pPr>
        <w:spacing w:after="0" w:line="240" w:lineRule="auto"/>
        <w:rPr>
          <w:rFonts w:ascii="Times New Roman" w:hAnsi="Times New Roman"/>
        </w:rPr>
      </w:pPr>
      <w:r w:rsidRPr="002F4C6C">
        <w:rPr>
          <w:rFonts w:ascii="Times New Roman" w:hAnsi="Times New Roman"/>
        </w:rPr>
        <w:lastRenderedPageBreak/>
        <w:t>Dviem dideliais atsitiktinės atrankos, kontroliuojamais tyrimais (ONTARGET [angl. „</w:t>
      </w:r>
      <w:r w:rsidRPr="002F4C6C">
        <w:rPr>
          <w:rFonts w:ascii="Times New Roman" w:hAnsi="Times New Roman"/>
          <w:i/>
        </w:rPr>
        <w:t>ONgoing Telmisartan Alone and in combination with Ramipril Global Endpoint Trial</w:t>
      </w:r>
      <w:r w:rsidRPr="002F4C6C">
        <w:rPr>
          <w:rFonts w:ascii="Times New Roman" w:hAnsi="Times New Roman"/>
        </w:rPr>
        <w:t xml:space="preserve">“] ir VA NEPHRON-D [angl. </w:t>
      </w:r>
      <w:r w:rsidRPr="002F4C6C">
        <w:rPr>
          <w:rFonts w:ascii="Times New Roman" w:hAnsi="Times New Roman"/>
          <w:i/>
        </w:rPr>
        <w:t>„The Veterans Affairs Nephropathy in Diabetes“])</w:t>
      </w:r>
      <w:r w:rsidRPr="002F4C6C">
        <w:rPr>
          <w:rFonts w:ascii="Times New Roman" w:hAnsi="Times New Roman"/>
        </w:rPr>
        <w:t xml:space="preserve"> buvo ištirtas AKF inhibitoriaus ir angiotenzino II receptorių blokatoriaus derinio vartojimas.</w:t>
      </w:r>
    </w:p>
    <w:p w:rsidR="00E250E1" w:rsidRPr="002F4C6C" w:rsidRDefault="00E250E1">
      <w:pPr>
        <w:spacing w:after="0" w:line="240" w:lineRule="auto"/>
        <w:rPr>
          <w:rFonts w:ascii="Times New Roman" w:hAnsi="Times New Roman"/>
        </w:rPr>
      </w:pPr>
      <w:r w:rsidRPr="002F4C6C">
        <w:rPr>
          <w:rFonts w:ascii="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E250E1" w:rsidRPr="002F4C6C" w:rsidRDefault="00E250E1">
      <w:pPr>
        <w:spacing w:after="0" w:line="240" w:lineRule="auto"/>
        <w:rPr>
          <w:rFonts w:ascii="Times New Roman" w:hAnsi="Times New Roman"/>
        </w:rPr>
      </w:pPr>
      <w:r w:rsidRPr="002F4C6C">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E250E1" w:rsidRPr="002F4C6C" w:rsidRDefault="00E250E1">
      <w:pPr>
        <w:spacing w:after="0" w:line="240" w:lineRule="auto"/>
        <w:rPr>
          <w:rFonts w:ascii="Times New Roman" w:hAnsi="Times New Roman"/>
        </w:rPr>
      </w:pPr>
      <w:r w:rsidRPr="002F4C6C">
        <w:rPr>
          <w:rFonts w:ascii="Times New Roman" w:hAnsi="Times New Roman"/>
        </w:rPr>
        <w:t>Todėl pacientams, sergantiems diabetine nefropatija, negalima kartu vartoti AKF inhibitorių ir angiotenzino II receptorių blokatorių.</w:t>
      </w:r>
    </w:p>
    <w:p w:rsidR="00E250E1" w:rsidRPr="002F4C6C" w:rsidRDefault="00E250E1">
      <w:pPr>
        <w:spacing w:after="0" w:line="240" w:lineRule="auto"/>
        <w:rPr>
          <w:rFonts w:ascii="Times New Roman" w:hAnsi="Times New Roman"/>
        </w:rPr>
      </w:pPr>
      <w:r w:rsidRPr="002F4C6C">
        <w:rPr>
          <w:rFonts w:ascii="Times New Roman" w:hAnsi="Times New Roman"/>
        </w:rPr>
        <w:t>ALTITUDE (angl. „</w:t>
      </w:r>
      <w:r w:rsidRPr="002F4C6C">
        <w:rPr>
          <w:rFonts w:ascii="Times New Roman" w:hAnsi="Times New Roman"/>
          <w:i/>
        </w:rPr>
        <w:t>Aliskiren Trial in Type 2 Diabetes Using Cardiovascular and Renal Disease Endpoints</w:t>
      </w:r>
      <w:r w:rsidRPr="002F4C6C">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E250E1" w:rsidRPr="002F4C6C" w:rsidRDefault="00E250E1">
      <w:pPr>
        <w:tabs>
          <w:tab w:val="left" w:pos="567"/>
        </w:tabs>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Cs/>
          <w:i/>
          <w:iCs/>
          <w:u w:val="single"/>
        </w:rPr>
        <w:t>Amlodipinas</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Veikimo mechanizmas</w:t>
      </w:r>
    </w:p>
    <w:p w:rsidR="00E250E1" w:rsidRPr="002F4C6C" w:rsidRDefault="00E250E1">
      <w:pPr>
        <w:spacing w:after="0" w:line="240" w:lineRule="auto"/>
        <w:rPr>
          <w:rFonts w:ascii="Times New Roman" w:hAnsi="Times New Roman"/>
        </w:rPr>
      </w:pPr>
      <w:r w:rsidRPr="002F4C6C">
        <w:rPr>
          <w:rFonts w:ascii="Times New Roman" w:hAnsi="Times New Roman"/>
        </w:rPr>
        <w:t>Amlodipinas yra dihidropiridino grupės kalcio jonų įtekėjimo inhibitorius (lėtųjų kanalų blokatorius arba kalcio jonų antagonistas) ir slopina transmembraninį kalcio jonų įtekėjimą širdies ir kraujagyslių lygiuosiuose raumenyse.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Antihipertenzinio amlodipino veikimo mechanizmas vyksta dėl jo tiesioginio atpalaiduojamojo poveikio kraujagyslių lygiesiems raumenims. Tikslus mechanizmas, kuriuo amlodipinas sušvelnina anginos simptomus, nėra tiksliai apibrėžtas, tačiau amlodipinas sumažina bendrą išemiją šiais dviem veikimo būdais:</w:t>
      </w:r>
    </w:p>
    <w:p w:rsidR="00E250E1" w:rsidRPr="002F4C6C" w:rsidRDefault="00E250E1">
      <w:pPr>
        <w:pStyle w:val="ListParagraph1"/>
        <w:numPr>
          <w:ilvl w:val="0"/>
          <w:numId w:val="8"/>
        </w:numPr>
        <w:spacing w:after="0" w:line="240" w:lineRule="auto"/>
        <w:ind w:left="567" w:hanging="567"/>
        <w:rPr>
          <w:rFonts w:ascii="Times New Roman" w:hAnsi="Times New Roman"/>
        </w:rPr>
      </w:pPr>
      <w:r w:rsidRPr="002F4C6C">
        <w:rPr>
          <w:rFonts w:ascii="Times New Roman" w:hAnsi="Times New Roman"/>
        </w:rPr>
        <w:t>amlodipinas išplečia periferines arterioles, tuo būdu sumažina bendrą periferinį pasipriešinimą (pokrūvį), prieš kurį dirba širdis. Kadangi širdies susitraukimų dažnis išlieka stabilus, dėl tokio širdies nukrovimo sumažėja miokardo energijos suvartojimas ir deguonies poreikiai;</w:t>
      </w:r>
    </w:p>
    <w:p w:rsidR="00E250E1" w:rsidRPr="002F4C6C" w:rsidRDefault="00E250E1">
      <w:pPr>
        <w:pStyle w:val="ListParagraph1"/>
        <w:numPr>
          <w:ilvl w:val="0"/>
          <w:numId w:val="8"/>
        </w:numPr>
        <w:spacing w:after="0" w:line="240" w:lineRule="auto"/>
        <w:ind w:left="567" w:hanging="567"/>
        <w:rPr>
          <w:rFonts w:ascii="Times New Roman" w:hAnsi="Times New Roman"/>
        </w:rPr>
      </w:pPr>
      <w:r w:rsidRPr="002F4C6C">
        <w:rPr>
          <w:rFonts w:ascii="Times New Roman" w:hAnsi="Times New Roman"/>
        </w:rPr>
        <w:t>tikriausiai dar amlodipinas išplečia pagrindines vainikines arterijas ir vainikines arterioles, tiek normaliose, tiek išeminėse srityse. Dėl šio išplėtimo padidėja deguonies pristatymas į miokardą pacientams, kuriems yra vainikinių arterijų spazmas (</w:t>
      </w:r>
      <w:r w:rsidRPr="002F4C6C">
        <w:rPr>
          <w:rFonts w:ascii="Times New Roman" w:hAnsi="Times New Roman"/>
          <w:i/>
          <w:iCs/>
        </w:rPr>
        <w:t>Prinzmetal</w:t>
      </w:r>
      <w:r w:rsidRPr="002F4C6C">
        <w:rPr>
          <w:rFonts w:ascii="Times New Roman" w:hAnsi="Times New Roman"/>
        </w:rPr>
        <w:t xml:space="preserve"> arba variantinė angina).</w:t>
      </w:r>
    </w:p>
    <w:p w:rsidR="00E250E1" w:rsidRPr="002F4C6C" w:rsidRDefault="00E250E1">
      <w:pPr>
        <w:spacing w:after="0" w:line="240" w:lineRule="auto"/>
        <w:rPr>
          <w:rFonts w:ascii="Times New Roman" w:hAnsi="Times New Roman"/>
          <w:u w:val="single"/>
        </w:rPr>
      </w:pPr>
    </w:p>
    <w:p w:rsidR="00E250E1" w:rsidRPr="002F4C6C" w:rsidRDefault="00815937">
      <w:pPr>
        <w:spacing w:after="0" w:line="240" w:lineRule="auto"/>
        <w:rPr>
          <w:rFonts w:ascii="Times New Roman" w:hAnsi="Times New Roman"/>
        </w:rPr>
      </w:pPr>
      <w:r w:rsidRPr="002F4C6C">
        <w:rPr>
          <w:rFonts w:ascii="Times New Roman" w:hAnsi="Times New Roman"/>
          <w:u w:val="single"/>
        </w:rPr>
        <w:t>Klinikinis veiksmingumas ir saugumas</w:t>
      </w:r>
    </w:p>
    <w:p w:rsidR="00E250E1" w:rsidRPr="002F4C6C" w:rsidRDefault="00E250E1">
      <w:pPr>
        <w:spacing w:after="0" w:line="240" w:lineRule="auto"/>
        <w:rPr>
          <w:rFonts w:ascii="Times New Roman" w:hAnsi="Times New Roman"/>
        </w:rPr>
      </w:pPr>
      <w:r w:rsidRPr="002F4C6C">
        <w:rPr>
          <w:rFonts w:ascii="Times New Roman" w:hAnsi="Times New Roman"/>
        </w:rPr>
        <w:t>Pacientams, sergantiems hipertenzija, vaistinio preparato vartojimas vieną kartą per parą 24 valandų laikotarpiui užtikrina kliniškai reikšmingą kraujospūdžio sumažėjimą gulint ir stovint. Dėl lėtos veikimo pradžios ūminė hipotenzija nėra būdinga vartojant amlodipiną.</w:t>
      </w:r>
    </w:p>
    <w:p w:rsidR="00E250E1" w:rsidRPr="002F4C6C" w:rsidRDefault="00E250E1">
      <w:pPr>
        <w:spacing w:after="0" w:line="240" w:lineRule="auto"/>
        <w:rPr>
          <w:rFonts w:ascii="Times New Roman" w:hAnsi="Times New Roman"/>
        </w:rPr>
      </w:pPr>
      <w:r w:rsidRPr="002F4C6C">
        <w:rPr>
          <w:rFonts w:ascii="Times New Roman" w:hAnsi="Times New Roman"/>
        </w:rPr>
        <w:t>Pacientams, sergantiems krūtinės angina, amlodipino vartojimas vieną kartą per parą padidina bendrąjį fizinio krūvio laiką, laikotarpį iki anginos priepuolio pradžios ir laiką iki ST segmento nusileidimo 1 mm, sumažina anginos priepuolių dažnį ir glicerolio trinitrato tablečių suvartojimą.</w:t>
      </w:r>
    </w:p>
    <w:p w:rsidR="00E250E1" w:rsidRPr="002F4C6C" w:rsidRDefault="00E250E1">
      <w:pPr>
        <w:spacing w:after="0"/>
        <w:rPr>
          <w:rFonts w:ascii="Times New Roman" w:hAnsi="Times New Roman"/>
        </w:rPr>
      </w:pPr>
      <w:r w:rsidRPr="002F4C6C">
        <w:rPr>
          <w:rFonts w:ascii="Times New Roman" w:hAnsi="Times New Roman"/>
        </w:rPr>
        <w:t>Amlodipinas nėra susijęs su kokiais nors nepageidaujamais metaboliniais reiškiniais ar plazmos lipidų pokyčiais ir tinka vartoti pacientams, sergantiems astma,</w:t>
      </w:r>
      <w:r w:rsidR="006E3708" w:rsidRPr="002F4C6C">
        <w:rPr>
          <w:rFonts w:ascii="Times New Roman" w:hAnsi="Times New Roman"/>
        </w:rPr>
        <w:t xml:space="preserve"> cukriniu</w:t>
      </w:r>
      <w:r w:rsidRPr="002F4C6C">
        <w:rPr>
          <w:rFonts w:ascii="Times New Roman" w:hAnsi="Times New Roman"/>
        </w:rPr>
        <w:t xml:space="preserve"> diabetu ir podagra.</w:t>
      </w:r>
    </w:p>
    <w:p w:rsidR="00E250E1" w:rsidRPr="002F4C6C" w:rsidRDefault="00E250E1">
      <w:pPr>
        <w:spacing w:after="0"/>
        <w:rPr>
          <w:rFonts w:ascii="Times New Roman" w:hAnsi="Times New Roman"/>
          <w:u w:val="single"/>
        </w:rPr>
      </w:pPr>
    </w:p>
    <w:p w:rsidR="00E250E1" w:rsidRPr="002F4C6C" w:rsidRDefault="00815937">
      <w:pPr>
        <w:spacing w:after="0"/>
        <w:rPr>
          <w:rFonts w:ascii="Times New Roman" w:hAnsi="Times New Roman"/>
        </w:rPr>
      </w:pPr>
      <w:r w:rsidRPr="002F4C6C">
        <w:rPr>
          <w:rFonts w:ascii="Times New Roman" w:hAnsi="Times New Roman"/>
          <w:u w:val="single"/>
        </w:rPr>
        <w:t>V</w:t>
      </w:r>
      <w:r w:rsidR="00E250E1" w:rsidRPr="002F4C6C">
        <w:rPr>
          <w:rFonts w:ascii="Times New Roman" w:hAnsi="Times New Roman"/>
          <w:u w:val="single"/>
        </w:rPr>
        <w:t>ainikinių arterijų (išeminė širdies) liga</w:t>
      </w:r>
    </w:p>
    <w:p w:rsidR="00E250E1" w:rsidRPr="002F4C6C" w:rsidRDefault="00E250E1">
      <w:pPr>
        <w:spacing w:after="0" w:line="240" w:lineRule="auto"/>
        <w:rPr>
          <w:rFonts w:ascii="Times New Roman" w:hAnsi="Times New Roman"/>
        </w:rPr>
      </w:pPr>
      <w:r w:rsidRPr="002F4C6C">
        <w:rPr>
          <w:rFonts w:ascii="Times New Roman" w:hAnsi="Times New Roman"/>
        </w:rPr>
        <w:lastRenderedPageBreak/>
        <w:t xml:space="preserve">Klinikinių reiškinių prevencijai amlodipino veiksmingumas pacientams, sergantiems vainikinių arterijų liga, buvo vertinamas nepriklausomo, daugiacentrio, atsitiktinių imčių, dvigubai </w:t>
      </w:r>
      <w:r w:rsidR="009F1335" w:rsidRPr="002F4C6C">
        <w:rPr>
          <w:rFonts w:ascii="Times New Roman" w:hAnsi="Times New Roman"/>
        </w:rPr>
        <w:t>koduoto</w:t>
      </w:r>
      <w:r w:rsidRPr="002F4C6C">
        <w:rPr>
          <w:rFonts w:ascii="Times New Roman" w:hAnsi="Times New Roman"/>
        </w:rPr>
        <w:t xml:space="preserve">, placebu kontroliuojamo tyrimo metu, kuriame dalyvavo 1997 pacientai; amlodipino ir enalaprilio palyginimas mažinant trombozės pasireiškimo atvejus (angl. </w:t>
      </w:r>
      <w:r w:rsidRPr="002F4C6C">
        <w:rPr>
          <w:rFonts w:ascii="Times New Roman" w:hAnsi="Times New Roman"/>
          <w:i/>
        </w:rPr>
        <w:t>Comparison of Amlodipine vs. Enalapril to Limit Occurrences of Thrombosis (CAMELOT</w:t>
      </w:r>
      <w:r w:rsidRPr="002F4C6C">
        <w:rPr>
          <w:rFonts w:ascii="Times New Roman" w:hAnsi="Times New Roman"/>
        </w:rPr>
        <w:t xml:space="preserve">). Dvejus metus 663 iš tyrime dalyvavusių pacientų buvo gydomi 5-10 mg amlodipino doze, 673 pacientai buvo gydomi 10-20 mg enalaprilio doze, o 655 pacientai gavo placebo. Buvo skirtas papildomas standartinis gydymas statinais, betablokatoriais, diuretikais ir  acetilsalicilo rūgštimi. Pagrindiniai veiksmingumo rezultatai pateikiami 1 lentelėje. Rezultatai rodo, kad gydymas amlodipinu buvo susijęs su mažesniu pacientų, sergančių vainikinių arterijų liga, gydymu ligoninėje </w:t>
      </w:r>
      <w:r w:rsidR="009F1335" w:rsidRPr="002F4C6C">
        <w:rPr>
          <w:rFonts w:ascii="Times New Roman" w:hAnsi="Times New Roman"/>
        </w:rPr>
        <w:t xml:space="preserve">dažniu </w:t>
      </w:r>
      <w:r w:rsidRPr="002F4C6C">
        <w:rPr>
          <w:rFonts w:ascii="Times New Roman" w:hAnsi="Times New Roman"/>
        </w:rPr>
        <w:t>dėl krūtinės anginos ir revaskuliarizacijos procedūrų.</w:t>
      </w:r>
    </w:p>
    <w:p w:rsidR="00E250E1" w:rsidRPr="002F4C6C" w:rsidRDefault="00E250E1">
      <w:pPr>
        <w:spacing w:after="0" w:line="240" w:lineRule="auto"/>
        <w:rPr>
          <w:rFonts w:ascii="Times New Roman" w:hAnsi="Times New Roman"/>
        </w:rPr>
      </w:pPr>
    </w:p>
    <w:tbl>
      <w:tblPr>
        <w:tblW w:w="0" w:type="auto"/>
        <w:tblInd w:w="-20" w:type="dxa"/>
        <w:tblLayout w:type="fixed"/>
        <w:tblLook w:val="0000" w:firstRow="0" w:lastRow="0" w:firstColumn="0" w:lastColumn="0" w:noHBand="0" w:noVBand="0"/>
      </w:tblPr>
      <w:tblGrid>
        <w:gridCol w:w="2547"/>
        <w:gridCol w:w="1389"/>
        <w:gridCol w:w="1021"/>
        <w:gridCol w:w="1275"/>
        <w:gridCol w:w="2127"/>
        <w:gridCol w:w="969"/>
      </w:tblGrid>
      <w:tr w:rsidR="00E250E1" w:rsidRPr="002F4C6C" w:rsidTr="00383D73">
        <w:tc>
          <w:tcPr>
            <w:tcW w:w="9328" w:type="dxa"/>
            <w:gridSpan w:val="6"/>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bCs/>
              </w:rPr>
            </w:pPr>
            <w:r w:rsidRPr="002F4C6C">
              <w:rPr>
                <w:rFonts w:ascii="Times New Roman" w:hAnsi="Times New Roman"/>
                <w:bCs/>
              </w:rPr>
              <w:t>1 lentelė. CAMELOT tyrimo reikšmingi klinikinių reiškinių rezultatai</w:t>
            </w:r>
          </w:p>
        </w:tc>
      </w:tr>
      <w:tr w:rsidR="00E250E1" w:rsidRPr="002F4C6C" w:rsidTr="00383D73">
        <w:tc>
          <w:tcPr>
            <w:tcW w:w="6232" w:type="dxa"/>
            <w:gridSpan w:val="4"/>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u w:val="single"/>
              </w:rPr>
              <w:t>Širdies ir kraujagyslių reiškinių rodikliai, skaičius (%)</w:t>
            </w:r>
          </w:p>
        </w:tc>
        <w:tc>
          <w:tcPr>
            <w:tcW w:w="3096" w:type="dxa"/>
            <w:gridSpan w:val="2"/>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u w:val="single"/>
              </w:rPr>
              <w:t>Amlodipinas, palyginti su placebu</w:t>
            </w:r>
          </w:p>
        </w:tc>
      </w:tr>
      <w:tr w:rsidR="00E250E1" w:rsidRPr="002F4C6C" w:rsidTr="00383D73">
        <w:tc>
          <w:tcPr>
            <w:tcW w:w="2547"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Pasekmės</w:t>
            </w:r>
          </w:p>
        </w:tc>
        <w:tc>
          <w:tcPr>
            <w:tcW w:w="1389"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Amlodipinas</w:t>
            </w:r>
          </w:p>
        </w:tc>
        <w:tc>
          <w:tcPr>
            <w:tcW w:w="1021"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Placebas</w:t>
            </w:r>
          </w:p>
        </w:tc>
        <w:tc>
          <w:tcPr>
            <w:tcW w:w="1275"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Enalaprilis</w:t>
            </w:r>
          </w:p>
        </w:tc>
        <w:tc>
          <w:tcPr>
            <w:tcW w:w="2127"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Rizikos koeficientas (95 % PI)</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iCs/>
              </w:rPr>
              <w:t>p</w:t>
            </w:r>
            <w:r w:rsidRPr="002F4C6C">
              <w:rPr>
                <w:rFonts w:ascii="Times New Roman" w:hAnsi="Times New Roman"/>
                <w:i/>
                <w:iCs/>
              </w:rPr>
              <w:t xml:space="preserve"> </w:t>
            </w:r>
            <w:r w:rsidRPr="002F4C6C">
              <w:rPr>
                <w:rFonts w:ascii="Times New Roman" w:hAnsi="Times New Roman"/>
              </w:rPr>
              <w:t>vertė</w:t>
            </w:r>
          </w:p>
        </w:tc>
      </w:tr>
      <w:tr w:rsidR="00E250E1" w:rsidRPr="002F4C6C" w:rsidTr="00383D73">
        <w:tc>
          <w:tcPr>
            <w:tcW w:w="2547" w:type="dxa"/>
            <w:tcBorders>
              <w:top w:val="single" w:sz="4" w:space="0" w:color="000000"/>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u w:val="single"/>
              </w:rPr>
              <w:t>Pagrindinė vertinamoji baigtis</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Nepageidaujami širdies ir kraujagyslių reiškiniai </w:t>
            </w:r>
          </w:p>
        </w:tc>
        <w:tc>
          <w:tcPr>
            <w:tcW w:w="1389"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110 (16,6)</w:t>
            </w:r>
          </w:p>
        </w:tc>
        <w:tc>
          <w:tcPr>
            <w:tcW w:w="1021"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151 (23,1)</w:t>
            </w:r>
          </w:p>
        </w:tc>
        <w:tc>
          <w:tcPr>
            <w:tcW w:w="1275"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136 (20,2)</w:t>
            </w:r>
          </w:p>
        </w:tc>
        <w:tc>
          <w:tcPr>
            <w:tcW w:w="2127" w:type="dxa"/>
            <w:tcBorders>
              <w:top w:val="single" w:sz="4" w:space="0" w:color="000000"/>
              <w:left w:val="single" w:sz="4" w:space="0" w:color="000000"/>
              <w:bottom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0,69 (0,54</w:t>
            </w:r>
            <w:r w:rsidRPr="002F4C6C">
              <w:rPr>
                <w:rFonts w:ascii="Times New Roman" w:hAnsi="Times New Roman"/>
                <w:color w:val="000000"/>
                <w:lang w:eastAsia="fr-FR"/>
              </w:rPr>
              <w:t>–</w:t>
            </w:r>
            <w:r w:rsidRPr="002F4C6C">
              <w:rPr>
                <w:rFonts w:ascii="Times New Roman" w:hAnsi="Times New Roman"/>
                <w:u w:val="single"/>
              </w:rPr>
              <w:t>0,88)</w:t>
            </w: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0,003</w:t>
            </w:r>
          </w:p>
        </w:tc>
      </w:tr>
      <w:tr w:rsidR="00E250E1" w:rsidRPr="002F4C6C" w:rsidTr="00383D73">
        <w:trPr>
          <w:trHeight w:val="481"/>
        </w:trPr>
        <w:tc>
          <w:tcPr>
            <w:tcW w:w="2547" w:type="dxa"/>
            <w:tcBorders>
              <w:top w:val="single" w:sz="4" w:space="0" w:color="000000"/>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u w:val="single"/>
              </w:rPr>
              <w:t>Individualūs komponentai</w:t>
            </w:r>
          </w:p>
        </w:tc>
        <w:tc>
          <w:tcPr>
            <w:tcW w:w="1389" w:type="dxa"/>
            <w:tcBorders>
              <w:top w:val="single" w:sz="4" w:space="0" w:color="000000"/>
              <w:left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tc>
        <w:tc>
          <w:tcPr>
            <w:tcW w:w="1021" w:type="dxa"/>
            <w:tcBorders>
              <w:top w:val="single" w:sz="4" w:space="0" w:color="000000"/>
              <w:left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tc>
        <w:tc>
          <w:tcPr>
            <w:tcW w:w="1275" w:type="dxa"/>
            <w:tcBorders>
              <w:top w:val="single" w:sz="4" w:space="0" w:color="000000"/>
              <w:left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tc>
        <w:tc>
          <w:tcPr>
            <w:tcW w:w="2127" w:type="dxa"/>
            <w:tcBorders>
              <w:top w:val="single" w:sz="4" w:space="0" w:color="000000"/>
              <w:left w:val="single" w:sz="4" w:space="0" w:color="000000"/>
            </w:tcBorders>
            <w:shd w:val="clear" w:color="auto" w:fill="auto"/>
          </w:tcPr>
          <w:p w:rsidR="00E250E1" w:rsidRPr="002F4C6C" w:rsidRDefault="00E250E1">
            <w:pPr>
              <w:snapToGrid w:val="0"/>
              <w:spacing w:after="0" w:line="240" w:lineRule="auto"/>
              <w:rPr>
                <w:rFonts w:ascii="Times New Roman" w:hAnsi="Times New Roman"/>
                <w:u w:val="single"/>
              </w:rPr>
            </w:pPr>
          </w:p>
        </w:tc>
        <w:tc>
          <w:tcPr>
            <w:tcW w:w="969" w:type="dxa"/>
            <w:tcBorders>
              <w:top w:val="single" w:sz="4" w:space="0" w:color="000000"/>
              <w:left w:val="single" w:sz="4" w:space="0" w:color="000000"/>
              <w:right w:val="single" w:sz="4" w:space="0" w:color="000000"/>
            </w:tcBorders>
            <w:shd w:val="clear" w:color="auto" w:fill="auto"/>
          </w:tcPr>
          <w:p w:rsidR="00E250E1" w:rsidRPr="002F4C6C" w:rsidRDefault="00E250E1">
            <w:pPr>
              <w:snapToGrid w:val="0"/>
              <w:spacing w:after="0" w:line="240" w:lineRule="auto"/>
              <w:rPr>
                <w:rFonts w:ascii="Times New Roman" w:hAnsi="Times New Roman"/>
              </w:rPr>
            </w:pP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Koronarinė revaskuliarizacija</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78 (11,8)</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103 (15,7)</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95 (14,1)</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0,73 (0,54</w:t>
            </w:r>
            <w:r w:rsidRPr="002F4C6C">
              <w:rPr>
                <w:rFonts w:ascii="Times New Roman" w:hAnsi="Times New Roman"/>
                <w:color w:val="000000"/>
                <w:lang w:eastAsia="fr-FR"/>
              </w:rPr>
              <w:t>–</w:t>
            </w:r>
            <w:r w:rsidRPr="002F4C6C">
              <w:rPr>
                <w:rFonts w:ascii="Times New Roman" w:hAnsi="Times New Roman"/>
              </w:rPr>
              <w:t>0,98)</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0,03</w:t>
            </w: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Hospitalizacija dėl krūtinės anginos</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51 (7,7)</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84 (12,8)</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86 (12,8)</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0,58 (0,41</w:t>
            </w:r>
            <w:r w:rsidRPr="002F4C6C">
              <w:rPr>
                <w:rFonts w:ascii="Times New Roman" w:hAnsi="Times New Roman"/>
                <w:color w:val="000000"/>
                <w:lang w:eastAsia="fr-FR"/>
              </w:rPr>
              <w:t>–</w:t>
            </w:r>
            <w:r w:rsidRPr="002F4C6C">
              <w:rPr>
                <w:rFonts w:ascii="Times New Roman" w:hAnsi="Times New Roman"/>
              </w:rPr>
              <w:t>0,82)</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0,002</w:t>
            </w: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Nemirtinas MI</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14 (2,1)</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19 (2,9)</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11 (1,6)</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0,73 (0,37</w:t>
            </w:r>
            <w:r w:rsidRPr="002F4C6C">
              <w:rPr>
                <w:rFonts w:ascii="Times New Roman" w:hAnsi="Times New Roman"/>
                <w:color w:val="000000"/>
                <w:lang w:eastAsia="fr-FR"/>
              </w:rPr>
              <w:t>–</w:t>
            </w:r>
            <w:r w:rsidRPr="002F4C6C">
              <w:rPr>
                <w:rFonts w:ascii="Times New Roman" w:hAnsi="Times New Roman"/>
              </w:rPr>
              <w:t>1,46)</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0,37</w:t>
            </w: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Insultas arba tranzitorinė išeminė ataka</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6 (0,9)</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12 (1,8)</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8 (1,2)</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0,50 (0,19–1,32)</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0,15</w:t>
            </w: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Mirtis dėl širdies ir kraujagyslių sutrikimo</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5 (0,8)</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2 (0,3)</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5 (0,7)</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2,46 (0,48</w:t>
            </w:r>
            <w:r w:rsidRPr="002F4C6C">
              <w:rPr>
                <w:rFonts w:ascii="Times New Roman" w:hAnsi="Times New Roman"/>
                <w:color w:val="000000"/>
                <w:lang w:eastAsia="fr-FR"/>
              </w:rPr>
              <w:t>–</w:t>
            </w:r>
            <w:r w:rsidRPr="002F4C6C">
              <w:rPr>
                <w:rFonts w:ascii="Times New Roman" w:hAnsi="Times New Roman"/>
              </w:rPr>
              <w:t>12,7)</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0,27</w:t>
            </w: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Hospitalizacija dėl SŠN</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3 (0,5)</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5 (0,8)</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4 (0,6)</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0,59 (0,14</w:t>
            </w:r>
            <w:r w:rsidRPr="002F4C6C">
              <w:rPr>
                <w:rFonts w:ascii="Times New Roman" w:hAnsi="Times New Roman"/>
                <w:color w:val="000000"/>
                <w:lang w:eastAsia="fr-FR"/>
              </w:rPr>
              <w:t>–</w:t>
            </w:r>
            <w:r w:rsidRPr="002F4C6C">
              <w:rPr>
                <w:rFonts w:ascii="Times New Roman" w:hAnsi="Times New Roman"/>
              </w:rPr>
              <w:t>2,47)</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0,46</w:t>
            </w:r>
          </w:p>
        </w:tc>
      </w:tr>
      <w:tr w:rsidR="00E250E1" w:rsidRPr="002F4C6C" w:rsidTr="00383D73">
        <w:trPr>
          <w:trHeight w:val="401"/>
        </w:trPr>
        <w:tc>
          <w:tcPr>
            <w:tcW w:w="254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 xml:space="preserve">Atgaivinimas po širdies priepuolio </w:t>
            </w:r>
          </w:p>
        </w:tc>
        <w:tc>
          <w:tcPr>
            <w:tcW w:w="1389"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w:t>
            </w:r>
          </w:p>
        </w:tc>
        <w:tc>
          <w:tcPr>
            <w:tcW w:w="1021"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4 (0,6)</w:t>
            </w:r>
          </w:p>
        </w:tc>
        <w:tc>
          <w:tcPr>
            <w:tcW w:w="1275"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1 (0,1)</w:t>
            </w:r>
          </w:p>
        </w:tc>
        <w:tc>
          <w:tcPr>
            <w:tcW w:w="2127" w:type="dxa"/>
            <w:tcBorders>
              <w:lef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NA</w:t>
            </w:r>
          </w:p>
        </w:tc>
        <w:tc>
          <w:tcPr>
            <w:tcW w:w="969" w:type="dxa"/>
            <w:tcBorders>
              <w:left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0,04</w:t>
            </w:r>
          </w:p>
        </w:tc>
      </w:tr>
      <w:tr w:rsidR="00E250E1" w:rsidRPr="002F4C6C" w:rsidTr="00383D73">
        <w:trPr>
          <w:trHeight w:val="401"/>
        </w:trPr>
        <w:tc>
          <w:tcPr>
            <w:tcW w:w="2547" w:type="dxa"/>
            <w:tcBorders>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Nauja periferinių kraujagyslių liga</w:t>
            </w:r>
          </w:p>
        </w:tc>
        <w:tc>
          <w:tcPr>
            <w:tcW w:w="1389" w:type="dxa"/>
            <w:tcBorders>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5 (0,8)</w:t>
            </w:r>
          </w:p>
        </w:tc>
        <w:tc>
          <w:tcPr>
            <w:tcW w:w="1021" w:type="dxa"/>
            <w:tcBorders>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2 (0,3)</w:t>
            </w:r>
          </w:p>
        </w:tc>
        <w:tc>
          <w:tcPr>
            <w:tcW w:w="1275" w:type="dxa"/>
            <w:tcBorders>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8 (1,2)</w:t>
            </w:r>
          </w:p>
        </w:tc>
        <w:tc>
          <w:tcPr>
            <w:tcW w:w="2127" w:type="dxa"/>
            <w:tcBorders>
              <w:left w:val="single" w:sz="4" w:space="0" w:color="000000"/>
              <w:bottom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2,6 (0,50</w:t>
            </w:r>
            <w:r w:rsidRPr="002F4C6C">
              <w:rPr>
                <w:rFonts w:ascii="Times New Roman" w:hAnsi="Times New Roman"/>
                <w:color w:val="000000"/>
                <w:lang w:eastAsia="fr-FR"/>
              </w:rPr>
              <w:t>–</w:t>
            </w:r>
            <w:r w:rsidRPr="002F4C6C">
              <w:rPr>
                <w:rFonts w:ascii="Times New Roman" w:hAnsi="Times New Roman"/>
              </w:rPr>
              <w:t>13,4)</w:t>
            </w:r>
          </w:p>
        </w:tc>
        <w:tc>
          <w:tcPr>
            <w:tcW w:w="969" w:type="dxa"/>
            <w:tcBorders>
              <w:left w:val="single" w:sz="4" w:space="0" w:color="000000"/>
              <w:bottom w:val="single" w:sz="4" w:space="0" w:color="000000"/>
              <w:right w:val="single" w:sz="4" w:space="0" w:color="000000"/>
            </w:tcBorders>
            <w:shd w:val="clear" w:color="auto" w:fill="auto"/>
          </w:tcPr>
          <w:p w:rsidR="00E250E1" w:rsidRPr="002F4C6C" w:rsidRDefault="00E250E1">
            <w:pPr>
              <w:spacing w:after="0" w:line="240" w:lineRule="auto"/>
              <w:rPr>
                <w:rFonts w:ascii="Times New Roman" w:hAnsi="Times New Roman"/>
              </w:rPr>
            </w:pPr>
            <w:r w:rsidRPr="002F4C6C">
              <w:rPr>
                <w:rFonts w:ascii="Times New Roman" w:hAnsi="Times New Roman"/>
              </w:rPr>
              <w:t>0,24</w:t>
            </w:r>
          </w:p>
        </w:tc>
      </w:tr>
    </w:tbl>
    <w:p w:rsidR="00E250E1" w:rsidRPr="002F4C6C" w:rsidRDefault="00E250E1">
      <w:pPr>
        <w:spacing w:after="0" w:line="240" w:lineRule="auto"/>
        <w:rPr>
          <w:rFonts w:ascii="Times New Roman" w:hAnsi="Times New Roman"/>
        </w:rPr>
      </w:pPr>
      <w:r w:rsidRPr="002F4C6C">
        <w:rPr>
          <w:rFonts w:ascii="Times New Roman" w:hAnsi="Times New Roman"/>
        </w:rPr>
        <w:t>Santrumpos: SŠN – stazinis širdies nepakankamumas, PI – pasikliautinasis intervalas; MI – miokardo infarktas.</w:t>
      </w:r>
    </w:p>
    <w:p w:rsidR="00E250E1" w:rsidRPr="002F4C6C" w:rsidRDefault="00E250E1">
      <w:pPr>
        <w:spacing w:after="0" w:line="240" w:lineRule="auto"/>
        <w:ind w:right="-2"/>
        <w:rPr>
          <w:rFonts w:ascii="Times New Roman" w:hAnsi="Times New Roman"/>
        </w:rPr>
      </w:pPr>
    </w:p>
    <w:p w:rsidR="00E250E1" w:rsidRPr="002F4C6C" w:rsidRDefault="00815937">
      <w:pPr>
        <w:spacing w:after="0" w:line="240" w:lineRule="auto"/>
        <w:rPr>
          <w:rFonts w:ascii="Times New Roman" w:hAnsi="Times New Roman"/>
        </w:rPr>
      </w:pPr>
      <w:r w:rsidRPr="002F4C6C">
        <w:rPr>
          <w:rFonts w:ascii="Times New Roman" w:hAnsi="Times New Roman"/>
          <w:u w:val="single"/>
        </w:rPr>
        <w:t>Š</w:t>
      </w:r>
      <w:r w:rsidR="00E250E1" w:rsidRPr="002F4C6C">
        <w:rPr>
          <w:rFonts w:ascii="Times New Roman" w:hAnsi="Times New Roman"/>
          <w:u w:val="single"/>
        </w:rPr>
        <w:t>irdies nepakankamum</w:t>
      </w:r>
      <w:r w:rsidR="00914518">
        <w:rPr>
          <w:rFonts w:ascii="Times New Roman" w:hAnsi="Times New Roman"/>
          <w:u w:val="single"/>
        </w:rPr>
        <w:t>as</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Klinikiniai kontroliuojamieji poveikio hemodinamikai ir fizinio krūvio toleravimui tyrimai, kuriuose dalyvavo pacientai, kuriems yra II-IV klasės širdies nepakankamumas pagal NYHA</w:t>
      </w:r>
      <w:r w:rsidR="009F1335" w:rsidRPr="002F4C6C">
        <w:rPr>
          <w:rFonts w:ascii="Times New Roman" w:hAnsi="Times New Roman"/>
        </w:rPr>
        <w:t xml:space="preserve"> klasifikaciją</w:t>
      </w:r>
      <w:r w:rsidRPr="002F4C6C">
        <w:rPr>
          <w:rFonts w:ascii="Times New Roman" w:hAnsi="Times New Roman"/>
        </w:rPr>
        <w:t>, rodo, kad amlodipinas nepablogino pacientų klinikinės būklės, kuri buvo įvertinta pagal fizinio krūvio toleravimą, kairiojo širdies skilvelio išstūmimo frakciją bei klinikinius simptomus.</w:t>
      </w:r>
    </w:p>
    <w:p w:rsidR="00E250E1" w:rsidRPr="002F4C6C" w:rsidRDefault="00E250E1">
      <w:pPr>
        <w:spacing w:after="0" w:line="240" w:lineRule="auto"/>
        <w:rPr>
          <w:rFonts w:ascii="Times New Roman" w:hAnsi="Times New Roman"/>
        </w:rPr>
      </w:pPr>
      <w:r w:rsidRPr="002F4C6C">
        <w:rPr>
          <w:rFonts w:ascii="Times New Roman" w:hAnsi="Times New Roman"/>
        </w:rPr>
        <w:t>Placebu kontroliuojamojo tyrimo (PRAISE), kurio tikslas buvo įvertinti pacientų, kuriems yra III-IV klasės širdies nepakankamumas pagal NYHA</w:t>
      </w:r>
      <w:r w:rsidR="009F1335" w:rsidRPr="002F4C6C">
        <w:rPr>
          <w:rFonts w:ascii="Times New Roman" w:hAnsi="Times New Roman"/>
        </w:rPr>
        <w:t xml:space="preserve"> klasifikaciją</w:t>
      </w:r>
      <w:r w:rsidRPr="002F4C6C">
        <w:rPr>
          <w:rFonts w:ascii="Times New Roman" w:hAnsi="Times New Roman"/>
        </w:rPr>
        <w:t>, gydymą digoksinu, diuretikais ir AKF inhibitoriais, duomenimis, amlodipinas nedidino mirtingumo arba bendrai mirtingumo ir sergamumo rizikos, susijusios su širdies nepakankamumu.</w:t>
      </w:r>
    </w:p>
    <w:p w:rsidR="00E250E1" w:rsidRPr="002F4C6C" w:rsidRDefault="00E250E1">
      <w:pPr>
        <w:spacing w:after="0" w:line="240" w:lineRule="auto"/>
        <w:rPr>
          <w:rFonts w:ascii="Times New Roman" w:hAnsi="Times New Roman"/>
        </w:rPr>
      </w:pPr>
      <w:r w:rsidRPr="002F4C6C">
        <w:rPr>
          <w:rFonts w:ascii="Times New Roman" w:hAnsi="Times New Roman"/>
        </w:rPr>
        <w:t xml:space="preserve">Placebu kontroliuojamojo amlodipino tyrimo (PRAISE II) su pacientais, kuriems nustatytas III-IV klasės širdies nepakankamumas pagal NYHA </w:t>
      </w:r>
      <w:r w:rsidR="009F1335" w:rsidRPr="002F4C6C">
        <w:rPr>
          <w:rFonts w:ascii="Times New Roman" w:hAnsi="Times New Roman"/>
        </w:rPr>
        <w:t xml:space="preserve">klasifikaciją </w:t>
      </w:r>
      <w:r w:rsidRPr="002F4C6C">
        <w:rPr>
          <w:rFonts w:ascii="Times New Roman" w:hAnsi="Times New Roman"/>
        </w:rPr>
        <w:t xml:space="preserve">be klinikinių simptomų arba objektyvių požymių, </w:t>
      </w:r>
      <w:r w:rsidRPr="002F4C6C">
        <w:rPr>
          <w:rFonts w:ascii="Times New Roman" w:hAnsi="Times New Roman"/>
        </w:rPr>
        <w:lastRenderedPageBreak/>
        <w:t>kurie leidžia įtarti arba rodo išeminę ligą, vartojančiais pastovias AKF inhibitorių, širdį veikiančių glikozidų ar diuretikų dozes, ilgalaikio stebėjimo duomenimis, amlodipinas neturėjo įtakos bendram kardiovaskuliniam mirtingumui. Amlodipinas buvo susijęs su dažnesniais pranešimais apie plaučių edemą toje pačioje populiacijoje.</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Prevencinio širdies priepuolio gydymo tyrimas (ALLHAT)</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Siekiant palyginti su gydymu naujesniais vaist</w:t>
      </w:r>
      <w:r w:rsidR="009F1335" w:rsidRPr="002F4C6C">
        <w:rPr>
          <w:rFonts w:ascii="Times New Roman" w:hAnsi="Times New Roman"/>
        </w:rPr>
        <w:t>ini</w:t>
      </w:r>
      <w:r w:rsidRPr="002F4C6C">
        <w:rPr>
          <w:rFonts w:ascii="Times New Roman" w:hAnsi="Times New Roman"/>
        </w:rPr>
        <w:t>ais</w:t>
      </w:r>
      <w:r w:rsidR="009F1335" w:rsidRPr="002F4C6C">
        <w:rPr>
          <w:rFonts w:ascii="Times New Roman" w:hAnsi="Times New Roman"/>
        </w:rPr>
        <w:t xml:space="preserve"> preparatais</w:t>
      </w:r>
      <w:r w:rsidRPr="002F4C6C">
        <w:rPr>
          <w:rFonts w:ascii="Times New Roman" w:hAnsi="Times New Roman"/>
        </w:rPr>
        <w:t>, buvo atliktas atsitiktinės atrankos dvigubai koduotas sergamumo ir mirštamumo tyrimas, pavadintas „Antihipertenzinis ir lipidų kiekį mažinantis gydymas, kuriuo siekiama išvengti širdies priepuolio“ (</w:t>
      </w:r>
      <w:r w:rsidR="009F1335" w:rsidRPr="002F4C6C">
        <w:rPr>
          <w:rFonts w:ascii="Times New Roman" w:hAnsi="Times New Roman"/>
          <w:i/>
          <w:iCs/>
        </w:rPr>
        <w:t>angl. Antihypertensive and Lipid – Lowering Treatment to Prevent Heart Attack Trial,</w:t>
      </w:r>
      <w:r w:rsidR="009F1335" w:rsidRPr="002F4C6C">
        <w:rPr>
          <w:rFonts w:ascii="Times New Roman" w:hAnsi="Times New Roman"/>
        </w:rPr>
        <w:t xml:space="preserve"> </w:t>
      </w:r>
      <w:r w:rsidRPr="002F4C6C">
        <w:rPr>
          <w:rFonts w:ascii="Times New Roman" w:hAnsi="Times New Roman"/>
          <w:i/>
          <w:iCs/>
        </w:rPr>
        <w:t>ALLHAT</w:t>
      </w:r>
      <w:r w:rsidRPr="002F4C6C">
        <w:rPr>
          <w:rFonts w:ascii="Times New Roman" w:hAnsi="Times New Roman"/>
        </w:rPr>
        <w:t>). Tiriamiesiems buvo skirtas gydymas amlodipinu 2,5–10 mg/d doze (kalcio kanalų blokatoriumi) arba lizinopriliu 10–40 mg/d doze (AKF inhibitoriumi), kaip pirmo pasirinkimo vaist</w:t>
      </w:r>
      <w:r w:rsidR="009F1335" w:rsidRPr="002F4C6C">
        <w:rPr>
          <w:rFonts w:ascii="Times New Roman" w:hAnsi="Times New Roman"/>
        </w:rPr>
        <w:t>ini</w:t>
      </w:r>
      <w:r w:rsidRPr="002F4C6C">
        <w:rPr>
          <w:rFonts w:ascii="Times New Roman" w:hAnsi="Times New Roman"/>
        </w:rPr>
        <w:t>ais</w:t>
      </w:r>
      <w:r w:rsidR="009F1335" w:rsidRPr="002F4C6C">
        <w:rPr>
          <w:rFonts w:ascii="Times New Roman" w:hAnsi="Times New Roman"/>
        </w:rPr>
        <w:t xml:space="preserve"> preparatais</w:t>
      </w:r>
      <w:r w:rsidRPr="002F4C6C">
        <w:rPr>
          <w:rFonts w:ascii="Times New Roman" w:hAnsi="Times New Roman"/>
        </w:rPr>
        <w:t>, kartu vartojant tiazidinius diuretikus ir chlortalidoną po 12,5–25 mg/d doze (esant lengvai ar vidutinio sunkumo hipertenzijai).</w:t>
      </w:r>
    </w:p>
    <w:p w:rsidR="00E250E1" w:rsidRPr="002F4C6C" w:rsidRDefault="00E250E1">
      <w:pPr>
        <w:spacing w:after="0" w:line="240" w:lineRule="auto"/>
        <w:rPr>
          <w:rFonts w:ascii="Times New Roman" w:hAnsi="Times New Roman"/>
        </w:rPr>
      </w:pPr>
      <w:r w:rsidRPr="002F4C6C">
        <w:rPr>
          <w:rFonts w:ascii="Times New Roman" w:hAnsi="Times New Roman"/>
        </w:rPr>
        <w:t>Iš viso buvo atrinkti 33 357 pacientai, sergantys hipertenzija, 55 metų amžiaus ar vyresni, kurie buvo stebėti vidutiniškai 4,9 metų. Pacientai turėjo mažiausiai po vieną papildomą rizikos veiksnį KŠL, įskaitant anksčiau buvusį miokardo infarktą ar insultą, įvykusį prieš &gt; 6 mėnesius iki patenkant į tyrimą, arba dokumentuotą kitą smegenų kraujotakos ligą (iš viso 51,5 %), II tipo cukrinį diabetą (36,1 %), DTL-C &lt; 35 mg/dl (11,6 %), kairiojo skilvelio hipertrofiją, diagnozuotą elektrokardiograma ar echokardiografija (20,9 %), cigarečių rūkymą (21,9 %).</w:t>
      </w:r>
    </w:p>
    <w:p w:rsidR="00E250E1" w:rsidRPr="002F4C6C" w:rsidRDefault="00E250E1">
      <w:pPr>
        <w:spacing w:after="0" w:line="240" w:lineRule="auto"/>
        <w:rPr>
          <w:rFonts w:ascii="Times New Roman" w:hAnsi="Times New Roman"/>
        </w:rPr>
      </w:pPr>
      <w:r w:rsidRPr="002F4C6C">
        <w:rPr>
          <w:rFonts w:ascii="Times New Roman" w:hAnsi="Times New Roman"/>
        </w:rPr>
        <w:t>Pagrindinis vertinimo kriterijus buvo mirtina KŠL ar nemirtinas miokardo infarktas. Vertinant pagrindinį kriterijų, nebuvo reikšmingo skirtumo tarp amlodipiną vartojusių pacientų ir vartojusiųjų chlortalidoną: RR 0,98 95 %PI (0,90–1,07) p = 0,65. Vertinant antrinius kriterijus, širdies nepakankamumo dažnis (kombinuotų širdies ir kraujagyslių sistemos vertinimo kriterijų derinio komponentas) tarp amlodipinu gydytų pacientų buvo reikšmingai didesnis nei tarp chlortalidonu gydytų pacientų (10,2 % ir 7,7 %, RR 1,38, 95 %PI [1,25–1,52] p &lt; 0,001). Tačiau reikšmingo skirtumo vertinant amlodipinu gydytų pacientų ir chlortalidonu gydytų pacientų mirštamumą dėl visų priežasčių: RR 0,96 95 %PI [0,89–1,02] p = 0,20 nebuvo.</w:t>
      </w:r>
    </w:p>
    <w:p w:rsidR="00E250E1" w:rsidRPr="002F4C6C" w:rsidRDefault="00E250E1">
      <w:pPr>
        <w:spacing w:after="0" w:line="240" w:lineRule="auto"/>
        <w:ind w:left="567" w:hanging="567"/>
        <w:rPr>
          <w:rFonts w:ascii="Times New Roman" w:hAnsi="Times New Roman"/>
          <w:b/>
        </w:rPr>
      </w:pPr>
    </w:p>
    <w:p w:rsidR="00E250E1" w:rsidRPr="002F4C6C" w:rsidRDefault="00E250E1">
      <w:pPr>
        <w:pStyle w:val="NoSpacing1"/>
        <w:widowControl w:val="0"/>
        <w:rPr>
          <w:rFonts w:ascii="Times New Roman" w:hAnsi="Times New Roman"/>
        </w:rPr>
      </w:pPr>
      <w:r w:rsidRPr="002F4C6C">
        <w:rPr>
          <w:rFonts w:ascii="Times New Roman" w:hAnsi="Times New Roman"/>
          <w:i/>
          <w:u w:val="single"/>
        </w:rPr>
        <w:t>Vaikų populiacija (6</w:t>
      </w:r>
      <w:r w:rsidRPr="002F4C6C">
        <w:rPr>
          <w:rFonts w:ascii="Times New Roman" w:eastAsia="Times New Roman" w:hAnsi="Times New Roman"/>
          <w:i/>
          <w:u w:val="single"/>
        </w:rPr>
        <w:t xml:space="preserve"> metų ir vyresni)</w:t>
      </w:r>
    </w:p>
    <w:p w:rsidR="00E250E1" w:rsidRPr="002F4C6C" w:rsidRDefault="00E250E1">
      <w:pPr>
        <w:spacing w:after="0" w:line="240" w:lineRule="auto"/>
        <w:ind w:left="567" w:hanging="567"/>
        <w:rPr>
          <w:rFonts w:ascii="Times New Roman" w:eastAsia="Times New Roman" w:hAnsi="Times New Roman"/>
          <w:i/>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Tyrime, kuriame dalyvavo daugiausia antrine hipertenzija sergantys 268 6-17 metų vaikai, buvo palygintos 2,5 mg ir 5,0 mg amlodipino dozės su placebu ir nustatyta, kad abi dozės sistolinį kraujospūdį sumažino žymiai labiau negu placebas. Skirtumas tarp dviejų dozių statistiškai reikšmingas nebuvo.</w:t>
      </w:r>
    </w:p>
    <w:p w:rsidR="00E250E1" w:rsidRPr="002F4C6C" w:rsidRDefault="00E250E1">
      <w:pPr>
        <w:spacing w:after="0" w:line="240" w:lineRule="auto"/>
        <w:ind w:left="567" w:hanging="567"/>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5.2</w:t>
      </w:r>
      <w:r w:rsidRPr="002F4C6C">
        <w:rPr>
          <w:rFonts w:ascii="Times New Roman" w:hAnsi="Times New Roman"/>
          <w:b/>
        </w:rPr>
        <w:tab/>
        <w:t>Farmakokinetinės savybės</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rPr>
        <w:t>Perindoprilio ir amlodipino derinio sudėtyje esančių perindoprilio ir amlodipino absorbcijos greitis ir apimtis reikšmingai nesiskiria nuo perindoprilio ir amlodipino, esančių atskiromis tabletėmis, absorbcijos greičio ir apimties.</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Perindoprilis</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Absorbcija</w:t>
      </w:r>
    </w:p>
    <w:p w:rsidR="00E250E1" w:rsidRPr="002F4C6C" w:rsidRDefault="00E250E1">
      <w:pPr>
        <w:spacing w:after="0" w:line="240" w:lineRule="auto"/>
        <w:rPr>
          <w:rFonts w:ascii="Times New Roman" w:hAnsi="Times New Roman"/>
        </w:rPr>
      </w:pPr>
      <w:r w:rsidRPr="002F4C6C">
        <w:rPr>
          <w:rFonts w:ascii="Times New Roman" w:hAnsi="Times New Roman"/>
        </w:rPr>
        <w:t>Išgertas perindoprilis absorbuojamas greitai ir didžiausia koncentracija susidaro po 1 valandos. Perindoprilio pusinės eliminacijos laikas yra 1 valanda.</w:t>
      </w: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Perindoprilis yra provaistas. Išgerto perindoprilio dozės 27 % patenka į kraujotaką aktyvaus metabolito perindoprilato pavidalu. Be aktyviojo perindoprilato, iš perindoprilio susidaro dar 5 neveiklūs metabolitai. Didžiausia perindoprilato koncentracija plazmoje susidaro po 3–4</w:t>
      </w:r>
      <w:r w:rsidR="00524223" w:rsidRPr="002F4C6C">
        <w:rPr>
          <w:rFonts w:ascii="Times New Roman" w:hAnsi="Times New Roman"/>
        </w:rPr>
        <w:t> </w:t>
      </w:r>
      <w:r w:rsidRPr="002F4C6C">
        <w:rPr>
          <w:rFonts w:ascii="Times New Roman" w:hAnsi="Times New Roman"/>
        </w:rPr>
        <w:t>val.</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Kadangi maistas mažina perindoprilio virtimą perindoprilatu, vadinasi, ir biologinį prieinamumą, todėl perindoprilio reikia gerti kartą per parą, prieš pusryčius. </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Tarp perindoprilio dozės ir jo pasiskirstymo kraujo plazmoje nustatyta tiesinė priklausomybė.</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Pasiskirstymas</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Nesujungto perindoprilato pasiskirstymo tūris yra maždaug 0,2 l/kg. Su plazmos baltymais susijungia 20 % perindoprilato, daugiausia su angiotenziną konvertuojančiu fermentu, bet sujungimas priklauso nuo koncentracijos. </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u w:val="single"/>
        </w:rPr>
        <w:t>Eliminacija</w:t>
      </w:r>
    </w:p>
    <w:p w:rsidR="00E250E1" w:rsidRPr="002F4C6C" w:rsidRDefault="00E250E1">
      <w:pPr>
        <w:spacing w:after="0" w:line="240" w:lineRule="auto"/>
        <w:rPr>
          <w:rFonts w:ascii="Times New Roman" w:hAnsi="Times New Roman"/>
          <w:bCs/>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Perindoprilatas iš organizmo išskiriamas su šlapimu. Neprisijungusios perindoprilato frakcijos pusinės eliminacijos laikas yra apie 17 valandų, pusiausvyrinė koncentracija nusistovi per 4 paras.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Ypatingos populiacijos</w:t>
      </w:r>
    </w:p>
    <w:p w:rsidR="00E250E1" w:rsidRPr="002F4C6C" w:rsidRDefault="00E250E1">
      <w:pPr>
        <w:spacing w:after="0" w:line="240" w:lineRule="auto"/>
        <w:rPr>
          <w:rFonts w:ascii="Times New Roman" w:hAnsi="Times New Roman"/>
        </w:rPr>
      </w:pPr>
      <w:r w:rsidRPr="002F4C6C">
        <w:rPr>
          <w:rFonts w:ascii="Times New Roman" w:hAnsi="Times New Roman"/>
        </w:rPr>
        <w:t xml:space="preserve">Senyvų žmonių ir pacientų, sergančių širdies nepakankamumu ar inkstų nepakankamumu, organizme perindoprilato eliminacija vyksta lėčiau (žr. 4.2 skyrių). Todėl jų stebėjimo metu reikia dažniau kontroliuoti kreatinino ir kalio </w:t>
      </w:r>
      <w:r w:rsidR="00C44F2A" w:rsidRPr="002F4C6C">
        <w:rPr>
          <w:rFonts w:ascii="Times New Roman" w:hAnsi="Times New Roman"/>
        </w:rPr>
        <w:t>koncentracijas</w:t>
      </w:r>
      <w:r w:rsidRPr="002F4C6C">
        <w:rPr>
          <w:rFonts w:ascii="Times New Roman" w:hAnsi="Times New Roman"/>
        </w:rPr>
        <w:t xml:space="preserve">.  </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i/>
        </w:rPr>
        <w:t>Sutrikusi kepenų funkcija</w:t>
      </w:r>
    </w:p>
    <w:p w:rsidR="00E250E1" w:rsidRPr="002F4C6C" w:rsidRDefault="00E250E1">
      <w:pPr>
        <w:spacing w:after="0" w:line="240" w:lineRule="auto"/>
        <w:rPr>
          <w:rFonts w:ascii="Times New Roman" w:hAnsi="Times New Roman"/>
        </w:rPr>
      </w:pPr>
      <w:r w:rsidRPr="002F4C6C">
        <w:rPr>
          <w:rFonts w:ascii="Times New Roman" w:hAnsi="Times New Roman"/>
        </w:rPr>
        <w:t xml:space="preserve">Dializės metu perindoprilato klirensas yra 70 ml/min. </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Pacientų, sergančių kepenų ciroze, organizme perindoprilio kinetika pakinta: pradinės medžiagos kepenų klirensas sumažėja per pusę, tačiau perindoprilato susidaro toks pat kiekis, todėl dozės koreguoti nereikia (žr. 4.2 ir 4.4 skyrius).</w:t>
      </w:r>
    </w:p>
    <w:p w:rsidR="00E250E1" w:rsidRPr="002F4C6C" w:rsidRDefault="00E250E1">
      <w:pPr>
        <w:tabs>
          <w:tab w:val="left" w:pos="567"/>
        </w:tabs>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Amlodipinas</w:t>
      </w:r>
    </w:p>
    <w:p w:rsidR="00E250E1" w:rsidRPr="002F4C6C" w:rsidRDefault="00E250E1">
      <w:pPr>
        <w:spacing w:after="0" w:line="240" w:lineRule="auto"/>
        <w:rPr>
          <w:rFonts w:ascii="Times New Roman" w:hAnsi="Times New Roman"/>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Absorbcija, pasiskirstymas, prisijungimas prie plazmos baltymų</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Išgėrus terapines amlodipino dozes, </w:t>
      </w:r>
      <w:r w:rsidR="00C44F2A" w:rsidRPr="002F4C6C">
        <w:rPr>
          <w:rFonts w:ascii="Times New Roman" w:hAnsi="Times New Roman"/>
        </w:rPr>
        <w:t xml:space="preserve">vaistinis </w:t>
      </w:r>
      <w:r w:rsidRPr="002F4C6C">
        <w:rPr>
          <w:rFonts w:ascii="Times New Roman" w:hAnsi="Times New Roman"/>
        </w:rPr>
        <w:t>preparatas gerai absorbuojasi, didžiausia koncentracija kraujyje susidaro po 6–12 valandų nuo vaist</w:t>
      </w:r>
      <w:r w:rsidR="00C44F2A" w:rsidRPr="002F4C6C">
        <w:rPr>
          <w:rFonts w:ascii="Times New Roman" w:hAnsi="Times New Roman"/>
        </w:rPr>
        <w:t>ini</w:t>
      </w:r>
      <w:r w:rsidRPr="002F4C6C">
        <w:rPr>
          <w:rFonts w:ascii="Times New Roman" w:hAnsi="Times New Roman"/>
        </w:rPr>
        <w:t>o</w:t>
      </w:r>
      <w:r w:rsidR="00C44F2A" w:rsidRPr="002F4C6C">
        <w:rPr>
          <w:rFonts w:ascii="Times New Roman" w:hAnsi="Times New Roman"/>
        </w:rPr>
        <w:t xml:space="preserve"> preparato</w:t>
      </w:r>
      <w:r w:rsidRPr="002F4C6C">
        <w:rPr>
          <w:rFonts w:ascii="Times New Roman" w:hAnsi="Times New Roman"/>
        </w:rPr>
        <w:t xml:space="preserve"> išgėrimo. Nustatyta, kad absoliutus biologinis vaist</w:t>
      </w:r>
      <w:r w:rsidR="00C44F2A" w:rsidRPr="002F4C6C">
        <w:rPr>
          <w:rFonts w:ascii="Times New Roman" w:hAnsi="Times New Roman"/>
        </w:rPr>
        <w:t>ini</w:t>
      </w:r>
      <w:r w:rsidRPr="002F4C6C">
        <w:rPr>
          <w:rFonts w:ascii="Times New Roman" w:hAnsi="Times New Roman"/>
        </w:rPr>
        <w:t xml:space="preserve">o </w:t>
      </w:r>
      <w:r w:rsidR="00C44F2A" w:rsidRPr="002F4C6C">
        <w:rPr>
          <w:rFonts w:ascii="Times New Roman" w:hAnsi="Times New Roman"/>
        </w:rPr>
        <w:t xml:space="preserve">preparato </w:t>
      </w:r>
      <w:r w:rsidRPr="002F4C6C">
        <w:rPr>
          <w:rFonts w:ascii="Times New Roman" w:hAnsi="Times New Roman"/>
        </w:rPr>
        <w:t xml:space="preserve">prieinamumas yra tarp 64 ir 80 %. Pasiskirstymo tūris yra maždaug 21 l/kg. </w:t>
      </w:r>
      <w:r w:rsidRPr="002F4C6C">
        <w:rPr>
          <w:rFonts w:ascii="Times New Roman" w:hAnsi="Times New Roman"/>
          <w:i/>
          <w:iCs/>
        </w:rPr>
        <w:t>In vitro</w:t>
      </w:r>
      <w:r w:rsidRPr="002F4C6C">
        <w:rPr>
          <w:rFonts w:ascii="Times New Roman" w:hAnsi="Times New Roman"/>
          <w:iCs/>
        </w:rPr>
        <w:t xml:space="preserve"> tyrimai parodė, kad maždaug </w:t>
      </w:r>
      <w:r w:rsidRPr="002F4C6C">
        <w:rPr>
          <w:rFonts w:ascii="Times New Roman" w:hAnsi="Times New Roman"/>
        </w:rPr>
        <w:t>97,5 % cirkuliuojančio amlodipino yra susijungę su plazmos baltymais.</w:t>
      </w:r>
    </w:p>
    <w:p w:rsidR="00E250E1" w:rsidRPr="002F4C6C" w:rsidRDefault="00E250E1">
      <w:pPr>
        <w:spacing w:after="0" w:line="240" w:lineRule="auto"/>
        <w:rPr>
          <w:rFonts w:ascii="Times New Roman" w:hAnsi="Times New Roman"/>
        </w:rPr>
      </w:pPr>
      <w:r w:rsidRPr="002F4C6C">
        <w:rPr>
          <w:rFonts w:ascii="Times New Roman" w:hAnsi="Times New Roman"/>
        </w:rPr>
        <w:t>Maisto vartojimas neturi įtakos amlodipino biologiniam prieinamumui.</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Biotransformacija ir eliminacija</w:t>
      </w:r>
    </w:p>
    <w:p w:rsidR="00E250E1" w:rsidRPr="002F4C6C" w:rsidRDefault="00E250E1">
      <w:pPr>
        <w:spacing w:after="0" w:line="240" w:lineRule="auto"/>
        <w:rPr>
          <w:rFonts w:ascii="Times New Roman" w:hAnsi="Times New Roman"/>
        </w:rPr>
      </w:pPr>
      <w:r w:rsidRPr="002F4C6C">
        <w:rPr>
          <w:rFonts w:ascii="Times New Roman" w:hAnsi="Times New Roman"/>
        </w:rPr>
        <w:t xml:space="preserve">Galutinis </w:t>
      </w:r>
      <w:r w:rsidR="00C44F2A" w:rsidRPr="002F4C6C">
        <w:rPr>
          <w:rFonts w:ascii="Times New Roman" w:hAnsi="Times New Roman"/>
        </w:rPr>
        <w:t xml:space="preserve">pusinės </w:t>
      </w:r>
      <w:r w:rsidRPr="002F4C6C">
        <w:rPr>
          <w:rFonts w:ascii="Times New Roman" w:hAnsi="Times New Roman"/>
        </w:rPr>
        <w:t>eliminacijos iš kraujo plazmos laikas yra maždaug 35–50 valandų ir atitinka vartojimą vieną kartą per parą. Amlodipinas yra gausiai metabolizuojamas kepenyse į neaktyvius metabolitus, kurie sudaro 10</w:t>
      </w:r>
      <w:r w:rsidR="00524223" w:rsidRPr="002F4C6C">
        <w:rPr>
          <w:rFonts w:ascii="Times New Roman" w:hAnsi="Times New Roman"/>
        </w:rPr>
        <w:t> </w:t>
      </w:r>
      <w:r w:rsidRPr="002F4C6C">
        <w:rPr>
          <w:rFonts w:ascii="Times New Roman" w:hAnsi="Times New Roman"/>
        </w:rPr>
        <w:t>% pradinio junginio. 60</w:t>
      </w:r>
      <w:r w:rsidR="00524223" w:rsidRPr="002F4C6C">
        <w:rPr>
          <w:rFonts w:ascii="Times New Roman" w:hAnsi="Times New Roman"/>
        </w:rPr>
        <w:t> </w:t>
      </w:r>
      <w:r w:rsidRPr="002F4C6C">
        <w:rPr>
          <w:rFonts w:ascii="Times New Roman" w:hAnsi="Times New Roman"/>
        </w:rPr>
        <w:t>% metabolitų pasišalina su šlapimu.</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Senyvi pacientai</w:t>
      </w:r>
    </w:p>
    <w:p w:rsidR="00E250E1" w:rsidRPr="002F4C6C" w:rsidRDefault="00E250E1">
      <w:pPr>
        <w:spacing w:after="0" w:line="240" w:lineRule="auto"/>
        <w:rPr>
          <w:rFonts w:ascii="Times New Roman" w:hAnsi="Times New Roman"/>
        </w:rPr>
      </w:pPr>
      <w:r w:rsidRPr="002F4C6C">
        <w:rPr>
          <w:rFonts w:ascii="Times New Roman" w:hAnsi="Times New Roman"/>
        </w:rPr>
        <w:t xml:space="preserve">Laikas, kurio reikia, kad plazmoje susidarytų didžiausia amlodipino koncentracija, senyvų ir jaunių pacientų organizme yra panašus. Amlodipino klirensas iš senyvų pacientų organizmo turi tendenciją sumažėti, tuo pačiu didėjant AUC ir pusinės eliminacijos laikui. AUC padidėjimas ir pusinės eliminacijos periodo pailgėjimas staziniu širdies nepakankamumu sergančių senyvų žmonių organizme buvo toks, kokio ir tikėtasi tokio amžiaus pacientų grupėje. </w:t>
      </w:r>
    </w:p>
    <w:p w:rsidR="00E250E1" w:rsidRPr="002F4C6C" w:rsidRDefault="00E250E1">
      <w:pPr>
        <w:spacing w:after="0" w:line="240" w:lineRule="auto"/>
        <w:rPr>
          <w:rFonts w:ascii="Times New Roman" w:hAnsi="Times New Roman"/>
          <w:i/>
        </w:rPr>
      </w:pPr>
    </w:p>
    <w:p w:rsidR="00E250E1" w:rsidRPr="002F4C6C" w:rsidRDefault="00E250E1">
      <w:pPr>
        <w:spacing w:after="0" w:line="240" w:lineRule="auto"/>
        <w:rPr>
          <w:rFonts w:ascii="Times New Roman" w:hAnsi="Times New Roman"/>
        </w:rPr>
      </w:pPr>
      <w:r w:rsidRPr="002F4C6C">
        <w:rPr>
          <w:rFonts w:ascii="Times New Roman" w:hAnsi="Times New Roman"/>
          <w:i/>
        </w:rPr>
        <w:t xml:space="preserve">Sutrikusi kepenų funkcija </w:t>
      </w:r>
    </w:p>
    <w:p w:rsidR="00E250E1" w:rsidRPr="002F4C6C" w:rsidRDefault="00E250E1">
      <w:pPr>
        <w:spacing w:after="0" w:line="240" w:lineRule="auto"/>
        <w:rPr>
          <w:rFonts w:ascii="Times New Roman" w:hAnsi="Times New Roman"/>
        </w:rPr>
      </w:pPr>
      <w:r w:rsidRPr="002F4C6C">
        <w:rPr>
          <w:rFonts w:ascii="Times New Roman" w:hAnsi="Times New Roman"/>
        </w:rPr>
        <w:t xml:space="preserve">Klinikiniai duomenys apie amlodipino vartojimą pacientams, kurių kepenų funkcija yra sutrikusi, yra labai riboti Pacientams, kuriems nustatytas kepenų nepakankamumas, amlodipino klirensas yra sumažėjęs ir tai pailgina pusinės eliminacijos </w:t>
      </w:r>
      <w:r w:rsidR="00C44F2A" w:rsidRPr="002F4C6C">
        <w:rPr>
          <w:rFonts w:ascii="Times New Roman" w:hAnsi="Times New Roman"/>
        </w:rPr>
        <w:t>laiką</w:t>
      </w:r>
      <w:r w:rsidRPr="002F4C6C">
        <w:rPr>
          <w:rFonts w:ascii="Times New Roman" w:hAnsi="Times New Roman"/>
        </w:rPr>
        <w:t xml:space="preserve"> bei padidina plotą po </w:t>
      </w:r>
      <w:r w:rsidR="00C44F2A" w:rsidRPr="002F4C6C">
        <w:rPr>
          <w:rFonts w:ascii="Times New Roman" w:hAnsi="Times New Roman"/>
        </w:rPr>
        <w:t xml:space="preserve">koncentracijos ir laiko </w:t>
      </w:r>
      <w:r w:rsidRPr="002F4C6C">
        <w:rPr>
          <w:rFonts w:ascii="Times New Roman" w:hAnsi="Times New Roman"/>
        </w:rPr>
        <w:t>kreive (AUC) apytiksliai 40–60 %.</w:t>
      </w:r>
    </w:p>
    <w:p w:rsidR="00E250E1" w:rsidRPr="002F4C6C" w:rsidRDefault="00E250E1">
      <w:pPr>
        <w:tabs>
          <w:tab w:val="left" w:pos="567"/>
        </w:tabs>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5.3</w:t>
      </w:r>
      <w:r w:rsidRPr="002F4C6C">
        <w:rPr>
          <w:rFonts w:ascii="Times New Roman" w:hAnsi="Times New Roman"/>
          <w:b/>
        </w:rPr>
        <w:tab/>
        <w:t>Ikiklinikinių saugumo tyrimų duomenys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Perindoprilis</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Atlikus lėtinio toksiškumo tyrimus (su žiurkėmis ir beždžionėmis), kai </w:t>
      </w:r>
      <w:r w:rsidR="000A6FE3" w:rsidRPr="002F4C6C">
        <w:rPr>
          <w:rFonts w:ascii="Times New Roman" w:hAnsi="Times New Roman"/>
          <w:bCs/>
          <w:iCs/>
        </w:rPr>
        <w:t xml:space="preserve">vaistinis </w:t>
      </w:r>
      <w:r w:rsidRPr="002F4C6C">
        <w:rPr>
          <w:rFonts w:ascii="Times New Roman" w:hAnsi="Times New Roman"/>
          <w:bCs/>
          <w:iCs/>
        </w:rPr>
        <w:t xml:space="preserve">preparatas buvo geriamas, nustatyta, kad organas taikinys yra inkstai, o jų pažeidimas yra laikinas. </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 xml:space="preserve">Atlikus </w:t>
      </w:r>
      <w:r w:rsidRPr="002F4C6C">
        <w:rPr>
          <w:rFonts w:ascii="Times New Roman" w:hAnsi="Times New Roman"/>
          <w:bCs/>
          <w:i/>
        </w:rPr>
        <w:t>in vitro</w:t>
      </w:r>
      <w:r w:rsidRPr="002F4C6C">
        <w:rPr>
          <w:rFonts w:ascii="Times New Roman" w:hAnsi="Times New Roman"/>
          <w:bCs/>
        </w:rPr>
        <w:t xml:space="preserve"> ir </w:t>
      </w:r>
      <w:r w:rsidRPr="002F4C6C">
        <w:rPr>
          <w:rFonts w:ascii="Times New Roman" w:hAnsi="Times New Roman"/>
          <w:bCs/>
          <w:i/>
        </w:rPr>
        <w:t>in vivo</w:t>
      </w:r>
      <w:r w:rsidRPr="002F4C6C">
        <w:rPr>
          <w:rFonts w:ascii="Times New Roman" w:hAnsi="Times New Roman"/>
          <w:bCs/>
        </w:rPr>
        <w:t xml:space="preserve"> tyrimus, mutageniškumas nenustatytas.</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Reprodukcijos toksiškumo tyrimai (atlikti su žiurkėmis, pelėmis, triušiais ir beždžionėmis) neparodė embriotoksiškumo ar teratogeniškumo požymių. Tačiau nustatyta, kad angiotenziną konvertuojančio fermento inhibitoriai, kaip vaist</w:t>
      </w:r>
      <w:r w:rsidR="000A6FE3" w:rsidRPr="002F4C6C">
        <w:rPr>
          <w:rFonts w:ascii="Times New Roman" w:hAnsi="Times New Roman"/>
          <w:bCs/>
          <w:iCs/>
        </w:rPr>
        <w:t>ini</w:t>
      </w:r>
      <w:r w:rsidRPr="002F4C6C">
        <w:rPr>
          <w:rFonts w:ascii="Times New Roman" w:hAnsi="Times New Roman"/>
          <w:bCs/>
          <w:iCs/>
        </w:rPr>
        <w:t xml:space="preserve">ų </w:t>
      </w:r>
      <w:r w:rsidR="000A6FE3" w:rsidRPr="002F4C6C">
        <w:rPr>
          <w:rFonts w:ascii="Times New Roman" w:hAnsi="Times New Roman"/>
          <w:bCs/>
          <w:iCs/>
        </w:rPr>
        <w:t xml:space="preserve">preparatų </w:t>
      </w:r>
      <w:r w:rsidRPr="002F4C6C">
        <w:rPr>
          <w:rFonts w:ascii="Times New Roman" w:hAnsi="Times New Roman"/>
          <w:bCs/>
          <w:iCs/>
        </w:rPr>
        <w:t>klasė, vėlyvajai graužikų ir triušių vaisiaus raidai sukelia nepageidaujamą poveikį, dėl kurio gali žūti vaisius ir atsirasti įgimtų anomalijų – inkstų pažeidimų, taip pat pastebėtas perinatalinio ir postnatalinio mirštamumo padažnėjimas. Nei žiurkių patinų, nei žiurkių patelių vislumas nesutriko.</w:t>
      </w:r>
    </w:p>
    <w:p w:rsidR="00E250E1" w:rsidRPr="002F4C6C" w:rsidRDefault="00E250E1">
      <w:pPr>
        <w:spacing w:after="0" w:line="240" w:lineRule="auto"/>
        <w:rPr>
          <w:rFonts w:ascii="Times New Roman" w:hAnsi="Times New Roman"/>
          <w:bCs/>
          <w:iCs/>
        </w:rPr>
      </w:pPr>
    </w:p>
    <w:p w:rsidR="00E250E1" w:rsidRPr="002F4C6C" w:rsidRDefault="00E250E1">
      <w:pPr>
        <w:spacing w:after="0" w:line="240" w:lineRule="auto"/>
        <w:rPr>
          <w:rFonts w:ascii="Times New Roman" w:hAnsi="Times New Roman"/>
        </w:rPr>
      </w:pPr>
      <w:r w:rsidRPr="002F4C6C">
        <w:rPr>
          <w:rFonts w:ascii="Times New Roman" w:hAnsi="Times New Roman"/>
          <w:bCs/>
          <w:iCs/>
        </w:rPr>
        <w:t>Ilgalaikiai tyrimai, atlikti su žiurkėmis ir pelėmis, kancerogeniškumo požymių neparodė.</w:t>
      </w:r>
    </w:p>
    <w:p w:rsidR="00E250E1" w:rsidRPr="002F4C6C" w:rsidRDefault="00E250E1">
      <w:pPr>
        <w:spacing w:after="0" w:line="240" w:lineRule="auto"/>
        <w:rPr>
          <w:rFonts w:ascii="Times New Roman" w:hAnsi="Times New Roman"/>
          <w:bCs/>
          <w:i/>
          <w:iCs/>
          <w:u w:val="single"/>
        </w:rPr>
      </w:pPr>
    </w:p>
    <w:p w:rsidR="00E250E1" w:rsidRPr="002F4C6C" w:rsidRDefault="00E250E1">
      <w:pPr>
        <w:spacing w:after="0" w:line="240" w:lineRule="auto"/>
        <w:rPr>
          <w:rFonts w:ascii="Times New Roman" w:hAnsi="Times New Roman"/>
        </w:rPr>
      </w:pPr>
      <w:r w:rsidRPr="002F4C6C">
        <w:rPr>
          <w:rFonts w:ascii="Times New Roman" w:hAnsi="Times New Roman"/>
          <w:i/>
          <w:iCs/>
          <w:u w:val="single"/>
        </w:rPr>
        <w:t>Amlodipinas</w:t>
      </w:r>
    </w:p>
    <w:p w:rsidR="00E250E1" w:rsidRPr="002F4C6C" w:rsidRDefault="00E250E1">
      <w:pPr>
        <w:spacing w:after="0" w:line="240" w:lineRule="auto"/>
        <w:rPr>
          <w:rFonts w:ascii="Times New Roman" w:hAnsi="Times New Roman"/>
          <w:i/>
          <w:iCs/>
          <w:u w:val="single"/>
        </w:rPr>
      </w:pPr>
    </w:p>
    <w:p w:rsidR="00815937" w:rsidRPr="002F4C6C" w:rsidRDefault="00815937">
      <w:pPr>
        <w:spacing w:after="0" w:line="240" w:lineRule="auto"/>
        <w:rPr>
          <w:rFonts w:ascii="Times New Roman" w:hAnsi="Times New Roman"/>
          <w:i/>
        </w:rPr>
      </w:pPr>
      <w:r w:rsidRPr="002F4C6C">
        <w:rPr>
          <w:rFonts w:ascii="Times New Roman" w:hAnsi="Times New Roman"/>
          <w:i/>
        </w:rPr>
        <w:t>Reprodukcinė toksikologija</w:t>
      </w:r>
    </w:p>
    <w:p w:rsidR="00E250E1" w:rsidRPr="002F4C6C" w:rsidRDefault="00E250E1">
      <w:pPr>
        <w:spacing w:after="0" w:line="240" w:lineRule="auto"/>
        <w:rPr>
          <w:rFonts w:ascii="Times New Roman" w:hAnsi="Times New Roman"/>
        </w:rPr>
      </w:pPr>
      <w:r w:rsidRPr="002F4C6C">
        <w:rPr>
          <w:rFonts w:ascii="Times New Roman" w:hAnsi="Times New Roman"/>
        </w:rPr>
        <w:t>Reprodukcijos tyrimai su žiurkėmis ir pelėmis rodė pavėluotą palikuonių atsivedimą, pailgėjusią apsivaikavimo trukmę ir sumažėjusį vados išgyvenamumą, kai buvo skiriamos dozės, apytiksliai 50 kartų didesnės nei didžiausios žmonėms rekomenduojamos dozės (matuojant mg/kg).</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Poveikis vaisingumui</w:t>
      </w:r>
    </w:p>
    <w:p w:rsidR="00E250E1" w:rsidRPr="002F4C6C" w:rsidRDefault="00E250E1">
      <w:pPr>
        <w:spacing w:after="0" w:line="240" w:lineRule="auto"/>
        <w:rPr>
          <w:rFonts w:ascii="Times New Roman" w:hAnsi="Times New Roman"/>
        </w:rPr>
      </w:pPr>
      <w:r w:rsidRPr="002F4C6C">
        <w:rPr>
          <w:rFonts w:ascii="Times New Roman" w:hAnsi="Times New Roman"/>
        </w:rPr>
        <w:t>Poveikio žiurkių vislumui (patinėliams 64 dienų laikotarpiu ir patelėms 14 dienų iki poravimosi), duodant amlodipino dozes iki 10 mg/kg/per parą (8 kartus* didesnes nei rekomenduotinos 10 mg dozės žmonėms, mg/m</w:t>
      </w:r>
      <w:r w:rsidRPr="002F4C6C">
        <w:rPr>
          <w:rFonts w:ascii="Times New Roman" w:hAnsi="Times New Roman"/>
          <w:vertAlign w:val="superscript"/>
        </w:rPr>
        <w:t>2</w:t>
      </w:r>
      <w:r w:rsidRPr="002F4C6C">
        <w:rPr>
          <w:rFonts w:ascii="Times New Roman" w:hAnsi="Times New Roman"/>
        </w:rPr>
        <w:t>), pastebėta nebuvo. Kituose tyrimuose su žiurkėmis, kurių metu patinėliams 30 dienų buvo duodama amlodipino besilato dozė, prilygintina žmonėms skirtai dozei, matuojant mg/kg, plazmoje buvo nustatytas folikulus stimuliuojančių hormonų ir testosterono koncentracijos sumažėjimas, taip pat spermos tankio bei subrendusių spermatozoidų ir Sertoli ląstelių skaičiaus sumažėjimas.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i/>
        </w:rPr>
        <w:t>Kancerogeninis ir mutageninis poveikis</w:t>
      </w:r>
    </w:p>
    <w:p w:rsidR="00E250E1" w:rsidRPr="002F4C6C" w:rsidRDefault="00E250E1">
      <w:pPr>
        <w:spacing w:after="0" w:line="240" w:lineRule="auto"/>
        <w:rPr>
          <w:rFonts w:ascii="Times New Roman" w:hAnsi="Times New Roman"/>
        </w:rPr>
      </w:pPr>
      <w:r w:rsidRPr="002F4C6C">
        <w:rPr>
          <w:rFonts w:ascii="Times New Roman" w:hAnsi="Times New Roman"/>
        </w:rPr>
        <w:t>Žiurkėms ir pelėms, kurioms dvejus metus su maistu buvo skiriama amlodipino koncentracijomis, paskaičiuotomis taip, kad paros dozės būtų 0,5, 1,25 ir 2,5 mg/kg/per parą, kancerogeniško poveikio nustatyta nebuvo. Didžiausia dozė (pelėms panaši į ir žiurkėms du kartus didesnė* nei rekomenduojama didžiausia klinikinė 10</w:t>
      </w:r>
      <w:r w:rsidR="00524223" w:rsidRPr="002F4C6C">
        <w:rPr>
          <w:rFonts w:ascii="Times New Roman" w:hAnsi="Times New Roman"/>
        </w:rPr>
        <w:t> </w:t>
      </w:r>
      <w:r w:rsidRPr="002F4C6C">
        <w:rPr>
          <w:rFonts w:ascii="Times New Roman" w:hAnsi="Times New Roman"/>
        </w:rPr>
        <w:t>mg dozė, matuojant mg/m</w:t>
      </w:r>
      <w:r w:rsidRPr="002F4C6C">
        <w:rPr>
          <w:rFonts w:ascii="Times New Roman" w:hAnsi="Times New Roman"/>
          <w:vertAlign w:val="superscript"/>
        </w:rPr>
        <w:t>2</w:t>
      </w:r>
      <w:r w:rsidRPr="002F4C6C">
        <w:rPr>
          <w:rFonts w:ascii="Times New Roman" w:hAnsi="Times New Roman"/>
        </w:rPr>
        <w:t>) buvo artima didžiausia pelių, bet ne žiurkių toleruojama dozė.</w:t>
      </w:r>
    </w:p>
    <w:p w:rsidR="00E250E1" w:rsidRPr="002F4C6C" w:rsidRDefault="00E250E1">
      <w:pPr>
        <w:spacing w:after="0" w:line="240" w:lineRule="auto"/>
        <w:rPr>
          <w:rFonts w:ascii="Times New Roman" w:hAnsi="Times New Roman"/>
        </w:rPr>
      </w:pPr>
      <w:r w:rsidRPr="002F4C6C">
        <w:rPr>
          <w:rFonts w:ascii="Times New Roman" w:hAnsi="Times New Roman"/>
        </w:rPr>
        <w:t>Mutageniškumo tyrimai neparodė jokio su vaist</w:t>
      </w:r>
      <w:r w:rsidR="000A6FE3" w:rsidRPr="002F4C6C">
        <w:rPr>
          <w:rFonts w:ascii="Times New Roman" w:hAnsi="Times New Roman"/>
        </w:rPr>
        <w:t>ini</w:t>
      </w:r>
      <w:r w:rsidRPr="002F4C6C">
        <w:rPr>
          <w:rFonts w:ascii="Times New Roman" w:hAnsi="Times New Roman"/>
        </w:rPr>
        <w:t xml:space="preserve">u </w:t>
      </w:r>
      <w:r w:rsidR="000A6FE3" w:rsidRPr="002F4C6C">
        <w:rPr>
          <w:rFonts w:ascii="Times New Roman" w:hAnsi="Times New Roman"/>
        </w:rPr>
        <w:t xml:space="preserve">preparatu </w:t>
      </w:r>
      <w:r w:rsidRPr="002F4C6C">
        <w:rPr>
          <w:rFonts w:ascii="Times New Roman" w:hAnsi="Times New Roman"/>
        </w:rPr>
        <w:t>susijusio poveikio genų ar chromosomų lygmenyje.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 Apskaičiuota pacientui, kurio svoris 50 kg </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6.</w:t>
      </w:r>
      <w:r w:rsidRPr="002F4C6C">
        <w:rPr>
          <w:rFonts w:ascii="Times New Roman" w:hAnsi="Times New Roman"/>
          <w:b/>
        </w:rPr>
        <w:tab/>
      </w:r>
      <w:r w:rsidRPr="002F4C6C">
        <w:rPr>
          <w:rFonts w:ascii="Times New Roman" w:hAnsi="Times New Roman"/>
          <w:b/>
          <w:caps/>
        </w:rPr>
        <w:t>farmacinĖ informacija</w:t>
      </w: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6.1</w:t>
      </w:r>
      <w:r w:rsidRPr="002F4C6C">
        <w:rPr>
          <w:rFonts w:ascii="Times New Roman" w:hAnsi="Times New Roman"/>
          <w:b/>
        </w:rPr>
        <w:tab/>
        <w:t>Pagalbinių medžiagų sąrašas</w:t>
      </w:r>
    </w:p>
    <w:p w:rsidR="00E250E1" w:rsidRPr="002F4C6C" w:rsidRDefault="00E250E1">
      <w:pPr>
        <w:spacing w:after="0" w:line="240" w:lineRule="auto"/>
        <w:rPr>
          <w:rFonts w:ascii="Times New Roman" w:hAnsi="Times New Roman"/>
        </w:rPr>
      </w:pPr>
    </w:p>
    <w:p w:rsidR="00E250E1" w:rsidRPr="002F4C6C" w:rsidRDefault="00E250E1">
      <w:pPr>
        <w:autoSpaceDE w:val="0"/>
        <w:spacing w:after="0" w:line="240" w:lineRule="auto"/>
        <w:rPr>
          <w:rFonts w:ascii="Times New Roman" w:hAnsi="Times New Roman"/>
        </w:rPr>
      </w:pPr>
      <w:r w:rsidRPr="002F4C6C">
        <w:rPr>
          <w:rFonts w:ascii="Times New Roman" w:hAnsi="Times New Roman"/>
        </w:rPr>
        <w:t>Natrio-vandenilio karbonatas</w:t>
      </w:r>
    </w:p>
    <w:p w:rsidR="00E250E1" w:rsidRPr="002F4C6C" w:rsidRDefault="00E250E1">
      <w:pPr>
        <w:spacing w:after="0" w:line="240" w:lineRule="auto"/>
        <w:rPr>
          <w:rFonts w:ascii="Times New Roman" w:hAnsi="Times New Roman"/>
        </w:rPr>
      </w:pPr>
      <w:r w:rsidRPr="002F4C6C">
        <w:rPr>
          <w:rFonts w:ascii="Times New Roman" w:hAnsi="Times New Roman"/>
        </w:rPr>
        <w:t>Povidonas K30</w:t>
      </w:r>
    </w:p>
    <w:p w:rsidR="00E250E1" w:rsidRPr="002F4C6C" w:rsidRDefault="00E250E1">
      <w:pPr>
        <w:spacing w:after="0" w:line="240" w:lineRule="auto"/>
        <w:rPr>
          <w:rFonts w:ascii="Times New Roman" w:hAnsi="Times New Roman"/>
        </w:rPr>
      </w:pPr>
      <w:r w:rsidRPr="002F4C6C">
        <w:rPr>
          <w:rFonts w:ascii="Times New Roman" w:hAnsi="Times New Roman"/>
        </w:rPr>
        <w:t>Izomaltas</w:t>
      </w:r>
    </w:p>
    <w:p w:rsidR="00E250E1" w:rsidRPr="002F4C6C" w:rsidRDefault="00E250E1">
      <w:pPr>
        <w:spacing w:after="0" w:line="240" w:lineRule="auto"/>
        <w:rPr>
          <w:rFonts w:ascii="Times New Roman" w:hAnsi="Times New Roman"/>
        </w:rPr>
      </w:pPr>
      <w:r w:rsidRPr="002F4C6C">
        <w:rPr>
          <w:rFonts w:ascii="Times New Roman" w:hAnsi="Times New Roman"/>
        </w:rPr>
        <w:lastRenderedPageBreak/>
        <w:t>Mikrokristalinė celiuliozė</w:t>
      </w:r>
    </w:p>
    <w:p w:rsidR="00E250E1" w:rsidRPr="002F4C6C" w:rsidRDefault="00E250E1">
      <w:pPr>
        <w:spacing w:after="0" w:line="240" w:lineRule="auto"/>
        <w:rPr>
          <w:rFonts w:ascii="Times New Roman" w:hAnsi="Times New Roman"/>
        </w:rPr>
      </w:pPr>
      <w:r w:rsidRPr="002F4C6C">
        <w:rPr>
          <w:rFonts w:ascii="Times New Roman" w:hAnsi="Times New Roman"/>
        </w:rPr>
        <w:t>Karboksimetilkrakmolo A natrio druska</w:t>
      </w:r>
    </w:p>
    <w:p w:rsidR="00E250E1" w:rsidRPr="002F4C6C" w:rsidRDefault="00E250E1">
      <w:pPr>
        <w:spacing w:after="0" w:line="240" w:lineRule="auto"/>
        <w:rPr>
          <w:rFonts w:ascii="Times New Roman" w:hAnsi="Times New Roman"/>
        </w:rPr>
      </w:pPr>
      <w:r w:rsidRPr="002F4C6C">
        <w:rPr>
          <w:rFonts w:ascii="Times New Roman" w:hAnsi="Times New Roman"/>
        </w:rPr>
        <w:t xml:space="preserve">Magnio stearatas </w:t>
      </w:r>
    </w:p>
    <w:p w:rsidR="00E250E1" w:rsidRPr="002F4C6C" w:rsidRDefault="00E250E1">
      <w:pPr>
        <w:spacing w:after="0" w:line="240" w:lineRule="auto"/>
        <w:rPr>
          <w:rFonts w:ascii="Times New Roman" w:hAnsi="Times New Roman"/>
          <w:i/>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6.2</w:t>
      </w:r>
      <w:r w:rsidRPr="002F4C6C">
        <w:rPr>
          <w:rFonts w:ascii="Times New Roman" w:hAnsi="Times New Roman"/>
          <w:b/>
        </w:rPr>
        <w:tab/>
        <w:t>Nesuderinamumas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Duomenys nebūtini.</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6.3</w:t>
      </w:r>
      <w:r w:rsidRPr="002F4C6C">
        <w:rPr>
          <w:rFonts w:ascii="Times New Roman" w:hAnsi="Times New Roman"/>
          <w:b/>
        </w:rPr>
        <w:tab/>
        <w:t>Tinkamumo laikas</w:t>
      </w:r>
    </w:p>
    <w:p w:rsidR="00E250E1" w:rsidRPr="002F4C6C" w:rsidRDefault="00E250E1">
      <w:pPr>
        <w:spacing w:after="0" w:line="240" w:lineRule="auto"/>
        <w:ind w:left="567" w:hanging="567"/>
        <w:rPr>
          <w:rFonts w:ascii="Times New Roman" w:hAnsi="Times New Roman"/>
        </w:rPr>
      </w:pPr>
    </w:p>
    <w:p w:rsidR="00E250E1" w:rsidRPr="002F4C6C" w:rsidRDefault="008566C8">
      <w:pPr>
        <w:spacing w:after="0" w:line="240" w:lineRule="auto"/>
        <w:ind w:left="567" w:hanging="567"/>
        <w:rPr>
          <w:rFonts w:ascii="Times New Roman" w:hAnsi="Times New Roman"/>
        </w:rPr>
      </w:pPr>
      <w:r w:rsidRPr="002F4C6C">
        <w:rPr>
          <w:rFonts w:ascii="Times New Roman" w:hAnsi="Times New Roman"/>
        </w:rPr>
        <w:t>24 mėnesiai</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6.4</w:t>
      </w:r>
      <w:r w:rsidRPr="002F4C6C">
        <w:rPr>
          <w:rFonts w:ascii="Times New Roman" w:hAnsi="Times New Roman"/>
          <w:b/>
        </w:rPr>
        <w:tab/>
        <w:t>Specialios laikymo sąlygos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Šio vaistinio preparato laikymui specialių temperatūros sąlygų nereikalaujama.</w:t>
      </w: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rPr>
        <w:t>Talpyklę laikyti gamintojo pakuotėje, kad vaistinis preparatas būtų apsaugotas nuo šviesos ir drėgmės. Talpyklę laikyti sandarią.</w:t>
      </w:r>
    </w:p>
    <w:p w:rsidR="00E250E1" w:rsidRPr="002F4C6C" w:rsidRDefault="00E250E1">
      <w:pPr>
        <w:spacing w:after="0" w:line="240" w:lineRule="auto"/>
        <w:rPr>
          <w:rFonts w:ascii="Times New Roman" w:hAnsi="Times New Roman"/>
        </w:rPr>
      </w:pPr>
    </w:p>
    <w:p w:rsidR="00E250E1" w:rsidRPr="002F4C6C" w:rsidRDefault="00E250E1">
      <w:pPr>
        <w:numPr>
          <w:ilvl w:val="1"/>
          <w:numId w:val="6"/>
        </w:numPr>
        <w:spacing w:after="0" w:line="240" w:lineRule="auto"/>
        <w:rPr>
          <w:rFonts w:ascii="Times New Roman" w:hAnsi="Times New Roman"/>
        </w:rPr>
      </w:pPr>
      <w:r w:rsidRPr="002F4C6C">
        <w:rPr>
          <w:rFonts w:ascii="Times New Roman" w:hAnsi="Times New Roman"/>
          <w:b/>
        </w:rPr>
        <w:t>Talpyklės pobūdis ir jos</w:t>
      </w:r>
      <w:r w:rsidRPr="002F4C6C">
        <w:rPr>
          <w:rFonts w:ascii="Times New Roman" w:hAnsi="Times New Roman"/>
        </w:rPr>
        <w:t xml:space="preserve"> </w:t>
      </w:r>
      <w:r w:rsidRPr="002F4C6C">
        <w:rPr>
          <w:rFonts w:ascii="Times New Roman" w:hAnsi="Times New Roman"/>
          <w:b/>
        </w:rPr>
        <w:t>turinys</w:t>
      </w:r>
    </w:p>
    <w:p w:rsidR="00E250E1" w:rsidRPr="002F4C6C" w:rsidRDefault="00E250E1">
      <w:pPr>
        <w:spacing w:after="0" w:line="240" w:lineRule="auto"/>
        <w:rPr>
          <w:rFonts w:ascii="Times New Roman" w:hAnsi="Times New Roman"/>
          <w:b/>
          <w:color w:val="000000"/>
        </w:rPr>
      </w:pPr>
    </w:p>
    <w:p w:rsidR="00E250E1" w:rsidRPr="002F4C6C" w:rsidRDefault="00E250E1">
      <w:pPr>
        <w:spacing w:after="0" w:line="240" w:lineRule="auto"/>
        <w:rPr>
          <w:rFonts w:ascii="Times New Roman" w:hAnsi="Times New Roman"/>
        </w:rPr>
      </w:pPr>
      <w:r w:rsidRPr="002F4C6C">
        <w:rPr>
          <w:rFonts w:ascii="Times New Roman" w:hAnsi="Times New Roman"/>
          <w:color w:val="000000"/>
        </w:rPr>
        <w:t>Balta nepermatoma polipropileno talpyklė su baltu nepermatomu polietileno kamščiu su sausikliu, pirmojo atidarymo kontrole ir polietileno byrėjimo reduktoriumi.</w:t>
      </w: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rPr>
          <w:rFonts w:ascii="Times New Roman" w:hAnsi="Times New Roman"/>
        </w:rPr>
      </w:pPr>
      <w:r w:rsidRPr="002F4C6C">
        <w:rPr>
          <w:rFonts w:ascii="Times New Roman" w:hAnsi="Times New Roman"/>
        </w:rPr>
        <w:t>Pakuočių dydžiai:</w:t>
      </w:r>
    </w:p>
    <w:p w:rsidR="00E250E1" w:rsidRPr="002F4C6C" w:rsidRDefault="00E250E1">
      <w:pPr>
        <w:spacing w:after="0" w:line="240" w:lineRule="auto"/>
        <w:rPr>
          <w:rFonts w:ascii="Times New Roman" w:hAnsi="Times New Roman"/>
        </w:rPr>
      </w:pPr>
      <w:r w:rsidRPr="002F4C6C">
        <w:rPr>
          <w:rFonts w:ascii="Times New Roman" w:hAnsi="Times New Roman"/>
        </w:rPr>
        <w:t xml:space="preserve">10 mg/5 mg, 10 mg/10 mg: 30 ir sudėtinė </w:t>
      </w:r>
      <w:r w:rsidRPr="002F4C6C">
        <w:rPr>
          <w:rFonts w:ascii="Times New Roman" w:hAnsi="Times New Roman"/>
          <w:color w:val="000000"/>
        </w:rPr>
        <w:t>talpyklė, kurioje yra</w:t>
      </w:r>
      <w:r w:rsidRPr="002F4C6C">
        <w:rPr>
          <w:rFonts w:ascii="Times New Roman" w:hAnsi="Times New Roman"/>
        </w:rPr>
        <w:t xml:space="preserve">, </w:t>
      </w:r>
      <w:r w:rsidRPr="002F4C6C">
        <w:rPr>
          <w:rFonts w:ascii="Times New Roman" w:hAnsi="Times New Roman"/>
          <w:color w:val="000000"/>
        </w:rPr>
        <w:t>90 (3x30</w:t>
      </w:r>
      <w:r w:rsidRPr="002F4C6C">
        <w:rPr>
          <w:rFonts w:ascii="Times New Roman" w:hAnsi="Times New Roman"/>
          <w:color w:val="000000"/>
          <w:lang w:eastAsia="en-GB"/>
        </w:rPr>
        <w:t xml:space="preserve">) </w:t>
      </w:r>
      <w:r w:rsidRPr="002F4C6C">
        <w:rPr>
          <w:rFonts w:ascii="Times New Roman" w:hAnsi="Times New Roman"/>
          <w:color w:val="000000"/>
        </w:rPr>
        <w:t>tablečių.</w:t>
      </w: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rPr>
          <w:rFonts w:ascii="Times New Roman" w:hAnsi="Times New Roman"/>
        </w:rPr>
      </w:pPr>
      <w:r w:rsidRPr="002F4C6C">
        <w:rPr>
          <w:rFonts w:ascii="Times New Roman" w:hAnsi="Times New Roman"/>
        </w:rPr>
        <w:t>Gali būti tiekiamos ne visų dydžių pakuotės.</w:t>
      </w:r>
    </w:p>
    <w:p w:rsidR="00E250E1" w:rsidRPr="002F4C6C" w:rsidRDefault="00E250E1">
      <w:pPr>
        <w:spacing w:after="0" w:line="240" w:lineRule="auto"/>
        <w:rPr>
          <w:rFonts w:ascii="Times New Roman" w:hAnsi="Times New Roman"/>
        </w:rPr>
      </w:pPr>
    </w:p>
    <w:p w:rsidR="00E250E1" w:rsidRPr="002F4C6C" w:rsidRDefault="00E250E1">
      <w:pPr>
        <w:numPr>
          <w:ilvl w:val="1"/>
          <w:numId w:val="6"/>
        </w:numPr>
        <w:spacing w:after="0" w:line="240" w:lineRule="auto"/>
        <w:rPr>
          <w:rFonts w:ascii="Times New Roman" w:hAnsi="Times New Roman"/>
        </w:rPr>
      </w:pPr>
      <w:r w:rsidRPr="002F4C6C">
        <w:rPr>
          <w:rFonts w:ascii="Times New Roman" w:hAnsi="Times New Roman"/>
          <w:b/>
        </w:rPr>
        <w:t>Specialūs reikalavimai atliekoms tvarkyti</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Specialių reikalavimų nėra.</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7.</w:t>
      </w:r>
      <w:r w:rsidRPr="002F4C6C">
        <w:rPr>
          <w:rFonts w:ascii="Times New Roman" w:hAnsi="Times New Roman"/>
          <w:b/>
        </w:rPr>
        <w:tab/>
      </w:r>
      <w:r w:rsidRPr="002F4C6C">
        <w:rPr>
          <w:rFonts w:ascii="Times New Roman" w:hAnsi="Times New Roman"/>
          <w:b/>
          <w:caps/>
        </w:rPr>
        <w:t>REGISTRUOTOJAS</w:t>
      </w:r>
    </w:p>
    <w:p w:rsidR="00E250E1" w:rsidRPr="002F4C6C" w:rsidRDefault="00E250E1">
      <w:pPr>
        <w:tabs>
          <w:tab w:val="left" w:pos="709"/>
        </w:tabs>
        <w:spacing w:after="0" w:line="240" w:lineRule="auto"/>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rPr>
        <w:t>Teva Pharma B.V.</w:t>
      </w:r>
    </w:p>
    <w:p w:rsidR="00E250E1" w:rsidRPr="002F4C6C" w:rsidRDefault="00E250E1">
      <w:pPr>
        <w:spacing w:after="0" w:line="240" w:lineRule="auto"/>
        <w:rPr>
          <w:rFonts w:ascii="Times New Roman" w:hAnsi="Times New Roman"/>
        </w:rPr>
      </w:pPr>
      <w:r w:rsidRPr="002F4C6C">
        <w:rPr>
          <w:rFonts w:ascii="Times New Roman" w:hAnsi="Times New Roman"/>
        </w:rPr>
        <w:t>Swensweg 5</w:t>
      </w:r>
    </w:p>
    <w:p w:rsidR="00E250E1" w:rsidRPr="002F4C6C" w:rsidRDefault="00E250E1">
      <w:pPr>
        <w:spacing w:after="0" w:line="240" w:lineRule="auto"/>
        <w:rPr>
          <w:rFonts w:ascii="Times New Roman" w:hAnsi="Times New Roman"/>
        </w:rPr>
      </w:pPr>
      <w:r w:rsidRPr="002F4C6C">
        <w:rPr>
          <w:rFonts w:ascii="Times New Roman" w:hAnsi="Times New Roman"/>
        </w:rPr>
        <w:t>2031 GA Haarlem</w:t>
      </w:r>
    </w:p>
    <w:p w:rsidR="00E250E1" w:rsidRPr="002F4C6C" w:rsidRDefault="00E250E1">
      <w:pPr>
        <w:spacing w:after="0" w:line="240" w:lineRule="auto"/>
        <w:rPr>
          <w:rFonts w:ascii="Times New Roman" w:hAnsi="Times New Roman"/>
        </w:rPr>
      </w:pPr>
      <w:r w:rsidRPr="002F4C6C">
        <w:rPr>
          <w:rFonts w:ascii="Times New Roman" w:hAnsi="Times New Roman"/>
        </w:rPr>
        <w:t>Nyderlandai</w:t>
      </w:r>
    </w:p>
    <w:p w:rsidR="00E250E1" w:rsidRPr="002F4C6C" w:rsidRDefault="00E250E1">
      <w:pPr>
        <w:tabs>
          <w:tab w:val="left" w:pos="709"/>
        </w:tabs>
        <w:spacing w:after="0" w:line="240" w:lineRule="auto"/>
        <w:rPr>
          <w:rFonts w:ascii="Times New Roman" w:hAnsi="Times New Roman"/>
        </w:rPr>
      </w:pPr>
    </w:p>
    <w:p w:rsidR="00E250E1" w:rsidRPr="002F4C6C" w:rsidRDefault="00E250E1">
      <w:pPr>
        <w:tabs>
          <w:tab w:val="left" w:pos="6255"/>
        </w:tabs>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8.</w:t>
      </w:r>
      <w:r w:rsidRPr="002F4C6C">
        <w:rPr>
          <w:rFonts w:ascii="Times New Roman" w:hAnsi="Times New Roman"/>
          <w:b/>
        </w:rPr>
        <w:tab/>
      </w:r>
      <w:r w:rsidRPr="002F4C6C">
        <w:rPr>
          <w:rFonts w:ascii="Times New Roman" w:hAnsi="Times New Roman"/>
          <w:b/>
          <w:caps/>
        </w:rPr>
        <w:t>REGISTRACIJOS PAŽYMĖJIMO NUMERIS (-IAI)</w:t>
      </w:r>
    </w:p>
    <w:p w:rsidR="00E250E1" w:rsidRPr="002F4C6C" w:rsidRDefault="00E250E1">
      <w:pPr>
        <w:spacing w:after="0" w:line="240" w:lineRule="auto"/>
        <w:rPr>
          <w:rFonts w:ascii="Times New Roman" w:hAnsi="Times New Roman"/>
        </w:rPr>
      </w:pPr>
    </w:p>
    <w:tbl>
      <w:tblPr>
        <w:tblW w:w="0" w:type="auto"/>
        <w:tblLook w:val="04A0" w:firstRow="1" w:lastRow="0" w:firstColumn="1" w:lastColumn="0" w:noHBand="0" w:noVBand="1"/>
      </w:tblPr>
      <w:tblGrid>
        <w:gridCol w:w="4697"/>
        <w:gridCol w:w="4697"/>
      </w:tblGrid>
      <w:tr w:rsidR="008C41B5" w:rsidRPr="002F4C6C" w:rsidTr="00383D73">
        <w:tc>
          <w:tcPr>
            <w:tcW w:w="4697" w:type="dxa"/>
            <w:shd w:val="clear" w:color="auto" w:fill="auto"/>
          </w:tcPr>
          <w:p w:rsidR="008C41B5" w:rsidRPr="002F4C6C" w:rsidRDefault="008C41B5" w:rsidP="008C1908">
            <w:pPr>
              <w:spacing w:after="0" w:line="240" w:lineRule="auto"/>
              <w:rPr>
                <w:rFonts w:ascii="Times New Roman" w:hAnsi="Times New Roman"/>
                <w:u w:val="single"/>
              </w:rPr>
            </w:pPr>
            <w:r w:rsidRPr="002F4C6C">
              <w:rPr>
                <w:rFonts w:ascii="Times New Roman" w:hAnsi="Times New Roman"/>
                <w:u w:val="single"/>
              </w:rPr>
              <w:t>10 mg/5 mg</w:t>
            </w:r>
          </w:p>
          <w:p w:rsidR="008C41B5" w:rsidRPr="002F4C6C" w:rsidRDefault="008C41B5" w:rsidP="008C1908">
            <w:pPr>
              <w:spacing w:after="0" w:line="240" w:lineRule="auto"/>
              <w:rPr>
                <w:rFonts w:ascii="Times New Roman" w:hAnsi="Times New Roman"/>
              </w:rPr>
            </w:pPr>
            <w:r w:rsidRPr="002F4C6C">
              <w:rPr>
                <w:rFonts w:ascii="Times New Roman" w:hAnsi="Times New Roman"/>
              </w:rPr>
              <w:t>LT/1/21/4829/001 – N30</w:t>
            </w:r>
          </w:p>
          <w:p w:rsidR="008C41B5" w:rsidRPr="002F4C6C" w:rsidRDefault="008C41B5" w:rsidP="008C1908">
            <w:pPr>
              <w:spacing w:after="0" w:line="240" w:lineRule="auto"/>
              <w:rPr>
                <w:rFonts w:ascii="Times New Roman" w:hAnsi="Times New Roman"/>
              </w:rPr>
            </w:pPr>
            <w:r w:rsidRPr="002F4C6C">
              <w:rPr>
                <w:rFonts w:ascii="Times New Roman" w:hAnsi="Times New Roman"/>
              </w:rPr>
              <w:t>LT/1/21/4829/002 – N90 (3x30)</w:t>
            </w:r>
          </w:p>
        </w:tc>
        <w:tc>
          <w:tcPr>
            <w:tcW w:w="4697" w:type="dxa"/>
            <w:shd w:val="clear" w:color="auto" w:fill="auto"/>
          </w:tcPr>
          <w:p w:rsidR="008C41B5" w:rsidRPr="002F4C6C" w:rsidRDefault="008C41B5" w:rsidP="008C1908">
            <w:pPr>
              <w:spacing w:after="0" w:line="240" w:lineRule="auto"/>
              <w:rPr>
                <w:rFonts w:ascii="Times New Roman" w:hAnsi="Times New Roman"/>
                <w:u w:val="single"/>
              </w:rPr>
            </w:pPr>
            <w:r w:rsidRPr="002F4C6C">
              <w:rPr>
                <w:rFonts w:ascii="Times New Roman" w:hAnsi="Times New Roman"/>
                <w:u w:val="single"/>
              </w:rPr>
              <w:t>10 mg/10 mg</w:t>
            </w:r>
          </w:p>
          <w:p w:rsidR="008C41B5" w:rsidRPr="002F4C6C" w:rsidRDefault="008C41B5" w:rsidP="008C1908">
            <w:pPr>
              <w:spacing w:after="0" w:line="240" w:lineRule="auto"/>
              <w:rPr>
                <w:rFonts w:ascii="Times New Roman" w:hAnsi="Times New Roman"/>
              </w:rPr>
            </w:pPr>
            <w:r w:rsidRPr="002F4C6C">
              <w:rPr>
                <w:rFonts w:ascii="Times New Roman" w:hAnsi="Times New Roman"/>
              </w:rPr>
              <w:t>LT/1/21/4830/001 – N30</w:t>
            </w:r>
          </w:p>
          <w:p w:rsidR="008C41B5" w:rsidRPr="002F4C6C" w:rsidRDefault="008C41B5" w:rsidP="008C1908">
            <w:pPr>
              <w:spacing w:after="0" w:line="240" w:lineRule="auto"/>
              <w:rPr>
                <w:rFonts w:ascii="Times New Roman" w:hAnsi="Times New Roman"/>
              </w:rPr>
            </w:pPr>
            <w:r w:rsidRPr="002F4C6C">
              <w:rPr>
                <w:rFonts w:ascii="Times New Roman" w:hAnsi="Times New Roman"/>
              </w:rPr>
              <w:t>LT/1/21/4830/002 – N90 (3x30)</w:t>
            </w:r>
          </w:p>
        </w:tc>
      </w:tr>
    </w:tbl>
    <w:p w:rsidR="008C41B5" w:rsidRPr="002F4C6C" w:rsidRDefault="008C41B5">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9.</w:t>
      </w:r>
      <w:r w:rsidRPr="002F4C6C">
        <w:rPr>
          <w:rFonts w:ascii="Times New Roman" w:hAnsi="Times New Roman"/>
          <w:b/>
        </w:rPr>
        <w:tab/>
      </w:r>
      <w:r w:rsidRPr="002F4C6C">
        <w:rPr>
          <w:rFonts w:ascii="Times New Roman" w:hAnsi="Times New Roman"/>
          <w:b/>
          <w:caps/>
        </w:rPr>
        <w:t xml:space="preserve">REGISTRAVIMO / PERREGISTRAVIMO DATA </w:t>
      </w:r>
    </w:p>
    <w:p w:rsidR="00E250E1" w:rsidRPr="002F4C6C" w:rsidRDefault="00E250E1">
      <w:pPr>
        <w:spacing w:after="0" w:line="240" w:lineRule="auto"/>
        <w:rPr>
          <w:rFonts w:ascii="Times New Roman" w:hAnsi="Times New Roman"/>
        </w:rPr>
      </w:pPr>
    </w:p>
    <w:p w:rsidR="00E250E1" w:rsidRPr="002F4C6C" w:rsidRDefault="00E250E1">
      <w:pPr>
        <w:tabs>
          <w:tab w:val="left" w:pos="720"/>
        </w:tabs>
        <w:spacing w:after="0" w:line="240" w:lineRule="auto"/>
        <w:rPr>
          <w:rFonts w:ascii="Times New Roman" w:hAnsi="Times New Roman"/>
        </w:rPr>
      </w:pPr>
      <w:r w:rsidRPr="002F4C6C">
        <w:rPr>
          <w:rFonts w:ascii="Times New Roman" w:hAnsi="Times New Roman"/>
        </w:rPr>
        <w:t xml:space="preserve">Registravimo data </w:t>
      </w:r>
      <w:r w:rsidR="008C41B5" w:rsidRPr="002F4C6C">
        <w:rPr>
          <w:rFonts w:ascii="Times New Roman" w:hAnsi="Times New Roman"/>
        </w:rPr>
        <w:t>2021 m. spalio 8 d.</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lastRenderedPageBreak/>
        <w:t>10.</w:t>
      </w:r>
      <w:r w:rsidRPr="002F4C6C">
        <w:rPr>
          <w:rFonts w:ascii="Times New Roman" w:hAnsi="Times New Roman"/>
          <w:b/>
        </w:rPr>
        <w:tab/>
      </w:r>
      <w:r w:rsidRPr="002F4C6C">
        <w:rPr>
          <w:rFonts w:ascii="Times New Roman" w:hAnsi="Times New Roman"/>
          <w:b/>
          <w:caps/>
        </w:rPr>
        <w:t>teksto perŽiŪros data</w:t>
      </w:r>
    </w:p>
    <w:p w:rsidR="008C41B5" w:rsidRPr="002F4C6C" w:rsidRDefault="008C41B5">
      <w:pPr>
        <w:spacing w:after="0" w:line="240" w:lineRule="auto"/>
        <w:rPr>
          <w:rFonts w:ascii="Times New Roman" w:hAnsi="Times New Roman"/>
        </w:rPr>
      </w:pPr>
    </w:p>
    <w:p w:rsidR="00815937" w:rsidRPr="00933AB9" w:rsidRDefault="00B00915" w:rsidP="00933AB9">
      <w:pPr>
        <w:pStyle w:val="Rodykl"/>
        <w:suppressLineNumbers w:val="0"/>
        <w:spacing w:after="0" w:line="240" w:lineRule="auto"/>
        <w:rPr>
          <w:rFonts w:ascii="Times New Roman" w:hAnsi="Times New Roman" w:cs="Times New Roman"/>
        </w:rPr>
      </w:pPr>
      <w:r>
        <w:rPr>
          <w:rFonts w:ascii="Times New Roman" w:hAnsi="Times New Roman"/>
        </w:rPr>
        <w:t>2023 m. lapkričio 2 d.</w:t>
      </w:r>
    </w:p>
    <w:p w:rsidR="009D5900" w:rsidRDefault="009D5900">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Išsami informacija apie šį vaistinį preparatą pateikiama Valstybinės vaistų kontrolės tarnybos prie Lietuvos Respublikos sveikatos apsaugos ministerijos tinklalapyje</w:t>
      </w:r>
      <w:r w:rsidRPr="002F4C6C">
        <w:rPr>
          <w:rFonts w:ascii="Times New Roman" w:hAnsi="Times New Roman"/>
          <w:i/>
        </w:rPr>
        <w:t xml:space="preserve"> </w:t>
      </w:r>
      <w:hyperlink r:id="rId7" w:history="1">
        <w:r w:rsidRPr="002F4C6C">
          <w:rPr>
            <w:rStyle w:val="Hipersaitas"/>
            <w:rFonts w:ascii="Times New Roman" w:hAnsi="Times New Roman"/>
          </w:rPr>
          <w:t>http://www.vvkt.lt</w:t>
        </w:r>
      </w:hyperlink>
    </w:p>
    <w:p w:rsidR="00E250E1" w:rsidRPr="002F4C6C" w:rsidRDefault="00E250E1">
      <w:pPr>
        <w:pageBreakBefore/>
        <w:spacing w:after="0" w:line="240" w:lineRule="auto"/>
        <w:rPr>
          <w:rFonts w:ascii="Times New Roman" w:hAnsi="Times New Roman"/>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rPr>
      </w:pPr>
    </w:p>
    <w:p w:rsidR="00E250E1" w:rsidRPr="002F4C6C" w:rsidRDefault="00E250E1">
      <w:pPr>
        <w:spacing w:after="0" w:line="240" w:lineRule="auto"/>
        <w:jc w:val="center"/>
        <w:rPr>
          <w:rFonts w:ascii="Times New Roman" w:hAnsi="Times New Roman"/>
        </w:rPr>
      </w:pPr>
      <w:r w:rsidRPr="002F4C6C">
        <w:rPr>
          <w:rFonts w:ascii="Times New Roman" w:hAnsi="Times New Roman"/>
          <w:b/>
        </w:rPr>
        <w:t>II PRIEDAS</w:t>
      </w: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rPr>
      </w:pPr>
      <w:r w:rsidRPr="002F4C6C">
        <w:rPr>
          <w:rFonts w:ascii="Times New Roman" w:hAnsi="Times New Roman"/>
          <w:b/>
        </w:rPr>
        <w:t>REGISTRACIJOS SĄLYGOS</w:t>
      </w:r>
    </w:p>
    <w:p w:rsidR="00E250E1" w:rsidRPr="002F4C6C" w:rsidRDefault="00E250E1">
      <w:pPr>
        <w:spacing w:after="0" w:line="240" w:lineRule="auto"/>
        <w:ind w:left="1701" w:right="1416" w:hanging="708"/>
        <w:rPr>
          <w:rFonts w:ascii="Times New Roman" w:hAnsi="Times New Roman"/>
          <w:b/>
        </w:rPr>
      </w:pPr>
    </w:p>
    <w:p w:rsidR="00E250E1" w:rsidRPr="002F4C6C" w:rsidRDefault="00E250E1">
      <w:pPr>
        <w:spacing w:after="0" w:line="240" w:lineRule="auto"/>
        <w:ind w:left="1701" w:right="1416" w:hanging="708"/>
        <w:rPr>
          <w:rFonts w:ascii="Times New Roman" w:hAnsi="Times New Roman"/>
        </w:rPr>
      </w:pPr>
      <w:r w:rsidRPr="002F4C6C">
        <w:rPr>
          <w:rFonts w:ascii="Times New Roman" w:hAnsi="Times New Roman"/>
          <w:b/>
        </w:rPr>
        <w:t>A.</w:t>
      </w:r>
      <w:r w:rsidRPr="002F4C6C">
        <w:rPr>
          <w:rFonts w:ascii="Times New Roman" w:hAnsi="Times New Roman"/>
          <w:b/>
        </w:rPr>
        <w:tab/>
        <w:t>GAMINTOJAS (-AI), ATSAKINGAS (-I) UŽ SERIJŲ IŠLEIDIMĄ</w:t>
      </w:r>
    </w:p>
    <w:p w:rsidR="00E250E1" w:rsidRPr="002F4C6C" w:rsidRDefault="00E250E1">
      <w:pPr>
        <w:spacing w:after="0" w:line="240" w:lineRule="auto"/>
        <w:rPr>
          <w:rFonts w:ascii="Times New Roman" w:hAnsi="Times New Roman"/>
          <w:b/>
        </w:rPr>
      </w:pPr>
    </w:p>
    <w:p w:rsidR="00E250E1" w:rsidRPr="002F4C6C" w:rsidRDefault="00E250E1">
      <w:pPr>
        <w:suppressLineNumbers/>
        <w:spacing w:after="0" w:line="240" w:lineRule="auto"/>
        <w:ind w:left="1701" w:right="1416" w:hanging="708"/>
        <w:rPr>
          <w:rFonts w:ascii="Times New Roman" w:hAnsi="Times New Roman"/>
        </w:rPr>
      </w:pPr>
      <w:r w:rsidRPr="002F4C6C">
        <w:rPr>
          <w:rFonts w:ascii="Times New Roman" w:hAnsi="Times New Roman"/>
          <w:b/>
        </w:rPr>
        <w:t>B.</w:t>
      </w:r>
      <w:r w:rsidRPr="002F4C6C">
        <w:rPr>
          <w:rFonts w:ascii="Times New Roman" w:hAnsi="Times New Roman"/>
          <w:b/>
        </w:rPr>
        <w:tab/>
        <w:t>TIEKIMO IR VARTOJIMO SĄLYGOS AR APRIBOJIMAI</w:t>
      </w:r>
    </w:p>
    <w:p w:rsidR="00E250E1" w:rsidRPr="002F4C6C" w:rsidRDefault="00E250E1">
      <w:pPr>
        <w:spacing w:after="0" w:line="240" w:lineRule="auto"/>
        <w:jc w:val="center"/>
        <w:rPr>
          <w:rFonts w:ascii="Times New Roman" w:hAnsi="Times New Roman"/>
        </w:rPr>
      </w:pPr>
    </w:p>
    <w:p w:rsidR="00E250E1" w:rsidRPr="002F4C6C" w:rsidRDefault="00E250E1">
      <w:pPr>
        <w:pageBreakBefore/>
        <w:tabs>
          <w:tab w:val="left" w:pos="567"/>
        </w:tabs>
        <w:spacing w:after="0" w:line="240" w:lineRule="auto"/>
        <w:rPr>
          <w:rFonts w:ascii="Times New Roman" w:hAnsi="Times New Roman"/>
        </w:rPr>
      </w:pPr>
      <w:r w:rsidRPr="002F4C6C">
        <w:rPr>
          <w:rFonts w:ascii="Times New Roman" w:hAnsi="Times New Roman"/>
          <w:b/>
        </w:rPr>
        <w:lastRenderedPageBreak/>
        <w:t>A.</w:t>
      </w:r>
      <w:r w:rsidRPr="002F4C6C">
        <w:rPr>
          <w:rFonts w:ascii="Times New Roman" w:hAnsi="Times New Roman"/>
          <w:b/>
        </w:rPr>
        <w:tab/>
        <w:t>GAMINTOJAS (-AI), ATSAKINGAS (-I) UŽ SERIJŲ IŠLEIDIMĄ</w:t>
      </w:r>
    </w:p>
    <w:p w:rsidR="00E250E1" w:rsidRPr="002F4C6C" w:rsidRDefault="00E250E1">
      <w:pPr>
        <w:spacing w:after="0" w:line="240" w:lineRule="auto"/>
        <w:ind w:left="540" w:hanging="540"/>
        <w:rPr>
          <w:rFonts w:ascii="Times New Roman" w:hAnsi="Times New Roman"/>
          <w:b/>
          <w:highlight w:val="yellow"/>
        </w:rPr>
      </w:pPr>
    </w:p>
    <w:p w:rsidR="00E250E1" w:rsidRPr="002F4C6C" w:rsidRDefault="00E250E1">
      <w:pPr>
        <w:spacing w:after="0" w:line="240" w:lineRule="auto"/>
        <w:rPr>
          <w:rFonts w:ascii="Times New Roman" w:hAnsi="Times New Roman"/>
        </w:rPr>
      </w:pPr>
      <w:r w:rsidRPr="002F4C6C">
        <w:rPr>
          <w:rFonts w:ascii="Times New Roman" w:hAnsi="Times New Roman"/>
          <w:u w:val="single"/>
        </w:rPr>
        <w:t>Gamintojo (-ų), atsakingo (-ų) už serijų išleidimą, pavadinimas (-ai) ir adresas (-ai)</w:t>
      </w:r>
    </w:p>
    <w:p w:rsidR="00E250E1" w:rsidRPr="002F4C6C" w:rsidRDefault="00E250E1">
      <w:pPr>
        <w:spacing w:after="0" w:line="240" w:lineRule="auto"/>
        <w:rPr>
          <w:rFonts w:ascii="Times New Roman" w:hAnsi="Times New Roman"/>
          <w:u w:val="single"/>
        </w:rPr>
      </w:pPr>
    </w:p>
    <w:p w:rsidR="00E250E1" w:rsidRPr="002F4C6C" w:rsidRDefault="00E250E1">
      <w:pPr>
        <w:shd w:val="clear" w:color="auto" w:fill="FFFFFF"/>
        <w:spacing w:after="0" w:line="240" w:lineRule="auto"/>
        <w:rPr>
          <w:rFonts w:ascii="Times New Roman" w:hAnsi="Times New Roman"/>
        </w:rPr>
      </w:pPr>
      <w:r w:rsidRPr="00933AB9">
        <w:rPr>
          <w:rFonts w:ascii="Times New Roman" w:eastAsia="Times New Roman" w:hAnsi="Times New Roman"/>
        </w:rPr>
        <w:t>TEVA Gyógyszergyár Zrt.</w:t>
      </w:r>
    </w:p>
    <w:p w:rsidR="00E250E1" w:rsidRPr="002F4C6C" w:rsidRDefault="00E250E1">
      <w:pPr>
        <w:spacing w:after="0" w:line="240" w:lineRule="auto"/>
        <w:rPr>
          <w:rFonts w:ascii="Times New Roman" w:hAnsi="Times New Roman"/>
        </w:rPr>
      </w:pPr>
      <w:r w:rsidRPr="002F4C6C">
        <w:rPr>
          <w:rFonts w:ascii="Times New Roman" w:hAnsi="Times New Roman"/>
        </w:rPr>
        <w:t>Pallagi út 13</w:t>
      </w:r>
    </w:p>
    <w:p w:rsidR="00E250E1" w:rsidRPr="002F4C6C" w:rsidRDefault="00E250E1">
      <w:pPr>
        <w:spacing w:after="0" w:line="240" w:lineRule="auto"/>
        <w:rPr>
          <w:rFonts w:ascii="Times New Roman" w:hAnsi="Times New Roman"/>
        </w:rPr>
      </w:pPr>
      <w:r w:rsidRPr="002F4C6C">
        <w:rPr>
          <w:rFonts w:ascii="Times New Roman" w:hAnsi="Times New Roman"/>
        </w:rPr>
        <w:t xml:space="preserve">4042 Debrecen </w:t>
      </w:r>
    </w:p>
    <w:p w:rsidR="00E250E1" w:rsidRPr="002F4C6C" w:rsidRDefault="00E250E1">
      <w:pPr>
        <w:spacing w:after="0" w:line="240" w:lineRule="auto"/>
        <w:rPr>
          <w:rFonts w:ascii="Times New Roman" w:hAnsi="Times New Roman"/>
        </w:rPr>
      </w:pPr>
      <w:r w:rsidRPr="002F4C6C">
        <w:rPr>
          <w:rFonts w:ascii="Times New Roman" w:hAnsi="Times New Roman"/>
        </w:rPr>
        <w:t>Vengrija</w:t>
      </w:r>
    </w:p>
    <w:p w:rsidR="00E250E1" w:rsidRPr="002F4C6C" w:rsidRDefault="00E250E1">
      <w:pPr>
        <w:autoSpaceDE w:val="0"/>
        <w:spacing w:after="0" w:line="240" w:lineRule="auto"/>
        <w:rPr>
          <w:rFonts w:ascii="Times New Roman" w:hAnsi="Times New Roman"/>
        </w:rPr>
      </w:pPr>
      <w:r w:rsidRPr="002F4C6C">
        <w:rPr>
          <w:rFonts w:ascii="Times New Roman" w:hAnsi="Times New Roman"/>
        </w:rPr>
        <w:t> </w:t>
      </w:r>
    </w:p>
    <w:p w:rsidR="008313A7" w:rsidRPr="002F4C6C" w:rsidRDefault="008313A7" w:rsidP="008313A7">
      <w:pPr>
        <w:suppressAutoHyphens w:val="0"/>
        <w:spacing w:after="0" w:line="240" w:lineRule="auto"/>
        <w:rPr>
          <w:rFonts w:ascii="Times New Roman" w:eastAsia="Times New Roman" w:hAnsi="Times New Roman"/>
          <w:lang w:val="sl-SI" w:eastAsia="sl-SI"/>
        </w:rPr>
      </w:pPr>
      <w:r w:rsidRPr="002F4C6C">
        <w:rPr>
          <w:rFonts w:ascii="Times New Roman" w:eastAsia="Times New Roman" w:hAnsi="Times New Roman"/>
          <w:lang w:val="sl-SI" w:eastAsia="sl-SI"/>
        </w:rPr>
        <w:t>Teva Operations Poland Sp z.o.o</w:t>
      </w:r>
    </w:p>
    <w:p w:rsidR="008313A7" w:rsidRPr="002F4C6C" w:rsidRDefault="008313A7" w:rsidP="008313A7">
      <w:pPr>
        <w:suppressAutoHyphens w:val="0"/>
        <w:spacing w:after="0" w:line="240" w:lineRule="auto"/>
        <w:rPr>
          <w:rFonts w:ascii="Times New Roman" w:eastAsia="Times New Roman" w:hAnsi="Times New Roman"/>
          <w:lang w:val="sl-SI" w:eastAsia="sl-SI"/>
        </w:rPr>
      </w:pPr>
      <w:r w:rsidRPr="002F4C6C">
        <w:rPr>
          <w:rFonts w:ascii="Times New Roman" w:eastAsia="Times New Roman" w:hAnsi="Times New Roman"/>
          <w:lang w:val="sl-SI" w:eastAsia="sl-SI"/>
        </w:rPr>
        <w:t>ul. Mogilska 80. 31-546</w:t>
      </w:r>
    </w:p>
    <w:p w:rsidR="00E250E1" w:rsidRPr="002F4C6C" w:rsidRDefault="008313A7" w:rsidP="008313A7">
      <w:pPr>
        <w:tabs>
          <w:tab w:val="left" w:pos="567"/>
        </w:tabs>
        <w:spacing w:after="0" w:line="240" w:lineRule="auto"/>
        <w:jc w:val="both"/>
        <w:rPr>
          <w:rFonts w:ascii="Times New Roman" w:eastAsia="Times New Roman" w:hAnsi="Times New Roman"/>
          <w:lang w:val="sl-SI" w:eastAsia="sl-SI"/>
        </w:rPr>
      </w:pPr>
      <w:r w:rsidRPr="002F4C6C">
        <w:rPr>
          <w:rFonts w:ascii="Times New Roman" w:eastAsia="Times New Roman" w:hAnsi="Times New Roman"/>
          <w:lang w:val="sl-SI" w:eastAsia="sl-SI"/>
        </w:rPr>
        <w:t>Krakow, Lenkija</w:t>
      </w:r>
    </w:p>
    <w:p w:rsidR="008313A7" w:rsidRPr="002F4C6C" w:rsidRDefault="008313A7" w:rsidP="008313A7">
      <w:pPr>
        <w:tabs>
          <w:tab w:val="left" w:pos="567"/>
        </w:tabs>
        <w:spacing w:after="0" w:line="240" w:lineRule="auto"/>
        <w:jc w:val="both"/>
        <w:rPr>
          <w:rFonts w:ascii="Times New Roman" w:eastAsia="Times New Roman" w:hAnsi="Times New Roman"/>
          <w:lang w:val="sl-SI" w:eastAsia="sl-SI"/>
        </w:rPr>
      </w:pPr>
    </w:p>
    <w:p w:rsidR="008313A7" w:rsidRPr="002F4C6C" w:rsidRDefault="008313A7" w:rsidP="008313A7">
      <w:pPr>
        <w:tabs>
          <w:tab w:val="left" w:pos="567"/>
        </w:tabs>
        <w:suppressAutoHyphens w:val="0"/>
        <w:spacing w:after="0" w:line="240" w:lineRule="auto"/>
        <w:rPr>
          <w:rFonts w:ascii="Times New Roman" w:eastAsia="Times New Roman" w:hAnsi="Times New Roman"/>
          <w:lang w:eastAsia="en-US"/>
        </w:rPr>
      </w:pPr>
      <w:r w:rsidRPr="002F4C6C">
        <w:rPr>
          <w:rFonts w:ascii="Times New Roman" w:eastAsia="Times New Roman" w:hAnsi="Times New Roman"/>
          <w:lang w:eastAsia="en-US"/>
        </w:rPr>
        <w:t>Su pakuote pateikiamame lapelyje nurodomas gamintojo, atsakingo už konkrečios serijos išleidimą, pavadinimas ir adresas.</w:t>
      </w:r>
    </w:p>
    <w:p w:rsidR="008313A7" w:rsidRPr="002F4C6C" w:rsidRDefault="008313A7" w:rsidP="008313A7">
      <w:pPr>
        <w:tabs>
          <w:tab w:val="left" w:pos="567"/>
        </w:tabs>
        <w:spacing w:after="0" w:line="240" w:lineRule="auto"/>
        <w:jc w:val="both"/>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uppressLineNumbers/>
        <w:spacing w:after="0" w:line="240" w:lineRule="auto"/>
        <w:ind w:left="567" w:hanging="567"/>
        <w:rPr>
          <w:rFonts w:ascii="Times New Roman" w:hAnsi="Times New Roman"/>
        </w:rPr>
      </w:pPr>
      <w:r w:rsidRPr="002F4C6C">
        <w:rPr>
          <w:rFonts w:ascii="Times New Roman" w:hAnsi="Times New Roman"/>
          <w:b/>
        </w:rPr>
        <w:t>B.</w:t>
      </w:r>
      <w:r w:rsidRPr="002F4C6C">
        <w:rPr>
          <w:rFonts w:ascii="Times New Roman" w:hAnsi="Times New Roman"/>
          <w:b/>
        </w:rPr>
        <w:tab/>
        <w:t xml:space="preserve">TIEKIMO IR VARTOJIMO SĄLYGOS AR APRIBOJIMAI </w:t>
      </w:r>
    </w:p>
    <w:p w:rsidR="00E250E1" w:rsidRPr="002F4C6C" w:rsidRDefault="00E250E1">
      <w:pPr>
        <w:tabs>
          <w:tab w:val="left" w:pos="540"/>
        </w:tabs>
        <w:spacing w:after="0" w:line="240" w:lineRule="auto"/>
        <w:rPr>
          <w:rFonts w:ascii="Times New Roman" w:hAnsi="Times New Roman"/>
        </w:rPr>
      </w:pP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rPr>
        <w:t>Receptinis vaistinis preparatas.</w:t>
      </w:r>
    </w:p>
    <w:p w:rsidR="00E250E1" w:rsidRPr="002F4C6C" w:rsidRDefault="00E250E1">
      <w:pPr>
        <w:tabs>
          <w:tab w:val="left" w:pos="540"/>
        </w:tabs>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pageBreakBefore/>
        <w:spacing w:after="0" w:line="240" w:lineRule="auto"/>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rPr>
      </w:pPr>
    </w:p>
    <w:p w:rsidR="00E250E1" w:rsidRPr="002F4C6C" w:rsidRDefault="00E250E1">
      <w:pPr>
        <w:keepNext/>
        <w:tabs>
          <w:tab w:val="left" w:pos="284"/>
        </w:tabs>
        <w:spacing w:after="0" w:line="240" w:lineRule="auto"/>
        <w:ind w:left="284"/>
        <w:jc w:val="center"/>
        <w:rPr>
          <w:rFonts w:ascii="Times New Roman" w:hAnsi="Times New Roman"/>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b/>
        </w:rPr>
      </w:pPr>
    </w:p>
    <w:p w:rsidR="00E250E1" w:rsidRPr="002F4C6C" w:rsidRDefault="00E250E1">
      <w:pPr>
        <w:keepNext/>
        <w:tabs>
          <w:tab w:val="left" w:pos="284"/>
        </w:tabs>
        <w:spacing w:after="0" w:line="240" w:lineRule="auto"/>
        <w:ind w:left="284"/>
        <w:jc w:val="center"/>
        <w:rPr>
          <w:rFonts w:ascii="Times New Roman" w:hAnsi="Times New Roman"/>
        </w:rPr>
      </w:pPr>
      <w:r w:rsidRPr="002F4C6C">
        <w:rPr>
          <w:rFonts w:ascii="Times New Roman" w:hAnsi="Times New Roman"/>
          <w:b/>
        </w:rPr>
        <w:t>III PRIEDAS</w:t>
      </w: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rPr>
      </w:pPr>
      <w:r w:rsidRPr="002F4C6C">
        <w:rPr>
          <w:rFonts w:ascii="Times New Roman" w:hAnsi="Times New Roman"/>
          <w:b/>
        </w:rPr>
        <w:t>ŽENKLINIMAS IR PAKUOTĖS LAPELIS</w:t>
      </w:r>
    </w:p>
    <w:p w:rsidR="00E250E1" w:rsidRPr="002F4C6C" w:rsidRDefault="00E250E1">
      <w:pPr>
        <w:pageBreakBefore/>
        <w:spacing w:after="0" w:line="240" w:lineRule="auto"/>
        <w:rPr>
          <w:rFonts w:ascii="Times New Roman" w:hAnsi="Times New Roman"/>
          <w:b/>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jc w:val="center"/>
        <w:rPr>
          <w:rFonts w:ascii="Times New Roman" w:hAnsi="Times New Roman"/>
        </w:rPr>
      </w:pPr>
      <w:r w:rsidRPr="002F4C6C">
        <w:rPr>
          <w:rFonts w:ascii="Times New Roman" w:hAnsi="Times New Roman"/>
          <w:b/>
        </w:rPr>
        <w:t>A. ŽENKLINIMAS</w:t>
      </w:r>
    </w:p>
    <w:p w:rsidR="00E250E1" w:rsidRPr="002F4C6C" w:rsidRDefault="00E250E1">
      <w:pPr>
        <w:pageBreakBefore/>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rPr>
      </w:pPr>
      <w:r w:rsidRPr="002F4C6C">
        <w:rPr>
          <w:rFonts w:ascii="Times New Roman" w:hAnsi="Times New Roman"/>
          <w:b/>
        </w:rPr>
        <w:lastRenderedPageBreak/>
        <w:t>INFORMACIJA ANT IŠORINĖS IR VIDINĖS PAKUOTĖS</w:t>
      </w: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rsidR="00E250E1" w:rsidRPr="002F4C6C" w:rsidRDefault="00E250E1">
      <w:pPr>
        <w:keepNext/>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rPr>
      </w:pPr>
      <w:r w:rsidRPr="002F4C6C">
        <w:rPr>
          <w:rFonts w:ascii="Times New Roman" w:hAnsi="Times New Roman"/>
          <w:b/>
        </w:rPr>
        <w:t xml:space="preserve">KARTONO DĖŽUTĖ IR TABLEČIŲ TALPYKLĖS ETIKETĖ </w:t>
      </w: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b/>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1.</w:t>
      </w:r>
      <w:r w:rsidRPr="002F4C6C">
        <w:rPr>
          <w:rFonts w:ascii="Times New Roman" w:hAnsi="Times New Roman"/>
          <w:b/>
        </w:rPr>
        <w:tab/>
        <w:t>VAISTINIO PREPARATO PAVADINIMAS</w:t>
      </w:r>
    </w:p>
    <w:p w:rsidR="00E250E1" w:rsidRPr="002F4C6C" w:rsidRDefault="00E250E1">
      <w:pPr>
        <w:spacing w:after="0" w:line="240" w:lineRule="auto"/>
        <w:rPr>
          <w:rFonts w:ascii="Times New Roman" w:hAnsi="Times New Roman"/>
        </w:rPr>
      </w:pP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mg/5 mg tabletės</w:t>
      </w: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mg/10 mg tabletės</w:t>
      </w:r>
    </w:p>
    <w:p w:rsidR="00E250E1" w:rsidRPr="002F4C6C" w:rsidRDefault="00E250E1">
      <w:pPr>
        <w:spacing w:after="0" w:line="240" w:lineRule="auto"/>
        <w:rPr>
          <w:rFonts w:ascii="Times New Roman" w:eastAsia="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lang w:eastAsia="lt-LT"/>
        </w:rPr>
        <w:t>perindoprilum tosilatum/amlodipinum</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2.</w:t>
      </w:r>
      <w:r w:rsidRPr="002F4C6C">
        <w:rPr>
          <w:rFonts w:ascii="Times New Roman" w:hAnsi="Times New Roman"/>
          <w:b/>
        </w:rPr>
        <w:tab/>
        <w:t>VEIKLIOJI (-IOS) MEDŽIAGA (-OS) IR JOS (-Ų) KIEKIS (-IAI)</w:t>
      </w: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rPr>
        <w:t>Kiekvienoje tabletėje yra 10,0 mg perindoprilio tozilato, atitinkančio 6,8 mg perindoprilio ir 6,935 mg amlodipino besilato, atitinkančio 5 mg amlodipino.</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highlight w:val="lightGray"/>
        </w:rPr>
        <w:t>Kiekvienoje tabletėje yra</w:t>
      </w:r>
      <w:r w:rsidR="00414C11" w:rsidRPr="002F4C6C">
        <w:rPr>
          <w:rFonts w:ascii="Times New Roman" w:hAnsi="Times New Roman"/>
          <w:highlight w:val="lightGray"/>
        </w:rPr>
        <w:t xml:space="preserve"> </w:t>
      </w:r>
      <w:r w:rsidRPr="002F4C6C">
        <w:rPr>
          <w:rFonts w:ascii="Times New Roman" w:hAnsi="Times New Roman"/>
          <w:highlight w:val="lightGray"/>
        </w:rPr>
        <w:t>10,0 mg perindoprilio tozilato, atitinkančio 6,815 mg perindoprilio ir 13,87 mg amlodipino besilato, atitinkančio 10 mg amlodipino.</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3.</w:t>
      </w:r>
      <w:r w:rsidRPr="002F4C6C">
        <w:rPr>
          <w:rFonts w:ascii="Times New Roman" w:hAnsi="Times New Roman"/>
          <w:b/>
        </w:rPr>
        <w:tab/>
        <w:t>PAGALBINIŲ MEDŽIAGŲ SĄRAŠAS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Sudėtyje yra izomalto. Daugiau informacijos pateikta pakuotės lapelyje.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4.</w:t>
      </w:r>
      <w:r w:rsidRPr="002F4C6C">
        <w:rPr>
          <w:rFonts w:ascii="Times New Roman" w:hAnsi="Times New Roman"/>
          <w:b/>
        </w:rPr>
        <w:tab/>
        <w:t>FARMACINĖ FORMA IR KIEKIS PAKUOTĖJE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Tabletė</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933AB9">
        <w:rPr>
          <w:rFonts w:ascii="Times New Roman" w:hAnsi="Times New Roman"/>
        </w:rPr>
        <w:t>30 table</w:t>
      </w:r>
      <w:r w:rsidRPr="002F4C6C">
        <w:rPr>
          <w:rFonts w:ascii="Times New Roman" w:hAnsi="Times New Roman"/>
        </w:rPr>
        <w:t>čių</w:t>
      </w:r>
    </w:p>
    <w:p w:rsidR="00E250E1" w:rsidRPr="002F4C6C" w:rsidRDefault="00E250E1">
      <w:pPr>
        <w:spacing w:after="0" w:line="240" w:lineRule="auto"/>
        <w:rPr>
          <w:rFonts w:ascii="Times New Roman" w:hAnsi="Times New Roman"/>
        </w:rPr>
      </w:pPr>
      <w:r w:rsidRPr="002F4C6C">
        <w:rPr>
          <w:rFonts w:ascii="Times New Roman" w:hAnsi="Times New Roman"/>
          <w:highlight w:val="lightGray"/>
        </w:rPr>
        <w:t>Sudėtinė pakuotė:</w:t>
      </w:r>
      <w:r w:rsidRPr="002F4C6C">
        <w:rPr>
          <w:rFonts w:ascii="Times New Roman" w:hAnsi="Times New Roman"/>
          <w:color w:val="000000"/>
          <w:highlight w:val="lightGray"/>
        </w:rPr>
        <w:t xml:space="preserve"> </w:t>
      </w:r>
      <w:r w:rsidRPr="002F4C6C">
        <w:rPr>
          <w:rFonts w:ascii="Times New Roman" w:hAnsi="Times New Roman"/>
          <w:highlight w:val="lightGray"/>
        </w:rPr>
        <w:t>90</w:t>
      </w:r>
      <w:r w:rsidRPr="002F4C6C">
        <w:rPr>
          <w:rFonts w:ascii="Times New Roman" w:hAnsi="Times New Roman"/>
          <w:color w:val="000000"/>
          <w:highlight w:val="lightGray"/>
        </w:rPr>
        <w:t xml:space="preserve"> (3x30) tablečių.</w:t>
      </w:r>
    </w:p>
    <w:p w:rsidR="00E250E1" w:rsidRPr="002F4C6C" w:rsidRDefault="00E250E1">
      <w:pPr>
        <w:spacing w:after="0" w:line="240" w:lineRule="auto"/>
        <w:rPr>
          <w:rFonts w:ascii="Times New Roman" w:hAnsi="Times New Roman"/>
        </w:rPr>
      </w:pPr>
      <w:r w:rsidRPr="002F4C6C">
        <w:rPr>
          <w:rFonts w:ascii="Times New Roman" w:hAnsi="Times New Roman"/>
          <w:color w:val="000000"/>
          <w:highlight w:val="lightGray"/>
        </w:rPr>
        <w:t>Sudėtinės pakuotės komponentai negali būti parduodami atskirai.</w:t>
      </w: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rPr>
          <w:rFonts w:ascii="Times New Roman" w:hAnsi="Times New Roman"/>
          <w:color w:val="000000"/>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5.</w:t>
      </w:r>
      <w:r w:rsidRPr="002F4C6C">
        <w:rPr>
          <w:rFonts w:ascii="Times New Roman" w:hAnsi="Times New Roman"/>
          <w:b/>
        </w:rPr>
        <w:tab/>
        <w:t>VARTOJIMO METODAS IR BŪDAS (-AI)</w:t>
      </w:r>
    </w:p>
    <w:p w:rsidR="00E250E1" w:rsidRPr="002F4C6C" w:rsidRDefault="00E250E1">
      <w:pPr>
        <w:spacing w:after="0" w:line="240" w:lineRule="auto"/>
        <w:rPr>
          <w:rFonts w:ascii="Times New Roman" w:hAnsi="Times New Roman"/>
          <w:i/>
          <w:highlight w:val="lightGray"/>
        </w:rPr>
      </w:pPr>
    </w:p>
    <w:p w:rsidR="00F95B4E" w:rsidRPr="002F4C6C" w:rsidRDefault="00F95B4E" w:rsidP="00F95B4E">
      <w:pPr>
        <w:spacing w:after="0" w:line="240" w:lineRule="auto"/>
        <w:rPr>
          <w:rFonts w:ascii="Times New Roman" w:hAnsi="Times New Roman"/>
        </w:rPr>
      </w:pPr>
      <w:r w:rsidRPr="002F4C6C">
        <w:rPr>
          <w:rFonts w:ascii="Times New Roman" w:hAnsi="Times New Roman"/>
        </w:rPr>
        <w:t>Prieš vartojimą perskaitykite pakuotės lapelį.</w:t>
      </w:r>
    </w:p>
    <w:p w:rsidR="00E250E1" w:rsidRPr="002F4C6C" w:rsidRDefault="00F95B4E">
      <w:pPr>
        <w:spacing w:after="0" w:line="240" w:lineRule="auto"/>
        <w:rPr>
          <w:rFonts w:ascii="Times New Roman" w:hAnsi="Times New Roman"/>
        </w:rPr>
      </w:pPr>
      <w:r w:rsidRPr="002F4C6C">
        <w:rPr>
          <w:rFonts w:ascii="Times New Roman" w:hAnsi="Times New Roman"/>
        </w:rPr>
        <w:t>v</w:t>
      </w:r>
      <w:r w:rsidR="00E250E1" w:rsidRPr="002F4C6C">
        <w:rPr>
          <w:rFonts w:ascii="Times New Roman" w:hAnsi="Times New Roman"/>
        </w:rPr>
        <w:t>artoti per burną</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6.</w:t>
      </w:r>
      <w:r w:rsidRPr="002F4C6C">
        <w:rPr>
          <w:rFonts w:ascii="Times New Roman" w:hAnsi="Times New Roman"/>
          <w:b/>
        </w:rPr>
        <w:tab/>
        <w:t>SPECIALUS ĮSPĖJIMAS, KAD VAISTINĮ PREPARATĄ BŪTINA LAIKYTI VAIKAMS NEPASTEBIMOJE IR NEPASIEKIAMOJE VIETOJE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Laikyti vaikams nepastebimoje ir nepasiekiamoje vietoje.</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7.</w:t>
      </w:r>
      <w:r w:rsidRPr="002F4C6C">
        <w:rPr>
          <w:rFonts w:ascii="Times New Roman" w:hAnsi="Times New Roman"/>
          <w:b/>
        </w:rPr>
        <w:tab/>
        <w:t>KITAS (-I) SPECIALUS (-ŪS) ĮSPĖJIMAS (-AI) (JEI REIKIA)</w:t>
      </w:r>
    </w:p>
    <w:p w:rsidR="00E250E1" w:rsidRPr="002F4C6C" w:rsidRDefault="00E250E1">
      <w:pPr>
        <w:spacing w:after="0" w:line="240" w:lineRule="auto"/>
        <w:rPr>
          <w:rFonts w:ascii="Times New Roman" w:hAnsi="Times New Roman"/>
          <w:highlight w:val="lightGray"/>
        </w:rPr>
      </w:pPr>
    </w:p>
    <w:p w:rsidR="00E250E1" w:rsidRPr="002F4C6C" w:rsidRDefault="00E250E1">
      <w:pPr>
        <w:spacing w:after="0" w:line="240" w:lineRule="auto"/>
        <w:rPr>
          <w:rFonts w:ascii="Times New Roman" w:hAnsi="Times New Roman"/>
          <w:highlight w:val="lightGray"/>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lastRenderedPageBreak/>
        <w:t>8.</w:t>
      </w:r>
      <w:r w:rsidRPr="002F4C6C">
        <w:rPr>
          <w:rFonts w:ascii="Times New Roman" w:hAnsi="Times New Roman"/>
          <w:b/>
        </w:rPr>
        <w:tab/>
        <w:t>TINKAMUMO LAIKAS</w:t>
      </w:r>
    </w:p>
    <w:p w:rsidR="00E250E1" w:rsidRPr="002F4C6C" w:rsidRDefault="00E250E1">
      <w:pPr>
        <w:spacing w:after="0" w:line="240" w:lineRule="auto"/>
        <w:rPr>
          <w:rFonts w:ascii="Times New Roman" w:hAnsi="Times New Roman"/>
          <w:highlight w:val="lightGray"/>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EXP </w:t>
      </w:r>
      <w:r w:rsidR="00414C11" w:rsidRPr="002F4C6C">
        <w:rPr>
          <w:rFonts w:ascii="Times New Roman" w:hAnsi="Times New Roman"/>
        </w:rPr>
        <w:t>{mm MMMM}</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2F4C6C">
        <w:rPr>
          <w:rFonts w:ascii="Times New Roman" w:hAnsi="Times New Roman"/>
          <w:b/>
        </w:rPr>
        <w:t>9.</w:t>
      </w:r>
      <w:r w:rsidRPr="002F4C6C">
        <w:rPr>
          <w:rFonts w:ascii="Times New Roman" w:hAnsi="Times New Roman"/>
          <w:b/>
        </w:rPr>
        <w:tab/>
        <w:t>SPECIALIOS LAIKYMO SĄLYGOS</w:t>
      </w:r>
    </w:p>
    <w:p w:rsidR="00E250E1" w:rsidRPr="002F4C6C" w:rsidRDefault="00E250E1">
      <w:pPr>
        <w:spacing w:after="0" w:line="240" w:lineRule="auto"/>
        <w:rPr>
          <w:rFonts w:ascii="Times New Roman" w:hAnsi="Times New Roman"/>
        </w:rPr>
      </w:pP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rPr>
        <w:t>Laikyti gamintojo pakuotėje, kad vaistas būtų apsaugotas nuo šviesos ir drėgmės.</w:t>
      </w: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rPr>
        <w:t>Talpyklę laikyti sandarią.</w:t>
      </w:r>
    </w:p>
    <w:p w:rsidR="00E250E1" w:rsidRPr="002F4C6C" w:rsidRDefault="00E250E1">
      <w:pPr>
        <w:spacing w:after="0" w:line="240" w:lineRule="auto"/>
        <w:ind w:left="567" w:hanging="567"/>
        <w:rPr>
          <w:rFonts w:ascii="Times New Roman" w:hAnsi="Times New Roman"/>
        </w:rPr>
      </w:pPr>
    </w:p>
    <w:p w:rsidR="00E250E1" w:rsidRPr="002F4C6C" w:rsidRDefault="00E250E1">
      <w:pPr>
        <w:spacing w:after="0" w:line="240" w:lineRule="auto"/>
        <w:ind w:left="567" w:hanging="567"/>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10.</w:t>
      </w:r>
      <w:r w:rsidRPr="002F4C6C">
        <w:rPr>
          <w:rFonts w:ascii="Times New Roman" w:hAnsi="Times New Roman"/>
          <w:b/>
        </w:rPr>
        <w:tab/>
        <w:t>SPECIALIOS ATSARGUMO PRIEMONĖS DĖL NESUVARTOTO VAISTINIO PREPARATO AR JO ATLIEKŲ TVARKYMO (JEI REIKIA)</w:t>
      </w:r>
    </w:p>
    <w:p w:rsidR="00E250E1" w:rsidRPr="002F4C6C" w:rsidRDefault="00E250E1">
      <w:pPr>
        <w:tabs>
          <w:tab w:val="left" w:pos="567"/>
        </w:tabs>
        <w:spacing w:after="0" w:line="240" w:lineRule="auto"/>
        <w:rPr>
          <w:rFonts w:ascii="Times New Roman" w:hAnsi="Times New Roman"/>
          <w:b/>
        </w:rPr>
      </w:pPr>
    </w:p>
    <w:p w:rsidR="00E250E1" w:rsidRPr="002F4C6C" w:rsidRDefault="00E250E1">
      <w:pPr>
        <w:tabs>
          <w:tab w:val="left" w:pos="567"/>
        </w:tabs>
        <w:spacing w:after="0" w:line="240" w:lineRule="auto"/>
        <w:rPr>
          <w:rFonts w:ascii="Times New Roman" w:hAnsi="Times New Roman"/>
          <w:b/>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11.</w:t>
      </w:r>
      <w:r w:rsidRPr="002F4C6C">
        <w:rPr>
          <w:rFonts w:ascii="Times New Roman" w:hAnsi="Times New Roman"/>
          <w:b/>
        </w:rPr>
        <w:tab/>
        <w:t>REGISTRUOTOJO PAVADINIMAS IR ADRESAS</w:t>
      </w:r>
    </w:p>
    <w:p w:rsidR="00E250E1" w:rsidRPr="002F4C6C" w:rsidRDefault="00E250E1">
      <w:pPr>
        <w:tabs>
          <w:tab w:val="left" w:pos="567"/>
        </w:tabs>
        <w:spacing w:after="0" w:line="240" w:lineRule="auto"/>
        <w:rPr>
          <w:rFonts w:ascii="Times New Roman" w:hAnsi="Times New Roman"/>
          <w:b/>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Teva Pharma B.V.</w:t>
      </w:r>
    </w:p>
    <w:p w:rsidR="00E250E1" w:rsidRPr="002F4C6C" w:rsidRDefault="00E250E1">
      <w:pPr>
        <w:spacing w:after="0" w:line="240" w:lineRule="auto"/>
        <w:rPr>
          <w:rFonts w:ascii="Times New Roman" w:hAnsi="Times New Roman"/>
        </w:rPr>
      </w:pPr>
      <w:r w:rsidRPr="002F4C6C">
        <w:rPr>
          <w:rFonts w:ascii="Times New Roman" w:hAnsi="Times New Roman"/>
        </w:rPr>
        <w:t>Swensweg 5</w:t>
      </w: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2031 GA Haarlem</w:t>
      </w:r>
    </w:p>
    <w:p w:rsidR="00E250E1" w:rsidRPr="002F4C6C" w:rsidRDefault="00E250E1">
      <w:pPr>
        <w:tabs>
          <w:tab w:val="left" w:pos="567"/>
        </w:tabs>
        <w:spacing w:after="0" w:line="276" w:lineRule="auto"/>
        <w:rPr>
          <w:rFonts w:ascii="Times New Roman" w:hAnsi="Times New Roman"/>
        </w:rPr>
      </w:pPr>
      <w:r w:rsidRPr="002F4C6C">
        <w:rPr>
          <w:rFonts w:ascii="Times New Roman" w:hAnsi="Times New Roman"/>
        </w:rPr>
        <w:t>Nyderlandai</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12.</w:t>
      </w:r>
      <w:r w:rsidRPr="002F4C6C">
        <w:rPr>
          <w:rFonts w:ascii="Times New Roman" w:hAnsi="Times New Roman"/>
          <w:b/>
        </w:rPr>
        <w:tab/>
        <w:t>REGISTRACIJOS PAŽYMĖJIMO NUMERIS (-IAI)</w:t>
      </w:r>
    </w:p>
    <w:p w:rsidR="00E250E1" w:rsidRPr="002F4C6C" w:rsidRDefault="00E250E1">
      <w:pPr>
        <w:tabs>
          <w:tab w:val="left" w:pos="567"/>
        </w:tabs>
        <w:spacing w:after="0" w:line="240" w:lineRule="auto"/>
        <w:rPr>
          <w:rFonts w:ascii="Times New Roman" w:hAnsi="Times New Roman"/>
        </w:rPr>
      </w:pPr>
    </w:p>
    <w:p w:rsidR="008C41B5" w:rsidRPr="002F4C6C" w:rsidRDefault="008C41B5" w:rsidP="008C41B5">
      <w:pPr>
        <w:tabs>
          <w:tab w:val="left" w:pos="567"/>
        </w:tabs>
        <w:spacing w:after="0" w:line="240" w:lineRule="auto"/>
        <w:rPr>
          <w:rFonts w:ascii="Times New Roman" w:hAnsi="Times New Roman"/>
          <w:u w:val="single"/>
          <w:shd w:val="clear" w:color="auto" w:fill="D9D9D9"/>
        </w:rPr>
      </w:pPr>
      <w:r w:rsidRPr="002F4C6C">
        <w:rPr>
          <w:rFonts w:ascii="Times New Roman" w:hAnsi="Times New Roman"/>
          <w:u w:val="single"/>
          <w:shd w:val="clear" w:color="auto" w:fill="D9D9D9"/>
        </w:rPr>
        <w:t>10 mg/5 mg</w:t>
      </w:r>
    </w:p>
    <w:p w:rsidR="008C41B5" w:rsidRPr="002F4C6C" w:rsidRDefault="008C41B5" w:rsidP="008C41B5">
      <w:pPr>
        <w:tabs>
          <w:tab w:val="left" w:pos="567"/>
        </w:tabs>
        <w:spacing w:after="0" w:line="240" w:lineRule="auto"/>
        <w:rPr>
          <w:rFonts w:ascii="Times New Roman" w:hAnsi="Times New Roman"/>
          <w:shd w:val="clear" w:color="auto" w:fill="D9D9D9"/>
        </w:rPr>
      </w:pPr>
      <w:r w:rsidRPr="002F4C6C">
        <w:rPr>
          <w:rFonts w:ascii="Times New Roman" w:hAnsi="Times New Roman"/>
        </w:rPr>
        <w:t xml:space="preserve">LT/1/21/4829/001 </w:t>
      </w:r>
      <w:r w:rsidRPr="002F4C6C">
        <w:rPr>
          <w:rFonts w:ascii="Times New Roman" w:hAnsi="Times New Roman"/>
          <w:shd w:val="clear" w:color="auto" w:fill="D9D9D9"/>
        </w:rPr>
        <w:t>– N30</w:t>
      </w:r>
    </w:p>
    <w:p w:rsidR="008C41B5" w:rsidRPr="002F4C6C" w:rsidRDefault="008C41B5" w:rsidP="008C41B5">
      <w:pPr>
        <w:tabs>
          <w:tab w:val="left" w:pos="567"/>
        </w:tabs>
        <w:spacing w:after="0" w:line="240" w:lineRule="auto"/>
        <w:rPr>
          <w:rFonts w:ascii="Times New Roman" w:hAnsi="Times New Roman"/>
        </w:rPr>
      </w:pPr>
      <w:r w:rsidRPr="002F4C6C">
        <w:rPr>
          <w:rFonts w:ascii="Times New Roman" w:hAnsi="Times New Roman"/>
          <w:shd w:val="clear" w:color="auto" w:fill="D9D9D9"/>
        </w:rPr>
        <w:t>LT/1/21/4829/002 – N90 (3x30)</w:t>
      </w:r>
      <w:r w:rsidRPr="002F4C6C">
        <w:rPr>
          <w:rFonts w:ascii="Times New Roman" w:hAnsi="Times New Roman"/>
        </w:rPr>
        <w:tab/>
      </w:r>
    </w:p>
    <w:p w:rsidR="008C41B5" w:rsidRPr="002F4C6C" w:rsidRDefault="008C41B5" w:rsidP="008C41B5">
      <w:pPr>
        <w:tabs>
          <w:tab w:val="left" w:pos="567"/>
        </w:tabs>
        <w:spacing w:after="0" w:line="240" w:lineRule="auto"/>
        <w:rPr>
          <w:rFonts w:ascii="Times New Roman" w:hAnsi="Times New Roman"/>
        </w:rPr>
      </w:pPr>
    </w:p>
    <w:p w:rsidR="008C41B5" w:rsidRPr="002F4C6C" w:rsidRDefault="008C41B5" w:rsidP="008C41B5">
      <w:pPr>
        <w:tabs>
          <w:tab w:val="left" w:pos="567"/>
        </w:tabs>
        <w:spacing w:after="0" w:line="240" w:lineRule="auto"/>
        <w:rPr>
          <w:rFonts w:ascii="Times New Roman" w:hAnsi="Times New Roman"/>
          <w:u w:val="single"/>
          <w:shd w:val="clear" w:color="auto" w:fill="D9D9D9"/>
        </w:rPr>
      </w:pPr>
      <w:r w:rsidRPr="002F4C6C">
        <w:rPr>
          <w:rFonts w:ascii="Times New Roman" w:hAnsi="Times New Roman"/>
          <w:u w:val="single"/>
          <w:shd w:val="clear" w:color="auto" w:fill="D9D9D9"/>
        </w:rPr>
        <w:t>10 mg/10 mg</w:t>
      </w:r>
    </w:p>
    <w:p w:rsidR="008C41B5" w:rsidRPr="002F4C6C" w:rsidRDefault="008C41B5" w:rsidP="008C41B5">
      <w:pPr>
        <w:tabs>
          <w:tab w:val="left" w:pos="567"/>
        </w:tabs>
        <w:spacing w:after="0" w:line="240" w:lineRule="auto"/>
        <w:rPr>
          <w:rFonts w:ascii="Times New Roman" w:hAnsi="Times New Roman"/>
          <w:shd w:val="clear" w:color="auto" w:fill="D9D9D9"/>
        </w:rPr>
      </w:pPr>
      <w:r w:rsidRPr="002F4C6C">
        <w:rPr>
          <w:rFonts w:ascii="Times New Roman" w:hAnsi="Times New Roman"/>
        </w:rPr>
        <w:t xml:space="preserve">LT/1/21/4830/001 </w:t>
      </w:r>
      <w:r w:rsidRPr="002F4C6C">
        <w:rPr>
          <w:rFonts w:ascii="Times New Roman" w:hAnsi="Times New Roman"/>
          <w:shd w:val="clear" w:color="auto" w:fill="D9D9D9"/>
        </w:rPr>
        <w:t>– N30</w:t>
      </w:r>
    </w:p>
    <w:p w:rsidR="008C41B5" w:rsidRPr="002F4C6C" w:rsidRDefault="008C41B5" w:rsidP="008C41B5">
      <w:pPr>
        <w:tabs>
          <w:tab w:val="left" w:pos="567"/>
        </w:tabs>
        <w:spacing w:after="0" w:line="240" w:lineRule="auto"/>
        <w:rPr>
          <w:rFonts w:ascii="Times New Roman" w:hAnsi="Times New Roman"/>
          <w:shd w:val="clear" w:color="auto" w:fill="D9D9D9"/>
        </w:rPr>
      </w:pPr>
      <w:r w:rsidRPr="002F4C6C">
        <w:rPr>
          <w:rFonts w:ascii="Times New Roman" w:hAnsi="Times New Roman"/>
          <w:shd w:val="clear" w:color="auto" w:fill="D9D9D9"/>
        </w:rPr>
        <w:t>LT/1/21/4830/002 – N90 (3x30)</w:t>
      </w:r>
    </w:p>
    <w:p w:rsidR="008C41B5" w:rsidRPr="002F4C6C" w:rsidRDefault="008C41B5" w:rsidP="008C41B5">
      <w:pPr>
        <w:tabs>
          <w:tab w:val="left" w:pos="567"/>
        </w:tabs>
        <w:spacing w:after="0" w:line="240" w:lineRule="auto"/>
        <w:rPr>
          <w:rFonts w:ascii="Times New Roman" w:hAnsi="Times New Roman"/>
          <w:shd w:val="clear" w:color="auto" w:fill="D9D9D9"/>
        </w:rPr>
      </w:pPr>
    </w:p>
    <w:p w:rsidR="00E250E1" w:rsidRPr="002F4C6C" w:rsidRDefault="00E250E1">
      <w:pPr>
        <w:spacing w:after="0" w:line="240" w:lineRule="auto"/>
        <w:rPr>
          <w:rFonts w:ascii="Times New Roman" w:hAnsi="Times New Roman"/>
          <w:iCs/>
          <w:lang w:eastAsia="lt-LT"/>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13.</w:t>
      </w:r>
      <w:r w:rsidRPr="002F4C6C">
        <w:rPr>
          <w:rFonts w:ascii="Times New Roman" w:hAnsi="Times New Roman"/>
          <w:b/>
        </w:rPr>
        <w:tab/>
        <w:t>SERIJOS NUMERIS</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Lot</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14.</w:t>
      </w:r>
      <w:r w:rsidRPr="002F4C6C">
        <w:rPr>
          <w:rFonts w:ascii="Times New Roman" w:hAnsi="Times New Roman"/>
          <w:b/>
        </w:rPr>
        <w:tab/>
        <w:t>PARDAVIMO (IŠDAVIMO) TVARKA</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rPr>
        <w:t>Receptinis vaistas</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15.</w:t>
      </w:r>
      <w:r w:rsidRPr="002F4C6C">
        <w:rPr>
          <w:rFonts w:ascii="Times New Roman" w:hAnsi="Times New Roman"/>
          <w:b/>
        </w:rPr>
        <w:tab/>
        <w:t>VARTOJIMO INSTRUKCIJA</w:t>
      </w:r>
    </w:p>
    <w:p w:rsidR="00E250E1" w:rsidRPr="002F4C6C" w:rsidRDefault="00E250E1">
      <w:pPr>
        <w:tabs>
          <w:tab w:val="left" w:pos="567"/>
        </w:tabs>
        <w:spacing w:after="0" w:line="240" w:lineRule="auto"/>
        <w:rPr>
          <w:rFonts w:ascii="Times New Roman" w:hAnsi="Times New Roman"/>
        </w:rPr>
      </w:pPr>
    </w:p>
    <w:p w:rsidR="00E250E1" w:rsidRPr="002F4C6C" w:rsidRDefault="00E250E1">
      <w:pPr>
        <w:tabs>
          <w:tab w:val="left" w:pos="567"/>
        </w:tabs>
        <w:spacing w:after="0" w:line="240" w:lineRule="auto"/>
        <w:rPr>
          <w:rFonts w:ascii="Times New Roman" w:hAnsi="Times New Roman"/>
        </w:rPr>
      </w:pPr>
    </w:p>
    <w:p w:rsidR="00E250E1" w:rsidRPr="002F4C6C" w:rsidRDefault="00E250E1">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2F4C6C">
        <w:rPr>
          <w:rFonts w:ascii="Times New Roman" w:hAnsi="Times New Roman"/>
          <w:b/>
        </w:rPr>
        <w:t>16.</w:t>
      </w:r>
      <w:r w:rsidRPr="002F4C6C">
        <w:rPr>
          <w:rFonts w:ascii="Times New Roman" w:hAnsi="Times New Roman"/>
          <w:b/>
        </w:rPr>
        <w:tab/>
        <w:t>INFORMACIJA BRAILIO RAŠTU</w:t>
      </w:r>
    </w:p>
    <w:p w:rsidR="00E250E1" w:rsidRPr="002F4C6C" w:rsidRDefault="00E250E1">
      <w:pPr>
        <w:tabs>
          <w:tab w:val="left" w:pos="567"/>
        </w:tabs>
        <w:spacing w:after="0" w:line="240" w:lineRule="auto"/>
        <w:rPr>
          <w:rFonts w:ascii="Times New Roman" w:hAnsi="Times New Roman"/>
        </w:rPr>
      </w:pP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mg/5 mg tabletės</w:t>
      </w: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mg/10 mg tabletės</w:t>
      </w:r>
    </w:p>
    <w:p w:rsidR="00E250E1" w:rsidRPr="002F4C6C" w:rsidRDefault="00E250E1">
      <w:pPr>
        <w:tabs>
          <w:tab w:val="left" w:pos="567"/>
        </w:tabs>
        <w:spacing w:after="0" w:line="240" w:lineRule="auto"/>
        <w:rPr>
          <w:rFonts w:ascii="Times New Roman" w:eastAsia="Times New Roman" w:hAnsi="Times New Roman"/>
          <w:b/>
        </w:rPr>
      </w:pPr>
    </w:p>
    <w:p w:rsidR="00E250E1" w:rsidRPr="002F4C6C" w:rsidRDefault="00E250E1">
      <w:pPr>
        <w:tabs>
          <w:tab w:val="left" w:pos="567"/>
        </w:tabs>
        <w:spacing w:after="0" w:line="240" w:lineRule="auto"/>
        <w:rPr>
          <w:rFonts w:ascii="Times New Roman" w:eastAsia="Times New Roman" w:hAnsi="Times New Roman"/>
          <w:b/>
          <w:shd w:val="clear" w:color="auto" w:fill="CCCCCC"/>
        </w:rPr>
      </w:pPr>
    </w:p>
    <w:p w:rsidR="00E250E1" w:rsidRPr="002F4C6C" w:rsidRDefault="00E250E1">
      <w:pPr>
        <w:keepNext/>
        <w:numPr>
          <w:ilvl w:val="0"/>
          <w:numId w:val="11"/>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rPr>
          <w:rFonts w:ascii="Times New Roman" w:hAnsi="Times New Roman"/>
        </w:rPr>
      </w:pPr>
      <w:r w:rsidRPr="002F4C6C">
        <w:rPr>
          <w:rFonts w:ascii="Times New Roman" w:eastAsia="Times New Roman" w:hAnsi="Times New Roman"/>
          <w:b/>
          <w:lang w:eastAsia="lt-LT" w:bidi="lt-LT"/>
        </w:rPr>
        <w:t>UNIKALUS IDENTIFIKATORIUS – 2D BRŪKŠNINIS KODAS</w:t>
      </w:r>
    </w:p>
    <w:p w:rsidR="00E250E1" w:rsidRPr="002F4C6C" w:rsidRDefault="00E250E1">
      <w:pPr>
        <w:spacing w:after="0" w:line="240" w:lineRule="auto"/>
        <w:rPr>
          <w:rFonts w:ascii="Times New Roman" w:eastAsia="Times New Roman" w:hAnsi="Times New Roman"/>
          <w:i/>
          <w:lang w:eastAsia="lt-LT" w:bidi="lt-LT"/>
        </w:rPr>
      </w:pPr>
    </w:p>
    <w:p w:rsidR="00E250E1" w:rsidRPr="002F4C6C" w:rsidRDefault="00E250E1">
      <w:pPr>
        <w:tabs>
          <w:tab w:val="left" w:pos="567"/>
        </w:tabs>
        <w:spacing w:after="0" w:line="240" w:lineRule="auto"/>
        <w:rPr>
          <w:rFonts w:ascii="Times New Roman" w:hAnsi="Times New Roman"/>
        </w:rPr>
      </w:pPr>
      <w:r w:rsidRPr="002F4C6C">
        <w:rPr>
          <w:rFonts w:ascii="Times New Roman" w:hAnsi="Times New Roman"/>
          <w:highlight w:val="lightGray"/>
        </w:rPr>
        <w:t>2D brūkšninis kodas su nurodytu unikaliu identifikatoriumi.</w:t>
      </w:r>
    </w:p>
    <w:p w:rsidR="00E250E1" w:rsidRPr="002F4C6C" w:rsidRDefault="00E250E1">
      <w:pPr>
        <w:tabs>
          <w:tab w:val="left" w:pos="567"/>
        </w:tabs>
        <w:spacing w:after="0" w:line="240" w:lineRule="auto"/>
        <w:rPr>
          <w:rFonts w:ascii="Times New Roman" w:hAnsi="Times New Roman"/>
          <w:shd w:val="clear" w:color="auto" w:fill="CCCCCC"/>
        </w:rPr>
      </w:pPr>
    </w:p>
    <w:p w:rsidR="00E250E1" w:rsidRPr="002F4C6C" w:rsidRDefault="00E250E1">
      <w:pPr>
        <w:tabs>
          <w:tab w:val="left" w:pos="567"/>
        </w:tabs>
        <w:spacing w:after="0" w:line="240" w:lineRule="auto"/>
        <w:rPr>
          <w:rFonts w:ascii="Times New Roman" w:hAnsi="Times New Roman"/>
          <w:vanish/>
          <w:shd w:val="clear" w:color="auto" w:fill="CCCCCC"/>
        </w:rPr>
      </w:pPr>
    </w:p>
    <w:p w:rsidR="00E250E1" w:rsidRPr="002F4C6C" w:rsidRDefault="00E250E1">
      <w:pPr>
        <w:spacing w:after="0" w:line="240" w:lineRule="auto"/>
        <w:rPr>
          <w:rFonts w:ascii="Times New Roman" w:hAnsi="Times New Roman"/>
          <w:vanish/>
          <w:shd w:val="clear" w:color="auto" w:fill="CCCCCC"/>
        </w:rPr>
      </w:pPr>
    </w:p>
    <w:p w:rsidR="00E250E1" w:rsidRPr="002F4C6C" w:rsidRDefault="00E250E1">
      <w:pPr>
        <w:spacing w:after="0" w:line="240" w:lineRule="auto"/>
        <w:rPr>
          <w:rFonts w:ascii="Times New Roman" w:hAnsi="Times New Roman"/>
          <w:vanish/>
          <w:shd w:val="clear" w:color="auto" w:fill="CCCCCC"/>
        </w:rPr>
      </w:pPr>
    </w:p>
    <w:p w:rsidR="00E250E1" w:rsidRPr="002F4C6C" w:rsidRDefault="00E250E1">
      <w:pPr>
        <w:keepNext/>
        <w:numPr>
          <w:ilvl w:val="0"/>
          <w:numId w:val="11"/>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rPr>
          <w:rFonts w:ascii="Times New Roman" w:hAnsi="Times New Roman"/>
        </w:rPr>
      </w:pPr>
      <w:r w:rsidRPr="002F4C6C">
        <w:rPr>
          <w:rFonts w:ascii="Times New Roman" w:eastAsia="Times New Roman" w:hAnsi="Times New Roman"/>
          <w:b/>
          <w:lang w:eastAsia="lt-LT" w:bidi="lt-LT"/>
        </w:rPr>
        <w:t>UNIKALUS IDENTIFIKATORIUS – ŽMONĖMS SUPRANTAMI DUOMENYS</w:t>
      </w:r>
    </w:p>
    <w:p w:rsidR="00E250E1" w:rsidRPr="002F4C6C" w:rsidRDefault="00E250E1">
      <w:pPr>
        <w:spacing w:after="0" w:line="240" w:lineRule="auto"/>
        <w:rPr>
          <w:rFonts w:ascii="Times New Roman" w:eastAsia="Times New Roman" w:hAnsi="Times New Roman"/>
          <w:i/>
          <w:lang w:eastAsia="lt-LT" w:bidi="lt-LT"/>
        </w:rPr>
      </w:pPr>
    </w:p>
    <w:p w:rsidR="002F4C6C" w:rsidRPr="00933AB9" w:rsidRDefault="002F4C6C">
      <w:pPr>
        <w:tabs>
          <w:tab w:val="left" w:pos="567"/>
        </w:tabs>
        <w:spacing w:after="0" w:line="260" w:lineRule="exact"/>
        <w:rPr>
          <w:rFonts w:ascii="Times New Roman" w:hAnsi="Times New Roman"/>
          <w:b/>
        </w:rPr>
      </w:pPr>
      <w:r w:rsidRPr="00933AB9">
        <w:rPr>
          <w:rFonts w:ascii="Times New Roman" w:hAnsi="Times New Roman"/>
          <w:b/>
        </w:rPr>
        <w:t>Išorinė dėžutė ir vidinė paku</w:t>
      </w:r>
      <w:r w:rsidRPr="00933AB9">
        <w:rPr>
          <w:rFonts w:ascii="Times New Roman" w:hAnsi="Times New Roman"/>
          <w:b/>
        </w:rPr>
        <w:t>otė (tuo atveju, jeigu nėra išorinės dėžutės)</w:t>
      </w:r>
    </w:p>
    <w:p w:rsidR="00E250E1" w:rsidRPr="002F4C6C" w:rsidRDefault="00E250E1">
      <w:pPr>
        <w:tabs>
          <w:tab w:val="left" w:pos="567"/>
        </w:tabs>
        <w:spacing w:after="0" w:line="260" w:lineRule="exact"/>
        <w:rPr>
          <w:rFonts w:ascii="Times New Roman" w:hAnsi="Times New Roman"/>
        </w:rPr>
      </w:pPr>
      <w:r w:rsidRPr="002F4C6C">
        <w:rPr>
          <w:rFonts w:ascii="Times New Roman" w:hAnsi="Times New Roman"/>
        </w:rPr>
        <w:t xml:space="preserve">PC </w:t>
      </w:r>
    </w:p>
    <w:p w:rsidR="00E250E1" w:rsidRPr="002F4C6C" w:rsidRDefault="00E250E1">
      <w:pPr>
        <w:tabs>
          <w:tab w:val="left" w:pos="567"/>
        </w:tabs>
        <w:spacing w:after="0" w:line="260" w:lineRule="exact"/>
        <w:rPr>
          <w:rFonts w:ascii="Times New Roman" w:hAnsi="Times New Roman"/>
        </w:rPr>
      </w:pPr>
      <w:r w:rsidRPr="002F4C6C">
        <w:rPr>
          <w:rFonts w:ascii="Times New Roman" w:hAnsi="Times New Roman"/>
        </w:rPr>
        <w:t xml:space="preserve">SN </w:t>
      </w:r>
    </w:p>
    <w:p w:rsidR="00E250E1" w:rsidRPr="002F4C6C" w:rsidRDefault="00E250E1">
      <w:pPr>
        <w:tabs>
          <w:tab w:val="left" w:pos="567"/>
        </w:tabs>
        <w:spacing w:after="0" w:line="260" w:lineRule="exact"/>
        <w:rPr>
          <w:rFonts w:ascii="Times New Roman" w:hAnsi="Times New Roman"/>
        </w:rPr>
      </w:pPr>
      <w:r w:rsidRPr="002F4C6C">
        <w:rPr>
          <w:rFonts w:ascii="Times New Roman" w:hAnsi="Times New Roman"/>
        </w:rPr>
        <w:t xml:space="preserve">NN </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b/>
        </w:rPr>
      </w:pPr>
    </w:p>
    <w:p w:rsidR="00421052" w:rsidRPr="002F4C6C" w:rsidRDefault="00421052">
      <w:pPr>
        <w:suppressAutoHyphens w:val="0"/>
        <w:spacing w:after="0" w:line="240" w:lineRule="auto"/>
        <w:rPr>
          <w:rFonts w:ascii="Times New Roman" w:hAnsi="Times New Roman"/>
          <w:b/>
        </w:rPr>
      </w:pPr>
      <w:r w:rsidRPr="002F4C6C">
        <w:rPr>
          <w:rFonts w:ascii="Times New Roman" w:hAnsi="Times New Roman"/>
          <w:b/>
        </w:rPr>
        <w:br w:type="page"/>
      </w: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421052" w:rsidRPr="002F4C6C" w:rsidRDefault="00421052">
      <w:pPr>
        <w:spacing w:after="0" w:line="240" w:lineRule="auto"/>
        <w:jc w:val="center"/>
        <w:rPr>
          <w:rFonts w:ascii="Times New Roman" w:hAnsi="Times New Roman"/>
          <w:b/>
        </w:rPr>
      </w:pPr>
    </w:p>
    <w:p w:rsidR="00E250E1" w:rsidRPr="002F4C6C" w:rsidRDefault="00E250E1">
      <w:pPr>
        <w:spacing w:after="0" w:line="240" w:lineRule="auto"/>
        <w:jc w:val="center"/>
        <w:rPr>
          <w:rFonts w:ascii="Times New Roman" w:hAnsi="Times New Roman"/>
        </w:rPr>
      </w:pPr>
      <w:r w:rsidRPr="002F4C6C">
        <w:rPr>
          <w:rFonts w:ascii="Times New Roman" w:hAnsi="Times New Roman"/>
          <w:b/>
        </w:rPr>
        <w:t>B. PAKUOTĖS LAPELIS</w:t>
      </w:r>
    </w:p>
    <w:p w:rsidR="00E250E1" w:rsidRPr="002F4C6C" w:rsidRDefault="00E250E1">
      <w:pPr>
        <w:pageBreakBefore/>
        <w:spacing w:after="0" w:line="240" w:lineRule="auto"/>
        <w:jc w:val="center"/>
        <w:rPr>
          <w:rFonts w:ascii="Times New Roman" w:hAnsi="Times New Roman"/>
        </w:rPr>
      </w:pPr>
      <w:r w:rsidRPr="002F4C6C">
        <w:rPr>
          <w:rFonts w:ascii="Times New Roman" w:hAnsi="Times New Roman"/>
          <w:b/>
        </w:rPr>
        <w:lastRenderedPageBreak/>
        <w:t>Pakuotės lapelis: informacija vartotojui</w:t>
      </w:r>
    </w:p>
    <w:p w:rsidR="00E250E1" w:rsidRPr="002F4C6C" w:rsidRDefault="00E250E1">
      <w:pPr>
        <w:spacing w:after="0" w:line="240" w:lineRule="auto"/>
        <w:ind w:left="567" w:hanging="567"/>
        <w:jc w:val="center"/>
        <w:rPr>
          <w:rFonts w:ascii="Times New Roman" w:hAnsi="Times New Roman"/>
          <w:b/>
        </w:rPr>
      </w:pPr>
    </w:p>
    <w:p w:rsidR="00E250E1" w:rsidRPr="002F4C6C" w:rsidRDefault="00E250E1">
      <w:pPr>
        <w:shd w:val="clear" w:color="auto" w:fill="FFFFFF"/>
        <w:spacing w:after="0" w:line="240" w:lineRule="auto"/>
        <w:jc w:val="center"/>
        <w:rPr>
          <w:rFonts w:ascii="Times New Roman" w:hAnsi="Times New Roman"/>
        </w:rPr>
      </w:pPr>
      <w:r w:rsidRPr="002F4C6C">
        <w:rPr>
          <w:rFonts w:ascii="Times New Roman" w:eastAsia="Times New Roman" w:hAnsi="Times New Roman"/>
          <w:b/>
        </w:rPr>
        <w:t>Perindopril tosilate/Amlodipine Teva Pharma 10 mg/5 mg tabletės</w:t>
      </w:r>
    </w:p>
    <w:p w:rsidR="00E250E1" w:rsidRPr="002F4C6C" w:rsidRDefault="00E250E1">
      <w:pPr>
        <w:shd w:val="clear" w:color="auto" w:fill="FFFFFF"/>
        <w:spacing w:after="0" w:line="240" w:lineRule="auto"/>
        <w:jc w:val="center"/>
        <w:rPr>
          <w:rFonts w:ascii="Times New Roman" w:hAnsi="Times New Roman"/>
        </w:rPr>
      </w:pPr>
      <w:r w:rsidRPr="002F4C6C">
        <w:rPr>
          <w:rFonts w:ascii="Times New Roman" w:eastAsia="Times New Roman" w:hAnsi="Times New Roman"/>
          <w:b/>
        </w:rPr>
        <w:t>Perindopril tosilate/Amlodipine Teva Pharma 10 mg/10 mg tabletės</w:t>
      </w:r>
    </w:p>
    <w:p w:rsidR="00E250E1" w:rsidRPr="002F4C6C" w:rsidRDefault="00E250E1">
      <w:pPr>
        <w:spacing w:after="0" w:line="240" w:lineRule="auto"/>
        <w:jc w:val="center"/>
        <w:rPr>
          <w:rFonts w:ascii="Times New Roman" w:hAnsi="Times New Roman"/>
        </w:rPr>
      </w:pPr>
      <w:r w:rsidRPr="002F4C6C">
        <w:rPr>
          <w:rFonts w:ascii="Times New Roman" w:hAnsi="Times New Roman"/>
        </w:rPr>
        <w:t>perindoprilio tozilatas, amlodipinas</w:t>
      </w:r>
    </w:p>
    <w:p w:rsidR="00E250E1" w:rsidRPr="002F4C6C" w:rsidRDefault="00E250E1">
      <w:pPr>
        <w:tabs>
          <w:tab w:val="left" w:pos="284"/>
          <w:tab w:val="center" w:pos="4819"/>
          <w:tab w:val="right" w:pos="9071"/>
        </w:tabs>
        <w:spacing w:after="0" w:line="240" w:lineRule="auto"/>
        <w:jc w:val="center"/>
        <w:rPr>
          <w:rFonts w:ascii="Times New Roman" w:hAnsi="Times New Roman"/>
        </w:rPr>
      </w:pPr>
    </w:p>
    <w:p w:rsidR="00E250E1" w:rsidRPr="002F4C6C" w:rsidRDefault="00E250E1">
      <w:pPr>
        <w:autoSpaceDE w:val="0"/>
        <w:spacing w:after="0" w:line="240" w:lineRule="auto"/>
        <w:rPr>
          <w:rFonts w:ascii="Times New Roman" w:hAnsi="Times New Roman"/>
        </w:rPr>
      </w:pPr>
      <w:r w:rsidRPr="002F4C6C">
        <w:rPr>
          <w:rFonts w:ascii="Times New Roman" w:hAnsi="Times New Roman"/>
          <w:b/>
        </w:rPr>
        <w:t xml:space="preserve">Atidžiai perskaitykite visą šį lapelį, prieš pradėdami vartoti vaistą, </w:t>
      </w:r>
      <w:r w:rsidRPr="002F4C6C">
        <w:rPr>
          <w:rFonts w:ascii="Times New Roman" w:hAnsi="Times New Roman"/>
          <w:b/>
          <w:color w:val="000000"/>
        </w:rPr>
        <w:t>nes jame pateikiama Jums svarbi informacija.</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w:t>
      </w:r>
      <w:r w:rsidRPr="002F4C6C">
        <w:rPr>
          <w:rFonts w:ascii="Times New Roman" w:hAnsi="Times New Roman"/>
        </w:rPr>
        <w:tab/>
        <w:t>Neišmeskite šio lapelio, nes vėl gali prireikti jį perskaityti.</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w:t>
      </w:r>
      <w:r w:rsidRPr="002F4C6C">
        <w:rPr>
          <w:rFonts w:ascii="Times New Roman" w:hAnsi="Times New Roman"/>
        </w:rPr>
        <w:tab/>
        <w:t>Jeigu kiltų daugiau klausimų, kreipkitės į gydytoją arba vaistininką.</w:t>
      </w:r>
    </w:p>
    <w:p w:rsidR="00E250E1" w:rsidRPr="002F4C6C" w:rsidRDefault="00E250E1" w:rsidP="006D0A73">
      <w:pPr>
        <w:numPr>
          <w:ilvl w:val="0"/>
          <w:numId w:val="12"/>
        </w:numPr>
        <w:tabs>
          <w:tab w:val="clear" w:pos="360"/>
          <w:tab w:val="num" w:pos="567"/>
        </w:tabs>
        <w:spacing w:after="0" w:line="240" w:lineRule="auto"/>
        <w:ind w:left="567" w:hanging="567"/>
        <w:rPr>
          <w:rFonts w:ascii="Times New Roman" w:hAnsi="Times New Roman"/>
        </w:rPr>
      </w:pPr>
      <w:r w:rsidRPr="002F4C6C">
        <w:rPr>
          <w:rFonts w:ascii="Times New Roman" w:hAnsi="Times New Roman"/>
        </w:rPr>
        <w:t>Šis vaistas skirtas tik Jums, todėl kitiems žmonėms jo duoti negalima. Vaistas gali jiems pakenkti (net tiems, kurių ligos požymiai yra tokie patys kaip Jūsų).</w:t>
      </w:r>
    </w:p>
    <w:p w:rsidR="00E250E1" w:rsidRPr="002F4C6C" w:rsidRDefault="00E250E1" w:rsidP="006D0A73">
      <w:pPr>
        <w:numPr>
          <w:ilvl w:val="0"/>
          <w:numId w:val="12"/>
        </w:numPr>
        <w:tabs>
          <w:tab w:val="clear" w:pos="360"/>
          <w:tab w:val="num" w:pos="567"/>
        </w:tabs>
        <w:spacing w:after="0" w:line="240" w:lineRule="auto"/>
        <w:ind w:left="567" w:hanging="567"/>
        <w:rPr>
          <w:rFonts w:ascii="Times New Roman" w:hAnsi="Times New Roman"/>
        </w:rPr>
      </w:pPr>
      <w:r w:rsidRPr="002F4C6C">
        <w:rPr>
          <w:rFonts w:ascii="Times New Roman" w:hAnsi="Times New Roman"/>
        </w:rPr>
        <w:t xml:space="preserve">Jeigu pasireiškė šalutinis poveikis </w:t>
      </w:r>
      <w:r w:rsidRPr="002F4C6C">
        <w:rPr>
          <w:rFonts w:ascii="Times New Roman" w:hAnsi="Times New Roman"/>
          <w:color w:val="000000"/>
        </w:rPr>
        <w:t>(net jeigu jis šiame lapelyje nenurodytas), kreipkitės</w:t>
      </w:r>
      <w:r w:rsidRPr="002F4C6C">
        <w:rPr>
          <w:rFonts w:ascii="Times New Roman" w:hAnsi="Times New Roman"/>
        </w:rPr>
        <w:t xml:space="preserve"> į gydytoją arba vaistininką. Žr. 4 skyrių.</w:t>
      </w:r>
    </w:p>
    <w:p w:rsidR="00E250E1" w:rsidRPr="002F4C6C" w:rsidRDefault="00E250E1">
      <w:pPr>
        <w:spacing w:after="0" w:line="240" w:lineRule="auto"/>
        <w:ind w:right="-2"/>
        <w:rPr>
          <w:rFonts w:ascii="Times New Roman" w:hAnsi="Times New Roman"/>
          <w:b/>
        </w:rPr>
      </w:pPr>
    </w:p>
    <w:p w:rsidR="00E250E1" w:rsidRPr="002F4C6C" w:rsidRDefault="00E250E1">
      <w:pPr>
        <w:autoSpaceDE w:val="0"/>
        <w:spacing w:after="0" w:line="240" w:lineRule="auto"/>
        <w:rPr>
          <w:rFonts w:ascii="Times New Roman" w:hAnsi="Times New Roman"/>
        </w:rPr>
      </w:pPr>
      <w:r w:rsidRPr="002F4C6C">
        <w:rPr>
          <w:rFonts w:ascii="Times New Roman" w:hAnsi="Times New Roman"/>
          <w:b/>
          <w:color w:val="000000"/>
        </w:rPr>
        <w:t>Apie ką rašoma šiame lapelyje?</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1.</w:t>
      </w:r>
      <w:r w:rsidRPr="002F4C6C">
        <w:rPr>
          <w:rFonts w:ascii="Times New Roman" w:hAnsi="Times New Roman"/>
        </w:rPr>
        <w:tab/>
        <w:t xml:space="preserve">Kas yra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ir kam jis vartojamas</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2.</w:t>
      </w:r>
      <w:r w:rsidRPr="002F4C6C">
        <w:rPr>
          <w:rFonts w:ascii="Times New Roman" w:hAnsi="Times New Roman"/>
        </w:rPr>
        <w:tab/>
        <w:t xml:space="preserve">Kas žinotina prieš vartojant </w:t>
      </w:r>
      <w:r w:rsidRPr="002F4C6C">
        <w:rPr>
          <w:rFonts w:ascii="Times New Roman" w:eastAsia="Times New Roman" w:hAnsi="Times New Roman"/>
        </w:rPr>
        <w:t>Perindopril tosilate/Amlodipine Teva Pharma</w:t>
      </w:r>
    </w:p>
    <w:p w:rsidR="001E793B" w:rsidRDefault="00E250E1">
      <w:pPr>
        <w:spacing w:after="0" w:line="240" w:lineRule="auto"/>
        <w:ind w:left="567" w:hanging="567"/>
        <w:rPr>
          <w:rFonts w:ascii="Times New Roman" w:eastAsia="Times New Roman" w:hAnsi="Times New Roman"/>
        </w:rPr>
      </w:pPr>
      <w:r w:rsidRPr="002F4C6C">
        <w:rPr>
          <w:rFonts w:ascii="Times New Roman" w:hAnsi="Times New Roman"/>
        </w:rPr>
        <w:t>3.</w:t>
      </w:r>
      <w:r w:rsidRPr="002F4C6C">
        <w:rPr>
          <w:rFonts w:ascii="Times New Roman" w:hAnsi="Times New Roman"/>
        </w:rPr>
        <w:tab/>
        <w:t xml:space="preserve">Kaip vartoti </w:t>
      </w:r>
      <w:r w:rsidRPr="002F4C6C">
        <w:rPr>
          <w:rFonts w:ascii="Times New Roman" w:eastAsia="Times New Roman" w:hAnsi="Times New Roman"/>
        </w:rPr>
        <w:t>Perindopril tosilate/Amlodipine Teva Pharma</w:t>
      </w:r>
    </w:p>
    <w:p w:rsidR="00E250E1" w:rsidRPr="002F4C6C" w:rsidRDefault="001E793B">
      <w:pPr>
        <w:spacing w:after="0" w:line="240" w:lineRule="auto"/>
        <w:ind w:left="567" w:hanging="567"/>
        <w:rPr>
          <w:rFonts w:ascii="Times New Roman" w:hAnsi="Times New Roman"/>
        </w:rPr>
      </w:pPr>
      <w:r w:rsidRPr="001E793B">
        <w:rPr>
          <w:rFonts w:ascii="Times New Roman" w:eastAsia="Times New Roman" w:hAnsi="Times New Roman"/>
          <w:snapToGrid w:val="0"/>
          <w:szCs w:val="24"/>
          <w:lang w:eastAsia="en-US"/>
        </w:rPr>
        <w:t>4.</w:t>
      </w:r>
      <w:r w:rsidRPr="001E793B">
        <w:rPr>
          <w:rFonts w:ascii="Times New Roman" w:eastAsia="Times New Roman" w:hAnsi="Times New Roman"/>
          <w:snapToGrid w:val="0"/>
          <w:szCs w:val="24"/>
          <w:lang w:eastAsia="en-US"/>
        </w:rPr>
        <w:tab/>
      </w:r>
      <w:r w:rsidRPr="001E793B">
        <w:rPr>
          <w:rFonts w:ascii="Times New Roman" w:eastAsia="Times New Roman" w:hAnsi="Times New Roman"/>
          <w:snapToGrid w:val="0"/>
          <w:szCs w:val="20"/>
          <w:lang w:eastAsia="en-US"/>
        </w:rPr>
        <w:t>Galimas šalutini</w:t>
      </w:r>
      <w:r>
        <w:rPr>
          <w:rFonts w:ascii="Times New Roman" w:eastAsia="Times New Roman" w:hAnsi="Times New Roman"/>
          <w:snapToGrid w:val="0"/>
          <w:szCs w:val="20"/>
          <w:lang w:eastAsia="en-US"/>
        </w:rPr>
        <w:t>s</w:t>
      </w:r>
      <w:r w:rsidRPr="001E793B">
        <w:rPr>
          <w:rFonts w:ascii="Times New Roman" w:eastAsia="Times New Roman" w:hAnsi="Times New Roman"/>
          <w:snapToGrid w:val="0"/>
          <w:szCs w:val="20"/>
          <w:lang w:eastAsia="en-US"/>
        </w:rPr>
        <w:t xml:space="preserve"> poveikis</w:t>
      </w:r>
      <w:r w:rsidR="00E250E1" w:rsidRPr="002F4C6C">
        <w:rPr>
          <w:rFonts w:ascii="Times New Roman" w:eastAsia="Times New Roman" w:hAnsi="Times New Roman"/>
          <w:b/>
        </w:rPr>
        <w:t xml:space="preserve"> </w:t>
      </w:r>
    </w:p>
    <w:p w:rsidR="00E250E1" w:rsidRPr="002F4C6C" w:rsidRDefault="00E250E1">
      <w:pPr>
        <w:spacing w:after="0" w:line="240" w:lineRule="auto"/>
        <w:ind w:left="567" w:hanging="567"/>
        <w:rPr>
          <w:rFonts w:ascii="Times New Roman" w:hAnsi="Times New Roman"/>
        </w:rPr>
      </w:pPr>
      <w:r w:rsidRPr="002F4C6C">
        <w:rPr>
          <w:rFonts w:ascii="Times New Roman" w:hAnsi="Times New Roman"/>
        </w:rPr>
        <w:t>5.</w:t>
      </w:r>
      <w:r w:rsidRPr="002F4C6C">
        <w:rPr>
          <w:rFonts w:ascii="Times New Roman" w:hAnsi="Times New Roman"/>
        </w:rPr>
        <w:tab/>
        <w:t xml:space="preserve">Kaip laikyti </w:t>
      </w:r>
      <w:r w:rsidRPr="002F4C6C">
        <w:rPr>
          <w:rFonts w:ascii="Times New Roman" w:eastAsia="Times New Roman" w:hAnsi="Times New Roman"/>
        </w:rPr>
        <w:t>Perindopril tosilate/Amlodipine Teva Pharma</w:t>
      </w:r>
    </w:p>
    <w:p w:rsidR="00E250E1" w:rsidRPr="002F4C6C" w:rsidRDefault="00E250E1">
      <w:pPr>
        <w:tabs>
          <w:tab w:val="left" w:pos="540"/>
        </w:tabs>
        <w:autoSpaceDE w:val="0"/>
        <w:spacing w:after="0" w:line="240" w:lineRule="auto"/>
        <w:rPr>
          <w:rFonts w:ascii="Times New Roman" w:hAnsi="Times New Roman"/>
        </w:rPr>
      </w:pPr>
      <w:r w:rsidRPr="002F4C6C">
        <w:rPr>
          <w:rFonts w:ascii="Times New Roman" w:hAnsi="Times New Roman"/>
          <w:color w:val="000000"/>
        </w:rPr>
        <w:t>6.</w:t>
      </w:r>
      <w:r w:rsidRPr="002F4C6C">
        <w:rPr>
          <w:rFonts w:ascii="Times New Roman" w:hAnsi="Times New Roman"/>
          <w:color w:val="000000"/>
        </w:rPr>
        <w:tab/>
        <w:t>Pakuotės turinys ir kita informacija</w:t>
      </w: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1.</w:t>
      </w:r>
      <w:r w:rsidRPr="002F4C6C">
        <w:rPr>
          <w:rFonts w:ascii="Times New Roman" w:hAnsi="Times New Roman"/>
          <w:b/>
        </w:rPr>
        <w:tab/>
        <w:t xml:space="preserve">Kas yra </w:t>
      </w:r>
      <w:r w:rsidRPr="002F4C6C">
        <w:rPr>
          <w:rFonts w:ascii="Times New Roman" w:eastAsia="Times New Roman" w:hAnsi="Times New Roman"/>
          <w:b/>
        </w:rPr>
        <w:t xml:space="preserve">Perindopril tosilate/Amlodipine Teva Pharma </w:t>
      </w:r>
      <w:r w:rsidRPr="002F4C6C">
        <w:rPr>
          <w:rFonts w:ascii="Times New Roman" w:hAnsi="Times New Roman"/>
          <w:b/>
        </w:rPr>
        <w:t>ir kam jis vartojamas</w:t>
      </w: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eastAsia="Times New Roman" w:hAnsi="Times New Roman"/>
        </w:rPr>
      </w:pPr>
    </w:p>
    <w:p w:rsidR="00E250E1" w:rsidRPr="002F4C6C" w:rsidRDefault="00E250E1">
      <w:pPr>
        <w:spacing w:after="0" w:line="240" w:lineRule="auto"/>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skiriamas gydyti aukštą kraujo spaudimą (hipertenziją) ir (arba) stabilią vainikinių širdies kraujagyslių ligą (būklę, kai yra sumažėjęs arba sutrikęs širdies aprūpinimas krauju).</w:t>
      </w:r>
    </w:p>
    <w:p w:rsidR="00E250E1" w:rsidRPr="002F4C6C" w:rsidRDefault="00E250E1">
      <w:pPr>
        <w:spacing w:line="240" w:lineRule="auto"/>
        <w:rPr>
          <w:rFonts w:ascii="Times New Roman" w:hAnsi="Times New Roman"/>
        </w:rPr>
      </w:pPr>
      <w:r w:rsidRPr="002F4C6C">
        <w:rPr>
          <w:rFonts w:ascii="Times New Roman" w:hAnsi="Times New Roman"/>
        </w:rPr>
        <w:t xml:space="preserve">Pacientai, jau vartojantys atskiras perindoprilio ir amlodipino tabletes, vietoj jų gali vartoti vieną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tabletę, kurios sudėtyje yra abiejų medžiagų.</w:t>
      </w:r>
    </w:p>
    <w:p w:rsidR="00524223" w:rsidRPr="002F4C6C" w:rsidRDefault="00524223" w:rsidP="00524223">
      <w:pPr>
        <w:spacing w:line="240" w:lineRule="auto"/>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00CB5DBF" w:rsidRPr="002F4C6C">
        <w:rPr>
          <w:rFonts w:ascii="Times New Roman" w:hAnsi="Times New Roman"/>
        </w:rPr>
        <w:t xml:space="preserve">susideda iš dviejų veikliųjų </w:t>
      </w:r>
      <w:r w:rsidRPr="002F4C6C">
        <w:rPr>
          <w:rFonts w:ascii="Times New Roman" w:hAnsi="Times New Roman"/>
        </w:rPr>
        <w:t xml:space="preserve">medžiagų – perindoprilio ir amlodipino. </w:t>
      </w:r>
    </w:p>
    <w:p w:rsidR="00E250E1" w:rsidRPr="002F4C6C" w:rsidRDefault="00E250E1">
      <w:pPr>
        <w:spacing w:line="240" w:lineRule="auto"/>
        <w:rPr>
          <w:rFonts w:ascii="Times New Roman" w:hAnsi="Times New Roman"/>
        </w:rPr>
      </w:pPr>
      <w:r w:rsidRPr="002F4C6C">
        <w:rPr>
          <w:rFonts w:ascii="Times New Roman" w:hAnsi="Times New Roman"/>
        </w:rPr>
        <w:t>Perindoprilis yra AKF (angiotenziną konvertuojančio fermento) inhibitorius. Amlodipinas yra kalcio kanalų blokatorius (kuris priklauso vaistų, vadinamų dihidropiridinais, grupei). Kartu jie išplečia ir atpalaiduoja kraujagysles, kad kraujas galėtų laisviau jomis tekėti ir Jūsų širdžiai būtų lengviau palaikyti gerą kraujotaką.</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2.</w:t>
      </w:r>
      <w:r w:rsidRPr="002F4C6C">
        <w:rPr>
          <w:rFonts w:ascii="Times New Roman" w:hAnsi="Times New Roman"/>
          <w:b/>
        </w:rPr>
        <w:tab/>
        <w:t xml:space="preserve">Kas žinotina prieš vartojant </w:t>
      </w:r>
      <w:r w:rsidRPr="002F4C6C">
        <w:rPr>
          <w:rFonts w:ascii="Times New Roman" w:eastAsia="Times New Roman" w:hAnsi="Times New Roman"/>
          <w:b/>
        </w:rPr>
        <w:t>Perindopril tosilate/Amlodipine Teva Pharma</w:t>
      </w:r>
    </w:p>
    <w:p w:rsidR="00E250E1" w:rsidRPr="002F4C6C" w:rsidRDefault="00E250E1">
      <w:pPr>
        <w:spacing w:after="0" w:line="240" w:lineRule="auto"/>
        <w:ind w:left="567" w:hanging="567"/>
        <w:rPr>
          <w:rFonts w:ascii="Times New Roman" w:hAnsi="Times New Roman"/>
          <w:caps/>
        </w:rPr>
      </w:pPr>
    </w:p>
    <w:p w:rsidR="00E250E1" w:rsidRPr="002F4C6C" w:rsidRDefault="00E250E1">
      <w:pPr>
        <w:spacing w:after="0" w:line="240" w:lineRule="auto"/>
        <w:ind w:left="567" w:hanging="567"/>
        <w:rPr>
          <w:rFonts w:ascii="Times New Roman" w:hAnsi="Times New Roman"/>
        </w:rPr>
      </w:pPr>
      <w:r w:rsidRPr="002F4C6C">
        <w:rPr>
          <w:rFonts w:ascii="Times New Roman" w:eastAsia="Times New Roman" w:hAnsi="Times New Roman"/>
          <w:b/>
        </w:rPr>
        <w:t xml:space="preserve">Perindopril tosilate/Amlodipine Teva Pharma </w:t>
      </w:r>
      <w:r w:rsidRPr="002F4C6C">
        <w:rPr>
          <w:rFonts w:ascii="Times New Roman" w:hAnsi="Times New Roman"/>
          <w:b/>
        </w:rPr>
        <w:t xml:space="preserve">vartoti </w:t>
      </w:r>
      <w:r w:rsidR="00FE1062" w:rsidRPr="002F4C6C">
        <w:rPr>
          <w:rFonts w:ascii="Times New Roman" w:hAnsi="Times New Roman"/>
          <w:b/>
        </w:rPr>
        <w:t>draudžiama</w:t>
      </w:r>
      <w:r w:rsidRPr="002F4C6C">
        <w:rPr>
          <w:rFonts w:ascii="Times New Roman" w:hAnsi="Times New Roman"/>
          <w:b/>
        </w:rPr>
        <w:t>:</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yra alergija perindopriliui ar bet kokiam kitam AKF inhibitoriui, amlodipinui ar bet kokiam kitam kalcio</w:t>
      </w:r>
      <w:r w:rsidR="00FE1062" w:rsidRPr="002F4C6C">
        <w:rPr>
          <w:rFonts w:ascii="Times New Roman" w:hAnsi="Times New Roman"/>
        </w:rPr>
        <w:t xml:space="preserve"> kanalų</w:t>
      </w:r>
      <w:r w:rsidRPr="002F4C6C">
        <w:rPr>
          <w:rFonts w:ascii="Times New Roman" w:hAnsi="Times New Roman"/>
        </w:rPr>
        <w:t xml:space="preserve"> antagonistui, arba bet kuriai pagalbinei šio vaisto medžiagai (jos išvardytos 6 skyriuje);</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 xml:space="preserve">jei esate daugiau nei 3 mėnesius nėščia. Taip pat yra geriau vengti </w:t>
      </w:r>
      <w:r w:rsidRPr="002F4C6C">
        <w:rPr>
          <w:rFonts w:ascii="Times New Roman" w:eastAsia="Times New Roman" w:hAnsi="Times New Roman"/>
        </w:rPr>
        <w:t>Perindopril tosilate/Amlodipine Teva Pharma</w:t>
      </w:r>
      <w:r w:rsidRPr="002F4C6C">
        <w:rPr>
          <w:rFonts w:ascii="Times New Roman" w:hAnsi="Times New Roman"/>
        </w:rPr>
        <w:t xml:space="preserve"> vartoti ankstyvojo nėštumo metu (žr. 2 skyrių „Nėštumas ir žindymas“);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anksčiau Jums buvo tokių simptomų kaip švokštimas, veido ar liežuvio paburkimas, smarkus niežulys ar stiprus odos išbėrimas, pavartojus AKF inhibitoriaus, arba jeigu šie simptomai (būklė, vadinama angio</w:t>
      </w:r>
      <w:r w:rsidR="00FE1062" w:rsidRPr="002F4C6C">
        <w:rPr>
          <w:rFonts w:ascii="Times New Roman" w:hAnsi="Times New Roman"/>
        </w:rPr>
        <w:t xml:space="preserve">neurozine </w:t>
      </w:r>
      <w:r w:rsidRPr="002F4C6C">
        <w:rPr>
          <w:rFonts w:ascii="Times New Roman" w:hAnsi="Times New Roman"/>
        </w:rPr>
        <w:t>edema) pasireiškė kitomis aplinkybėmis</w:t>
      </w:r>
      <w:r w:rsidR="00FE1062" w:rsidRPr="002F4C6C">
        <w:rPr>
          <w:rFonts w:ascii="Times New Roman" w:hAnsi="Times New Roman"/>
        </w:rPr>
        <w:t xml:space="preserve"> Jums ar Jūsų artimam giminaičiui</w:t>
      </w:r>
      <w:r w:rsidRPr="002F4C6C">
        <w:rPr>
          <w:rFonts w:ascii="Times New Roman" w:hAnsi="Times New Roman"/>
        </w:rPr>
        <w:t>;</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lastRenderedPageBreak/>
        <w:t>jeigu Jums yra aortos vožtuvo susiaurėjimas (aortos stenozė);</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yra kardiogeninis šokas (būklė, kai Jūsų širdis nepajėgia pristatyti į organizmą pakankamai kraujo);</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Jums yra labai žemas kraujo spaudimas (hipotenzija);</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Jums yra širdies nepakankamumas po širdies priepuolio;</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Jūs sergate cukriniu diabetu arba Jūsų inkstų veikla sutrikusi ir Jums skirtas kraujospūdį mažinantis vaistas, kurio sudėtyje yra aliskireno.</w:t>
      </w:r>
    </w:p>
    <w:p w:rsidR="00E250E1" w:rsidRPr="002F4C6C" w:rsidRDefault="00E250E1" w:rsidP="00AD70E9">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 xml:space="preserve">jeigu vartojote arba dabar vartojate </w:t>
      </w:r>
      <w:r w:rsidRPr="002F4C6C">
        <w:rPr>
          <w:rFonts w:ascii="Times New Roman" w:hAnsi="Times New Roman"/>
          <w:color w:val="000000"/>
          <w:lang w:eastAsia="fr-FR"/>
        </w:rPr>
        <w:t xml:space="preserve">sakubitrilą / valsartaną – vaistus ilgalaikiam (lėtiniam) </w:t>
      </w:r>
      <w:r w:rsidRPr="002F4C6C">
        <w:rPr>
          <w:rFonts w:ascii="Times New Roman" w:hAnsi="Times New Roman"/>
        </w:rPr>
        <w:t>širdies nepakankamumui suaugusiesiems gydyti, nes yra padidėjusi angioneurozinės edemos (staigaus patinimo po ryklės gleivine)</w:t>
      </w:r>
      <w:r w:rsidR="00AD70E9" w:rsidRPr="002F4C6C">
        <w:rPr>
          <w:rFonts w:ascii="Times New Roman" w:hAnsi="Times New Roman"/>
        </w:rPr>
        <w:t xml:space="preserve"> rizika (žr. skyrius „</w:t>
      </w:r>
      <w:r w:rsidR="00AD70E9" w:rsidRPr="002F4C6C">
        <w:rPr>
          <w:rFonts w:ascii="Times New Roman" w:hAnsi="Times New Roman"/>
          <w:color w:val="000000"/>
        </w:rPr>
        <w:t>Įspėjimai ir atsargumo priemonės“ ir „</w:t>
      </w:r>
      <w:r w:rsidR="00AD70E9" w:rsidRPr="002F4C6C">
        <w:rPr>
          <w:rFonts w:ascii="Times New Roman" w:hAnsi="Times New Roman"/>
        </w:rPr>
        <w:t xml:space="preserve">Kiti vaistai ir </w:t>
      </w:r>
      <w:r w:rsidR="00AD70E9" w:rsidRPr="002F4C6C">
        <w:rPr>
          <w:rFonts w:ascii="Times New Roman" w:eastAsia="Times New Roman" w:hAnsi="Times New Roman"/>
        </w:rPr>
        <w:t>Perindopril tosilate/Amlodipine Teva Pharma“)</w:t>
      </w:r>
      <w:r w:rsidRPr="002F4C6C">
        <w:rPr>
          <w:rFonts w:ascii="Times New Roman" w:hAnsi="Times New Roman"/>
        </w:rPr>
        <w:t>;</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 xml:space="preserve">jeigu Jums atliekamos dializės arba kurios nors kitos rūšies kraujo filtracija. Priklausomai nuo dializei naudojamos įrangos, </w:t>
      </w:r>
      <w:r w:rsidRPr="002F4C6C">
        <w:rPr>
          <w:rFonts w:ascii="Times New Roman" w:eastAsia="Times New Roman" w:hAnsi="Times New Roman"/>
        </w:rPr>
        <w:t>Perindopril tosilate/Amlodipine Teva Pharma</w:t>
      </w:r>
      <w:r w:rsidRPr="002F4C6C">
        <w:rPr>
          <w:rFonts w:ascii="Times New Roman" w:hAnsi="Times New Roman"/>
        </w:rPr>
        <w:t xml:space="preserve"> Jums gali netikti;</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yra inkstų veiklos sutrikimų, dėl kurių sumažėja inkstų aprūpinimas krauju (inkstų arterijos stenozė);</w:t>
      </w:r>
    </w:p>
    <w:p w:rsidR="00E250E1" w:rsidRPr="002F4C6C" w:rsidRDefault="00E250E1">
      <w:pPr>
        <w:spacing w:after="0" w:line="240" w:lineRule="auto"/>
        <w:ind w:left="567" w:hanging="567"/>
        <w:rPr>
          <w:rFonts w:ascii="Times New Roman" w:hAnsi="Times New Roman"/>
        </w:rPr>
      </w:pPr>
    </w:p>
    <w:p w:rsidR="00E250E1" w:rsidRPr="002F4C6C" w:rsidRDefault="00E250E1">
      <w:pPr>
        <w:autoSpaceDE w:val="0"/>
        <w:spacing w:after="0" w:line="240" w:lineRule="auto"/>
        <w:rPr>
          <w:rFonts w:ascii="Times New Roman" w:hAnsi="Times New Roman"/>
        </w:rPr>
      </w:pPr>
      <w:r w:rsidRPr="002F4C6C">
        <w:rPr>
          <w:rFonts w:ascii="Times New Roman" w:hAnsi="Times New Roman"/>
          <w:b/>
          <w:color w:val="000000"/>
        </w:rPr>
        <w:t>Įspėjimai ir atsargumo priemonės</w:t>
      </w:r>
    </w:p>
    <w:p w:rsidR="00E250E1" w:rsidRPr="002F4C6C" w:rsidRDefault="00E250E1">
      <w:pPr>
        <w:spacing w:after="0" w:line="240" w:lineRule="auto"/>
        <w:rPr>
          <w:rFonts w:ascii="Times New Roman" w:hAnsi="Times New Roman"/>
        </w:rPr>
      </w:pPr>
      <w:r w:rsidRPr="002F4C6C">
        <w:rPr>
          <w:rFonts w:ascii="Times New Roman" w:hAnsi="Times New Roman"/>
        </w:rPr>
        <w:t xml:space="preserve">Jeigu Jūs sergate kuria nors iš </w:t>
      </w:r>
      <w:r w:rsidR="00FE1062" w:rsidRPr="002F4C6C">
        <w:rPr>
          <w:rFonts w:ascii="Times New Roman" w:hAnsi="Times New Roman"/>
        </w:rPr>
        <w:t>toliau</w:t>
      </w:r>
      <w:r w:rsidRPr="002F4C6C">
        <w:rPr>
          <w:rFonts w:ascii="Times New Roman" w:hAnsi="Times New Roman"/>
        </w:rPr>
        <w:t xml:space="preserve"> išvardytų ligų, prieš vartodami </w:t>
      </w:r>
      <w:r w:rsidRPr="002F4C6C">
        <w:rPr>
          <w:rFonts w:ascii="Times New Roman" w:eastAsia="Times New Roman" w:hAnsi="Times New Roman"/>
        </w:rPr>
        <w:t>Perindopril tosilate/Amlodipine Teva Pharma</w:t>
      </w:r>
      <w:r w:rsidRPr="002F4C6C">
        <w:rPr>
          <w:rFonts w:ascii="Times New Roman" w:hAnsi="Times New Roman"/>
        </w:rPr>
        <w:t xml:space="preserve"> pasitarkite su savo gydytoju</w:t>
      </w:r>
      <w:r w:rsidR="00FE1062" w:rsidRPr="002F4C6C">
        <w:rPr>
          <w:rFonts w:ascii="Times New Roman" w:hAnsi="Times New Roman"/>
        </w:rPr>
        <w:t xml:space="preserve"> arba</w:t>
      </w:r>
      <w:r w:rsidRPr="002F4C6C">
        <w:rPr>
          <w:rFonts w:ascii="Times New Roman" w:hAnsi="Times New Roman"/>
        </w:rPr>
        <w:t xml:space="preserve"> vaistininku:</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hipertrofine kardiomiopatija (širdies raumens liga) ar inkstų arterijos stenoze (arterijos, kuri krauju aprūpina inkstą, susiaurėjimas);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širdies nepakankamumu;</w:t>
      </w:r>
    </w:p>
    <w:p w:rsidR="00E250E1" w:rsidRPr="002F4C6C" w:rsidRDefault="00FE1062">
      <w:pPr>
        <w:numPr>
          <w:ilvl w:val="0"/>
          <w:numId w:val="5"/>
        </w:numPr>
        <w:spacing w:after="0" w:line="240" w:lineRule="auto"/>
        <w:ind w:left="567" w:hanging="567"/>
        <w:rPr>
          <w:rFonts w:ascii="Times New Roman" w:hAnsi="Times New Roman"/>
        </w:rPr>
      </w:pPr>
      <w:r w:rsidRPr="002F4C6C">
        <w:rPr>
          <w:rFonts w:ascii="Times New Roman" w:hAnsi="Times New Roman"/>
        </w:rPr>
        <w:t>ryškiu</w:t>
      </w:r>
      <w:r w:rsidR="00E250E1" w:rsidRPr="002F4C6C">
        <w:rPr>
          <w:rFonts w:ascii="Times New Roman" w:hAnsi="Times New Roman"/>
        </w:rPr>
        <w:t xml:space="preserve"> kraujo spaudimo padidėjimu (hipertenzine krize);</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bet kokiomis kitomis širdies ligomis;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kepenų ligomis;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inkstų ligomis arba jeigu Jūs esate dializuojamas;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yra nenormaliai padidėjusi hormono, vadinamo aldosteronu, koncentracija Jūsų kraujyje (pirminis aldosteronizmas);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kolagenine kraujagyslių liga (jungiamojo audinio liga), pvz., sistemine raudonąja vilklige ar skleroderma;</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cukriniu diabetu;</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Jūs laikotės dietos, kurioje sumažintas druskos kiekis, arba vartojate druskos pakaitalus, kuriuose yra kalio (labai svarbu, kad kraujyje būtų gerai subalansuotas kalio kiekis);</w:t>
      </w:r>
    </w:p>
    <w:p w:rsidR="00E250E1" w:rsidRPr="002F4C6C" w:rsidRDefault="00E250E1">
      <w:pPr>
        <w:numPr>
          <w:ilvl w:val="0"/>
          <w:numId w:val="5"/>
        </w:numPr>
        <w:spacing w:after="0" w:line="240" w:lineRule="auto"/>
        <w:ind w:left="567" w:hanging="567"/>
        <w:rPr>
          <w:rFonts w:ascii="Times New Roman" w:hAnsi="Times New Roman"/>
        </w:rPr>
      </w:pPr>
      <w:bookmarkStart w:id="7" w:name="OLE_LINK5"/>
      <w:bookmarkStart w:id="8" w:name="OLE_LINK6"/>
      <w:r w:rsidRPr="002F4C6C">
        <w:rPr>
          <w:rFonts w:ascii="Times New Roman" w:hAnsi="Times New Roman"/>
        </w:rPr>
        <w:t>jei esate senyvo amžiaus ir Jums reikia padidinti vaisto dozę;</w:t>
      </w:r>
    </w:p>
    <w:bookmarkEnd w:id="7"/>
    <w:bookmarkEnd w:id="8"/>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jeigu vartojate kurį nors iš šių vaistų padidėjusiam kraujospūdžiui gydyti:</w:t>
      </w:r>
    </w:p>
    <w:p w:rsidR="00E250E1" w:rsidRPr="002F4C6C" w:rsidRDefault="00E250E1">
      <w:pPr>
        <w:spacing w:after="0" w:line="240" w:lineRule="auto"/>
        <w:ind w:left="1134" w:hanging="283"/>
        <w:rPr>
          <w:rFonts w:ascii="Times New Roman" w:hAnsi="Times New Roman"/>
        </w:rPr>
      </w:pPr>
      <w:r w:rsidRPr="002F4C6C">
        <w:rPr>
          <w:rFonts w:ascii="Times New Roman" w:hAnsi="Times New Roman"/>
          <w:bCs/>
        </w:rPr>
        <w:t>-</w:t>
      </w:r>
      <w:r w:rsidRPr="002F4C6C">
        <w:rPr>
          <w:rFonts w:ascii="Times New Roman" w:hAnsi="Times New Roman"/>
          <w:bCs/>
        </w:rPr>
        <w:tab/>
        <w:t>angiotenzino II receptorių blokatorių (ARB), kurie vadinami sartanais, pavyzdžiui, valsartaną, telmisartaną, irbesartaną, ypač jei turite su cukriniu diabetu susijusių inkstų sutrikimų</w:t>
      </w:r>
      <w:r w:rsidR="00FE1062" w:rsidRPr="002F4C6C">
        <w:rPr>
          <w:rFonts w:ascii="Times New Roman" w:hAnsi="Times New Roman"/>
          <w:bCs/>
        </w:rPr>
        <w:t>;</w:t>
      </w:r>
    </w:p>
    <w:p w:rsidR="00E250E1" w:rsidRPr="002F4C6C" w:rsidRDefault="00E250E1">
      <w:pPr>
        <w:spacing w:after="0" w:line="240" w:lineRule="auto"/>
        <w:ind w:left="1134" w:hanging="283"/>
        <w:rPr>
          <w:rFonts w:ascii="Times New Roman" w:hAnsi="Times New Roman"/>
        </w:rPr>
      </w:pPr>
      <w:r w:rsidRPr="002F4C6C">
        <w:rPr>
          <w:rFonts w:ascii="Times New Roman" w:hAnsi="Times New Roman"/>
          <w:bCs/>
        </w:rPr>
        <w:t>-</w:t>
      </w:r>
      <w:r w:rsidRPr="002F4C6C">
        <w:rPr>
          <w:rFonts w:ascii="Times New Roman" w:hAnsi="Times New Roman"/>
          <w:bCs/>
        </w:rPr>
        <w:tab/>
        <w:t>aliskireną.</w:t>
      </w:r>
    </w:p>
    <w:p w:rsidR="00E250E1" w:rsidRPr="002F4C6C" w:rsidRDefault="00E250E1" w:rsidP="00B77A88">
      <w:pPr>
        <w:spacing w:after="0" w:line="240" w:lineRule="auto"/>
        <w:ind w:left="567"/>
        <w:rPr>
          <w:rFonts w:ascii="Times New Roman" w:hAnsi="Times New Roman"/>
          <w:bCs/>
        </w:rPr>
      </w:pPr>
      <w:r w:rsidRPr="002F4C6C">
        <w:rPr>
          <w:rFonts w:ascii="Times New Roman" w:hAnsi="Times New Roman"/>
          <w:bCs/>
        </w:rPr>
        <w:t xml:space="preserve">Jūsų gydytojas gali reguliariai </w:t>
      </w:r>
      <w:r w:rsidR="00453B06">
        <w:rPr>
          <w:rFonts w:ascii="Times New Roman" w:hAnsi="Times New Roman"/>
          <w:bCs/>
        </w:rPr>
        <w:t>i</w:t>
      </w:r>
      <w:r w:rsidRPr="002F4C6C">
        <w:rPr>
          <w:rFonts w:ascii="Times New Roman" w:hAnsi="Times New Roman"/>
          <w:bCs/>
        </w:rPr>
        <w:t>štirti Jūsų inkstų funkciją, kraujospūdį ir elektrolitų kiekį (pvz., kalio) kraujyje.</w:t>
      </w:r>
    </w:p>
    <w:p w:rsidR="00B77A88" w:rsidRPr="002F4C6C" w:rsidRDefault="00B77A88" w:rsidP="00B77A88">
      <w:pPr>
        <w:numPr>
          <w:ilvl w:val="0"/>
          <w:numId w:val="15"/>
        </w:numPr>
        <w:spacing w:after="0" w:line="240" w:lineRule="auto"/>
        <w:ind w:left="567" w:hanging="567"/>
        <w:rPr>
          <w:rFonts w:ascii="Times New Roman" w:hAnsi="Times New Roman"/>
        </w:rPr>
      </w:pPr>
      <w:r w:rsidRPr="002F4C6C">
        <w:rPr>
          <w:rFonts w:ascii="Times New Roman" w:hAnsi="Times New Roman"/>
        </w:rPr>
        <w:t xml:space="preserve">jeigu vartojate </w:t>
      </w:r>
      <w:r w:rsidR="001716D5">
        <w:rPr>
          <w:rFonts w:ascii="Times New Roman" w:hAnsi="Times New Roman"/>
        </w:rPr>
        <w:t>toliau</w:t>
      </w:r>
      <w:r w:rsidRPr="002F4C6C">
        <w:rPr>
          <w:rFonts w:ascii="Times New Roman" w:hAnsi="Times New Roman"/>
        </w:rPr>
        <w:t xml:space="preserve"> išvardyt</w:t>
      </w:r>
      <w:r w:rsidR="001716D5">
        <w:rPr>
          <w:rFonts w:ascii="Times New Roman" w:hAnsi="Times New Roman"/>
        </w:rPr>
        <w:t>ų</w:t>
      </w:r>
      <w:r w:rsidRPr="002F4C6C">
        <w:rPr>
          <w:rFonts w:ascii="Times New Roman" w:hAnsi="Times New Roman"/>
        </w:rPr>
        <w:t xml:space="preserve"> vaist</w:t>
      </w:r>
      <w:r w:rsidR="001716D5">
        <w:rPr>
          <w:rFonts w:ascii="Times New Roman" w:hAnsi="Times New Roman"/>
        </w:rPr>
        <w:t>ų</w:t>
      </w:r>
      <w:r w:rsidRPr="002F4C6C">
        <w:rPr>
          <w:rFonts w:ascii="Times New Roman" w:hAnsi="Times New Roman"/>
        </w:rPr>
        <w:t xml:space="preserve">, padidėja angioneurozinės edemos rizika: </w:t>
      </w:r>
    </w:p>
    <w:p w:rsidR="00B77A88" w:rsidRPr="002F4C6C" w:rsidRDefault="00B77A88" w:rsidP="00D37A82">
      <w:pPr>
        <w:numPr>
          <w:ilvl w:val="0"/>
          <w:numId w:val="15"/>
        </w:numPr>
        <w:spacing w:after="0" w:line="240" w:lineRule="auto"/>
        <w:ind w:left="1134" w:hanging="283"/>
        <w:rPr>
          <w:rFonts w:ascii="Times New Roman" w:hAnsi="Times New Roman"/>
        </w:rPr>
      </w:pPr>
      <w:r w:rsidRPr="002F4C6C">
        <w:rPr>
          <w:rFonts w:ascii="Times New Roman" w:hAnsi="Times New Roman"/>
        </w:rPr>
        <w:t>racekadotril</w:t>
      </w:r>
      <w:r w:rsidR="001716D5">
        <w:rPr>
          <w:rFonts w:ascii="Times New Roman" w:hAnsi="Times New Roman"/>
        </w:rPr>
        <w:t>io</w:t>
      </w:r>
      <w:r w:rsidRPr="002F4C6C">
        <w:rPr>
          <w:rFonts w:ascii="Times New Roman" w:hAnsi="Times New Roman"/>
        </w:rPr>
        <w:t xml:space="preserve"> (vartojam</w:t>
      </w:r>
      <w:r w:rsidR="001716D5">
        <w:rPr>
          <w:rFonts w:ascii="Times New Roman" w:hAnsi="Times New Roman"/>
        </w:rPr>
        <w:t>o</w:t>
      </w:r>
      <w:r w:rsidRPr="002F4C6C">
        <w:rPr>
          <w:rFonts w:ascii="Times New Roman" w:hAnsi="Times New Roman"/>
        </w:rPr>
        <w:t xml:space="preserve"> viduriavimui gydyti);</w:t>
      </w:r>
    </w:p>
    <w:p w:rsidR="00B77A88" w:rsidRPr="002F4C6C" w:rsidRDefault="00B77A88" w:rsidP="00D37A82">
      <w:pPr>
        <w:numPr>
          <w:ilvl w:val="0"/>
          <w:numId w:val="15"/>
        </w:numPr>
        <w:spacing w:after="0" w:line="240" w:lineRule="auto"/>
        <w:ind w:left="1134" w:hanging="283"/>
        <w:rPr>
          <w:rFonts w:ascii="Times New Roman" w:hAnsi="Times New Roman"/>
        </w:rPr>
      </w:pPr>
      <w:r w:rsidRPr="002F4C6C">
        <w:rPr>
          <w:rFonts w:ascii="Times New Roman" w:hAnsi="Times New Roman"/>
        </w:rPr>
        <w:t>sirolimuz</w:t>
      </w:r>
      <w:r w:rsidR="001716D5">
        <w:rPr>
          <w:rFonts w:ascii="Times New Roman" w:hAnsi="Times New Roman"/>
        </w:rPr>
        <w:t>o</w:t>
      </w:r>
      <w:r w:rsidRPr="002F4C6C">
        <w:rPr>
          <w:rFonts w:ascii="Times New Roman" w:hAnsi="Times New Roman"/>
        </w:rPr>
        <w:t>, everolimuz</w:t>
      </w:r>
      <w:r w:rsidR="001716D5">
        <w:rPr>
          <w:rFonts w:ascii="Times New Roman" w:hAnsi="Times New Roman"/>
        </w:rPr>
        <w:t>o</w:t>
      </w:r>
      <w:r w:rsidRPr="002F4C6C">
        <w:rPr>
          <w:rFonts w:ascii="Times New Roman" w:hAnsi="Times New Roman"/>
        </w:rPr>
        <w:t>, temsirolimuz</w:t>
      </w:r>
      <w:r w:rsidR="001716D5">
        <w:rPr>
          <w:rFonts w:ascii="Times New Roman" w:hAnsi="Times New Roman"/>
        </w:rPr>
        <w:t>o</w:t>
      </w:r>
      <w:r w:rsidRPr="002F4C6C">
        <w:rPr>
          <w:rFonts w:ascii="Times New Roman" w:hAnsi="Times New Roman"/>
        </w:rPr>
        <w:t xml:space="preserve"> ir kit</w:t>
      </w:r>
      <w:r w:rsidR="001716D5">
        <w:rPr>
          <w:rFonts w:ascii="Times New Roman" w:hAnsi="Times New Roman"/>
        </w:rPr>
        <w:t>ų</w:t>
      </w:r>
      <w:r w:rsidRPr="002F4C6C">
        <w:rPr>
          <w:rFonts w:ascii="Times New Roman" w:hAnsi="Times New Roman"/>
        </w:rPr>
        <w:t xml:space="preserve"> vaist</w:t>
      </w:r>
      <w:r w:rsidR="001716D5">
        <w:rPr>
          <w:rFonts w:ascii="Times New Roman" w:hAnsi="Times New Roman"/>
        </w:rPr>
        <w:t>ų</w:t>
      </w:r>
      <w:r w:rsidRPr="002F4C6C">
        <w:rPr>
          <w:rFonts w:ascii="Times New Roman" w:hAnsi="Times New Roman"/>
        </w:rPr>
        <w:t xml:space="preserve">, kurie </w:t>
      </w:r>
      <w:r w:rsidR="00AB083B" w:rsidRPr="002F4C6C">
        <w:rPr>
          <w:rFonts w:ascii="Times New Roman" w:hAnsi="Times New Roman"/>
        </w:rPr>
        <w:t>priklauso</w:t>
      </w:r>
      <w:r w:rsidRPr="002F4C6C">
        <w:rPr>
          <w:rFonts w:ascii="Times New Roman" w:hAnsi="Times New Roman"/>
        </w:rPr>
        <w:t xml:space="preserve"> taip vadinamiems  mTor inhibitoriams (vartojamiems siekiant išvengti persodintų organų atmetimo ir vėžiui gydyti);</w:t>
      </w:r>
    </w:p>
    <w:p w:rsidR="00B77A88" w:rsidRPr="002F4C6C" w:rsidRDefault="00B77A88" w:rsidP="00D37A82">
      <w:pPr>
        <w:numPr>
          <w:ilvl w:val="0"/>
          <w:numId w:val="15"/>
        </w:numPr>
        <w:spacing w:after="0" w:line="240" w:lineRule="auto"/>
        <w:ind w:left="1134" w:hanging="283"/>
        <w:rPr>
          <w:rFonts w:ascii="Times New Roman" w:hAnsi="Times New Roman"/>
        </w:rPr>
      </w:pPr>
      <w:r w:rsidRPr="002F4C6C">
        <w:rPr>
          <w:rFonts w:ascii="Times New Roman" w:hAnsi="Times New Roman"/>
        </w:rPr>
        <w:t>sakubitril</w:t>
      </w:r>
      <w:r w:rsidR="001716D5">
        <w:rPr>
          <w:rFonts w:ascii="Times New Roman" w:hAnsi="Times New Roman"/>
        </w:rPr>
        <w:t>o</w:t>
      </w:r>
      <w:r w:rsidRPr="002F4C6C">
        <w:rPr>
          <w:rFonts w:ascii="Times New Roman" w:hAnsi="Times New Roman"/>
        </w:rPr>
        <w:t xml:space="preserve"> (kurio fiksuota dozė derinama su valsartanu), var</w:t>
      </w:r>
      <w:r w:rsidR="001716D5">
        <w:rPr>
          <w:rFonts w:ascii="Times New Roman" w:hAnsi="Times New Roman"/>
        </w:rPr>
        <w:t>t</w:t>
      </w:r>
      <w:r w:rsidRPr="002F4C6C">
        <w:rPr>
          <w:rFonts w:ascii="Times New Roman" w:hAnsi="Times New Roman"/>
        </w:rPr>
        <w:t>ojam</w:t>
      </w:r>
      <w:r w:rsidR="001716D5">
        <w:rPr>
          <w:rFonts w:ascii="Times New Roman" w:hAnsi="Times New Roman"/>
        </w:rPr>
        <w:t>o</w:t>
      </w:r>
      <w:r w:rsidRPr="002F4C6C">
        <w:rPr>
          <w:rFonts w:ascii="Times New Roman" w:hAnsi="Times New Roman"/>
        </w:rPr>
        <w:t xml:space="preserve"> širdies nepakankamumo ilgalaikiam gydymui;</w:t>
      </w:r>
    </w:p>
    <w:p w:rsidR="00B77A88" w:rsidRPr="002F4C6C" w:rsidRDefault="00B77A88" w:rsidP="00D37A82">
      <w:pPr>
        <w:numPr>
          <w:ilvl w:val="0"/>
          <w:numId w:val="15"/>
        </w:numPr>
        <w:spacing w:after="0" w:line="240" w:lineRule="auto"/>
        <w:ind w:left="1134" w:hanging="283"/>
        <w:rPr>
          <w:rFonts w:ascii="Times New Roman" w:hAnsi="Times New Roman"/>
        </w:rPr>
      </w:pPr>
      <w:r w:rsidRPr="002F4C6C">
        <w:rPr>
          <w:rFonts w:ascii="Times New Roman" w:hAnsi="Times New Roman"/>
        </w:rPr>
        <w:t>linagliptin</w:t>
      </w:r>
      <w:r w:rsidR="001716D5">
        <w:rPr>
          <w:rFonts w:ascii="Times New Roman" w:hAnsi="Times New Roman"/>
        </w:rPr>
        <w:t>o</w:t>
      </w:r>
      <w:r w:rsidRPr="002F4C6C">
        <w:rPr>
          <w:rFonts w:ascii="Times New Roman" w:hAnsi="Times New Roman"/>
        </w:rPr>
        <w:t>, saksagliptin</w:t>
      </w:r>
      <w:r w:rsidR="001716D5">
        <w:rPr>
          <w:rFonts w:ascii="Times New Roman" w:hAnsi="Times New Roman"/>
        </w:rPr>
        <w:t>o</w:t>
      </w:r>
      <w:r w:rsidRPr="002F4C6C">
        <w:rPr>
          <w:rFonts w:ascii="Times New Roman" w:hAnsi="Times New Roman"/>
        </w:rPr>
        <w:t>, sitagliptin</w:t>
      </w:r>
      <w:r w:rsidR="001716D5">
        <w:rPr>
          <w:rFonts w:ascii="Times New Roman" w:hAnsi="Times New Roman"/>
        </w:rPr>
        <w:t>o</w:t>
      </w:r>
      <w:r w:rsidRPr="002F4C6C">
        <w:rPr>
          <w:rFonts w:ascii="Times New Roman" w:hAnsi="Times New Roman"/>
        </w:rPr>
        <w:t>, vildagliptin</w:t>
      </w:r>
      <w:r w:rsidR="001716D5">
        <w:rPr>
          <w:rFonts w:ascii="Times New Roman" w:hAnsi="Times New Roman"/>
        </w:rPr>
        <w:t>o</w:t>
      </w:r>
      <w:r w:rsidRPr="002F4C6C">
        <w:rPr>
          <w:rFonts w:ascii="Times New Roman" w:hAnsi="Times New Roman"/>
        </w:rPr>
        <w:t xml:space="preserve"> ir kit</w:t>
      </w:r>
      <w:r w:rsidR="001716D5">
        <w:rPr>
          <w:rFonts w:ascii="Times New Roman" w:hAnsi="Times New Roman"/>
        </w:rPr>
        <w:t>ų</w:t>
      </w:r>
      <w:r w:rsidRPr="002F4C6C">
        <w:rPr>
          <w:rFonts w:ascii="Times New Roman" w:hAnsi="Times New Roman"/>
        </w:rPr>
        <w:t xml:space="preserve"> vaist</w:t>
      </w:r>
      <w:r w:rsidR="001716D5">
        <w:rPr>
          <w:rFonts w:ascii="Times New Roman" w:hAnsi="Times New Roman"/>
        </w:rPr>
        <w:t>ų</w:t>
      </w:r>
      <w:r w:rsidRPr="002F4C6C">
        <w:rPr>
          <w:rFonts w:ascii="Times New Roman" w:hAnsi="Times New Roman"/>
        </w:rPr>
        <w:t>, priklausanči</w:t>
      </w:r>
      <w:r w:rsidR="001716D5">
        <w:rPr>
          <w:rFonts w:ascii="Times New Roman" w:hAnsi="Times New Roman"/>
        </w:rPr>
        <w:t>ų</w:t>
      </w:r>
      <w:r w:rsidRPr="002F4C6C">
        <w:rPr>
          <w:rFonts w:ascii="Times New Roman" w:hAnsi="Times New Roman"/>
        </w:rPr>
        <w:t xml:space="preserve"> gliptinais vadinamų vaistų grupei </w:t>
      </w:r>
      <w:r w:rsidR="00AB083B" w:rsidRPr="002F4C6C">
        <w:rPr>
          <w:rFonts w:ascii="Times New Roman" w:hAnsi="Times New Roman"/>
        </w:rPr>
        <w:t>(vartojam</w:t>
      </w:r>
      <w:r w:rsidR="001716D5">
        <w:rPr>
          <w:rFonts w:ascii="Times New Roman" w:hAnsi="Times New Roman"/>
        </w:rPr>
        <w:t>ų</w:t>
      </w:r>
      <w:r w:rsidR="00AB083B" w:rsidRPr="002F4C6C">
        <w:rPr>
          <w:rFonts w:ascii="Times New Roman" w:hAnsi="Times New Roman"/>
        </w:rPr>
        <w:t xml:space="preserve"> cukriniam diabetui gydyti);</w:t>
      </w:r>
    </w:p>
    <w:p w:rsidR="00AB083B" w:rsidRPr="002F4C6C" w:rsidRDefault="00AB083B" w:rsidP="00AB083B">
      <w:pPr>
        <w:numPr>
          <w:ilvl w:val="0"/>
          <w:numId w:val="15"/>
        </w:numPr>
        <w:spacing w:after="0" w:line="240" w:lineRule="auto"/>
        <w:ind w:hanging="720"/>
        <w:rPr>
          <w:rFonts w:ascii="Times New Roman" w:hAnsi="Times New Roman"/>
        </w:rPr>
      </w:pPr>
      <w:r w:rsidRPr="002F4C6C">
        <w:rPr>
          <w:rFonts w:ascii="Times New Roman" w:hAnsi="Times New Roman"/>
        </w:rPr>
        <w:t>jeigu esate juodaodis, nes gali būti didesnė angioneurozinės edemos rizika ir šis vaistas gali ne taip veiksmingai mažinti kraujospūdį, palyginti su kitais pacientais.</w:t>
      </w:r>
    </w:p>
    <w:p w:rsidR="00E250E1" w:rsidRPr="002F4C6C" w:rsidRDefault="00E250E1">
      <w:pPr>
        <w:spacing w:after="0"/>
        <w:rPr>
          <w:rFonts w:ascii="Times New Roman" w:hAnsi="Times New Roman"/>
          <w:bCs/>
        </w:rPr>
      </w:pPr>
    </w:p>
    <w:p w:rsidR="00AB083B" w:rsidRPr="002F4C6C" w:rsidRDefault="00AB083B">
      <w:pPr>
        <w:spacing w:after="0"/>
        <w:rPr>
          <w:rFonts w:ascii="Times New Roman" w:hAnsi="Times New Roman"/>
          <w:bCs/>
        </w:rPr>
      </w:pPr>
      <w:r w:rsidRPr="002F4C6C">
        <w:rPr>
          <w:rFonts w:ascii="Times New Roman" w:hAnsi="Times New Roman"/>
          <w:bCs/>
        </w:rPr>
        <w:lastRenderedPageBreak/>
        <w:t>Angioneurozinė edema</w:t>
      </w:r>
    </w:p>
    <w:p w:rsidR="00AB083B" w:rsidRPr="002F4C6C" w:rsidRDefault="00AB083B" w:rsidP="00AB083B">
      <w:pPr>
        <w:tabs>
          <w:tab w:val="left" w:pos="540"/>
        </w:tabs>
        <w:spacing w:after="0" w:line="240" w:lineRule="auto"/>
        <w:rPr>
          <w:rFonts w:ascii="Times New Roman" w:hAnsi="Times New Roman"/>
        </w:rPr>
      </w:pPr>
      <w:r w:rsidRPr="002F4C6C">
        <w:rPr>
          <w:rFonts w:ascii="Times New Roman" w:hAnsi="Times New Roman"/>
        </w:rPr>
        <w:t xml:space="preserve">Buvo pranešta apie angioneurozinės edemos (sunkios alerginės reakcijos, kurios metu patinsta veidas, lūpos, liežuvis ar ryklė, tampa sunku ryti ar kvėpuoti) atvejus pacientams, gydytiems AKF inhibitoriais, įskaitant </w:t>
      </w:r>
      <w:r w:rsidRPr="002F4C6C">
        <w:rPr>
          <w:rFonts w:ascii="Times New Roman" w:eastAsia="Times New Roman" w:hAnsi="Times New Roman"/>
        </w:rPr>
        <w:t>Perindopril tosilate/Amlodipine Teva Pharma</w:t>
      </w:r>
      <w:r w:rsidRPr="002F4C6C">
        <w:rPr>
          <w:rFonts w:ascii="Times New Roman" w:hAnsi="Times New Roman"/>
        </w:rPr>
        <w:t xml:space="preserve">. Ši </w:t>
      </w:r>
      <w:r w:rsidR="00453B06">
        <w:rPr>
          <w:rFonts w:ascii="Times New Roman" w:hAnsi="Times New Roman"/>
        </w:rPr>
        <w:t xml:space="preserve">alerginė </w:t>
      </w:r>
      <w:r w:rsidRPr="002F4C6C">
        <w:rPr>
          <w:rFonts w:ascii="Times New Roman" w:hAnsi="Times New Roman"/>
        </w:rPr>
        <w:t xml:space="preserve">reakcija gali pasireikšti bet kuriuo gydymo kurso metu. Jeigu Jums atsiranda tokių simptomų, būtina nutraukti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vartojimą ir nedelsiant kreiptis į gydytoją. Taip pat žr. 4 skyrių.</w:t>
      </w:r>
    </w:p>
    <w:p w:rsidR="00AB083B" w:rsidRPr="002F4C6C" w:rsidRDefault="00AB083B" w:rsidP="00AB083B">
      <w:pPr>
        <w:spacing w:after="0" w:line="240" w:lineRule="auto"/>
        <w:rPr>
          <w:rFonts w:ascii="Times New Roman" w:hAnsi="Times New Roman"/>
        </w:rPr>
      </w:pPr>
    </w:p>
    <w:p w:rsidR="00AB083B" w:rsidRPr="002F4C6C" w:rsidRDefault="00AB083B" w:rsidP="00AB083B">
      <w:pPr>
        <w:spacing w:after="0" w:line="240" w:lineRule="auto"/>
        <w:rPr>
          <w:rFonts w:ascii="Times New Roman" w:hAnsi="Times New Roman"/>
        </w:rPr>
      </w:pPr>
      <w:r w:rsidRPr="002F4C6C">
        <w:rPr>
          <w:rFonts w:ascii="Times New Roman" w:hAnsi="Times New Roman"/>
        </w:rPr>
        <w:t xml:space="preserve">Jeigu manote, kad esate nėščia (arba galite būti pastojusi), privalote pasakyti apie tai gydytojui.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 xml:space="preserve">nerekomenduojama vartoti ankstyvuoju nėštumo laikotarpiu. Jeigu esate nėščia daugiau kaip 3 mėnesius, šio vaisto </w:t>
      </w:r>
      <w:r w:rsidR="00394116">
        <w:rPr>
          <w:rFonts w:ascii="Times New Roman" w:hAnsi="Times New Roman"/>
        </w:rPr>
        <w:t>draudžiama</w:t>
      </w:r>
      <w:r w:rsidRPr="002F4C6C">
        <w:rPr>
          <w:rFonts w:ascii="Times New Roman" w:hAnsi="Times New Roman"/>
        </w:rPr>
        <w:t xml:space="preserve"> vartoti, nes šiuo nėštumo laikotarpiu vartojamas </w:t>
      </w:r>
      <w:r w:rsidR="00394116">
        <w:rPr>
          <w:rFonts w:ascii="Times New Roman" w:hAnsi="Times New Roman"/>
        </w:rPr>
        <w:t>vaistas</w:t>
      </w:r>
      <w:r w:rsidRPr="002F4C6C">
        <w:rPr>
          <w:rFonts w:ascii="Times New Roman" w:hAnsi="Times New Roman"/>
        </w:rPr>
        <w:t xml:space="preserve"> gali labai pakenkti Jūsų kūdikiui (žr. skyrių „Nėštumas, žindymo laikotarpis ir vaisingumas“).</w:t>
      </w:r>
    </w:p>
    <w:p w:rsidR="00AB083B" w:rsidRPr="002F4C6C" w:rsidRDefault="00AB083B">
      <w:pPr>
        <w:spacing w:after="0"/>
        <w:rPr>
          <w:rFonts w:ascii="Times New Roman" w:hAnsi="Times New Roman"/>
          <w:bCs/>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Jeigu vartojate </w:t>
      </w:r>
      <w:r w:rsidRPr="002F4C6C">
        <w:rPr>
          <w:rFonts w:ascii="Times New Roman" w:eastAsia="Times New Roman" w:hAnsi="Times New Roman"/>
        </w:rPr>
        <w:t>Perindopril tosilate/Amlodipine Teva Pharma</w:t>
      </w:r>
      <w:r w:rsidRPr="002F4C6C">
        <w:rPr>
          <w:rFonts w:ascii="Times New Roman" w:hAnsi="Times New Roman"/>
        </w:rPr>
        <w:t>, apie tai tur</w:t>
      </w:r>
      <w:r w:rsidR="00FE1062" w:rsidRPr="002F4C6C">
        <w:rPr>
          <w:rFonts w:ascii="Times New Roman" w:hAnsi="Times New Roman"/>
        </w:rPr>
        <w:t>ite</w:t>
      </w:r>
      <w:r w:rsidRPr="002F4C6C">
        <w:rPr>
          <w:rFonts w:ascii="Times New Roman" w:hAnsi="Times New Roman"/>
        </w:rPr>
        <w:t xml:space="preserve"> pasakyti gydytojui arba medicinos personalui jeigu:</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rPr>
        <w:t>Jums ruošiamasi atlikti bendrąją nejautrą ir (arba) didelę operaciją;</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rPr>
        <w:t>Jūs neseniai viduriavote ar vėmėte;</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rPr>
        <w:t>Jums ruošiamasi atlikti MTL aferezę (naudojant aparatą, pašalinti cholesterolį iš Jūsų kraujo);</w:t>
      </w:r>
    </w:p>
    <w:p w:rsidR="00E250E1" w:rsidRPr="002F4C6C" w:rsidRDefault="00E250E1">
      <w:pPr>
        <w:numPr>
          <w:ilvl w:val="0"/>
          <w:numId w:val="5"/>
        </w:numPr>
        <w:tabs>
          <w:tab w:val="left" w:pos="720"/>
        </w:tabs>
        <w:spacing w:after="0" w:line="240" w:lineRule="auto"/>
        <w:ind w:left="567" w:hanging="567"/>
        <w:rPr>
          <w:rFonts w:ascii="Times New Roman" w:hAnsi="Times New Roman"/>
        </w:rPr>
      </w:pPr>
      <w:r w:rsidRPr="002F4C6C">
        <w:rPr>
          <w:rFonts w:ascii="Times New Roman" w:hAnsi="Times New Roman"/>
        </w:rPr>
        <w:t>Jums ruošiamasi atlikti desensibilizaciją, kad susilpnėtų alergija bičių ar vapsvų nuodams.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
        </w:rPr>
        <w:t>Vaikams ir paaugliams</w:t>
      </w:r>
    </w:p>
    <w:p w:rsidR="00E250E1" w:rsidRPr="002F4C6C" w:rsidRDefault="00E250E1">
      <w:pPr>
        <w:spacing w:after="0" w:line="240" w:lineRule="auto"/>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hAnsi="Times New Roman"/>
        </w:rPr>
        <w:t xml:space="preserve"> nerekomenduojama vartoti vaikams ir paaugliams.</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 xml:space="preserve">Kiti vaistai ir </w:t>
      </w:r>
      <w:r w:rsidRPr="002F4C6C">
        <w:rPr>
          <w:rFonts w:ascii="Times New Roman" w:eastAsia="Times New Roman" w:hAnsi="Times New Roman"/>
          <w:b/>
        </w:rPr>
        <w:t xml:space="preserve">Perindopril tosilate/Amlodipine Teva Pharma </w:t>
      </w:r>
    </w:p>
    <w:p w:rsidR="00E250E1" w:rsidRPr="002F4C6C" w:rsidRDefault="00E250E1">
      <w:pPr>
        <w:spacing w:after="0" w:line="240" w:lineRule="auto"/>
        <w:rPr>
          <w:rFonts w:ascii="Times New Roman" w:hAnsi="Times New Roman"/>
        </w:rPr>
      </w:pPr>
      <w:r w:rsidRPr="002F4C6C">
        <w:rPr>
          <w:rFonts w:ascii="Times New Roman" w:hAnsi="Times New Roman"/>
        </w:rPr>
        <w:t>Jeigu vartojate arba neseniai vartojote kitų vaistų arba dėl to nesate tikri, apie tai pasakykite gydytojui arba vaistininkui.</w:t>
      </w:r>
    </w:p>
    <w:p w:rsidR="00E250E1" w:rsidRPr="002F4C6C" w:rsidRDefault="00E250E1">
      <w:pPr>
        <w:spacing w:after="0" w:line="240" w:lineRule="auto"/>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rPr>
        <w:t>Reik</w:t>
      </w:r>
      <w:r w:rsidR="00FE1062" w:rsidRPr="002F4C6C">
        <w:rPr>
          <w:rFonts w:ascii="Times New Roman" w:hAnsi="Times New Roman"/>
        </w:rPr>
        <w:t>ia</w:t>
      </w:r>
      <w:r w:rsidRPr="002F4C6C">
        <w:rPr>
          <w:rFonts w:ascii="Times New Roman" w:hAnsi="Times New Roman"/>
        </w:rPr>
        <w:t xml:space="preserve"> nevartoti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 xml:space="preserve"> su:</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ličiu (taikomu manijai ar depresijai gydyti);</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estramustinu (vartojamas gydant vėžį);</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kalį organizme sulaikančiais vaistais (triamterenu, amiloridu), kalio papildais arba druskos pakaitalais, kuriuose yra kalio, kitais vaistais, kurie didina kalio koncentracijas organizme (pvz., heparinas</w:t>
      </w:r>
      <w:r w:rsidR="00BB58CF" w:rsidRPr="002F4C6C">
        <w:rPr>
          <w:rFonts w:ascii="Times New Roman" w:hAnsi="Times New Roman"/>
        </w:rPr>
        <w:t xml:space="preserve"> – vaistas, vartojamas skystinti kraują ir išvengti krešulių susidarymo; ciklosporinas, imunosupresantas, vartojamas persodintų organų atmetimo profilaktikai;</w:t>
      </w:r>
      <w:r w:rsidRPr="002F4C6C">
        <w:rPr>
          <w:rFonts w:ascii="Times New Roman" w:hAnsi="Times New Roman"/>
        </w:rPr>
        <w:t xml:space="preserve"> kotrimoksazolas</w:t>
      </w:r>
      <w:r w:rsidR="00681355" w:rsidRPr="002F4C6C">
        <w:rPr>
          <w:rFonts w:ascii="Times New Roman" w:hAnsi="Times New Roman"/>
        </w:rPr>
        <w:t>, kuris žinomas</w:t>
      </w:r>
      <w:r w:rsidR="00BB58CF" w:rsidRPr="002F4C6C">
        <w:rPr>
          <w:rFonts w:ascii="Times New Roman" w:hAnsi="Times New Roman"/>
        </w:rPr>
        <w:t xml:space="preserve"> ir</w:t>
      </w:r>
      <w:r w:rsidR="00AB083B" w:rsidRPr="002F4C6C">
        <w:rPr>
          <w:rFonts w:ascii="Times New Roman" w:hAnsi="Times New Roman"/>
        </w:rPr>
        <w:t xml:space="preserve"> </w:t>
      </w:r>
      <w:r w:rsidR="00394116">
        <w:rPr>
          <w:rFonts w:ascii="Times New Roman" w:hAnsi="Times New Roman"/>
        </w:rPr>
        <w:t xml:space="preserve">kaip </w:t>
      </w:r>
      <w:r w:rsidRPr="002F4C6C">
        <w:rPr>
          <w:rFonts w:ascii="Times New Roman" w:hAnsi="Times New Roman"/>
        </w:rPr>
        <w:t>trimetoprim</w:t>
      </w:r>
      <w:r w:rsidR="00681355" w:rsidRPr="002F4C6C">
        <w:rPr>
          <w:rFonts w:ascii="Times New Roman" w:hAnsi="Times New Roman"/>
        </w:rPr>
        <w:t xml:space="preserve">o ir sulfametoksazolo derinys, </w:t>
      </w:r>
      <w:r w:rsidR="00BB58CF" w:rsidRPr="002F4C6C">
        <w:rPr>
          <w:rFonts w:ascii="Times New Roman" w:hAnsi="Times New Roman"/>
        </w:rPr>
        <w:t xml:space="preserve"> vartojamas infekcijoms, sukeltoms bakterijų, gydyti</w:t>
      </w:r>
      <w:r w:rsidRPr="002F4C6C">
        <w:rPr>
          <w:rFonts w:ascii="Times New Roman" w:hAnsi="Times New Roman"/>
        </w:rPr>
        <w:t>);</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kalį organizme sulaikančiais vaistais, kuriais gydomas širdies nepakankamumas: eplerenonu ir spironolaktonu (vartojant nuo 12,5 mg iki 50 mg dozes).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
        </w:rPr>
        <w:t xml:space="preserve">Gydymą </w:t>
      </w:r>
      <w:r w:rsidRPr="002F4C6C">
        <w:rPr>
          <w:rFonts w:ascii="Times New Roman" w:eastAsia="Times New Roman" w:hAnsi="Times New Roman"/>
          <w:b/>
        </w:rPr>
        <w:t>Perindopril tosilate/Amlodipine Teva Pharma</w:t>
      </w:r>
      <w:r w:rsidRPr="002F4C6C">
        <w:rPr>
          <w:rFonts w:ascii="Times New Roman" w:hAnsi="Times New Roman"/>
          <w:b/>
        </w:rPr>
        <w:t xml:space="preserve"> gali paveikti kiti vaistai. Būtinai pasakykite gydytojui, kad vartojate kurį nors iš </w:t>
      </w:r>
      <w:r w:rsidR="00BB58CF" w:rsidRPr="002F4C6C">
        <w:rPr>
          <w:rFonts w:ascii="Times New Roman" w:hAnsi="Times New Roman"/>
          <w:b/>
        </w:rPr>
        <w:t>toliau</w:t>
      </w:r>
      <w:r w:rsidRPr="002F4C6C">
        <w:rPr>
          <w:rFonts w:ascii="Times New Roman" w:hAnsi="Times New Roman"/>
          <w:b/>
        </w:rPr>
        <w:t xml:space="preserve"> išvardytų vaistų, nes Jums gali prireikti ypatingos priežiūros:</w:t>
      </w:r>
    </w:p>
    <w:p w:rsidR="00E250E1" w:rsidRPr="002F4C6C" w:rsidRDefault="00E250E1" w:rsidP="00681355">
      <w:pPr>
        <w:numPr>
          <w:ilvl w:val="0"/>
          <w:numId w:val="5"/>
        </w:numPr>
        <w:spacing w:after="0" w:line="240" w:lineRule="auto"/>
        <w:ind w:left="567" w:hanging="567"/>
        <w:rPr>
          <w:rFonts w:ascii="Times New Roman" w:hAnsi="Times New Roman"/>
        </w:rPr>
      </w:pPr>
      <w:r w:rsidRPr="002F4C6C">
        <w:rPr>
          <w:rFonts w:ascii="Times New Roman" w:hAnsi="Times New Roman"/>
        </w:rPr>
        <w:t>vaistai, kuriais dažniausiai gydomas viduriavimas (racekadotrilis) arba kurie vartojami, siekiant išvengti persodintų organų atmetimo (sirolimuzas, everolimuzas, temsirolimuzas ir kiti vaistai, kurie priklauso vaistų, vadinamų mTOR inhibitoriais, grupei, takrolimuzas ir vildaglip</w:t>
      </w:r>
      <w:r w:rsidR="00BB58CF" w:rsidRPr="002F4C6C">
        <w:rPr>
          <w:rFonts w:ascii="Times New Roman" w:hAnsi="Times New Roman"/>
        </w:rPr>
        <w:t>t</w:t>
      </w:r>
      <w:r w:rsidRPr="002F4C6C">
        <w:rPr>
          <w:rFonts w:ascii="Times New Roman" w:hAnsi="Times New Roman"/>
        </w:rPr>
        <w:t xml:space="preserve">inas), nes jie </w:t>
      </w:r>
      <w:r w:rsidR="00BB58CF" w:rsidRPr="002F4C6C">
        <w:rPr>
          <w:rFonts w:ascii="Times New Roman" w:hAnsi="Times New Roman"/>
        </w:rPr>
        <w:t xml:space="preserve"> </w:t>
      </w:r>
      <w:r w:rsidRPr="002F4C6C">
        <w:rPr>
          <w:rFonts w:ascii="Times New Roman" w:hAnsi="Times New Roman"/>
        </w:rPr>
        <w:t>gali padidinti sunkių alerginių reakcijų riziką</w:t>
      </w:r>
      <w:r w:rsidR="00681355" w:rsidRPr="002F4C6C">
        <w:rPr>
          <w:rFonts w:ascii="Times New Roman" w:hAnsi="Times New Roman"/>
        </w:rPr>
        <w:t xml:space="preserve"> (žr. skyrių „</w:t>
      </w:r>
      <w:r w:rsidR="00681355" w:rsidRPr="002F4C6C">
        <w:rPr>
          <w:rFonts w:ascii="Times New Roman" w:hAnsi="Times New Roman"/>
          <w:color w:val="000000"/>
        </w:rPr>
        <w:t>Įspėjimai ir atsargumo priemonės“)</w:t>
      </w:r>
      <w:r w:rsidRPr="002F4C6C">
        <w:rPr>
          <w:rFonts w:ascii="Times New Roman" w:hAnsi="Times New Roman"/>
        </w:rPr>
        <w:t>;</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kiti vaistai nuo aukšto kraujospūdžio, įskaitant angiotenzino II receptorių blokatorius (ARB, kurie žinomi sartanų pavadinimų, pvz. valsartaną, telmisartaną, irbesartaną), aliskireną arba diuretikus (vaistus, kurie didina inkstų išskiriamo šlapimo kiekį);</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nesteroidiniai vaistai nuo uždegimo (pvz., ibuprofenas) skausmui malšinti arba aspirinas (acetilsalicilo rūgštis)</w:t>
      </w:r>
      <w:r w:rsidR="00681355" w:rsidRPr="002F4C6C">
        <w:rPr>
          <w:rFonts w:ascii="Times New Roman" w:hAnsi="Times New Roman"/>
        </w:rPr>
        <w:t>, kuris yra daugelio vaistų, skirtų skausmui malšinti ir karščiavimui mažinti bei kraujo krešumui mažinti sudėtyje,</w:t>
      </w:r>
      <w:r w:rsidRPr="002F4C6C">
        <w:rPr>
          <w:rFonts w:ascii="Times New Roman" w:hAnsi="Times New Roman"/>
        </w:rPr>
        <w:t xml:space="preserve"> didelėmis dozėmis;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lastRenderedPageBreak/>
        <w:t>vaistai cukriniam diabetui gydyti (pvz., insulinas</w:t>
      </w:r>
      <w:r w:rsidR="00681355" w:rsidRPr="002F4C6C">
        <w:rPr>
          <w:rFonts w:ascii="Times New Roman" w:hAnsi="Times New Roman"/>
        </w:rPr>
        <w:t xml:space="preserve"> ir gliptinai</w:t>
      </w:r>
      <w:r w:rsidRPr="002F4C6C">
        <w:rPr>
          <w:rFonts w:ascii="Times New Roman" w:hAnsi="Times New Roman"/>
        </w:rPr>
        <w:t>,</w:t>
      </w:r>
      <w:r w:rsidR="00681355" w:rsidRPr="002F4C6C">
        <w:rPr>
          <w:rFonts w:ascii="Times New Roman" w:hAnsi="Times New Roman"/>
        </w:rPr>
        <w:t xml:space="preserve"> pvz. linagliptinas, saksagliptinas,</w:t>
      </w:r>
      <w:r w:rsidRPr="002F4C6C">
        <w:rPr>
          <w:rFonts w:ascii="Times New Roman" w:hAnsi="Times New Roman"/>
        </w:rPr>
        <w:t xml:space="preserve"> </w:t>
      </w:r>
      <w:r w:rsidR="00EF18E3">
        <w:rPr>
          <w:rFonts w:ascii="Times New Roman" w:hAnsi="Times New Roman"/>
        </w:rPr>
        <w:t xml:space="preserve">sitagliptinas, </w:t>
      </w:r>
      <w:r w:rsidRPr="002F4C6C">
        <w:rPr>
          <w:rFonts w:ascii="Times New Roman" w:hAnsi="Times New Roman"/>
        </w:rPr>
        <w:t>vildaglipt</w:t>
      </w:r>
      <w:r w:rsidR="00EF18E3">
        <w:rPr>
          <w:rFonts w:ascii="Times New Roman" w:hAnsi="Times New Roman"/>
        </w:rPr>
        <w:t>i</w:t>
      </w:r>
      <w:r w:rsidRPr="002F4C6C">
        <w:rPr>
          <w:rFonts w:ascii="Times New Roman" w:hAnsi="Times New Roman"/>
        </w:rPr>
        <w:t>nas);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 xml:space="preserve">vaistai psichikos sutrikimams, tokiems kaip depresija, nerimas, šizofrenija ir kt., gydyti (pvz., tricikliai antidepresantai, antipsichoziniai </w:t>
      </w:r>
      <w:r w:rsidR="00BB58CF" w:rsidRPr="002F4C6C">
        <w:rPr>
          <w:rFonts w:ascii="Times New Roman" w:hAnsi="Times New Roman"/>
        </w:rPr>
        <w:t>vaistai</w:t>
      </w:r>
      <w:r w:rsidRPr="002F4C6C">
        <w:rPr>
          <w:rFonts w:ascii="Times New Roman" w:hAnsi="Times New Roman"/>
        </w:rPr>
        <w:t>, imipramino tipo antidepresantai, neuroleptikai);</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imunosupresantai (vaistai, kurie susilpnina organizmo gynybos mechanizmą), vartojami autoimuniniams sutrikimams gydyti arba po transplantacijos operacijų (pvz., ciklosporinas, takrolimuzas);</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trimetoprimas ir kotrimoksazolas (vartojami infekcinėms ligoms gydyti);</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alopurinolis (podagrai gydyti);</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prokainamidas (nereguliariems širdies susitraukimams gydyti);</w:t>
      </w: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kraujagysles plečiantys vaistai, įskaitant nitratus;</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efedrinas, noradrenalinas ar adrenalinas (vaistai, vartojami žemam kraujospūdžiui, šokui ar astmai gydyti);</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baklofenas ar dantrolenas (infuzija), abu skiriami raumenų sustingimui mažinti, sergant tokiomis ligomis kaip išsėtinė sklerozė; dantrolenas taip pat vartojamas piktybinei hipertermijai (kuri pasireiškia labai dideliu karščiavimu ir raumenų sustingimu) gydyti narkozės metu;</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kai kurie antibiotikai bakterijų sukeltoms infekcinėms ligoms gydyti, tokie kaip rifampicinas, eritromicinas, klaritromicinas;</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antiepilepsiniai vaistai, tokie kaip karbamazepinas, fenobarbitalis, fenitoinas, fosfenitoinas, primidonas;</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itrakonazolas, ketokonazolas (vaistai, kuriais gydomos grybelinės infekcijos);</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 xml:space="preserve">alfa adrenoblokatoriai, vartojami padidėjusiai prostatai gydyti, tokie kaip prazozinas, alfuzozinas, doksazosinas, tamsulozinas, terazozinas; </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amifostinas (sustabdantis ar sumažinantis nepageidaujamą poveikį, kurį sukėlė kiti vaistai ar spindulinė terapija, taikoma vėžiui gydyti);</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kortikosteroidai (vartojami gydyti įvairiems sveikatos sutrikimams, įskaitant sunkią astmą ir reumatoidinį artritą);</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aukso druskos, ypač švirkščiamos į veną (vartojamos gydyti reumatoidinio artrito simptomams);</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ritonaviras, indinaviras, nelfinaviras (vadinamieji proteazės inhibitoriai, skirti ŽIV gydyti).</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simvastatinas (cholesterolio koncentracijas mažinantis vaistas);</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rPr>
        <w:t>sakubitrilis (vartojamas derinyje su valsartanu) lėtiniam širdies nepakankamumui gydyti;</w:t>
      </w:r>
    </w:p>
    <w:p w:rsidR="00E250E1" w:rsidRPr="002F4C6C" w:rsidRDefault="00E250E1">
      <w:pPr>
        <w:numPr>
          <w:ilvl w:val="0"/>
          <w:numId w:val="5"/>
        </w:numPr>
        <w:tabs>
          <w:tab w:val="left" w:pos="567"/>
        </w:tabs>
        <w:spacing w:after="0" w:line="240" w:lineRule="auto"/>
        <w:ind w:left="567" w:hanging="567"/>
        <w:rPr>
          <w:rFonts w:ascii="Times New Roman" w:hAnsi="Times New Roman"/>
        </w:rPr>
      </w:pPr>
      <w:r w:rsidRPr="002F4C6C">
        <w:rPr>
          <w:rFonts w:ascii="Times New Roman" w:hAnsi="Times New Roman"/>
          <w:i/>
        </w:rPr>
        <w:t xml:space="preserve">Hypericum perforatum </w:t>
      </w:r>
      <w:r w:rsidRPr="002F4C6C">
        <w:rPr>
          <w:rFonts w:ascii="Times New Roman" w:hAnsi="Times New Roman"/>
        </w:rPr>
        <w:t>(paprastųjų jonažolių preparatas, skirt</w:t>
      </w:r>
      <w:r w:rsidR="006C05F8" w:rsidRPr="002F4C6C">
        <w:rPr>
          <w:rFonts w:ascii="Times New Roman" w:hAnsi="Times New Roman"/>
        </w:rPr>
        <w:t>as</w:t>
      </w:r>
      <w:r w:rsidRPr="002F4C6C">
        <w:rPr>
          <w:rFonts w:ascii="Times New Roman" w:hAnsi="Times New Roman"/>
        </w:rPr>
        <w:t xml:space="preserve"> depresijai gydyti);</w:t>
      </w:r>
    </w:p>
    <w:p w:rsidR="00E250E1" w:rsidRPr="002F4C6C" w:rsidRDefault="00E250E1">
      <w:pPr>
        <w:spacing w:after="0" w:line="240" w:lineRule="auto"/>
        <w:rPr>
          <w:rFonts w:ascii="Times New Roman" w:eastAsia="Times New Roman" w:hAnsi="Times New Roman"/>
          <w:b/>
          <w:i/>
        </w:rPr>
      </w:pPr>
    </w:p>
    <w:p w:rsidR="00E250E1" w:rsidRPr="002F4C6C" w:rsidRDefault="00E250E1">
      <w:pPr>
        <w:spacing w:after="0" w:line="240" w:lineRule="auto"/>
        <w:rPr>
          <w:rFonts w:ascii="Times New Roman" w:hAnsi="Times New Roman"/>
        </w:rPr>
      </w:pPr>
      <w:r w:rsidRPr="002F4C6C">
        <w:rPr>
          <w:rFonts w:ascii="Times New Roman" w:eastAsia="Times New Roman" w:hAnsi="Times New Roman"/>
          <w:b/>
        </w:rPr>
        <w:t xml:space="preserve">Perindopril tosilate/Amlodipine Teva Pharma </w:t>
      </w:r>
      <w:r w:rsidRPr="002F4C6C">
        <w:rPr>
          <w:rFonts w:ascii="Times New Roman" w:hAnsi="Times New Roman"/>
          <w:b/>
        </w:rPr>
        <w:t>vartojimas su maistu ir gėrimais</w:t>
      </w:r>
    </w:p>
    <w:p w:rsidR="00E250E1" w:rsidRPr="002F4C6C" w:rsidRDefault="00E250E1">
      <w:pPr>
        <w:spacing w:after="0" w:line="240" w:lineRule="auto"/>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rekomenduojama gerti prieš valgį.</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Žmonės, kurie vartoja </w:t>
      </w:r>
      <w:r w:rsidRPr="002F4C6C">
        <w:rPr>
          <w:rFonts w:ascii="Times New Roman" w:eastAsia="Times New Roman" w:hAnsi="Times New Roman"/>
        </w:rPr>
        <w:t>Perindopril tosilate/Amlodipine Teva Pharma</w:t>
      </w:r>
      <w:r w:rsidRPr="002F4C6C">
        <w:rPr>
          <w:rFonts w:ascii="Times New Roman" w:hAnsi="Times New Roman"/>
        </w:rPr>
        <w:t>, netur</w:t>
      </w:r>
      <w:r w:rsidR="006C05F8" w:rsidRPr="002F4C6C">
        <w:rPr>
          <w:rFonts w:ascii="Times New Roman" w:hAnsi="Times New Roman"/>
        </w:rPr>
        <w:t>i</w:t>
      </w:r>
      <w:r w:rsidRPr="002F4C6C">
        <w:rPr>
          <w:rFonts w:ascii="Times New Roman" w:hAnsi="Times New Roman"/>
        </w:rPr>
        <w:t xml:space="preserve"> vartoti greipfrutų sulčių ir greipfrutų. Greipfrutai ir greipfrutų sultys gali padidinti veikliosios medžiagos amlodipino koncentraciją kraujyje, kuri gali sukelti nenuspėjamą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 xml:space="preserve">kraujospūdį mažinančio poveikio padidėjimą. </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Nėštumas, žindymo laikotarpis ir vaisingumas</w:t>
      </w:r>
    </w:p>
    <w:p w:rsidR="00E250E1" w:rsidRPr="002F4C6C" w:rsidRDefault="00E250E1">
      <w:pPr>
        <w:spacing w:after="0" w:line="240" w:lineRule="auto"/>
        <w:rPr>
          <w:rFonts w:ascii="Times New Roman" w:hAnsi="Times New Roman"/>
        </w:rPr>
      </w:pPr>
      <w:r w:rsidRPr="002F4C6C">
        <w:rPr>
          <w:rFonts w:ascii="Times New Roman" w:hAnsi="Times New Roman"/>
        </w:rPr>
        <w:t>Jeigu esate nėščia, žindote kūdikį, manote, kad galbūt esate nėščia, arba planuojate pastoti, tai prieš vartodama šį vaistą, pasitarkite su gydytoju arba vaistininku.</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
        </w:rPr>
        <w:t>Nėštumas</w:t>
      </w:r>
    </w:p>
    <w:p w:rsidR="00E250E1" w:rsidRPr="002F4C6C" w:rsidRDefault="00E250E1">
      <w:pPr>
        <w:spacing w:after="0" w:line="240" w:lineRule="auto"/>
        <w:rPr>
          <w:rFonts w:ascii="Times New Roman" w:hAnsi="Times New Roman"/>
        </w:rPr>
      </w:pPr>
      <w:r w:rsidRPr="002F4C6C">
        <w:rPr>
          <w:rFonts w:ascii="Times New Roman" w:hAnsi="Times New Roman"/>
        </w:rPr>
        <w:t xml:space="preserve">Jeigu esate nėščia </w:t>
      </w:r>
      <w:r w:rsidRPr="002F4C6C">
        <w:rPr>
          <w:rFonts w:ascii="Times New Roman" w:hAnsi="Times New Roman"/>
          <w:i/>
        </w:rPr>
        <w:t>(manote, kad galite būti pastojusi</w:t>
      </w:r>
      <w:r w:rsidRPr="002F4C6C">
        <w:rPr>
          <w:rFonts w:ascii="Times New Roman" w:hAnsi="Times New Roman"/>
        </w:rPr>
        <w:t xml:space="preserve">), pasakykite apie tai gydytojui. Jūsų gydytojas nurodys Jums nebevartoti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prieš planuojant pastojimą arba iš karto sužinojus apie nėštumą ir vietoje jo paskirs kitą vaist</w:t>
      </w:r>
      <w:r w:rsidR="006C05F8" w:rsidRPr="002F4C6C">
        <w:rPr>
          <w:rFonts w:ascii="Times New Roman" w:hAnsi="Times New Roman"/>
        </w:rPr>
        <w:t>ą</w:t>
      </w:r>
      <w:r w:rsidRPr="002F4C6C">
        <w:rPr>
          <w:rFonts w:ascii="Times New Roman" w:hAnsi="Times New Roman"/>
        </w:rPr>
        <w:t>. Perindopril Teva yra nerekomenduojama vartoti ankstyvojo nėštumo laikotarpiu ir jo negalima vartoti, jei nėštumas trunka daugiau kaip tris mėnesius, nes tuomet jis gali labai pakenkti Jūsų kūdikiui.</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
        </w:rPr>
        <w:t>Žindymo laikotarpis</w:t>
      </w:r>
    </w:p>
    <w:p w:rsidR="00E250E1" w:rsidRPr="002F4C6C" w:rsidRDefault="00E250E1">
      <w:pPr>
        <w:tabs>
          <w:tab w:val="left" w:pos="720"/>
        </w:tabs>
        <w:autoSpaceDE w:val="0"/>
        <w:spacing w:after="0" w:line="240" w:lineRule="auto"/>
        <w:rPr>
          <w:rFonts w:ascii="Times New Roman" w:hAnsi="Times New Roman"/>
        </w:rPr>
      </w:pPr>
      <w:r w:rsidRPr="002F4C6C">
        <w:rPr>
          <w:rFonts w:ascii="Times New Roman" w:eastAsia="MS Mincho" w:hAnsi="Times New Roman"/>
          <w:lang w:eastAsia="lt-LT"/>
        </w:rPr>
        <w:lastRenderedPageBreak/>
        <w:t xml:space="preserve">Nustatyta, kad nedidelis kiekis amlodipino patenka į motinos pieną. </w:t>
      </w:r>
      <w:r w:rsidRPr="002F4C6C">
        <w:rPr>
          <w:rFonts w:ascii="Times New Roman" w:hAnsi="Times New Roman"/>
        </w:rPr>
        <w:t xml:space="preserve">Pasakykite savo gydytojui, jei žindote kūdikį ar ruošiatės pradėti tai daryti.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nerekomenduojamas žindyvėms. Jei motina nori maitinti krūtimi, gydytojas gali paskirti kitą vaistą, ypač jei norima žindyti naujagimį arba prieš laiką gimusį kūdikį.</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Vairavimas ir mechanizmų valdymas</w:t>
      </w:r>
    </w:p>
    <w:p w:rsidR="00E250E1" w:rsidRPr="002F4C6C" w:rsidRDefault="00E250E1">
      <w:pPr>
        <w:spacing w:after="0" w:line="240" w:lineRule="auto"/>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gali paveikti Jūsų gebėjimą vairuoti arba valdyti mechanizmus. Jeigu nuo tablečių negaluojate, svaigsta galva, jaučiatės silpnai ar pavargę, skauda galvą, nevairuokite arba nevaldykite mechanizmų ir nedelsdami kreipkitės į gydytoją.</w:t>
      </w:r>
    </w:p>
    <w:p w:rsidR="00E250E1" w:rsidRPr="002F4C6C" w:rsidRDefault="00E250E1">
      <w:pPr>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eastAsia="Times New Roman" w:hAnsi="Times New Roman"/>
          <w:b/>
        </w:rPr>
        <w:t xml:space="preserve">Perindopril tosilate/Amlodipine Teva Pharma </w:t>
      </w:r>
      <w:r w:rsidR="006C05F8" w:rsidRPr="002F4C6C">
        <w:rPr>
          <w:rFonts w:ascii="Times New Roman" w:eastAsia="Times New Roman" w:hAnsi="Times New Roman"/>
          <w:b/>
        </w:rPr>
        <w:t xml:space="preserve">sudėtyje </w:t>
      </w:r>
      <w:r w:rsidRPr="002F4C6C">
        <w:rPr>
          <w:rFonts w:ascii="Times New Roman" w:hAnsi="Times New Roman"/>
          <w:b/>
        </w:rPr>
        <w:t>yra natrio</w:t>
      </w:r>
    </w:p>
    <w:p w:rsidR="00E250E1" w:rsidRPr="002F4C6C" w:rsidRDefault="00E250E1">
      <w:pPr>
        <w:spacing w:after="0" w:line="240" w:lineRule="auto"/>
        <w:rPr>
          <w:rFonts w:ascii="Times New Roman" w:hAnsi="Times New Roman"/>
        </w:rPr>
      </w:pPr>
      <w:r w:rsidRPr="002F4C6C">
        <w:rPr>
          <w:rFonts w:ascii="Times New Roman" w:hAnsi="Times New Roman"/>
        </w:rPr>
        <w:t>Šio vaisto vienoje tabletėje yra mažiau kaip 1 mmol (23 mg) natrio, t. y. jis beveik neturi reikšmės.</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eastAsia="Times New Roman" w:hAnsi="Times New Roman"/>
          <w:b/>
        </w:rPr>
        <w:t xml:space="preserve">Perindopril tosilate/Amlodipine Teva Pharma </w:t>
      </w:r>
      <w:r w:rsidRPr="002F4C6C">
        <w:rPr>
          <w:rFonts w:ascii="Times New Roman" w:hAnsi="Times New Roman"/>
          <w:b/>
        </w:rPr>
        <w:t>sudėtyje yra izomalto</w:t>
      </w:r>
    </w:p>
    <w:p w:rsidR="00E250E1" w:rsidRPr="002F4C6C" w:rsidRDefault="00E250E1">
      <w:pPr>
        <w:spacing w:after="0" w:line="240" w:lineRule="auto"/>
        <w:rPr>
          <w:rFonts w:ascii="Times New Roman" w:hAnsi="Times New Roman"/>
        </w:rPr>
      </w:pPr>
      <w:r w:rsidRPr="002F4C6C">
        <w:rPr>
          <w:rFonts w:ascii="Times New Roman" w:hAnsi="Times New Roman"/>
        </w:rPr>
        <w:t>Jeigu gydytojas Jums yra sakęs, kad netoleruojate kokių nors angliavandenių, kreipkitės į jį prieš pradėdami vartoti šį vaistą.</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3.</w:t>
      </w:r>
      <w:r w:rsidRPr="002F4C6C">
        <w:rPr>
          <w:rFonts w:ascii="Times New Roman" w:hAnsi="Times New Roman"/>
          <w:b/>
        </w:rPr>
        <w:tab/>
        <w:t xml:space="preserve">Kaip vartoti </w:t>
      </w:r>
      <w:r w:rsidRPr="002F4C6C">
        <w:rPr>
          <w:rFonts w:ascii="Times New Roman" w:eastAsia="Times New Roman" w:hAnsi="Times New Roman"/>
          <w:b/>
        </w:rPr>
        <w:t>Perindopril tosilate/Amlodipine Teva Pharma</w:t>
      </w:r>
    </w:p>
    <w:p w:rsidR="00E250E1" w:rsidRPr="002F4C6C" w:rsidRDefault="00E250E1">
      <w:pPr>
        <w:spacing w:after="0" w:line="240" w:lineRule="auto"/>
        <w:rPr>
          <w:rFonts w:ascii="Times New Roman" w:hAnsi="Times New Roman"/>
          <w:b/>
          <w:caps/>
        </w:rPr>
      </w:pPr>
    </w:p>
    <w:p w:rsidR="00E250E1" w:rsidRPr="002F4C6C" w:rsidRDefault="00E250E1">
      <w:pPr>
        <w:spacing w:after="0" w:line="240" w:lineRule="auto"/>
        <w:rPr>
          <w:rFonts w:ascii="Times New Roman" w:hAnsi="Times New Roman"/>
        </w:rPr>
      </w:pPr>
      <w:r w:rsidRPr="002F4C6C">
        <w:rPr>
          <w:rFonts w:ascii="Times New Roman" w:hAnsi="Times New Roman"/>
        </w:rPr>
        <w:t>Šį vaistą visada vartokite tiksliai, kaip nurodė gydytojas. Jeigu abejojate, kreipkitės į gydytoją arba vaistininką.</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Tabletę nurykite užsigerdami stikline vandens, patartina tuo pačiu paros metu, ryte, prieš pusryčius.</w:t>
      </w:r>
    </w:p>
    <w:p w:rsidR="00E250E1" w:rsidRPr="002F4C6C" w:rsidRDefault="00E250E1">
      <w:pPr>
        <w:spacing w:after="0" w:line="240" w:lineRule="auto"/>
        <w:rPr>
          <w:rFonts w:ascii="Times New Roman" w:hAnsi="Times New Roman"/>
        </w:rPr>
      </w:pPr>
      <w:r w:rsidRPr="002F4C6C">
        <w:rPr>
          <w:rFonts w:ascii="Times New Roman" w:hAnsi="Times New Roman"/>
        </w:rPr>
        <w:t>Gydytojas nuspręs, kokia dozė yra Jums tinkama. Paprastai vartojama viena tabletė per parą.</w:t>
      </w:r>
    </w:p>
    <w:p w:rsidR="00E250E1" w:rsidRPr="002F4C6C" w:rsidRDefault="00E250E1">
      <w:pPr>
        <w:spacing w:after="0" w:line="240" w:lineRule="auto"/>
        <w:rPr>
          <w:rFonts w:ascii="Times New Roman" w:eastAsia="Times New Roman" w:hAnsi="Times New Roman"/>
        </w:rPr>
      </w:pPr>
    </w:p>
    <w:p w:rsidR="00E250E1" w:rsidRPr="002F4C6C" w:rsidRDefault="00E250E1">
      <w:pPr>
        <w:spacing w:after="0" w:line="240" w:lineRule="auto"/>
        <w:rPr>
          <w:rFonts w:ascii="Times New Roman" w:hAnsi="Times New Roman"/>
        </w:rPr>
      </w:pP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paprastai skiriamas pacientams, kurie jau vartoja perindoprilį ir amlodipiną skirtingomis tabletėmis.</w:t>
      </w:r>
    </w:p>
    <w:p w:rsidR="00E250E1" w:rsidRPr="002F4C6C" w:rsidRDefault="00E250E1">
      <w:pPr>
        <w:spacing w:after="0" w:line="240" w:lineRule="auto"/>
        <w:ind w:left="567" w:hanging="567"/>
        <w:rPr>
          <w:rFonts w:ascii="Times New Roman" w:hAnsi="Times New Roman"/>
          <w:b/>
          <w:color w:val="000000"/>
        </w:rPr>
      </w:pPr>
    </w:p>
    <w:p w:rsidR="00681355" w:rsidRPr="002F4C6C" w:rsidRDefault="00681355">
      <w:pPr>
        <w:spacing w:after="0" w:line="240" w:lineRule="auto"/>
        <w:ind w:left="567" w:hanging="567"/>
        <w:rPr>
          <w:rFonts w:ascii="Times New Roman" w:hAnsi="Times New Roman"/>
          <w:b/>
          <w:color w:val="000000"/>
        </w:rPr>
      </w:pPr>
      <w:r w:rsidRPr="002F4C6C">
        <w:rPr>
          <w:rFonts w:ascii="Times New Roman" w:hAnsi="Times New Roman"/>
          <w:b/>
          <w:color w:val="000000"/>
        </w:rPr>
        <w:t>Vartojimas vaikams ir paaugliams</w:t>
      </w:r>
    </w:p>
    <w:p w:rsidR="00681355" w:rsidRPr="002F4C6C" w:rsidRDefault="00681355">
      <w:pPr>
        <w:spacing w:after="0" w:line="240" w:lineRule="auto"/>
        <w:ind w:left="567" w:hanging="567"/>
        <w:rPr>
          <w:rFonts w:ascii="Times New Roman" w:hAnsi="Times New Roman"/>
          <w:color w:val="000000"/>
        </w:rPr>
      </w:pPr>
      <w:r w:rsidRPr="002F4C6C">
        <w:rPr>
          <w:rFonts w:ascii="Times New Roman" w:hAnsi="Times New Roman"/>
          <w:color w:val="000000"/>
        </w:rPr>
        <w:t>Vaikams ir paaugliams vartoti nerekomenduojama.</w:t>
      </w:r>
    </w:p>
    <w:p w:rsidR="00681355" w:rsidRPr="002F4C6C" w:rsidRDefault="00681355">
      <w:pPr>
        <w:spacing w:after="0" w:line="240" w:lineRule="auto"/>
        <w:ind w:left="567" w:hanging="567"/>
        <w:rPr>
          <w:rFonts w:ascii="Times New Roman" w:hAnsi="Times New Roman"/>
          <w:color w:val="000000"/>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color w:val="000000"/>
        </w:rPr>
        <w:t xml:space="preserve">Ką daryti pavartojus per didelę </w:t>
      </w:r>
      <w:r w:rsidRPr="002F4C6C">
        <w:rPr>
          <w:rFonts w:ascii="Times New Roman" w:eastAsia="Times New Roman" w:hAnsi="Times New Roman"/>
          <w:b/>
        </w:rPr>
        <w:t xml:space="preserve">Perindopril tosilate/Amlodipine Teva Pharma </w:t>
      </w:r>
      <w:r w:rsidRPr="002F4C6C">
        <w:rPr>
          <w:rFonts w:ascii="Times New Roman" w:hAnsi="Times New Roman"/>
          <w:b/>
        </w:rPr>
        <w:t>dozę</w:t>
      </w:r>
    </w:p>
    <w:p w:rsidR="00E250E1" w:rsidRPr="002F4C6C" w:rsidRDefault="00E250E1">
      <w:pPr>
        <w:spacing w:after="0" w:line="240" w:lineRule="auto"/>
        <w:rPr>
          <w:rFonts w:ascii="Times New Roman" w:hAnsi="Times New Roman"/>
        </w:rPr>
      </w:pPr>
      <w:r w:rsidRPr="002F4C6C">
        <w:rPr>
          <w:rFonts w:ascii="Times New Roman" w:hAnsi="Times New Roman"/>
        </w:rPr>
        <w:t xml:space="preserve">Pavartojus per daug tablečių, būtina </w:t>
      </w:r>
      <w:r w:rsidRPr="002F4C6C">
        <w:rPr>
          <w:rFonts w:ascii="Times New Roman" w:hAnsi="Times New Roman"/>
          <w:b/>
        </w:rPr>
        <w:t>tuoj pat</w:t>
      </w:r>
      <w:r w:rsidRPr="002F4C6C">
        <w:rPr>
          <w:rFonts w:ascii="Times New Roman" w:hAnsi="Times New Roman"/>
        </w:rPr>
        <w:t xml:space="preserve"> kreiptis į artimiausios ligoninės skubios pagalbos skyrių arba nedelsiant pasakyti gydytojui. Labiausiai tikėtini perdozavimo simptomai susiję su žemu kraujospūdžiu, dėl kurio galite jausti galvos svaigulį arba apalpti. Jei taip atsitiktų, atsigulkite, kad kojos būtų pakeltos aukščiau. Tai turėtų padėti.</w:t>
      </w:r>
    </w:p>
    <w:p w:rsidR="0069375B" w:rsidRPr="002F4C6C" w:rsidRDefault="0069375B">
      <w:pPr>
        <w:spacing w:after="0" w:line="240" w:lineRule="auto"/>
        <w:ind w:left="567" w:hanging="567"/>
        <w:rPr>
          <w:rFonts w:ascii="Times New Roman" w:hAnsi="Times New Roman"/>
        </w:rPr>
      </w:pPr>
      <w:r w:rsidRPr="002F4C6C">
        <w:rPr>
          <w:rFonts w:ascii="Times New Roman" w:hAnsi="Times New Roman"/>
        </w:rPr>
        <w:t xml:space="preserve">Jūsų plaučiuose gali kauptis skystis (plaučių edema), sukeldamas dusulį, kuris gali išsivystyti per 24 – 48 </w:t>
      </w:r>
    </w:p>
    <w:p w:rsidR="00E250E1" w:rsidRPr="002F4C6C" w:rsidRDefault="0069375B">
      <w:pPr>
        <w:spacing w:after="0" w:line="240" w:lineRule="auto"/>
        <w:ind w:left="567" w:hanging="567"/>
        <w:rPr>
          <w:rFonts w:ascii="Times New Roman" w:hAnsi="Times New Roman"/>
        </w:rPr>
      </w:pPr>
      <w:r w:rsidRPr="002F4C6C">
        <w:rPr>
          <w:rFonts w:ascii="Times New Roman" w:hAnsi="Times New Roman"/>
        </w:rPr>
        <w:t>valandas nuo vaisto pavartojimo.</w:t>
      </w:r>
    </w:p>
    <w:p w:rsidR="0069375B" w:rsidRPr="002F4C6C" w:rsidRDefault="0069375B">
      <w:pPr>
        <w:spacing w:after="0" w:line="240" w:lineRule="auto"/>
        <w:ind w:left="567" w:hanging="567"/>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 xml:space="preserve">Pamiršus pavartoti </w:t>
      </w:r>
      <w:r w:rsidRPr="002F4C6C">
        <w:rPr>
          <w:rFonts w:ascii="Times New Roman" w:eastAsia="Times New Roman" w:hAnsi="Times New Roman"/>
          <w:b/>
        </w:rPr>
        <w:t xml:space="preserve">Perindopril tosilate/Amlodipine Teva Pharma </w:t>
      </w:r>
    </w:p>
    <w:p w:rsidR="00E250E1" w:rsidRPr="002F4C6C" w:rsidRDefault="00E250E1">
      <w:pPr>
        <w:spacing w:after="0" w:line="240" w:lineRule="auto"/>
        <w:rPr>
          <w:rFonts w:ascii="Times New Roman" w:hAnsi="Times New Roman"/>
        </w:rPr>
      </w:pPr>
      <w:r w:rsidRPr="002F4C6C">
        <w:rPr>
          <w:rFonts w:ascii="Times New Roman" w:hAnsi="Times New Roman"/>
        </w:rPr>
        <w:t xml:space="preserve">Svarbu vaistą gerti kiekvieną dieną, nes reguliaraus gydymo poveikis yra geresnis. Tačiau jei pamiršote išgerti vieną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dozę, kitą dozę išgerkite įprastu laiku. Negalima vartoti dvigubos dozės norint kompensuoti praleistą dozę.</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right="-2"/>
        <w:rPr>
          <w:rFonts w:ascii="Times New Roman" w:hAnsi="Times New Roman"/>
        </w:rPr>
      </w:pPr>
      <w:r w:rsidRPr="002F4C6C">
        <w:rPr>
          <w:rFonts w:ascii="Times New Roman" w:hAnsi="Times New Roman"/>
          <w:b/>
        </w:rPr>
        <w:t xml:space="preserve">Nustojus vartoti </w:t>
      </w:r>
      <w:r w:rsidRPr="002F4C6C">
        <w:rPr>
          <w:rFonts w:ascii="Times New Roman" w:eastAsia="Times New Roman" w:hAnsi="Times New Roman"/>
          <w:b/>
        </w:rPr>
        <w:t>Perindopril tosilate/Amlodipine Teva Pharma</w:t>
      </w:r>
    </w:p>
    <w:p w:rsidR="00E250E1" w:rsidRPr="002F4C6C" w:rsidRDefault="00E250E1">
      <w:pPr>
        <w:spacing w:after="0" w:line="240" w:lineRule="auto"/>
        <w:ind w:right="-2"/>
        <w:rPr>
          <w:rFonts w:ascii="Times New Roman" w:hAnsi="Times New Roman"/>
        </w:rPr>
      </w:pPr>
      <w:r w:rsidRPr="002F4C6C">
        <w:rPr>
          <w:rFonts w:ascii="Times New Roman" w:hAnsi="Times New Roman"/>
        </w:rPr>
        <w:t xml:space="preserve">Gydymas </w:t>
      </w:r>
      <w:r w:rsidRPr="002F4C6C">
        <w:rPr>
          <w:rFonts w:ascii="Times New Roman" w:eastAsia="Times New Roman" w:hAnsi="Times New Roman"/>
        </w:rPr>
        <w:t>Perindopril tosilate/Amlodipine Teva Pharma</w:t>
      </w:r>
      <w:r w:rsidRPr="002F4C6C">
        <w:rPr>
          <w:rFonts w:ascii="Times New Roman" w:eastAsia="Times New Roman" w:hAnsi="Times New Roman"/>
          <w:b/>
        </w:rPr>
        <w:t xml:space="preserve"> </w:t>
      </w:r>
      <w:r w:rsidRPr="002F4C6C">
        <w:rPr>
          <w:rFonts w:ascii="Times New Roman" w:hAnsi="Times New Roman"/>
        </w:rPr>
        <w:t>paprastai tęsiasi ilgai, todėl prieš nustodami vartoti šį vaist</w:t>
      </w:r>
      <w:r w:rsidR="006C05F8" w:rsidRPr="002F4C6C">
        <w:rPr>
          <w:rFonts w:ascii="Times New Roman" w:hAnsi="Times New Roman"/>
        </w:rPr>
        <w:t>ą</w:t>
      </w:r>
      <w:r w:rsidRPr="002F4C6C">
        <w:rPr>
          <w:rFonts w:ascii="Times New Roman" w:hAnsi="Times New Roman"/>
        </w:rPr>
        <w:t xml:space="preserve"> pasitarkite su gydytoju.</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Jeigu kiltų daugiau klausimų dėl šio vaisto vartojimo, kreipkitės į gydytoją arba vaistininką.</w:t>
      </w: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caps/>
        </w:rPr>
        <w:lastRenderedPageBreak/>
        <w:t>4.</w:t>
      </w:r>
      <w:r w:rsidRPr="002F4C6C">
        <w:rPr>
          <w:rFonts w:ascii="Times New Roman" w:hAnsi="Times New Roman"/>
          <w:b/>
          <w:caps/>
        </w:rPr>
        <w:tab/>
      </w:r>
      <w:r w:rsidRPr="002F4C6C">
        <w:rPr>
          <w:rFonts w:ascii="Times New Roman" w:hAnsi="Times New Roman"/>
          <w:b/>
        </w:rPr>
        <w:t>Galimas šalutinis poveikis</w:t>
      </w:r>
    </w:p>
    <w:p w:rsidR="00E250E1" w:rsidRPr="002F4C6C" w:rsidRDefault="00E250E1">
      <w:pPr>
        <w:spacing w:after="0" w:line="240" w:lineRule="auto"/>
        <w:ind w:left="567" w:hanging="567"/>
        <w:rPr>
          <w:rFonts w:ascii="Times New Roman" w:hAnsi="Times New Roman"/>
          <w:b/>
          <w:caps/>
        </w:rPr>
      </w:pPr>
    </w:p>
    <w:p w:rsidR="00E250E1" w:rsidRPr="002F4C6C" w:rsidRDefault="00E250E1">
      <w:pPr>
        <w:spacing w:after="0" w:line="240" w:lineRule="auto"/>
        <w:rPr>
          <w:rFonts w:ascii="Times New Roman" w:hAnsi="Times New Roman"/>
        </w:rPr>
      </w:pPr>
      <w:r w:rsidRPr="002F4C6C">
        <w:rPr>
          <w:rFonts w:ascii="Times New Roman" w:hAnsi="Times New Roman"/>
        </w:rPr>
        <w:t>Šis vaistas, kaip ir visi kiti, gali sukelti šalutinį poveikį, nors jis pasireiškia ne visiems žmonėms.</w:t>
      </w: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ind w:right="-2"/>
        <w:rPr>
          <w:rFonts w:ascii="Times New Roman" w:hAnsi="Times New Roman"/>
        </w:rPr>
      </w:pPr>
      <w:r w:rsidRPr="002F4C6C">
        <w:rPr>
          <w:rFonts w:ascii="Times New Roman" w:hAnsi="Times New Roman"/>
        </w:rPr>
        <w:t xml:space="preserve">Šio vaisto vartojimą nutraukite ir </w:t>
      </w:r>
      <w:r w:rsidRPr="002F4C6C">
        <w:rPr>
          <w:rFonts w:ascii="Times New Roman" w:hAnsi="Times New Roman"/>
          <w:b/>
        </w:rPr>
        <w:t xml:space="preserve">nedelsdami </w:t>
      </w:r>
      <w:r w:rsidRPr="002F4C6C">
        <w:rPr>
          <w:rFonts w:ascii="Times New Roman" w:hAnsi="Times New Roman"/>
        </w:rPr>
        <w:t>kreipkitės į gydytoją, jeigu atsiranda bent vienas iš toliau išvardytų simptomų:</w:t>
      </w:r>
    </w:p>
    <w:p w:rsidR="00E250E1" w:rsidRPr="002F4C6C" w:rsidRDefault="00E250E1">
      <w:pPr>
        <w:tabs>
          <w:tab w:val="left" w:pos="540"/>
        </w:tabs>
        <w:spacing w:after="0" w:line="240" w:lineRule="auto"/>
        <w:ind w:right="-2"/>
        <w:rPr>
          <w:rFonts w:ascii="Times New Roman" w:hAnsi="Times New Roman"/>
        </w:rPr>
      </w:pPr>
      <w:r w:rsidRPr="002F4C6C">
        <w:rPr>
          <w:rFonts w:ascii="Times New Roman" w:hAnsi="Times New Roman"/>
        </w:rPr>
        <w:t>-</w:t>
      </w:r>
      <w:r w:rsidRPr="002F4C6C">
        <w:rPr>
          <w:rFonts w:ascii="Times New Roman" w:hAnsi="Times New Roman"/>
        </w:rPr>
        <w:tab/>
        <w:t>dėl žemo kraujospūdžio svaigsta galva arba alpstate</w:t>
      </w:r>
    </w:p>
    <w:p w:rsidR="00E250E1" w:rsidRPr="002F4C6C" w:rsidRDefault="00E250E1">
      <w:pPr>
        <w:pStyle w:val="ListParagraph1"/>
        <w:numPr>
          <w:ilvl w:val="0"/>
          <w:numId w:val="2"/>
        </w:numPr>
        <w:spacing w:after="0" w:line="240" w:lineRule="auto"/>
        <w:ind w:left="567" w:hanging="567"/>
        <w:rPr>
          <w:rFonts w:ascii="Times New Roman" w:hAnsi="Times New Roman"/>
        </w:rPr>
      </w:pPr>
      <w:r w:rsidRPr="002F4C6C">
        <w:rPr>
          <w:rFonts w:ascii="Times New Roman" w:hAnsi="Times New Roman"/>
        </w:rPr>
        <w:t>staigus švokštimas kvėpuojant, skausmas krūtinėje, dusulys, sunkumas kvėpuoti</w:t>
      </w:r>
      <w:r w:rsidR="00FF124E" w:rsidRPr="002F4C6C">
        <w:rPr>
          <w:rFonts w:ascii="Times New Roman" w:hAnsi="Times New Roman"/>
        </w:rPr>
        <w:t>;</w:t>
      </w:r>
    </w:p>
    <w:p w:rsidR="00E250E1" w:rsidRPr="002F4C6C" w:rsidRDefault="00E250E1">
      <w:pPr>
        <w:pStyle w:val="ListParagraph1"/>
        <w:numPr>
          <w:ilvl w:val="0"/>
          <w:numId w:val="2"/>
        </w:numPr>
        <w:spacing w:after="0" w:line="240" w:lineRule="auto"/>
        <w:ind w:left="567" w:hanging="567"/>
        <w:rPr>
          <w:rFonts w:ascii="Times New Roman" w:hAnsi="Times New Roman"/>
        </w:rPr>
      </w:pPr>
      <w:r w:rsidRPr="002F4C6C">
        <w:rPr>
          <w:rFonts w:ascii="Times New Roman" w:hAnsi="Times New Roman"/>
        </w:rPr>
        <w:t>akių vokų, veido ar lūpų patinimas</w:t>
      </w:r>
      <w:r w:rsidR="00FF124E" w:rsidRPr="002F4C6C">
        <w:rPr>
          <w:rFonts w:ascii="Times New Roman" w:hAnsi="Times New Roman"/>
        </w:rPr>
        <w:t>;</w:t>
      </w:r>
    </w:p>
    <w:p w:rsidR="00E7680A" w:rsidRPr="002F4C6C" w:rsidRDefault="00FF124E">
      <w:pPr>
        <w:pStyle w:val="ListParagraph1"/>
        <w:numPr>
          <w:ilvl w:val="0"/>
          <w:numId w:val="2"/>
        </w:numPr>
        <w:spacing w:after="0" w:line="240" w:lineRule="auto"/>
        <w:ind w:left="567" w:hanging="567"/>
        <w:rPr>
          <w:rFonts w:ascii="Times New Roman" w:hAnsi="Times New Roman"/>
        </w:rPr>
      </w:pPr>
      <w:r w:rsidRPr="002F4C6C">
        <w:rPr>
          <w:rFonts w:ascii="Times New Roman" w:hAnsi="Times New Roman"/>
        </w:rPr>
        <w:t xml:space="preserve">lūpų, </w:t>
      </w:r>
      <w:r w:rsidR="00E250E1" w:rsidRPr="002F4C6C">
        <w:rPr>
          <w:rFonts w:ascii="Times New Roman" w:hAnsi="Times New Roman"/>
        </w:rPr>
        <w:t>liežuvio ir gerklų tinimas, kuris apsunkina kvėpavimą</w:t>
      </w:r>
      <w:r w:rsidR="00681355" w:rsidRPr="002F4C6C">
        <w:rPr>
          <w:rFonts w:ascii="Times New Roman" w:hAnsi="Times New Roman"/>
        </w:rPr>
        <w:t>.</w:t>
      </w:r>
    </w:p>
    <w:p w:rsidR="00E250E1" w:rsidRPr="002F4C6C" w:rsidRDefault="00E250E1">
      <w:pPr>
        <w:pStyle w:val="ListParagraph1"/>
        <w:numPr>
          <w:ilvl w:val="0"/>
          <w:numId w:val="7"/>
        </w:numPr>
        <w:spacing w:after="0" w:line="240" w:lineRule="auto"/>
        <w:ind w:left="567" w:hanging="567"/>
        <w:rPr>
          <w:rFonts w:ascii="Times New Roman" w:hAnsi="Times New Roman"/>
        </w:rPr>
      </w:pPr>
      <w:r w:rsidRPr="002F4C6C">
        <w:rPr>
          <w:rFonts w:ascii="Times New Roman" w:hAnsi="Times New Roman"/>
        </w:rPr>
        <w:t xml:space="preserve">sunkios odos reakcijos, įskaitant intensyvų odos </w:t>
      </w:r>
      <w:r w:rsidR="00FF124E" w:rsidRPr="002F4C6C">
        <w:rPr>
          <w:rFonts w:ascii="Times New Roman" w:hAnsi="Times New Roman"/>
        </w:rPr>
        <w:t>iš</w:t>
      </w:r>
      <w:r w:rsidRPr="002F4C6C">
        <w:rPr>
          <w:rFonts w:ascii="Times New Roman" w:hAnsi="Times New Roman"/>
        </w:rPr>
        <w:t>bėrimą, dilgėlinę, viso kūno odos paraudimą</w:t>
      </w:r>
      <w:r w:rsidR="00FF124E" w:rsidRPr="002F4C6C">
        <w:rPr>
          <w:rFonts w:ascii="Times New Roman" w:hAnsi="Times New Roman"/>
        </w:rPr>
        <w:t>;</w:t>
      </w:r>
      <w:r w:rsidRPr="002F4C6C">
        <w:rPr>
          <w:rFonts w:ascii="Times New Roman" w:hAnsi="Times New Roman"/>
        </w:rPr>
        <w:t xml:space="preserve"> sunkų niežulį, pūslelių ant odos atsiradimą, odos lupimąsi ir tinimą, gleivinių uždegimą (Stivenso ir Džonsono sindromas, toksinė epidermio nekrolizė) arba kitas alergines reakcijas</w:t>
      </w:r>
      <w:r w:rsidR="00FF124E" w:rsidRPr="002F4C6C">
        <w:rPr>
          <w:rFonts w:ascii="Times New Roman" w:hAnsi="Times New Roman"/>
        </w:rPr>
        <w:t>;</w:t>
      </w:r>
    </w:p>
    <w:p w:rsidR="00E250E1" w:rsidRPr="002F4C6C" w:rsidRDefault="00E250E1">
      <w:pPr>
        <w:pStyle w:val="ListParagraph1"/>
        <w:numPr>
          <w:ilvl w:val="0"/>
          <w:numId w:val="7"/>
        </w:numPr>
        <w:spacing w:after="0" w:line="240" w:lineRule="auto"/>
        <w:ind w:left="567" w:hanging="567"/>
        <w:rPr>
          <w:rFonts w:ascii="Times New Roman" w:hAnsi="Times New Roman"/>
        </w:rPr>
      </w:pPr>
      <w:r w:rsidRPr="002F4C6C">
        <w:rPr>
          <w:rFonts w:ascii="Times New Roman" w:hAnsi="Times New Roman"/>
        </w:rPr>
        <w:t>rankų arba kojų silpnumas arba kalbėjimo sutrikimas, kurie gali būti insulto požymiai</w:t>
      </w:r>
      <w:r w:rsidR="00FF124E" w:rsidRPr="002F4C6C">
        <w:rPr>
          <w:rFonts w:ascii="Times New Roman" w:hAnsi="Times New Roman"/>
        </w:rPr>
        <w:t>;</w:t>
      </w:r>
    </w:p>
    <w:p w:rsidR="00E250E1" w:rsidRPr="002F4C6C" w:rsidRDefault="00E250E1">
      <w:pPr>
        <w:pStyle w:val="ListParagraph1"/>
        <w:numPr>
          <w:ilvl w:val="0"/>
          <w:numId w:val="7"/>
        </w:numPr>
        <w:spacing w:after="0" w:line="240" w:lineRule="auto"/>
        <w:ind w:left="567" w:hanging="567"/>
        <w:rPr>
          <w:rFonts w:ascii="Times New Roman" w:hAnsi="Times New Roman"/>
        </w:rPr>
      </w:pPr>
      <w:r w:rsidRPr="002F4C6C">
        <w:rPr>
          <w:rFonts w:ascii="Times New Roman" w:hAnsi="Times New Roman"/>
        </w:rPr>
        <w:t>neįprastai greitas arba nereguliarus širdies plakimas, krūtinės skausmas (angina) arba širdies priepuolis</w:t>
      </w:r>
      <w:r w:rsidR="00FF124E" w:rsidRPr="002F4C6C">
        <w:rPr>
          <w:rFonts w:ascii="Times New Roman" w:hAnsi="Times New Roman"/>
        </w:rPr>
        <w:t>;</w:t>
      </w:r>
    </w:p>
    <w:p w:rsidR="00E250E1" w:rsidRPr="002F4C6C" w:rsidRDefault="00E250E1">
      <w:pPr>
        <w:pStyle w:val="ListParagraph1"/>
        <w:numPr>
          <w:ilvl w:val="0"/>
          <w:numId w:val="7"/>
        </w:numPr>
        <w:spacing w:after="0" w:line="240" w:lineRule="auto"/>
        <w:ind w:left="567" w:hanging="567"/>
        <w:rPr>
          <w:rFonts w:ascii="Times New Roman" w:hAnsi="Times New Roman"/>
        </w:rPr>
      </w:pPr>
      <w:r w:rsidRPr="002F4C6C">
        <w:rPr>
          <w:rFonts w:ascii="Times New Roman" w:hAnsi="Times New Roman"/>
        </w:rPr>
        <w:t>kasos uždegimas, kuris gali sukelti sunkų pilvo ir nugaros skausmą, lydimą negalavimo pojūčio</w:t>
      </w:r>
      <w:r w:rsidR="00FF124E" w:rsidRPr="002F4C6C">
        <w:rPr>
          <w:rFonts w:ascii="Times New Roman" w:hAnsi="Times New Roman"/>
        </w:rPr>
        <w:t>;</w:t>
      </w:r>
    </w:p>
    <w:p w:rsidR="00E250E1" w:rsidRPr="002F4C6C" w:rsidRDefault="00E250E1">
      <w:pPr>
        <w:pStyle w:val="ListParagraph1"/>
        <w:numPr>
          <w:ilvl w:val="0"/>
          <w:numId w:val="7"/>
        </w:numPr>
        <w:spacing w:after="0" w:line="240" w:lineRule="auto"/>
        <w:ind w:left="567" w:hanging="567"/>
        <w:rPr>
          <w:rFonts w:ascii="Times New Roman" w:hAnsi="Times New Roman"/>
        </w:rPr>
      </w:pPr>
      <w:r w:rsidRPr="002F4C6C">
        <w:rPr>
          <w:rFonts w:ascii="Times New Roman" w:hAnsi="Times New Roman"/>
        </w:rPr>
        <w:t>odos arba akių pageltimas (gelta), kurie gali būti kepenų uždegimo (hepatito) požymis.</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Pranešama apie </w:t>
      </w:r>
      <w:r w:rsidR="00FF124E" w:rsidRPr="002F4C6C">
        <w:rPr>
          <w:rFonts w:ascii="Times New Roman" w:hAnsi="Times New Roman"/>
        </w:rPr>
        <w:t>toliau</w:t>
      </w:r>
      <w:r w:rsidRPr="002F4C6C">
        <w:rPr>
          <w:rFonts w:ascii="Times New Roman" w:hAnsi="Times New Roman"/>
        </w:rPr>
        <w:t xml:space="preserve"> išvardytus </w:t>
      </w:r>
      <w:r w:rsidRPr="002F4C6C">
        <w:rPr>
          <w:rFonts w:ascii="Times New Roman" w:hAnsi="Times New Roman"/>
          <w:b/>
        </w:rPr>
        <w:t>dažnus šalutinius poveikius</w:t>
      </w:r>
      <w:r w:rsidRPr="002F4C6C">
        <w:rPr>
          <w:rFonts w:ascii="Times New Roman" w:hAnsi="Times New Roman"/>
        </w:rPr>
        <w:t xml:space="preserve">. Jeigu </w:t>
      </w:r>
      <w:r w:rsidRPr="002F4C6C">
        <w:rPr>
          <w:rFonts w:ascii="Times New Roman" w:hAnsi="Times New Roman"/>
          <w:b/>
        </w:rPr>
        <w:t>kuris nors iš išvardytų sutrikimų</w:t>
      </w:r>
      <w:r w:rsidRPr="002F4C6C">
        <w:rPr>
          <w:rFonts w:ascii="Times New Roman" w:hAnsi="Times New Roman"/>
        </w:rPr>
        <w:t xml:space="preserve"> sukelia problemų </w:t>
      </w:r>
      <w:r w:rsidRPr="002F4C6C">
        <w:rPr>
          <w:rFonts w:ascii="Times New Roman" w:hAnsi="Times New Roman"/>
          <w:b/>
        </w:rPr>
        <w:t>arba jeigu jie trunka ilgiau negu vieną</w:t>
      </w:r>
      <w:r w:rsidRPr="002F4C6C">
        <w:rPr>
          <w:rFonts w:ascii="Times New Roman" w:hAnsi="Times New Roman"/>
        </w:rPr>
        <w:t xml:space="preserve"> </w:t>
      </w:r>
      <w:r w:rsidRPr="002F4C6C">
        <w:rPr>
          <w:rFonts w:ascii="Times New Roman" w:hAnsi="Times New Roman"/>
          <w:b/>
        </w:rPr>
        <w:t>savaitę, kreipkitės į gydytoją</w:t>
      </w:r>
      <w:r w:rsidRPr="002F4C6C">
        <w:rPr>
          <w:rFonts w:ascii="Times New Roman" w:hAnsi="Times New Roman"/>
        </w:rPr>
        <w:t>.</w:t>
      </w:r>
    </w:p>
    <w:p w:rsidR="00EE4401" w:rsidRPr="002F4C6C" w:rsidRDefault="00EE4401" w:rsidP="00EE4401">
      <w:pPr>
        <w:spacing w:after="0" w:line="240" w:lineRule="auto"/>
        <w:rPr>
          <w:rFonts w:ascii="Times New Roman" w:hAnsi="Times New Roman"/>
        </w:rPr>
      </w:pPr>
    </w:p>
    <w:p w:rsidR="00E250E1" w:rsidRPr="002F4C6C" w:rsidRDefault="00E250E1" w:rsidP="00EE4401">
      <w:pPr>
        <w:numPr>
          <w:ilvl w:val="0"/>
          <w:numId w:val="16"/>
        </w:numPr>
        <w:spacing w:after="0" w:line="240" w:lineRule="auto"/>
        <w:ind w:left="567" w:hanging="567"/>
        <w:rPr>
          <w:rFonts w:ascii="Times New Roman" w:hAnsi="Times New Roman"/>
        </w:rPr>
      </w:pPr>
      <w:r w:rsidRPr="002F4C6C">
        <w:rPr>
          <w:rFonts w:ascii="Times New Roman" w:hAnsi="Times New Roman"/>
        </w:rPr>
        <w:t>Labai dažn</w:t>
      </w:r>
      <w:r w:rsidR="00FF124E" w:rsidRPr="002F4C6C">
        <w:rPr>
          <w:rFonts w:ascii="Times New Roman" w:hAnsi="Times New Roman"/>
        </w:rPr>
        <w:t>i</w:t>
      </w:r>
      <w:r w:rsidRPr="002F4C6C">
        <w:rPr>
          <w:rFonts w:ascii="Times New Roman" w:hAnsi="Times New Roman"/>
        </w:rPr>
        <w:t xml:space="preserve"> šalutini</w:t>
      </w:r>
      <w:r w:rsidR="00FF124E" w:rsidRPr="002F4C6C">
        <w:rPr>
          <w:rFonts w:ascii="Times New Roman" w:hAnsi="Times New Roman"/>
        </w:rPr>
        <w:t>o</w:t>
      </w:r>
      <w:r w:rsidRPr="002F4C6C">
        <w:rPr>
          <w:rFonts w:ascii="Times New Roman" w:hAnsi="Times New Roman"/>
        </w:rPr>
        <w:t xml:space="preserve"> poveiki</w:t>
      </w:r>
      <w:r w:rsidR="00FF124E" w:rsidRPr="002F4C6C">
        <w:rPr>
          <w:rFonts w:ascii="Times New Roman" w:hAnsi="Times New Roman"/>
        </w:rPr>
        <w:t>o</w:t>
      </w:r>
      <w:r w:rsidRPr="002F4C6C">
        <w:rPr>
          <w:rFonts w:ascii="Times New Roman" w:hAnsi="Times New Roman"/>
        </w:rPr>
        <w:t xml:space="preserve"> </w:t>
      </w:r>
      <w:r w:rsidR="00FF124E" w:rsidRPr="002F4C6C">
        <w:rPr>
          <w:rFonts w:ascii="Times New Roman" w:hAnsi="Times New Roman"/>
        </w:rPr>
        <w:t xml:space="preserve">reiškiniai </w:t>
      </w:r>
      <w:r w:rsidRPr="002F4C6C">
        <w:rPr>
          <w:rFonts w:ascii="Times New Roman" w:hAnsi="Times New Roman"/>
        </w:rPr>
        <w:t xml:space="preserve">(gali pasireikšti </w:t>
      </w:r>
      <w:r w:rsidR="00FF124E" w:rsidRPr="002F4C6C">
        <w:rPr>
          <w:rFonts w:ascii="Times New Roman" w:hAnsi="Times New Roman"/>
        </w:rPr>
        <w:t>ne rečiau</w:t>
      </w:r>
      <w:r w:rsidRPr="002F4C6C">
        <w:rPr>
          <w:rFonts w:ascii="Times New Roman" w:hAnsi="Times New Roman"/>
        </w:rPr>
        <w:t xml:space="preserve"> kaip 1 iš 10 </w:t>
      </w:r>
      <w:r w:rsidR="00FF124E" w:rsidRPr="002F4C6C">
        <w:rPr>
          <w:rFonts w:ascii="Times New Roman" w:hAnsi="Times New Roman"/>
        </w:rPr>
        <w:t>asmenų</w:t>
      </w:r>
      <w:r w:rsidRPr="002F4C6C">
        <w:rPr>
          <w:rFonts w:ascii="Times New Roman" w:hAnsi="Times New Roman"/>
        </w:rPr>
        <w:t>): edema (skysčių susilaikymas).</w:t>
      </w:r>
    </w:p>
    <w:p w:rsidR="00EE4401" w:rsidRPr="002F4C6C" w:rsidRDefault="00EE4401" w:rsidP="00EE4401">
      <w:pPr>
        <w:spacing w:after="0" w:line="240" w:lineRule="auto"/>
        <w:ind w:left="567" w:hanging="567"/>
        <w:rPr>
          <w:rFonts w:ascii="Times New Roman" w:hAnsi="Times New Roman"/>
        </w:rPr>
      </w:pPr>
    </w:p>
    <w:p w:rsidR="00E250E1" w:rsidRPr="002F4C6C" w:rsidRDefault="00E250E1" w:rsidP="00EE4401">
      <w:pPr>
        <w:numPr>
          <w:ilvl w:val="0"/>
          <w:numId w:val="16"/>
        </w:numPr>
        <w:spacing w:after="0" w:line="240" w:lineRule="auto"/>
        <w:ind w:left="567" w:hanging="567"/>
        <w:rPr>
          <w:rFonts w:ascii="Times New Roman" w:hAnsi="Times New Roman"/>
        </w:rPr>
      </w:pPr>
      <w:r w:rsidRPr="002F4C6C">
        <w:rPr>
          <w:rFonts w:ascii="Times New Roman" w:hAnsi="Times New Roman"/>
        </w:rPr>
        <w:t>Dažn</w:t>
      </w:r>
      <w:r w:rsidR="00FF124E" w:rsidRPr="002F4C6C">
        <w:rPr>
          <w:rFonts w:ascii="Times New Roman" w:hAnsi="Times New Roman"/>
        </w:rPr>
        <w:t>i</w:t>
      </w:r>
      <w:r w:rsidRPr="002F4C6C">
        <w:rPr>
          <w:rFonts w:ascii="Times New Roman" w:hAnsi="Times New Roman"/>
        </w:rPr>
        <w:t xml:space="preserve"> šalutini</w:t>
      </w:r>
      <w:r w:rsidR="00FF124E" w:rsidRPr="002F4C6C">
        <w:rPr>
          <w:rFonts w:ascii="Times New Roman" w:hAnsi="Times New Roman"/>
        </w:rPr>
        <w:t>o</w:t>
      </w:r>
      <w:r w:rsidRPr="002F4C6C">
        <w:rPr>
          <w:rFonts w:ascii="Times New Roman" w:hAnsi="Times New Roman"/>
        </w:rPr>
        <w:t xml:space="preserve"> poveiki</w:t>
      </w:r>
      <w:r w:rsidR="00FF124E" w:rsidRPr="002F4C6C">
        <w:rPr>
          <w:rFonts w:ascii="Times New Roman" w:hAnsi="Times New Roman"/>
        </w:rPr>
        <w:t>o reiškiniai</w:t>
      </w:r>
      <w:r w:rsidRPr="002F4C6C">
        <w:rPr>
          <w:rFonts w:ascii="Times New Roman" w:hAnsi="Times New Roman"/>
        </w:rPr>
        <w:t xml:space="preserve"> (gali pasireikšti </w:t>
      </w:r>
      <w:r w:rsidR="00FF124E" w:rsidRPr="002F4C6C">
        <w:rPr>
          <w:rFonts w:ascii="Times New Roman" w:hAnsi="Times New Roman"/>
        </w:rPr>
        <w:t>rečiau</w:t>
      </w:r>
      <w:r w:rsidRPr="002F4C6C">
        <w:rPr>
          <w:rFonts w:ascii="Times New Roman" w:hAnsi="Times New Roman"/>
        </w:rPr>
        <w:t xml:space="preserve"> kaip 1 iš 10 </w:t>
      </w:r>
      <w:r w:rsidR="00FF124E" w:rsidRPr="002F4C6C">
        <w:rPr>
          <w:rFonts w:ascii="Times New Roman" w:hAnsi="Times New Roman"/>
        </w:rPr>
        <w:t>asmenų</w:t>
      </w:r>
      <w:r w:rsidRPr="002F4C6C">
        <w:rPr>
          <w:rFonts w:ascii="Times New Roman" w:hAnsi="Times New Roman"/>
        </w:rPr>
        <w:t xml:space="preserve">): galvos skausmas, </w:t>
      </w:r>
      <w:r w:rsidR="00FF624C">
        <w:rPr>
          <w:rFonts w:ascii="Times New Roman" w:hAnsi="Times New Roman"/>
        </w:rPr>
        <w:t xml:space="preserve">svaigulys, </w:t>
      </w:r>
      <w:r w:rsidRPr="002F4C6C">
        <w:rPr>
          <w:rFonts w:ascii="Times New Roman" w:hAnsi="Times New Roman"/>
        </w:rPr>
        <w:t>mieguistumas (ypač gydymo pradžioje), galvos svaigimas, galūnių sustingimas ar dilgčiojimo pojūtis galūnėse, regėjimo sutrikimai (įskaitant vaizdo susidvigubinimą), spengimas ausyse, širdies plakimo pojūtis, palpitacijos (savo širdies plakimo jautimas), kraujo priplūdimas į veidą, lengvo galvos svaigimo pojūtis dėl žemo kraujospūdžio, kosulys, dusulys, sutrumpėjęs įkvėpimas, pykinimas, vėmimas, pilvo skausmas, skonio pokyčiai, virškinimo sutrikimai, tuštinimosi pokyčiai, viduriavimas, vidurių užkietėjimas, alerginės reakcijos (tokios kaip odos išbėrimas, niežulys), raumenų mėšlungis, nuovargis, silpnumas, kulkšnių patinimai (periferinė edema).</w:t>
      </w:r>
    </w:p>
    <w:p w:rsidR="00E250E1" w:rsidRPr="002F4C6C" w:rsidRDefault="00E250E1" w:rsidP="00EE4401">
      <w:pPr>
        <w:spacing w:after="0"/>
        <w:ind w:left="567" w:hanging="567"/>
        <w:rPr>
          <w:rFonts w:ascii="Times New Roman" w:hAnsi="Times New Roman"/>
        </w:rPr>
      </w:pPr>
    </w:p>
    <w:p w:rsidR="00E250E1" w:rsidRPr="002F4C6C" w:rsidRDefault="00E250E1">
      <w:pPr>
        <w:spacing w:after="0"/>
        <w:rPr>
          <w:rFonts w:ascii="Times New Roman" w:hAnsi="Times New Roman"/>
        </w:rPr>
      </w:pPr>
      <w:r w:rsidRPr="002F4C6C">
        <w:rPr>
          <w:rFonts w:ascii="Times New Roman" w:hAnsi="Times New Roman"/>
        </w:rPr>
        <w:t xml:space="preserve">Pranešama apie kitą </w:t>
      </w:r>
      <w:r w:rsidR="00FF124E" w:rsidRPr="002F4C6C">
        <w:rPr>
          <w:rFonts w:ascii="Times New Roman" w:hAnsi="Times New Roman"/>
        </w:rPr>
        <w:t>toliau</w:t>
      </w:r>
      <w:r w:rsidRPr="002F4C6C">
        <w:rPr>
          <w:rFonts w:ascii="Times New Roman" w:hAnsi="Times New Roman"/>
        </w:rPr>
        <w:t xml:space="preserve"> išvardytą šalutinį poveikį. Jei jaučiate sunkų bet kurį išvardytą poveikį arba kitą neišvardytą šalutinį poveikį, pasakykite gydytojui arba vaistininkui.</w:t>
      </w:r>
    </w:p>
    <w:p w:rsidR="00EE4401" w:rsidRPr="002F4C6C" w:rsidRDefault="00EE4401">
      <w:pPr>
        <w:spacing w:after="0"/>
        <w:rPr>
          <w:rFonts w:ascii="Times New Roman" w:hAnsi="Times New Roman"/>
        </w:rPr>
      </w:pP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Nedažn</w:t>
      </w:r>
      <w:r w:rsidR="00FF124E" w:rsidRPr="002F4C6C">
        <w:rPr>
          <w:rFonts w:ascii="Times New Roman" w:hAnsi="Times New Roman"/>
        </w:rPr>
        <w:t>i</w:t>
      </w:r>
      <w:r w:rsidRPr="002F4C6C">
        <w:rPr>
          <w:rFonts w:ascii="Times New Roman" w:hAnsi="Times New Roman"/>
        </w:rPr>
        <w:t xml:space="preserve"> šalutini</w:t>
      </w:r>
      <w:r w:rsidR="00FF124E" w:rsidRPr="002F4C6C">
        <w:rPr>
          <w:rFonts w:ascii="Times New Roman" w:hAnsi="Times New Roman"/>
        </w:rPr>
        <w:t>o</w:t>
      </w:r>
      <w:r w:rsidRPr="002F4C6C">
        <w:rPr>
          <w:rFonts w:ascii="Times New Roman" w:hAnsi="Times New Roman"/>
        </w:rPr>
        <w:t xml:space="preserve"> poveiki</w:t>
      </w:r>
      <w:r w:rsidR="00FF124E" w:rsidRPr="002F4C6C">
        <w:rPr>
          <w:rFonts w:ascii="Times New Roman" w:hAnsi="Times New Roman"/>
        </w:rPr>
        <w:t>o</w:t>
      </w:r>
      <w:r w:rsidRPr="002F4C6C">
        <w:rPr>
          <w:rFonts w:ascii="Times New Roman" w:hAnsi="Times New Roman"/>
        </w:rPr>
        <w:t xml:space="preserve"> </w:t>
      </w:r>
      <w:r w:rsidR="00FF124E" w:rsidRPr="002F4C6C">
        <w:rPr>
          <w:rFonts w:ascii="Times New Roman" w:hAnsi="Times New Roman"/>
        </w:rPr>
        <w:t xml:space="preserve">reiškiniai </w:t>
      </w:r>
      <w:r w:rsidRPr="002F4C6C">
        <w:rPr>
          <w:rFonts w:ascii="Times New Roman" w:hAnsi="Times New Roman"/>
        </w:rPr>
        <w:t xml:space="preserve">(gali pasireikšti </w:t>
      </w:r>
      <w:r w:rsidR="00FF124E" w:rsidRPr="002F4C6C">
        <w:rPr>
          <w:rFonts w:ascii="Times New Roman" w:hAnsi="Times New Roman"/>
        </w:rPr>
        <w:t>rečiau</w:t>
      </w:r>
      <w:r w:rsidRPr="002F4C6C">
        <w:rPr>
          <w:rFonts w:ascii="Times New Roman" w:hAnsi="Times New Roman"/>
        </w:rPr>
        <w:t xml:space="preserve"> kaip 1 iš 100 </w:t>
      </w:r>
      <w:r w:rsidR="00FF124E" w:rsidRPr="002F4C6C">
        <w:rPr>
          <w:rFonts w:ascii="Times New Roman" w:hAnsi="Times New Roman"/>
        </w:rPr>
        <w:t>asmenų</w:t>
      </w:r>
      <w:r w:rsidRPr="002F4C6C">
        <w:rPr>
          <w:rFonts w:ascii="Times New Roman" w:hAnsi="Times New Roman"/>
        </w:rPr>
        <w:t>): greiti nuotaikos pokyčiai, nerimas, depresija, nemiga, miego sutrikimai, dreb</w:t>
      </w:r>
      <w:r w:rsidR="00FF124E" w:rsidRPr="002F4C6C">
        <w:rPr>
          <w:rFonts w:ascii="Times New Roman" w:hAnsi="Times New Roman"/>
        </w:rPr>
        <w:t>ėjimas</w:t>
      </w:r>
      <w:r w:rsidRPr="002F4C6C">
        <w:rPr>
          <w:rFonts w:ascii="Times New Roman" w:hAnsi="Times New Roman"/>
        </w:rPr>
        <w:t xml:space="preserve">, nualpimas, skausmo pojūčio netekimas, neritmiškas širdies plakimas, sloga (užsikimšusi arba „bėganti“ nosis), </w:t>
      </w:r>
      <w:r w:rsidR="003510A2" w:rsidRPr="002F4C6C">
        <w:rPr>
          <w:rFonts w:ascii="Times New Roman" w:hAnsi="Times New Roman"/>
        </w:rPr>
        <w:t xml:space="preserve">nereguliarus širdies plakimas, </w:t>
      </w:r>
      <w:r w:rsidRPr="002F4C6C">
        <w:rPr>
          <w:rFonts w:ascii="Times New Roman" w:hAnsi="Times New Roman"/>
        </w:rPr>
        <w:t>plaukų slinkimas, paraudusios odos plotai, odos spalvos pokyčiai, nugaros skausmas, sąnarių skausmas (artralgija), raumenų skausmas (mialgija), krūtinės ląstos skausmas, šlapinimosi sutrikimas, padidėjęs poreikis šlapintis naktimis, padidėjęs šlapinimosi kartų skaičius, skausmas, negalavimas, bronchų spazmas (krūtinės ląstos veržimo pojūtis, švokštimas ir dusulys), burnos džiūvimas, angio</w:t>
      </w:r>
      <w:r w:rsidR="00FF124E" w:rsidRPr="002F4C6C">
        <w:rPr>
          <w:rFonts w:ascii="Times New Roman" w:hAnsi="Times New Roman"/>
        </w:rPr>
        <w:t xml:space="preserve">neurozinė </w:t>
      </w:r>
      <w:r w:rsidRPr="002F4C6C">
        <w:rPr>
          <w:rFonts w:ascii="Times New Roman" w:hAnsi="Times New Roman"/>
        </w:rPr>
        <w:t xml:space="preserve">edema (simptomai: švokštimas, veido ar liežuvio paburkimas), odos pūslelių grupių susiformavimas, inkstų sutrikimai, impotencija, sustiprėjęs prakaitavimas, pernelyg didelis eozinofilų (baltųjų kraujo ląstelių tipas) padaugėjimas, vyrų krūtų diskomfortas arba padidėjimas, kūno masės padidėjimas arba sumažėjimas, </w:t>
      </w:r>
      <w:r w:rsidR="00282649">
        <w:rPr>
          <w:rFonts w:ascii="Times New Roman" w:hAnsi="Times New Roman"/>
        </w:rPr>
        <w:t xml:space="preserve">pagreitėjęs širdies plakimas, </w:t>
      </w:r>
      <w:r w:rsidRPr="002F4C6C">
        <w:rPr>
          <w:rFonts w:ascii="Times New Roman" w:hAnsi="Times New Roman"/>
        </w:rPr>
        <w:t xml:space="preserve">kraujagyslių uždegimas (vaskulitas), </w:t>
      </w:r>
      <w:r w:rsidR="003B79F9" w:rsidRPr="002F4C6C">
        <w:rPr>
          <w:rFonts w:ascii="Times New Roman" w:hAnsi="Times New Roman"/>
        </w:rPr>
        <w:t>padidėj</w:t>
      </w:r>
      <w:r w:rsidR="003B79F9">
        <w:rPr>
          <w:rFonts w:ascii="Times New Roman" w:hAnsi="Times New Roman"/>
        </w:rPr>
        <w:t>ęs</w:t>
      </w:r>
      <w:r w:rsidR="003B79F9" w:rsidRPr="002F4C6C">
        <w:rPr>
          <w:rFonts w:ascii="Times New Roman" w:hAnsi="Times New Roman"/>
        </w:rPr>
        <w:t xml:space="preserve"> jautrum</w:t>
      </w:r>
      <w:r w:rsidR="003B79F9">
        <w:rPr>
          <w:rFonts w:ascii="Times New Roman" w:hAnsi="Times New Roman"/>
        </w:rPr>
        <w:t>as</w:t>
      </w:r>
      <w:r w:rsidR="003B79F9" w:rsidRPr="002F4C6C">
        <w:rPr>
          <w:rFonts w:ascii="Times New Roman" w:hAnsi="Times New Roman"/>
        </w:rPr>
        <w:t xml:space="preserve"> </w:t>
      </w:r>
      <w:r w:rsidRPr="002F4C6C">
        <w:rPr>
          <w:rFonts w:ascii="Times New Roman" w:hAnsi="Times New Roman"/>
        </w:rPr>
        <w:t xml:space="preserve">šviesai (padidėjęs odos jautrumas saulės šviesai), karščiavimas, pargriuvimas, laboratorinių tyrimų rodmenų pokyčiai: didelė kalio koncentracija kraujyje, kuri normalizuojasi nutraukus gydymą, maža natrio koncentracija, labai </w:t>
      </w:r>
      <w:r w:rsidRPr="002F4C6C">
        <w:rPr>
          <w:rFonts w:ascii="Times New Roman" w:hAnsi="Times New Roman"/>
        </w:rPr>
        <w:lastRenderedPageBreak/>
        <w:t>maža cukraus koncentracija kraujyje (hipoglikemija)</w:t>
      </w:r>
      <w:r w:rsidR="00FF124E" w:rsidRPr="002F4C6C">
        <w:rPr>
          <w:rFonts w:ascii="Times New Roman" w:hAnsi="Times New Roman"/>
        </w:rPr>
        <w:t xml:space="preserve"> cukriniu</w:t>
      </w:r>
      <w:r w:rsidRPr="002F4C6C">
        <w:rPr>
          <w:rFonts w:ascii="Times New Roman" w:hAnsi="Times New Roman"/>
        </w:rPr>
        <w:t xml:space="preserve"> diabetu sergantiems pacientams, šlapalo koncentracijos kraujyje padidėjimas, kreatinino koncentracijos kraujyje padidėjimas.</w:t>
      </w:r>
    </w:p>
    <w:p w:rsidR="00E250E1" w:rsidRPr="002F4C6C" w:rsidRDefault="00E250E1">
      <w:pPr>
        <w:spacing w:after="0" w:line="240" w:lineRule="auto"/>
        <w:ind w:left="567"/>
        <w:rPr>
          <w:rFonts w:ascii="Times New Roman" w:hAnsi="Times New Roman"/>
        </w:rPr>
      </w:pP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Ret</w:t>
      </w:r>
      <w:r w:rsidR="00FF124E" w:rsidRPr="002F4C6C">
        <w:rPr>
          <w:rFonts w:ascii="Times New Roman" w:hAnsi="Times New Roman"/>
        </w:rPr>
        <w:t>i</w:t>
      </w:r>
      <w:r w:rsidRPr="002F4C6C">
        <w:rPr>
          <w:rFonts w:ascii="Times New Roman" w:hAnsi="Times New Roman"/>
        </w:rPr>
        <w:t xml:space="preserve"> šalutini</w:t>
      </w:r>
      <w:r w:rsidR="00FF124E" w:rsidRPr="002F4C6C">
        <w:rPr>
          <w:rFonts w:ascii="Times New Roman" w:hAnsi="Times New Roman"/>
        </w:rPr>
        <w:t>o</w:t>
      </w:r>
      <w:r w:rsidRPr="002F4C6C">
        <w:rPr>
          <w:rFonts w:ascii="Times New Roman" w:hAnsi="Times New Roman"/>
        </w:rPr>
        <w:t xml:space="preserve"> poveiki</w:t>
      </w:r>
      <w:r w:rsidR="00FF124E" w:rsidRPr="002F4C6C">
        <w:rPr>
          <w:rFonts w:ascii="Times New Roman" w:hAnsi="Times New Roman"/>
        </w:rPr>
        <w:t>o</w:t>
      </w:r>
      <w:r w:rsidRPr="002F4C6C">
        <w:rPr>
          <w:rFonts w:ascii="Times New Roman" w:hAnsi="Times New Roman"/>
        </w:rPr>
        <w:t xml:space="preserve"> </w:t>
      </w:r>
      <w:r w:rsidR="00FF124E" w:rsidRPr="002F4C6C">
        <w:rPr>
          <w:rFonts w:ascii="Times New Roman" w:hAnsi="Times New Roman"/>
        </w:rPr>
        <w:t xml:space="preserve">reiškiniai </w:t>
      </w:r>
      <w:r w:rsidRPr="002F4C6C">
        <w:rPr>
          <w:rFonts w:ascii="Times New Roman" w:hAnsi="Times New Roman"/>
        </w:rPr>
        <w:t xml:space="preserve">(gali pasireikšti </w:t>
      </w:r>
      <w:r w:rsidR="00FF124E" w:rsidRPr="002F4C6C">
        <w:rPr>
          <w:rFonts w:ascii="Times New Roman" w:hAnsi="Times New Roman"/>
        </w:rPr>
        <w:t>rečiau</w:t>
      </w:r>
      <w:r w:rsidRPr="002F4C6C">
        <w:rPr>
          <w:rFonts w:ascii="Times New Roman" w:hAnsi="Times New Roman"/>
        </w:rPr>
        <w:t xml:space="preserve"> kaip 1 iš 1000 </w:t>
      </w:r>
      <w:r w:rsidR="00FF124E" w:rsidRPr="002F4C6C">
        <w:rPr>
          <w:rFonts w:ascii="Times New Roman" w:hAnsi="Times New Roman"/>
        </w:rPr>
        <w:t>asmenų</w:t>
      </w:r>
      <w:r w:rsidRPr="002F4C6C">
        <w:rPr>
          <w:rFonts w:ascii="Times New Roman" w:hAnsi="Times New Roman"/>
        </w:rPr>
        <w:t>): sumišimas, žvynelinės pasunkėjimas, laboratorinių tyrimų rodmenų pokyčiai: kepenų fermentų aktyvumo padidėjimas, labai didelė bilirubino koncentracija kraujyje.</w:t>
      </w:r>
      <w:r w:rsidR="00E7680A" w:rsidRPr="002F4C6C">
        <w:rPr>
          <w:rFonts w:ascii="Times New Roman" w:hAnsi="Times New Roman"/>
        </w:rPr>
        <w:t xml:space="preserve"> Tamsios spalvos šlapimas, pykinimas ar vėmimas, raumenų mėšlungis, sumišimas ir priepuoliai. Tai gali būti būklės, vadinamos sutrikusios antidiurezinio hormono sekrecijos sindromu (SAHSS), simptomai.</w:t>
      </w:r>
      <w:r w:rsidR="003510A2" w:rsidRPr="002F4C6C">
        <w:rPr>
          <w:rFonts w:ascii="Times New Roman" w:hAnsi="Times New Roman"/>
        </w:rPr>
        <w:t xml:space="preserve"> Sumažėjęs šlapimo kiekis arba jo nebuvimas, ūminis inkstų nepakankamumas.</w:t>
      </w:r>
    </w:p>
    <w:p w:rsidR="00E250E1" w:rsidRPr="002F4C6C" w:rsidRDefault="00E250E1">
      <w:pPr>
        <w:spacing w:after="0" w:line="240" w:lineRule="auto"/>
        <w:ind w:left="567"/>
        <w:rPr>
          <w:rFonts w:ascii="Times New Roman" w:hAnsi="Times New Roman"/>
        </w:rPr>
      </w:pPr>
    </w:p>
    <w:p w:rsidR="00E250E1" w:rsidRPr="002F4C6C" w:rsidRDefault="00E250E1">
      <w:pPr>
        <w:numPr>
          <w:ilvl w:val="0"/>
          <w:numId w:val="5"/>
        </w:numPr>
        <w:spacing w:after="0" w:line="240" w:lineRule="auto"/>
        <w:ind w:left="567" w:hanging="567"/>
        <w:rPr>
          <w:rFonts w:ascii="Times New Roman" w:hAnsi="Times New Roman"/>
        </w:rPr>
      </w:pPr>
      <w:r w:rsidRPr="002F4C6C">
        <w:rPr>
          <w:rFonts w:ascii="Times New Roman" w:hAnsi="Times New Roman"/>
        </w:rPr>
        <w:t>Labai ret</w:t>
      </w:r>
      <w:r w:rsidR="00FF124E" w:rsidRPr="002F4C6C">
        <w:rPr>
          <w:rFonts w:ascii="Times New Roman" w:hAnsi="Times New Roman"/>
        </w:rPr>
        <w:t>i</w:t>
      </w:r>
      <w:r w:rsidRPr="002F4C6C">
        <w:rPr>
          <w:rFonts w:ascii="Times New Roman" w:hAnsi="Times New Roman"/>
        </w:rPr>
        <w:t xml:space="preserve"> šalutini</w:t>
      </w:r>
      <w:r w:rsidR="00FF124E" w:rsidRPr="002F4C6C">
        <w:rPr>
          <w:rFonts w:ascii="Times New Roman" w:hAnsi="Times New Roman"/>
        </w:rPr>
        <w:t>o</w:t>
      </w:r>
      <w:r w:rsidRPr="002F4C6C">
        <w:rPr>
          <w:rFonts w:ascii="Times New Roman" w:hAnsi="Times New Roman"/>
        </w:rPr>
        <w:t xml:space="preserve"> poveiki</w:t>
      </w:r>
      <w:r w:rsidR="00FF124E" w:rsidRPr="002F4C6C">
        <w:rPr>
          <w:rFonts w:ascii="Times New Roman" w:hAnsi="Times New Roman"/>
        </w:rPr>
        <w:t>o</w:t>
      </w:r>
      <w:r w:rsidRPr="002F4C6C">
        <w:rPr>
          <w:rFonts w:ascii="Times New Roman" w:hAnsi="Times New Roman"/>
        </w:rPr>
        <w:t xml:space="preserve"> </w:t>
      </w:r>
      <w:r w:rsidR="00FF124E" w:rsidRPr="002F4C6C">
        <w:rPr>
          <w:rFonts w:ascii="Times New Roman" w:hAnsi="Times New Roman"/>
        </w:rPr>
        <w:t xml:space="preserve">reiškiniai </w:t>
      </w:r>
      <w:r w:rsidRPr="002F4C6C">
        <w:rPr>
          <w:rFonts w:ascii="Times New Roman" w:hAnsi="Times New Roman"/>
        </w:rPr>
        <w:t xml:space="preserve">(gali pasireikšti </w:t>
      </w:r>
      <w:r w:rsidR="00FF124E" w:rsidRPr="002F4C6C">
        <w:rPr>
          <w:rFonts w:ascii="Times New Roman" w:hAnsi="Times New Roman"/>
        </w:rPr>
        <w:t>rečiau</w:t>
      </w:r>
      <w:r w:rsidRPr="002F4C6C">
        <w:rPr>
          <w:rFonts w:ascii="Times New Roman" w:hAnsi="Times New Roman"/>
        </w:rPr>
        <w:t xml:space="preserve"> kaip 1 iš 10000 </w:t>
      </w:r>
      <w:r w:rsidR="00FF124E" w:rsidRPr="002F4C6C">
        <w:rPr>
          <w:rFonts w:ascii="Times New Roman" w:hAnsi="Times New Roman"/>
        </w:rPr>
        <w:t>asmenų</w:t>
      </w:r>
      <w:r w:rsidRPr="002F4C6C">
        <w:rPr>
          <w:rFonts w:ascii="Times New Roman" w:hAnsi="Times New Roman"/>
        </w:rPr>
        <w:t xml:space="preserve">): širdies ir kraujagyslių sistemos sutrikimai (krūtinės angina, miokardo infarktas ir insultas), eozinofilinė pneumonija (retas plaučių uždegimo tipas), akių vokų, veido arba lūpų tinimas, liežuvio ir gerklų tinimas, kuris smarkiai apsunkina kvėpavimą, sunkios odos reakcijos, įskaitant intensyvų odos </w:t>
      </w:r>
      <w:r w:rsidR="00FF124E" w:rsidRPr="002F4C6C">
        <w:rPr>
          <w:rFonts w:ascii="Times New Roman" w:hAnsi="Times New Roman"/>
        </w:rPr>
        <w:t>iš</w:t>
      </w:r>
      <w:r w:rsidRPr="002F4C6C">
        <w:rPr>
          <w:rFonts w:ascii="Times New Roman" w:hAnsi="Times New Roman"/>
        </w:rPr>
        <w:t>bėrimą, dilgėlinę, viso kūno odos paraudimą, sunkų niežulį, pūslelių ant odos atsiradimą, odos lupimąsi ir tinimą, gleivinių uždegimą (Stivenso ir Džonsono sindromas), daugiaformė raudonė (odos išbėrimas, kuris dažnai prasideda nuo raudonų niežtinčių lopų ant veido, rankų ar kojų), kraujo rodmenų pokyčiai, pavyzdžiui, baltųjų ir raudonųjų kraujo ląstelių kiekio sumažėjimas, hemoglobino koncentracijos sumažėjimas, kraujo plokštelių kiekio sumažėjimas, kraujo ligos, kasos uždegimas, kuris gali sukelti pilvo ir nugaros skausmą, lydimą labai sunkaus negalavimo pojūčio, nenormali kepenų funkcija, kepenų uždegimas (hepatitas), odos pageltimas (gelta), padidėj</w:t>
      </w:r>
      <w:r w:rsidR="00387002" w:rsidRPr="002F4C6C">
        <w:rPr>
          <w:rFonts w:ascii="Times New Roman" w:hAnsi="Times New Roman"/>
        </w:rPr>
        <w:t>ęs</w:t>
      </w:r>
      <w:r w:rsidRPr="002F4C6C">
        <w:rPr>
          <w:rFonts w:ascii="Times New Roman" w:hAnsi="Times New Roman"/>
        </w:rPr>
        <w:t xml:space="preserve"> kepenų fermentų </w:t>
      </w:r>
      <w:r w:rsidR="00387002" w:rsidRPr="002F4C6C">
        <w:rPr>
          <w:rFonts w:ascii="Times New Roman" w:hAnsi="Times New Roman"/>
        </w:rPr>
        <w:t>aktyvumas</w:t>
      </w:r>
      <w:r w:rsidRPr="002F4C6C">
        <w:rPr>
          <w:rFonts w:ascii="Times New Roman" w:hAnsi="Times New Roman"/>
        </w:rPr>
        <w:t>, kuri</w:t>
      </w:r>
      <w:r w:rsidR="00BD6ECC">
        <w:rPr>
          <w:rFonts w:ascii="Times New Roman" w:hAnsi="Times New Roman"/>
        </w:rPr>
        <w:t>s</w:t>
      </w:r>
      <w:r w:rsidRPr="002F4C6C">
        <w:rPr>
          <w:rFonts w:ascii="Times New Roman" w:hAnsi="Times New Roman"/>
        </w:rPr>
        <w:t xml:space="preserve"> gali turėti įtakos kai kurių medicininių tyrimų rezultatams, pilvo išsipūtimas (gastritas), nervų sutrikimas, kuris gali sukelti silpnumą, dilgčiojimą arba sustingimą (padidėjęs raumenų įtempimas), dantenų paburkimas, per didelė cukraus koncentracija kraujyje (hiperglikemija).</w:t>
      </w:r>
    </w:p>
    <w:p w:rsidR="00E250E1" w:rsidRPr="002F4C6C" w:rsidRDefault="00E250E1">
      <w:pPr>
        <w:spacing w:after="0" w:line="240" w:lineRule="auto"/>
        <w:ind w:left="567"/>
        <w:rPr>
          <w:rFonts w:ascii="Times New Roman" w:hAnsi="Times New Roman"/>
        </w:rPr>
      </w:pPr>
    </w:p>
    <w:p w:rsidR="00E250E1" w:rsidRPr="002F4C6C" w:rsidRDefault="00447765">
      <w:pPr>
        <w:numPr>
          <w:ilvl w:val="0"/>
          <w:numId w:val="10"/>
        </w:numPr>
        <w:spacing w:after="0" w:line="240" w:lineRule="auto"/>
        <w:ind w:left="567" w:right="-2" w:hanging="567"/>
        <w:rPr>
          <w:rFonts w:ascii="Times New Roman" w:hAnsi="Times New Roman"/>
        </w:rPr>
      </w:pPr>
      <w:r w:rsidRPr="00447765">
        <w:rPr>
          <w:rFonts w:ascii="Times New Roman" w:hAnsi="Times New Roman"/>
        </w:rPr>
        <w:t xml:space="preserve">Šalutinio poveikio reiškiniai, kurių </w:t>
      </w:r>
      <w:r>
        <w:rPr>
          <w:rFonts w:ascii="Times New Roman" w:hAnsi="Times New Roman"/>
        </w:rPr>
        <w:t>d</w:t>
      </w:r>
      <w:r w:rsidR="00E250E1" w:rsidRPr="002F4C6C">
        <w:rPr>
          <w:rFonts w:ascii="Times New Roman" w:hAnsi="Times New Roman"/>
        </w:rPr>
        <w:t xml:space="preserve">ažnis nežinomas (negali būti apskaičiuotas pagal turimus duomenis): sąstingis, veidas tarsi kaukė, lėti judesiai ir nesubalansuota eisena velkant kojas, </w:t>
      </w:r>
      <w:r w:rsidR="00E250E1" w:rsidRPr="002F4C6C">
        <w:rPr>
          <w:rFonts w:ascii="Times New Roman" w:hAnsi="Times New Roman"/>
          <w:lang w:eastAsia="lt-LT"/>
        </w:rPr>
        <w:t>rankų arba kojų pirštų spalvos pakitimas, tirpulys ir skausmas (Reino fenomenas)</w:t>
      </w:r>
      <w:r w:rsidR="003510A2" w:rsidRPr="002F4C6C">
        <w:rPr>
          <w:rFonts w:ascii="Times New Roman" w:hAnsi="Times New Roman"/>
          <w:lang w:eastAsia="lt-LT"/>
        </w:rPr>
        <w:t xml:space="preserve">, </w:t>
      </w:r>
      <w:r w:rsidR="003510A2" w:rsidRPr="002F4C6C">
        <w:rPr>
          <w:rFonts w:ascii="Times New Roman" w:hAnsi="Times New Roman"/>
        </w:rPr>
        <w:t>labai sunki odos reakcija (toksinė epidermio nekrolizė</w:t>
      </w:r>
      <w:r w:rsidR="00873603">
        <w:rPr>
          <w:rFonts w:ascii="Times New Roman" w:hAnsi="Times New Roman"/>
        </w:rPr>
        <w:t>)</w:t>
      </w:r>
      <w:r w:rsidR="00E250E1" w:rsidRPr="002F4C6C">
        <w:rPr>
          <w:rFonts w:ascii="Times New Roman" w:hAnsi="Times New Roman"/>
          <w:lang w:eastAsia="lt-LT"/>
        </w:rPr>
        <w:t>.</w:t>
      </w:r>
    </w:p>
    <w:p w:rsidR="00E250E1" w:rsidRPr="002F4C6C" w:rsidRDefault="00E250E1">
      <w:pPr>
        <w:spacing w:after="0" w:line="240" w:lineRule="auto"/>
        <w:ind w:left="567"/>
        <w:rPr>
          <w:rFonts w:ascii="Times New Roman" w:hAnsi="Times New Roman"/>
          <w:lang w:eastAsia="lt-LT"/>
        </w:rPr>
      </w:pPr>
    </w:p>
    <w:p w:rsidR="00E250E1" w:rsidRPr="002F4C6C" w:rsidRDefault="003510A2">
      <w:pPr>
        <w:spacing w:after="0" w:line="240" w:lineRule="auto"/>
        <w:ind w:right="-2"/>
        <w:rPr>
          <w:rFonts w:ascii="Times New Roman" w:hAnsi="Times New Roman"/>
        </w:rPr>
      </w:pPr>
      <w:r w:rsidRPr="002F4C6C">
        <w:rPr>
          <w:rFonts w:ascii="Times New Roman" w:hAnsi="Times New Roman"/>
        </w:rPr>
        <w:t>Pasireiškus šiems simptomams, nedelsiant kreipkitės į gydytoją.</w:t>
      </w:r>
    </w:p>
    <w:p w:rsidR="003510A2" w:rsidRPr="002F4C6C" w:rsidRDefault="003510A2">
      <w:pPr>
        <w:spacing w:after="0" w:line="240" w:lineRule="auto"/>
        <w:ind w:right="-2"/>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b/>
        </w:rPr>
        <w:t>Pranešimas apie šalutinį poveikį</w:t>
      </w:r>
    </w:p>
    <w:p w:rsidR="00BA4E50" w:rsidRPr="00933AB9" w:rsidRDefault="00E250E1" w:rsidP="00BA4E50">
      <w:pPr>
        <w:ind w:right="-449"/>
        <w:rPr>
          <w:rFonts w:ascii="Times New Roman" w:hAnsi="Times New Roman"/>
        </w:rPr>
      </w:pPr>
      <w:r w:rsidRPr="002F4C6C">
        <w:rPr>
          <w:rFonts w:ascii="Times New Roman" w:hAnsi="Times New Roman"/>
        </w:rPr>
        <w:t xml:space="preserve">Jeigu pasireiškė šalutinis poveikis, įskaitant šiame lapelyje nenurodytą, pasakykite gydytojui arba vaistininkui. </w:t>
      </w:r>
      <w:r w:rsidR="00387002" w:rsidRPr="002F4C6C">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87002" w:rsidRPr="002F4C6C">
        <w:rPr>
          <w:rFonts w:ascii="Times New Roman" w:hAnsi="Times New Roman"/>
          <w:color w:val="0033CC"/>
        </w:rPr>
        <w:t>https://vapris.vvkt.lt/vvkt-web/public/nrv</w:t>
      </w:r>
      <w:r w:rsidR="00387002" w:rsidRPr="002F4C6C">
        <w:rPr>
          <w:rFonts w:ascii="Times New Roman" w:hAnsi="Times New Roman"/>
        </w:rPr>
        <w:t xml:space="preserve"> arba užpildant Sveikatos priežiūros ar farmacijos specialisto pranešimo apie įtariamą nepageidaujamą reakciją formą, kuri skelbiama </w:t>
      </w:r>
      <w:r w:rsidR="00387002" w:rsidRPr="002F4C6C">
        <w:rPr>
          <w:rFonts w:ascii="Times New Roman" w:hAnsi="Times New Roman"/>
          <w:color w:val="0033CC"/>
        </w:rPr>
        <w:t>https://www.vvkt.lt/index.php?4004286486</w:t>
      </w:r>
      <w:r w:rsidR="00387002" w:rsidRPr="002F4C6C">
        <w:rPr>
          <w:rFonts w:ascii="Times New Roman" w:hAnsi="Times New Roman"/>
        </w:rPr>
        <w:t xml:space="preserve">, ir atsiunčiant elektroniniu paštu (adresu </w:t>
      </w:r>
      <w:r w:rsidR="00387002" w:rsidRPr="002F4C6C">
        <w:rPr>
          <w:rFonts w:ascii="Times New Roman" w:hAnsi="Times New Roman"/>
          <w:color w:val="0033CC"/>
        </w:rPr>
        <w:t>NepageidaujamaR@vvkt.lt</w:t>
      </w:r>
      <w:r w:rsidR="00387002" w:rsidRPr="002F4C6C">
        <w:rPr>
          <w:rFonts w:ascii="Times New Roman" w:hAnsi="Times New Roman"/>
        </w:rPr>
        <w:t>) arba nemokamu telefonu 8 800 73 568.</w:t>
      </w:r>
      <w:r w:rsidR="00BA4E50">
        <w:rPr>
          <w:rFonts w:ascii="Times New Roman" w:hAnsi="Times New Roman"/>
        </w:rPr>
        <w:t xml:space="preserve"> </w:t>
      </w:r>
      <w:r w:rsidR="00BA4E50" w:rsidRPr="00933AB9">
        <w:rPr>
          <w:rFonts w:ascii="Times New Roman" w:hAnsi="Times New Roman"/>
          <w:color w:val="000000"/>
        </w:rPr>
        <w:t>Pranešdami apie šalutinį poveikį galite mums padėti gauti daugiau informacijos apie šio vaisto saugumą.</w:t>
      </w: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ind w:left="567" w:right="-2" w:hanging="567"/>
        <w:rPr>
          <w:rFonts w:ascii="Times New Roman" w:hAnsi="Times New Roman"/>
        </w:rPr>
      </w:pPr>
      <w:r w:rsidRPr="002F4C6C">
        <w:rPr>
          <w:rFonts w:ascii="Times New Roman" w:hAnsi="Times New Roman"/>
          <w:b/>
        </w:rPr>
        <w:t>5.</w:t>
      </w:r>
      <w:r w:rsidRPr="002F4C6C">
        <w:rPr>
          <w:rFonts w:ascii="Times New Roman" w:hAnsi="Times New Roman"/>
          <w:b/>
        </w:rPr>
        <w:tab/>
        <w:t xml:space="preserve">Kaip laikyti </w:t>
      </w:r>
      <w:r w:rsidRPr="002F4C6C">
        <w:rPr>
          <w:rFonts w:ascii="Times New Roman" w:eastAsia="Times New Roman" w:hAnsi="Times New Roman"/>
          <w:b/>
        </w:rPr>
        <w:t>Perindopril tosilate/Amlodipine Teva Pharma</w:t>
      </w:r>
    </w:p>
    <w:p w:rsidR="00E250E1" w:rsidRPr="002F4C6C" w:rsidRDefault="00E250E1">
      <w:pPr>
        <w:spacing w:after="0" w:line="240" w:lineRule="auto"/>
        <w:ind w:left="567" w:right="-2" w:hanging="567"/>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rPr>
        <w:t>Šį vaistą laikykite vaikams nepastebimoje ir nepasiekiamoje vietoje.</w:t>
      </w:r>
    </w:p>
    <w:p w:rsidR="00E250E1" w:rsidRPr="002F4C6C" w:rsidRDefault="00E250E1">
      <w:pPr>
        <w:spacing w:after="0" w:line="240" w:lineRule="auto"/>
        <w:rPr>
          <w:rFonts w:ascii="Times New Roman" w:hAnsi="Times New Roman"/>
          <w:u w:val="single"/>
        </w:rPr>
      </w:pPr>
    </w:p>
    <w:p w:rsidR="00E250E1" w:rsidRPr="002F4C6C" w:rsidRDefault="00E250E1">
      <w:pPr>
        <w:spacing w:after="0" w:line="240" w:lineRule="auto"/>
        <w:rPr>
          <w:rFonts w:ascii="Times New Roman" w:hAnsi="Times New Roman"/>
        </w:rPr>
      </w:pPr>
      <w:r w:rsidRPr="002F4C6C">
        <w:rPr>
          <w:rFonts w:ascii="Times New Roman" w:hAnsi="Times New Roman"/>
        </w:rPr>
        <w:t>Ant kartono dėžutės ir</w:t>
      </w:r>
      <w:r w:rsidR="00934093" w:rsidRPr="002F4C6C">
        <w:rPr>
          <w:rFonts w:ascii="Times New Roman" w:hAnsi="Times New Roman"/>
        </w:rPr>
        <w:t xml:space="preserve"> </w:t>
      </w:r>
      <w:r w:rsidR="00CC6EE5" w:rsidRPr="002F4C6C">
        <w:rPr>
          <w:rFonts w:ascii="Times New Roman" w:hAnsi="Times New Roman"/>
        </w:rPr>
        <w:t xml:space="preserve">tablečių </w:t>
      </w:r>
      <w:r w:rsidRPr="002F4C6C">
        <w:rPr>
          <w:rFonts w:ascii="Times New Roman" w:hAnsi="Times New Roman"/>
        </w:rPr>
        <w:t>talpyklės po „EXP“ nurodytam tinkamumo laikui pasibaigus, šio vaisto vartoti negalima. Vaistas tinkamas vartoti iki paskutinės nurodyto mėnesio dienos.</w:t>
      </w:r>
    </w:p>
    <w:p w:rsidR="00E250E1" w:rsidRPr="002F4C6C" w:rsidRDefault="00E250E1">
      <w:pPr>
        <w:tabs>
          <w:tab w:val="left" w:pos="540"/>
        </w:tabs>
        <w:spacing w:after="0" w:line="240" w:lineRule="auto"/>
        <w:rPr>
          <w:rFonts w:ascii="Times New Roman" w:hAnsi="Times New Roman"/>
        </w:rPr>
      </w:pP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rPr>
        <w:t xml:space="preserve">Šio vaisto laikymui specialių temperatūros sąlygų nereikalaujama. </w:t>
      </w:r>
    </w:p>
    <w:p w:rsidR="00E250E1" w:rsidRPr="002F4C6C" w:rsidRDefault="00E250E1">
      <w:pPr>
        <w:tabs>
          <w:tab w:val="left" w:pos="540"/>
        </w:tabs>
        <w:spacing w:after="0" w:line="240" w:lineRule="auto"/>
        <w:rPr>
          <w:rFonts w:ascii="Times New Roman" w:hAnsi="Times New Roman"/>
        </w:rPr>
      </w:pPr>
      <w:r w:rsidRPr="002F4C6C">
        <w:rPr>
          <w:rFonts w:ascii="Times New Roman" w:hAnsi="Times New Roman"/>
        </w:rPr>
        <w:lastRenderedPageBreak/>
        <w:t>Laikykite gamintojo pakuotėje, kad vaistas būtų apsaugotas nuo šviesos ir drėgmės.</w:t>
      </w:r>
    </w:p>
    <w:p w:rsidR="00E250E1" w:rsidRPr="002F4C6C" w:rsidRDefault="00E250E1">
      <w:pPr>
        <w:spacing w:after="0" w:line="240" w:lineRule="auto"/>
        <w:rPr>
          <w:rFonts w:ascii="Times New Roman" w:hAnsi="Times New Roman"/>
        </w:rPr>
      </w:pPr>
      <w:r w:rsidRPr="002F4C6C">
        <w:rPr>
          <w:rFonts w:ascii="Times New Roman" w:hAnsi="Times New Roman"/>
        </w:rPr>
        <w:t>Talpyklę laikyti sandarią.</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Vaistų negalima išmesti į kanalizaciją arba su buitinėmis</w:t>
      </w:r>
      <w:r w:rsidRPr="002F4C6C">
        <w:rPr>
          <w:rFonts w:ascii="Times New Roman" w:hAnsi="Times New Roman"/>
          <w:color w:val="993366"/>
        </w:rPr>
        <w:t xml:space="preserve"> </w:t>
      </w:r>
      <w:r w:rsidRPr="002F4C6C">
        <w:rPr>
          <w:rFonts w:ascii="Times New Roman" w:hAnsi="Times New Roman"/>
        </w:rPr>
        <w:t>atliekomis. Kaip išmesti nereikalingus vaistus, klauskite vaistininko. Šios priemonės padės apsaugoti aplinką.</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ind w:right="-2"/>
        <w:rPr>
          <w:rFonts w:ascii="Times New Roman" w:hAnsi="Times New Roman"/>
          <w:b/>
        </w:rPr>
      </w:pPr>
    </w:p>
    <w:p w:rsidR="00E250E1" w:rsidRPr="002F4C6C" w:rsidRDefault="00E250E1">
      <w:pPr>
        <w:tabs>
          <w:tab w:val="left" w:pos="567"/>
        </w:tabs>
        <w:autoSpaceDE w:val="0"/>
        <w:spacing w:after="0" w:line="240" w:lineRule="auto"/>
        <w:rPr>
          <w:rFonts w:ascii="Times New Roman" w:hAnsi="Times New Roman"/>
        </w:rPr>
      </w:pPr>
      <w:r w:rsidRPr="002F4C6C">
        <w:rPr>
          <w:rFonts w:ascii="Times New Roman" w:hAnsi="Times New Roman"/>
          <w:b/>
        </w:rPr>
        <w:t>6.</w:t>
      </w:r>
      <w:r w:rsidRPr="002F4C6C">
        <w:rPr>
          <w:rFonts w:ascii="Times New Roman" w:hAnsi="Times New Roman"/>
          <w:b/>
        </w:rPr>
        <w:tab/>
      </w:r>
      <w:r w:rsidRPr="002F4C6C">
        <w:rPr>
          <w:rFonts w:ascii="Times New Roman" w:hAnsi="Times New Roman"/>
          <w:b/>
          <w:color w:val="000000"/>
        </w:rPr>
        <w:t>Pakuotės turinys ir kita informacija</w:t>
      </w:r>
    </w:p>
    <w:p w:rsidR="00E250E1" w:rsidRPr="002F4C6C" w:rsidRDefault="00E250E1">
      <w:pPr>
        <w:tabs>
          <w:tab w:val="left" w:pos="540"/>
        </w:tabs>
        <w:spacing w:after="0" w:line="240" w:lineRule="auto"/>
        <w:ind w:right="-2"/>
        <w:rPr>
          <w:rFonts w:ascii="Times New Roman" w:hAnsi="Times New Roman"/>
          <w:b/>
          <w:color w:val="000000"/>
        </w:rPr>
      </w:pPr>
    </w:p>
    <w:p w:rsidR="00E250E1" w:rsidRPr="002F4C6C" w:rsidRDefault="00E250E1">
      <w:pPr>
        <w:spacing w:after="0" w:line="240" w:lineRule="auto"/>
        <w:ind w:left="567" w:hanging="567"/>
        <w:rPr>
          <w:rFonts w:ascii="Times New Roman" w:hAnsi="Times New Roman"/>
        </w:rPr>
      </w:pPr>
      <w:r w:rsidRPr="002F4C6C">
        <w:rPr>
          <w:rFonts w:ascii="Times New Roman" w:eastAsia="Times New Roman" w:hAnsi="Times New Roman"/>
          <w:b/>
        </w:rPr>
        <w:t xml:space="preserve">Perindopril tosilate/Amlodipine Teva Pharma </w:t>
      </w:r>
      <w:r w:rsidRPr="002F4C6C">
        <w:rPr>
          <w:rFonts w:ascii="Times New Roman" w:hAnsi="Times New Roman"/>
          <w:b/>
        </w:rPr>
        <w:t>sudėtis</w:t>
      </w:r>
    </w:p>
    <w:p w:rsidR="00E250E1" w:rsidRPr="002F4C6C" w:rsidRDefault="00E250E1">
      <w:pPr>
        <w:autoSpaceDE w:val="0"/>
        <w:spacing w:after="0" w:line="240" w:lineRule="auto"/>
        <w:rPr>
          <w:rFonts w:ascii="Times New Roman" w:hAnsi="Times New Roman"/>
          <w:b/>
        </w:rPr>
      </w:pPr>
    </w:p>
    <w:p w:rsidR="00E250E1" w:rsidRPr="002F4C6C" w:rsidRDefault="00E250E1" w:rsidP="006A60F3">
      <w:pPr>
        <w:numPr>
          <w:ilvl w:val="0"/>
          <w:numId w:val="9"/>
        </w:numPr>
        <w:tabs>
          <w:tab w:val="clear" w:pos="360"/>
          <w:tab w:val="num" w:pos="567"/>
        </w:tabs>
        <w:spacing w:after="0" w:line="240" w:lineRule="auto"/>
        <w:ind w:left="567" w:hanging="567"/>
        <w:rPr>
          <w:rFonts w:ascii="Times New Roman" w:hAnsi="Times New Roman"/>
        </w:rPr>
      </w:pPr>
      <w:r w:rsidRPr="002F4C6C">
        <w:rPr>
          <w:rFonts w:ascii="Times New Roman" w:hAnsi="Times New Roman"/>
        </w:rPr>
        <w:t>Veikliosios medžiagos yra perindoprilio tozilatas ir amlodipinas.</w:t>
      </w:r>
    </w:p>
    <w:p w:rsidR="00E250E1" w:rsidRPr="002F4C6C" w:rsidRDefault="00E250E1">
      <w:pPr>
        <w:pStyle w:val="ListParagraph1"/>
        <w:tabs>
          <w:tab w:val="left" w:pos="567"/>
        </w:tabs>
        <w:spacing w:after="0" w:line="240" w:lineRule="auto"/>
        <w:ind w:left="567"/>
        <w:rPr>
          <w:rFonts w:ascii="Times New Roman" w:hAnsi="Times New Roman"/>
        </w:rPr>
      </w:pPr>
      <w:r w:rsidRPr="002F4C6C">
        <w:rPr>
          <w:rFonts w:ascii="Times New Roman" w:hAnsi="Times New Roman"/>
        </w:rPr>
        <w:t>Kiekvienoje tabletėje 10,0 mg perindoprilio tozilato, atitinkančio 6,8 mg perindoprilio ir 6,935 mg amlodipino besilato, atitinkančio 5,0 mg amlodipino.</w:t>
      </w:r>
    </w:p>
    <w:p w:rsidR="00E250E1" w:rsidRPr="002F4C6C" w:rsidRDefault="00E250E1">
      <w:pPr>
        <w:pStyle w:val="ListParagraph1"/>
        <w:tabs>
          <w:tab w:val="left" w:pos="567"/>
        </w:tabs>
        <w:spacing w:after="0" w:line="240" w:lineRule="auto"/>
        <w:ind w:left="567"/>
        <w:rPr>
          <w:rFonts w:ascii="Times New Roman" w:hAnsi="Times New Roman"/>
        </w:rPr>
      </w:pPr>
      <w:r w:rsidRPr="002F4C6C">
        <w:rPr>
          <w:rFonts w:ascii="Times New Roman" w:hAnsi="Times New Roman"/>
        </w:rPr>
        <w:t>Kiekvienoje tabletėje 10,0 mg perindoprilio tozilato, atitinkančio 6,8 mg perindoprilio, ir 13,87 mg amlodipino besilato, atitinkančio 10,0 mg amlodipino.</w:t>
      </w:r>
    </w:p>
    <w:p w:rsidR="00E250E1" w:rsidRPr="002F4C6C" w:rsidRDefault="00E250E1">
      <w:pPr>
        <w:pStyle w:val="ListParagraph1"/>
        <w:numPr>
          <w:ilvl w:val="0"/>
          <w:numId w:val="4"/>
        </w:numPr>
        <w:autoSpaceDE w:val="0"/>
        <w:spacing w:after="0" w:line="240" w:lineRule="auto"/>
        <w:ind w:left="567" w:hanging="567"/>
        <w:rPr>
          <w:rFonts w:ascii="Times New Roman" w:hAnsi="Times New Roman"/>
        </w:rPr>
      </w:pPr>
      <w:r w:rsidRPr="002F4C6C">
        <w:rPr>
          <w:rFonts w:ascii="Times New Roman" w:hAnsi="Times New Roman"/>
          <w:lang w:eastAsia="lt-LT"/>
        </w:rPr>
        <w:t xml:space="preserve">Pagalbinės medžiagos: </w:t>
      </w:r>
      <w:r w:rsidRPr="002F4C6C">
        <w:rPr>
          <w:rFonts w:ascii="Times New Roman" w:hAnsi="Times New Roman"/>
        </w:rPr>
        <w:t>natrio-vandenilio karbonatas, povidonas K30, izomaltas, mikrokristalinė celiuliozė, karboksimetilkrakmolo A natrio druska, magnio stearatas.</w:t>
      </w:r>
    </w:p>
    <w:p w:rsidR="00E250E1" w:rsidRPr="002F4C6C" w:rsidRDefault="00E250E1">
      <w:pPr>
        <w:autoSpaceDE w:val="0"/>
        <w:spacing w:after="0" w:line="240" w:lineRule="auto"/>
        <w:ind w:left="360"/>
        <w:contextualSpacing/>
        <w:rPr>
          <w:rFonts w:ascii="Times New Roman" w:hAnsi="Times New Roman"/>
          <w:i/>
        </w:rPr>
      </w:pPr>
    </w:p>
    <w:p w:rsidR="00E250E1" w:rsidRPr="002F4C6C" w:rsidRDefault="00E250E1">
      <w:pPr>
        <w:spacing w:after="0" w:line="240" w:lineRule="auto"/>
        <w:ind w:left="567" w:hanging="567"/>
        <w:rPr>
          <w:rFonts w:ascii="Times New Roman" w:hAnsi="Times New Roman"/>
        </w:rPr>
      </w:pPr>
      <w:r w:rsidRPr="002F4C6C">
        <w:rPr>
          <w:rFonts w:ascii="Times New Roman" w:eastAsia="Times New Roman" w:hAnsi="Times New Roman"/>
          <w:b/>
        </w:rPr>
        <w:t xml:space="preserve">Perindopril tosilate/Amlodipine Teva Pharma </w:t>
      </w:r>
      <w:r w:rsidRPr="002F4C6C">
        <w:rPr>
          <w:rFonts w:ascii="Times New Roman" w:hAnsi="Times New Roman"/>
          <w:b/>
        </w:rPr>
        <w:t>išvaizda ir kiekis pakuotėje</w:t>
      </w:r>
    </w:p>
    <w:p w:rsidR="00E250E1" w:rsidRPr="002F4C6C" w:rsidRDefault="00E250E1">
      <w:pPr>
        <w:spacing w:after="0" w:line="240" w:lineRule="auto"/>
        <w:ind w:right="-2"/>
        <w:rPr>
          <w:rFonts w:ascii="Times New Roman" w:hAnsi="Times New Roman"/>
          <w:b/>
        </w:rPr>
      </w:pP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mg/5 mg tabletės yra b</w:t>
      </w:r>
      <w:r w:rsidRPr="002F4C6C">
        <w:rPr>
          <w:rFonts w:ascii="Times New Roman" w:hAnsi="Times New Roman"/>
        </w:rPr>
        <w:t>altos, ovalios abipus išgaubtos, tabletės, vienoje pusėje yra įspaudas „10/5“, kita pusė lygi.</w:t>
      </w:r>
    </w:p>
    <w:p w:rsidR="00E250E1" w:rsidRPr="002F4C6C" w:rsidRDefault="00E250E1">
      <w:pPr>
        <w:shd w:val="clear" w:color="auto" w:fill="FFFFFF"/>
        <w:spacing w:after="0" w:line="240" w:lineRule="auto"/>
        <w:rPr>
          <w:rFonts w:ascii="Times New Roman" w:hAnsi="Times New Roman"/>
        </w:rPr>
      </w:pPr>
      <w:r w:rsidRPr="002F4C6C">
        <w:rPr>
          <w:rFonts w:ascii="Times New Roman" w:eastAsia="Times New Roman" w:hAnsi="Times New Roman"/>
        </w:rPr>
        <w:t>Perindopril tosilate/Amlodipine Teva Pharma 10 mg/10 mg tabletės yra b</w:t>
      </w:r>
      <w:r w:rsidRPr="002F4C6C">
        <w:rPr>
          <w:rFonts w:ascii="Times New Roman" w:hAnsi="Times New Roman"/>
        </w:rPr>
        <w:t>altos, apvalios abipus išgaubtos, tabletės, vienoje pusėje yra įspaudas „10/10“, kita pusė lygi.</w:t>
      </w:r>
    </w:p>
    <w:p w:rsidR="00E250E1" w:rsidRPr="002F4C6C" w:rsidRDefault="00E250E1">
      <w:pPr>
        <w:shd w:val="clear" w:color="auto" w:fill="FFFFFF"/>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eastAsia="Times New Roman" w:hAnsi="Times New Roman"/>
        </w:rPr>
        <w:t xml:space="preserve">Perindopril tosilate/Amlodipine Teva Pharma </w:t>
      </w:r>
      <w:r w:rsidR="00FE485D" w:rsidRPr="002F4C6C">
        <w:rPr>
          <w:rFonts w:ascii="Times New Roman" w:eastAsia="Times New Roman" w:hAnsi="Times New Roman"/>
        </w:rPr>
        <w:t xml:space="preserve">(10 mg/5 mg ir </w:t>
      </w:r>
      <w:r w:rsidRPr="002F4C6C">
        <w:rPr>
          <w:rFonts w:ascii="Times New Roman" w:eastAsia="Times New Roman" w:hAnsi="Times New Roman"/>
        </w:rPr>
        <w:t>10 mg/10 mg</w:t>
      </w:r>
      <w:r w:rsidR="00FE485D" w:rsidRPr="002F4C6C">
        <w:rPr>
          <w:rFonts w:ascii="Times New Roman" w:eastAsia="Times New Roman" w:hAnsi="Times New Roman"/>
        </w:rPr>
        <w:t>)</w:t>
      </w:r>
      <w:r w:rsidRPr="002F4C6C">
        <w:rPr>
          <w:rFonts w:ascii="Times New Roman" w:hAnsi="Times New Roman"/>
          <w:color w:val="000000"/>
        </w:rPr>
        <w:t xml:space="preserve"> tabletės tiekiamos polipropileno tablečių talpyklėje su dangteliu, kuriame yra sausiklio. </w:t>
      </w: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rPr>
          <w:rFonts w:ascii="Times New Roman" w:hAnsi="Times New Roman"/>
        </w:rPr>
      </w:pPr>
      <w:r w:rsidRPr="002F4C6C">
        <w:rPr>
          <w:rFonts w:ascii="Times New Roman" w:hAnsi="Times New Roman"/>
        </w:rPr>
        <w:t>Pakuočių dydžiai:</w:t>
      </w:r>
    </w:p>
    <w:p w:rsidR="00E250E1" w:rsidRPr="002F4C6C" w:rsidRDefault="00E250E1">
      <w:pPr>
        <w:spacing w:after="0" w:line="240" w:lineRule="auto"/>
        <w:rPr>
          <w:rFonts w:ascii="Times New Roman" w:hAnsi="Times New Roman"/>
        </w:rPr>
      </w:pPr>
      <w:r w:rsidRPr="002F4C6C">
        <w:rPr>
          <w:rFonts w:ascii="Times New Roman" w:hAnsi="Times New Roman"/>
        </w:rPr>
        <w:t xml:space="preserve">10 mg/5 mg, 10 mg/10 mg: 30 ir sudėtinė </w:t>
      </w:r>
      <w:r w:rsidRPr="002F4C6C">
        <w:rPr>
          <w:rFonts w:ascii="Times New Roman" w:hAnsi="Times New Roman"/>
          <w:color w:val="000000"/>
        </w:rPr>
        <w:t>pakuotė, kurioje yra</w:t>
      </w:r>
      <w:r w:rsidRPr="002F4C6C">
        <w:rPr>
          <w:rFonts w:ascii="Times New Roman" w:hAnsi="Times New Roman"/>
        </w:rPr>
        <w:t xml:space="preserve"> </w:t>
      </w:r>
      <w:r w:rsidRPr="002F4C6C">
        <w:rPr>
          <w:rFonts w:ascii="Times New Roman" w:hAnsi="Times New Roman"/>
          <w:color w:val="000000"/>
        </w:rPr>
        <w:t>90 (3x30</w:t>
      </w:r>
      <w:r w:rsidRPr="002F4C6C">
        <w:rPr>
          <w:rFonts w:ascii="Times New Roman" w:hAnsi="Times New Roman"/>
          <w:color w:val="000000"/>
          <w:lang w:eastAsia="en-GB"/>
        </w:rPr>
        <w:t xml:space="preserve">) </w:t>
      </w:r>
      <w:r w:rsidRPr="002F4C6C">
        <w:rPr>
          <w:rFonts w:ascii="Times New Roman" w:hAnsi="Times New Roman"/>
          <w:color w:val="000000"/>
        </w:rPr>
        <w:t>tablečių.</w:t>
      </w:r>
    </w:p>
    <w:p w:rsidR="00E250E1" w:rsidRPr="002F4C6C" w:rsidRDefault="00E250E1">
      <w:pPr>
        <w:spacing w:after="0" w:line="240" w:lineRule="auto"/>
        <w:rPr>
          <w:rFonts w:ascii="Times New Roman" w:hAnsi="Times New Roman"/>
          <w:color w:val="000000"/>
        </w:rPr>
      </w:pPr>
    </w:p>
    <w:p w:rsidR="00E250E1" w:rsidRPr="002F4C6C" w:rsidRDefault="00E250E1">
      <w:pPr>
        <w:spacing w:after="0" w:line="240" w:lineRule="auto"/>
        <w:rPr>
          <w:rFonts w:ascii="Times New Roman" w:hAnsi="Times New Roman"/>
        </w:rPr>
      </w:pPr>
      <w:r w:rsidRPr="002F4C6C">
        <w:rPr>
          <w:rFonts w:ascii="Times New Roman" w:hAnsi="Times New Roman"/>
        </w:rPr>
        <w:t>Gali būti tiekiamos ne visų dydžių pakuotės.</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b/>
        </w:rPr>
        <w:t>Registruotojas ir gamintojas</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rPr>
          <w:rFonts w:ascii="Times New Roman" w:hAnsi="Times New Roman"/>
        </w:rPr>
      </w:pPr>
      <w:r w:rsidRPr="002F4C6C">
        <w:rPr>
          <w:rFonts w:ascii="Times New Roman" w:hAnsi="Times New Roman"/>
          <w:i/>
        </w:rPr>
        <w:t>Registruotojas</w:t>
      </w:r>
    </w:p>
    <w:p w:rsidR="00E250E1" w:rsidRPr="002F4C6C" w:rsidRDefault="00E250E1">
      <w:pPr>
        <w:spacing w:after="0" w:line="240" w:lineRule="auto"/>
        <w:rPr>
          <w:rFonts w:ascii="Times New Roman" w:hAnsi="Times New Roman"/>
        </w:rPr>
      </w:pPr>
      <w:r w:rsidRPr="002F4C6C">
        <w:rPr>
          <w:rFonts w:ascii="Times New Roman" w:hAnsi="Times New Roman"/>
        </w:rPr>
        <w:t>Teva Pharma B.V.</w:t>
      </w:r>
    </w:p>
    <w:p w:rsidR="00E250E1" w:rsidRPr="002F4C6C" w:rsidRDefault="00E250E1">
      <w:pPr>
        <w:spacing w:after="0" w:line="240" w:lineRule="auto"/>
        <w:rPr>
          <w:rFonts w:ascii="Times New Roman" w:hAnsi="Times New Roman"/>
        </w:rPr>
      </w:pPr>
      <w:r w:rsidRPr="002F4C6C">
        <w:rPr>
          <w:rFonts w:ascii="Times New Roman" w:hAnsi="Times New Roman"/>
        </w:rPr>
        <w:t>Swensweg 5</w:t>
      </w:r>
    </w:p>
    <w:p w:rsidR="00E250E1" w:rsidRPr="002F4C6C" w:rsidRDefault="00E250E1">
      <w:pPr>
        <w:spacing w:after="0" w:line="240" w:lineRule="auto"/>
        <w:rPr>
          <w:rFonts w:ascii="Times New Roman" w:hAnsi="Times New Roman"/>
        </w:rPr>
      </w:pPr>
      <w:r w:rsidRPr="002F4C6C">
        <w:rPr>
          <w:rFonts w:ascii="Times New Roman" w:hAnsi="Times New Roman"/>
        </w:rPr>
        <w:t xml:space="preserve">2031 GA Haarlem </w:t>
      </w:r>
    </w:p>
    <w:p w:rsidR="00E250E1" w:rsidRPr="002F4C6C" w:rsidRDefault="00E250E1">
      <w:pPr>
        <w:spacing w:after="0" w:line="240" w:lineRule="auto"/>
        <w:rPr>
          <w:rFonts w:ascii="Times New Roman" w:hAnsi="Times New Roman"/>
        </w:rPr>
      </w:pPr>
      <w:r w:rsidRPr="002F4C6C">
        <w:rPr>
          <w:rFonts w:ascii="Times New Roman" w:hAnsi="Times New Roman"/>
        </w:rPr>
        <w:t>Nyderlandai</w:t>
      </w:r>
    </w:p>
    <w:p w:rsidR="00E250E1" w:rsidRPr="002F4C6C" w:rsidRDefault="00E250E1">
      <w:pPr>
        <w:spacing w:after="0" w:line="240" w:lineRule="auto"/>
        <w:ind w:left="567" w:hanging="567"/>
        <w:rPr>
          <w:rFonts w:ascii="Times New Roman" w:hAnsi="Times New Roman"/>
          <w:b/>
        </w:rPr>
      </w:pPr>
    </w:p>
    <w:p w:rsidR="00E250E1" w:rsidRPr="002F4C6C" w:rsidRDefault="00E250E1">
      <w:pPr>
        <w:spacing w:after="0" w:line="240" w:lineRule="auto"/>
        <w:ind w:left="567" w:hanging="567"/>
        <w:rPr>
          <w:rFonts w:ascii="Times New Roman" w:hAnsi="Times New Roman"/>
        </w:rPr>
      </w:pPr>
      <w:r w:rsidRPr="002F4C6C">
        <w:rPr>
          <w:rFonts w:ascii="Times New Roman" w:hAnsi="Times New Roman"/>
          <w:i/>
        </w:rPr>
        <w:t>Gamintojas</w:t>
      </w:r>
    </w:p>
    <w:p w:rsidR="00E250E1" w:rsidRPr="002F4C6C" w:rsidRDefault="00E250E1">
      <w:pPr>
        <w:shd w:val="clear" w:color="auto" w:fill="FFFFFF"/>
        <w:spacing w:after="0" w:line="240" w:lineRule="auto"/>
        <w:rPr>
          <w:rFonts w:ascii="Times New Roman" w:hAnsi="Times New Roman"/>
        </w:rPr>
      </w:pPr>
      <w:r w:rsidRPr="00933AB9">
        <w:rPr>
          <w:rFonts w:ascii="Times New Roman" w:eastAsia="Times New Roman" w:hAnsi="Times New Roman"/>
        </w:rPr>
        <w:t>TEVA Gyógyszergyár Zrt.</w:t>
      </w:r>
    </w:p>
    <w:p w:rsidR="00E250E1" w:rsidRPr="002F4C6C" w:rsidRDefault="00E250E1">
      <w:pPr>
        <w:spacing w:after="0" w:line="240" w:lineRule="auto"/>
        <w:rPr>
          <w:rFonts w:ascii="Times New Roman" w:hAnsi="Times New Roman"/>
        </w:rPr>
      </w:pPr>
      <w:r w:rsidRPr="002F4C6C">
        <w:rPr>
          <w:rFonts w:ascii="Times New Roman" w:hAnsi="Times New Roman"/>
        </w:rPr>
        <w:t>Pallagi út 13</w:t>
      </w:r>
    </w:p>
    <w:p w:rsidR="00E250E1" w:rsidRPr="002F4C6C" w:rsidRDefault="00E250E1">
      <w:pPr>
        <w:spacing w:after="0" w:line="240" w:lineRule="auto"/>
        <w:rPr>
          <w:rFonts w:ascii="Times New Roman" w:hAnsi="Times New Roman"/>
        </w:rPr>
      </w:pPr>
      <w:r w:rsidRPr="002F4C6C">
        <w:rPr>
          <w:rFonts w:ascii="Times New Roman" w:hAnsi="Times New Roman"/>
        </w:rPr>
        <w:t xml:space="preserve">4042 Debrecen </w:t>
      </w:r>
    </w:p>
    <w:p w:rsidR="00E250E1" w:rsidRPr="002F4C6C" w:rsidRDefault="00E250E1">
      <w:pPr>
        <w:spacing w:after="0" w:line="240" w:lineRule="auto"/>
        <w:rPr>
          <w:rFonts w:ascii="Times New Roman" w:hAnsi="Times New Roman"/>
        </w:rPr>
      </w:pPr>
      <w:r w:rsidRPr="002F4C6C">
        <w:rPr>
          <w:rFonts w:ascii="Times New Roman" w:hAnsi="Times New Roman"/>
        </w:rPr>
        <w:t>Vengrija</w:t>
      </w:r>
    </w:p>
    <w:p w:rsidR="00E250E1" w:rsidRPr="002F4C6C" w:rsidRDefault="00E250E1">
      <w:pPr>
        <w:spacing w:after="0" w:line="240" w:lineRule="auto"/>
        <w:rPr>
          <w:rFonts w:ascii="Times New Roman" w:hAnsi="Times New Roman"/>
        </w:rPr>
      </w:pPr>
    </w:p>
    <w:p w:rsidR="008313A7" w:rsidRPr="002F4C6C" w:rsidRDefault="008313A7" w:rsidP="008313A7">
      <w:pPr>
        <w:spacing w:after="0" w:line="240" w:lineRule="auto"/>
        <w:rPr>
          <w:rFonts w:ascii="Times New Roman" w:hAnsi="Times New Roman"/>
        </w:rPr>
      </w:pPr>
      <w:r w:rsidRPr="002F4C6C">
        <w:rPr>
          <w:rFonts w:ascii="Times New Roman" w:hAnsi="Times New Roman"/>
        </w:rPr>
        <w:t>Teva Operations Poland Sp z.o.o</w:t>
      </w:r>
    </w:p>
    <w:p w:rsidR="008313A7" w:rsidRPr="002F4C6C" w:rsidRDefault="008313A7" w:rsidP="008313A7">
      <w:pPr>
        <w:spacing w:after="0" w:line="240" w:lineRule="auto"/>
        <w:rPr>
          <w:rFonts w:ascii="Times New Roman" w:hAnsi="Times New Roman"/>
        </w:rPr>
      </w:pPr>
      <w:r w:rsidRPr="002F4C6C">
        <w:rPr>
          <w:rFonts w:ascii="Times New Roman" w:hAnsi="Times New Roman"/>
        </w:rPr>
        <w:t>ul. Mogilska 80. 31-546</w:t>
      </w:r>
    </w:p>
    <w:p w:rsidR="008313A7" w:rsidRPr="002F4C6C" w:rsidRDefault="008313A7" w:rsidP="008313A7">
      <w:pPr>
        <w:spacing w:after="0" w:line="240" w:lineRule="auto"/>
        <w:rPr>
          <w:rFonts w:ascii="Times New Roman" w:hAnsi="Times New Roman"/>
        </w:rPr>
      </w:pPr>
      <w:r w:rsidRPr="002F4C6C">
        <w:rPr>
          <w:rFonts w:ascii="Times New Roman" w:hAnsi="Times New Roman"/>
        </w:rPr>
        <w:t>Krakow, Lenkija</w:t>
      </w:r>
    </w:p>
    <w:p w:rsidR="008313A7" w:rsidRPr="002F4C6C" w:rsidRDefault="008313A7" w:rsidP="008313A7">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Jeigu apie šį vaistą norite sužinoti daugiau, kreipkitės į vietinį registruotojo atstovą.</w:t>
      </w:r>
    </w:p>
    <w:p w:rsidR="00E250E1" w:rsidRPr="002F4C6C" w:rsidRDefault="00E250E1">
      <w:pPr>
        <w:spacing w:after="0" w:line="240" w:lineRule="auto"/>
        <w:ind w:right="-2"/>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UAB Teva Baltics</w:t>
      </w:r>
    </w:p>
    <w:p w:rsidR="00E250E1" w:rsidRPr="002F4C6C" w:rsidRDefault="00E250E1">
      <w:pPr>
        <w:spacing w:after="0" w:line="240" w:lineRule="auto"/>
        <w:rPr>
          <w:rFonts w:ascii="Times New Roman" w:hAnsi="Times New Roman"/>
        </w:rPr>
      </w:pPr>
      <w:r w:rsidRPr="002F4C6C">
        <w:rPr>
          <w:rFonts w:ascii="Times New Roman" w:hAnsi="Times New Roman"/>
        </w:rPr>
        <w:t>Molėtų pl. 5</w:t>
      </w:r>
    </w:p>
    <w:p w:rsidR="00E250E1" w:rsidRPr="002F4C6C" w:rsidRDefault="00E250E1">
      <w:pPr>
        <w:spacing w:after="0" w:line="240" w:lineRule="auto"/>
        <w:rPr>
          <w:rFonts w:ascii="Times New Roman" w:hAnsi="Times New Roman"/>
        </w:rPr>
      </w:pPr>
      <w:r w:rsidRPr="002F4C6C">
        <w:rPr>
          <w:rFonts w:ascii="Times New Roman" w:hAnsi="Times New Roman"/>
        </w:rPr>
        <w:t>LT-08409 Vilnius</w:t>
      </w:r>
    </w:p>
    <w:p w:rsidR="00E250E1" w:rsidRPr="002F4C6C" w:rsidRDefault="00E250E1">
      <w:pPr>
        <w:spacing w:after="0" w:line="240" w:lineRule="auto"/>
        <w:rPr>
          <w:rFonts w:ascii="Times New Roman" w:hAnsi="Times New Roman"/>
        </w:rPr>
      </w:pPr>
      <w:r w:rsidRPr="002F4C6C">
        <w:rPr>
          <w:rFonts w:ascii="Times New Roman" w:hAnsi="Times New Roman"/>
        </w:rPr>
        <w:t>Tel.: +370 5 266 02 03</w:t>
      </w:r>
    </w:p>
    <w:p w:rsidR="00E250E1" w:rsidRPr="002F4C6C" w:rsidRDefault="00E250E1">
      <w:pPr>
        <w:spacing w:after="0" w:line="240" w:lineRule="auto"/>
        <w:ind w:right="-2"/>
        <w:rPr>
          <w:rFonts w:ascii="Times New Roman" w:hAnsi="Times New Roman"/>
          <w:b/>
        </w:rPr>
      </w:pPr>
    </w:p>
    <w:p w:rsidR="00E250E1" w:rsidRPr="002F4C6C" w:rsidRDefault="00E250E1">
      <w:pPr>
        <w:spacing w:after="0" w:line="240" w:lineRule="auto"/>
        <w:ind w:right="-2"/>
        <w:rPr>
          <w:rFonts w:ascii="Times New Roman" w:hAnsi="Times New Roman"/>
        </w:rPr>
      </w:pPr>
      <w:r w:rsidRPr="002F4C6C">
        <w:rPr>
          <w:rFonts w:ascii="Times New Roman" w:hAnsi="Times New Roman"/>
          <w:b/>
        </w:rPr>
        <w:t xml:space="preserve">Šis vaistas </w:t>
      </w:r>
      <w:r w:rsidR="002F4C6C" w:rsidRPr="002F4C6C">
        <w:rPr>
          <w:rFonts w:ascii="Times New Roman" w:hAnsi="Times New Roman"/>
          <w:b/>
        </w:rPr>
        <w:t>E</w:t>
      </w:r>
      <w:r w:rsidR="002F4C6C">
        <w:rPr>
          <w:rFonts w:ascii="Times New Roman" w:hAnsi="Times New Roman"/>
          <w:b/>
        </w:rPr>
        <w:t>uropos ekonominės erdvės</w:t>
      </w:r>
      <w:r w:rsidR="002F4C6C" w:rsidRPr="002F4C6C">
        <w:rPr>
          <w:rFonts w:ascii="Times New Roman" w:hAnsi="Times New Roman"/>
          <w:b/>
        </w:rPr>
        <w:t xml:space="preserve"> </w:t>
      </w:r>
      <w:r w:rsidRPr="002F4C6C">
        <w:rPr>
          <w:rFonts w:ascii="Times New Roman" w:hAnsi="Times New Roman"/>
          <w:b/>
        </w:rPr>
        <w:t>valstybėse narėse registruotas tokiais pavadinimais</w:t>
      </w:r>
      <w:r w:rsidRPr="002F4C6C">
        <w:rPr>
          <w:rFonts w:ascii="Times New Roman" w:hAnsi="Times New Roman"/>
        </w:rPr>
        <w:t>:</w:t>
      </w:r>
      <w:r w:rsidRPr="002F4C6C">
        <w:rPr>
          <w:rFonts w:ascii="Times New Roman" w:hAnsi="Times New Roman"/>
          <w:b/>
        </w:rPr>
        <w:t xml:space="preserve"> </w:t>
      </w:r>
    </w:p>
    <w:p w:rsidR="00E250E1" w:rsidRPr="002F4C6C" w:rsidRDefault="00E250E1">
      <w:pPr>
        <w:spacing w:after="0" w:line="240" w:lineRule="auto"/>
        <w:ind w:left="567" w:hanging="567"/>
        <w:rPr>
          <w:rFonts w:ascii="Times New Roman" w:hAnsi="Times New Roman"/>
          <w:b/>
        </w:rPr>
      </w:pP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hAnsi="Times New Roman"/>
          <w:b/>
        </w:rPr>
        <w:t xml:space="preserve">Belgija: </w:t>
      </w:r>
      <w:r w:rsidRPr="002F4C6C">
        <w:rPr>
          <w:rFonts w:ascii="Times New Roman" w:eastAsia="TimesNewRoman" w:hAnsi="Times New Roman"/>
          <w:lang w:eastAsia="ja-JP"/>
        </w:rPr>
        <w:t xml:space="preserve">Perindopril / Amlodipine Teva 5 mg/5 mg (5 mg/10 mg; 10 mg/5 mg; 10 mg/10 mg) tabletten, comprimés, Tabletten; </w:t>
      </w:r>
    </w:p>
    <w:p w:rsidR="00E250E1" w:rsidRPr="002F4C6C" w:rsidRDefault="00E250E1">
      <w:pPr>
        <w:autoSpaceDE w:val="0"/>
        <w:spacing w:after="0" w:line="240" w:lineRule="auto"/>
        <w:rPr>
          <w:rFonts w:ascii="Times New Roman" w:hAnsi="Times New Roman"/>
        </w:rPr>
      </w:pPr>
      <w:r w:rsidRPr="002F4C6C">
        <w:rPr>
          <w:rFonts w:ascii="Times New Roman" w:eastAsia="TimesNewRoman" w:hAnsi="Times New Roman"/>
          <w:b/>
          <w:lang w:eastAsia="ja-JP"/>
        </w:rPr>
        <w:t>Bulgarija:</w:t>
      </w:r>
      <w:r w:rsidRPr="002F4C6C">
        <w:rPr>
          <w:rFonts w:ascii="Times New Roman" w:eastAsia="TimesNewRoman" w:hAnsi="Times New Roman"/>
          <w:lang w:eastAsia="ja-JP"/>
        </w:rPr>
        <w:t xml:space="preserve"> Залпам 5 mg/5 mg (5 mg/10 mg; 10 mg/5 mg; 10 mg/10 mg) таблетки</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lang w:eastAsia="ja-JP"/>
        </w:rPr>
        <w:t xml:space="preserve">Zalpam 5 mg/5 mg tablets; </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Čekija:</w:t>
      </w:r>
      <w:r w:rsidRPr="002F4C6C">
        <w:rPr>
          <w:rFonts w:ascii="Times New Roman" w:eastAsia="TimesNewRoman" w:hAnsi="Times New Roman"/>
          <w:lang w:eastAsia="ja-JP"/>
        </w:rPr>
        <w:t xml:space="preserve"> Perindopril tosilate/amlodipine Teva B.V.; </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Estija:</w:t>
      </w:r>
      <w:r w:rsidRPr="002F4C6C">
        <w:rPr>
          <w:rFonts w:ascii="Times New Roman" w:eastAsia="TimesNewRoman" w:hAnsi="Times New Roman"/>
          <w:lang w:eastAsia="ja-JP"/>
        </w:rPr>
        <w:t xml:space="preserve"> Perindopril/Amlodipine Actavis;</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Kroatija:</w:t>
      </w:r>
      <w:r w:rsidRPr="002F4C6C">
        <w:rPr>
          <w:rFonts w:ascii="Times New Roman" w:eastAsia="TimesNewRoman" w:hAnsi="Times New Roman"/>
          <w:lang w:eastAsia="ja-JP"/>
        </w:rPr>
        <w:t xml:space="preserve"> </w:t>
      </w:r>
      <w:r w:rsidR="00C208FE" w:rsidRPr="002F4C6C">
        <w:rPr>
          <w:rFonts w:ascii="Times New Roman" w:hAnsi="Times New Roman"/>
          <w:lang w:val="hr-HR"/>
        </w:rPr>
        <w:t>Articel-Am</w:t>
      </w:r>
      <w:r w:rsidRPr="002F4C6C">
        <w:rPr>
          <w:rFonts w:ascii="Times New Roman" w:eastAsia="TimesNewRoman" w:hAnsi="Times New Roman"/>
          <w:lang w:eastAsia="ja-JP"/>
        </w:rPr>
        <w:t xml:space="preserve"> 5 mg/5 mg (5 mg/10 mg; 10 mg/5 mg; 10 mg/10 mg) tablete; </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Airija:</w:t>
      </w:r>
      <w:r w:rsidRPr="002F4C6C">
        <w:rPr>
          <w:rFonts w:ascii="Times New Roman" w:eastAsia="TimesNewRoman" w:hAnsi="Times New Roman"/>
          <w:lang w:eastAsia="ja-JP"/>
        </w:rPr>
        <w:t xml:space="preserve"> Perindopril Tosilate/Amlodipine Teva B.V. 5 mg/5 mg, 5 mg/10 mg, 10 mg/5 mg, 10 mg/10 mg Tablets; </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Italija:</w:t>
      </w:r>
      <w:r w:rsidRPr="002F4C6C">
        <w:rPr>
          <w:rFonts w:ascii="Times New Roman" w:eastAsia="TimesNewRoman" w:hAnsi="Times New Roman"/>
          <w:lang w:eastAsia="ja-JP"/>
        </w:rPr>
        <w:t xml:space="preserve"> PERIDOPRIL E AMLODIPINA TEVA ITALIA; </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Latvija:</w:t>
      </w:r>
      <w:r w:rsidRPr="002F4C6C">
        <w:rPr>
          <w:rFonts w:ascii="Times New Roman" w:eastAsia="TimesNewRoman" w:hAnsi="Times New Roman"/>
          <w:lang w:eastAsia="ja-JP"/>
        </w:rPr>
        <w:t xml:space="preserve"> Perindopril/Amlodipine Actavis 5 mg/ 5mg (5 mg/10 mg ; 10 mg/5 mg ; 10 mg/10 mg ) tabletes; </w:t>
      </w:r>
      <w:r w:rsidRPr="002F4C6C">
        <w:rPr>
          <w:rFonts w:ascii="Times New Roman" w:eastAsia="TimesNewRoman" w:hAnsi="Times New Roman"/>
          <w:b/>
          <w:lang w:eastAsia="ja-JP"/>
        </w:rPr>
        <w:t>Nyderlandai:</w:t>
      </w:r>
      <w:r w:rsidRPr="002F4C6C">
        <w:rPr>
          <w:rFonts w:ascii="Times New Roman" w:eastAsia="TimesNewRoman" w:hAnsi="Times New Roman"/>
          <w:lang w:eastAsia="ja-JP"/>
        </w:rPr>
        <w:t xml:space="preserve"> Perindopril tosilaat/Amlodipine Teva 5 mg/5 mg (5 mg/10 mg; 10 mg/5 mg; 10 mg/10 mg) tabletten; </w:t>
      </w:r>
    </w:p>
    <w:p w:rsidR="003510A2" w:rsidRPr="002F4C6C" w:rsidRDefault="00E250E1">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Lenkija:</w:t>
      </w:r>
      <w:r w:rsidRPr="002F4C6C">
        <w:rPr>
          <w:rFonts w:ascii="Times New Roman" w:eastAsia="TimesNewRoman" w:hAnsi="Times New Roman"/>
          <w:lang w:eastAsia="ja-JP"/>
        </w:rPr>
        <w:t xml:space="preserve"> </w:t>
      </w:r>
      <w:r w:rsidR="00C208FE" w:rsidRPr="002F4C6C">
        <w:rPr>
          <w:rFonts w:ascii="Times New Roman" w:hAnsi="Times New Roman"/>
          <w:lang w:val="hr-HR"/>
        </w:rPr>
        <w:t>Vilpin Combi</w:t>
      </w:r>
      <w:r w:rsidRPr="002F4C6C">
        <w:rPr>
          <w:rFonts w:ascii="Times New Roman" w:eastAsia="TimesNewRoman" w:hAnsi="Times New Roman"/>
          <w:lang w:eastAsia="ja-JP"/>
        </w:rPr>
        <w:t xml:space="preserve">; </w:t>
      </w:r>
    </w:p>
    <w:p w:rsidR="00E250E1" w:rsidRPr="002F4C6C" w:rsidRDefault="00E250E1">
      <w:pPr>
        <w:autoSpaceDE w:val="0"/>
        <w:spacing w:after="0" w:line="240" w:lineRule="auto"/>
        <w:rPr>
          <w:rFonts w:ascii="Times New Roman" w:hAnsi="Times New Roman"/>
        </w:rPr>
      </w:pPr>
      <w:r w:rsidRPr="002F4C6C">
        <w:rPr>
          <w:rFonts w:ascii="Times New Roman" w:eastAsia="TimesNewRoman" w:hAnsi="Times New Roman"/>
          <w:b/>
          <w:lang w:eastAsia="ja-JP"/>
        </w:rPr>
        <w:t>Portugalija:</w:t>
      </w:r>
      <w:r w:rsidRPr="002F4C6C">
        <w:rPr>
          <w:rFonts w:ascii="Times New Roman" w:eastAsia="TimesNewRoman" w:hAnsi="Times New Roman"/>
          <w:lang w:eastAsia="ja-JP"/>
        </w:rPr>
        <w:t xml:space="preserve"> Perindopril + Amlodipina Teva</w:t>
      </w:r>
    </w:p>
    <w:p w:rsidR="00E250E1" w:rsidRPr="002F4C6C" w:rsidRDefault="00E250E1">
      <w:pPr>
        <w:spacing w:after="0" w:line="240" w:lineRule="auto"/>
        <w:ind w:left="567" w:hanging="567"/>
        <w:rPr>
          <w:rFonts w:ascii="Times New Roman" w:hAnsi="Times New Roman"/>
          <w:b/>
        </w:rPr>
      </w:pPr>
    </w:p>
    <w:p w:rsidR="00E250E1" w:rsidRPr="002F4C6C" w:rsidRDefault="00E250E1" w:rsidP="002F4C6C">
      <w:pPr>
        <w:pStyle w:val="PI-2EMEASMCA"/>
        <w:keepNext w:val="0"/>
        <w:keepLines w:val="0"/>
        <w:outlineLvl w:val="9"/>
        <w:rPr>
          <w:rFonts w:eastAsia="Calibri"/>
          <w:kern w:val="0"/>
        </w:rPr>
      </w:pPr>
      <w:r w:rsidRPr="002F4C6C">
        <w:rPr>
          <w:rFonts w:eastAsia="Calibri"/>
          <w:kern w:val="0"/>
        </w:rPr>
        <w:t>Šis pakuotės lapelis paskutinį kartą peržiūrėtas</w:t>
      </w:r>
      <w:r w:rsidR="00B00915">
        <w:rPr>
          <w:rFonts w:eastAsia="Calibri"/>
          <w:kern w:val="0"/>
        </w:rPr>
        <w:t xml:space="preserve"> 2023-11-02</w:t>
      </w:r>
      <w:r w:rsidR="008C41B5" w:rsidRPr="002F4C6C">
        <w:rPr>
          <w:rFonts w:eastAsia="Calibri"/>
          <w:kern w:val="0"/>
        </w:rPr>
        <w:t>.</w:t>
      </w:r>
    </w:p>
    <w:p w:rsidR="00E250E1" w:rsidRPr="002F4C6C" w:rsidRDefault="00E250E1">
      <w:pPr>
        <w:spacing w:after="0" w:line="240" w:lineRule="auto"/>
        <w:rPr>
          <w:rFonts w:ascii="Times New Roman" w:hAnsi="Times New Roman"/>
        </w:rPr>
      </w:pPr>
    </w:p>
    <w:p w:rsidR="00E250E1" w:rsidRPr="002F4C6C" w:rsidRDefault="00E250E1">
      <w:pPr>
        <w:spacing w:after="0" w:line="240" w:lineRule="auto"/>
        <w:rPr>
          <w:rFonts w:ascii="Times New Roman" w:hAnsi="Times New Roman"/>
        </w:rPr>
      </w:pPr>
      <w:r w:rsidRPr="002F4C6C">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2F4C6C">
          <w:rPr>
            <w:rStyle w:val="Hipersaitas"/>
            <w:rFonts w:ascii="Times New Roman" w:hAnsi="Times New Roman"/>
          </w:rPr>
          <w:t>http://www.vvkt.lt/</w:t>
        </w:r>
      </w:hyperlink>
      <w:r w:rsidRPr="002F4C6C">
        <w:rPr>
          <w:rFonts w:ascii="Times New Roman" w:hAnsi="Times New Roman"/>
        </w:rPr>
        <w:t>.</w:t>
      </w:r>
    </w:p>
    <w:p w:rsidR="004B22F2" w:rsidRPr="002F4C6C" w:rsidRDefault="004B22F2">
      <w:pPr>
        <w:spacing w:after="0" w:line="240" w:lineRule="auto"/>
        <w:rPr>
          <w:rFonts w:ascii="Times New Roman" w:hAnsi="Times New Roman"/>
        </w:rPr>
      </w:pPr>
      <w:bookmarkStart w:id="9" w:name="_GoBack"/>
      <w:bookmarkEnd w:id="9"/>
    </w:p>
    <w:sectPr w:rsidR="004B22F2" w:rsidRPr="002F4C6C">
      <w:headerReference w:type="default" r:id="rId9"/>
      <w:footerReference w:type="default" r:id="rId10"/>
      <w:pgSz w:w="12240" w:h="15840"/>
      <w:pgMar w:top="1134" w:right="1418" w:bottom="1134" w:left="1418" w:header="567"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0B0" w:rsidRDefault="00C740B0">
      <w:pPr>
        <w:spacing w:after="0" w:line="240" w:lineRule="auto"/>
      </w:pPr>
      <w:r>
        <w:separator/>
      </w:r>
    </w:p>
  </w:endnote>
  <w:endnote w:type="continuationSeparator" w:id="0">
    <w:p w:rsidR="00C740B0" w:rsidRDefault="00C740B0">
      <w:pPr>
        <w:spacing w:after="0" w:line="240" w:lineRule="auto"/>
      </w:pPr>
      <w:r>
        <w:continuationSeparator/>
      </w:r>
    </w:p>
  </w:endnote>
  <w:endnote w:type="continuationNotice" w:id="1">
    <w:p w:rsidR="00C740B0" w:rsidRDefault="00C74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imes">
    <w:panose1 w:val="02020603050405020304"/>
    <w:charset w:val="BA"/>
    <w:family w:val="roman"/>
    <w:pitch w:val="variable"/>
    <w:sig w:usb0="E0002EFF" w:usb1="C000785B" w:usb2="00000009" w:usb3="00000000" w:csb0="000001FF" w:csb1="00000000"/>
  </w:font>
  <w:font w:name="Optimum">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A2" w:rsidRDefault="00C617A2">
    <w:pPr>
      <w:pStyle w:val="Porat"/>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w:instrText>
    </w:r>
    <w:r>
      <w:rPr>
        <w:rFonts w:ascii="Times New Roman" w:hAnsi="Times New Roman" w:cs="Times New Roman"/>
        <w:sz w:val="22"/>
        <w:szCs w:val="22"/>
      </w:rPr>
      <w:fldChar w:fldCharType="separate"/>
    </w:r>
    <w:r w:rsidR="009D5900">
      <w:rPr>
        <w:rFonts w:ascii="Times New Roman" w:hAnsi="Times New Roman" w:cs="Times New Roman"/>
        <w:noProof/>
        <w:sz w:val="22"/>
        <w:szCs w:val="22"/>
      </w:rPr>
      <w:t>42</w:t>
    </w:r>
    <w:r>
      <w:rPr>
        <w:rFonts w:ascii="Times New Roman" w:hAnsi="Times New Roman" w:cs="Times New Roman"/>
        <w:sz w:val="22"/>
        <w:szCs w:val="22"/>
      </w:rPr>
      <w:fldChar w:fldCharType="end"/>
    </w:r>
  </w:p>
  <w:p w:rsidR="00C617A2" w:rsidRDefault="00C617A2">
    <w:pPr>
      <w:pStyle w:val="Porat"/>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0B0" w:rsidRDefault="00C740B0">
      <w:pPr>
        <w:spacing w:after="0" w:line="240" w:lineRule="auto"/>
      </w:pPr>
      <w:r>
        <w:separator/>
      </w:r>
    </w:p>
  </w:footnote>
  <w:footnote w:type="continuationSeparator" w:id="0">
    <w:p w:rsidR="00C740B0" w:rsidRDefault="00C740B0">
      <w:pPr>
        <w:spacing w:after="0" w:line="240" w:lineRule="auto"/>
      </w:pPr>
      <w:r>
        <w:continuationSeparator/>
      </w:r>
    </w:p>
  </w:footnote>
  <w:footnote w:type="continuationNotice" w:id="1">
    <w:p w:rsidR="00C740B0" w:rsidRDefault="00C74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A2" w:rsidRPr="006416D5" w:rsidRDefault="00C617A2" w:rsidP="008C1908">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rPr>
    </w:lvl>
  </w:abstractNum>
  <w:abstractNum w:abstractNumId="2" w15:restartNumberingAfterBreak="0">
    <w:nsid w:val="00000003"/>
    <w:multiLevelType w:val="multilevel"/>
    <w:tmpl w:val="416C5E6A"/>
    <w:name w:val="WW8Num3"/>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ascii="Times New Roman" w:hAnsi="Times New Roman" w:cs="Times New Roman" w:hint="default"/>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hint="default"/>
      </w:rPr>
    </w:lvl>
  </w:abstractNum>
  <w:abstractNum w:abstractNumId="5" w15:restartNumberingAfterBreak="0">
    <w:nsid w:val="00000006"/>
    <w:multiLevelType w:val="multilevel"/>
    <w:tmpl w:val="00000006"/>
    <w:name w:val="WW8Num6"/>
    <w:lvl w:ilvl="0">
      <w:start w:val="6"/>
      <w:numFmt w:val="decimal"/>
      <w:lvlText w:val="%1"/>
      <w:lvlJc w:val="left"/>
      <w:pPr>
        <w:tabs>
          <w:tab w:val="num" w:pos="570"/>
        </w:tabs>
        <w:ind w:left="570" w:hanging="570"/>
      </w:pPr>
      <w:rPr>
        <w:rFonts w:ascii="Times New Roman" w:hAnsi="Times New Roman" w:cs="Times New Roman"/>
        <w:b/>
      </w:rPr>
    </w:lvl>
    <w:lvl w:ilvl="1">
      <w:start w:val="5"/>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ascii="Times New Roman" w:hAnsi="Times New Roman" w:cs="Times New Roman"/>
        <w:b/>
      </w:rPr>
    </w:lvl>
    <w:lvl w:ilvl="3">
      <w:start w:val="1"/>
      <w:numFmt w:val="decimal"/>
      <w:lvlText w:val="%1.%2.%3.%4"/>
      <w:lvlJc w:val="left"/>
      <w:pPr>
        <w:tabs>
          <w:tab w:val="num" w:pos="720"/>
        </w:tabs>
        <w:ind w:left="720" w:hanging="720"/>
      </w:pPr>
      <w:rPr>
        <w:rFonts w:ascii="Times New Roman" w:hAnsi="Times New Roman" w:cs="Times New Roman"/>
        <w:b/>
      </w:rPr>
    </w:lvl>
    <w:lvl w:ilvl="4">
      <w:start w:val="1"/>
      <w:numFmt w:val="decimal"/>
      <w:lvlText w:val="%1.%2.%3.%4.%5"/>
      <w:lvlJc w:val="left"/>
      <w:pPr>
        <w:tabs>
          <w:tab w:val="num" w:pos="1080"/>
        </w:tabs>
        <w:ind w:left="1080" w:hanging="1080"/>
      </w:pPr>
      <w:rPr>
        <w:rFonts w:ascii="Times New Roman" w:hAnsi="Times New Roman" w:cs="Times New Roman"/>
        <w:b/>
      </w:rPr>
    </w:lvl>
    <w:lvl w:ilvl="5">
      <w:start w:val="1"/>
      <w:numFmt w:val="decimal"/>
      <w:lvlText w:val="%1.%2.%3.%4.%5.%6"/>
      <w:lvlJc w:val="left"/>
      <w:pPr>
        <w:tabs>
          <w:tab w:val="num" w:pos="1080"/>
        </w:tabs>
        <w:ind w:left="1080" w:hanging="1080"/>
      </w:pPr>
      <w:rPr>
        <w:rFonts w:ascii="Times New Roman" w:hAnsi="Times New Roman" w:cs="Times New Roman"/>
        <w:b/>
      </w:rPr>
    </w:lvl>
    <w:lvl w:ilvl="6">
      <w:start w:val="1"/>
      <w:numFmt w:val="decimal"/>
      <w:lvlText w:val="%1.%2.%3.%4.%5.%6.%7"/>
      <w:lvlJc w:val="left"/>
      <w:pPr>
        <w:tabs>
          <w:tab w:val="num" w:pos="1440"/>
        </w:tabs>
        <w:ind w:left="1440" w:hanging="1440"/>
      </w:pPr>
      <w:rPr>
        <w:rFonts w:ascii="Times New Roman" w:hAnsi="Times New Roman" w:cs="Times New Roman"/>
        <w:b/>
      </w:rPr>
    </w:lvl>
    <w:lvl w:ilvl="7">
      <w:start w:val="1"/>
      <w:numFmt w:val="decimal"/>
      <w:lvlText w:val="%1.%2.%3.%4.%5.%6.%7.%8"/>
      <w:lvlJc w:val="left"/>
      <w:pPr>
        <w:tabs>
          <w:tab w:val="num" w:pos="1440"/>
        </w:tabs>
        <w:ind w:left="1440" w:hanging="1440"/>
      </w:pPr>
      <w:rPr>
        <w:rFonts w:ascii="Times New Roman" w:hAnsi="Times New Roman" w:cs="Times New Roman"/>
        <w:b/>
      </w:rPr>
    </w:lvl>
    <w:lvl w:ilvl="8">
      <w:start w:val="1"/>
      <w:numFmt w:val="decimal"/>
      <w:lvlText w:val="%1.%2.%3.%4.%5.%6.%7.%8.%9"/>
      <w:lvlJc w:val="left"/>
      <w:pPr>
        <w:tabs>
          <w:tab w:val="num" w:pos="1440"/>
        </w:tabs>
        <w:ind w:left="1440" w:hanging="1440"/>
      </w:pPr>
      <w:rPr>
        <w:rFonts w:ascii="Times New Roman" w:hAnsi="Times New Roman" w:cs="Times New Roman"/>
        <w:b/>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sz w:val="22"/>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hint="default"/>
        <w:sz w:val="22"/>
      </w:rPr>
    </w:lvl>
  </w:abstractNum>
  <w:abstractNum w:abstractNumId="8" w15:restartNumberingAfterBreak="0">
    <w:nsid w:val="00000009"/>
    <w:multiLevelType w:val="singleLevel"/>
    <w:tmpl w:val="00000009"/>
    <w:name w:val="WW8Num9"/>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i w:val="0"/>
        <w:color w:val="auto"/>
        <w:sz w:val="20"/>
        <w:lang w:val="lt-LT" w:eastAsia="lt-LT"/>
      </w:rPr>
    </w:lvl>
  </w:abstractNum>
  <w:abstractNum w:abstractNumId="10" w15:restartNumberingAfterBreak="0">
    <w:nsid w:val="0000000B"/>
    <w:multiLevelType w:val="singleLevel"/>
    <w:tmpl w:val="0000000B"/>
    <w:name w:val="WW8Num11"/>
    <w:lvl w:ilvl="0">
      <w:start w:val="17"/>
      <w:numFmt w:val="decimal"/>
      <w:lvlText w:val="%1."/>
      <w:lvlJc w:val="left"/>
      <w:pPr>
        <w:tabs>
          <w:tab w:val="num" w:pos="0"/>
        </w:tabs>
        <w:ind w:left="1650" w:hanging="360"/>
      </w:pPr>
      <w:rPr>
        <w:rFonts w:hint="default"/>
        <w:b/>
        <w:i w:val="0"/>
      </w:rPr>
    </w:lvl>
  </w:abstractNum>
  <w:abstractNum w:abstractNumId="11" w15:restartNumberingAfterBreak="0">
    <w:nsid w:val="0000000C"/>
    <w:multiLevelType w:val="singleLevel"/>
    <w:tmpl w:val="0000000C"/>
    <w:name w:val="WW8Num12"/>
    <w:lvl w:ilvl="0">
      <w:numFmt w:val="bullet"/>
      <w:lvlText w:val="-"/>
      <w:lvlJc w:val="left"/>
      <w:pPr>
        <w:tabs>
          <w:tab w:val="num" w:pos="360"/>
        </w:tabs>
        <w:ind w:left="360" w:hanging="360"/>
      </w:pPr>
      <w:rPr>
        <w:rFonts w:ascii="Liberation Serif" w:hAnsi="Liberation Serif" w:cs="Times New Roman"/>
      </w:r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49A6911"/>
    <w:multiLevelType w:val="hybridMultilevel"/>
    <w:tmpl w:val="1F962A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33081"/>
    <w:multiLevelType w:val="hybridMultilevel"/>
    <w:tmpl w:val="07DCF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0233F"/>
    <w:multiLevelType w:val="hybridMultilevel"/>
    <w:tmpl w:val="BFE658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F4"/>
    <w:rsid w:val="00005544"/>
    <w:rsid w:val="0005184A"/>
    <w:rsid w:val="00076851"/>
    <w:rsid w:val="0008131D"/>
    <w:rsid w:val="000A27EF"/>
    <w:rsid w:val="000A6FE3"/>
    <w:rsid w:val="000C27EB"/>
    <w:rsid w:val="000C4EF2"/>
    <w:rsid w:val="000D3A54"/>
    <w:rsid w:val="000E314E"/>
    <w:rsid w:val="000F2946"/>
    <w:rsid w:val="00106E13"/>
    <w:rsid w:val="001716D5"/>
    <w:rsid w:val="001E2FE3"/>
    <w:rsid w:val="001E38FB"/>
    <w:rsid w:val="001E793B"/>
    <w:rsid w:val="002221CB"/>
    <w:rsid w:val="00262E45"/>
    <w:rsid w:val="0026657D"/>
    <w:rsid w:val="00276D54"/>
    <w:rsid w:val="00282649"/>
    <w:rsid w:val="002F4C6C"/>
    <w:rsid w:val="002F6B92"/>
    <w:rsid w:val="00316D49"/>
    <w:rsid w:val="003309D0"/>
    <w:rsid w:val="003510A2"/>
    <w:rsid w:val="00383D73"/>
    <w:rsid w:val="00387002"/>
    <w:rsid w:val="00394116"/>
    <w:rsid w:val="00397192"/>
    <w:rsid w:val="003A057A"/>
    <w:rsid w:val="003A14F4"/>
    <w:rsid w:val="003B011C"/>
    <w:rsid w:val="003B79F9"/>
    <w:rsid w:val="003B7B97"/>
    <w:rsid w:val="003C07C4"/>
    <w:rsid w:val="003F7715"/>
    <w:rsid w:val="00404F63"/>
    <w:rsid w:val="0041216F"/>
    <w:rsid w:val="00414C11"/>
    <w:rsid w:val="004153C1"/>
    <w:rsid w:val="00421052"/>
    <w:rsid w:val="00426D1F"/>
    <w:rsid w:val="00447765"/>
    <w:rsid w:val="00450A2B"/>
    <w:rsid w:val="00453B06"/>
    <w:rsid w:val="004B22F2"/>
    <w:rsid w:val="00501529"/>
    <w:rsid w:val="00524223"/>
    <w:rsid w:val="00526672"/>
    <w:rsid w:val="005360B3"/>
    <w:rsid w:val="005642CB"/>
    <w:rsid w:val="005973B8"/>
    <w:rsid w:val="005A11C3"/>
    <w:rsid w:val="005A3007"/>
    <w:rsid w:val="005D3ACE"/>
    <w:rsid w:val="005E5E9F"/>
    <w:rsid w:val="00610551"/>
    <w:rsid w:val="00614AA6"/>
    <w:rsid w:val="006416D5"/>
    <w:rsid w:val="006500F4"/>
    <w:rsid w:val="006529F7"/>
    <w:rsid w:val="006717DC"/>
    <w:rsid w:val="00681355"/>
    <w:rsid w:val="0069375B"/>
    <w:rsid w:val="00695259"/>
    <w:rsid w:val="006A60F3"/>
    <w:rsid w:val="006C05F8"/>
    <w:rsid w:val="006D0A73"/>
    <w:rsid w:val="006D5ED6"/>
    <w:rsid w:val="006E3708"/>
    <w:rsid w:val="006E5CBA"/>
    <w:rsid w:val="006F3622"/>
    <w:rsid w:val="007131D2"/>
    <w:rsid w:val="00740CA0"/>
    <w:rsid w:val="00742669"/>
    <w:rsid w:val="007A0C60"/>
    <w:rsid w:val="007A5500"/>
    <w:rsid w:val="007A7FB2"/>
    <w:rsid w:val="007E2103"/>
    <w:rsid w:val="00801F85"/>
    <w:rsid w:val="00810D97"/>
    <w:rsid w:val="00815937"/>
    <w:rsid w:val="00821E92"/>
    <w:rsid w:val="008313A7"/>
    <w:rsid w:val="00831946"/>
    <w:rsid w:val="00837198"/>
    <w:rsid w:val="008449A6"/>
    <w:rsid w:val="008535F9"/>
    <w:rsid w:val="008566C8"/>
    <w:rsid w:val="008700D0"/>
    <w:rsid w:val="00873603"/>
    <w:rsid w:val="008863F4"/>
    <w:rsid w:val="008A2A8A"/>
    <w:rsid w:val="008C1908"/>
    <w:rsid w:val="008C41B5"/>
    <w:rsid w:val="008D08BD"/>
    <w:rsid w:val="008F62FA"/>
    <w:rsid w:val="00907DEF"/>
    <w:rsid w:val="00914478"/>
    <w:rsid w:val="00914518"/>
    <w:rsid w:val="0092441E"/>
    <w:rsid w:val="00933AB9"/>
    <w:rsid w:val="00934093"/>
    <w:rsid w:val="00952D53"/>
    <w:rsid w:val="009623B5"/>
    <w:rsid w:val="009D5900"/>
    <w:rsid w:val="009D6F4A"/>
    <w:rsid w:val="009E3CAB"/>
    <w:rsid w:val="009F1335"/>
    <w:rsid w:val="00A034DC"/>
    <w:rsid w:val="00A06E67"/>
    <w:rsid w:val="00A430CA"/>
    <w:rsid w:val="00A45E99"/>
    <w:rsid w:val="00A55A33"/>
    <w:rsid w:val="00A83290"/>
    <w:rsid w:val="00A93311"/>
    <w:rsid w:val="00AA59E7"/>
    <w:rsid w:val="00AB083B"/>
    <w:rsid w:val="00AB1416"/>
    <w:rsid w:val="00AD69FA"/>
    <w:rsid w:val="00AD70E9"/>
    <w:rsid w:val="00AD7DAD"/>
    <w:rsid w:val="00AE1C2E"/>
    <w:rsid w:val="00B00915"/>
    <w:rsid w:val="00B233B1"/>
    <w:rsid w:val="00B327DD"/>
    <w:rsid w:val="00B33BEE"/>
    <w:rsid w:val="00B52515"/>
    <w:rsid w:val="00B77A88"/>
    <w:rsid w:val="00BA4E50"/>
    <w:rsid w:val="00BB23BC"/>
    <w:rsid w:val="00BB58CF"/>
    <w:rsid w:val="00BC172A"/>
    <w:rsid w:val="00BD5CFE"/>
    <w:rsid w:val="00BD6ECC"/>
    <w:rsid w:val="00BD797E"/>
    <w:rsid w:val="00BE403B"/>
    <w:rsid w:val="00C05978"/>
    <w:rsid w:val="00C07526"/>
    <w:rsid w:val="00C208FE"/>
    <w:rsid w:val="00C22330"/>
    <w:rsid w:val="00C3206D"/>
    <w:rsid w:val="00C35A98"/>
    <w:rsid w:val="00C44F2A"/>
    <w:rsid w:val="00C617A2"/>
    <w:rsid w:val="00C71B52"/>
    <w:rsid w:val="00C740B0"/>
    <w:rsid w:val="00C85056"/>
    <w:rsid w:val="00CA4C68"/>
    <w:rsid w:val="00CB5DBF"/>
    <w:rsid w:val="00CC399D"/>
    <w:rsid w:val="00CC6EE5"/>
    <w:rsid w:val="00CF3341"/>
    <w:rsid w:val="00D0035B"/>
    <w:rsid w:val="00D33289"/>
    <w:rsid w:val="00D37A82"/>
    <w:rsid w:val="00D57EAA"/>
    <w:rsid w:val="00D61F5E"/>
    <w:rsid w:val="00D63557"/>
    <w:rsid w:val="00D80B35"/>
    <w:rsid w:val="00DC003C"/>
    <w:rsid w:val="00DE18F3"/>
    <w:rsid w:val="00DF2797"/>
    <w:rsid w:val="00E15A9F"/>
    <w:rsid w:val="00E250E1"/>
    <w:rsid w:val="00E47986"/>
    <w:rsid w:val="00E67FA9"/>
    <w:rsid w:val="00E7680A"/>
    <w:rsid w:val="00E8521D"/>
    <w:rsid w:val="00E90D51"/>
    <w:rsid w:val="00EB19C3"/>
    <w:rsid w:val="00EB5D5C"/>
    <w:rsid w:val="00EE4401"/>
    <w:rsid w:val="00EF18E3"/>
    <w:rsid w:val="00F17A26"/>
    <w:rsid w:val="00F246A3"/>
    <w:rsid w:val="00F24E64"/>
    <w:rsid w:val="00F541DB"/>
    <w:rsid w:val="00F86BA2"/>
    <w:rsid w:val="00F932EF"/>
    <w:rsid w:val="00F95B4E"/>
    <w:rsid w:val="00F95C66"/>
    <w:rsid w:val="00FB1A5D"/>
    <w:rsid w:val="00FB36A8"/>
    <w:rsid w:val="00FE000D"/>
    <w:rsid w:val="00FE1062"/>
    <w:rsid w:val="00FE1FB4"/>
    <w:rsid w:val="00FE485D"/>
    <w:rsid w:val="00FF124E"/>
    <w:rsid w:val="00FF624C"/>
    <w:rsid w:val="00FF7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2877680A"/>
  <w15:chartTrackingRefBased/>
  <w15:docId w15:val="{D33D93D6-907A-4939-B47A-B65918C2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83B"/>
    <w:pPr>
      <w:suppressAutoHyphens/>
      <w:spacing w:after="160" w:line="252" w:lineRule="auto"/>
    </w:pPr>
    <w:rPr>
      <w:rFonts w:ascii="Calibri" w:eastAsia="Calibri" w:hAnsi="Calibri"/>
      <w:sz w:val="22"/>
      <w:szCs w:val="22"/>
      <w:lang w:eastAsia="zh-CN"/>
    </w:rPr>
  </w:style>
  <w:style w:type="paragraph" w:styleId="Antrat1">
    <w:name w:val="heading 1"/>
    <w:basedOn w:val="prastasis"/>
    <w:next w:val="prastasis"/>
    <w:qFormat/>
    <w:pPr>
      <w:keepNext/>
      <w:numPr>
        <w:numId w:val="1"/>
      </w:numPr>
      <w:spacing w:before="120" w:after="0" w:line="240" w:lineRule="auto"/>
      <w:jc w:val="both"/>
      <w:outlineLvl w:val="0"/>
    </w:pPr>
    <w:rPr>
      <w:rFonts w:ascii="Times New Roman" w:eastAsia="Times New Roman" w:hAnsi="Times New Roman"/>
      <w:szCs w:val="24"/>
      <w:u w:val="single"/>
      <w:lang w:val="en-GB"/>
    </w:rPr>
  </w:style>
  <w:style w:type="paragraph" w:styleId="Antrat2">
    <w:name w:val="heading 2"/>
    <w:basedOn w:val="prastasis"/>
    <w:next w:val="prastasis"/>
    <w:qFormat/>
    <w:pPr>
      <w:keepNext/>
      <w:numPr>
        <w:ilvl w:val="1"/>
        <w:numId w:val="1"/>
      </w:numPr>
      <w:spacing w:after="0" w:line="240" w:lineRule="auto"/>
      <w:ind w:left="425" w:hanging="425"/>
      <w:jc w:val="both"/>
      <w:outlineLvl w:val="1"/>
    </w:pPr>
    <w:rPr>
      <w:rFonts w:ascii="Times New Roman" w:eastAsia="Times New Roman" w:hAnsi="Times New Roman"/>
      <w:szCs w:val="20"/>
      <w:lang w:val="fr-FR"/>
    </w:rPr>
  </w:style>
  <w:style w:type="paragraph" w:styleId="Antrat3">
    <w:name w:val="heading 3"/>
    <w:basedOn w:val="prastasis"/>
    <w:next w:val="prastasis"/>
    <w:qFormat/>
    <w:pPr>
      <w:keepNext/>
      <w:numPr>
        <w:ilvl w:val="2"/>
        <w:numId w:val="1"/>
      </w:numPr>
      <w:spacing w:before="240" w:after="60" w:line="240" w:lineRule="auto"/>
      <w:outlineLvl w:val="2"/>
    </w:pPr>
    <w:rPr>
      <w:rFonts w:ascii="Arial" w:eastAsia="Times New Roman" w:hAnsi="Arial" w:cs="Arial"/>
      <w:b/>
      <w:bCs/>
      <w:sz w:val="26"/>
      <w:szCs w:val="26"/>
      <w:lang w:val="fr-FR"/>
    </w:rPr>
  </w:style>
  <w:style w:type="paragraph" w:styleId="Antrat4">
    <w:name w:val="heading 4"/>
    <w:basedOn w:val="prastasis"/>
    <w:next w:val="prastasis"/>
    <w:qFormat/>
    <w:pPr>
      <w:keepNext/>
      <w:numPr>
        <w:ilvl w:val="3"/>
        <w:numId w:val="1"/>
      </w:numPr>
      <w:spacing w:after="0" w:line="240" w:lineRule="auto"/>
      <w:ind w:left="284"/>
      <w:jc w:val="both"/>
      <w:outlineLvl w:val="3"/>
    </w:pPr>
    <w:rPr>
      <w:rFonts w:ascii="Times New Roman" w:eastAsia="Times New Roman" w:hAnsi="Times New Roman"/>
      <w:color w:val="FF0000"/>
      <w:szCs w:val="20"/>
      <w:lang w:val="en-GB"/>
    </w:rPr>
  </w:style>
  <w:style w:type="paragraph" w:styleId="Antrat5">
    <w:name w:val="heading 5"/>
    <w:basedOn w:val="prastasis"/>
    <w:next w:val="prastasis"/>
    <w:link w:val="Antrat5Diagrama"/>
    <w:uiPriority w:val="9"/>
    <w:unhideWhenUsed/>
    <w:qFormat/>
    <w:rsid w:val="00E47986"/>
    <w:pPr>
      <w:keepNext/>
      <w:spacing w:after="0" w:line="240" w:lineRule="auto"/>
      <w:outlineLvl w:val="4"/>
    </w:pPr>
    <w:rPr>
      <w:rFonts w:ascii="Times New Roman" w:hAnsi="Times New Roman"/>
      <w:u w:val="single"/>
    </w:rPr>
  </w:style>
  <w:style w:type="paragraph" w:styleId="Antrat6">
    <w:name w:val="heading 6"/>
    <w:basedOn w:val="prastasis"/>
    <w:next w:val="prastasis"/>
    <w:link w:val="Antrat6Diagrama"/>
    <w:uiPriority w:val="9"/>
    <w:semiHidden/>
    <w:unhideWhenUsed/>
    <w:qFormat/>
    <w:rsid w:val="00610551"/>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2"/>
    </w:rPr>
  </w:style>
  <w:style w:type="character" w:customStyle="1" w:styleId="WW8Num3z0">
    <w:name w:val="WW8Num3z0"/>
    <w:rPr>
      <w:rFonts w:cs="Times New Roman"/>
    </w:rPr>
  </w:style>
  <w:style w:type="character" w:customStyle="1" w:styleId="WW8Num4z0">
    <w:name w:val="WW8Num4z0"/>
    <w:rPr>
      <w:rFonts w:ascii="Times New Roman" w:hAnsi="Times New Roman" w:cs="Times New Roman" w:hint="default"/>
      <w:sz w:val="22"/>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b/>
    </w:rPr>
  </w:style>
  <w:style w:type="character" w:customStyle="1" w:styleId="WW8Num7z0">
    <w:name w:val="WW8Num7z0"/>
    <w:rPr>
      <w:rFonts w:ascii="Times New Roman" w:hAnsi="Times New Roman" w:cs="Times New Roman" w:hint="default"/>
      <w:sz w:val="22"/>
    </w:rPr>
  </w:style>
  <w:style w:type="character" w:customStyle="1" w:styleId="WW8Num8z0">
    <w:name w:val="WW8Num8z0"/>
    <w:rPr>
      <w:rFonts w:ascii="Times New Roman" w:hAnsi="Times New Roman" w:cs="Times New Roman" w:hint="default"/>
      <w:sz w:val="22"/>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b/>
      <w:i w:val="0"/>
      <w:color w:val="auto"/>
      <w:sz w:val="20"/>
      <w:lang w:val="lt-LT" w:eastAsia="lt-LT"/>
    </w:rPr>
  </w:style>
  <w:style w:type="character" w:customStyle="1" w:styleId="WW8Num11z0">
    <w:name w:val="WW8Num11z0"/>
    <w:rPr>
      <w:rFonts w:hint="default"/>
      <w:b/>
      <w:i w:val="0"/>
    </w:rPr>
  </w:style>
  <w:style w:type="character" w:customStyle="1" w:styleId="WW8Num12z0">
    <w:name w:val="WW8Num12z0"/>
    <w:rPr>
      <w:rFonts w:ascii="Liberation Serif" w:hAnsi="Liberation Serif" w:cs="Times New Roman"/>
    </w:rPr>
  </w:style>
  <w:style w:type="character" w:customStyle="1" w:styleId="WW8Num13z0">
    <w:name w:val="WW8Num13z0"/>
    <w:rPr>
      <w:rFonts w:ascii="Times New Roman" w:hAnsi="Times New Roman"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5z0">
    <w:name w:val="WW8Num15z0"/>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hAnsi="Times New Roman" w:cs="Times New Roman" w:hint="default"/>
      <w:sz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Times New Roman"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cs="Times New Roman"/>
    </w:rPr>
  </w:style>
  <w:style w:type="character" w:customStyle="1" w:styleId="WW8Num22z0">
    <w:name w:val="WW8Num22z0"/>
    <w:rPr>
      <w:rFonts w:cs="Times New Roman" w:hint="default"/>
    </w:rPr>
  </w:style>
  <w:style w:type="character" w:customStyle="1" w:styleId="WW8Num23z0">
    <w:name w:val="WW8Num23z0"/>
    <w:rPr>
      <w:rFonts w:ascii="Times New Roman" w:hAnsi="Times New Roman" w:cs="Times New Roman" w:hint="default"/>
      <w:sz w:val="22"/>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5z0">
    <w:name w:val="WW8Num25z0"/>
    <w:rPr>
      <w:rFonts w:cs="Times New Roman" w:hint="default"/>
    </w:rPr>
  </w:style>
  <w:style w:type="character" w:customStyle="1" w:styleId="WW8Num25z1">
    <w:name w:val="WW8Num25z1"/>
    <w:rPr>
      <w:rFonts w:cs="Times New Roman"/>
    </w:rPr>
  </w:style>
  <w:style w:type="character" w:customStyle="1" w:styleId="WW8Num26z0">
    <w:name w:val="WW8Num26z0"/>
    <w:rPr>
      <w:rFonts w:ascii="Times New Roman" w:eastAsia="Calibri"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rPr>
  </w:style>
  <w:style w:type="character" w:customStyle="1" w:styleId="WW8Num31z0">
    <w:name w:val="WW8Num31z0"/>
    <w:rPr>
      <w:rFonts w:ascii="Times New Roman" w:hAnsi="Times New Roman" w:cs="Times New Roman" w:hint="default"/>
      <w:sz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hAnsi="Times New Roman" w:cs="Times New Roman" w:hint="default"/>
      <w:sz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b/>
      <w:i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Times New Roman"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Times New Roman" w:hint="default"/>
    </w:rPr>
  </w:style>
  <w:style w:type="character" w:customStyle="1" w:styleId="WW8Num37z1">
    <w:name w:val="WW8Num37z1"/>
    <w:rPr>
      <w:rFonts w:cs="Times New Roman"/>
    </w:rPr>
  </w:style>
  <w:style w:type="character" w:customStyle="1" w:styleId="WW8Num38z0">
    <w:name w:val="WW8Num38z0"/>
    <w:rPr>
      <w:rFonts w:ascii="Times New Roman" w:hAnsi="Times New Roman" w:cs="Times New Roman" w:hint="default"/>
      <w:b/>
      <w:i w:val="0"/>
      <w:color w:val="auto"/>
      <w:sz w:val="20"/>
      <w:lang w:val="lt-LT" w:eastAsia="lt-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b/>
      <w:i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Times New Roman" w:eastAsia="Times New Roman" w:hAnsi="Times New Roman" w:cs="Times New Roman"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hint="default"/>
      <w:b/>
      <w:i w:val="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hint="default"/>
      <w:b/>
      <w:i w:val="0"/>
      <w:color w:val="auto"/>
      <w:sz w:val="20"/>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4z4">
    <w:name w:val="WW8Num44z4"/>
    <w:rPr>
      <w:rFonts w:ascii="Courier New" w:hAnsi="Courier New" w:cs="Courier New" w:hint="default"/>
    </w:rPr>
  </w:style>
  <w:style w:type="character" w:customStyle="1" w:styleId="WW8Num45z0">
    <w:name w:val="WW8Num45z0"/>
    <w:rPr>
      <w:rFonts w:cs="Times New Roman" w:hint="default"/>
    </w:rPr>
  </w:style>
  <w:style w:type="character" w:customStyle="1" w:styleId="WW8Num46z0">
    <w:name w:val="WW8Num46z0"/>
    <w:rPr>
      <w:rFonts w:cs="Times New Roman" w:hint="default"/>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cs="Times New Roman" w:hint="default"/>
    </w:rPr>
  </w:style>
  <w:style w:type="character" w:customStyle="1" w:styleId="WW8Num48z1">
    <w:name w:val="WW8Num48z1"/>
    <w:rPr>
      <w:rFonts w:cs="Times New Roman"/>
    </w:rPr>
  </w:style>
  <w:style w:type="character" w:customStyle="1" w:styleId="WW8Num49z0">
    <w:name w:val="WW8Num49z0"/>
    <w:rPr>
      <w:rFonts w:hint="default"/>
      <w:b/>
      <w:i w:val="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hint="default"/>
      <w:b/>
    </w:rPr>
  </w:style>
  <w:style w:type="character" w:customStyle="1" w:styleId="WW8Num51z1">
    <w:name w:val="WW8Num51z1"/>
    <w:rPr>
      <w:rFonts w:hint="default"/>
      <w:b/>
      <w:i w:val="0"/>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Times New Roman" w:hAnsi="Times New Roman" w:cs="Times New Roman" w:hint="default"/>
      <w:u w:val="none"/>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2z3">
    <w:name w:val="WW8Num52z3"/>
    <w:rPr>
      <w:rFonts w:ascii="Symbol" w:hAnsi="Symbol" w:cs="Symbol" w:hint="default"/>
    </w:rPr>
  </w:style>
  <w:style w:type="character" w:customStyle="1" w:styleId="WW8Num53z0">
    <w:name w:val="WW8Num53z0"/>
    <w:rPr>
      <w:rFonts w:cs="Times New Roman" w:hint="default"/>
    </w:rPr>
  </w:style>
  <w:style w:type="character" w:customStyle="1" w:styleId="WW8Num54z0">
    <w:name w:val="WW8Num54z0"/>
    <w:rPr>
      <w:rFonts w:hint="default"/>
      <w:b/>
      <w:i w:val="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imHei" w:eastAsia="SimHei" w:hAnsi="SimHei" w:cs="Symbol" w:hint="eastAsia"/>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St7z0">
    <w:name w:val="WW8NumSt7z0"/>
    <w:rPr>
      <w:rFonts w:ascii="Times New Roman" w:hAnsi="Times New Roman" w:cs="Times New Roman"/>
    </w:rPr>
  </w:style>
  <w:style w:type="character" w:customStyle="1" w:styleId="WW8NumSt29z0">
    <w:name w:val="WW8NumSt29z0"/>
    <w:rPr>
      <w:rFonts w:ascii="Symbol" w:hAnsi="Symbol" w:cs="Symbol" w:hint="default"/>
    </w:rPr>
  </w:style>
  <w:style w:type="character" w:customStyle="1" w:styleId="DefaultParagraphFont1">
    <w:name w:val="Default Paragraph Font1"/>
  </w:style>
  <w:style w:type="character" w:customStyle="1" w:styleId="Heading1Char">
    <w:name w:val="Heading 1 Char"/>
    <w:rPr>
      <w:rFonts w:ascii="Times New Roman" w:eastAsia="Times New Roman" w:hAnsi="Times New Roman" w:cs="Times New Roman"/>
      <w:szCs w:val="24"/>
      <w:u w:val="single"/>
      <w:lang w:val="en-GB"/>
    </w:rPr>
  </w:style>
  <w:style w:type="character" w:customStyle="1" w:styleId="Heading2Char">
    <w:name w:val="Heading 2 Char"/>
    <w:rPr>
      <w:rFonts w:ascii="Times New Roman" w:eastAsia="Times New Roman" w:hAnsi="Times New Roman" w:cs="Times New Roman"/>
      <w:szCs w:val="20"/>
      <w:lang w:val="fr-FR"/>
    </w:rPr>
  </w:style>
  <w:style w:type="character" w:customStyle="1" w:styleId="Heading3Char">
    <w:name w:val="Heading 3 Char"/>
    <w:rPr>
      <w:rFonts w:ascii="Arial" w:eastAsia="Times New Roman" w:hAnsi="Arial" w:cs="Arial"/>
      <w:b/>
      <w:bCs/>
      <w:sz w:val="26"/>
      <w:szCs w:val="26"/>
      <w:lang w:val="fr-FR"/>
    </w:rPr>
  </w:style>
  <w:style w:type="character" w:customStyle="1" w:styleId="Heading4Char">
    <w:name w:val="Heading 4 Char"/>
    <w:rPr>
      <w:rFonts w:ascii="Times New Roman" w:eastAsia="Times New Roman" w:hAnsi="Times New Roman" w:cs="Times New Roman"/>
      <w:color w:val="FF0000"/>
      <w:szCs w:val="20"/>
      <w:lang w:val="en-GB"/>
    </w:rPr>
  </w:style>
  <w:style w:type="character" w:styleId="Hipersaitas">
    <w:name w:val="Hyperlink"/>
    <w:rPr>
      <w:color w:val="0000FF"/>
      <w:u w:val="single"/>
    </w:rPr>
  </w:style>
  <w:style w:type="character" w:styleId="Perirtashipersaitas">
    <w:name w:val="FollowedHyperlink"/>
    <w:rPr>
      <w:color w:val="800080"/>
      <w:u w:val="single"/>
    </w:rPr>
  </w:style>
  <w:style w:type="character" w:styleId="Emfaz">
    <w:name w:val="Emphasis"/>
    <w:qFormat/>
    <w:rPr>
      <w:rFonts w:ascii="Times New Roman" w:hAnsi="Times New Roman" w:cs="Times New Roman" w:hint="default"/>
      <w:i/>
      <w:iCs w:val="0"/>
    </w:rPr>
  </w:style>
  <w:style w:type="character" w:customStyle="1" w:styleId="FootnoteTextChar">
    <w:name w:val="Footnote Text Char"/>
    <w:rPr>
      <w:rFonts w:ascii="Calibri" w:eastAsia="Calibri" w:hAnsi="Calibri" w:cs="Times New Roman"/>
      <w:sz w:val="20"/>
      <w:szCs w:val="20"/>
    </w:rPr>
  </w:style>
  <w:style w:type="character" w:customStyle="1" w:styleId="CommentTextChar">
    <w:name w:val="Comment Text Char"/>
    <w:rPr>
      <w:rFonts w:ascii="Calibri" w:eastAsia="Calibri" w:hAnsi="Calibri" w:cs="Times New Roman"/>
      <w:sz w:val="20"/>
      <w:szCs w:val="20"/>
    </w:rPr>
  </w:style>
  <w:style w:type="character" w:customStyle="1" w:styleId="HeaderChar">
    <w:name w:val="Header Char"/>
    <w:rPr>
      <w:rFonts w:ascii="Times New Roman" w:eastAsia="Times New Roman" w:hAnsi="Times New Roman" w:cs="Times New Roman"/>
      <w:sz w:val="20"/>
      <w:szCs w:val="20"/>
      <w:lang w:val="fr-FR"/>
    </w:rPr>
  </w:style>
  <w:style w:type="character" w:customStyle="1" w:styleId="FooterChar">
    <w:name w:val="Footer Char"/>
    <w:rPr>
      <w:rFonts w:ascii="Times" w:eastAsia="Times New Roman" w:hAnsi="Times" w:cs="Times New Roman"/>
      <w:sz w:val="18"/>
      <w:szCs w:val="20"/>
      <w:lang w:val="fr-FR"/>
    </w:rPr>
  </w:style>
  <w:style w:type="character" w:customStyle="1" w:styleId="TitleChar">
    <w:name w:val="Title Char"/>
    <w:rPr>
      <w:rFonts w:ascii="Times New Roman" w:eastAsia="Times New Roman" w:hAnsi="Times New Roman" w:cs="Times New Roman"/>
      <w:b/>
      <w:smallCaps/>
      <w:szCs w:val="20"/>
      <w:lang w:val="en-GB"/>
    </w:rPr>
  </w:style>
  <w:style w:type="character" w:customStyle="1" w:styleId="BodyTextChar">
    <w:name w:val="Body Text Char"/>
    <w:rPr>
      <w:rFonts w:ascii="Optimum" w:eastAsia="Times New Roman" w:hAnsi="Optimum" w:cs="Times New Roman"/>
      <w:bCs/>
      <w:iCs/>
      <w:sz w:val="24"/>
      <w:szCs w:val="20"/>
      <w:lang w:val="en-GB"/>
    </w:rPr>
  </w:style>
  <w:style w:type="character" w:customStyle="1" w:styleId="BodyText3Char">
    <w:name w:val="Body Text 3 Char"/>
    <w:rPr>
      <w:rFonts w:ascii="Times" w:eastAsia="Times New Roman" w:hAnsi="Times" w:cs="Times New Roman"/>
      <w:sz w:val="16"/>
      <w:szCs w:val="16"/>
      <w:lang w:val="fr-FR"/>
    </w:rPr>
  </w:style>
  <w:style w:type="character" w:customStyle="1" w:styleId="BodyTextIndent2Char">
    <w:name w:val="Body Text Indent 2 Char"/>
    <w:rPr>
      <w:rFonts w:ascii="Times New Roman" w:eastAsia="Times New Roman" w:hAnsi="Times New Roman" w:cs="Times New Roman"/>
      <w:szCs w:val="20"/>
      <w:lang w:val="en-GB"/>
    </w:rPr>
  </w:style>
  <w:style w:type="character" w:customStyle="1" w:styleId="BodyTextIndent3Char">
    <w:name w:val="Body Text Indent 3 Char"/>
    <w:rPr>
      <w:rFonts w:ascii="Optimum" w:eastAsia="Times New Roman" w:hAnsi="Optimum" w:cs="Times New Roman"/>
      <w:bCs/>
      <w:iCs/>
      <w:color w:val="0000FF"/>
      <w:sz w:val="24"/>
      <w:szCs w:val="20"/>
      <w:lang w:val="en-GB"/>
    </w:rPr>
  </w:style>
  <w:style w:type="character" w:customStyle="1" w:styleId="CommentSubjectChar">
    <w:name w:val="Comment Subject Char"/>
    <w:rPr>
      <w:rFonts w:ascii="Calibri" w:eastAsia="Calibri" w:hAnsi="Calibri"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TEMEASMCAChar">
    <w:name w:val="BT EMEA_SMCA Char"/>
    <w:rPr>
      <w:rFonts w:ascii="Times New Roman" w:hAnsi="Times New Roman" w:cs="Times New Roman"/>
      <w:lang w:val="lt-LT" w:eastAsia="lt-LT"/>
    </w:rPr>
  </w:style>
  <w:style w:type="character" w:customStyle="1" w:styleId="EMEABodyTextChar">
    <w:name w:val="EMEA Body Text Char"/>
    <w:rPr>
      <w:rFonts w:ascii="Times New Roman" w:hAnsi="Times New Roman" w:cs="Times New Roman"/>
      <w:lang w:val="en-GB"/>
    </w:rPr>
  </w:style>
  <w:style w:type="character" w:customStyle="1" w:styleId="Inaosramenys">
    <w:name w:val="Išnašos rašmenys"/>
    <w:rPr>
      <w:rFonts w:ascii="Times New Roman" w:hAnsi="Times New Roman" w:cs="Times New Roman" w:hint="default"/>
      <w:vertAlign w:val="superscript"/>
    </w:rPr>
  </w:style>
  <w:style w:type="character" w:customStyle="1" w:styleId="CommentReference1">
    <w:name w:val="Comment Reference1"/>
    <w:rPr>
      <w:sz w:val="16"/>
      <w:szCs w:val="16"/>
    </w:rPr>
  </w:style>
  <w:style w:type="character" w:styleId="Puslapionumeris">
    <w:name w:val="page number"/>
    <w:rPr>
      <w:rFonts w:ascii="Times New Roman" w:hAnsi="Times New Roman" w:cs="Times New Roman" w:hint="default"/>
    </w:rPr>
  </w:style>
  <w:style w:type="character" w:customStyle="1" w:styleId="HTMLPreformattedChar">
    <w:name w:val="HTML Preformatted Char"/>
    <w:rPr>
      <w:rFonts w:ascii="Courier New" w:eastAsia="Times New Roman" w:hAnsi="Courier New" w:cs="Courier New"/>
    </w:rPr>
  </w:style>
  <w:style w:type="character" w:customStyle="1" w:styleId="y2iqfc">
    <w:name w:val="y2iqfc"/>
    <w:basedOn w:val="DefaultParagraphFont1"/>
  </w:style>
  <w:style w:type="paragraph" w:customStyle="1" w:styleId="Antrat10">
    <w:name w:val="Antraštė1"/>
    <w:basedOn w:val="prastasis"/>
    <w:next w:val="Pagrindinistekstas"/>
    <w:pPr>
      <w:spacing w:after="0" w:line="240" w:lineRule="auto"/>
      <w:jc w:val="center"/>
    </w:pPr>
    <w:rPr>
      <w:rFonts w:ascii="Times New Roman" w:eastAsia="Times New Roman" w:hAnsi="Times New Roman"/>
      <w:b/>
      <w:smallCaps/>
      <w:szCs w:val="20"/>
      <w:lang w:val="en-GB"/>
    </w:rPr>
  </w:style>
  <w:style w:type="paragraph" w:styleId="Pagrindinistekstas">
    <w:name w:val="Body Text"/>
    <w:basedOn w:val="prastasis"/>
    <w:pPr>
      <w:spacing w:before="120" w:after="0" w:line="240" w:lineRule="auto"/>
      <w:jc w:val="both"/>
    </w:pPr>
    <w:rPr>
      <w:rFonts w:ascii="Optimum" w:eastAsia="Times New Roman" w:hAnsi="Optimum" w:cs="Optimum"/>
      <w:bCs/>
      <w:iCs/>
      <w:sz w:val="24"/>
      <w:szCs w:val="20"/>
      <w:lang w:val="en-G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styleId="Puslapioinaostekstas">
    <w:name w:val="footnote text"/>
    <w:basedOn w:val="prastasis"/>
    <w:pPr>
      <w:spacing w:after="0" w:line="240" w:lineRule="auto"/>
    </w:pPr>
    <w:rPr>
      <w:sz w:val="20"/>
      <w:szCs w:val="20"/>
    </w:rPr>
  </w:style>
  <w:style w:type="paragraph" w:customStyle="1" w:styleId="CommentText1">
    <w:name w:val="Comment Text1"/>
    <w:basedOn w:val="prastasis"/>
    <w:pPr>
      <w:spacing w:after="200" w:line="240" w:lineRule="auto"/>
    </w:pPr>
    <w:rPr>
      <w:sz w:val="20"/>
      <w:szCs w:val="20"/>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spacing w:after="0" w:line="240" w:lineRule="auto"/>
    </w:pPr>
    <w:rPr>
      <w:rFonts w:ascii="Times New Roman" w:eastAsia="Times New Roman" w:hAnsi="Times New Roman"/>
      <w:sz w:val="20"/>
      <w:szCs w:val="20"/>
      <w:lang w:val="fr-FR"/>
    </w:rPr>
  </w:style>
  <w:style w:type="paragraph" w:styleId="Porat">
    <w:name w:val="footer"/>
    <w:basedOn w:val="prastasis"/>
    <w:pPr>
      <w:spacing w:after="0" w:line="240" w:lineRule="auto"/>
    </w:pPr>
    <w:rPr>
      <w:rFonts w:ascii="Times" w:eastAsia="Times New Roman" w:hAnsi="Times" w:cs="Times"/>
      <w:sz w:val="18"/>
      <w:szCs w:val="20"/>
      <w:lang w:val="fr-FR"/>
    </w:rPr>
  </w:style>
  <w:style w:type="paragraph" w:customStyle="1" w:styleId="BodyText31">
    <w:name w:val="Body Text 31"/>
    <w:basedOn w:val="prastasis"/>
    <w:pPr>
      <w:spacing w:after="120" w:line="240" w:lineRule="auto"/>
    </w:pPr>
    <w:rPr>
      <w:rFonts w:ascii="Times" w:eastAsia="Times New Roman" w:hAnsi="Times" w:cs="Times"/>
      <w:sz w:val="16"/>
      <w:szCs w:val="16"/>
      <w:lang w:val="fr-FR"/>
    </w:rPr>
  </w:style>
  <w:style w:type="paragraph" w:customStyle="1" w:styleId="BodyTextIndent21">
    <w:name w:val="Body Text Indent 21"/>
    <w:basedOn w:val="prastasis"/>
    <w:pPr>
      <w:spacing w:after="0" w:line="240" w:lineRule="auto"/>
      <w:ind w:left="851"/>
      <w:jc w:val="both"/>
    </w:pPr>
    <w:rPr>
      <w:rFonts w:ascii="Times New Roman" w:eastAsia="Times New Roman" w:hAnsi="Times New Roman"/>
      <w:szCs w:val="20"/>
      <w:lang w:val="en-GB"/>
    </w:rPr>
  </w:style>
  <w:style w:type="paragraph" w:customStyle="1" w:styleId="BodyTextIndent31">
    <w:name w:val="Body Text Indent 31"/>
    <w:basedOn w:val="prastasis"/>
    <w:pPr>
      <w:spacing w:before="120" w:after="0" w:line="240" w:lineRule="auto"/>
      <w:ind w:left="851"/>
      <w:jc w:val="both"/>
    </w:pPr>
    <w:rPr>
      <w:rFonts w:ascii="Optimum" w:eastAsia="Times New Roman" w:hAnsi="Optimum" w:cs="Optimum"/>
      <w:bCs/>
      <w:iCs/>
      <w:color w:val="0000FF"/>
      <w:sz w:val="24"/>
      <w:szCs w:val="20"/>
      <w:lang w:val="en-GB"/>
    </w:rPr>
  </w:style>
  <w:style w:type="paragraph" w:customStyle="1" w:styleId="CommentSubject1">
    <w:name w:val="Comment Subject1"/>
    <w:basedOn w:val="CommentText1"/>
    <w:next w:val="CommentText1"/>
    <w:rPr>
      <w:b/>
      <w:bCs/>
    </w:rPr>
  </w:style>
  <w:style w:type="paragraph" w:customStyle="1" w:styleId="BalloonText1">
    <w:name w:val="Balloon Text1"/>
    <w:basedOn w:val="prastasis"/>
    <w:pPr>
      <w:spacing w:after="0" w:line="240" w:lineRule="auto"/>
    </w:pPr>
    <w:rPr>
      <w:rFonts w:ascii="Tahoma" w:hAnsi="Tahoma" w:cs="Tahoma"/>
      <w:sz w:val="16"/>
      <w:szCs w:val="16"/>
    </w:rPr>
  </w:style>
  <w:style w:type="paragraph" w:customStyle="1" w:styleId="Revision1">
    <w:name w:val="Revision1"/>
    <w:pPr>
      <w:suppressAutoHyphens/>
    </w:pPr>
    <w:rPr>
      <w:rFonts w:ascii="Calibri" w:eastAsia="Calibri" w:hAnsi="Calibri"/>
      <w:sz w:val="22"/>
      <w:szCs w:val="22"/>
      <w:lang w:eastAsia="zh-CN"/>
    </w:rPr>
  </w:style>
  <w:style w:type="paragraph" w:customStyle="1" w:styleId="ListParagraph1">
    <w:name w:val="List Paragraph1"/>
    <w:basedOn w:val="prastasis"/>
    <w:pPr>
      <w:spacing w:after="200" w:line="276" w:lineRule="auto"/>
      <w:ind w:left="720"/>
      <w:contextualSpacing/>
    </w:pPr>
  </w:style>
  <w:style w:type="paragraph" w:customStyle="1" w:styleId="Sraopastraipa1">
    <w:name w:val="Sąrašo pastraipa1"/>
    <w:basedOn w:val="prastasis"/>
    <w:pPr>
      <w:spacing w:after="200" w:line="276" w:lineRule="auto"/>
      <w:ind w:left="720"/>
      <w:contextualSpacing/>
    </w:p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BTEMEASMCA">
    <w:name w:val="BT EMEA_SMCA"/>
    <w:basedOn w:val="prastasis"/>
    <w:pPr>
      <w:spacing w:after="0" w:line="240" w:lineRule="auto"/>
    </w:pPr>
    <w:rPr>
      <w:rFonts w:ascii="Times New Roman" w:hAnsi="Times New Roman"/>
      <w:lang w:eastAsia="lt-LT"/>
    </w:rPr>
  </w:style>
  <w:style w:type="paragraph" w:customStyle="1" w:styleId="TTEMEASMCA">
    <w:name w:val="TT EMEA_SMCA"/>
    <w:basedOn w:val="Antrat1"/>
    <w:pPr>
      <w:keepNext w:val="0"/>
      <w:numPr>
        <w:numId w:val="0"/>
      </w:numPr>
      <w:spacing w:before="0"/>
      <w:ind w:left="567" w:hanging="567"/>
      <w:jc w:val="center"/>
    </w:pPr>
    <w:rPr>
      <w:b/>
      <w:caps/>
      <w:szCs w:val="22"/>
      <w:u w:val="none"/>
      <w:lang w:val="en-US"/>
    </w:rPr>
  </w:style>
  <w:style w:type="paragraph" w:customStyle="1" w:styleId="PI-2EMEASMCA">
    <w:name w:val="PI-2 EMEA_SMCA"/>
    <w:basedOn w:val="Antrat3"/>
    <w:pPr>
      <w:keepLines/>
      <w:numPr>
        <w:ilvl w:val="0"/>
        <w:numId w:val="0"/>
      </w:numPr>
      <w:spacing w:before="0" w:after="0"/>
      <w:ind w:left="567" w:hanging="567"/>
    </w:pPr>
    <w:rPr>
      <w:rFonts w:ascii="Times New Roman" w:hAnsi="Times New Roman" w:cs="Times New Roman"/>
      <w:bCs w:val="0"/>
      <w:kern w:val="2"/>
      <w:sz w:val="22"/>
      <w:szCs w:val="22"/>
      <w:lang w:val="lt-LT"/>
    </w:rPr>
  </w:style>
  <w:style w:type="paragraph" w:customStyle="1" w:styleId="EMEABodyText">
    <w:name w:val="EMEA Body Text"/>
    <w:basedOn w:val="prastasis"/>
    <w:pPr>
      <w:spacing w:after="0" w:line="240" w:lineRule="auto"/>
    </w:pPr>
    <w:rPr>
      <w:rFonts w:ascii="Times New Roman" w:hAnsi="Times New Roman"/>
      <w:lang w:val="en-GB"/>
    </w:rPr>
  </w:style>
  <w:style w:type="paragraph" w:customStyle="1" w:styleId="1Char">
    <w:name w:val="תו1 Char"/>
    <w:basedOn w:val="prastasis"/>
    <w:pPr>
      <w:spacing w:line="240" w:lineRule="exact"/>
    </w:pPr>
    <w:rPr>
      <w:rFonts w:ascii="Verdana" w:eastAsia="Times New Roman" w:hAnsi="Verdana" w:cs="Verdana"/>
      <w:sz w:val="20"/>
      <w:szCs w:val="20"/>
      <w:lang w:val="en-US"/>
    </w:rPr>
  </w:style>
  <w:style w:type="paragraph" w:customStyle="1" w:styleId="Default">
    <w:name w:val="Default"/>
    <w:pPr>
      <w:suppressAutoHyphens/>
      <w:autoSpaceDE w:val="0"/>
    </w:pPr>
    <w:rPr>
      <w:rFonts w:eastAsia="Calibri"/>
      <w:color w:val="000000"/>
      <w:sz w:val="24"/>
      <w:szCs w:val="24"/>
      <w:lang w:val="en-US" w:eastAsia="zh-CN"/>
    </w:rPr>
  </w:style>
  <w:style w:type="paragraph" w:customStyle="1" w:styleId="NoSpacing1">
    <w:name w:val="No Spacing1"/>
    <w:pPr>
      <w:suppressAutoHyphens/>
    </w:pPr>
    <w:rPr>
      <w:rFonts w:ascii="Calibri" w:eastAsia="Calibri" w:hAnsi="Calibri"/>
      <w:sz w:val="22"/>
      <w:szCs w:val="22"/>
      <w:lang w:eastAsia="zh-CN"/>
    </w:rPr>
  </w:style>
  <w:style w:type="paragraph" w:customStyle="1" w:styleId="HTMLPreformatted1">
    <w:name w:val="HTML Preformatted1"/>
    <w:basedOn w:val="prastasis"/>
    <w:pPr>
      <w:spacing w:after="0" w:line="240" w:lineRule="auto"/>
    </w:pPr>
    <w:rPr>
      <w:rFonts w:ascii="Courier New" w:eastAsia="Times New Roman" w:hAnsi="Courier New" w:cs="Courier New"/>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Komentaronuoroda">
    <w:name w:val="annotation reference"/>
    <w:uiPriority w:val="99"/>
    <w:semiHidden/>
    <w:unhideWhenUsed/>
    <w:rsid w:val="008863F4"/>
    <w:rPr>
      <w:sz w:val="16"/>
      <w:szCs w:val="16"/>
    </w:rPr>
  </w:style>
  <w:style w:type="paragraph" w:styleId="Komentarotekstas">
    <w:name w:val="annotation text"/>
    <w:basedOn w:val="prastasis"/>
    <w:link w:val="KomentarotekstasDiagrama"/>
    <w:uiPriority w:val="99"/>
    <w:unhideWhenUsed/>
    <w:rsid w:val="008863F4"/>
    <w:rPr>
      <w:sz w:val="20"/>
      <w:szCs w:val="20"/>
    </w:rPr>
  </w:style>
  <w:style w:type="character" w:customStyle="1" w:styleId="KomentarotekstasDiagrama">
    <w:name w:val="Komentaro tekstas Diagrama"/>
    <w:link w:val="Komentarotekstas"/>
    <w:uiPriority w:val="99"/>
    <w:rsid w:val="008863F4"/>
    <w:rPr>
      <w:rFonts w:ascii="Calibri" w:eastAsia="Calibri" w:hAnsi="Calibri"/>
      <w:lang w:eastAsia="zh-CN"/>
    </w:rPr>
  </w:style>
  <w:style w:type="paragraph" w:styleId="Komentarotema">
    <w:name w:val="annotation subject"/>
    <w:basedOn w:val="Komentarotekstas"/>
    <w:next w:val="Komentarotekstas"/>
    <w:link w:val="KomentarotemaDiagrama"/>
    <w:uiPriority w:val="99"/>
    <w:semiHidden/>
    <w:unhideWhenUsed/>
    <w:rsid w:val="008863F4"/>
    <w:rPr>
      <w:b/>
      <w:bCs/>
    </w:rPr>
  </w:style>
  <w:style w:type="character" w:customStyle="1" w:styleId="KomentarotemaDiagrama">
    <w:name w:val="Komentaro tema Diagrama"/>
    <w:link w:val="Komentarotema"/>
    <w:uiPriority w:val="99"/>
    <w:semiHidden/>
    <w:rsid w:val="008863F4"/>
    <w:rPr>
      <w:rFonts w:ascii="Calibri" w:eastAsia="Calibri" w:hAnsi="Calibri"/>
      <w:b/>
      <w:bCs/>
      <w:lang w:eastAsia="zh-CN"/>
    </w:rPr>
  </w:style>
  <w:style w:type="paragraph" w:styleId="Debesliotekstas">
    <w:name w:val="Balloon Text"/>
    <w:basedOn w:val="prastasis"/>
    <w:link w:val="DebesliotekstasDiagrama"/>
    <w:uiPriority w:val="99"/>
    <w:semiHidden/>
    <w:unhideWhenUsed/>
    <w:rsid w:val="0074266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42669"/>
    <w:rPr>
      <w:rFonts w:ascii="Segoe UI" w:eastAsia="Calibri" w:hAnsi="Segoe UI" w:cs="Segoe UI"/>
      <w:sz w:val="18"/>
      <w:szCs w:val="18"/>
      <w:lang w:eastAsia="zh-CN"/>
    </w:rPr>
  </w:style>
  <w:style w:type="table" w:styleId="Lentelstinklelis">
    <w:name w:val="Table Grid"/>
    <w:basedOn w:val="prastojilentel"/>
    <w:uiPriority w:val="39"/>
    <w:rsid w:val="008C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07DEF"/>
    <w:rPr>
      <w:rFonts w:ascii="Calibri" w:eastAsia="Calibri" w:hAnsi="Calibri"/>
      <w:sz w:val="22"/>
      <w:szCs w:val="22"/>
      <w:lang w:eastAsia="zh-CN"/>
    </w:rPr>
  </w:style>
  <w:style w:type="character" w:customStyle="1" w:styleId="Antrat5Diagrama">
    <w:name w:val="Antraštė 5 Diagrama"/>
    <w:link w:val="Antrat5"/>
    <w:uiPriority w:val="9"/>
    <w:rsid w:val="00E47986"/>
    <w:rPr>
      <w:rFonts w:eastAsia="Calibri"/>
      <w:sz w:val="22"/>
      <w:szCs w:val="22"/>
      <w:u w:val="single"/>
      <w:lang w:eastAsia="zh-CN"/>
    </w:rPr>
  </w:style>
  <w:style w:type="character" w:customStyle="1" w:styleId="Antrat6Diagrama">
    <w:name w:val="Antraštė 6 Diagrama"/>
    <w:link w:val="Antrat6"/>
    <w:uiPriority w:val="9"/>
    <w:semiHidden/>
    <w:rsid w:val="00610551"/>
    <w:rPr>
      <w:rFonts w:ascii="Calibri" w:eastAsia="Times New Roman" w:hAnsi="Calibri" w:cs="Times New Roman"/>
      <w:b/>
      <w:bCs/>
      <w:sz w:val="22"/>
      <w:szCs w:val="22"/>
      <w:lang w:val="lt-LT" w:eastAsia="zh-CN"/>
    </w:rPr>
  </w:style>
  <w:style w:type="paragraph" w:styleId="Betarp">
    <w:name w:val="No Spacing"/>
    <w:uiPriority w:val="1"/>
    <w:qFormat/>
    <w:rsid w:val="00E15A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499">
      <w:bodyDiv w:val="1"/>
      <w:marLeft w:val="0"/>
      <w:marRight w:val="0"/>
      <w:marTop w:val="0"/>
      <w:marBottom w:val="0"/>
      <w:divBdr>
        <w:top w:val="none" w:sz="0" w:space="0" w:color="auto"/>
        <w:left w:val="none" w:sz="0" w:space="0" w:color="auto"/>
        <w:bottom w:val="none" w:sz="0" w:space="0" w:color="auto"/>
        <w:right w:val="none" w:sz="0" w:space="0" w:color="auto"/>
      </w:divBdr>
    </w:div>
    <w:div w:id="249315878">
      <w:bodyDiv w:val="1"/>
      <w:marLeft w:val="0"/>
      <w:marRight w:val="0"/>
      <w:marTop w:val="0"/>
      <w:marBottom w:val="0"/>
      <w:divBdr>
        <w:top w:val="none" w:sz="0" w:space="0" w:color="auto"/>
        <w:left w:val="none" w:sz="0" w:space="0" w:color="auto"/>
        <w:bottom w:val="none" w:sz="0" w:space="0" w:color="auto"/>
        <w:right w:val="none" w:sz="0" w:space="0" w:color="auto"/>
      </w:divBdr>
    </w:div>
    <w:div w:id="1108041289">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4271240">
      <w:bodyDiv w:val="1"/>
      <w:marLeft w:val="0"/>
      <w:marRight w:val="0"/>
      <w:marTop w:val="0"/>
      <w:marBottom w:val="0"/>
      <w:divBdr>
        <w:top w:val="none" w:sz="0" w:space="0" w:color="auto"/>
        <w:left w:val="none" w:sz="0" w:space="0" w:color="auto"/>
        <w:bottom w:val="none" w:sz="0" w:space="0" w:color="auto"/>
        <w:right w:val="none" w:sz="0" w:space="0" w:color="auto"/>
      </w:divBdr>
    </w:div>
    <w:div w:id="1981567954">
      <w:bodyDiv w:val="1"/>
      <w:marLeft w:val="0"/>
      <w:marRight w:val="0"/>
      <w:marTop w:val="0"/>
      <w:marBottom w:val="0"/>
      <w:divBdr>
        <w:top w:val="none" w:sz="0" w:space="0" w:color="auto"/>
        <w:left w:val="none" w:sz="0" w:space="0" w:color="auto"/>
        <w:bottom w:val="none" w:sz="0" w:space="0" w:color="auto"/>
        <w:right w:val="none" w:sz="0" w:space="0" w:color="auto"/>
      </w:divBdr>
    </w:div>
    <w:div w:id="2087722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63835</Words>
  <Characters>36387</Characters>
  <Application>Microsoft Office Word</Application>
  <DocSecurity>0</DocSecurity>
  <Lines>303</Lines>
  <Paragraphs>200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AKF inhibitorių vartojimas kartu su neutraliosios endopeptidazės (NEP) inhibitor</vt:lpstr>
    </vt:vector>
  </TitlesOfParts>
  <Company/>
  <LinksUpToDate>false</LinksUpToDate>
  <CharactersWithSpaces>100022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cp:lastPrinted>1995-11-21T15:41:00Z</cp:lastPrinted>
  <dcterms:created xsi:type="dcterms:W3CDTF">2023-12-07T12:03:00Z</dcterms:created>
  <dcterms:modified xsi:type="dcterms:W3CDTF">2023-12-07T12:04:00Z</dcterms:modified>
</cp:coreProperties>
</file>