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FB81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8DE5BAD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56FF78F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378D83B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E0C1A83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161ED93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4E42660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FA10206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D76F27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9D0163D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EF211BB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79EF82B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8A35D2B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3A0266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27B03B5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44A0BF4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7B930E9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6962700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962E1FF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184D9E9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0A8BD87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47B9D84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55690A5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4F7CC8D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16F296C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6A5113">
        <w:rPr>
          <w:rFonts w:ascii="Times New Roman" w:eastAsia="Calibri" w:hAnsi="Times New Roman" w:cs="Times New Roman"/>
          <w:b/>
          <w:bCs/>
          <w:kern w:val="28"/>
          <w:lang w:eastAsia="lt-LT"/>
        </w:rPr>
        <w:t>III PRIEDAS</w:t>
      </w:r>
    </w:p>
    <w:p w14:paraId="7094D2C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67CFA7" w14:textId="77777777" w:rsidR="0012759A" w:rsidRPr="006A511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ŽENKLINIMAS IR PAKUOTĖS LAPELIS</w:t>
      </w:r>
    </w:p>
    <w:p w14:paraId="6195F0B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lang w:eastAsia="lt-LT"/>
        </w:rPr>
        <w:br w:type="page"/>
      </w:r>
    </w:p>
    <w:p w14:paraId="50416FE8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6EEAA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2DCF0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6D2E9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A237C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424846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1DB78D3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B716D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F4D87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20AE82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D39F4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92F9E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8AF8B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73D1A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3FD43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BCC07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31169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3D360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4EEF88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47FC56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A85778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306378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64DA5F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6A5113">
        <w:rPr>
          <w:rFonts w:ascii="Times New Roman" w:eastAsia="Calibri" w:hAnsi="Times New Roman" w:cs="Times New Roman"/>
          <w:b/>
          <w:bCs/>
          <w:kern w:val="28"/>
          <w:lang w:eastAsia="lt-LT"/>
        </w:rPr>
        <w:t>A. ŽENKLINIMAS</w:t>
      </w:r>
    </w:p>
    <w:p w14:paraId="621A37F1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6A5113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  <w:r w:rsidRPr="006A5113">
        <w:rPr>
          <w:rFonts w:ascii="Times New Roman" w:eastAsia="Calibri" w:hAnsi="Times New Roman" w:cs="Times New Roman"/>
          <w:b/>
          <w:bCs/>
          <w:iCs/>
          <w:lang w:eastAsia="lt-LT"/>
        </w:rPr>
        <w:lastRenderedPageBreak/>
        <w:t xml:space="preserve">INFORMACIJA ANT IŠORINĖS PAKUOTĖS </w:t>
      </w:r>
    </w:p>
    <w:p w14:paraId="22E0F2B1" w14:textId="77777777" w:rsidR="0012759A" w:rsidRPr="006A511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ACB377C" w14:textId="77777777" w:rsidR="0012759A" w:rsidRPr="006A511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 xml:space="preserve">KARTONO DĖŽUTĖ </w:t>
      </w:r>
    </w:p>
    <w:p w14:paraId="511C58F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8D585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83CBD1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14:paraId="1F2ED736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02F4A1" w14:textId="26EBA089" w:rsidR="0012759A" w:rsidRPr="006A5113" w:rsidRDefault="002D1FD3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Terbinafin Actavis</w:t>
      </w:r>
      <w:r w:rsidR="0012759A" w:rsidRPr="006A5113">
        <w:rPr>
          <w:rFonts w:ascii="Times New Roman" w:eastAsia="Calibri" w:hAnsi="Times New Roman" w:cs="Times New Roman"/>
        </w:rPr>
        <w:t xml:space="preserve"> 250 mg tabletės</w:t>
      </w:r>
    </w:p>
    <w:p w14:paraId="036F9F4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A5113">
        <w:rPr>
          <w:rFonts w:ascii="Times New Roman" w:eastAsia="Calibri" w:hAnsi="Times New Roman" w:cs="Times New Roman"/>
        </w:rPr>
        <w:t>Terbinafinas</w:t>
      </w:r>
      <w:proofErr w:type="spellEnd"/>
    </w:p>
    <w:p w14:paraId="6C3F2C8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B4168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290607" w14:textId="77777777" w:rsidR="0012759A" w:rsidRPr="006A5113" w:rsidRDefault="0012759A" w:rsidP="002D1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2.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</w:r>
      <w:r w:rsidRPr="006A5113">
        <w:rPr>
          <w:rFonts w:ascii="Times New Roman" w:hAnsi="Times New Roman" w:cs="Times New Roman"/>
          <w:b/>
        </w:rPr>
        <w:t>VEIKLIOJI (-IOS) MEDŽIAGA (-OS) IR JOS (-Ų) KIEKIS (-IAI)</w:t>
      </w:r>
    </w:p>
    <w:p w14:paraId="762FAE58" w14:textId="77777777" w:rsidR="002D1FD3" w:rsidRPr="006A5113" w:rsidRDefault="002D1FD3" w:rsidP="002D1F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ECD7255" w14:textId="68F0BA80" w:rsidR="0012759A" w:rsidRPr="006A5113" w:rsidRDefault="0012759A" w:rsidP="002D1F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Kiekvienoje tabletėje yra 250 mg 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(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hidrochlorido pavidalu).</w:t>
      </w:r>
    </w:p>
    <w:p w14:paraId="2AA820DE" w14:textId="77777777" w:rsidR="0012759A" w:rsidRPr="006A5113" w:rsidRDefault="0012759A" w:rsidP="002D1FD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01A41E" w14:textId="77777777" w:rsidR="0012759A" w:rsidRPr="006A5113" w:rsidRDefault="0012759A" w:rsidP="002D1FD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01C09B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3.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PAGALBINIŲ MEDŽIAGŲ SĄRAŠAS</w:t>
      </w:r>
    </w:p>
    <w:p w14:paraId="5746CC8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2054A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5CFBDD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4.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FARMACINĖ FORMA IR KIEKIS PAKUOTĖJE</w:t>
      </w:r>
    </w:p>
    <w:p w14:paraId="33371BA9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2CFC1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highlight w:val="lightGray"/>
          <w:lang w:eastAsia="lt-LT"/>
        </w:rPr>
        <w:t>Tabletės</w:t>
      </w:r>
    </w:p>
    <w:p w14:paraId="2CCF9BB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lang w:eastAsia="lt-LT"/>
        </w:rPr>
        <w:t>28 tabletės</w:t>
      </w:r>
    </w:p>
    <w:p w14:paraId="3396103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F8685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C8B0F2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5.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VARTOJIMO METODAS IR BŪDAS</w:t>
      </w:r>
    </w:p>
    <w:p w14:paraId="403902B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2AE9CB" w14:textId="77777777" w:rsidR="0012759A" w:rsidRPr="006A5113" w:rsidRDefault="0012759A" w:rsidP="00127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Vartoti per burną</w:t>
      </w:r>
    </w:p>
    <w:p w14:paraId="1758087C" w14:textId="77777777" w:rsidR="0012759A" w:rsidRPr="006A5113" w:rsidRDefault="0012759A" w:rsidP="00127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Prieš vartojimą perskaitykite pakuotės lapelį.</w:t>
      </w:r>
    </w:p>
    <w:p w14:paraId="274A3A9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B5850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BD016E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6.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SPECIALUS ĮSPĖJIMAS, KAD VAISTINĮ PREPARATĄ BŪTINA LAIKYTI VAIKAMS NEPASTEBIMOJE IR NEPASTEBIMOJE VIETOJE</w:t>
      </w:r>
    </w:p>
    <w:p w14:paraId="10ECD96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5C91B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1F4E0E4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60DD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CCA681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7.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KITAS SPECIALUS ĮSPĖJIMAS (JEI REIKIA)</w:t>
      </w:r>
    </w:p>
    <w:p w14:paraId="231C5059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4323A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BA91EE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8.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14:paraId="627D4B6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C17BB6" w14:textId="239EA214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highlight w:val="lightGray"/>
          <w:lang w:eastAsia="lt-LT"/>
        </w:rPr>
        <w:t>Tinka iki/</w:t>
      </w:r>
      <w:r w:rsidRPr="006A5113">
        <w:rPr>
          <w:rFonts w:ascii="Times New Roman" w:eastAsia="Calibri" w:hAnsi="Times New Roman" w:cs="Times New Roman"/>
          <w:lang w:eastAsia="lt-LT"/>
        </w:rPr>
        <w:t>EXP</w:t>
      </w:r>
      <w:r w:rsidR="00B5441E" w:rsidRPr="006A5113">
        <w:rPr>
          <w:rFonts w:ascii="Times New Roman" w:eastAsia="Calibri" w:hAnsi="Times New Roman" w:cs="Times New Roman"/>
          <w:lang w:eastAsia="lt-LT"/>
        </w:rPr>
        <w:t>:</w:t>
      </w:r>
      <w:r w:rsidRPr="006A5113">
        <w:rPr>
          <w:rFonts w:ascii="Times New Roman" w:eastAsia="Calibri" w:hAnsi="Times New Roman" w:cs="Times New Roman"/>
          <w:lang w:eastAsia="lt-LT"/>
        </w:rPr>
        <w:t xml:space="preserve"> {MMMM mm}</w:t>
      </w:r>
    </w:p>
    <w:p w14:paraId="48B3ED2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9DCAB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765DEA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9.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SPECIALIOS LAIKYMO SĄLYGOS</w:t>
      </w:r>
    </w:p>
    <w:p w14:paraId="58FDC3E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5081E8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lang w:eastAsia="lt-LT"/>
        </w:rPr>
        <w:t>Laikyti gamintojo pakuotėje, kad vaistas būtų apsaugotas nuo šviesos.</w:t>
      </w:r>
    </w:p>
    <w:p w14:paraId="1D945BBA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8FBC1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30CB07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lastRenderedPageBreak/>
        <w:t>10.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2E9963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35CC6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EF32E7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11.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</w:r>
      <w:bookmarkStart w:id="0" w:name="_Hlk507765416"/>
      <w:r w:rsidRPr="006A5113">
        <w:rPr>
          <w:rFonts w:ascii="Times New Roman" w:eastAsia="Times New Roman" w:hAnsi="Times New Roman" w:cs="Times New Roman"/>
          <w:b/>
        </w:rPr>
        <w:t>LYGIAGRETUS IMPORTUOTOJAS</w:t>
      </w:r>
      <w:bookmarkEnd w:id="0"/>
    </w:p>
    <w:p w14:paraId="6B80BD8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F4D12B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lk507765408"/>
      <w:r w:rsidRPr="006A5113">
        <w:rPr>
          <w:rFonts w:ascii="Times New Roman" w:eastAsia="Times New Roman" w:hAnsi="Times New Roman" w:cs="Times New Roman"/>
          <w:b/>
        </w:rPr>
        <w:t xml:space="preserve">Lygiagretus importuotojas </w:t>
      </w:r>
    </w:p>
    <w:bookmarkEnd w:id="1"/>
    <w:p w14:paraId="7D7F48F8" w14:textId="1932EFCB" w:rsidR="001C7B7F" w:rsidRPr="006A5113" w:rsidRDefault="00EA3B2A" w:rsidP="001C7B7F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6A5113">
        <w:rPr>
          <w:rFonts w:ascii="Times New Roman" w:hAnsi="Times New Roman" w:cs="Times New Roman"/>
          <w:lang w:eastAsia="lt-LT"/>
        </w:rPr>
        <w:t>UAB</w:t>
      </w:r>
      <w:r w:rsidR="001C7B7F" w:rsidRPr="006A5113">
        <w:rPr>
          <w:rFonts w:ascii="Times New Roman" w:hAnsi="Times New Roman" w:cs="Times New Roman"/>
          <w:lang w:eastAsia="lt-LT"/>
        </w:rPr>
        <w:t xml:space="preserve"> </w:t>
      </w:r>
      <w:r w:rsidR="000A2455" w:rsidRPr="006A5113">
        <w:rPr>
          <w:rFonts w:ascii="Times New Roman" w:hAnsi="Times New Roman" w:cs="Times New Roman"/>
          <w:lang w:eastAsia="lt-LT"/>
        </w:rPr>
        <w:t>„</w:t>
      </w:r>
      <w:proofErr w:type="spellStart"/>
      <w:r w:rsidR="001C7B7F" w:rsidRPr="006A5113">
        <w:rPr>
          <w:rFonts w:ascii="Times New Roman" w:hAnsi="Times New Roman" w:cs="Times New Roman"/>
          <w:lang w:eastAsia="lt-LT"/>
        </w:rPr>
        <w:t>Ideal</w:t>
      </w:r>
      <w:proofErr w:type="spellEnd"/>
      <w:r w:rsidR="001C7B7F" w:rsidRPr="006A5113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1C7B7F" w:rsidRPr="006A5113">
        <w:rPr>
          <w:rFonts w:ascii="Times New Roman" w:hAnsi="Times New Roman" w:cs="Times New Roman"/>
          <w:lang w:eastAsia="lt-LT"/>
        </w:rPr>
        <w:t>Trade</w:t>
      </w:r>
      <w:proofErr w:type="spellEnd"/>
      <w:r w:rsidR="001C7B7F" w:rsidRPr="006A5113">
        <w:rPr>
          <w:rFonts w:ascii="Times New Roman" w:hAnsi="Times New Roman" w:cs="Times New Roman"/>
          <w:lang w:eastAsia="lt-LT"/>
        </w:rPr>
        <w:t xml:space="preserve"> Links</w:t>
      </w:r>
      <w:r w:rsidR="000A2455" w:rsidRPr="006A5113">
        <w:rPr>
          <w:rFonts w:ascii="Times New Roman" w:hAnsi="Times New Roman" w:cs="Times New Roman"/>
          <w:lang w:eastAsia="lt-LT"/>
        </w:rPr>
        <w:t>“</w:t>
      </w:r>
    </w:p>
    <w:p w14:paraId="171F3F91" w14:textId="77777777" w:rsidR="001C7B7F" w:rsidRPr="006A5113" w:rsidRDefault="001C7B7F" w:rsidP="001C7B7F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6A5113">
        <w:rPr>
          <w:rFonts w:ascii="Times New Roman" w:hAnsi="Times New Roman" w:cs="Times New Roman"/>
          <w:highlight w:val="lightGray"/>
        </w:rPr>
        <w:t>Kerupės</w:t>
      </w:r>
      <w:proofErr w:type="spellEnd"/>
      <w:r w:rsidRPr="006A5113">
        <w:rPr>
          <w:rFonts w:ascii="Times New Roman" w:hAnsi="Times New Roman" w:cs="Times New Roman"/>
          <w:highlight w:val="lightGray"/>
        </w:rPr>
        <w:t xml:space="preserve"> g. 17, Zapyškis</w:t>
      </w:r>
    </w:p>
    <w:p w14:paraId="24D65FB1" w14:textId="77777777" w:rsidR="001C7B7F" w:rsidRPr="006A5113" w:rsidRDefault="001C7B7F" w:rsidP="001C7B7F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6A5113">
        <w:rPr>
          <w:rFonts w:ascii="Times New Roman" w:hAnsi="Times New Roman" w:cs="Times New Roman"/>
          <w:highlight w:val="lightGray"/>
        </w:rPr>
        <w:t>LT-53422 Kauno r.</w:t>
      </w:r>
    </w:p>
    <w:p w14:paraId="4F21BDC0" w14:textId="77777777" w:rsidR="001C7B7F" w:rsidRPr="006A5113" w:rsidRDefault="001C7B7F" w:rsidP="001C7B7F">
      <w:pPr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hAnsi="Times New Roman" w:cs="Times New Roman"/>
          <w:highlight w:val="lightGray"/>
        </w:rPr>
        <w:t>Lietuva</w:t>
      </w:r>
    </w:p>
    <w:p w14:paraId="608BED83" w14:textId="5C794E48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BD10B3" w14:textId="77777777" w:rsidR="001C7B7F" w:rsidRPr="006A5113" w:rsidRDefault="001C7B7F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23AA3B" w14:textId="6D61B506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12.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</w:r>
      <w:bookmarkStart w:id="2" w:name="_Hlk507765393"/>
      <w:r w:rsidRPr="006A5113">
        <w:rPr>
          <w:rFonts w:ascii="Times New Roman" w:hAnsi="Times New Roman" w:cs="Times New Roman"/>
          <w:b/>
        </w:rPr>
        <w:t>LYGIAGRETAUS IMPORTO LEIDIMO NUMERIS</w:t>
      </w:r>
      <w:bookmarkEnd w:id="2"/>
      <w:r w:rsidR="00B32E9D" w:rsidRPr="006A5113">
        <w:rPr>
          <w:rFonts w:ascii="Times New Roman" w:hAnsi="Times New Roman" w:cs="Times New Roman"/>
          <w:b/>
        </w:rPr>
        <w:t xml:space="preserve"> (-IAI)</w:t>
      </w:r>
    </w:p>
    <w:p w14:paraId="3A468C0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75AB80" w14:textId="4DBCB7BE" w:rsidR="0012759A" w:rsidRPr="006A5113" w:rsidRDefault="0012759A" w:rsidP="00127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A5113">
        <w:rPr>
          <w:rFonts w:ascii="Times New Roman" w:eastAsia="Calibri" w:hAnsi="Times New Roman" w:cs="Times New Roman"/>
          <w:color w:val="000000"/>
        </w:rPr>
        <w:t>LT/L/</w:t>
      </w:r>
      <w:r w:rsidR="003B6F81" w:rsidRPr="006A5113">
        <w:rPr>
          <w:rFonts w:ascii="Times New Roman" w:eastAsia="Calibri" w:hAnsi="Times New Roman" w:cs="Times New Roman"/>
          <w:color w:val="000000"/>
        </w:rPr>
        <w:t>20/1208/001</w:t>
      </w:r>
    </w:p>
    <w:p w14:paraId="20411CA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F3F8C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69B84D2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13.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SERIJOS NUMERIS</w:t>
      </w:r>
    </w:p>
    <w:p w14:paraId="07432B7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</w:p>
    <w:p w14:paraId="36E6DFB3" w14:textId="01FEB62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highlight w:val="lightGray"/>
          <w:lang w:eastAsia="lt-LT"/>
        </w:rPr>
        <w:t>Serija/</w:t>
      </w:r>
      <w:proofErr w:type="spellStart"/>
      <w:r w:rsidRPr="006A5113">
        <w:rPr>
          <w:rFonts w:ascii="Times New Roman" w:eastAsia="Calibri" w:hAnsi="Times New Roman" w:cs="Times New Roman"/>
          <w:lang w:eastAsia="lt-LT"/>
        </w:rPr>
        <w:t>Lot</w:t>
      </w:r>
      <w:proofErr w:type="spellEnd"/>
      <w:r w:rsidR="00B5441E" w:rsidRPr="006A5113">
        <w:rPr>
          <w:rFonts w:ascii="Times New Roman" w:eastAsia="Calibri" w:hAnsi="Times New Roman" w:cs="Times New Roman"/>
          <w:lang w:eastAsia="lt-LT"/>
        </w:rPr>
        <w:t>:</w:t>
      </w:r>
    </w:p>
    <w:p w14:paraId="5220B8B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5ADA0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6C5747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14.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PARDAVIMO (IŠDAVIMO) TVARKA</w:t>
      </w:r>
    </w:p>
    <w:p w14:paraId="5B5D12D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A97A7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A5113">
        <w:rPr>
          <w:rFonts w:ascii="Times New Roman" w:eastAsia="Calibri" w:hAnsi="Times New Roman" w:cs="Times New Roman"/>
          <w:lang w:eastAsia="lt-LT"/>
        </w:rPr>
        <w:t>Receptinis vaistas.</w:t>
      </w:r>
    </w:p>
    <w:p w14:paraId="2CCCA47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CF272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1DD18B" w14:textId="77777777" w:rsidR="0012759A" w:rsidRPr="006A5113" w:rsidRDefault="0012759A" w:rsidP="001275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15.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VARTOJIMO INSTRUKCIJA</w:t>
      </w:r>
    </w:p>
    <w:p w14:paraId="69FC9B2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DA442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2762D9E" w14:textId="77777777" w:rsidR="0012759A" w:rsidRPr="006A5113" w:rsidRDefault="0012759A" w:rsidP="0012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  <w:r w:rsidRPr="006A5113">
        <w:rPr>
          <w:rFonts w:ascii="Times New Roman" w:eastAsia="Calibri" w:hAnsi="Times New Roman" w:cs="Times New Roman"/>
          <w:b/>
          <w:lang w:eastAsia="lt-LT"/>
        </w:rPr>
        <w:t>16.</w:t>
      </w:r>
      <w:r w:rsidRPr="006A5113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4AC0D3E0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8D0B2B" w14:textId="21B3D1E1" w:rsidR="0012759A" w:rsidRPr="006A5113" w:rsidRDefault="003017D6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6A5113">
        <w:rPr>
          <w:rFonts w:ascii="Times New Roman" w:eastAsia="Calibri" w:hAnsi="Times New Roman" w:cs="Times New Roman"/>
          <w:lang w:eastAsia="lt-LT"/>
        </w:rPr>
        <w:t>t</w:t>
      </w:r>
      <w:r w:rsidR="002D1FD3" w:rsidRPr="006A5113">
        <w:rPr>
          <w:rFonts w:ascii="Times New Roman" w:eastAsia="Calibri" w:hAnsi="Times New Roman" w:cs="Times New Roman"/>
          <w:lang w:eastAsia="lt-LT"/>
        </w:rPr>
        <w:t>erbinafin</w:t>
      </w:r>
      <w:proofErr w:type="spellEnd"/>
      <w:r w:rsidR="002D1FD3" w:rsidRPr="006A5113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6A5113">
        <w:rPr>
          <w:rFonts w:ascii="Times New Roman" w:eastAsia="Calibri" w:hAnsi="Times New Roman" w:cs="Times New Roman"/>
          <w:lang w:eastAsia="lt-LT"/>
        </w:rPr>
        <w:t>a</w:t>
      </w:r>
      <w:r w:rsidR="002D1FD3" w:rsidRPr="006A5113">
        <w:rPr>
          <w:rFonts w:ascii="Times New Roman" w:eastAsia="Calibri" w:hAnsi="Times New Roman" w:cs="Times New Roman"/>
          <w:lang w:eastAsia="lt-LT"/>
        </w:rPr>
        <w:t>ctavis</w:t>
      </w:r>
      <w:proofErr w:type="spellEnd"/>
      <w:r w:rsidR="0012759A" w:rsidRPr="006A5113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57F265C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38935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791B9D" w14:textId="77777777" w:rsidR="0012759A" w:rsidRPr="006A5113" w:rsidRDefault="0012759A" w:rsidP="0012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5113">
        <w:rPr>
          <w:rFonts w:ascii="Times New Roman" w:eastAsia="Times New Roman" w:hAnsi="Times New Roman" w:cs="Times New Roman"/>
          <w:b/>
        </w:rPr>
        <w:t>17.</w:t>
      </w:r>
      <w:r w:rsidRPr="006A5113">
        <w:rPr>
          <w:rFonts w:ascii="Times New Roman" w:eastAsia="Times New Roman" w:hAnsi="Times New Roman" w:cs="Times New Roman"/>
          <w:b/>
        </w:rPr>
        <w:tab/>
        <w:t>UNIKALUS IDENTIFIKATORIUS – 2D BRŪKŠNINIS KODAS</w:t>
      </w:r>
    </w:p>
    <w:p w14:paraId="732539E9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2BA4B7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6A5113">
        <w:rPr>
          <w:rFonts w:ascii="Times New Roman" w:eastAsia="Times New Roman" w:hAnsi="Times New Roman" w:cs="Times New Roman"/>
          <w:highlight w:val="lightGray"/>
          <w:lang w:bidi="lt-LT"/>
        </w:rPr>
        <w:t>2D brūkšninis kodas su nurodytu unikaliu identifikatoriumi.</w:t>
      </w:r>
    </w:p>
    <w:p w14:paraId="035AF11A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14:paraId="52E02638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271FE3" w14:textId="77777777" w:rsidR="0012759A" w:rsidRPr="006A5113" w:rsidRDefault="0012759A" w:rsidP="0012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5113">
        <w:rPr>
          <w:rFonts w:ascii="Times New Roman" w:eastAsia="Times New Roman" w:hAnsi="Times New Roman" w:cs="Times New Roman"/>
          <w:b/>
        </w:rPr>
        <w:t>18.</w:t>
      </w:r>
      <w:r w:rsidRPr="006A5113">
        <w:rPr>
          <w:rFonts w:ascii="Times New Roman" w:eastAsia="Times New Roman" w:hAnsi="Times New Roman" w:cs="Times New Roman"/>
          <w:b/>
        </w:rPr>
        <w:tab/>
        <w:t>UNIKALUS IDENTIFIKATORIUS – ŽMONĖMS SUPRANTAMI DUOMENYS</w:t>
      </w:r>
    </w:p>
    <w:p w14:paraId="03FF36BD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E39A18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A5113">
        <w:rPr>
          <w:rFonts w:ascii="Times New Roman" w:eastAsia="Times New Roman" w:hAnsi="Times New Roman" w:cs="Times New Roman"/>
        </w:rPr>
        <w:t>PC:</w:t>
      </w:r>
    </w:p>
    <w:p w14:paraId="669B75B7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A5113">
        <w:rPr>
          <w:rFonts w:ascii="Times New Roman" w:eastAsia="Times New Roman" w:hAnsi="Times New Roman" w:cs="Times New Roman"/>
        </w:rPr>
        <w:t>SN:</w:t>
      </w:r>
    </w:p>
    <w:p w14:paraId="74FFD601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A5113">
        <w:rPr>
          <w:rFonts w:ascii="Times New Roman" w:eastAsia="Times New Roman" w:hAnsi="Times New Roman" w:cs="Times New Roman"/>
          <w:highlight w:val="lightGray"/>
        </w:rPr>
        <w:t>NN:</w:t>
      </w:r>
    </w:p>
    <w:p w14:paraId="15C1CD1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E6A8FA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507765343"/>
      <w:r w:rsidRPr="006A5113">
        <w:rPr>
          <w:rFonts w:ascii="Times New Roman" w:eastAsia="Batang" w:hAnsi="Times New Roman" w:cs="Times New Roman"/>
          <w:b/>
        </w:rPr>
        <w:t>Gamintojas</w:t>
      </w:r>
      <w:r w:rsidRPr="006A5113">
        <w:rPr>
          <w:rFonts w:ascii="Times New Roman" w:eastAsia="Batang" w:hAnsi="Times New Roman" w:cs="Times New Roman"/>
        </w:rPr>
        <w:t xml:space="preserve"> </w:t>
      </w:r>
      <w:r w:rsidRPr="006A5113">
        <w:rPr>
          <w:rFonts w:ascii="Times New Roman" w:hAnsi="Times New Roman" w:cs="Times New Roman"/>
        </w:rPr>
        <w:t xml:space="preserve">APL </w:t>
      </w:r>
      <w:proofErr w:type="spellStart"/>
      <w:r w:rsidRPr="006A5113">
        <w:rPr>
          <w:rFonts w:ascii="Times New Roman" w:hAnsi="Times New Roman" w:cs="Times New Roman"/>
        </w:rPr>
        <w:t>Swift</w:t>
      </w:r>
      <w:proofErr w:type="spellEnd"/>
      <w:r w:rsidRPr="006A5113">
        <w:rPr>
          <w:rFonts w:ascii="Times New Roman" w:hAnsi="Times New Roman" w:cs="Times New Roman"/>
        </w:rPr>
        <w:t xml:space="preserve"> </w:t>
      </w:r>
      <w:proofErr w:type="spellStart"/>
      <w:r w:rsidRPr="006A5113">
        <w:rPr>
          <w:rFonts w:ascii="Times New Roman" w:hAnsi="Times New Roman" w:cs="Times New Roman"/>
        </w:rPr>
        <w:t>Services</w:t>
      </w:r>
      <w:proofErr w:type="spellEnd"/>
      <w:r w:rsidRPr="006A5113">
        <w:rPr>
          <w:rFonts w:ascii="Times New Roman" w:hAnsi="Times New Roman" w:cs="Times New Roman"/>
        </w:rPr>
        <w:t xml:space="preserve"> (Malta) </w:t>
      </w:r>
      <w:proofErr w:type="spellStart"/>
      <w:r w:rsidRPr="006A5113">
        <w:rPr>
          <w:rFonts w:ascii="Times New Roman" w:hAnsi="Times New Roman" w:cs="Times New Roman"/>
        </w:rPr>
        <w:t>Limited</w:t>
      </w:r>
      <w:proofErr w:type="spellEnd"/>
      <w:r w:rsidRPr="006A5113">
        <w:rPr>
          <w:rFonts w:ascii="Times New Roman" w:hAnsi="Times New Roman" w:cs="Times New Roman"/>
        </w:rPr>
        <w:t>, Malta</w:t>
      </w:r>
    </w:p>
    <w:p w14:paraId="19ED57B0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49BEBF" w14:textId="40DBD3C5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b/>
          <w:lang w:eastAsia="lt-LT"/>
        </w:rPr>
        <w:t>Perpakavo</w:t>
      </w:r>
      <w:r w:rsidRPr="006A5113">
        <w:rPr>
          <w:rFonts w:ascii="Times New Roman" w:eastAsia="Times New Roman" w:hAnsi="Times New Roman" w:cs="Times New Roman"/>
          <w:lang w:eastAsia="lt-LT"/>
        </w:rPr>
        <w:t xml:space="preserve"> UAB „</w:t>
      </w:r>
      <w:proofErr w:type="spellStart"/>
      <w:r w:rsidRPr="006A5113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Pr="006A5113">
        <w:rPr>
          <w:rFonts w:ascii="Times New Roman" w:eastAsia="Times New Roman" w:hAnsi="Times New Roman" w:cs="Times New Roman"/>
          <w:lang w:eastAsia="lt-LT"/>
        </w:rPr>
        <w:t>“</w:t>
      </w:r>
      <w:r w:rsidR="00FC2190" w:rsidRPr="006A5113">
        <w:rPr>
          <w:rFonts w:ascii="Times New Roman" w:eastAsia="Times New Roman" w:hAnsi="Times New Roman" w:cs="Times New Roman"/>
          <w:lang w:eastAsia="lt-LT"/>
        </w:rPr>
        <w:t xml:space="preserve"> </w:t>
      </w:r>
      <w:r w:rsidR="002D1FD3" w:rsidRPr="006A5113">
        <w:rPr>
          <w:rFonts w:ascii="Times New Roman" w:eastAsia="Times New Roman" w:hAnsi="Times New Roman" w:cs="Times New Roman"/>
          <w:highlight w:val="lightGray"/>
          <w:lang w:eastAsia="lt-LT"/>
        </w:rPr>
        <w:t>arba</w:t>
      </w:r>
      <w:r w:rsidR="002D1FD3" w:rsidRPr="006A511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C2190" w:rsidRPr="006A5113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="00FC2190" w:rsidRPr="006A5113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="00FC2190" w:rsidRPr="006A5113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="00FC2190" w:rsidRPr="006A5113">
        <w:rPr>
          <w:rFonts w:ascii="Times New Roman" w:hAnsi="Times New Roman" w:cs="Times New Roman"/>
          <w:color w:val="010E18"/>
          <w:highlight w:val="lightGray"/>
        </w:rPr>
        <w:t>. sp. k., Lenkija</w:t>
      </w:r>
    </w:p>
    <w:p w14:paraId="45278DFD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7EEC45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6A5113">
        <w:rPr>
          <w:rFonts w:ascii="Times New Roman" w:eastAsia="Times New Roman" w:hAnsi="Times New Roman" w:cs="Times New Roman"/>
          <w:b/>
          <w:highlight w:val="lightGray"/>
          <w:lang w:eastAsia="lt-LT"/>
        </w:rPr>
        <w:t>Perpak</w:t>
      </w:r>
      <w:proofErr w:type="spellEnd"/>
      <w:r w:rsidRPr="006A5113">
        <w:rPr>
          <w:rFonts w:ascii="Times New Roman" w:eastAsia="Times New Roman" w:hAnsi="Times New Roman" w:cs="Times New Roman"/>
          <w:b/>
          <w:highlight w:val="lightGray"/>
          <w:lang w:eastAsia="lt-LT"/>
        </w:rPr>
        <w:t>. serija</w:t>
      </w:r>
    </w:p>
    <w:p w14:paraId="353ABFE0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DFBFAE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C93EBF" w14:textId="115B0FEA" w:rsidR="0012759A" w:rsidRPr="006A5113" w:rsidRDefault="0004322D" w:rsidP="001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A5113">
        <w:rPr>
          <w:rFonts w:ascii="Times New Roman" w:hAnsi="Times New Roman" w:cs="Times New Roman"/>
          <w:i/>
          <w:iCs/>
          <w:color w:val="000000"/>
        </w:rPr>
        <w:t xml:space="preserve">Lygiagrečiai importuojamas vaistas skiriasi nuo referencinio išvaizda: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. tabletės abipus išgaubtos, su užrašu „D“ vienoje pusėje ir „74“ kitoje, referencinio – plokščios, su užrašu „T“ vienoje pusėje ir „1“ kitoje; pagalbinėmis medžiagomis: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. sudėtyje yra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 A natrio drusk</w:t>
      </w:r>
      <w:r w:rsidR="00137252" w:rsidRPr="006A5113">
        <w:rPr>
          <w:rFonts w:ascii="Times New Roman" w:hAnsi="Times New Roman" w:cs="Times New Roman"/>
          <w:i/>
          <w:iCs/>
          <w:color w:val="000000"/>
        </w:rPr>
        <w:t>os</w:t>
      </w:r>
      <w:r w:rsidRPr="006A5113">
        <w:rPr>
          <w:rFonts w:ascii="Times New Roman" w:hAnsi="Times New Roman" w:cs="Times New Roman"/>
          <w:i/>
          <w:iCs/>
          <w:color w:val="000000"/>
        </w:rPr>
        <w:t xml:space="preserve">, referencinio –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 natrio drusk</w:t>
      </w:r>
      <w:r w:rsidR="00137252" w:rsidRPr="006A5113">
        <w:rPr>
          <w:rFonts w:ascii="Times New Roman" w:hAnsi="Times New Roman" w:cs="Times New Roman"/>
          <w:i/>
          <w:iCs/>
          <w:color w:val="000000"/>
        </w:rPr>
        <w:t>os</w:t>
      </w:r>
      <w:r w:rsidRPr="006A5113">
        <w:rPr>
          <w:rFonts w:ascii="Times New Roman" w:hAnsi="Times New Roman" w:cs="Times New Roman"/>
          <w:i/>
          <w:iCs/>
          <w:color w:val="000000"/>
        </w:rPr>
        <w:t xml:space="preserve">; laikymo sąlygomis: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>. – laikyti gamintojo pakuotėje, kad vaistas būtų apsaugotas nuo šviesos, referencinio – šiam vaistui specialių laikymo sąlygų nereikia</w:t>
      </w:r>
      <w:r w:rsidR="0012759A" w:rsidRPr="006A5113">
        <w:rPr>
          <w:rFonts w:ascii="Times New Roman" w:hAnsi="Times New Roman" w:cs="Times New Roman"/>
          <w:i/>
          <w:iCs/>
          <w:color w:val="000000"/>
        </w:rPr>
        <w:t>.</w:t>
      </w:r>
    </w:p>
    <w:p w14:paraId="4E78D245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bookmarkEnd w:id="3"/>
    <w:p w14:paraId="0C27735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809503" w14:textId="77777777" w:rsidR="0012759A" w:rsidRPr="006A5113" w:rsidRDefault="0012759A" w:rsidP="0012759A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6A5113">
        <w:rPr>
          <w:rFonts w:ascii="Times New Roman" w:eastAsia="Calibri" w:hAnsi="Times New Roman" w:cs="Times New Roman"/>
          <w:b/>
          <w:bCs/>
          <w:iCs/>
          <w:lang w:eastAsia="lt-LT"/>
        </w:rPr>
        <w:br w:type="page"/>
      </w:r>
    </w:p>
    <w:p w14:paraId="3FE18E13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B143DA7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28E05D5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D82B83B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AE2B94E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6EBA135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89426C1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69F6BF2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CFCCE60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985F9D6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3CE7317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2220602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E4D4D99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6A6BC5F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59587E4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48B0792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4AE72C3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3756D19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AE70BC8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CBBDE3C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E4970D2" w14:textId="77777777" w:rsidR="0012759A" w:rsidRPr="006A5113" w:rsidRDefault="0012759A" w:rsidP="001275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27A1E01" w14:textId="77777777" w:rsidR="0012759A" w:rsidRPr="006A5113" w:rsidRDefault="0012759A" w:rsidP="0012759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4" w:name="_Toc129243137"/>
      <w:bookmarkStart w:id="5" w:name="_Toc129243262"/>
    </w:p>
    <w:p w14:paraId="71DDCDA0" w14:textId="77777777" w:rsidR="0012759A" w:rsidRPr="006A5113" w:rsidRDefault="0012759A" w:rsidP="0012759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6A5113">
        <w:rPr>
          <w:rFonts w:ascii="Times New Roman" w:eastAsia="Times New Roman" w:hAnsi="Times New Roman" w:cs="Times New Roman"/>
          <w:b/>
          <w:caps/>
          <w:lang w:eastAsia="lt-LT"/>
        </w:rPr>
        <w:t>B. PAKUOTĖS LAPELIS</w:t>
      </w:r>
      <w:bookmarkEnd w:id="4"/>
      <w:bookmarkEnd w:id="5"/>
    </w:p>
    <w:p w14:paraId="652654FB" w14:textId="77777777" w:rsidR="0012759A" w:rsidRPr="006A511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</w:rPr>
        <w:br w:type="page"/>
      </w:r>
      <w:r w:rsidRPr="006A5113">
        <w:rPr>
          <w:rFonts w:ascii="Times New Roman" w:eastAsia="Calibri" w:hAnsi="Times New Roman" w:cs="Times New Roman"/>
          <w:b/>
        </w:rPr>
        <w:lastRenderedPageBreak/>
        <w:t>Pakuotės lapelis: informacija vartotojui</w:t>
      </w:r>
    </w:p>
    <w:p w14:paraId="0A9703B8" w14:textId="77777777" w:rsidR="0012759A" w:rsidRPr="006A5113" w:rsidRDefault="0012759A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E7657D9" w14:textId="5DBC0C7D" w:rsidR="0012759A" w:rsidRPr="006A5113" w:rsidRDefault="002D1FD3" w:rsidP="001275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  <w:bCs/>
        </w:rPr>
        <w:t>Terbinafin Actavis</w:t>
      </w:r>
      <w:r w:rsidR="0012759A" w:rsidRPr="006A5113">
        <w:rPr>
          <w:rFonts w:ascii="Times New Roman" w:eastAsia="Calibri" w:hAnsi="Times New Roman" w:cs="Times New Roman"/>
          <w:b/>
          <w:bCs/>
        </w:rPr>
        <w:t xml:space="preserve"> 250 mg tabletės</w:t>
      </w:r>
    </w:p>
    <w:p w14:paraId="7D150DE6" w14:textId="77777777" w:rsidR="0012759A" w:rsidRPr="006A5113" w:rsidRDefault="0012759A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proofErr w:type="spellStart"/>
      <w:r w:rsidRPr="006A5113">
        <w:rPr>
          <w:rFonts w:ascii="Times New Roman" w:eastAsia="Calibri" w:hAnsi="Times New Roman" w:cs="Times New Roman"/>
        </w:rPr>
        <w:t>Terbinafinas</w:t>
      </w:r>
      <w:proofErr w:type="spellEnd"/>
    </w:p>
    <w:p w14:paraId="2BC32A3D" w14:textId="77777777" w:rsidR="0012759A" w:rsidRPr="006A5113" w:rsidRDefault="0012759A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14:paraId="79383F66" w14:textId="77777777" w:rsidR="0012759A" w:rsidRPr="006A5113" w:rsidRDefault="0012759A" w:rsidP="0012759A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</w:p>
    <w:p w14:paraId="7DE512B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14:paraId="580B7DE6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Neišmeskite šio lapelio, nes vėl gali prireikti jį perskaityti.</w:t>
      </w:r>
    </w:p>
    <w:p w14:paraId="4BE9B9CB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Jeigu kiltų daugiau klausimų, kreipkitės į gydytoją arba vaistininką.</w:t>
      </w:r>
    </w:p>
    <w:p w14:paraId="60898765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14:paraId="171C280D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Jeigu pasireiškė šalutinis poveikis (ne jeigu jis šiame lapelyje nenurodytas), kreipkitės į gydytoją arba vaistininką. Žr. 4 skyrių.</w:t>
      </w:r>
    </w:p>
    <w:p w14:paraId="2E3945F4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63D6333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Apie ką rašoma šiame lapelyje?</w:t>
      </w:r>
    </w:p>
    <w:p w14:paraId="5C139941" w14:textId="12380316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1.</w:t>
      </w:r>
      <w:r w:rsidRPr="006A5113">
        <w:rPr>
          <w:rFonts w:ascii="Times New Roman" w:eastAsia="Calibri" w:hAnsi="Times New Roman" w:cs="Times New Roman"/>
        </w:rPr>
        <w:tab/>
        <w:t xml:space="preserve">Kas yra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ir kam jis vartojamas</w:t>
      </w:r>
    </w:p>
    <w:p w14:paraId="76EB4ADF" w14:textId="09DB1725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2.</w:t>
      </w:r>
      <w:r w:rsidRPr="006A5113">
        <w:rPr>
          <w:rFonts w:ascii="Times New Roman" w:eastAsia="Calibri" w:hAnsi="Times New Roman" w:cs="Times New Roman"/>
        </w:rPr>
        <w:tab/>
        <w:t xml:space="preserve">Kas žinotina prieš vartojant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</w:t>
      </w:r>
    </w:p>
    <w:p w14:paraId="3BA43B4F" w14:textId="3513AA1A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3.</w:t>
      </w:r>
      <w:r w:rsidRPr="006A5113">
        <w:rPr>
          <w:rFonts w:ascii="Times New Roman" w:eastAsia="Calibri" w:hAnsi="Times New Roman" w:cs="Times New Roman"/>
        </w:rPr>
        <w:tab/>
        <w:t xml:space="preserve">Kaip vartoti </w:t>
      </w:r>
      <w:r w:rsidR="002D1FD3" w:rsidRPr="006A5113">
        <w:rPr>
          <w:rFonts w:ascii="Times New Roman" w:eastAsia="Calibri" w:hAnsi="Times New Roman" w:cs="Times New Roman"/>
        </w:rPr>
        <w:t>Terbinafin Actavis</w:t>
      </w:r>
    </w:p>
    <w:p w14:paraId="26840790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4.</w:t>
      </w:r>
      <w:r w:rsidRPr="006A5113">
        <w:rPr>
          <w:rFonts w:ascii="Times New Roman" w:eastAsia="Calibri" w:hAnsi="Times New Roman" w:cs="Times New Roman"/>
        </w:rPr>
        <w:tab/>
        <w:t>Galimas šalutinis poveikis</w:t>
      </w:r>
    </w:p>
    <w:p w14:paraId="3222EC31" w14:textId="4E71821C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5.</w:t>
      </w:r>
      <w:r w:rsidRPr="006A5113">
        <w:rPr>
          <w:rFonts w:ascii="Times New Roman" w:eastAsia="Calibri" w:hAnsi="Times New Roman" w:cs="Times New Roman"/>
        </w:rPr>
        <w:tab/>
        <w:t xml:space="preserve">Kaip laikyti </w:t>
      </w:r>
      <w:r w:rsidR="002D1FD3" w:rsidRPr="006A5113">
        <w:rPr>
          <w:rFonts w:ascii="Times New Roman" w:eastAsia="Calibri" w:hAnsi="Times New Roman" w:cs="Times New Roman"/>
        </w:rPr>
        <w:t>Terbinafin Actavis</w:t>
      </w:r>
    </w:p>
    <w:p w14:paraId="00CBD538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6.</w:t>
      </w:r>
      <w:r w:rsidRPr="006A5113">
        <w:rPr>
          <w:rFonts w:ascii="Times New Roman" w:eastAsia="Calibri" w:hAnsi="Times New Roman" w:cs="Times New Roman"/>
        </w:rPr>
        <w:tab/>
        <w:t>Pakuotės turinys ir kita informacija</w:t>
      </w:r>
    </w:p>
    <w:p w14:paraId="26BF6869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8155E4A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06CEE935" w14:textId="73993DC4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</w:rPr>
        <w:t>1.</w:t>
      </w:r>
      <w:r w:rsidRPr="006A5113">
        <w:rPr>
          <w:rFonts w:ascii="Times New Roman" w:eastAsia="Calibri" w:hAnsi="Times New Roman" w:cs="Times New Roman"/>
          <w:b/>
        </w:rPr>
        <w:tab/>
        <w:t xml:space="preserve">Kas yra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  <w:r w:rsidRPr="006A5113">
        <w:rPr>
          <w:rFonts w:ascii="Times New Roman" w:eastAsia="Calibri" w:hAnsi="Times New Roman" w:cs="Times New Roman"/>
          <w:b/>
        </w:rPr>
        <w:t xml:space="preserve"> ir kam jis vartojamas</w:t>
      </w:r>
    </w:p>
    <w:p w14:paraId="4AD54772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322B08C" w14:textId="58E380FD" w:rsidR="0012759A" w:rsidRPr="006A5113" w:rsidRDefault="002D1FD3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Terbinafin Actavis</w:t>
      </w:r>
      <w:r w:rsidR="0012759A" w:rsidRPr="006A5113">
        <w:rPr>
          <w:rFonts w:ascii="Times New Roman" w:eastAsia="Calibri" w:hAnsi="Times New Roman" w:cs="Times New Roman"/>
        </w:rPr>
        <w:t xml:space="preserve"> sudėtyje yra priešgrybelinio vaisto </w:t>
      </w:r>
      <w:proofErr w:type="spellStart"/>
      <w:r w:rsidR="0012759A" w:rsidRPr="006A5113">
        <w:rPr>
          <w:rFonts w:ascii="Times New Roman" w:eastAsia="Calibri" w:hAnsi="Times New Roman" w:cs="Times New Roman"/>
        </w:rPr>
        <w:t>terbinafino</w:t>
      </w:r>
      <w:proofErr w:type="spellEnd"/>
      <w:r w:rsidR="0012759A" w:rsidRPr="006A5113">
        <w:rPr>
          <w:rFonts w:ascii="Times New Roman" w:eastAsia="Calibri" w:hAnsi="Times New Roman" w:cs="Times New Roman"/>
        </w:rPr>
        <w:t>. Jis naikina grybelius, suardydamas jų membraną.</w:t>
      </w:r>
    </w:p>
    <w:p w14:paraId="14DBE200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i/>
        </w:rPr>
      </w:pPr>
    </w:p>
    <w:p w14:paraId="5279C648" w14:textId="2AD83C42" w:rsidR="0012759A" w:rsidRPr="006A5113" w:rsidRDefault="002D1FD3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Terbinafin Actavis</w:t>
      </w:r>
      <w:r w:rsidR="0012759A" w:rsidRPr="006A5113">
        <w:rPr>
          <w:rFonts w:ascii="Times New Roman" w:eastAsia="Calibri" w:hAnsi="Times New Roman" w:cs="Times New Roman"/>
        </w:rPr>
        <w:t xml:space="preserve"> gydomos grybelių sukeltos rankų ar kojų nagų, padų (atleto pėda), kirkšnių (žokėjų niežulys) bei išplitusios odos grybelinės ligos (mikozės). </w:t>
      </w:r>
    </w:p>
    <w:p w14:paraId="24B89F69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59C83E28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72057B84" w14:textId="448C7B5B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</w:rPr>
        <w:t>2.</w:t>
      </w:r>
      <w:r w:rsidRPr="006A5113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576061E0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797B002" w14:textId="5C65218E" w:rsidR="0012759A" w:rsidRPr="006A5113" w:rsidRDefault="002D1FD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</w:rPr>
        <w:t>Terbinafin Actavis</w:t>
      </w:r>
      <w:r w:rsidR="0012759A" w:rsidRPr="006A5113">
        <w:rPr>
          <w:rFonts w:ascii="Times New Roman" w:eastAsia="Calibri" w:hAnsi="Times New Roman" w:cs="Times New Roman"/>
          <w:b/>
        </w:rPr>
        <w:t xml:space="preserve"> vartoti negalima:</w:t>
      </w:r>
    </w:p>
    <w:p w14:paraId="01480A35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jeigu yra alergija </w:t>
      </w:r>
      <w:proofErr w:type="spellStart"/>
      <w:r w:rsidRPr="006A5113">
        <w:rPr>
          <w:rFonts w:ascii="Times New Roman" w:eastAsia="Calibri" w:hAnsi="Times New Roman" w:cs="Times New Roman"/>
        </w:rPr>
        <w:t>terbinafinui</w:t>
      </w:r>
      <w:proofErr w:type="spellEnd"/>
      <w:r w:rsidRPr="006A5113">
        <w:rPr>
          <w:rFonts w:ascii="Times New Roman" w:eastAsia="Calibri" w:hAnsi="Times New Roman" w:cs="Times New Roman"/>
        </w:rPr>
        <w:t xml:space="preserve"> arba bet kuriai pagalbinei šio vaisto medžiagai (jos išvardytos 6 skyriuje);</w:t>
      </w:r>
    </w:p>
    <w:p w14:paraId="43BC3FB0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jeigu yra sunkus kepenų arba inkstų funkcijos sutrikimas.</w:t>
      </w:r>
    </w:p>
    <w:p w14:paraId="27E411C4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38A4E70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Įspėjimai ir atsargumo priemonės</w:t>
      </w:r>
    </w:p>
    <w:p w14:paraId="1BF00E68" w14:textId="2EC53A13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Pasitarkite su gydytoju, prieš pradėdami vartoti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>, jeigu:</w:t>
      </w:r>
    </w:p>
    <w:p w14:paraId="63657F06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Jūsų kepenų ar inkstų funkcija sutrikusi, kadangi Jums gali reikėti vartoti kitokią dozę;</w:t>
      </w:r>
    </w:p>
    <w:p w14:paraId="47C701D0" w14:textId="5F51BD8C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sergate žvyneline (pleiskanojanti odos liga), kadangi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gali ją pasunkinti; </w:t>
      </w:r>
    </w:p>
    <w:p w14:paraId="389D7356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sergate raudonąja vilklige (autoimuninė liga).</w:t>
      </w:r>
    </w:p>
    <w:p w14:paraId="0B5E7DD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0F5609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Nedelsiant kreipkitės į gydytoją, jeigu:</w:t>
      </w:r>
    </w:p>
    <w:p w14:paraId="3E646D70" w14:textId="77777777" w:rsidR="0012759A" w:rsidRPr="006A5113" w:rsidRDefault="0012759A" w:rsidP="0012759A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staiga pasireiškia didelis karščiavimas arba ryklės uždegimas.</w:t>
      </w:r>
    </w:p>
    <w:p w14:paraId="2DC7372F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4E9CC337" w14:textId="5DE18B1C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Kiti vaistai ir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6EF9F735" w14:textId="30A2968D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Jeigu vartojate ar neseniai vartojote kitų vaistų arba dėl to nesate tikri, apie tai pasakykite gydytojui arba vaistininkui. Tai svarbu, kadangi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gali sąveikauti su kitais vaistais, todėl gali stiprėti arba silpnėti vieno arba kito vaisto poveikis. </w:t>
      </w:r>
    </w:p>
    <w:p w14:paraId="068DB17B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04DE6DAA" w14:textId="68766FD8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lastRenderedPageBreak/>
        <w:t xml:space="preserve">Jeigu vartojate kurį nors iš toliau išvardytų vaistų, gydytojas gali keisti jo arba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  <w:r w:rsidRPr="006A5113">
        <w:rPr>
          <w:rFonts w:ascii="Times New Roman" w:eastAsia="Calibri" w:hAnsi="Times New Roman" w:cs="Times New Roman"/>
          <w:b/>
        </w:rPr>
        <w:t xml:space="preserve"> dozę:</w:t>
      </w:r>
    </w:p>
    <w:p w14:paraId="6421CC27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</w:r>
      <w:proofErr w:type="spellStart"/>
      <w:r w:rsidRPr="006A5113">
        <w:rPr>
          <w:rFonts w:ascii="Times New Roman" w:eastAsia="Calibri" w:hAnsi="Times New Roman" w:cs="Times New Roman"/>
        </w:rPr>
        <w:t>rifampiciną</w:t>
      </w:r>
      <w:proofErr w:type="spellEnd"/>
      <w:r w:rsidRPr="006A5113">
        <w:rPr>
          <w:rFonts w:ascii="Times New Roman" w:eastAsia="Calibri" w:hAnsi="Times New Roman" w:cs="Times New Roman"/>
        </w:rPr>
        <w:t xml:space="preserve"> (vaistas tuberkuliozei gydyti);</w:t>
      </w:r>
    </w:p>
    <w:p w14:paraId="7FA1D340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</w:r>
      <w:proofErr w:type="spellStart"/>
      <w:r w:rsidRPr="006A5113">
        <w:rPr>
          <w:rFonts w:ascii="Times New Roman" w:eastAsia="Calibri" w:hAnsi="Times New Roman" w:cs="Times New Roman"/>
        </w:rPr>
        <w:t>cimetidiną</w:t>
      </w:r>
      <w:proofErr w:type="spellEnd"/>
      <w:r w:rsidRPr="006A5113">
        <w:rPr>
          <w:rFonts w:ascii="Times New Roman" w:eastAsia="Calibri" w:hAnsi="Times New Roman" w:cs="Times New Roman"/>
        </w:rPr>
        <w:t xml:space="preserve"> (vaistas skrandžio opai gydyti);</w:t>
      </w:r>
    </w:p>
    <w:p w14:paraId="7E322B58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</w:r>
      <w:proofErr w:type="spellStart"/>
      <w:r w:rsidRPr="006A5113">
        <w:rPr>
          <w:rFonts w:ascii="Times New Roman" w:eastAsia="Calibri" w:hAnsi="Times New Roman" w:cs="Times New Roman"/>
        </w:rPr>
        <w:t>triciklių</w:t>
      </w:r>
      <w:proofErr w:type="spellEnd"/>
      <w:r w:rsidRPr="006A5113">
        <w:rPr>
          <w:rFonts w:ascii="Times New Roman" w:eastAsia="Calibri" w:hAnsi="Times New Roman" w:cs="Times New Roman"/>
        </w:rPr>
        <w:t xml:space="preserve"> antidepresantų, selektyvių </w:t>
      </w:r>
      <w:proofErr w:type="spellStart"/>
      <w:r w:rsidRPr="006A5113">
        <w:rPr>
          <w:rFonts w:ascii="Times New Roman" w:eastAsia="Calibri" w:hAnsi="Times New Roman" w:cs="Times New Roman"/>
        </w:rPr>
        <w:t>serotonino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atgalinio sugrąžinimo inhibitorių arba </w:t>
      </w:r>
      <w:proofErr w:type="spellStart"/>
      <w:r w:rsidRPr="006A5113">
        <w:rPr>
          <w:rFonts w:ascii="Times New Roman" w:eastAsia="Calibri" w:hAnsi="Times New Roman" w:cs="Times New Roman"/>
        </w:rPr>
        <w:t>monoaminooksidazės</w:t>
      </w:r>
      <w:proofErr w:type="spellEnd"/>
      <w:r w:rsidRPr="006A5113">
        <w:rPr>
          <w:rFonts w:ascii="Times New Roman" w:eastAsia="Calibri" w:hAnsi="Times New Roman" w:cs="Times New Roman"/>
        </w:rPr>
        <w:t xml:space="preserve"> inhibitorių (vaistai depresijai gydyti);</w:t>
      </w:r>
    </w:p>
    <w:p w14:paraId="65B5BACA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beta </w:t>
      </w:r>
      <w:proofErr w:type="spellStart"/>
      <w:r w:rsidRPr="006A5113">
        <w:rPr>
          <w:rFonts w:ascii="Times New Roman" w:eastAsia="Calibri" w:hAnsi="Times New Roman" w:cs="Times New Roman"/>
        </w:rPr>
        <w:t>adrenoblokatorių</w:t>
      </w:r>
      <w:proofErr w:type="spellEnd"/>
      <w:r w:rsidRPr="006A5113">
        <w:rPr>
          <w:rFonts w:ascii="Times New Roman" w:eastAsia="Calibri" w:hAnsi="Times New Roman" w:cs="Times New Roman"/>
        </w:rPr>
        <w:t xml:space="preserve"> ar </w:t>
      </w:r>
      <w:proofErr w:type="spellStart"/>
      <w:r w:rsidRPr="006A5113">
        <w:rPr>
          <w:rFonts w:ascii="Times New Roman" w:eastAsia="Calibri" w:hAnsi="Times New Roman" w:cs="Times New Roman"/>
        </w:rPr>
        <w:t>antiaritminių</w:t>
      </w:r>
      <w:proofErr w:type="spellEnd"/>
      <w:r w:rsidRPr="006A5113">
        <w:rPr>
          <w:rFonts w:ascii="Times New Roman" w:eastAsia="Calibri" w:hAnsi="Times New Roman" w:cs="Times New Roman"/>
        </w:rPr>
        <w:t xml:space="preserve"> preparatų (vaistai didelio kraujospūdžio ligai bei kai kuriems širdies sutrikimams gydyti).</w:t>
      </w:r>
    </w:p>
    <w:p w14:paraId="07CBBFE9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E8E1008" w14:textId="22AD9C65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Jeigu gydymo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metu vartosite geriamųjų kontraceptikų, gali prasidėti protarpinis kraujavimas, mėnesinės gali tapti nereguliarios. </w:t>
      </w:r>
    </w:p>
    <w:p w14:paraId="1B09DA33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6404A174" w14:textId="795589E2" w:rsidR="0012759A" w:rsidRPr="006A5113" w:rsidRDefault="002D1FD3" w:rsidP="001275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Terbinafin Actavis</w:t>
      </w:r>
      <w:r w:rsidR="0012759A" w:rsidRPr="006A5113">
        <w:rPr>
          <w:rFonts w:ascii="Times New Roman" w:eastAsia="Calibri" w:hAnsi="Times New Roman" w:cs="Times New Roman"/>
          <w:b/>
        </w:rPr>
        <w:t xml:space="preserve"> vartojimas su maistu ir gėrimais</w:t>
      </w:r>
    </w:p>
    <w:p w14:paraId="20B2D18F" w14:textId="61978FF8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Maistas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poveikiui įtakos nedaro. Vaisto nebūtina gerti valgio metu. </w:t>
      </w:r>
    </w:p>
    <w:p w14:paraId="071E1C71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935C516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Nėštumas, žindymo laikotarpis ir vaisingumas</w:t>
      </w:r>
    </w:p>
    <w:p w14:paraId="0ED6B303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 pasitarkite su gydytoju arba vaistininku.</w:t>
      </w:r>
    </w:p>
    <w:p w14:paraId="5D9E41A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4942B1" w14:textId="0E7B1A74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Nėštumo metu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nevartokite, nebent taip patarė Jūsų gydytojas. </w:t>
      </w:r>
    </w:p>
    <w:p w14:paraId="64903B6B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445DC7" w14:textId="23B28333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lang w:eastAsia="lt-LT"/>
        </w:rPr>
        <w:t xml:space="preserve">Žindymo laikotarpiu </w:t>
      </w:r>
      <w:r w:rsidR="002D1FD3" w:rsidRPr="006A5113">
        <w:rPr>
          <w:rFonts w:ascii="Times New Roman" w:eastAsia="Times New Roman" w:hAnsi="Times New Roman" w:cs="Times New Roman"/>
          <w:lang w:eastAsia="lt-LT"/>
        </w:rPr>
        <w:t>Terbinafin Actavis</w:t>
      </w:r>
      <w:r w:rsidRPr="006A5113">
        <w:rPr>
          <w:rFonts w:ascii="Times New Roman" w:eastAsia="Times New Roman" w:hAnsi="Times New Roman" w:cs="Times New Roman"/>
          <w:lang w:eastAsia="lt-LT"/>
        </w:rPr>
        <w:t xml:space="preserve"> nevartokite, kadangi jis išsiskiria į motinos pieną.</w:t>
      </w:r>
    </w:p>
    <w:p w14:paraId="35CE4FF8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DEAB2B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Vairavimas ir mechanizmų valdymas</w:t>
      </w:r>
    </w:p>
    <w:p w14:paraId="675974CC" w14:textId="125FF1B4" w:rsidR="0012759A" w:rsidRPr="006A5113" w:rsidRDefault="002D1FD3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lang w:eastAsia="lt-LT"/>
        </w:rPr>
        <w:t>Terbinafin Actavis</w:t>
      </w:r>
      <w:r w:rsidR="0012759A" w:rsidRPr="006A5113">
        <w:rPr>
          <w:rFonts w:ascii="Times New Roman" w:eastAsia="Times New Roman" w:hAnsi="Times New Roman" w:cs="Times New Roman"/>
          <w:lang w:eastAsia="lt-LT"/>
        </w:rPr>
        <w:t xml:space="preserve"> gebėjimo vairuoti ir valdyti mechanizmus neveikia arba veikia nereikšmingai. Vis dėlto pacientams, kuriems pasireiškia svaigulys, vairuoti transporto priemones ir valdyti mechanizmus reikia vengti.</w:t>
      </w:r>
    </w:p>
    <w:p w14:paraId="6DE2B0B1" w14:textId="5E33A45D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60FF2D2A" w14:textId="77777777" w:rsidR="006A5113" w:rsidRPr="006A5113" w:rsidRDefault="006A5113" w:rsidP="006A511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/>
          <w:noProof/>
        </w:rPr>
      </w:pPr>
      <w:r w:rsidRPr="006A5113">
        <w:rPr>
          <w:rFonts w:ascii="Times New Roman" w:eastAsia="Times New Roman" w:hAnsi="Times New Roman"/>
          <w:b/>
          <w:noProof/>
        </w:rPr>
        <w:t>Terbinafin Actavis sudėtyje yra natrio</w:t>
      </w:r>
    </w:p>
    <w:p w14:paraId="38749720" w14:textId="77777777" w:rsidR="006A5113" w:rsidRPr="006A5113" w:rsidRDefault="006A5113" w:rsidP="006A511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lang w:eastAsia="de-DE"/>
        </w:rPr>
      </w:pPr>
      <w:r w:rsidRPr="006A5113">
        <w:rPr>
          <w:rFonts w:ascii="Times New Roman" w:eastAsia="Times New Roman" w:hAnsi="Times New Roman"/>
          <w:lang w:eastAsia="de-DE"/>
        </w:rPr>
        <w:t xml:space="preserve">Šio vaisto </w:t>
      </w:r>
      <w:r w:rsidRPr="003634D2">
        <w:rPr>
          <w:rFonts w:ascii="Times New Roman" w:eastAsia="Times New Roman" w:hAnsi="Times New Roman"/>
          <w:lang w:eastAsia="de-DE"/>
        </w:rPr>
        <w:t>vienoje</w:t>
      </w:r>
      <w:r w:rsidRPr="006A5113">
        <w:rPr>
          <w:rFonts w:ascii="Times New Roman" w:eastAsia="Times New Roman" w:hAnsi="Times New Roman"/>
          <w:lang w:eastAsia="de-DE"/>
        </w:rPr>
        <w:t xml:space="preserve"> tabletėje yra mažiau kaip 1 </w:t>
      </w:r>
      <w:proofErr w:type="spellStart"/>
      <w:r w:rsidRPr="006A5113">
        <w:rPr>
          <w:rFonts w:ascii="Times New Roman" w:eastAsia="Times New Roman" w:hAnsi="Times New Roman"/>
          <w:lang w:eastAsia="de-DE"/>
        </w:rPr>
        <w:t>mmol</w:t>
      </w:r>
      <w:proofErr w:type="spellEnd"/>
      <w:r w:rsidRPr="006A5113">
        <w:rPr>
          <w:rFonts w:ascii="Times New Roman" w:eastAsia="Times New Roman" w:hAnsi="Times New Roman"/>
          <w:lang w:eastAsia="de-DE"/>
        </w:rPr>
        <w:t xml:space="preserve"> (23 mg) natrio, t. y. jis beveik neturi reikšmės.</w:t>
      </w:r>
    </w:p>
    <w:p w14:paraId="7E35620B" w14:textId="77777777" w:rsidR="006A5113" w:rsidRPr="006A5113" w:rsidRDefault="006A511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CA1566F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447DBBF6" w14:textId="05C84662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</w:rPr>
        <w:t>3.</w:t>
      </w:r>
      <w:r w:rsidRPr="006A5113">
        <w:rPr>
          <w:rFonts w:ascii="Times New Roman" w:eastAsia="Calibri" w:hAnsi="Times New Roman" w:cs="Times New Roman"/>
          <w:b/>
        </w:rPr>
        <w:tab/>
        <w:t xml:space="preserve">Kaip vartoti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26A0ABD4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CECA739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14:paraId="1DD8334A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3461D9" w14:textId="6F40D5B8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Rekomenduojama dozė suaugus</w:t>
      </w:r>
      <w:r w:rsidR="0032543A" w:rsidRPr="006A5113">
        <w:rPr>
          <w:rFonts w:ascii="Times New Roman" w:eastAsia="Calibri" w:hAnsi="Times New Roman" w:cs="Times New Roman"/>
        </w:rPr>
        <w:t>i</w:t>
      </w:r>
      <w:r w:rsidRPr="006A5113">
        <w:rPr>
          <w:rFonts w:ascii="Times New Roman" w:eastAsia="Calibri" w:hAnsi="Times New Roman" w:cs="Times New Roman"/>
        </w:rPr>
        <w:t>e</w:t>
      </w:r>
      <w:r w:rsidR="00B01486" w:rsidRPr="006A5113">
        <w:rPr>
          <w:rFonts w:ascii="Times New Roman" w:eastAsia="Calibri" w:hAnsi="Times New Roman" w:cs="Times New Roman"/>
        </w:rPr>
        <w:t>sie</w:t>
      </w:r>
      <w:r w:rsidRPr="006A5113">
        <w:rPr>
          <w:rFonts w:ascii="Times New Roman" w:eastAsia="Calibri" w:hAnsi="Times New Roman" w:cs="Times New Roman"/>
        </w:rPr>
        <w:t xml:space="preserve">ms žmonėms, įskaitant senyvus, yra 250 mg 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(1 </w:t>
      </w:r>
      <w:proofErr w:type="spellStart"/>
      <w:r w:rsidR="002D1FD3" w:rsidRPr="006A5113">
        <w:rPr>
          <w:rFonts w:ascii="Times New Roman" w:eastAsia="Calibri" w:hAnsi="Times New Roman" w:cs="Times New Roman"/>
        </w:rPr>
        <w:t>Terbinafin</w:t>
      </w:r>
      <w:proofErr w:type="spellEnd"/>
      <w:r w:rsidR="002D1FD3" w:rsidRPr="006A5113">
        <w:rPr>
          <w:rFonts w:ascii="Times New Roman" w:eastAsia="Calibri" w:hAnsi="Times New Roman" w:cs="Times New Roman"/>
        </w:rPr>
        <w:t xml:space="preserve"> </w:t>
      </w:r>
      <w:proofErr w:type="spellStart"/>
      <w:r w:rsidR="002D1FD3" w:rsidRPr="006A5113">
        <w:rPr>
          <w:rFonts w:ascii="Times New Roman" w:eastAsia="Calibri" w:hAnsi="Times New Roman" w:cs="Times New Roman"/>
        </w:rPr>
        <w:t>Actavis</w:t>
      </w:r>
      <w:proofErr w:type="spellEnd"/>
      <w:r w:rsidRPr="006A5113">
        <w:rPr>
          <w:rFonts w:ascii="Times New Roman" w:eastAsia="Calibri" w:hAnsi="Times New Roman" w:cs="Times New Roman"/>
        </w:rPr>
        <w:t xml:space="preserve"> 250 mg tabletė) kartą per parą.</w:t>
      </w:r>
    </w:p>
    <w:p w14:paraId="169A6BA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205A0E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Gydymo trukmė </w:t>
      </w:r>
    </w:p>
    <w:p w14:paraId="1D2B9F02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A5113">
        <w:rPr>
          <w:rFonts w:ascii="Times New Roman" w:eastAsia="Calibri" w:hAnsi="Times New Roman" w:cs="Times New Roman"/>
        </w:rPr>
        <w:t>Gydymo trukmė priklauso nuo infekcinės ligos vietos ir sunkumo:</w:t>
      </w:r>
    </w:p>
    <w:p w14:paraId="2D7FD3FD" w14:textId="77777777" w:rsidR="0012759A" w:rsidRPr="006A511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</w:r>
      <w:proofErr w:type="spellStart"/>
      <w:r w:rsidRPr="006A5113">
        <w:rPr>
          <w:rFonts w:ascii="Times New Roman" w:eastAsia="Calibri" w:hAnsi="Times New Roman" w:cs="Times New Roman"/>
        </w:rPr>
        <w:t>žokėjo</w:t>
      </w:r>
      <w:proofErr w:type="spellEnd"/>
      <w:r w:rsidRPr="006A5113">
        <w:rPr>
          <w:rFonts w:ascii="Times New Roman" w:eastAsia="Calibri" w:hAnsi="Times New Roman" w:cs="Times New Roman"/>
        </w:rPr>
        <w:t xml:space="preserve"> niežulys, kuris dar vadinamas kirkšnių grybeliu, arba išplitusi grybelinė odos liga (mikozė): dažniausia gydymo trukmė yra 2–4 savaitės;</w:t>
      </w:r>
    </w:p>
    <w:p w14:paraId="1BF45699" w14:textId="77777777" w:rsidR="0012759A" w:rsidRPr="006A511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grybelinė padų (atleto pėda), pėdų bei kojų tarpupirščių liga: gydymo trukmė gali būti iki 6 savaičių;</w:t>
      </w:r>
    </w:p>
    <w:p w14:paraId="07AADC37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grybelinė rankų nagų liga: dažniausiai gydymo trukmė yra 6 savaitės;</w:t>
      </w:r>
    </w:p>
    <w:p w14:paraId="40CED909" w14:textId="77777777" w:rsidR="0012759A" w:rsidRPr="006A5113" w:rsidRDefault="0012759A" w:rsidP="0012759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grybelinės kojų nagų ligos: gydymo trukmė paprastai yra 12 savaičių, tačiau kai kuriais atvejais gali tekti gydyti net iki 6 mėnesių.</w:t>
      </w:r>
    </w:p>
    <w:p w14:paraId="5A690ACE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AD06731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A5113">
        <w:rPr>
          <w:rFonts w:ascii="Times New Roman" w:eastAsia="Calibri" w:hAnsi="Times New Roman" w:cs="Times New Roman"/>
          <w:b/>
          <w:bCs/>
        </w:rPr>
        <w:t>Vartojimas vaikams ir paaugliams</w:t>
      </w:r>
    </w:p>
    <w:p w14:paraId="78137AEB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 xml:space="preserve">Apie vaikų ir jaunesnių negu 18 metų paauglių gydymą šiuo vaistu informacijos nėra. </w:t>
      </w:r>
    </w:p>
    <w:p w14:paraId="1E5F8B73" w14:textId="2553F5EC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 xml:space="preserve">Vaikams </w:t>
      </w:r>
      <w:r w:rsidR="002D1FD3" w:rsidRPr="006A5113">
        <w:rPr>
          <w:rFonts w:ascii="Times New Roman" w:eastAsia="Calibri" w:hAnsi="Times New Roman" w:cs="Times New Roman"/>
          <w:bCs/>
        </w:rPr>
        <w:t>Terbinafin Actavis</w:t>
      </w:r>
      <w:r w:rsidRPr="006A5113">
        <w:rPr>
          <w:rFonts w:ascii="Times New Roman" w:eastAsia="Calibri" w:hAnsi="Times New Roman" w:cs="Times New Roman"/>
          <w:bCs/>
        </w:rPr>
        <w:t xml:space="preserve"> neduokite, nebent taip elgtis Jums patarė Jūsų gydytojas.</w:t>
      </w:r>
    </w:p>
    <w:p w14:paraId="52757AD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F66F8E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Sutrikusi kepenų arba inkstų funkcija</w:t>
      </w:r>
    </w:p>
    <w:p w14:paraId="2C22988B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>Jums gali reikėti vartoti mažesnę dozę. Kokią dozę gerti, pasakys Jūsų gydytojas.</w:t>
      </w:r>
    </w:p>
    <w:p w14:paraId="4642CD02" w14:textId="77777777" w:rsidR="0012759A" w:rsidRPr="006A5113" w:rsidDel="00572258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BBFAEA1" w14:textId="210E1ECD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Ką daryti pavartojus per didelę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  <w:r w:rsidRPr="006A5113">
        <w:rPr>
          <w:rFonts w:ascii="Times New Roman" w:eastAsia="Calibri" w:hAnsi="Times New Roman" w:cs="Times New Roman"/>
          <w:b/>
        </w:rPr>
        <w:t xml:space="preserve"> dozę?</w:t>
      </w:r>
    </w:p>
    <w:p w14:paraId="539B155A" w14:textId="35C05D90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</w:rPr>
        <w:t xml:space="preserve">Jeigu iš karto išgersite didesnę negu reikia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dozę, nedelsiant susisiekite su savo gydytoju arba vykite į ligoninę. Perdozavimo simptomai yra galvos skausmas, pykinimas, viršutinės pilvo dalies skausmas ir svaigulys. </w:t>
      </w:r>
    </w:p>
    <w:p w14:paraId="7F8F06BE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D029A31" w14:textId="2FD234E8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Pamiršus pavartoti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57E20452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Jeigu įprastiniu laiku dozę išgerti pamiršite, gerkite ją tuoj pat, kai tik prisiminsite, tačiau jeigu jau bus beveik atėjęs laikas vartoti kitą dozę, pamirštąją dozę praleiskite, o kitą gerkite įprastiniu laiku. Negalima vartoti dvigubos dozės norint kompensuoti praleistą dozę.</w:t>
      </w:r>
    </w:p>
    <w:p w14:paraId="14CC9250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0715B659" w14:textId="2E4468B9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  <w:caps/>
        </w:rPr>
        <w:t>N</w:t>
      </w:r>
      <w:r w:rsidRPr="006A5113">
        <w:rPr>
          <w:rFonts w:ascii="Times New Roman" w:eastAsia="Calibri" w:hAnsi="Times New Roman" w:cs="Times New Roman"/>
          <w:b/>
        </w:rPr>
        <w:t xml:space="preserve">ustojus vartoti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6701190B" w14:textId="66926147" w:rsidR="0012759A" w:rsidRPr="006A5113" w:rsidRDefault="0012759A" w:rsidP="001275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caps/>
        </w:rPr>
      </w:pPr>
      <w:r w:rsidRPr="006A5113">
        <w:rPr>
          <w:rFonts w:ascii="Times New Roman" w:eastAsia="Calibri" w:hAnsi="Times New Roman" w:cs="Times New Roman"/>
          <w:caps/>
        </w:rPr>
        <w:t>G</w:t>
      </w:r>
      <w:r w:rsidRPr="006A5113">
        <w:rPr>
          <w:rFonts w:ascii="Times New Roman" w:eastAsia="Calibri" w:hAnsi="Times New Roman" w:cs="Times New Roman"/>
        </w:rPr>
        <w:t xml:space="preserve">ydymo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trukmę nurodys gydytojas. Nebaigę gydymo kurso, </w:t>
      </w:r>
      <w:r w:rsidR="002D1FD3" w:rsidRPr="006A5113">
        <w:rPr>
          <w:rFonts w:ascii="Times New Roman" w:eastAsia="Calibri" w:hAnsi="Times New Roman" w:cs="Times New Roman"/>
        </w:rPr>
        <w:t>Terbinafin Actavis</w:t>
      </w:r>
      <w:r w:rsidRPr="006A5113">
        <w:rPr>
          <w:rFonts w:ascii="Times New Roman" w:eastAsia="Calibri" w:hAnsi="Times New Roman" w:cs="Times New Roman"/>
        </w:rPr>
        <w:t xml:space="preserve"> vartojimo nenutraukite, kadangi infekcinė liga gali nevisiškai išgyti. Kol visi simptomai išnyks, gali praeiti kelios savaitės. </w:t>
      </w:r>
    </w:p>
    <w:p w14:paraId="302ABB59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726224F0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caps/>
        </w:rPr>
      </w:pPr>
      <w:r w:rsidRPr="006A5113">
        <w:rPr>
          <w:rFonts w:ascii="Times New Roman" w:eastAsia="Calibri" w:hAnsi="Times New Roman" w:cs="Times New Roman"/>
          <w:caps/>
        </w:rPr>
        <w:t>J</w:t>
      </w:r>
      <w:r w:rsidRPr="006A5113">
        <w:rPr>
          <w:rFonts w:ascii="Times New Roman" w:eastAsia="Calibri" w:hAnsi="Times New Roman" w:cs="Times New Roman"/>
        </w:rPr>
        <w:t>eigu kiltų daugiau klausimų dėl šio vaisto vartojimo, kreipkitės į gydytoją arba vaistininką.</w:t>
      </w:r>
    </w:p>
    <w:p w14:paraId="3A3002B3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5EE45C13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79AD36F1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  <w:caps/>
        </w:rPr>
        <w:t>4.</w:t>
      </w:r>
      <w:r w:rsidRPr="006A5113">
        <w:rPr>
          <w:rFonts w:ascii="Times New Roman" w:eastAsia="Calibri" w:hAnsi="Times New Roman" w:cs="Times New Roman"/>
          <w:b/>
          <w:caps/>
        </w:rPr>
        <w:tab/>
        <w:t>G</w:t>
      </w:r>
      <w:r w:rsidRPr="006A5113">
        <w:rPr>
          <w:rFonts w:ascii="Times New Roman" w:eastAsia="Calibri" w:hAnsi="Times New Roman" w:cs="Times New Roman"/>
          <w:b/>
        </w:rPr>
        <w:t>alimas šalutinis poveikis</w:t>
      </w:r>
    </w:p>
    <w:p w14:paraId="0521A6ED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70D90CF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Šis vaistas, kaip ir visi kiti, gali sukelti šalutinį poveikį, nors jis pasireiškia ne visiems žmonėms. </w:t>
      </w:r>
    </w:p>
    <w:p w14:paraId="5E7956AC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6FFEFFE3" w14:textId="18AAC978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Toliau nurodytas šalutinis poveikis yra sunkus, jam pasireiškus, būtina nedelsiant imtis priemonių.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  <w:r w:rsidRPr="006A5113">
        <w:rPr>
          <w:rFonts w:ascii="Times New Roman" w:eastAsia="Calibri" w:hAnsi="Times New Roman" w:cs="Times New Roman"/>
          <w:b/>
        </w:rPr>
        <w:t xml:space="preserve"> vartojimą nutraukite ir nedelsiant kreipkitės į gydytoją, jeigu pasireiškia šie simptomai:</w:t>
      </w:r>
    </w:p>
    <w:p w14:paraId="24ABADE3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veido, liežuvio ir trachėjos patinimas, galintis labai pasunkinti kvėpavimą (</w:t>
      </w:r>
      <w:proofErr w:type="spellStart"/>
      <w:r w:rsidRPr="006A5113">
        <w:rPr>
          <w:rFonts w:ascii="Times New Roman" w:eastAsia="Calibri" w:hAnsi="Times New Roman" w:cs="Times New Roman"/>
        </w:rPr>
        <w:t>angioneurozinė</w:t>
      </w:r>
      <w:proofErr w:type="spellEnd"/>
      <w:r w:rsidRPr="006A5113">
        <w:rPr>
          <w:rFonts w:ascii="Times New Roman" w:eastAsia="Calibri" w:hAnsi="Times New Roman" w:cs="Times New Roman"/>
        </w:rPr>
        <w:t xml:space="preserve"> edema);</w:t>
      </w:r>
    </w:p>
    <w:p w14:paraId="693AB235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staigi alerginė reakcija, pasireiškianti dusuliu, išbėrimu, švokštimu ir kraujospūdžio kritimu (</w:t>
      </w:r>
      <w:proofErr w:type="spellStart"/>
      <w:r w:rsidRPr="006A5113">
        <w:rPr>
          <w:rFonts w:ascii="Times New Roman" w:eastAsia="Calibri" w:hAnsi="Times New Roman" w:cs="Times New Roman"/>
        </w:rPr>
        <w:t>anafilaksija</w:t>
      </w:r>
      <w:proofErr w:type="spellEnd"/>
      <w:r w:rsidRPr="006A5113">
        <w:rPr>
          <w:rFonts w:ascii="Times New Roman" w:eastAsia="Calibri" w:hAnsi="Times New Roman" w:cs="Times New Roman"/>
        </w:rPr>
        <w:t>);</w:t>
      </w:r>
    </w:p>
    <w:p w14:paraId="0BD385CE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sunki odos reakcija, pvz., sunki alerginė reakcija, pasireiškianti karščiavimu, sąnarių ir (arba) akių uždegimu arba odos pūslėjimu ir lupimusi (</w:t>
      </w:r>
      <w:proofErr w:type="spellStart"/>
      <w:r w:rsidRPr="006A5113">
        <w:rPr>
          <w:rFonts w:ascii="Times New Roman" w:eastAsia="Calibri" w:hAnsi="Times New Roman" w:cs="Times New Roman"/>
        </w:rPr>
        <w:t>Stevens-Johnson‘o</w:t>
      </w:r>
      <w:proofErr w:type="spellEnd"/>
      <w:r w:rsidRPr="006A5113">
        <w:rPr>
          <w:rFonts w:ascii="Times New Roman" w:eastAsia="Calibri" w:hAnsi="Times New Roman" w:cs="Times New Roman"/>
        </w:rPr>
        <w:t xml:space="preserve"> sindromas, toksinė epidermio </w:t>
      </w:r>
      <w:proofErr w:type="spellStart"/>
      <w:r w:rsidRPr="006A5113">
        <w:rPr>
          <w:rFonts w:ascii="Times New Roman" w:eastAsia="Calibri" w:hAnsi="Times New Roman" w:cs="Times New Roman"/>
        </w:rPr>
        <w:t>nekrolizė</w:t>
      </w:r>
      <w:proofErr w:type="spellEnd"/>
      <w:r w:rsidRPr="006A5113">
        <w:rPr>
          <w:rFonts w:ascii="Times New Roman" w:eastAsia="Calibri" w:hAnsi="Times New Roman" w:cs="Times New Roman"/>
        </w:rPr>
        <w:t>);</w:t>
      </w:r>
    </w:p>
    <w:p w14:paraId="4CC0EE8D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>odos ar akių pageltimas, šlapimo patamsėjimas arba išmatų išblankimas, apetito praradimas, nuovargis, vėmimas, pilvo skausmas (kepenų sutrikimo, pvz., geltos, kepenų uždegimo, tulžies sąstovio arba kepenų nepakankamumo, požymiai).</w:t>
      </w:r>
    </w:p>
    <w:p w14:paraId="208C7256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470B2249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>Gali pasireikšti ir kitas šalutinis poveikis.</w:t>
      </w:r>
    </w:p>
    <w:p w14:paraId="112F2A95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981445C" w14:textId="38C575AB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A5113">
        <w:rPr>
          <w:rFonts w:ascii="Times New Roman" w:eastAsia="Calibri" w:hAnsi="Times New Roman" w:cs="Times New Roman"/>
          <w:b/>
          <w:bCs/>
        </w:rPr>
        <w:t>Labai dažnas (gali pasirei</w:t>
      </w:r>
      <w:r w:rsidR="000908C2" w:rsidRPr="006A5113">
        <w:rPr>
          <w:rFonts w:ascii="Times New Roman" w:eastAsia="Calibri" w:hAnsi="Times New Roman" w:cs="Times New Roman"/>
          <w:b/>
          <w:bCs/>
        </w:rPr>
        <w:t>k</w:t>
      </w:r>
      <w:r w:rsidRPr="006A5113">
        <w:rPr>
          <w:rFonts w:ascii="Times New Roman" w:eastAsia="Calibri" w:hAnsi="Times New Roman" w:cs="Times New Roman"/>
          <w:b/>
          <w:bCs/>
        </w:rPr>
        <w:t>šti daugiau negu 1 iš 10 žmonių)</w:t>
      </w:r>
    </w:p>
    <w:p w14:paraId="4F285A08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 xml:space="preserve">Lengvos odos reakcijos, pvz., išbėrimas ir dilgėlinė, sąnarių ir raumenų skausmas, susijęs su odos reakcija, pilnumo pojūtis, </w:t>
      </w:r>
      <w:proofErr w:type="spellStart"/>
      <w:r w:rsidRPr="006A5113">
        <w:rPr>
          <w:rFonts w:ascii="Times New Roman" w:eastAsia="Calibri" w:hAnsi="Times New Roman" w:cs="Times New Roman"/>
          <w:bCs/>
        </w:rPr>
        <w:t>nevirškinimas</w:t>
      </w:r>
      <w:proofErr w:type="spellEnd"/>
      <w:r w:rsidRPr="006A5113">
        <w:rPr>
          <w:rFonts w:ascii="Times New Roman" w:eastAsia="Calibri" w:hAnsi="Times New Roman" w:cs="Times New Roman"/>
          <w:bCs/>
        </w:rPr>
        <w:t xml:space="preserve">, pykinimas, pilvo skausmas, viduriavimas, bei apetito sumažėjimas. </w:t>
      </w:r>
    </w:p>
    <w:p w14:paraId="5A12D23A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F17D570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A5113">
        <w:rPr>
          <w:rFonts w:ascii="Times New Roman" w:eastAsia="Calibri" w:hAnsi="Times New Roman" w:cs="Times New Roman"/>
          <w:b/>
          <w:bCs/>
        </w:rPr>
        <w:t>Dažnas (gali pasireikšti mažiau negu 1 iš 10 žmonių)</w:t>
      </w:r>
    </w:p>
    <w:p w14:paraId="7063DF69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 xml:space="preserve">Galvos skausmas. </w:t>
      </w:r>
    </w:p>
    <w:p w14:paraId="427EA20D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F1B9D93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6A5113">
        <w:rPr>
          <w:rFonts w:ascii="Times New Roman" w:eastAsia="Calibri" w:hAnsi="Times New Roman" w:cs="Times New Roman"/>
          <w:b/>
          <w:bCs/>
        </w:rPr>
        <w:t>Nedažnas (gali pasireikšti mažiau negu 1 iš 100 žmonių)</w:t>
      </w:r>
    </w:p>
    <w:p w14:paraId="3178C381" w14:textId="3378AEA5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>Skonio pojūčio sutrikimas, įskaitant skonio praradimą.</w:t>
      </w:r>
      <w:r w:rsidR="00E23587" w:rsidRPr="006A5113">
        <w:rPr>
          <w:rFonts w:ascii="Times New Roman" w:eastAsia="Calibri" w:hAnsi="Times New Roman" w:cs="Times New Roman"/>
          <w:bCs/>
        </w:rPr>
        <w:t xml:space="preserve"> </w:t>
      </w:r>
      <w:r w:rsidRPr="006A5113">
        <w:rPr>
          <w:rFonts w:ascii="Times New Roman" w:eastAsia="Calibri" w:hAnsi="Times New Roman" w:cs="Times New Roman"/>
          <w:bCs/>
        </w:rPr>
        <w:t>Vaisto vartojimą nutraukus, šis poveikis paprastai palengva išnyksta. Buvo pavienių ilgalaikių skonio sutrikimų atvejų.</w:t>
      </w:r>
    </w:p>
    <w:p w14:paraId="00F10110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8C26415" w14:textId="77777777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A5113">
        <w:rPr>
          <w:rFonts w:ascii="Times New Roman" w:eastAsia="Calibri" w:hAnsi="Times New Roman" w:cs="Times New Roman"/>
          <w:b/>
          <w:bCs/>
        </w:rPr>
        <w:t>Retas (gali pasireikšti mažiau negu 1 iš 1000 žmonių)</w:t>
      </w:r>
    </w:p>
    <w:p w14:paraId="148645FC" w14:textId="37D0AE35" w:rsidR="0012759A" w:rsidRPr="006A5113" w:rsidRDefault="0012759A" w:rsidP="001275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A5113">
        <w:rPr>
          <w:rFonts w:ascii="Times New Roman" w:eastAsia="Calibri" w:hAnsi="Times New Roman" w:cs="Times New Roman"/>
          <w:bCs/>
        </w:rPr>
        <w:t>Kep</w:t>
      </w:r>
      <w:r w:rsidR="00E23587" w:rsidRPr="006A5113">
        <w:rPr>
          <w:rFonts w:ascii="Times New Roman" w:eastAsia="Calibri" w:hAnsi="Times New Roman" w:cs="Times New Roman"/>
          <w:bCs/>
        </w:rPr>
        <w:t>e</w:t>
      </w:r>
      <w:r w:rsidRPr="006A5113">
        <w:rPr>
          <w:rFonts w:ascii="Times New Roman" w:eastAsia="Calibri" w:hAnsi="Times New Roman" w:cs="Times New Roman"/>
          <w:bCs/>
        </w:rPr>
        <w:t>nų fermentų padaugėjimas kraujyje, bendrojo pobūdžio negalavimas, nuovargis, odos tirpulio ir dilgčiojimo arba galūnių dieglių pojūtis (</w:t>
      </w:r>
      <w:proofErr w:type="spellStart"/>
      <w:r w:rsidRPr="006A5113">
        <w:rPr>
          <w:rFonts w:ascii="Times New Roman" w:eastAsia="Calibri" w:hAnsi="Times New Roman" w:cs="Times New Roman"/>
          <w:bCs/>
        </w:rPr>
        <w:t>parestezija</w:t>
      </w:r>
      <w:proofErr w:type="spellEnd"/>
      <w:r w:rsidRPr="006A5113">
        <w:rPr>
          <w:rFonts w:ascii="Times New Roman" w:eastAsia="Calibri" w:hAnsi="Times New Roman" w:cs="Times New Roman"/>
          <w:bCs/>
        </w:rPr>
        <w:t xml:space="preserve">), lietimo pojūčio arba jutimų sumažėjimas, svaigulys. </w:t>
      </w:r>
    </w:p>
    <w:p w14:paraId="7E379701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5A905FD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  <w:b/>
          <w:bCs/>
        </w:rPr>
        <w:t>Labai retas (gali pasireikšti mažiau negu 1 iš 10000 žmonių)</w:t>
      </w:r>
    </w:p>
    <w:p w14:paraId="305781D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lastRenderedPageBreak/>
        <w:t xml:space="preserve">Netaisyklingos raudonos plaštakų ir rankų odos dėmės (daugiaformė </w:t>
      </w:r>
      <w:proofErr w:type="spellStart"/>
      <w:r w:rsidRPr="006A5113">
        <w:rPr>
          <w:rFonts w:ascii="Times New Roman" w:eastAsia="Calibri" w:hAnsi="Times New Roman" w:cs="Times New Roman"/>
        </w:rPr>
        <w:t>eritema</w:t>
      </w:r>
      <w:proofErr w:type="spellEnd"/>
      <w:r w:rsidRPr="006A5113">
        <w:rPr>
          <w:rFonts w:ascii="Times New Roman" w:eastAsia="Calibri" w:hAnsi="Times New Roman" w:cs="Times New Roman"/>
        </w:rPr>
        <w:t xml:space="preserve">). Kraujo ląstelių kiekio pokyčiai, sunki imuninė odos liga, susijusi su odos simptomais (sisteminė raudonoji vilkligė), žvynelinės (pleiskanojanti odos liga) pasunkėjimas, plaukų slinkimas, raudonų patinusių odos plotų su daug mažų </w:t>
      </w:r>
      <w:proofErr w:type="spellStart"/>
      <w:r w:rsidRPr="006A5113">
        <w:rPr>
          <w:rFonts w:ascii="Times New Roman" w:eastAsia="Calibri" w:hAnsi="Times New Roman" w:cs="Times New Roman"/>
        </w:rPr>
        <w:t>pūlinėlių</w:t>
      </w:r>
      <w:proofErr w:type="spellEnd"/>
      <w:r w:rsidRPr="006A5113">
        <w:rPr>
          <w:rFonts w:ascii="Times New Roman" w:eastAsia="Calibri" w:hAnsi="Times New Roman" w:cs="Times New Roman"/>
        </w:rPr>
        <w:t xml:space="preserve"> staigus atsiradimas (ūminė </w:t>
      </w:r>
      <w:proofErr w:type="spellStart"/>
      <w:r w:rsidRPr="006A5113">
        <w:rPr>
          <w:rFonts w:ascii="Times New Roman" w:eastAsia="Calibri" w:hAnsi="Times New Roman" w:cs="Times New Roman"/>
        </w:rPr>
        <w:t>generalizuota</w:t>
      </w:r>
      <w:proofErr w:type="spellEnd"/>
      <w:r w:rsidRPr="006A5113">
        <w:rPr>
          <w:rFonts w:ascii="Times New Roman" w:eastAsia="Calibri" w:hAnsi="Times New Roman" w:cs="Times New Roman"/>
        </w:rPr>
        <w:t xml:space="preserve"> </w:t>
      </w:r>
      <w:proofErr w:type="spellStart"/>
      <w:r w:rsidRPr="006A5113">
        <w:rPr>
          <w:rFonts w:ascii="Times New Roman" w:eastAsia="Calibri" w:hAnsi="Times New Roman" w:cs="Times New Roman"/>
        </w:rPr>
        <w:t>pūlinėlinė</w:t>
      </w:r>
      <w:proofErr w:type="spellEnd"/>
      <w:r w:rsidRPr="006A5113">
        <w:rPr>
          <w:rFonts w:ascii="Times New Roman" w:eastAsia="Calibri" w:hAnsi="Times New Roman" w:cs="Times New Roman"/>
        </w:rPr>
        <w:t xml:space="preserve"> </w:t>
      </w:r>
      <w:proofErr w:type="spellStart"/>
      <w:r w:rsidRPr="006A5113">
        <w:rPr>
          <w:rFonts w:ascii="Times New Roman" w:eastAsia="Calibri" w:hAnsi="Times New Roman" w:cs="Times New Roman"/>
        </w:rPr>
        <w:t>egzantema</w:t>
      </w:r>
      <w:proofErr w:type="spellEnd"/>
      <w:r w:rsidRPr="006A5113">
        <w:rPr>
          <w:rFonts w:ascii="Times New Roman" w:eastAsia="Calibri" w:hAnsi="Times New Roman" w:cs="Times New Roman"/>
        </w:rPr>
        <w:t xml:space="preserve">). Sunkūs psichikos simptomai, pvz., depresija ir nerimas. </w:t>
      </w:r>
    </w:p>
    <w:p w14:paraId="281DFC0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59DB2E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Nežinomas (negali būti apskaičiuotas pagal turimus duomenis)</w:t>
      </w:r>
    </w:p>
    <w:p w14:paraId="0F3A3042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Mažakraujystė (anemija), kvapų nejutimas (</w:t>
      </w:r>
      <w:proofErr w:type="spellStart"/>
      <w:r w:rsidRPr="006A5113">
        <w:rPr>
          <w:rFonts w:ascii="Times New Roman" w:eastAsia="Calibri" w:hAnsi="Times New Roman" w:cs="Times New Roman"/>
        </w:rPr>
        <w:t>anosmija</w:t>
      </w:r>
      <w:proofErr w:type="spellEnd"/>
      <w:r w:rsidRPr="006A5113">
        <w:rPr>
          <w:rFonts w:ascii="Times New Roman" w:eastAsia="Calibri" w:hAnsi="Times New Roman" w:cs="Times New Roman"/>
        </w:rPr>
        <w:t xml:space="preserve">), vidutinio sunkumo arba sunkios alerginės reakcijos (į </w:t>
      </w:r>
      <w:proofErr w:type="spellStart"/>
      <w:r w:rsidRPr="006A5113">
        <w:rPr>
          <w:rFonts w:ascii="Times New Roman" w:eastAsia="Calibri" w:hAnsi="Times New Roman" w:cs="Times New Roman"/>
        </w:rPr>
        <w:t>seruminę</w:t>
      </w:r>
      <w:proofErr w:type="spellEnd"/>
      <w:r w:rsidRPr="006A5113">
        <w:rPr>
          <w:rFonts w:ascii="Times New Roman" w:eastAsia="Calibri" w:hAnsi="Times New Roman" w:cs="Times New Roman"/>
        </w:rPr>
        <w:t xml:space="preserve"> ligą panaši reakcija ir anafilaksinė reakcija), prikurtimas, klausos sutrikimas, spengimas ausyse, kraujagyslių uždegimas (</w:t>
      </w:r>
      <w:proofErr w:type="spellStart"/>
      <w:r w:rsidRPr="006A5113">
        <w:rPr>
          <w:rFonts w:ascii="Times New Roman" w:eastAsia="Calibri" w:hAnsi="Times New Roman" w:cs="Times New Roman"/>
        </w:rPr>
        <w:t>angitas</w:t>
      </w:r>
      <w:proofErr w:type="spellEnd"/>
      <w:r w:rsidRPr="006A5113">
        <w:rPr>
          <w:rFonts w:ascii="Times New Roman" w:eastAsia="Calibri" w:hAnsi="Times New Roman" w:cs="Times New Roman"/>
        </w:rPr>
        <w:t xml:space="preserve">), kasos uždegimas (pankreatitas). </w:t>
      </w:r>
    </w:p>
    <w:p w14:paraId="4659FE76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83CE56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Vidutinio sunkumo arba sunkios alerginės reakcijos dėl saulės šviesos poveikio, skeleto raumenų skausmas ir pažaida (</w:t>
      </w:r>
      <w:proofErr w:type="spellStart"/>
      <w:r w:rsidRPr="006A5113">
        <w:rPr>
          <w:rFonts w:ascii="Times New Roman" w:eastAsia="Calibri" w:hAnsi="Times New Roman" w:cs="Times New Roman"/>
        </w:rPr>
        <w:t>rabdomiolizė</w:t>
      </w:r>
      <w:proofErr w:type="spellEnd"/>
      <w:r w:rsidRPr="006A5113">
        <w:rPr>
          <w:rFonts w:ascii="Times New Roman" w:eastAsia="Calibri" w:hAnsi="Times New Roman" w:cs="Times New Roman"/>
        </w:rPr>
        <w:t xml:space="preserve">), kūno svorio mažėjimas dėl mažesnio maisto kiekio suvartojimo, į gripą panaši liga, karščiavimas, </w:t>
      </w:r>
      <w:proofErr w:type="spellStart"/>
      <w:r w:rsidRPr="006A5113">
        <w:rPr>
          <w:rFonts w:ascii="Times New Roman" w:eastAsia="Calibri" w:hAnsi="Times New Roman" w:cs="Times New Roman"/>
        </w:rPr>
        <w:t>fosfokreatinkinazės</w:t>
      </w:r>
      <w:proofErr w:type="spellEnd"/>
      <w:r w:rsidRPr="006A5113">
        <w:rPr>
          <w:rFonts w:ascii="Times New Roman" w:eastAsia="Calibri" w:hAnsi="Times New Roman" w:cs="Times New Roman"/>
        </w:rPr>
        <w:t xml:space="preserve"> kiekio padidėjimas kraujyje.</w:t>
      </w:r>
    </w:p>
    <w:p w14:paraId="2C8F6813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86889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Pranešimas apie šalutinį poveikį</w:t>
      </w:r>
    </w:p>
    <w:p w14:paraId="4E35F00A" w14:textId="0E92ECF1" w:rsidR="0012759A" w:rsidRPr="00E93ABD" w:rsidRDefault="00E93ABD" w:rsidP="0012759A">
      <w:pPr>
        <w:spacing w:after="0" w:line="240" w:lineRule="auto"/>
        <w:rPr>
          <w:rFonts w:ascii="Times New Roman" w:hAnsi="Times New Roman" w:cs="Times New Roman"/>
        </w:rPr>
      </w:pPr>
      <w:r w:rsidRPr="0059600C">
        <w:rPr>
          <w:rFonts w:ascii="Times New Roman" w:eastAsia="Calibri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59600C">
        <w:rPr>
          <w:rFonts w:ascii="Times New Roman" w:eastAsia="Calibri" w:hAnsi="Times New Roman" w:cs="Times New Roman"/>
          <w:lang w:eastAsia="lt-LT"/>
        </w:rPr>
        <w:t>.</w:t>
      </w:r>
      <w:r w:rsidRPr="0059600C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8F1D7E">
        <w:t xml:space="preserve"> </w:t>
      </w:r>
      <w:r w:rsidRPr="00461B27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461B27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461B27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8" w:history="1">
        <w:r w:rsidRPr="00461B27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461B27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9" w:history="1">
        <w:r w:rsidRPr="00461B27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461B27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</w:t>
      </w:r>
      <w:r w:rsidRPr="00461B27">
        <w:rPr>
          <w:rFonts w:ascii="Times New Roman" w:hAnsi="Times New Roman" w:cs="Times New Roman"/>
        </w:rPr>
        <w:t>.</w:t>
      </w:r>
    </w:p>
    <w:p w14:paraId="0646872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BB9CA3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A74FF44" w14:textId="6AFFD0EA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6A5113">
        <w:rPr>
          <w:rFonts w:ascii="Times New Roman" w:eastAsia="Calibri" w:hAnsi="Times New Roman" w:cs="Times New Roman"/>
          <w:b/>
          <w:caps/>
        </w:rPr>
        <w:t>5.</w:t>
      </w:r>
      <w:r w:rsidRPr="006A5113">
        <w:rPr>
          <w:rFonts w:ascii="Times New Roman" w:eastAsia="Calibri" w:hAnsi="Times New Roman" w:cs="Times New Roman"/>
          <w:b/>
          <w:caps/>
        </w:rPr>
        <w:tab/>
        <w:t>K</w:t>
      </w:r>
      <w:r w:rsidRPr="006A5113">
        <w:rPr>
          <w:rFonts w:ascii="Times New Roman" w:eastAsia="Calibri" w:hAnsi="Times New Roman" w:cs="Times New Roman"/>
          <w:b/>
        </w:rPr>
        <w:t xml:space="preserve">aip laikyti </w:t>
      </w:r>
      <w:r w:rsidR="002D1FD3" w:rsidRPr="006A5113">
        <w:rPr>
          <w:rFonts w:ascii="Times New Roman" w:eastAsia="Calibri" w:hAnsi="Times New Roman" w:cs="Times New Roman"/>
          <w:b/>
        </w:rPr>
        <w:t>Terbinafin Actavis</w:t>
      </w:r>
    </w:p>
    <w:p w14:paraId="2571BCAE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760250C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5E79FBE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C28047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Ant kartono dėžutės po „</w:t>
      </w:r>
      <w:r w:rsidRPr="006A5113">
        <w:rPr>
          <w:rFonts w:ascii="Times New Roman" w:eastAsia="Calibri" w:hAnsi="Times New Roman" w:cs="Times New Roman"/>
          <w:highlight w:val="lightGray"/>
        </w:rPr>
        <w:t>Tinka iki/</w:t>
      </w:r>
      <w:r w:rsidRPr="006A5113">
        <w:rPr>
          <w:rFonts w:ascii="Times New Roman" w:eastAsia="Calibri" w:hAnsi="Times New Roman" w:cs="Times New Roman"/>
        </w:rPr>
        <w:t xml:space="preserve">EXP“ ir lizdinės plokštelės nurodytam tinkamumo laikui pasibaigus, šio vaisto vartoti negalima. Vaistas tinkamas vartoti iki paskutinės nurodyto mėnesio dienos. </w:t>
      </w:r>
    </w:p>
    <w:p w14:paraId="28BFDAB8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67DCA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lang w:eastAsia="lt-LT"/>
        </w:rPr>
        <w:t>Laikyti gamintojo pakuotėje, kad vaistas būtų apsaugotas nuo šviesos.</w:t>
      </w:r>
    </w:p>
    <w:p w14:paraId="3C848A05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AFC146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511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8968401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14:paraId="5152F194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14:paraId="760AA516" w14:textId="77777777" w:rsidR="0012759A" w:rsidRPr="006A5113" w:rsidRDefault="0012759A" w:rsidP="001275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6.</w:t>
      </w:r>
      <w:r w:rsidRPr="006A5113">
        <w:rPr>
          <w:rFonts w:ascii="Times New Roman" w:eastAsia="Calibri" w:hAnsi="Times New Roman" w:cs="Times New Roman"/>
        </w:rPr>
        <w:tab/>
      </w:r>
      <w:r w:rsidRPr="006A5113">
        <w:rPr>
          <w:rFonts w:ascii="Times New Roman" w:eastAsia="Calibri" w:hAnsi="Times New Roman" w:cs="Times New Roman"/>
          <w:b/>
        </w:rPr>
        <w:t>Pakuotės turinys ir kita informacija</w:t>
      </w:r>
    </w:p>
    <w:p w14:paraId="116C3388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F01A9AA" w14:textId="72FE966B" w:rsidR="0012759A" w:rsidRPr="006A5113" w:rsidRDefault="002D1FD3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Terbinafin Actavis</w:t>
      </w:r>
      <w:r w:rsidR="0012759A" w:rsidRPr="006A5113">
        <w:rPr>
          <w:rFonts w:ascii="Times New Roman" w:eastAsia="Calibri" w:hAnsi="Times New Roman" w:cs="Times New Roman"/>
          <w:b/>
        </w:rPr>
        <w:t xml:space="preserve"> sudėtis</w:t>
      </w:r>
    </w:p>
    <w:p w14:paraId="7DD6E6F9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Veiklioji medžiaga yra </w:t>
      </w:r>
      <w:proofErr w:type="spellStart"/>
      <w:r w:rsidRPr="006A5113">
        <w:rPr>
          <w:rFonts w:ascii="Times New Roman" w:eastAsia="Calibri" w:hAnsi="Times New Roman" w:cs="Times New Roman"/>
        </w:rPr>
        <w:t>terbinafinas</w:t>
      </w:r>
      <w:proofErr w:type="spellEnd"/>
      <w:r w:rsidRPr="006A5113">
        <w:rPr>
          <w:rFonts w:ascii="Times New Roman" w:eastAsia="Calibri" w:hAnsi="Times New Roman" w:cs="Times New Roman"/>
        </w:rPr>
        <w:t xml:space="preserve"> (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hidrochlorido pavidalu). Kiekvienoje tabletėje yra 250 mg 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(</w:t>
      </w:r>
      <w:proofErr w:type="spellStart"/>
      <w:r w:rsidRPr="006A5113">
        <w:rPr>
          <w:rFonts w:ascii="Times New Roman" w:eastAsia="Calibri" w:hAnsi="Times New Roman" w:cs="Times New Roman"/>
        </w:rPr>
        <w:t>terbinafino</w:t>
      </w:r>
      <w:proofErr w:type="spellEnd"/>
      <w:r w:rsidRPr="006A5113">
        <w:rPr>
          <w:rFonts w:ascii="Times New Roman" w:eastAsia="Calibri" w:hAnsi="Times New Roman" w:cs="Times New Roman"/>
        </w:rPr>
        <w:t xml:space="preserve"> hidrochlorido pavidalu). </w:t>
      </w:r>
    </w:p>
    <w:p w14:paraId="3867E75A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-</w:t>
      </w:r>
      <w:r w:rsidRPr="006A5113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6A5113">
        <w:rPr>
          <w:rFonts w:ascii="Times New Roman" w:eastAsia="Calibri" w:hAnsi="Times New Roman" w:cs="Times New Roman"/>
        </w:rPr>
        <w:t>mikrokristalinė</w:t>
      </w:r>
      <w:proofErr w:type="spellEnd"/>
      <w:r w:rsidRPr="006A5113">
        <w:rPr>
          <w:rFonts w:ascii="Times New Roman" w:eastAsia="Calibri" w:hAnsi="Times New Roman" w:cs="Times New Roman"/>
        </w:rPr>
        <w:t xml:space="preserve"> celiuliozė, </w:t>
      </w:r>
      <w:proofErr w:type="spellStart"/>
      <w:r w:rsidRPr="006A5113">
        <w:rPr>
          <w:rFonts w:ascii="Times New Roman" w:eastAsia="Calibri" w:hAnsi="Times New Roman" w:cs="Times New Roman"/>
        </w:rPr>
        <w:t>karboksimetilkrakmolo</w:t>
      </w:r>
      <w:proofErr w:type="spellEnd"/>
      <w:r w:rsidRPr="006A5113">
        <w:rPr>
          <w:rFonts w:ascii="Times New Roman" w:eastAsia="Calibri" w:hAnsi="Times New Roman" w:cs="Times New Roman"/>
        </w:rPr>
        <w:t xml:space="preserve"> A natrio druska, koloidinis silicio dioksidas, bevandenis, </w:t>
      </w:r>
      <w:proofErr w:type="spellStart"/>
      <w:r w:rsidRPr="006A5113">
        <w:rPr>
          <w:rFonts w:ascii="Times New Roman" w:eastAsia="Calibri" w:hAnsi="Times New Roman" w:cs="Times New Roman"/>
        </w:rPr>
        <w:t>hipromeliozė</w:t>
      </w:r>
      <w:proofErr w:type="spellEnd"/>
      <w:r w:rsidRPr="006A5113">
        <w:rPr>
          <w:rFonts w:ascii="Times New Roman" w:eastAsia="Calibri" w:hAnsi="Times New Roman" w:cs="Times New Roman"/>
        </w:rPr>
        <w:t xml:space="preserve"> ir magnio </w:t>
      </w:r>
      <w:proofErr w:type="spellStart"/>
      <w:r w:rsidRPr="006A5113">
        <w:rPr>
          <w:rFonts w:ascii="Times New Roman" w:eastAsia="Calibri" w:hAnsi="Times New Roman" w:cs="Times New Roman"/>
        </w:rPr>
        <w:t>stearatas</w:t>
      </w:r>
      <w:proofErr w:type="spellEnd"/>
      <w:r w:rsidRPr="006A5113">
        <w:rPr>
          <w:rFonts w:ascii="Times New Roman" w:eastAsia="Calibri" w:hAnsi="Times New Roman" w:cs="Times New Roman"/>
        </w:rPr>
        <w:t xml:space="preserve">. </w:t>
      </w:r>
    </w:p>
    <w:p w14:paraId="05233C25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C6FFC1" w14:textId="2BDD78FD" w:rsidR="0012759A" w:rsidRPr="006A5113" w:rsidRDefault="002D1FD3" w:rsidP="001275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>Terbinafin Actavis</w:t>
      </w:r>
      <w:r w:rsidR="0012759A" w:rsidRPr="006A5113">
        <w:rPr>
          <w:rFonts w:ascii="Times New Roman" w:eastAsia="Calibri" w:hAnsi="Times New Roman" w:cs="Times New Roman"/>
          <w:b/>
        </w:rPr>
        <w:t xml:space="preserve"> išvaizda ir kiekis pakuotėje</w:t>
      </w:r>
    </w:p>
    <w:p w14:paraId="744E5E4F" w14:textId="0ED84CD2" w:rsidR="0012759A" w:rsidRPr="006A5113" w:rsidRDefault="002D1FD3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Terbinafin Actavis</w:t>
      </w:r>
      <w:r w:rsidR="0012759A" w:rsidRPr="006A5113">
        <w:rPr>
          <w:rFonts w:ascii="Times New Roman" w:eastAsia="Calibri" w:hAnsi="Times New Roman" w:cs="Times New Roman"/>
        </w:rPr>
        <w:t xml:space="preserve"> tabletės yra baltos, apvalios, išgaubtos, su vagele abiejose pusėse. Vienoje tablečių pusėje yra įspausta raidė „D“, kitoje „74“. </w:t>
      </w:r>
      <w:r w:rsidR="007038D8" w:rsidRPr="003634D2">
        <w:rPr>
          <w:rFonts w:ascii="Times New Roman" w:hAnsi="Times New Roman" w:cs="Times New Roman"/>
          <w:noProof/>
          <w:szCs w:val="24"/>
        </w:rPr>
        <w:t>Tabletę galima padalyti į lygias dozes.</w:t>
      </w:r>
    </w:p>
    <w:p w14:paraId="7D84FCAC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Kartono dėžutėje yra 28 tabletės.</w:t>
      </w:r>
    </w:p>
    <w:p w14:paraId="71DE5BFA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7A7B6BA5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Registruotojas ir gamintojas eksportuojančioje valstybėje </w:t>
      </w:r>
    </w:p>
    <w:p w14:paraId="6BDD9372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</w:p>
    <w:p w14:paraId="2E6E7C05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  <w:r w:rsidRPr="006A5113">
        <w:rPr>
          <w:rFonts w:ascii="Times New Roman" w:hAnsi="Times New Roman" w:cs="Times New Roman"/>
          <w:i/>
        </w:rPr>
        <w:t>Registruotojas</w:t>
      </w:r>
    </w:p>
    <w:p w14:paraId="5F988C2E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A5113">
        <w:rPr>
          <w:rFonts w:ascii="Times New Roman" w:hAnsi="Times New Roman" w:cs="Times New Roman"/>
        </w:rPr>
        <w:lastRenderedPageBreak/>
        <w:t>Aurobindo</w:t>
      </w:r>
      <w:proofErr w:type="spellEnd"/>
      <w:r w:rsidRPr="006A5113">
        <w:rPr>
          <w:rFonts w:ascii="Times New Roman" w:hAnsi="Times New Roman" w:cs="Times New Roman"/>
        </w:rPr>
        <w:t xml:space="preserve"> </w:t>
      </w:r>
      <w:proofErr w:type="spellStart"/>
      <w:r w:rsidRPr="006A5113">
        <w:rPr>
          <w:rFonts w:ascii="Times New Roman" w:hAnsi="Times New Roman" w:cs="Times New Roman"/>
        </w:rPr>
        <w:t>Pharma</w:t>
      </w:r>
      <w:proofErr w:type="spellEnd"/>
      <w:r w:rsidRPr="006A5113">
        <w:rPr>
          <w:rFonts w:ascii="Times New Roman" w:hAnsi="Times New Roman" w:cs="Times New Roman"/>
        </w:rPr>
        <w:t xml:space="preserve"> B.V.</w:t>
      </w:r>
    </w:p>
    <w:p w14:paraId="7A469BAC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A5113">
        <w:rPr>
          <w:rFonts w:ascii="Times New Roman" w:hAnsi="Times New Roman" w:cs="Times New Roman"/>
        </w:rPr>
        <w:t>Baarnsche</w:t>
      </w:r>
      <w:proofErr w:type="spellEnd"/>
      <w:r w:rsidRPr="006A5113">
        <w:rPr>
          <w:rFonts w:ascii="Times New Roman" w:hAnsi="Times New Roman" w:cs="Times New Roman"/>
        </w:rPr>
        <w:t xml:space="preserve"> </w:t>
      </w:r>
      <w:proofErr w:type="spellStart"/>
      <w:r w:rsidRPr="006A5113">
        <w:rPr>
          <w:rFonts w:ascii="Times New Roman" w:hAnsi="Times New Roman" w:cs="Times New Roman"/>
        </w:rPr>
        <w:t>Dijk</w:t>
      </w:r>
      <w:proofErr w:type="spellEnd"/>
      <w:r w:rsidRPr="006A5113">
        <w:rPr>
          <w:rFonts w:ascii="Times New Roman" w:hAnsi="Times New Roman" w:cs="Times New Roman"/>
        </w:rPr>
        <w:t xml:space="preserve"> </w:t>
      </w:r>
    </w:p>
    <w:p w14:paraId="01CF02F5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hAnsi="Times New Roman" w:cs="Times New Roman"/>
        </w:rPr>
        <w:t xml:space="preserve">3741 LN </w:t>
      </w:r>
      <w:proofErr w:type="spellStart"/>
      <w:r w:rsidRPr="006A5113">
        <w:rPr>
          <w:rFonts w:ascii="Times New Roman" w:hAnsi="Times New Roman" w:cs="Times New Roman"/>
        </w:rPr>
        <w:t>Baarn</w:t>
      </w:r>
      <w:proofErr w:type="spellEnd"/>
    </w:p>
    <w:p w14:paraId="7DB13303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hAnsi="Times New Roman" w:cs="Times New Roman"/>
        </w:rPr>
        <w:t>Nyderlandai</w:t>
      </w:r>
    </w:p>
    <w:p w14:paraId="11FEFB46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</w:p>
    <w:p w14:paraId="7DFA5650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  <w:i/>
        </w:rPr>
      </w:pPr>
      <w:r w:rsidRPr="006A5113">
        <w:rPr>
          <w:rFonts w:ascii="Times New Roman" w:hAnsi="Times New Roman" w:cs="Times New Roman"/>
          <w:i/>
        </w:rPr>
        <w:t>Gamintojas</w:t>
      </w:r>
    </w:p>
    <w:p w14:paraId="07CE2983" w14:textId="77777777" w:rsidR="0012759A" w:rsidRPr="006A5113" w:rsidRDefault="0012759A" w:rsidP="0012759A">
      <w:pPr>
        <w:pStyle w:val="Default"/>
        <w:rPr>
          <w:sz w:val="22"/>
          <w:szCs w:val="22"/>
        </w:rPr>
      </w:pPr>
      <w:r w:rsidRPr="006A5113">
        <w:rPr>
          <w:sz w:val="22"/>
          <w:szCs w:val="22"/>
        </w:rPr>
        <w:t xml:space="preserve">APL </w:t>
      </w:r>
      <w:proofErr w:type="spellStart"/>
      <w:r w:rsidRPr="006A5113">
        <w:rPr>
          <w:sz w:val="22"/>
          <w:szCs w:val="22"/>
        </w:rPr>
        <w:t>Swift</w:t>
      </w:r>
      <w:proofErr w:type="spellEnd"/>
      <w:r w:rsidRPr="006A5113">
        <w:rPr>
          <w:sz w:val="22"/>
          <w:szCs w:val="22"/>
        </w:rPr>
        <w:t xml:space="preserve"> </w:t>
      </w:r>
      <w:proofErr w:type="spellStart"/>
      <w:r w:rsidRPr="006A5113">
        <w:rPr>
          <w:sz w:val="22"/>
          <w:szCs w:val="22"/>
        </w:rPr>
        <w:t>Services</w:t>
      </w:r>
      <w:proofErr w:type="spellEnd"/>
      <w:r w:rsidRPr="006A5113">
        <w:rPr>
          <w:sz w:val="22"/>
          <w:szCs w:val="22"/>
        </w:rPr>
        <w:t xml:space="preserve"> (Malta) </w:t>
      </w:r>
      <w:proofErr w:type="spellStart"/>
      <w:r w:rsidRPr="006A5113">
        <w:rPr>
          <w:sz w:val="22"/>
          <w:szCs w:val="22"/>
        </w:rPr>
        <w:t>Limited</w:t>
      </w:r>
      <w:proofErr w:type="spellEnd"/>
      <w:r w:rsidRPr="006A5113">
        <w:rPr>
          <w:sz w:val="22"/>
          <w:szCs w:val="22"/>
        </w:rPr>
        <w:t xml:space="preserve"> </w:t>
      </w:r>
    </w:p>
    <w:p w14:paraId="0B1B302E" w14:textId="77777777" w:rsidR="0012759A" w:rsidRPr="006A5113" w:rsidRDefault="0012759A" w:rsidP="0012759A">
      <w:pPr>
        <w:pStyle w:val="Default"/>
        <w:rPr>
          <w:sz w:val="22"/>
          <w:szCs w:val="22"/>
        </w:rPr>
      </w:pPr>
      <w:r w:rsidRPr="006A5113">
        <w:rPr>
          <w:sz w:val="22"/>
          <w:szCs w:val="22"/>
        </w:rPr>
        <w:t xml:space="preserve">HF 26, </w:t>
      </w:r>
      <w:proofErr w:type="spellStart"/>
      <w:r w:rsidRPr="006A5113">
        <w:rPr>
          <w:sz w:val="22"/>
          <w:szCs w:val="22"/>
        </w:rPr>
        <w:t>Hal</w:t>
      </w:r>
      <w:proofErr w:type="spellEnd"/>
      <w:r w:rsidRPr="006A5113">
        <w:rPr>
          <w:sz w:val="22"/>
          <w:szCs w:val="22"/>
        </w:rPr>
        <w:t xml:space="preserve"> </w:t>
      </w:r>
      <w:proofErr w:type="spellStart"/>
      <w:r w:rsidRPr="006A5113">
        <w:rPr>
          <w:sz w:val="22"/>
          <w:szCs w:val="22"/>
        </w:rPr>
        <w:t>Far</w:t>
      </w:r>
      <w:proofErr w:type="spellEnd"/>
      <w:r w:rsidRPr="006A5113">
        <w:rPr>
          <w:sz w:val="22"/>
          <w:szCs w:val="22"/>
        </w:rPr>
        <w:t xml:space="preserve"> </w:t>
      </w:r>
      <w:proofErr w:type="spellStart"/>
      <w:r w:rsidRPr="006A5113">
        <w:rPr>
          <w:sz w:val="22"/>
          <w:szCs w:val="22"/>
        </w:rPr>
        <w:t>Industrial</w:t>
      </w:r>
      <w:proofErr w:type="spellEnd"/>
      <w:r w:rsidRPr="006A5113">
        <w:rPr>
          <w:sz w:val="22"/>
          <w:szCs w:val="22"/>
        </w:rPr>
        <w:t xml:space="preserve"> </w:t>
      </w:r>
      <w:proofErr w:type="spellStart"/>
      <w:r w:rsidRPr="006A5113">
        <w:rPr>
          <w:sz w:val="22"/>
          <w:szCs w:val="22"/>
        </w:rPr>
        <w:t>Estate</w:t>
      </w:r>
      <w:proofErr w:type="spellEnd"/>
      <w:r w:rsidRPr="006A5113">
        <w:rPr>
          <w:sz w:val="22"/>
          <w:szCs w:val="22"/>
        </w:rPr>
        <w:t xml:space="preserve"> </w:t>
      </w:r>
    </w:p>
    <w:p w14:paraId="2D1400EC" w14:textId="77777777" w:rsidR="0012759A" w:rsidRPr="006A5113" w:rsidRDefault="0012759A" w:rsidP="001275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A5113">
        <w:rPr>
          <w:rFonts w:ascii="Times New Roman" w:hAnsi="Times New Roman" w:cs="Times New Roman"/>
        </w:rPr>
        <w:t>Brizebbugia</w:t>
      </w:r>
      <w:proofErr w:type="spellEnd"/>
      <w:r w:rsidRPr="006A5113">
        <w:rPr>
          <w:rFonts w:ascii="Times New Roman" w:hAnsi="Times New Roman" w:cs="Times New Roman"/>
        </w:rPr>
        <w:t xml:space="preserve"> BBG 3000 </w:t>
      </w:r>
    </w:p>
    <w:p w14:paraId="737417A7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>Malta</w:t>
      </w:r>
    </w:p>
    <w:p w14:paraId="47BC4B2B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D9C80DF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6" w:name="_Hlk507765162"/>
      <w:r w:rsidRPr="006A5113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101565E8" w14:textId="63CA904D" w:rsidR="000A2455" w:rsidRPr="006A5113" w:rsidRDefault="00EA3B2A" w:rsidP="000A2455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6A5113">
        <w:rPr>
          <w:rFonts w:ascii="Times New Roman" w:hAnsi="Times New Roman" w:cs="Times New Roman"/>
          <w:lang w:eastAsia="lt-LT"/>
        </w:rPr>
        <w:t>UAB</w:t>
      </w:r>
      <w:r w:rsidR="000A2455" w:rsidRPr="006A5113">
        <w:rPr>
          <w:rFonts w:ascii="Times New Roman" w:hAnsi="Times New Roman" w:cs="Times New Roman"/>
          <w:lang w:eastAsia="lt-LT"/>
        </w:rPr>
        <w:t xml:space="preserve"> „</w:t>
      </w:r>
      <w:proofErr w:type="spellStart"/>
      <w:r w:rsidR="000A2455" w:rsidRPr="006A5113">
        <w:rPr>
          <w:rFonts w:ascii="Times New Roman" w:hAnsi="Times New Roman" w:cs="Times New Roman"/>
          <w:lang w:eastAsia="lt-LT"/>
        </w:rPr>
        <w:t>Ideal</w:t>
      </w:r>
      <w:proofErr w:type="spellEnd"/>
      <w:r w:rsidR="000A2455" w:rsidRPr="006A5113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0A2455" w:rsidRPr="006A5113">
        <w:rPr>
          <w:rFonts w:ascii="Times New Roman" w:hAnsi="Times New Roman" w:cs="Times New Roman"/>
          <w:lang w:eastAsia="lt-LT"/>
        </w:rPr>
        <w:t>Trade</w:t>
      </w:r>
      <w:proofErr w:type="spellEnd"/>
      <w:r w:rsidR="000A2455" w:rsidRPr="006A5113">
        <w:rPr>
          <w:rFonts w:ascii="Times New Roman" w:hAnsi="Times New Roman" w:cs="Times New Roman"/>
          <w:lang w:eastAsia="lt-LT"/>
        </w:rPr>
        <w:t xml:space="preserve"> Links“</w:t>
      </w:r>
    </w:p>
    <w:p w14:paraId="7DA13A49" w14:textId="77777777" w:rsidR="00A32C6D" w:rsidRPr="006A5113" w:rsidRDefault="00A32C6D" w:rsidP="00A32C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A5113">
        <w:rPr>
          <w:rFonts w:ascii="Times New Roman" w:hAnsi="Times New Roman" w:cs="Times New Roman"/>
        </w:rPr>
        <w:t>Kerupės</w:t>
      </w:r>
      <w:proofErr w:type="spellEnd"/>
      <w:r w:rsidRPr="006A5113">
        <w:rPr>
          <w:rFonts w:ascii="Times New Roman" w:hAnsi="Times New Roman" w:cs="Times New Roman"/>
        </w:rPr>
        <w:t xml:space="preserve"> g. 17, Zapyškis</w:t>
      </w:r>
    </w:p>
    <w:p w14:paraId="2D45F157" w14:textId="77777777" w:rsidR="00A32C6D" w:rsidRPr="006A5113" w:rsidRDefault="00A32C6D" w:rsidP="00A32C6D">
      <w:pPr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hAnsi="Times New Roman" w:cs="Times New Roman"/>
        </w:rPr>
        <w:t>LT-53422 Kauno r.</w:t>
      </w:r>
    </w:p>
    <w:p w14:paraId="122B23CE" w14:textId="47092E5D" w:rsidR="0012759A" w:rsidRPr="006A5113" w:rsidRDefault="00A32C6D" w:rsidP="00A32C6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hAnsi="Times New Roman" w:cs="Times New Roman"/>
        </w:rPr>
        <w:t>Lietuva</w:t>
      </w:r>
    </w:p>
    <w:p w14:paraId="46448C36" w14:textId="77777777" w:rsidR="00A32C6D" w:rsidRPr="006A5113" w:rsidRDefault="00A32C6D" w:rsidP="00A32C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09583A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6A5113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2D8A5A00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2FAB7CEE" w14:textId="77777777" w:rsidR="0012759A" w:rsidRPr="006A5113" w:rsidRDefault="0012759A" w:rsidP="0012759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60E48283" w14:textId="25C6D40D" w:rsidR="0012759A" w:rsidRPr="006A5113" w:rsidRDefault="000E3F45" w:rsidP="0012759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 xml:space="preserve">LT-19156 </w:t>
      </w:r>
      <w:r w:rsidR="0012759A" w:rsidRPr="006A5113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396FC371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bookmarkEnd w:id="6"/>
    <w:p w14:paraId="0FA99674" w14:textId="682ECA4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125FD53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6A5113">
        <w:rPr>
          <w:rFonts w:ascii="Times New Roman" w:hAnsi="Times New Roman" w:cs="Times New Roman"/>
          <w:bCs/>
          <w:iCs/>
        </w:rPr>
        <w:t xml:space="preserve">arba </w:t>
      </w:r>
    </w:p>
    <w:p w14:paraId="39743923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AC0C157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6A5113">
        <w:rPr>
          <w:rFonts w:ascii="Times New Roman" w:hAnsi="Times New Roman" w:cs="Times New Roman"/>
          <w:color w:val="010E18"/>
        </w:rPr>
        <w:t>Cefea</w:t>
      </w:r>
      <w:proofErr w:type="spellEnd"/>
      <w:r w:rsidRPr="006A5113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6A5113">
        <w:rPr>
          <w:rFonts w:ascii="Times New Roman" w:hAnsi="Times New Roman" w:cs="Times New Roman"/>
          <w:color w:val="010E18"/>
        </w:rPr>
        <w:t>o.o</w:t>
      </w:r>
      <w:proofErr w:type="spellEnd"/>
      <w:r w:rsidRPr="006A5113">
        <w:rPr>
          <w:rFonts w:ascii="Times New Roman" w:hAnsi="Times New Roman" w:cs="Times New Roman"/>
          <w:color w:val="010E18"/>
        </w:rPr>
        <w:t xml:space="preserve">. sp. k., </w:t>
      </w:r>
    </w:p>
    <w:p w14:paraId="0FC60757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6A5113">
        <w:rPr>
          <w:rFonts w:ascii="Times New Roman" w:hAnsi="Times New Roman" w:cs="Times New Roman"/>
          <w:color w:val="010E18"/>
        </w:rPr>
        <w:t>ul</w:t>
      </w:r>
      <w:proofErr w:type="spellEnd"/>
      <w:r w:rsidRPr="006A5113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6A5113">
        <w:rPr>
          <w:rFonts w:ascii="Times New Roman" w:hAnsi="Times New Roman" w:cs="Times New Roman"/>
          <w:color w:val="010E18"/>
        </w:rPr>
        <w:t>Działkowa</w:t>
      </w:r>
      <w:proofErr w:type="spellEnd"/>
      <w:r w:rsidRPr="006A5113">
        <w:rPr>
          <w:rFonts w:ascii="Times New Roman" w:hAnsi="Times New Roman" w:cs="Times New Roman"/>
          <w:color w:val="010E18"/>
        </w:rPr>
        <w:t xml:space="preserve"> 56</w:t>
      </w:r>
    </w:p>
    <w:p w14:paraId="3B145B30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6A5113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6A5113">
        <w:rPr>
          <w:rFonts w:ascii="Times New Roman" w:hAnsi="Times New Roman" w:cs="Times New Roman"/>
          <w:color w:val="010E18"/>
        </w:rPr>
        <w:t>Warszawa</w:t>
      </w:r>
      <w:proofErr w:type="spellEnd"/>
    </w:p>
    <w:p w14:paraId="16FB1E53" w14:textId="77777777" w:rsidR="00EA3B2A" w:rsidRPr="006A5113" w:rsidRDefault="00EA3B2A" w:rsidP="00EA3B2A">
      <w:pPr>
        <w:spacing w:after="0" w:line="240" w:lineRule="auto"/>
        <w:rPr>
          <w:rFonts w:ascii="Times New Roman" w:hAnsi="Times New Roman" w:cs="Times New Roman"/>
          <w:iCs/>
        </w:rPr>
      </w:pPr>
      <w:r w:rsidRPr="006A5113">
        <w:rPr>
          <w:rFonts w:ascii="Times New Roman" w:hAnsi="Times New Roman" w:cs="Times New Roman"/>
          <w:color w:val="010E18"/>
        </w:rPr>
        <w:t>Lenkija</w:t>
      </w:r>
    </w:p>
    <w:p w14:paraId="6EABD562" w14:textId="77777777" w:rsidR="00EA3B2A" w:rsidRPr="006A5113" w:rsidRDefault="00EA3B2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7FD8FCB" w14:textId="6C7AD3FC" w:rsidR="0012759A" w:rsidRPr="006A5113" w:rsidRDefault="000E3DE8" w:rsidP="001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A5113">
        <w:rPr>
          <w:rFonts w:ascii="Times New Roman" w:hAnsi="Times New Roman" w:cs="Times New Roman"/>
          <w:i/>
          <w:iCs/>
          <w:color w:val="000000"/>
        </w:rPr>
        <w:t xml:space="preserve">Lygiagrečiai importuojamas vaistas skiriasi nuo referencinio išvaizda: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. tabletės abipus išgaubtos, su užrašu „D“ vienoje pusėje ir </w:t>
      </w:r>
      <w:r w:rsidR="00B01DF6" w:rsidRPr="006A5113">
        <w:rPr>
          <w:rFonts w:ascii="Times New Roman" w:hAnsi="Times New Roman" w:cs="Times New Roman"/>
          <w:i/>
          <w:iCs/>
          <w:color w:val="000000"/>
        </w:rPr>
        <w:t>„</w:t>
      </w:r>
      <w:r w:rsidRPr="006A5113">
        <w:rPr>
          <w:rFonts w:ascii="Times New Roman" w:hAnsi="Times New Roman" w:cs="Times New Roman"/>
          <w:i/>
          <w:iCs/>
          <w:color w:val="000000"/>
        </w:rPr>
        <w:t xml:space="preserve">74“ kitoje, referencinio – plokščios, su užrašu „T“ vienoje pusėje ir „1“ kitoje; pagalbinėmis medžiagomis: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. sudėtyje yra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karboksimetilkrakmolo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 A natrio drusk</w:t>
      </w:r>
      <w:r w:rsidR="003017D6" w:rsidRPr="006A5113">
        <w:rPr>
          <w:rFonts w:ascii="Times New Roman" w:hAnsi="Times New Roman" w:cs="Times New Roman"/>
          <w:i/>
          <w:iCs/>
          <w:color w:val="000000"/>
        </w:rPr>
        <w:t>os</w:t>
      </w:r>
      <w:r w:rsidRPr="006A5113">
        <w:rPr>
          <w:rFonts w:ascii="Times New Roman" w:hAnsi="Times New Roman" w:cs="Times New Roman"/>
          <w:i/>
          <w:iCs/>
          <w:color w:val="000000"/>
        </w:rPr>
        <w:t xml:space="preserve">, referencinio –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kroskarmeliozės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 xml:space="preserve"> natrio drusk</w:t>
      </w:r>
      <w:r w:rsidR="003017D6" w:rsidRPr="006A5113">
        <w:rPr>
          <w:rFonts w:ascii="Times New Roman" w:hAnsi="Times New Roman" w:cs="Times New Roman"/>
          <w:i/>
          <w:iCs/>
          <w:color w:val="000000"/>
        </w:rPr>
        <w:t>os</w:t>
      </w:r>
      <w:r w:rsidRPr="006A5113">
        <w:rPr>
          <w:rFonts w:ascii="Times New Roman" w:hAnsi="Times New Roman" w:cs="Times New Roman"/>
          <w:i/>
          <w:iCs/>
          <w:color w:val="000000"/>
        </w:rPr>
        <w:t xml:space="preserve">; laikymo sąlygomis: lyg. </w:t>
      </w:r>
      <w:proofErr w:type="spellStart"/>
      <w:r w:rsidRPr="006A5113">
        <w:rPr>
          <w:rFonts w:ascii="Times New Roman" w:hAnsi="Times New Roman" w:cs="Times New Roman"/>
          <w:i/>
          <w:iCs/>
          <w:color w:val="000000"/>
        </w:rPr>
        <w:t>imp</w:t>
      </w:r>
      <w:proofErr w:type="spellEnd"/>
      <w:r w:rsidRPr="006A5113">
        <w:rPr>
          <w:rFonts w:ascii="Times New Roman" w:hAnsi="Times New Roman" w:cs="Times New Roman"/>
          <w:i/>
          <w:iCs/>
          <w:color w:val="000000"/>
        </w:rPr>
        <w:t>. – laikyti gamintojo pakuotėje, kad vaistas būtų apsaugotas nuo šviesos, referencinio – šiam vaistui specialių laikymo sąlygų nereikia</w:t>
      </w:r>
      <w:r w:rsidR="0012759A" w:rsidRPr="006A5113">
        <w:rPr>
          <w:rFonts w:ascii="Times New Roman" w:hAnsi="Times New Roman" w:cs="Times New Roman"/>
          <w:i/>
          <w:iCs/>
          <w:color w:val="000000"/>
        </w:rPr>
        <w:t>.</w:t>
      </w:r>
    </w:p>
    <w:p w14:paraId="55824CAA" w14:textId="77777777" w:rsidR="0012759A" w:rsidRPr="006A5113" w:rsidRDefault="0012759A" w:rsidP="001275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47D7337" w14:textId="3B518683" w:rsidR="0012759A" w:rsidRPr="00701109" w:rsidRDefault="0012759A" w:rsidP="00701109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6A5113">
        <w:rPr>
          <w:rFonts w:ascii="Times New Roman" w:eastAsia="Calibri" w:hAnsi="Times New Roman" w:cs="Times New Roman"/>
          <w:b/>
        </w:rPr>
        <w:t xml:space="preserve">Šis pakuotės lapelis paskutinį kartą peržiūrėtas </w:t>
      </w:r>
      <w:r w:rsidR="00701109">
        <w:rPr>
          <w:rFonts w:ascii="Times New Roman" w:eastAsia="Calibri" w:hAnsi="Times New Roman" w:cs="Times New Roman"/>
          <w:b/>
        </w:rPr>
        <w:t>2021-10-18.</w:t>
      </w:r>
      <w:bookmarkStart w:id="7" w:name="_GoBack"/>
      <w:bookmarkEnd w:id="7"/>
    </w:p>
    <w:p w14:paraId="4BB9E6C4" w14:textId="77777777" w:rsidR="0012759A" w:rsidRPr="006A5113" w:rsidRDefault="0012759A" w:rsidP="00127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87C13E" w14:textId="18702554" w:rsidR="00867275" w:rsidRPr="006A5113" w:rsidRDefault="0012759A" w:rsidP="002D1FD3">
      <w:pPr>
        <w:spacing w:after="0" w:line="240" w:lineRule="auto"/>
        <w:rPr>
          <w:rFonts w:ascii="Times New Roman" w:hAnsi="Times New Roman" w:cs="Times New Roman"/>
        </w:rPr>
      </w:pPr>
      <w:r w:rsidRPr="006A5113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6A5113">
          <w:rPr>
            <w:rStyle w:val="Hipersaitas"/>
            <w:rFonts w:ascii="Times New Roman" w:eastAsia="Calibri" w:hAnsi="Times New Roman" w:cs="Times New Roman"/>
          </w:rPr>
          <w:t>http://www.vvkt.lt/.</w:t>
        </w:r>
      </w:hyperlink>
    </w:p>
    <w:sectPr w:rsidR="00867275" w:rsidRPr="006A51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A"/>
    <w:rsid w:val="0004322D"/>
    <w:rsid w:val="00077506"/>
    <w:rsid w:val="000908C2"/>
    <w:rsid w:val="000A2455"/>
    <w:rsid w:val="000E3DE8"/>
    <w:rsid w:val="000E3F45"/>
    <w:rsid w:val="0012759A"/>
    <w:rsid w:val="00137252"/>
    <w:rsid w:val="001C7B7F"/>
    <w:rsid w:val="00215308"/>
    <w:rsid w:val="002409AE"/>
    <w:rsid w:val="00242B39"/>
    <w:rsid w:val="002D1FD3"/>
    <w:rsid w:val="002D2B26"/>
    <w:rsid w:val="003017D6"/>
    <w:rsid w:val="0032543A"/>
    <w:rsid w:val="0035071F"/>
    <w:rsid w:val="003634D2"/>
    <w:rsid w:val="003A5A65"/>
    <w:rsid w:val="003B6F81"/>
    <w:rsid w:val="004E0809"/>
    <w:rsid w:val="006A5113"/>
    <w:rsid w:val="00701109"/>
    <w:rsid w:val="007038D8"/>
    <w:rsid w:val="00813E79"/>
    <w:rsid w:val="008263CB"/>
    <w:rsid w:val="00867275"/>
    <w:rsid w:val="009C364A"/>
    <w:rsid w:val="00A32C6D"/>
    <w:rsid w:val="00A42DCB"/>
    <w:rsid w:val="00B01486"/>
    <w:rsid w:val="00B01DF6"/>
    <w:rsid w:val="00B32E9D"/>
    <w:rsid w:val="00B53D02"/>
    <w:rsid w:val="00B5441E"/>
    <w:rsid w:val="00C33A1A"/>
    <w:rsid w:val="00CD63FC"/>
    <w:rsid w:val="00E23587"/>
    <w:rsid w:val="00E46B21"/>
    <w:rsid w:val="00E82D87"/>
    <w:rsid w:val="00E93ABD"/>
    <w:rsid w:val="00EA3B2A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F0AC"/>
  <w15:chartTrackingRefBased/>
  <w15:docId w15:val="{1A0F37DC-B894-47C8-8ABE-0DE5B0F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75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759A"/>
    <w:rPr>
      <w:color w:val="0563C1" w:themeColor="hyperlink"/>
      <w:u w:val="single"/>
    </w:rPr>
  </w:style>
  <w:style w:type="paragraph" w:customStyle="1" w:styleId="Default">
    <w:name w:val="Default"/>
    <w:rsid w:val="00127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3B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A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vkt.lt/" TargetMode="External"/><Relationship Id="rId4" Type="http://schemas.openxmlformats.org/officeDocument/2006/relationships/styles" Target="style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2" ma:contentTypeDescription="Create a new document." ma:contentTypeScope="" ma:versionID="0a9bce809a9e6827db9a899340eabe6b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c5a7fa959feeaab903a1583ac4bd1d64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B71A7-29AB-45DE-8E56-06656E3D32C8}">
  <ds:schemaRefs>
    <ds:schemaRef ds:uri="http://schemas.microsoft.com/office/2006/metadata/properties"/>
    <ds:schemaRef ds:uri="http://www.w3.org/XML/1998/namespace"/>
    <ds:schemaRef ds:uri="http://purl.org/dc/elements/1.1/"/>
    <ds:schemaRef ds:uri="cb0b4dfd-1452-42df-bcc2-835b32a0f636"/>
    <ds:schemaRef ds:uri="http://schemas.openxmlformats.org/package/2006/metadata/core-properties"/>
    <ds:schemaRef ds:uri="http://purl.org/dc/dcmitype/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A1BDD3-0311-43FC-9244-BDAD8F2FD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AEDED-2B91-44F3-9CD2-F66419D7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9399</Words>
  <Characters>5358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4</cp:revision>
  <dcterms:created xsi:type="dcterms:W3CDTF">2021-10-13T08:30:00Z</dcterms:created>
  <dcterms:modified xsi:type="dcterms:W3CDTF">2021-10-18T11:58:00Z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</Properties>
</file>