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CDFB013"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1C729BA0"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73C910FA"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039D4E72"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44D71633"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0A7B7181"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3CBE2693"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65DA9E88"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0F00AC0A"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7D4ACF0"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4FB3A99"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5503B707"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0A917145"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08B322DC"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5B4D0DA3"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36111D80"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49A597EF"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70C27CE5"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703E4B8F"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0E59C38"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3A6E025"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53F1B013" w14:textId="77777777" w:rsidR="006F5D75" w:rsidRPr="006754BA" w:rsidRDefault="006F5D75"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bookmarkStart w:id="0" w:name="_Toc129243134"/>
      <w:bookmarkStart w:id="1" w:name="_Toc129243259"/>
      <w:r w:rsidRPr="006754BA">
        <w:rPr>
          <w:rFonts w:ascii="Times New Roman" w:eastAsia="Times New Roman" w:hAnsi="Times New Roman" w:cs="Times New Roman"/>
          <w:b/>
          <w:caps/>
          <w:lang w:val="lt-LT"/>
        </w:rPr>
        <w:t>PRIEDAS</w:t>
      </w:r>
      <w:bookmarkEnd w:id="0"/>
      <w:bookmarkEnd w:id="1"/>
    </w:p>
    <w:p w14:paraId="79FCB16D" w14:textId="77777777" w:rsidR="006F5D75" w:rsidRPr="006754BA" w:rsidRDefault="006F5D75" w:rsidP="006754BA">
      <w:pPr>
        <w:numPr>
          <w:ilvl w:val="1"/>
          <w:numId w:val="0"/>
        </w:numPr>
        <w:spacing w:after="0" w:line="240" w:lineRule="auto"/>
        <w:contextualSpacing/>
        <w:rPr>
          <w:rFonts w:ascii="Times New Roman" w:eastAsia="Times New Roman" w:hAnsi="Times New Roman" w:cs="Times New Roman"/>
          <w:lang w:val="lt-LT"/>
        </w:rPr>
      </w:pPr>
    </w:p>
    <w:p w14:paraId="6E2F8B58" w14:textId="77777777" w:rsidR="006F5D75" w:rsidRPr="006754BA" w:rsidRDefault="006F5D75"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bookmarkStart w:id="2" w:name="_Toc129243135"/>
      <w:bookmarkStart w:id="3" w:name="_Toc129243260"/>
      <w:r w:rsidRPr="006754BA">
        <w:rPr>
          <w:rFonts w:ascii="Times New Roman" w:eastAsia="Times New Roman" w:hAnsi="Times New Roman" w:cs="Times New Roman"/>
          <w:b/>
          <w:caps/>
          <w:lang w:val="lt-LT"/>
        </w:rPr>
        <w:t>ŽENKLINIMAS IR PAKUOTĖS LAPELIS</w:t>
      </w:r>
      <w:bookmarkEnd w:id="2"/>
      <w:bookmarkEnd w:id="3"/>
    </w:p>
    <w:p w14:paraId="3101ACC6"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r w:rsidRPr="006754BA">
        <w:rPr>
          <w:rFonts w:ascii="Times New Roman" w:eastAsia="Times New Roman" w:hAnsi="Times New Roman" w:cs="Times New Roman"/>
          <w:lang w:val="lt-LT" w:eastAsia="lt-LT"/>
        </w:rPr>
        <w:br w:type="page"/>
      </w:r>
    </w:p>
    <w:p w14:paraId="284E00DF"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538435CA"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12106ADD"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1AE06A04"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2E4FEB1A"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4AFB2182"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1F4142A2"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25A6027E"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6CBA53BE"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432B942A"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79DFD7B6"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1B6353C3"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4C911005"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742061C9"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19545149"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52BF1B56"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08888677"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789B3CFF"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7680048F"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283BE0F4"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1C31C5FD"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3C852A1E"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5BAD8502"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2AD47BD7" w14:textId="77777777" w:rsidR="003D07DA" w:rsidRPr="006754BA" w:rsidRDefault="003D07DA" w:rsidP="006754BA">
      <w:pPr>
        <w:spacing w:after="0" w:line="240" w:lineRule="auto"/>
        <w:contextualSpacing/>
        <w:jc w:val="center"/>
        <w:outlineLvl w:val="0"/>
        <w:rPr>
          <w:rFonts w:ascii="Times New Roman" w:eastAsia="Times New Roman" w:hAnsi="Times New Roman" w:cs="Times New Roman"/>
          <w:b/>
          <w:lang w:val="lt-LT" w:eastAsia="lt-LT"/>
        </w:rPr>
      </w:pPr>
    </w:p>
    <w:p w14:paraId="349F9FFA" w14:textId="77777777" w:rsidR="006F5D75" w:rsidRPr="006754BA" w:rsidRDefault="006F5D75" w:rsidP="006754BA">
      <w:pPr>
        <w:spacing w:after="0" w:line="240" w:lineRule="auto"/>
        <w:contextualSpacing/>
        <w:jc w:val="center"/>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A. ŽENKLINIMAS</w:t>
      </w:r>
    </w:p>
    <w:p w14:paraId="6AC90E7D" w14:textId="77777777" w:rsidR="006F5D75" w:rsidRPr="006754BA" w:rsidRDefault="006F5D75" w:rsidP="006754BA">
      <w:pPr>
        <w:shd w:val="clear" w:color="auto" w:fill="FFFFFF"/>
        <w:spacing w:after="0" w:line="240" w:lineRule="auto"/>
        <w:contextualSpacing/>
        <w:rPr>
          <w:rFonts w:ascii="Times New Roman" w:eastAsia="Times New Roman" w:hAnsi="Times New Roman" w:cs="Times New Roman"/>
          <w:lang w:val="lt-LT" w:eastAsia="lt-LT"/>
        </w:rPr>
      </w:pPr>
      <w:r w:rsidRPr="006754BA">
        <w:rPr>
          <w:rFonts w:ascii="Times New Roman" w:eastAsia="Times New Roman" w:hAnsi="Times New Roman" w:cs="Times New Roman"/>
          <w:lang w:val="lt-LT" w:eastAsia="lt-LT"/>
        </w:rPr>
        <w:br w:type="page"/>
      </w:r>
    </w:p>
    <w:p w14:paraId="3E3DB4FE" w14:textId="6A2ED60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lt-LT"/>
        </w:rPr>
      </w:pPr>
      <w:r w:rsidRPr="006754BA">
        <w:rPr>
          <w:rFonts w:ascii="Times New Roman" w:eastAsia="Times New Roman" w:hAnsi="Times New Roman" w:cs="Times New Roman"/>
          <w:b/>
          <w:lang w:val="lt-LT" w:eastAsia="lt-LT"/>
        </w:rPr>
        <w:lastRenderedPageBreak/>
        <w:t>INFORMACIJA ANT IŠORINĖS PAKUOTĖS</w:t>
      </w:r>
    </w:p>
    <w:p w14:paraId="6055372F"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Cs/>
          <w:lang w:val="lt-LT" w:eastAsia="lt-LT"/>
        </w:rPr>
      </w:pPr>
    </w:p>
    <w:p w14:paraId="4032E7C8" w14:textId="2EB3379E" w:rsidR="006F5D75" w:rsidRPr="006754BA" w:rsidRDefault="00AE7B39" w:rsidP="006754BA">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Cs/>
          <w:strike/>
          <w:lang w:val="lt-LT" w:eastAsia="lt-LT"/>
        </w:rPr>
      </w:pPr>
      <w:r w:rsidRPr="006754BA">
        <w:rPr>
          <w:rFonts w:ascii="Times New Roman" w:eastAsia="Times New Roman" w:hAnsi="Times New Roman" w:cs="Times New Roman"/>
          <w:b/>
          <w:bCs/>
          <w:caps/>
          <w:lang w:val="lt-LT"/>
        </w:rPr>
        <w:t>Kartono dėžutė</w:t>
      </w:r>
    </w:p>
    <w:p w14:paraId="7BF2B819"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98D8C1F"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3645509D"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1.</w:t>
      </w:r>
      <w:r w:rsidRPr="006754BA">
        <w:rPr>
          <w:rFonts w:ascii="Times New Roman" w:eastAsia="Times New Roman" w:hAnsi="Times New Roman" w:cs="Times New Roman"/>
          <w:b/>
          <w:lang w:val="lt-LT" w:eastAsia="lt-LT"/>
        </w:rPr>
        <w:tab/>
        <w:t>VAISTINIO PREPARATO PAVADINIMAS</w:t>
      </w:r>
    </w:p>
    <w:p w14:paraId="1C32583A"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167BCE3C" w14:textId="4B787A6D"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Gentamicin Krka </w:t>
      </w:r>
      <w:r w:rsidR="006754BA" w:rsidRPr="006754BA">
        <w:rPr>
          <w:rFonts w:ascii="Times New Roman" w:eastAsia="Calibri" w:hAnsi="Times New Roman" w:cs="Times New Roman"/>
          <w:lang w:val="lt-LT"/>
        </w:rPr>
        <w:t>80</w:t>
      </w:r>
      <w:r w:rsidR="006754BA">
        <w:rPr>
          <w:rFonts w:ascii="Times New Roman" w:eastAsia="Calibri" w:hAnsi="Times New Roman" w:cs="Times New Roman"/>
          <w:lang w:val="lt-LT"/>
        </w:rPr>
        <w:t> </w:t>
      </w:r>
      <w:r w:rsidRPr="006754BA">
        <w:rPr>
          <w:rFonts w:ascii="Times New Roman" w:eastAsia="Calibri" w:hAnsi="Times New Roman" w:cs="Times New Roman"/>
          <w:lang w:val="lt-LT"/>
        </w:rPr>
        <w:t>mg/2 ml injekcinis</w:t>
      </w:r>
      <w:r w:rsidRPr="006754BA">
        <w:rPr>
          <w:rFonts w:ascii="Times New Roman" w:eastAsia="Times New Roman" w:hAnsi="Times New Roman" w:cs="Times New Roman"/>
          <w:lang w:val="lt-LT" w:eastAsia="sl-SI"/>
        </w:rPr>
        <w:t xml:space="preserve"> ar </w:t>
      </w:r>
      <w:r w:rsidRPr="006754BA">
        <w:rPr>
          <w:rFonts w:ascii="Times New Roman" w:eastAsia="Calibri" w:hAnsi="Times New Roman" w:cs="Times New Roman"/>
          <w:lang w:val="lt-LT"/>
        </w:rPr>
        <w:t>infuzinis tirpalas</w:t>
      </w:r>
    </w:p>
    <w:p w14:paraId="26A39CC7" w14:textId="4591B2C3" w:rsidR="00B325ED" w:rsidRPr="006754BA" w:rsidRDefault="006754BA" w:rsidP="006754BA">
      <w:pPr>
        <w:widowControl w:val="0"/>
        <w:numPr>
          <w:ilvl w:val="12"/>
          <w:numId w:val="0"/>
        </w:numPr>
        <w:tabs>
          <w:tab w:val="left" w:pos="567"/>
          <w:tab w:val="left" w:pos="2396"/>
        </w:tabs>
        <w:spacing w:after="0" w:line="240" w:lineRule="auto"/>
        <w:ind w:right="-2"/>
        <w:contextualSpacing/>
        <w:rPr>
          <w:rFonts w:ascii="Times New Roman" w:eastAsia="Times New Roman" w:hAnsi="Times New Roman" w:cs="Times New Roman"/>
          <w:lang w:val="lt-LT" w:eastAsia="sl-SI"/>
        </w:rPr>
      </w:pPr>
      <w:r>
        <w:rPr>
          <w:rFonts w:ascii="Times New Roman" w:eastAsia="Arial Unicode MS" w:hAnsi="Times New Roman" w:cs="Times New Roman"/>
          <w:lang w:val="lt-LT" w:eastAsia="sl-SI"/>
        </w:rPr>
        <w:t>g</w:t>
      </w:r>
      <w:r w:rsidRPr="006754BA">
        <w:rPr>
          <w:rFonts w:ascii="Times New Roman" w:eastAsia="Arial Unicode MS" w:hAnsi="Times New Roman" w:cs="Times New Roman"/>
          <w:lang w:val="lt-LT" w:eastAsia="sl-SI"/>
        </w:rPr>
        <w:t>entamicinas</w:t>
      </w:r>
    </w:p>
    <w:p w14:paraId="16E55D45" w14:textId="77777777" w:rsidR="001D7199" w:rsidRPr="006754BA" w:rsidRDefault="001D7199" w:rsidP="006754BA">
      <w:pPr>
        <w:spacing w:after="0" w:line="240" w:lineRule="auto"/>
        <w:contextualSpacing/>
        <w:rPr>
          <w:rFonts w:ascii="Times New Roman" w:eastAsia="Times New Roman" w:hAnsi="Times New Roman" w:cs="Times New Roman"/>
          <w:lang w:val="lt-LT" w:eastAsia="lt-LT"/>
        </w:rPr>
      </w:pPr>
    </w:p>
    <w:p w14:paraId="3390AC74"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7837CD2C"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lang w:val="lt-LT" w:eastAsia="lt-LT"/>
        </w:rPr>
      </w:pPr>
      <w:r w:rsidRPr="006754BA">
        <w:rPr>
          <w:rFonts w:ascii="Times New Roman" w:eastAsia="Times New Roman" w:hAnsi="Times New Roman" w:cs="Times New Roman"/>
          <w:b/>
          <w:lang w:val="lt-LT" w:eastAsia="lt-LT"/>
        </w:rPr>
        <w:t>2.</w:t>
      </w:r>
      <w:r w:rsidRPr="006754BA">
        <w:rPr>
          <w:rFonts w:ascii="Times New Roman" w:eastAsia="Times New Roman" w:hAnsi="Times New Roman" w:cs="Times New Roman"/>
          <w:b/>
          <w:lang w:val="lt-LT" w:eastAsia="lt-LT"/>
        </w:rPr>
        <w:tab/>
      </w:r>
      <w:r w:rsidR="006E20BA" w:rsidRPr="006754BA">
        <w:rPr>
          <w:rFonts w:ascii="Times New Roman" w:hAnsi="Times New Roman" w:cs="Times New Roman"/>
          <w:b/>
          <w:bCs/>
          <w:lang w:val="lt-LT" w:eastAsia="zh-CN" w:bidi="lo-LA"/>
        </w:rPr>
        <w:t>VEIKLIOJI (-IOS) MEDŽIAGA (-OS) IR JOS (-Ų) KIEKIS (-IAI)</w:t>
      </w:r>
    </w:p>
    <w:p w14:paraId="0FC6F82A"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6693B8D" w14:textId="0183CD52" w:rsidR="00B325ED" w:rsidRPr="006754BA" w:rsidRDefault="00B325ED" w:rsidP="006754BA">
      <w:pPr>
        <w:widowControl w:val="0"/>
        <w:tabs>
          <w:tab w:val="left" w:pos="567"/>
        </w:tabs>
        <w:spacing w:after="0" w:line="240" w:lineRule="auto"/>
        <w:contextualSpacing/>
        <w:rPr>
          <w:rFonts w:ascii="Times New Roman" w:eastAsia="Times New Roman" w:hAnsi="Times New Roman" w:cs="Times New Roman"/>
          <w:lang w:val="lt-LT" w:eastAsia="sl-SI"/>
        </w:rPr>
      </w:pPr>
      <w:r w:rsidRPr="006754BA">
        <w:rPr>
          <w:rFonts w:ascii="Times New Roman" w:eastAsia="Times New Roman" w:hAnsi="Times New Roman" w:cs="Times New Roman"/>
          <w:lang w:val="lt-LT" w:eastAsia="sl-SI"/>
        </w:rPr>
        <w:t xml:space="preserve">Viename ml tirpalo yra </w:t>
      </w:r>
      <w:r w:rsidR="006754BA" w:rsidRPr="006754BA">
        <w:rPr>
          <w:rFonts w:ascii="Times New Roman" w:eastAsia="Times New Roman" w:hAnsi="Times New Roman" w:cs="Times New Roman"/>
          <w:lang w:val="lt-LT" w:eastAsia="sl-SI"/>
        </w:rPr>
        <w:t>40</w:t>
      </w:r>
      <w:r w:rsidR="006754BA">
        <w:rPr>
          <w:rFonts w:ascii="Times New Roman" w:eastAsia="Times New Roman" w:hAnsi="Times New Roman" w:cs="Times New Roman"/>
          <w:lang w:val="lt-LT" w:eastAsia="sl-SI"/>
        </w:rPr>
        <w:t> </w:t>
      </w:r>
      <w:r w:rsidRPr="006754BA">
        <w:rPr>
          <w:rFonts w:ascii="Times New Roman" w:eastAsia="Times New Roman" w:hAnsi="Times New Roman" w:cs="Times New Roman"/>
          <w:lang w:val="lt-LT" w:eastAsia="sl-SI"/>
        </w:rPr>
        <w:t>mg gentamicino.</w:t>
      </w:r>
    </w:p>
    <w:p w14:paraId="2E1E492B" w14:textId="0F306FEA" w:rsidR="00B325ED" w:rsidRPr="006754BA" w:rsidRDefault="006754BA"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2</w:t>
      </w:r>
      <w:r>
        <w:rPr>
          <w:rFonts w:ascii="Times New Roman" w:eastAsia="Calibri" w:hAnsi="Times New Roman" w:cs="Times New Roman"/>
          <w:lang w:val="lt-LT"/>
        </w:rPr>
        <w:t> </w:t>
      </w:r>
      <w:r w:rsidR="00B325ED" w:rsidRPr="006754BA">
        <w:rPr>
          <w:rFonts w:ascii="Times New Roman" w:eastAsia="Calibri" w:hAnsi="Times New Roman" w:cs="Times New Roman"/>
          <w:lang w:val="lt-LT"/>
        </w:rPr>
        <w:t xml:space="preserve">ml </w:t>
      </w:r>
      <w:r w:rsidR="00B325ED" w:rsidRPr="006754BA">
        <w:rPr>
          <w:rFonts w:ascii="Times New Roman" w:eastAsia="Times New Roman" w:hAnsi="Times New Roman" w:cs="Times New Roman"/>
          <w:lang w:val="lt-LT" w:eastAsia="sl-SI"/>
        </w:rPr>
        <w:t xml:space="preserve">injekcinio ar infuzinio </w:t>
      </w:r>
      <w:r w:rsidR="00B325ED" w:rsidRPr="006754BA">
        <w:rPr>
          <w:rFonts w:ascii="Times New Roman" w:eastAsia="Calibri" w:hAnsi="Times New Roman" w:cs="Times New Roman"/>
          <w:lang w:val="lt-LT"/>
        </w:rPr>
        <w:t xml:space="preserve">tirpalo (vienoje ampulėje) yra </w:t>
      </w:r>
      <w:r w:rsidRPr="006754BA">
        <w:rPr>
          <w:rFonts w:ascii="Times New Roman" w:eastAsia="Calibri" w:hAnsi="Times New Roman" w:cs="Times New Roman"/>
          <w:lang w:val="lt-LT"/>
        </w:rPr>
        <w:t>80</w:t>
      </w:r>
      <w:r>
        <w:rPr>
          <w:rFonts w:ascii="Times New Roman" w:eastAsia="Calibri" w:hAnsi="Times New Roman" w:cs="Times New Roman"/>
          <w:lang w:val="lt-LT"/>
        </w:rPr>
        <w:t> </w:t>
      </w:r>
      <w:r w:rsidR="00B325ED" w:rsidRPr="006754BA">
        <w:rPr>
          <w:rFonts w:ascii="Times New Roman" w:eastAsia="Calibri" w:hAnsi="Times New Roman" w:cs="Times New Roman"/>
          <w:lang w:val="lt-LT"/>
        </w:rPr>
        <w:t xml:space="preserve">mg gentamicino </w:t>
      </w:r>
      <w:r w:rsidR="00B325ED" w:rsidRPr="006754BA">
        <w:rPr>
          <w:rFonts w:ascii="Times New Roman" w:eastAsia="Times New Roman" w:hAnsi="Times New Roman" w:cs="Times New Roman"/>
          <w:lang w:val="lt-LT" w:eastAsia="sl-SI"/>
        </w:rPr>
        <w:t xml:space="preserve">(gentamicino </w:t>
      </w:r>
      <w:r w:rsidR="00B325ED" w:rsidRPr="006754BA">
        <w:rPr>
          <w:rFonts w:ascii="Times New Roman" w:eastAsia="Calibri" w:hAnsi="Times New Roman" w:cs="Times New Roman"/>
          <w:lang w:val="lt-LT"/>
        </w:rPr>
        <w:t>sulfato</w:t>
      </w:r>
      <w:r w:rsidR="00B325ED" w:rsidRPr="006754BA">
        <w:rPr>
          <w:rFonts w:ascii="Times New Roman" w:eastAsia="Times New Roman" w:hAnsi="Times New Roman" w:cs="Times New Roman"/>
          <w:lang w:val="lt-LT" w:eastAsia="sl-SI"/>
        </w:rPr>
        <w:t xml:space="preserve"> pavidalu).</w:t>
      </w:r>
    </w:p>
    <w:p w14:paraId="13C633F4"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5034B834"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35C3D7B5"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3.</w:t>
      </w:r>
      <w:r w:rsidRPr="006754BA">
        <w:rPr>
          <w:rFonts w:ascii="Times New Roman" w:eastAsia="Times New Roman" w:hAnsi="Times New Roman" w:cs="Times New Roman"/>
          <w:b/>
          <w:lang w:val="lt-LT" w:eastAsia="lt-LT"/>
        </w:rPr>
        <w:tab/>
        <w:t>PAGALBINIŲ MEDŽIAGŲ SĄRAŠAS</w:t>
      </w:r>
    </w:p>
    <w:p w14:paraId="3536F9D8"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700402C5" w14:textId="77777777"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Pagalbinės medžiagos: metilo parahidroksibenzoatas (E218), propilo parahidroksibenzoatas (E216), dinatrio edetatas, natrio metabisulfitas (E223), injekcinis vanduo.</w:t>
      </w:r>
    </w:p>
    <w:p w14:paraId="64EB29E4" w14:textId="77777777"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p>
    <w:p w14:paraId="2CB2F702" w14:textId="77777777" w:rsidR="00B325ED" w:rsidRPr="006754BA" w:rsidRDefault="00B325ED" w:rsidP="006754BA">
      <w:pPr>
        <w:widowControl w:val="0"/>
        <w:spacing w:after="0" w:line="240" w:lineRule="auto"/>
        <w:contextualSpacing/>
        <w:rPr>
          <w:rFonts w:ascii="Times New Roman" w:eastAsia="Times New Roman" w:hAnsi="Times New Roman" w:cs="Times New Roman"/>
          <w:color w:val="000000"/>
          <w:lang w:val="lt-LT" w:eastAsia="sl-SI"/>
        </w:rPr>
      </w:pPr>
      <w:r w:rsidRPr="006754BA">
        <w:rPr>
          <w:rFonts w:ascii="Times New Roman" w:eastAsia="Times New Roman" w:hAnsi="Times New Roman" w:cs="Times New Roman"/>
          <w:color w:val="000000"/>
          <w:lang w:val="lt-LT" w:eastAsia="sl-SI"/>
        </w:rPr>
        <w:t>Daugiau informacijos pateikta pakuotės lapelyje.</w:t>
      </w:r>
    </w:p>
    <w:p w14:paraId="3AB45D66" w14:textId="77777777" w:rsidR="00EB511D" w:rsidRPr="006754BA" w:rsidRDefault="00EB511D" w:rsidP="006754BA">
      <w:pPr>
        <w:tabs>
          <w:tab w:val="left" w:pos="567"/>
        </w:tabs>
        <w:spacing w:after="0" w:line="240" w:lineRule="auto"/>
        <w:contextualSpacing/>
        <w:rPr>
          <w:rFonts w:ascii="Times New Roman" w:hAnsi="Times New Roman" w:cs="Times New Roman"/>
          <w:lang w:val="lt-LT"/>
        </w:rPr>
      </w:pPr>
    </w:p>
    <w:p w14:paraId="118B8978" w14:textId="77777777" w:rsidR="00141446" w:rsidRPr="006754BA" w:rsidRDefault="00141446" w:rsidP="006754BA">
      <w:pPr>
        <w:tabs>
          <w:tab w:val="left" w:pos="567"/>
        </w:tabs>
        <w:spacing w:after="0" w:line="240" w:lineRule="auto"/>
        <w:contextualSpacing/>
        <w:rPr>
          <w:rFonts w:ascii="Times New Roman" w:hAnsi="Times New Roman" w:cs="Times New Roman"/>
          <w:lang w:val="lt-LT"/>
        </w:rPr>
      </w:pPr>
    </w:p>
    <w:p w14:paraId="68338A2E"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4.</w:t>
      </w:r>
      <w:r w:rsidRPr="006754BA">
        <w:rPr>
          <w:rFonts w:ascii="Times New Roman" w:eastAsia="Times New Roman" w:hAnsi="Times New Roman" w:cs="Times New Roman"/>
          <w:b/>
          <w:lang w:val="lt-LT" w:eastAsia="lt-LT"/>
        </w:rPr>
        <w:tab/>
      </w:r>
      <w:r w:rsidRPr="006754BA">
        <w:rPr>
          <w:rFonts w:ascii="Times New Roman" w:eastAsia="Times New Roman" w:hAnsi="Times New Roman" w:cs="Times New Roman"/>
          <w:b/>
          <w:bCs/>
          <w:lang w:val="lt-LT" w:eastAsia="lt-LT"/>
        </w:rPr>
        <w:t>FARMACINĖ FORMA IR KIEKIS PAKUOTĖJE</w:t>
      </w:r>
    </w:p>
    <w:p w14:paraId="1C48F010" w14:textId="77777777" w:rsidR="00895BBC" w:rsidRPr="006754BA" w:rsidRDefault="00895BBC" w:rsidP="006754BA">
      <w:pPr>
        <w:spacing w:after="0" w:line="240" w:lineRule="auto"/>
        <w:contextualSpacing/>
        <w:rPr>
          <w:rFonts w:ascii="Times New Roman" w:eastAsia="Times New Roman" w:hAnsi="Times New Roman" w:cs="Times New Roman"/>
          <w:lang w:val="lt-LT" w:eastAsia="lt-LT"/>
        </w:rPr>
      </w:pPr>
    </w:p>
    <w:p w14:paraId="491E9FFC" w14:textId="77777777"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highlight w:val="lightGray"/>
          <w:lang w:val="lt-LT"/>
        </w:rPr>
        <w:t>Injekcinis</w:t>
      </w:r>
      <w:r w:rsidRPr="006754BA">
        <w:rPr>
          <w:rFonts w:ascii="Times New Roman" w:eastAsia="Times New Roman" w:hAnsi="Times New Roman" w:cs="Times New Roman"/>
          <w:highlight w:val="lightGray"/>
          <w:lang w:val="lt-LT" w:eastAsia="sl-SI"/>
        </w:rPr>
        <w:t xml:space="preserve"> ar </w:t>
      </w:r>
      <w:r w:rsidRPr="006754BA">
        <w:rPr>
          <w:rFonts w:ascii="Times New Roman" w:eastAsia="Calibri" w:hAnsi="Times New Roman" w:cs="Times New Roman"/>
          <w:highlight w:val="lightGray"/>
          <w:lang w:val="lt-LT"/>
        </w:rPr>
        <w:t>infuzinis tirpalas</w:t>
      </w:r>
    </w:p>
    <w:p w14:paraId="36EC61A9" w14:textId="77777777"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p>
    <w:p w14:paraId="256B6571" w14:textId="50421922"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10 ampulių po </w:t>
      </w:r>
      <w:r w:rsidR="006754BA" w:rsidRPr="006754BA">
        <w:rPr>
          <w:rFonts w:ascii="Times New Roman" w:eastAsia="Calibri" w:hAnsi="Times New Roman" w:cs="Times New Roman"/>
          <w:lang w:val="lt-LT"/>
        </w:rPr>
        <w:t>2</w:t>
      </w:r>
      <w:r w:rsidR="006754BA">
        <w:rPr>
          <w:rFonts w:ascii="Times New Roman" w:eastAsia="Calibri" w:hAnsi="Times New Roman" w:cs="Times New Roman"/>
          <w:lang w:val="lt-LT"/>
        </w:rPr>
        <w:t> </w:t>
      </w:r>
      <w:r w:rsidRPr="006754BA">
        <w:rPr>
          <w:rFonts w:ascii="Times New Roman" w:eastAsia="Calibri" w:hAnsi="Times New Roman" w:cs="Times New Roman"/>
          <w:lang w:val="lt-LT"/>
        </w:rPr>
        <w:t>ml</w:t>
      </w:r>
    </w:p>
    <w:p w14:paraId="2DF3A054"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31258D9F"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765A8231"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5.</w:t>
      </w:r>
      <w:r w:rsidRPr="006754BA">
        <w:rPr>
          <w:rFonts w:ascii="Times New Roman" w:eastAsia="Times New Roman" w:hAnsi="Times New Roman" w:cs="Times New Roman"/>
          <w:b/>
          <w:lang w:val="lt-LT" w:eastAsia="lt-LT"/>
        </w:rPr>
        <w:tab/>
      </w:r>
      <w:r w:rsidRPr="006754BA">
        <w:rPr>
          <w:rFonts w:ascii="Times New Roman" w:eastAsia="Times New Roman" w:hAnsi="Times New Roman" w:cs="Times New Roman"/>
          <w:b/>
          <w:bCs/>
          <w:lang w:val="lt-LT" w:eastAsia="lt-LT"/>
        </w:rPr>
        <w:t>VARTOJIMO METODAS IR BŪDAS (-AI)</w:t>
      </w:r>
    </w:p>
    <w:p w14:paraId="09417D2D" w14:textId="77777777" w:rsidR="006F5D75" w:rsidRPr="006754BA" w:rsidRDefault="006F5D75" w:rsidP="006754BA">
      <w:pPr>
        <w:spacing w:after="0" w:line="240" w:lineRule="auto"/>
        <w:contextualSpacing/>
        <w:rPr>
          <w:rFonts w:ascii="Times New Roman" w:eastAsia="Times New Roman" w:hAnsi="Times New Roman" w:cs="Times New Roman"/>
          <w:i/>
          <w:lang w:val="lt-LT" w:eastAsia="lt-LT"/>
        </w:rPr>
      </w:pPr>
    </w:p>
    <w:p w14:paraId="420E5611" w14:textId="77777777"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Prieš vartojimą perskaitykite pakuotės lapelį.</w:t>
      </w:r>
    </w:p>
    <w:p w14:paraId="3B08A48A" w14:textId="77777777"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Times New Roman" w:hAnsi="Times New Roman" w:cs="Times New Roman"/>
          <w:lang w:val="lt-LT" w:eastAsia="sl-SI"/>
        </w:rPr>
        <w:t>Leisti</w:t>
      </w:r>
      <w:r w:rsidRPr="006754BA">
        <w:rPr>
          <w:rFonts w:ascii="Times New Roman" w:eastAsia="Calibri" w:hAnsi="Times New Roman" w:cs="Times New Roman"/>
          <w:lang w:val="lt-LT"/>
        </w:rPr>
        <w:t xml:space="preserve"> į raumenis ar į veną.</w:t>
      </w:r>
    </w:p>
    <w:p w14:paraId="7AC02F23" w14:textId="77777777" w:rsidR="001D7199" w:rsidRPr="006754BA" w:rsidRDefault="001D7199" w:rsidP="006754BA">
      <w:pPr>
        <w:spacing w:after="0" w:line="240" w:lineRule="auto"/>
        <w:contextualSpacing/>
        <w:rPr>
          <w:rFonts w:ascii="Times New Roman" w:eastAsia="Times New Roman" w:hAnsi="Times New Roman" w:cs="Times New Roman"/>
          <w:lang w:val="lt-LT" w:eastAsia="lt-LT"/>
        </w:rPr>
      </w:pPr>
    </w:p>
    <w:p w14:paraId="08B6DC1D"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39DD5823" w14:textId="77777777" w:rsidR="006F5D75" w:rsidRPr="006754BA" w:rsidRDefault="006F5D75" w:rsidP="006754BA">
      <w:pPr>
        <w:pBdr>
          <w:top w:val="single" w:sz="4" w:space="0"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6.</w:t>
      </w:r>
      <w:r w:rsidRPr="006754BA">
        <w:rPr>
          <w:rFonts w:ascii="Times New Roman" w:eastAsia="Times New Roman" w:hAnsi="Times New Roman" w:cs="Times New Roman"/>
          <w:b/>
          <w:lang w:val="lt-LT" w:eastAsia="lt-LT"/>
        </w:rPr>
        <w:tab/>
      </w:r>
      <w:r w:rsidRPr="006754BA">
        <w:rPr>
          <w:rFonts w:ascii="Times New Roman" w:eastAsia="Times New Roman" w:hAnsi="Times New Roman" w:cs="Times New Roman"/>
          <w:b/>
          <w:bCs/>
          <w:lang w:val="lt-LT" w:eastAsia="lt-LT"/>
        </w:rPr>
        <w:t xml:space="preserve">SPECIALUS ĮSPĖJIMAS, KAD VAISTINĮ PREPARATĄ BŪTINA LAIKYTI VAIKAMS </w:t>
      </w:r>
      <w:r w:rsidR="00C34F49" w:rsidRPr="006754BA">
        <w:rPr>
          <w:rFonts w:ascii="Times New Roman" w:eastAsia="Times New Roman" w:hAnsi="Times New Roman" w:cs="Times New Roman"/>
          <w:b/>
          <w:bCs/>
          <w:lang w:val="lt-LT"/>
        </w:rPr>
        <w:t>NEPASTEBIMOJE IR NEPASIEKIAMOJE</w:t>
      </w:r>
      <w:r w:rsidRPr="006754BA">
        <w:rPr>
          <w:rFonts w:ascii="Times New Roman" w:eastAsia="Times New Roman" w:hAnsi="Times New Roman" w:cs="Times New Roman"/>
          <w:b/>
          <w:bCs/>
          <w:lang w:val="lt-LT" w:eastAsia="lt-LT"/>
        </w:rPr>
        <w:t xml:space="preserve"> VIETOJE</w:t>
      </w:r>
    </w:p>
    <w:p w14:paraId="7B8B0B75"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043720E"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r w:rsidRPr="006754BA">
        <w:rPr>
          <w:rFonts w:ascii="Times New Roman" w:eastAsia="Times New Roman" w:hAnsi="Times New Roman" w:cs="Times New Roman"/>
          <w:lang w:val="lt-LT" w:eastAsia="lt-LT"/>
        </w:rPr>
        <w:t xml:space="preserve">Laikyti vaikams </w:t>
      </w:r>
      <w:r w:rsidR="00137436" w:rsidRPr="006754BA">
        <w:rPr>
          <w:rFonts w:ascii="Times New Roman" w:eastAsia="Times New Roman" w:hAnsi="Times New Roman" w:cs="Times New Roman"/>
          <w:lang w:val="lt-LT" w:eastAsia="lt-LT"/>
        </w:rPr>
        <w:t xml:space="preserve">nepastebimoje ir </w:t>
      </w:r>
      <w:r w:rsidRPr="006754BA">
        <w:rPr>
          <w:rFonts w:ascii="Times New Roman" w:eastAsia="Times New Roman" w:hAnsi="Times New Roman" w:cs="Times New Roman"/>
          <w:lang w:val="lt-LT" w:eastAsia="lt-LT"/>
        </w:rPr>
        <w:t>nepasiekiamoje vietoje.</w:t>
      </w:r>
    </w:p>
    <w:p w14:paraId="567B41F3"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6A2705B8"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519DF053"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7.</w:t>
      </w:r>
      <w:r w:rsidRPr="006754BA">
        <w:rPr>
          <w:rFonts w:ascii="Times New Roman" w:eastAsia="Times New Roman" w:hAnsi="Times New Roman" w:cs="Times New Roman"/>
          <w:b/>
          <w:bCs/>
          <w:lang w:val="lt-LT" w:eastAsia="lt-LT"/>
        </w:rPr>
        <w:tab/>
        <w:t>KITAS (-I) SPECIALUS (-ŪS) ĮSPĖJIMAS (-AI) (JEI REIKIA)</w:t>
      </w:r>
    </w:p>
    <w:p w14:paraId="33199351"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77356B3B"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575FAA59"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8.</w:t>
      </w:r>
      <w:r w:rsidRPr="006754BA">
        <w:rPr>
          <w:rFonts w:ascii="Times New Roman" w:eastAsia="Times New Roman" w:hAnsi="Times New Roman" w:cs="Times New Roman"/>
          <w:b/>
          <w:lang w:val="lt-LT" w:eastAsia="lt-LT"/>
        </w:rPr>
        <w:tab/>
      </w:r>
      <w:r w:rsidRPr="006754BA">
        <w:rPr>
          <w:rFonts w:ascii="Times New Roman" w:eastAsia="Times New Roman" w:hAnsi="Times New Roman" w:cs="Times New Roman"/>
          <w:b/>
          <w:bCs/>
          <w:lang w:val="lt-LT" w:eastAsia="lt-LT"/>
        </w:rPr>
        <w:t>TINKAMUMO LAIKAS</w:t>
      </w:r>
    </w:p>
    <w:p w14:paraId="0C16F22D"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675553A7" w14:textId="10A0A2D5" w:rsidR="006F5D75" w:rsidRPr="006754BA" w:rsidRDefault="006F5D75" w:rsidP="006754BA">
      <w:pPr>
        <w:spacing w:after="0" w:line="240" w:lineRule="auto"/>
        <w:contextualSpacing/>
        <w:rPr>
          <w:rFonts w:ascii="Times New Roman" w:eastAsia="Times New Roman" w:hAnsi="Times New Roman" w:cs="Times New Roman"/>
          <w:lang w:val="lt-LT" w:eastAsia="lt-LT"/>
        </w:rPr>
      </w:pPr>
      <w:r w:rsidRPr="00DC29C1">
        <w:rPr>
          <w:rFonts w:ascii="Times New Roman" w:eastAsia="Times New Roman" w:hAnsi="Times New Roman" w:cs="Times New Roman"/>
          <w:highlight w:val="lightGray"/>
          <w:lang w:val="lt-LT" w:eastAsia="lt-LT"/>
        </w:rPr>
        <w:t>Tinka iki</w:t>
      </w:r>
      <w:r w:rsidR="006754BA">
        <w:rPr>
          <w:rFonts w:ascii="Times New Roman" w:eastAsia="Times New Roman" w:hAnsi="Times New Roman" w:cs="Times New Roman"/>
          <w:highlight w:val="lightGray"/>
          <w:lang w:val="lt-LT" w:eastAsia="lt-LT"/>
        </w:rPr>
        <w:t xml:space="preserve"> </w:t>
      </w:r>
      <w:r w:rsidR="00AE7B39" w:rsidRPr="00DC29C1">
        <w:rPr>
          <w:rFonts w:ascii="Times New Roman" w:eastAsia="Times New Roman" w:hAnsi="Times New Roman" w:cs="Times New Roman"/>
          <w:highlight w:val="lightGray"/>
          <w:lang w:val="lt-LT" w:eastAsia="lt-LT"/>
        </w:rPr>
        <w:t>/</w:t>
      </w:r>
      <w:r w:rsidR="006754BA">
        <w:rPr>
          <w:rFonts w:ascii="Times New Roman" w:eastAsia="Times New Roman" w:hAnsi="Times New Roman" w:cs="Times New Roman"/>
          <w:lang w:val="lt-LT" w:eastAsia="lt-LT"/>
        </w:rPr>
        <w:t xml:space="preserve"> </w:t>
      </w:r>
      <w:r w:rsidR="00AE7B39" w:rsidRPr="006754BA">
        <w:rPr>
          <w:rFonts w:ascii="Times New Roman" w:eastAsia="Times New Roman" w:hAnsi="Times New Roman" w:cs="Times New Roman"/>
          <w:lang w:val="lt-LT" w:eastAsia="lt-LT"/>
        </w:rPr>
        <w:t>EXP</w:t>
      </w:r>
      <w:r w:rsidR="001D7199" w:rsidRPr="006754BA">
        <w:rPr>
          <w:rFonts w:ascii="Times New Roman" w:eastAsia="Times New Roman" w:hAnsi="Times New Roman" w:cs="Times New Roman"/>
          <w:lang w:val="lt-LT" w:eastAsia="lt-LT"/>
        </w:rPr>
        <w:t xml:space="preserve">: </w:t>
      </w:r>
      <w:r w:rsidR="006754BA">
        <w:rPr>
          <w:rFonts w:ascii="Times New Roman" w:eastAsia="Times New Roman" w:hAnsi="Times New Roman" w:cs="Times New Roman"/>
          <w:lang w:val="lt-LT" w:eastAsia="lt-LT"/>
        </w:rPr>
        <w:t>mm/MMMM</w:t>
      </w:r>
    </w:p>
    <w:p w14:paraId="4F772D6C"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76136518"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2A165676"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9.</w:t>
      </w:r>
      <w:r w:rsidRPr="006754BA">
        <w:rPr>
          <w:rFonts w:ascii="Times New Roman" w:eastAsia="Times New Roman" w:hAnsi="Times New Roman" w:cs="Times New Roman"/>
          <w:b/>
          <w:lang w:val="lt-LT" w:eastAsia="lt-LT"/>
        </w:rPr>
        <w:tab/>
      </w:r>
      <w:r w:rsidRPr="006754BA">
        <w:rPr>
          <w:rFonts w:ascii="Times New Roman" w:eastAsia="Times New Roman" w:hAnsi="Times New Roman" w:cs="Times New Roman"/>
          <w:b/>
          <w:caps/>
          <w:lang w:val="lt-LT" w:eastAsia="lt-LT"/>
        </w:rPr>
        <w:t>SPECIALIOS laikymo sąlygos</w:t>
      </w:r>
    </w:p>
    <w:p w14:paraId="35FFB89F" w14:textId="77777777" w:rsidR="006C7CE1" w:rsidRPr="006754BA" w:rsidRDefault="006C7CE1" w:rsidP="006754BA">
      <w:pPr>
        <w:spacing w:after="0" w:line="240" w:lineRule="auto"/>
        <w:contextualSpacing/>
        <w:rPr>
          <w:rFonts w:ascii="Times New Roman" w:hAnsi="Times New Roman" w:cs="Times New Roman"/>
          <w:lang w:val="lt-LT"/>
        </w:rPr>
      </w:pPr>
    </w:p>
    <w:p w14:paraId="33DDC119" w14:textId="7D93757B" w:rsidR="00B325ED" w:rsidRPr="006754BA" w:rsidRDefault="00B325ED"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Laikyti ne aukštesnėje kaip </w:t>
      </w:r>
      <w:r w:rsidR="004C6235" w:rsidRPr="006754BA">
        <w:rPr>
          <w:rFonts w:ascii="Times New Roman" w:eastAsia="Calibri" w:hAnsi="Times New Roman" w:cs="Times New Roman"/>
          <w:lang w:val="lt-LT"/>
        </w:rPr>
        <w:t>25</w:t>
      </w:r>
      <w:r w:rsidR="004C6235">
        <w:rPr>
          <w:rFonts w:ascii="Times New Roman" w:eastAsia="Calibri" w:hAnsi="Times New Roman" w:cs="Times New Roman"/>
          <w:lang w:val="lt-LT"/>
        </w:rPr>
        <w:t> </w:t>
      </w:r>
      <w:r w:rsidRPr="006754BA">
        <w:rPr>
          <w:rFonts w:ascii="Times New Roman" w:eastAsia="Calibri" w:hAnsi="Times New Roman" w:cs="Times New Roman"/>
          <w:lang w:val="lt-LT"/>
        </w:rPr>
        <w:sym w:font="Symbol" w:char="F0B0"/>
      </w:r>
      <w:r w:rsidRPr="006754BA">
        <w:rPr>
          <w:rFonts w:ascii="Times New Roman" w:eastAsia="Calibri" w:hAnsi="Times New Roman" w:cs="Times New Roman"/>
          <w:lang w:val="lt-LT"/>
        </w:rPr>
        <w:t>C temperatūroje</w:t>
      </w:r>
      <w:r w:rsidR="00773A95" w:rsidRPr="006754BA">
        <w:rPr>
          <w:rFonts w:ascii="Times New Roman" w:eastAsia="Calibri" w:hAnsi="Times New Roman" w:cs="Times New Roman"/>
          <w:lang w:val="lt-LT"/>
        </w:rPr>
        <w:t>. Laikyti gamintojo pakuotėje</w:t>
      </w:r>
      <w:r w:rsidRPr="006754BA">
        <w:rPr>
          <w:rFonts w:ascii="Times New Roman" w:eastAsia="Calibri" w:hAnsi="Times New Roman" w:cs="Times New Roman"/>
          <w:lang w:val="lt-LT"/>
        </w:rPr>
        <w:t>.</w:t>
      </w:r>
    </w:p>
    <w:p w14:paraId="47B9B473" w14:textId="77777777" w:rsidR="00EB511D" w:rsidRPr="006754BA" w:rsidRDefault="00EB511D" w:rsidP="006754BA">
      <w:pPr>
        <w:spacing w:after="0" w:line="240" w:lineRule="auto"/>
        <w:ind w:left="567" w:hanging="567"/>
        <w:contextualSpacing/>
        <w:rPr>
          <w:rFonts w:ascii="Times New Roman" w:eastAsia="Times New Roman" w:hAnsi="Times New Roman" w:cs="Times New Roman"/>
          <w:lang w:val="lt-LT" w:eastAsia="lt-LT"/>
        </w:rPr>
      </w:pPr>
    </w:p>
    <w:p w14:paraId="629AF2F6" w14:textId="77777777" w:rsidR="000E75ED" w:rsidRPr="006754BA" w:rsidRDefault="000E75ED" w:rsidP="006754BA">
      <w:pPr>
        <w:spacing w:after="0" w:line="240" w:lineRule="auto"/>
        <w:ind w:left="567" w:hanging="567"/>
        <w:contextualSpacing/>
        <w:rPr>
          <w:rFonts w:ascii="Times New Roman" w:eastAsia="Times New Roman" w:hAnsi="Times New Roman" w:cs="Times New Roman"/>
          <w:lang w:val="lt-LT" w:eastAsia="lt-LT"/>
        </w:rPr>
      </w:pPr>
    </w:p>
    <w:p w14:paraId="6A1A3218"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ind w:left="720" w:hanging="720"/>
        <w:contextualSpacing/>
        <w:outlineLvl w:val="0"/>
        <w:rPr>
          <w:rFonts w:ascii="Times New Roman" w:eastAsia="Times New Roman" w:hAnsi="Times New Roman" w:cs="Times New Roman"/>
          <w:b/>
          <w:lang w:val="lt-LT" w:eastAsia="lt-LT"/>
        </w:rPr>
      </w:pPr>
      <w:r w:rsidRPr="006754BA">
        <w:rPr>
          <w:rFonts w:ascii="Times New Roman" w:eastAsia="Times New Roman" w:hAnsi="Times New Roman" w:cs="Times New Roman"/>
          <w:b/>
          <w:lang w:val="lt-LT" w:eastAsia="lt-LT"/>
        </w:rPr>
        <w:t>10.</w:t>
      </w:r>
      <w:r w:rsidRPr="006754BA">
        <w:rPr>
          <w:rFonts w:ascii="Times New Roman" w:eastAsia="Times New Roman" w:hAnsi="Times New Roman" w:cs="Times New Roman"/>
          <w:b/>
          <w:lang w:val="lt-LT" w:eastAsia="lt-LT"/>
        </w:rPr>
        <w:tab/>
      </w:r>
      <w:r w:rsidRPr="006754BA">
        <w:rPr>
          <w:rFonts w:ascii="Times New Roman" w:eastAsia="Times New Roman" w:hAnsi="Times New Roman" w:cs="Times New Roman"/>
          <w:b/>
          <w:bCs/>
          <w:lang w:val="lt-LT" w:eastAsia="lt-LT"/>
        </w:rPr>
        <w:t>SPECIALIOS ATSARGUMO PRIEMONĖS DĖL NESUVARTOTO VAISTINIO PREPARATO AR JO ATLIEKŲ TVARKYMO (JEI REIKIA)</w:t>
      </w:r>
    </w:p>
    <w:p w14:paraId="580C62E2"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2F328FB4" w14:textId="77777777" w:rsidR="004B78EF" w:rsidRPr="006754BA" w:rsidRDefault="004B78EF" w:rsidP="006754BA">
      <w:pPr>
        <w:spacing w:after="0" w:line="240" w:lineRule="auto"/>
        <w:contextualSpacing/>
        <w:rPr>
          <w:rFonts w:ascii="Times New Roman" w:eastAsia="Times New Roman" w:hAnsi="Times New Roman" w:cs="Times New Roman"/>
          <w:lang w:val="lt-LT" w:eastAsia="lt-LT"/>
        </w:rPr>
      </w:pPr>
    </w:p>
    <w:p w14:paraId="6E3A57B5" w14:textId="77777777" w:rsidR="006F5D75" w:rsidRPr="006754BA" w:rsidRDefault="006F5D75" w:rsidP="006754BA">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bCs/>
          <w:lang w:val="lt-LT"/>
        </w:rPr>
      </w:pPr>
      <w:r w:rsidRPr="006754BA">
        <w:rPr>
          <w:rFonts w:ascii="Times New Roman" w:eastAsia="Times New Roman" w:hAnsi="Times New Roman" w:cs="Times New Roman"/>
          <w:b/>
          <w:bCs/>
          <w:lang w:val="lt-LT"/>
        </w:rPr>
        <w:t>11.</w:t>
      </w:r>
      <w:r w:rsidRPr="006754BA">
        <w:rPr>
          <w:rFonts w:ascii="Times New Roman" w:eastAsia="Times New Roman" w:hAnsi="Times New Roman" w:cs="Times New Roman"/>
          <w:b/>
          <w:bCs/>
          <w:lang w:val="lt-LT"/>
        </w:rPr>
        <w:tab/>
      </w:r>
      <w:r w:rsidR="00F978F9" w:rsidRPr="006754BA">
        <w:rPr>
          <w:rFonts w:ascii="Times New Roman" w:eastAsia="Times New Roman" w:hAnsi="Times New Roman" w:cs="Times New Roman"/>
          <w:b/>
          <w:bCs/>
          <w:lang w:val="lt-LT"/>
        </w:rPr>
        <w:t>LYGIAGRETUS IMPORTUOTOJAS</w:t>
      </w:r>
    </w:p>
    <w:p w14:paraId="4F43B244"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731AA9C0" w14:textId="74AEB0EB" w:rsidR="006F5D75" w:rsidRPr="006754BA" w:rsidRDefault="00F978F9" w:rsidP="006754BA">
      <w:pPr>
        <w:spacing w:after="0" w:line="240" w:lineRule="auto"/>
        <w:contextualSpacing/>
        <w:rPr>
          <w:rFonts w:ascii="Times New Roman" w:eastAsia="Times New Roman" w:hAnsi="Times New Roman" w:cs="Times New Roman"/>
          <w:lang w:val="lt-LT" w:eastAsia="lt-LT"/>
        </w:rPr>
      </w:pPr>
      <w:r w:rsidRPr="006754BA">
        <w:rPr>
          <w:rFonts w:ascii="Times New Roman" w:eastAsia="Times New Roman" w:hAnsi="Times New Roman" w:cs="Times New Roman"/>
          <w:lang w:val="lt-LT" w:eastAsia="lt-LT"/>
        </w:rPr>
        <w:t>Lygiagretus importuotojas: UAB „Limedika“</w:t>
      </w:r>
      <w:r w:rsidR="00232F9A" w:rsidRPr="006754BA">
        <w:rPr>
          <w:rFonts w:ascii="Times New Roman" w:eastAsia="Times New Roman" w:hAnsi="Times New Roman" w:cs="Times New Roman"/>
          <w:lang w:val="lt-LT" w:eastAsia="lt-LT"/>
        </w:rPr>
        <w:t>.</w:t>
      </w:r>
    </w:p>
    <w:p w14:paraId="60EF1CCA"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44B8C0C4"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50305CE7"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12.</w:t>
      </w:r>
      <w:r w:rsidRPr="006754BA">
        <w:rPr>
          <w:rFonts w:ascii="Times New Roman" w:eastAsia="Times New Roman" w:hAnsi="Times New Roman" w:cs="Times New Roman"/>
          <w:b/>
          <w:lang w:val="lt-LT" w:eastAsia="lt-LT"/>
        </w:rPr>
        <w:tab/>
      </w:r>
      <w:r w:rsidR="00F978F9" w:rsidRPr="006754BA">
        <w:rPr>
          <w:rFonts w:ascii="Times New Roman" w:eastAsia="Times New Roman" w:hAnsi="Times New Roman" w:cs="Times New Roman"/>
          <w:b/>
          <w:bCs/>
          <w:lang w:val="lt-LT" w:eastAsia="lt-LT"/>
        </w:rPr>
        <w:t>LYGIAGRETAUS IMPORTO LEIDIMO NUMERIS</w:t>
      </w:r>
    </w:p>
    <w:p w14:paraId="6A68FCDB"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58B94FD3" w14:textId="5EDC82D1" w:rsidR="00F978F9" w:rsidRPr="006754BA" w:rsidRDefault="006F66D0" w:rsidP="006754BA">
      <w:pPr>
        <w:spacing w:after="0" w:line="240" w:lineRule="auto"/>
        <w:contextualSpacing/>
        <w:rPr>
          <w:rFonts w:ascii="Times New Roman" w:eastAsia="Times New Roman" w:hAnsi="Times New Roman" w:cs="Times New Roman"/>
          <w:bCs/>
          <w:lang w:val="lt-LT" w:eastAsia="lt-LT"/>
        </w:rPr>
      </w:pPr>
      <w:r w:rsidRPr="006754BA">
        <w:rPr>
          <w:rFonts w:ascii="Times New Roman" w:eastAsia="Times New Roman" w:hAnsi="Times New Roman" w:cs="Times New Roman"/>
          <w:bCs/>
          <w:lang w:val="lt-LT" w:eastAsia="lt-LT"/>
        </w:rPr>
        <w:t>LT/L/20/1205/001</w:t>
      </w:r>
    </w:p>
    <w:p w14:paraId="58382B91"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7EC7F2AB"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7DEC3250"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13.</w:t>
      </w:r>
      <w:r w:rsidRPr="006754BA">
        <w:rPr>
          <w:rFonts w:ascii="Times New Roman" w:eastAsia="Times New Roman" w:hAnsi="Times New Roman" w:cs="Times New Roman"/>
          <w:b/>
          <w:lang w:val="lt-LT" w:eastAsia="lt-LT"/>
        </w:rPr>
        <w:tab/>
        <w:t>SERIJOS NUMERIS</w:t>
      </w:r>
    </w:p>
    <w:p w14:paraId="695322B1"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3566D56A" w14:textId="74D03929" w:rsidR="006F5D75" w:rsidRPr="006754BA" w:rsidRDefault="006F5D75" w:rsidP="006754BA">
      <w:pPr>
        <w:spacing w:after="0" w:line="240" w:lineRule="auto"/>
        <w:contextualSpacing/>
        <w:rPr>
          <w:rFonts w:ascii="Times New Roman" w:eastAsia="Times New Roman" w:hAnsi="Times New Roman" w:cs="Times New Roman"/>
          <w:lang w:val="lt-LT" w:eastAsia="lt-LT"/>
        </w:rPr>
      </w:pPr>
      <w:r w:rsidRPr="00DC29C1">
        <w:rPr>
          <w:rFonts w:ascii="Times New Roman" w:eastAsia="Times New Roman" w:hAnsi="Times New Roman" w:cs="Times New Roman"/>
          <w:highlight w:val="lightGray"/>
          <w:lang w:val="lt-LT" w:eastAsia="lt-LT"/>
        </w:rPr>
        <w:t>Serija</w:t>
      </w:r>
      <w:r w:rsidR="006754BA" w:rsidRPr="00DC29C1">
        <w:rPr>
          <w:rFonts w:ascii="Times New Roman" w:eastAsia="Times New Roman" w:hAnsi="Times New Roman" w:cs="Times New Roman"/>
          <w:highlight w:val="lightGray"/>
          <w:lang w:val="lt-LT" w:eastAsia="lt-LT"/>
        </w:rPr>
        <w:t xml:space="preserve"> </w:t>
      </w:r>
      <w:r w:rsidR="00C34F49" w:rsidRPr="00DC29C1">
        <w:rPr>
          <w:rFonts w:ascii="Times New Roman" w:eastAsia="Times New Roman" w:hAnsi="Times New Roman" w:cs="Times New Roman"/>
          <w:highlight w:val="lightGray"/>
          <w:lang w:val="lt-LT" w:eastAsia="lt-LT"/>
        </w:rPr>
        <w:t>/</w:t>
      </w:r>
      <w:r w:rsidR="006754BA">
        <w:rPr>
          <w:rFonts w:ascii="Times New Roman" w:eastAsia="Times New Roman" w:hAnsi="Times New Roman" w:cs="Times New Roman"/>
          <w:lang w:val="lt-LT" w:eastAsia="lt-LT"/>
        </w:rPr>
        <w:t xml:space="preserve"> </w:t>
      </w:r>
      <w:r w:rsidR="006754BA" w:rsidRPr="006754BA">
        <w:rPr>
          <w:rFonts w:ascii="Times New Roman" w:eastAsia="Times New Roman" w:hAnsi="Times New Roman" w:cs="Times New Roman"/>
          <w:lang w:val="lt-LT" w:eastAsia="lt-LT"/>
        </w:rPr>
        <w:t>L</w:t>
      </w:r>
      <w:r w:rsidR="006754BA">
        <w:rPr>
          <w:rFonts w:ascii="Times New Roman" w:eastAsia="Times New Roman" w:hAnsi="Times New Roman" w:cs="Times New Roman"/>
          <w:lang w:val="lt-LT" w:eastAsia="lt-LT"/>
        </w:rPr>
        <w:t>ot</w:t>
      </w:r>
      <w:r w:rsidR="00CF08C2" w:rsidRPr="006754BA">
        <w:rPr>
          <w:rFonts w:ascii="Times New Roman" w:eastAsia="Times New Roman" w:hAnsi="Times New Roman" w:cs="Times New Roman"/>
          <w:lang w:val="lt-LT" w:eastAsia="lt-LT"/>
        </w:rPr>
        <w:t xml:space="preserve">: </w:t>
      </w:r>
    </w:p>
    <w:p w14:paraId="451619AD"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57B597A9"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7BE3D756"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14.</w:t>
      </w:r>
      <w:r w:rsidRPr="006754BA">
        <w:rPr>
          <w:rFonts w:ascii="Times New Roman" w:eastAsia="Times New Roman" w:hAnsi="Times New Roman" w:cs="Times New Roman"/>
          <w:b/>
          <w:lang w:val="lt-LT" w:eastAsia="lt-LT"/>
        </w:rPr>
        <w:tab/>
      </w:r>
      <w:r w:rsidRPr="006754BA">
        <w:rPr>
          <w:rFonts w:ascii="Times New Roman" w:eastAsia="Times New Roman" w:hAnsi="Times New Roman" w:cs="Times New Roman"/>
          <w:b/>
          <w:bCs/>
          <w:lang w:val="lt-LT" w:eastAsia="lt-LT"/>
        </w:rPr>
        <w:t>PARDAVIMO (IŠDAVIMO) TVARKA</w:t>
      </w:r>
    </w:p>
    <w:p w14:paraId="6EC9081C"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3148FC67" w14:textId="77C18297" w:rsidR="006F5D75" w:rsidRPr="006754BA" w:rsidRDefault="006F5D75" w:rsidP="006754BA">
      <w:pPr>
        <w:spacing w:after="0" w:line="240" w:lineRule="auto"/>
        <w:ind w:left="567" w:hanging="567"/>
        <w:contextualSpacing/>
        <w:rPr>
          <w:rFonts w:ascii="Times New Roman" w:eastAsia="Times New Roman" w:hAnsi="Times New Roman" w:cs="Times New Roman"/>
          <w:lang w:val="lt-LT" w:eastAsia="lt-LT"/>
        </w:rPr>
      </w:pPr>
      <w:r w:rsidRPr="006754BA">
        <w:rPr>
          <w:rFonts w:ascii="Times New Roman" w:eastAsia="Times New Roman" w:hAnsi="Times New Roman" w:cs="Times New Roman"/>
          <w:lang w:val="lt-LT" w:eastAsia="lt-LT"/>
        </w:rPr>
        <w:t xml:space="preserve">Receptinis </w:t>
      </w:r>
      <w:r w:rsidR="00E51D1A" w:rsidRPr="006754BA">
        <w:rPr>
          <w:rFonts w:ascii="Times New Roman" w:eastAsia="Times New Roman" w:hAnsi="Times New Roman" w:cs="Times New Roman"/>
          <w:lang w:val="lt-LT" w:eastAsia="lt-LT"/>
        </w:rPr>
        <w:t>vaistas</w:t>
      </w:r>
      <w:r w:rsidRPr="006754BA">
        <w:rPr>
          <w:rFonts w:ascii="Times New Roman" w:eastAsia="Times New Roman" w:hAnsi="Times New Roman" w:cs="Times New Roman"/>
          <w:lang w:val="lt-LT" w:eastAsia="lt-LT"/>
        </w:rPr>
        <w:t>.</w:t>
      </w:r>
    </w:p>
    <w:p w14:paraId="5807DA5A"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6C880CE0" w14:textId="77777777" w:rsidR="00141446" w:rsidRPr="006754BA" w:rsidRDefault="00141446" w:rsidP="006754BA">
      <w:pPr>
        <w:spacing w:after="0" w:line="240" w:lineRule="auto"/>
        <w:contextualSpacing/>
        <w:rPr>
          <w:rFonts w:ascii="Times New Roman" w:eastAsia="Times New Roman" w:hAnsi="Times New Roman" w:cs="Times New Roman"/>
          <w:lang w:val="lt-LT" w:eastAsia="lt-LT"/>
        </w:rPr>
      </w:pPr>
    </w:p>
    <w:p w14:paraId="40508DDB"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15.</w:t>
      </w:r>
      <w:r w:rsidRPr="006754BA">
        <w:rPr>
          <w:rFonts w:ascii="Times New Roman" w:eastAsia="Times New Roman" w:hAnsi="Times New Roman" w:cs="Times New Roman"/>
          <w:b/>
          <w:lang w:val="lt-LT" w:eastAsia="lt-LT"/>
        </w:rPr>
        <w:tab/>
      </w:r>
      <w:r w:rsidRPr="006754BA">
        <w:rPr>
          <w:rFonts w:ascii="Times New Roman" w:eastAsia="Times New Roman" w:hAnsi="Times New Roman" w:cs="Times New Roman"/>
          <w:b/>
          <w:caps/>
          <w:lang w:val="lt-LT" w:eastAsia="lt-LT"/>
        </w:rPr>
        <w:t>vartojimo instrukcijA</w:t>
      </w:r>
    </w:p>
    <w:p w14:paraId="6D5ED842"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6A9B43AD" w14:textId="77777777" w:rsidR="006F5D75" w:rsidRPr="006754BA" w:rsidRDefault="006F5D75" w:rsidP="006754BA">
      <w:pPr>
        <w:spacing w:after="0" w:line="240" w:lineRule="auto"/>
        <w:contextualSpacing/>
        <w:rPr>
          <w:rFonts w:ascii="Times New Roman" w:eastAsia="Times New Roman" w:hAnsi="Times New Roman" w:cs="Times New Roman"/>
          <w:lang w:val="lt-LT" w:eastAsia="lt-LT"/>
        </w:rPr>
      </w:pPr>
    </w:p>
    <w:p w14:paraId="61802CAC" w14:textId="77777777" w:rsidR="006F5D75" w:rsidRPr="006754BA" w:rsidRDefault="006F5D75" w:rsidP="006754BA">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b/>
          <w:lang w:val="lt-LT" w:eastAsia="lt-LT"/>
        </w:rPr>
        <w:t>16.</w:t>
      </w:r>
      <w:r w:rsidRPr="006754BA">
        <w:rPr>
          <w:rFonts w:ascii="Times New Roman" w:eastAsia="Times New Roman" w:hAnsi="Times New Roman" w:cs="Times New Roman"/>
          <w:b/>
          <w:lang w:val="lt-LT" w:eastAsia="lt-LT"/>
        </w:rPr>
        <w:tab/>
        <w:t>INFORMACIJA BRAILIO RAŠTU</w:t>
      </w:r>
    </w:p>
    <w:p w14:paraId="0D3EA0BF" w14:textId="77777777" w:rsidR="00883F5D" w:rsidRPr="006754BA" w:rsidRDefault="00883F5D" w:rsidP="006754BA">
      <w:pPr>
        <w:pStyle w:val="BodyText"/>
        <w:spacing w:after="0"/>
        <w:contextualSpacing/>
        <w:rPr>
          <w:szCs w:val="22"/>
        </w:rPr>
      </w:pPr>
    </w:p>
    <w:p w14:paraId="01869D30" w14:textId="77777777" w:rsidR="00105934" w:rsidRPr="006754BA" w:rsidRDefault="00105934" w:rsidP="006754BA">
      <w:pPr>
        <w:spacing w:after="0" w:line="240" w:lineRule="auto"/>
        <w:contextualSpacing/>
        <w:rPr>
          <w:rFonts w:ascii="Times New Roman" w:eastAsia="Times New Roman" w:hAnsi="Times New Roman" w:cs="Times New Roman"/>
          <w:lang w:val="lt-LT" w:eastAsia="lt-LT"/>
        </w:rPr>
      </w:pPr>
    </w:p>
    <w:p w14:paraId="2448F63B" w14:textId="77777777" w:rsidR="00105934" w:rsidRPr="006754BA" w:rsidRDefault="00105934" w:rsidP="006754BA">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lang w:val="lt-LT"/>
        </w:rPr>
      </w:pPr>
      <w:r w:rsidRPr="006754BA">
        <w:rPr>
          <w:rFonts w:ascii="Times New Roman" w:eastAsia="Times New Roman" w:hAnsi="Times New Roman" w:cs="Times New Roman"/>
          <w:b/>
          <w:lang w:val="lt-LT"/>
        </w:rPr>
        <w:t>17.</w:t>
      </w:r>
      <w:r w:rsidRPr="006754BA">
        <w:rPr>
          <w:rFonts w:ascii="Times New Roman" w:eastAsia="Times New Roman" w:hAnsi="Times New Roman" w:cs="Times New Roman"/>
          <w:b/>
          <w:lang w:val="lt-LT"/>
        </w:rPr>
        <w:tab/>
        <w:t>UNIKALUS IDENTIFIKATORIUS – 2D BRŪKŠNINIS KODAS</w:t>
      </w:r>
    </w:p>
    <w:p w14:paraId="1E1B0D54" w14:textId="77777777" w:rsidR="00105934" w:rsidRPr="006754BA" w:rsidRDefault="00105934" w:rsidP="006754BA">
      <w:pPr>
        <w:spacing w:after="0" w:line="240" w:lineRule="auto"/>
        <w:contextualSpacing/>
        <w:rPr>
          <w:rFonts w:ascii="Times New Roman" w:eastAsia="Times New Roman" w:hAnsi="Times New Roman" w:cs="Times New Roman"/>
          <w:lang w:val="lt-LT"/>
        </w:rPr>
      </w:pPr>
    </w:p>
    <w:p w14:paraId="0EDB10F8" w14:textId="77777777" w:rsidR="00105934" w:rsidRPr="006754BA" w:rsidRDefault="00105934" w:rsidP="006754BA">
      <w:pPr>
        <w:spacing w:after="0" w:line="240" w:lineRule="auto"/>
        <w:contextualSpacing/>
        <w:rPr>
          <w:rFonts w:ascii="Times New Roman" w:eastAsia="Times New Roman" w:hAnsi="Times New Roman" w:cs="Times New Roman"/>
          <w:shd w:val="clear" w:color="auto" w:fill="CCCCCC"/>
          <w:lang w:val="lt-LT"/>
        </w:rPr>
      </w:pPr>
      <w:r w:rsidRPr="006754BA">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6754BA" w:rsidRDefault="00105934" w:rsidP="006754BA">
      <w:pPr>
        <w:spacing w:after="0" w:line="240" w:lineRule="auto"/>
        <w:contextualSpacing/>
        <w:rPr>
          <w:rFonts w:ascii="Times New Roman" w:eastAsia="Times New Roman" w:hAnsi="Times New Roman" w:cs="Times New Roman"/>
          <w:shd w:val="clear" w:color="auto" w:fill="CCCCCC"/>
          <w:lang w:val="lt-LT"/>
        </w:rPr>
      </w:pPr>
    </w:p>
    <w:p w14:paraId="38CD90EA" w14:textId="77777777" w:rsidR="00105934" w:rsidRPr="006754BA" w:rsidRDefault="00105934" w:rsidP="006754BA">
      <w:pPr>
        <w:spacing w:after="0" w:line="240" w:lineRule="auto"/>
        <w:contextualSpacing/>
        <w:rPr>
          <w:rFonts w:ascii="Times New Roman" w:eastAsia="Times New Roman" w:hAnsi="Times New Roman" w:cs="Times New Roman"/>
          <w:lang w:val="lt-LT"/>
        </w:rPr>
      </w:pPr>
    </w:p>
    <w:p w14:paraId="413D2861" w14:textId="77777777" w:rsidR="00105934" w:rsidRPr="006754BA" w:rsidRDefault="00105934" w:rsidP="006754BA">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lang w:val="lt-LT"/>
        </w:rPr>
      </w:pPr>
      <w:r w:rsidRPr="006754BA">
        <w:rPr>
          <w:rFonts w:ascii="Times New Roman" w:eastAsia="Times New Roman" w:hAnsi="Times New Roman" w:cs="Times New Roman"/>
          <w:b/>
          <w:lang w:val="lt-LT"/>
        </w:rPr>
        <w:t>18.</w:t>
      </w:r>
      <w:r w:rsidRPr="006754BA">
        <w:rPr>
          <w:rFonts w:ascii="Times New Roman" w:eastAsia="Times New Roman" w:hAnsi="Times New Roman" w:cs="Times New Roman"/>
          <w:b/>
          <w:lang w:val="lt-LT"/>
        </w:rPr>
        <w:tab/>
        <w:t>UNIKALUS IDENTIFIKATORIUS – ŽMONĖMS SUPRANTAMI DUOMENYS</w:t>
      </w:r>
    </w:p>
    <w:p w14:paraId="6242D86B" w14:textId="77777777" w:rsidR="00105934" w:rsidRPr="006754BA" w:rsidRDefault="00105934" w:rsidP="006754BA">
      <w:pPr>
        <w:spacing w:after="0" w:line="240" w:lineRule="auto"/>
        <w:contextualSpacing/>
        <w:rPr>
          <w:rFonts w:ascii="Times New Roman" w:eastAsia="Times New Roman" w:hAnsi="Times New Roman" w:cs="Times New Roman"/>
          <w:lang w:val="lt-LT"/>
        </w:rPr>
      </w:pPr>
    </w:p>
    <w:p w14:paraId="39757024" w14:textId="77777777" w:rsidR="00105934" w:rsidRPr="006754BA" w:rsidRDefault="00105934" w:rsidP="006754BA">
      <w:pPr>
        <w:spacing w:after="0" w:line="240" w:lineRule="auto"/>
        <w:contextualSpacing/>
        <w:rPr>
          <w:rFonts w:ascii="Times New Roman" w:eastAsia="Times New Roman" w:hAnsi="Times New Roman" w:cs="Times New Roman"/>
          <w:color w:val="008000"/>
          <w:lang w:val="lt-LT"/>
        </w:rPr>
      </w:pPr>
      <w:r w:rsidRPr="006754BA">
        <w:rPr>
          <w:rFonts w:ascii="Times New Roman" w:eastAsia="Times New Roman" w:hAnsi="Times New Roman" w:cs="Times New Roman"/>
          <w:lang w:val="lt-LT"/>
        </w:rPr>
        <w:t xml:space="preserve">PC: {numeris} </w:t>
      </w:r>
    </w:p>
    <w:p w14:paraId="695BE4CD" w14:textId="77777777" w:rsidR="00105934" w:rsidRPr="006754BA" w:rsidRDefault="00105934" w:rsidP="006754BA">
      <w:pPr>
        <w:spacing w:after="0" w:line="240" w:lineRule="auto"/>
        <w:contextualSpacing/>
        <w:rPr>
          <w:rFonts w:ascii="Times New Roman" w:eastAsia="Times New Roman" w:hAnsi="Times New Roman" w:cs="Times New Roman"/>
          <w:lang w:val="lt-LT"/>
        </w:rPr>
      </w:pPr>
      <w:r w:rsidRPr="006754BA">
        <w:rPr>
          <w:rFonts w:ascii="Times New Roman" w:eastAsia="Times New Roman" w:hAnsi="Times New Roman" w:cs="Times New Roman"/>
          <w:lang w:val="lt-LT"/>
        </w:rPr>
        <w:t xml:space="preserve">SN: {numeris} </w:t>
      </w:r>
    </w:p>
    <w:p w14:paraId="05657081" w14:textId="77777777" w:rsidR="00105934" w:rsidRPr="006754BA" w:rsidRDefault="00105934" w:rsidP="006754BA">
      <w:pPr>
        <w:spacing w:after="0" w:line="240" w:lineRule="auto"/>
        <w:contextualSpacing/>
        <w:rPr>
          <w:rFonts w:ascii="Times New Roman" w:eastAsia="Times New Roman" w:hAnsi="Times New Roman" w:cs="Times New Roman"/>
          <w:lang w:val="lt-LT"/>
        </w:rPr>
      </w:pPr>
      <w:r w:rsidRPr="006754BA">
        <w:rPr>
          <w:rFonts w:ascii="Times New Roman" w:eastAsia="Times New Roman" w:hAnsi="Times New Roman" w:cs="Times New Roman"/>
          <w:highlight w:val="lightGray"/>
          <w:lang w:val="lt-LT"/>
        </w:rPr>
        <w:t xml:space="preserve">NN: {numeris} </w:t>
      </w:r>
    </w:p>
    <w:p w14:paraId="1F99CB26" w14:textId="77777777" w:rsidR="00105934" w:rsidRPr="006754BA" w:rsidRDefault="00105934" w:rsidP="006754BA">
      <w:pPr>
        <w:autoSpaceDE w:val="0"/>
        <w:autoSpaceDN w:val="0"/>
        <w:adjustRightInd w:val="0"/>
        <w:spacing w:after="0" w:line="240" w:lineRule="auto"/>
        <w:contextualSpacing/>
        <w:rPr>
          <w:rFonts w:ascii="Times New Roman" w:hAnsi="Times New Roman" w:cs="Times New Roman"/>
          <w:lang w:val="lt-LT"/>
        </w:rPr>
      </w:pPr>
    </w:p>
    <w:p w14:paraId="6A1332D0" w14:textId="77777777" w:rsidR="00105934" w:rsidRPr="006754BA" w:rsidRDefault="00105934" w:rsidP="006754BA">
      <w:pPr>
        <w:autoSpaceDE w:val="0"/>
        <w:autoSpaceDN w:val="0"/>
        <w:adjustRightInd w:val="0"/>
        <w:spacing w:after="0" w:line="240" w:lineRule="auto"/>
        <w:contextualSpacing/>
        <w:rPr>
          <w:rFonts w:ascii="Times New Roman" w:hAnsi="Times New Roman" w:cs="Times New Roman"/>
          <w:lang w:val="lt-LT"/>
        </w:rPr>
      </w:pPr>
    </w:p>
    <w:p w14:paraId="6C2C973E" w14:textId="761A193F" w:rsidR="00A60323" w:rsidRPr="006754BA" w:rsidRDefault="00F978F9" w:rsidP="006754BA">
      <w:pPr>
        <w:widowControl w:val="0"/>
        <w:spacing w:after="0" w:line="240" w:lineRule="auto"/>
        <w:ind w:left="567" w:hanging="567"/>
        <w:contextualSpacing/>
        <w:rPr>
          <w:rFonts w:ascii="Times New Roman" w:eastAsia="Calibri" w:hAnsi="Times New Roman" w:cs="Times New Roman"/>
          <w:lang w:val="lt-LT"/>
        </w:rPr>
      </w:pPr>
      <w:r w:rsidRPr="006754BA">
        <w:rPr>
          <w:rFonts w:ascii="Times New Roman" w:hAnsi="Times New Roman" w:cs="Times New Roman"/>
          <w:lang w:val="lt-LT"/>
        </w:rPr>
        <w:t xml:space="preserve">Gamintojas: </w:t>
      </w:r>
      <w:r w:rsidR="007B40DE" w:rsidRPr="006754BA">
        <w:rPr>
          <w:rFonts w:ascii="Times New Roman" w:eastAsia="Calibri" w:hAnsi="Times New Roman" w:cs="Times New Roman"/>
          <w:lang w:val="lt-LT"/>
        </w:rPr>
        <w:t>Krka, d.d., Novo mesto, Šmarješka cesta 6, 8501 Novo mesto, Slovėnija</w:t>
      </w:r>
      <w:r w:rsidR="006754BA">
        <w:rPr>
          <w:rFonts w:ascii="Times New Roman" w:eastAsia="Calibri" w:hAnsi="Times New Roman" w:cs="Times New Roman"/>
          <w:lang w:val="lt-LT"/>
        </w:rPr>
        <w:t>.</w:t>
      </w:r>
      <w:r w:rsidR="007B40DE" w:rsidRPr="006754BA">
        <w:rPr>
          <w:rFonts w:ascii="Times New Roman" w:eastAsia="Calibri" w:hAnsi="Times New Roman" w:cs="Times New Roman"/>
          <w:lang w:val="lt-LT"/>
        </w:rPr>
        <w:t xml:space="preserve"> </w:t>
      </w:r>
    </w:p>
    <w:p w14:paraId="2928EEE7" w14:textId="055244C7" w:rsidR="00263A08" w:rsidRPr="006754BA" w:rsidRDefault="00263A08" w:rsidP="006754BA">
      <w:pPr>
        <w:spacing w:after="0" w:line="240" w:lineRule="auto"/>
        <w:contextualSpacing/>
        <w:rPr>
          <w:rFonts w:ascii="Times New Roman" w:eastAsia="Times New Roman" w:hAnsi="Times New Roman" w:cs="Times New Roman"/>
          <w:lang w:val="lt-LT" w:eastAsia="lt-LT"/>
        </w:rPr>
      </w:pPr>
    </w:p>
    <w:p w14:paraId="35C7296F" w14:textId="6EAD51AB" w:rsidR="009B30FE" w:rsidRPr="006754BA" w:rsidRDefault="00263A08" w:rsidP="006754BA">
      <w:pPr>
        <w:spacing w:after="0" w:line="240" w:lineRule="auto"/>
        <w:contextualSpacing/>
        <w:rPr>
          <w:rFonts w:ascii="Times New Roman" w:eastAsia="Times New Roman" w:hAnsi="Times New Roman" w:cs="Times New Roman"/>
          <w:i/>
          <w:color w:val="000000"/>
          <w:lang w:val="lt-LT" w:eastAsia="lt-LT"/>
        </w:rPr>
      </w:pPr>
      <w:r w:rsidRPr="006754BA">
        <w:rPr>
          <w:rFonts w:ascii="Times New Roman" w:eastAsia="Times New Roman" w:hAnsi="Times New Roman" w:cs="Times New Roman"/>
          <w:i/>
          <w:lang w:val="lt-LT" w:eastAsia="lt-LT"/>
        </w:rPr>
        <w:t xml:space="preserve">Lygiagrečiai importuojamas vaistas skiriasi </w:t>
      </w:r>
      <w:r w:rsidR="009B30FE" w:rsidRPr="006754BA">
        <w:rPr>
          <w:rFonts w:ascii="Times New Roman" w:eastAsia="Times New Roman" w:hAnsi="Times New Roman" w:cs="Times New Roman"/>
          <w:i/>
          <w:lang w:val="lt-LT" w:eastAsia="lt-LT"/>
        </w:rPr>
        <w:t xml:space="preserve">nuo referencinio vaisto laikymo sąlygomis: lygiagrečiai importuojamą vaistą rekomenduojama laikyti </w:t>
      </w:r>
      <w:r w:rsidR="009B30FE" w:rsidRPr="006754BA">
        <w:rPr>
          <w:rFonts w:ascii="Times New Roman" w:eastAsia="Calibri" w:hAnsi="Times New Roman" w:cs="Times New Roman"/>
          <w:i/>
          <w:color w:val="000000"/>
          <w:lang w:val="lt-LT"/>
        </w:rPr>
        <w:t xml:space="preserve">ne aukštesnėje kaip 25 °C temperatūroje </w:t>
      </w:r>
      <w:r w:rsidR="00520B0F" w:rsidRPr="006754BA">
        <w:rPr>
          <w:rFonts w:ascii="Times New Roman" w:eastAsia="Calibri" w:hAnsi="Times New Roman" w:cs="Times New Roman"/>
          <w:i/>
          <w:color w:val="000000"/>
          <w:lang w:val="lt-LT"/>
        </w:rPr>
        <w:t>gamintojo</w:t>
      </w:r>
      <w:r w:rsidR="009B30FE" w:rsidRPr="006754BA">
        <w:rPr>
          <w:rFonts w:ascii="Times New Roman" w:eastAsia="Calibri" w:hAnsi="Times New Roman" w:cs="Times New Roman"/>
          <w:i/>
          <w:color w:val="000000"/>
          <w:lang w:val="lt-LT"/>
        </w:rPr>
        <w:t xml:space="preserve"> pakuotėje, referencinį vaistą rekomenduojama </w:t>
      </w:r>
      <w:r w:rsidR="009B30FE" w:rsidRPr="006754BA">
        <w:rPr>
          <w:rFonts w:ascii="Times New Roman" w:eastAsia="Calibri" w:hAnsi="Times New Roman" w:cs="Times New Roman"/>
          <w:i/>
          <w:lang w:val="lt-LT"/>
        </w:rPr>
        <w:t xml:space="preserve">laikyti ne aukštesnėje kaip </w:t>
      </w:r>
      <w:r w:rsidR="004C6235" w:rsidRPr="006754BA">
        <w:rPr>
          <w:rFonts w:ascii="Times New Roman" w:eastAsia="Calibri" w:hAnsi="Times New Roman" w:cs="Times New Roman"/>
          <w:i/>
          <w:lang w:val="lt-LT"/>
        </w:rPr>
        <w:t>25</w:t>
      </w:r>
      <w:r w:rsidR="004C6235">
        <w:rPr>
          <w:rFonts w:ascii="Times New Roman" w:eastAsia="Calibri" w:hAnsi="Times New Roman" w:cs="Times New Roman"/>
          <w:i/>
          <w:lang w:val="lt-LT"/>
        </w:rPr>
        <w:t> </w:t>
      </w:r>
      <w:r w:rsidR="00E61BAF" w:rsidRPr="00E61BAF">
        <w:rPr>
          <w:rFonts w:ascii="Times New Roman" w:eastAsia="Calibri" w:hAnsi="Times New Roman" w:cs="Times New Roman"/>
          <w:i/>
          <w:lang w:val="lt-LT"/>
        </w:rPr>
        <w:t>°</w:t>
      </w:r>
      <w:r w:rsidR="009B30FE" w:rsidRPr="006754BA">
        <w:rPr>
          <w:rFonts w:ascii="Times New Roman" w:eastAsia="Calibri" w:hAnsi="Times New Roman" w:cs="Times New Roman"/>
          <w:i/>
          <w:lang w:val="lt-LT"/>
        </w:rPr>
        <w:t>C temperatūroje</w:t>
      </w:r>
      <w:r w:rsidR="000831AA" w:rsidRPr="006754BA">
        <w:rPr>
          <w:rFonts w:ascii="Times New Roman" w:eastAsia="Calibri" w:hAnsi="Times New Roman" w:cs="Times New Roman"/>
          <w:i/>
          <w:lang w:val="lt-LT"/>
        </w:rPr>
        <w:t>;</w:t>
      </w:r>
      <w:r w:rsidR="009B30FE" w:rsidRPr="006754BA">
        <w:rPr>
          <w:rFonts w:ascii="Times New Roman" w:eastAsia="Calibri" w:hAnsi="Times New Roman" w:cs="Times New Roman"/>
          <w:i/>
          <w:color w:val="000000"/>
          <w:lang w:val="lt-LT"/>
        </w:rPr>
        <w:t xml:space="preserve"> talpyklės išvaizda: </w:t>
      </w:r>
      <w:r w:rsidR="009B30FE" w:rsidRPr="006754BA">
        <w:rPr>
          <w:rFonts w:ascii="Times New Roman" w:eastAsia="Times New Roman" w:hAnsi="Times New Roman" w:cs="Times New Roman"/>
          <w:i/>
          <w:lang w:val="lt-LT" w:eastAsia="lt-LT"/>
        </w:rPr>
        <w:t xml:space="preserve">lygiagrečiai importuojamo vaisto ampulė yra skaidraus stiklo, ant kurios yra raudonas taškas ir raudonas žiedas, o referencinio vaisto ampulė - skaidraus stiklo, ant kurios yra raudonas taškas ir geltonas žiedas. </w:t>
      </w:r>
    </w:p>
    <w:p w14:paraId="0A3641C4" w14:textId="7161C6DD" w:rsidR="000E75ED" w:rsidRPr="006754BA" w:rsidRDefault="000E75ED" w:rsidP="006754BA">
      <w:pPr>
        <w:spacing w:after="0" w:line="240" w:lineRule="auto"/>
        <w:contextualSpacing/>
        <w:rPr>
          <w:rFonts w:ascii="Times New Roman" w:eastAsia="Times New Roman" w:hAnsi="Times New Roman" w:cs="Times New Roman"/>
          <w:lang w:val="lt-LT" w:eastAsia="lt-LT"/>
        </w:rPr>
      </w:pPr>
      <w:r w:rsidRPr="006754BA">
        <w:rPr>
          <w:rFonts w:ascii="Times New Roman" w:eastAsia="Times New Roman" w:hAnsi="Times New Roman" w:cs="Times New Roman"/>
          <w:lang w:val="lt-LT" w:eastAsia="lt-LT"/>
        </w:rPr>
        <w:br w:type="page"/>
      </w:r>
    </w:p>
    <w:p w14:paraId="44D70D08" w14:textId="77777777" w:rsidR="005C7A9C" w:rsidRPr="006754BA" w:rsidRDefault="005C7A9C" w:rsidP="006754BA">
      <w:pPr>
        <w:spacing w:after="0" w:line="240" w:lineRule="auto"/>
        <w:contextualSpacing/>
        <w:rPr>
          <w:rFonts w:ascii="Times New Roman" w:eastAsia="Times New Roman" w:hAnsi="Times New Roman" w:cs="Times New Roman"/>
          <w:lang w:val="lt-LT" w:eastAsia="lt-LT"/>
        </w:rPr>
      </w:pPr>
    </w:p>
    <w:p w14:paraId="7000EF1A" w14:textId="77777777" w:rsidR="006F5D75" w:rsidRPr="006754BA" w:rsidRDefault="006F5D75" w:rsidP="006754BA">
      <w:pPr>
        <w:spacing w:after="0" w:line="240" w:lineRule="auto"/>
        <w:contextualSpacing/>
        <w:jc w:val="center"/>
        <w:outlineLvl w:val="0"/>
        <w:rPr>
          <w:rFonts w:ascii="Times New Roman" w:eastAsia="Times New Roman" w:hAnsi="Times New Roman" w:cs="Times New Roman"/>
          <w:b/>
          <w:kern w:val="28"/>
          <w:lang w:val="lt-LT" w:eastAsia="lt-LT"/>
        </w:rPr>
      </w:pPr>
    </w:p>
    <w:p w14:paraId="6EE1B247" w14:textId="77777777" w:rsidR="006F5D75" w:rsidRPr="006754BA" w:rsidRDefault="006F5D75" w:rsidP="006754BA">
      <w:pPr>
        <w:spacing w:after="0" w:line="240" w:lineRule="auto"/>
        <w:contextualSpacing/>
        <w:jc w:val="center"/>
        <w:outlineLvl w:val="0"/>
        <w:rPr>
          <w:rFonts w:ascii="Times New Roman" w:eastAsia="Times New Roman" w:hAnsi="Times New Roman" w:cs="Times New Roman"/>
          <w:b/>
          <w:kern w:val="28"/>
          <w:lang w:val="lt-LT" w:eastAsia="lt-LT"/>
        </w:rPr>
      </w:pPr>
    </w:p>
    <w:p w14:paraId="6381351E" w14:textId="77777777" w:rsidR="00B1421E" w:rsidRPr="006754BA" w:rsidRDefault="00B1421E" w:rsidP="006754BA">
      <w:pPr>
        <w:spacing w:after="0" w:line="240" w:lineRule="auto"/>
        <w:contextualSpacing/>
        <w:jc w:val="center"/>
        <w:outlineLvl w:val="0"/>
        <w:rPr>
          <w:rFonts w:ascii="Times New Roman" w:eastAsia="Times New Roman" w:hAnsi="Times New Roman" w:cs="Times New Roman"/>
          <w:b/>
          <w:kern w:val="28"/>
          <w:lang w:val="lt-LT" w:eastAsia="lt-LT"/>
        </w:rPr>
      </w:pPr>
    </w:p>
    <w:p w14:paraId="6EDFAC51" w14:textId="77777777" w:rsidR="00B1421E" w:rsidRPr="006754BA" w:rsidRDefault="00B1421E" w:rsidP="006754BA">
      <w:pPr>
        <w:spacing w:after="0" w:line="240" w:lineRule="auto"/>
        <w:contextualSpacing/>
        <w:jc w:val="center"/>
        <w:outlineLvl w:val="0"/>
        <w:rPr>
          <w:rFonts w:ascii="Times New Roman" w:eastAsia="Times New Roman" w:hAnsi="Times New Roman" w:cs="Times New Roman"/>
          <w:b/>
          <w:kern w:val="28"/>
          <w:lang w:val="lt-LT" w:eastAsia="lt-LT"/>
        </w:rPr>
      </w:pPr>
    </w:p>
    <w:p w14:paraId="15E29943" w14:textId="77777777" w:rsidR="00B1421E" w:rsidRPr="006754BA" w:rsidRDefault="00B1421E" w:rsidP="006754BA">
      <w:pPr>
        <w:spacing w:after="0" w:line="240" w:lineRule="auto"/>
        <w:contextualSpacing/>
        <w:jc w:val="center"/>
        <w:outlineLvl w:val="0"/>
        <w:rPr>
          <w:rFonts w:ascii="Times New Roman" w:eastAsia="Times New Roman" w:hAnsi="Times New Roman" w:cs="Times New Roman"/>
          <w:b/>
          <w:kern w:val="28"/>
          <w:lang w:val="lt-LT" w:eastAsia="lt-LT"/>
        </w:rPr>
      </w:pPr>
    </w:p>
    <w:p w14:paraId="311E604E" w14:textId="77777777" w:rsidR="00B1421E" w:rsidRPr="006754BA" w:rsidRDefault="00B1421E" w:rsidP="006754BA">
      <w:pPr>
        <w:spacing w:after="0" w:line="240" w:lineRule="auto"/>
        <w:contextualSpacing/>
        <w:jc w:val="center"/>
        <w:outlineLvl w:val="0"/>
        <w:rPr>
          <w:rFonts w:ascii="Times New Roman" w:eastAsia="Times New Roman" w:hAnsi="Times New Roman" w:cs="Times New Roman"/>
          <w:b/>
          <w:kern w:val="28"/>
          <w:lang w:val="lt-LT" w:eastAsia="lt-LT"/>
        </w:rPr>
      </w:pPr>
    </w:p>
    <w:p w14:paraId="75615651" w14:textId="77777777" w:rsidR="00B1421E" w:rsidRPr="006754BA" w:rsidRDefault="00B1421E" w:rsidP="006754BA">
      <w:pPr>
        <w:spacing w:after="0" w:line="240" w:lineRule="auto"/>
        <w:contextualSpacing/>
        <w:jc w:val="center"/>
        <w:outlineLvl w:val="0"/>
        <w:rPr>
          <w:rFonts w:ascii="Times New Roman" w:eastAsia="Times New Roman" w:hAnsi="Times New Roman" w:cs="Times New Roman"/>
          <w:b/>
          <w:kern w:val="28"/>
          <w:lang w:val="lt-LT" w:eastAsia="lt-LT"/>
        </w:rPr>
      </w:pPr>
    </w:p>
    <w:p w14:paraId="1CD73FDC" w14:textId="77777777" w:rsidR="0046113B" w:rsidRPr="006754BA" w:rsidRDefault="0046113B"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6754BA" w:rsidRDefault="0046113B"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55B7A143"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00B276D6"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5985AE02"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78715A64"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0848DE10"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6E7BCD26"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1E7A13A2"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4C4FE5D3"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30309D6E"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54144D44"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29E50E69"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53668A6A"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1FD8EE29"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603552B7"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78B31CAE" w14:textId="77777777" w:rsidR="003D07DA" w:rsidRPr="006754BA" w:rsidRDefault="003D07DA"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p>
    <w:p w14:paraId="0A603620" w14:textId="77777777" w:rsidR="006F5D75" w:rsidRPr="006754BA" w:rsidRDefault="006F5D75" w:rsidP="006754BA">
      <w:pPr>
        <w:numPr>
          <w:ilvl w:val="2"/>
          <w:numId w:val="0"/>
        </w:num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rPr>
      </w:pPr>
      <w:r w:rsidRPr="006754BA">
        <w:rPr>
          <w:rFonts w:ascii="Times New Roman" w:eastAsia="Times New Roman" w:hAnsi="Times New Roman" w:cs="Times New Roman"/>
          <w:b/>
          <w:caps/>
          <w:lang w:val="lt-LT"/>
        </w:rPr>
        <w:t>B. PAKUOTĖS LAPELIS</w:t>
      </w:r>
      <w:bookmarkEnd w:id="4"/>
      <w:bookmarkEnd w:id="5"/>
    </w:p>
    <w:p w14:paraId="2809274B" w14:textId="77777777" w:rsidR="006F5D75" w:rsidRPr="006754BA" w:rsidRDefault="006F5D75" w:rsidP="006754BA">
      <w:pPr>
        <w:spacing w:after="0" w:line="240" w:lineRule="auto"/>
        <w:contextualSpacing/>
        <w:jc w:val="center"/>
        <w:outlineLvl w:val="0"/>
        <w:rPr>
          <w:rFonts w:ascii="Times New Roman" w:eastAsia="Times New Roman" w:hAnsi="Times New Roman" w:cs="Times New Roman"/>
          <w:b/>
          <w:kern w:val="28"/>
          <w:lang w:val="lt-LT" w:eastAsia="lt-LT"/>
        </w:rPr>
      </w:pPr>
    </w:p>
    <w:p w14:paraId="02352E88" w14:textId="77777777" w:rsidR="00E94E16" w:rsidRPr="006754BA" w:rsidRDefault="006F5D75" w:rsidP="006754BA">
      <w:pPr>
        <w:spacing w:after="0" w:line="240" w:lineRule="auto"/>
        <w:contextualSpacing/>
        <w:jc w:val="center"/>
        <w:outlineLvl w:val="0"/>
        <w:rPr>
          <w:rFonts w:ascii="Times New Roman" w:eastAsia="Times New Roman" w:hAnsi="Times New Roman" w:cs="Times New Roman"/>
          <w:lang w:val="lt-LT" w:eastAsia="lt-LT"/>
        </w:rPr>
      </w:pPr>
      <w:r w:rsidRPr="006754BA">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D46D96B" w14:textId="77777777" w:rsidR="0094557B" w:rsidRPr="006754BA" w:rsidRDefault="0094557B" w:rsidP="006754BA">
      <w:pPr>
        <w:spacing w:after="0" w:line="240" w:lineRule="auto"/>
        <w:contextualSpacing/>
        <w:jc w:val="center"/>
        <w:rPr>
          <w:rFonts w:ascii="Times New Roman" w:hAnsi="Times New Roman" w:cs="Times New Roman"/>
          <w:b/>
          <w:lang w:val="lt-LT"/>
        </w:rPr>
      </w:pPr>
      <w:r w:rsidRPr="006754BA">
        <w:rPr>
          <w:rFonts w:ascii="Times New Roman" w:hAnsi="Times New Roman" w:cs="Times New Roman"/>
          <w:b/>
          <w:lang w:val="lt-LT"/>
        </w:rPr>
        <w:t>Pakuotės lapelis: informacija vartotojui</w:t>
      </w:r>
    </w:p>
    <w:p w14:paraId="320FB8B0" w14:textId="77777777" w:rsidR="00DA7717" w:rsidRPr="006754BA" w:rsidRDefault="00DA7717" w:rsidP="006754BA">
      <w:pPr>
        <w:spacing w:after="0" w:line="240" w:lineRule="auto"/>
        <w:contextualSpacing/>
        <w:jc w:val="center"/>
        <w:rPr>
          <w:rFonts w:ascii="Times New Roman" w:hAnsi="Times New Roman" w:cs="Times New Roman"/>
          <w:b/>
          <w:lang w:val="lt-LT"/>
        </w:rPr>
      </w:pPr>
    </w:p>
    <w:p w14:paraId="305CB19A" w14:textId="0A22FA25"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b/>
          <w:lang w:val="lt-LT"/>
        </w:rPr>
      </w:pPr>
      <w:r w:rsidRPr="006754BA">
        <w:rPr>
          <w:rFonts w:ascii="Times New Roman" w:eastAsia="Calibri" w:hAnsi="Times New Roman" w:cs="Times New Roman"/>
          <w:b/>
          <w:lang w:val="lt-LT"/>
        </w:rPr>
        <w:t>Gentamicin Krka 80 mg/</w:t>
      </w:r>
      <w:r w:rsidR="00E61BAF" w:rsidRPr="006754BA">
        <w:rPr>
          <w:rFonts w:ascii="Times New Roman" w:eastAsia="Calibri" w:hAnsi="Times New Roman" w:cs="Times New Roman"/>
          <w:b/>
          <w:lang w:val="lt-LT"/>
        </w:rPr>
        <w:t>2</w:t>
      </w:r>
      <w:r w:rsidR="00E61BAF">
        <w:rPr>
          <w:rFonts w:ascii="Times New Roman" w:eastAsia="Calibri" w:hAnsi="Times New Roman" w:cs="Times New Roman"/>
          <w:b/>
          <w:lang w:val="lt-LT"/>
        </w:rPr>
        <w:t> </w:t>
      </w:r>
      <w:r w:rsidRPr="006754BA">
        <w:rPr>
          <w:rFonts w:ascii="Times New Roman" w:eastAsia="Calibri" w:hAnsi="Times New Roman" w:cs="Times New Roman"/>
          <w:b/>
          <w:lang w:val="lt-LT"/>
        </w:rPr>
        <w:t>ml injekcinis</w:t>
      </w:r>
      <w:r w:rsidRPr="006754BA">
        <w:rPr>
          <w:rFonts w:ascii="Times New Roman" w:eastAsia="Times New Roman" w:hAnsi="Times New Roman" w:cs="Times New Roman"/>
          <w:b/>
          <w:lang w:val="lt-LT" w:eastAsia="sl-SI"/>
        </w:rPr>
        <w:t xml:space="preserve"> ar </w:t>
      </w:r>
      <w:r w:rsidRPr="006754BA">
        <w:rPr>
          <w:rFonts w:ascii="Times New Roman" w:eastAsia="Calibri" w:hAnsi="Times New Roman" w:cs="Times New Roman"/>
          <w:b/>
          <w:lang w:val="lt-LT"/>
        </w:rPr>
        <w:t>infuzinis tirpalas</w:t>
      </w:r>
    </w:p>
    <w:p w14:paraId="6F161CCF" w14:textId="7AE31C01" w:rsidR="002977D6" w:rsidRPr="006754BA" w:rsidRDefault="00E61BAF" w:rsidP="006754BA">
      <w:pPr>
        <w:widowControl w:val="0"/>
        <w:numPr>
          <w:ilvl w:val="12"/>
          <w:numId w:val="0"/>
        </w:numPr>
        <w:tabs>
          <w:tab w:val="left" w:pos="567"/>
          <w:tab w:val="left" w:pos="8505"/>
        </w:tabs>
        <w:spacing w:after="0" w:line="240" w:lineRule="auto"/>
        <w:ind w:right="-2"/>
        <w:contextualSpacing/>
        <w:jc w:val="center"/>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g</w:t>
      </w:r>
      <w:r w:rsidRPr="006754BA">
        <w:rPr>
          <w:rFonts w:ascii="Times New Roman" w:eastAsia="Times New Roman" w:hAnsi="Times New Roman" w:cs="Times New Roman"/>
          <w:lang w:val="lt-LT" w:eastAsia="sl-SI"/>
        </w:rPr>
        <w:t>entamicinas</w:t>
      </w:r>
    </w:p>
    <w:p w14:paraId="61358D9C" w14:textId="3562F4F9" w:rsidR="00232F9A" w:rsidRPr="006754BA" w:rsidRDefault="00232F9A" w:rsidP="006754BA">
      <w:pPr>
        <w:widowControl w:val="0"/>
        <w:spacing w:after="0" w:line="240" w:lineRule="auto"/>
        <w:contextualSpacing/>
        <w:jc w:val="center"/>
        <w:rPr>
          <w:rFonts w:ascii="Times New Roman" w:eastAsia="Times New Roman" w:hAnsi="Times New Roman" w:cs="Times New Roman"/>
          <w:lang w:val="lt-LT" w:eastAsia="sl-SI"/>
        </w:rPr>
      </w:pPr>
    </w:p>
    <w:p w14:paraId="7E82A254" w14:textId="77777777" w:rsidR="0094557B" w:rsidRPr="006754BA" w:rsidRDefault="0094557B" w:rsidP="006754BA">
      <w:pPr>
        <w:pStyle w:val="BodyText"/>
        <w:spacing w:after="0"/>
        <w:contextualSpacing/>
        <w:jc w:val="center"/>
        <w:rPr>
          <w:szCs w:val="22"/>
        </w:rPr>
      </w:pPr>
    </w:p>
    <w:p w14:paraId="69A16EB3" w14:textId="77777777" w:rsidR="002977D6" w:rsidRPr="006754BA" w:rsidRDefault="002977D6" w:rsidP="006754BA">
      <w:pPr>
        <w:suppressAutoHyphens/>
        <w:spacing w:after="0" w:line="240" w:lineRule="auto"/>
        <w:contextualSpacing/>
        <w:rPr>
          <w:rFonts w:ascii="Times New Roman" w:eastAsia="Times New Roman" w:hAnsi="Times New Roman" w:cs="Times New Roman"/>
          <w:lang w:val="lt-LT" w:eastAsia="sl-SI"/>
        </w:rPr>
      </w:pPr>
      <w:r w:rsidRPr="006754BA">
        <w:rPr>
          <w:rFonts w:ascii="Times New Roman" w:eastAsia="Times New Roman" w:hAnsi="Times New Roman" w:cs="Times New Roman"/>
          <w:b/>
          <w:lang w:val="lt-LT" w:eastAsia="sl-SI"/>
        </w:rPr>
        <w:t>Atidžiai perskaitykite visą šį lapelį, prieš pradėdami vartoti vaistą, nes jame pateikiama Jums svarbi informacija.</w:t>
      </w:r>
    </w:p>
    <w:p w14:paraId="7120AA48" w14:textId="75B645E6" w:rsidR="002977D6" w:rsidRPr="006754BA" w:rsidRDefault="002977D6" w:rsidP="006754BA">
      <w:pPr>
        <w:numPr>
          <w:ilvl w:val="0"/>
          <w:numId w:val="3"/>
        </w:numPr>
        <w:spacing w:after="0" w:line="240" w:lineRule="auto"/>
        <w:ind w:left="567" w:right="-2" w:hanging="567"/>
        <w:contextualSpacing/>
        <w:rPr>
          <w:rFonts w:ascii="Times New Roman" w:eastAsia="Times New Roman" w:hAnsi="Times New Roman" w:cs="Times New Roman"/>
          <w:lang w:val="lt-LT" w:eastAsia="sl-SI"/>
        </w:rPr>
      </w:pPr>
      <w:r w:rsidRPr="006754BA">
        <w:rPr>
          <w:rFonts w:ascii="Times New Roman" w:eastAsia="Times New Roman" w:hAnsi="Times New Roman" w:cs="Times New Roman"/>
          <w:lang w:val="lt-LT" w:eastAsia="sl-SI"/>
        </w:rPr>
        <w:t>Neišmeskite šio lapelio, nes vėl gali prireikti jį perskaityti.</w:t>
      </w:r>
    </w:p>
    <w:p w14:paraId="0D318385" w14:textId="77777777" w:rsidR="002977D6" w:rsidRPr="006754BA" w:rsidRDefault="002977D6" w:rsidP="006754BA">
      <w:pPr>
        <w:numPr>
          <w:ilvl w:val="0"/>
          <w:numId w:val="3"/>
        </w:numPr>
        <w:spacing w:after="0" w:line="240" w:lineRule="auto"/>
        <w:ind w:left="567" w:right="-2" w:hanging="567"/>
        <w:contextualSpacing/>
        <w:rPr>
          <w:rFonts w:ascii="Times New Roman" w:eastAsia="Times New Roman" w:hAnsi="Times New Roman" w:cs="Times New Roman"/>
          <w:lang w:val="lt-LT" w:eastAsia="sl-SI"/>
        </w:rPr>
      </w:pPr>
      <w:r w:rsidRPr="006754BA">
        <w:rPr>
          <w:rFonts w:ascii="Times New Roman" w:eastAsia="Times New Roman" w:hAnsi="Times New Roman" w:cs="Times New Roman"/>
          <w:lang w:val="lt-LT" w:eastAsia="sl-SI"/>
        </w:rPr>
        <w:t>Jeigu kiltų daugiau klausimų, kreipkitės į gydytoją arba vaistininką.</w:t>
      </w:r>
    </w:p>
    <w:p w14:paraId="3F8F466E" w14:textId="77777777" w:rsidR="002977D6" w:rsidRPr="006754BA" w:rsidRDefault="002977D6" w:rsidP="006754BA">
      <w:pPr>
        <w:spacing w:after="0" w:line="240" w:lineRule="auto"/>
        <w:ind w:left="567" w:right="-2" w:hanging="567"/>
        <w:contextualSpacing/>
        <w:rPr>
          <w:rFonts w:ascii="Times New Roman" w:eastAsia="Times New Roman" w:hAnsi="Times New Roman" w:cs="Times New Roman"/>
          <w:lang w:val="lt-LT" w:eastAsia="sl-SI"/>
        </w:rPr>
      </w:pPr>
      <w:r w:rsidRPr="006754BA">
        <w:rPr>
          <w:rFonts w:ascii="Times New Roman" w:eastAsia="Times New Roman" w:hAnsi="Times New Roman" w:cs="Times New Roman"/>
          <w:lang w:val="lt-LT" w:eastAsia="sl-SI"/>
        </w:rPr>
        <w:t>-</w:t>
      </w:r>
      <w:r w:rsidRPr="006754BA">
        <w:rPr>
          <w:rFonts w:ascii="Times New Roman" w:eastAsia="Times New Roman" w:hAnsi="Times New Roman" w:cs="Times New Roman"/>
          <w:lang w:val="lt-LT" w:eastAsia="sl-SI"/>
        </w:rPr>
        <w:tab/>
        <w:t>Šis vaistas skirtas tik Jums, todėl kitiems žmonėms jo duoti negalima. Vaistas gali jiems pakenkti (net tiems, kurių ligos požymiai yra tokie patys kaip Jūsų).</w:t>
      </w:r>
    </w:p>
    <w:p w14:paraId="768DBDE1" w14:textId="77777777" w:rsidR="002977D6" w:rsidRPr="006754BA" w:rsidRDefault="002977D6" w:rsidP="006754BA">
      <w:pPr>
        <w:numPr>
          <w:ilvl w:val="0"/>
          <w:numId w:val="3"/>
        </w:numPr>
        <w:spacing w:after="0" w:line="240" w:lineRule="auto"/>
        <w:ind w:left="567" w:hanging="567"/>
        <w:contextualSpacing/>
        <w:rPr>
          <w:rFonts w:ascii="Times New Roman" w:eastAsia="Times New Roman" w:hAnsi="Times New Roman" w:cs="Times New Roman"/>
          <w:lang w:val="lt-LT" w:eastAsia="sl-SI"/>
        </w:rPr>
      </w:pPr>
      <w:r w:rsidRPr="006754BA">
        <w:rPr>
          <w:rFonts w:ascii="Times New Roman" w:eastAsia="Times New Roman" w:hAnsi="Times New Roman" w:cs="Times New Roman"/>
          <w:lang w:val="lt-LT" w:eastAsia="sl-SI"/>
        </w:rPr>
        <w:t>Jeigu pasireiškė šalutinis poveikis (net jeigu jis šiame lapelyje nenurodytas), kreipkitės į gydytoją arba vaistininką. Žr. 4 skyrių.</w:t>
      </w:r>
    </w:p>
    <w:p w14:paraId="4F0C8BFE" w14:textId="77777777" w:rsidR="0094557B" w:rsidRPr="006754BA" w:rsidRDefault="0094557B" w:rsidP="006754BA">
      <w:pPr>
        <w:pStyle w:val="BodyText"/>
        <w:spacing w:after="0"/>
        <w:contextualSpacing/>
        <w:rPr>
          <w:szCs w:val="22"/>
        </w:rPr>
      </w:pPr>
    </w:p>
    <w:p w14:paraId="2F637B19" w14:textId="77777777" w:rsidR="0094557B" w:rsidRPr="006754BA" w:rsidRDefault="0094557B" w:rsidP="006754BA">
      <w:pPr>
        <w:pStyle w:val="BodyText"/>
        <w:spacing w:after="0"/>
        <w:ind w:left="567" w:hanging="567"/>
        <w:contextualSpacing/>
        <w:rPr>
          <w:b/>
          <w:szCs w:val="22"/>
        </w:rPr>
      </w:pPr>
      <w:r w:rsidRPr="006754BA">
        <w:rPr>
          <w:b/>
          <w:szCs w:val="22"/>
        </w:rPr>
        <w:t>Apie ką rašoma šiame lapelyje?</w:t>
      </w:r>
    </w:p>
    <w:p w14:paraId="60633B23" w14:textId="77777777" w:rsidR="002977D6" w:rsidRPr="006754BA" w:rsidRDefault="002977D6" w:rsidP="006754BA">
      <w:pPr>
        <w:widowControl w:val="0"/>
        <w:tabs>
          <w:tab w:val="left" w:pos="567"/>
        </w:tabs>
        <w:spacing w:after="0" w:line="240" w:lineRule="auto"/>
        <w:ind w:left="567" w:hanging="567"/>
        <w:contextualSpacing/>
        <w:rPr>
          <w:rFonts w:ascii="Times New Roman" w:eastAsia="Calibri" w:hAnsi="Times New Roman" w:cs="Times New Roman"/>
          <w:b/>
          <w:lang w:val="lt-LT"/>
        </w:rPr>
      </w:pPr>
    </w:p>
    <w:p w14:paraId="59E09F3B" w14:textId="77777777" w:rsidR="002977D6" w:rsidRPr="006754BA" w:rsidRDefault="002977D6" w:rsidP="006754BA">
      <w:pPr>
        <w:widowControl w:val="0"/>
        <w:tabs>
          <w:tab w:val="left" w:pos="567"/>
        </w:tabs>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1.</w:t>
      </w:r>
      <w:r w:rsidRPr="006754BA">
        <w:rPr>
          <w:rFonts w:ascii="Times New Roman" w:eastAsia="Calibri" w:hAnsi="Times New Roman" w:cs="Times New Roman"/>
          <w:lang w:val="lt-LT"/>
        </w:rPr>
        <w:tab/>
        <w:t>Kas yra Gentamicin Krka ir kam jis vartojamas</w:t>
      </w:r>
    </w:p>
    <w:p w14:paraId="19497B65" w14:textId="77777777" w:rsidR="002977D6" w:rsidRPr="006754BA" w:rsidRDefault="002977D6" w:rsidP="006754BA">
      <w:pPr>
        <w:widowControl w:val="0"/>
        <w:tabs>
          <w:tab w:val="left" w:pos="567"/>
        </w:tabs>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2.</w:t>
      </w:r>
      <w:r w:rsidRPr="006754BA">
        <w:rPr>
          <w:rFonts w:ascii="Times New Roman" w:eastAsia="Calibri" w:hAnsi="Times New Roman" w:cs="Times New Roman"/>
          <w:lang w:val="lt-LT"/>
        </w:rPr>
        <w:tab/>
        <w:t>Kas žinotina prieš vartojant Gentamicin Krka</w:t>
      </w:r>
    </w:p>
    <w:p w14:paraId="330F86D1" w14:textId="77777777" w:rsidR="002977D6" w:rsidRPr="006754BA" w:rsidRDefault="002977D6" w:rsidP="006754BA">
      <w:pPr>
        <w:widowControl w:val="0"/>
        <w:tabs>
          <w:tab w:val="left" w:pos="567"/>
        </w:tabs>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3.</w:t>
      </w:r>
      <w:r w:rsidRPr="006754BA">
        <w:rPr>
          <w:rFonts w:ascii="Times New Roman" w:eastAsia="Calibri" w:hAnsi="Times New Roman" w:cs="Times New Roman"/>
          <w:lang w:val="lt-LT"/>
        </w:rPr>
        <w:tab/>
        <w:t>Kaip vartoti Gentamicin Krka</w:t>
      </w:r>
    </w:p>
    <w:p w14:paraId="75B3D172" w14:textId="77777777" w:rsidR="002977D6" w:rsidRPr="006754BA" w:rsidRDefault="002977D6" w:rsidP="006754BA">
      <w:pPr>
        <w:widowControl w:val="0"/>
        <w:tabs>
          <w:tab w:val="left" w:pos="567"/>
        </w:tabs>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4.</w:t>
      </w:r>
      <w:r w:rsidRPr="006754BA">
        <w:rPr>
          <w:rFonts w:ascii="Times New Roman" w:eastAsia="Calibri" w:hAnsi="Times New Roman" w:cs="Times New Roman"/>
          <w:lang w:val="lt-LT"/>
        </w:rPr>
        <w:tab/>
        <w:t>Galimas šalutinis poveikis</w:t>
      </w:r>
    </w:p>
    <w:p w14:paraId="0E76F43C" w14:textId="77777777" w:rsidR="002977D6" w:rsidRPr="006754BA" w:rsidRDefault="002977D6" w:rsidP="006754BA">
      <w:pPr>
        <w:widowControl w:val="0"/>
        <w:tabs>
          <w:tab w:val="left" w:pos="567"/>
        </w:tabs>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5.</w:t>
      </w:r>
      <w:r w:rsidRPr="006754BA">
        <w:rPr>
          <w:rFonts w:ascii="Times New Roman" w:eastAsia="Calibri" w:hAnsi="Times New Roman" w:cs="Times New Roman"/>
          <w:lang w:val="lt-LT"/>
        </w:rPr>
        <w:tab/>
        <w:t>Kaip laikyti Gentamicin Krka</w:t>
      </w:r>
    </w:p>
    <w:p w14:paraId="048451FB" w14:textId="77777777" w:rsidR="002977D6" w:rsidRPr="006754BA" w:rsidRDefault="002977D6" w:rsidP="006754BA">
      <w:pPr>
        <w:widowControl w:val="0"/>
        <w:tabs>
          <w:tab w:val="left" w:pos="567"/>
        </w:tabs>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6.</w:t>
      </w:r>
      <w:r w:rsidRPr="006754BA">
        <w:rPr>
          <w:rFonts w:ascii="Times New Roman" w:eastAsia="Calibri" w:hAnsi="Times New Roman" w:cs="Times New Roman"/>
          <w:lang w:val="lt-LT"/>
        </w:rPr>
        <w:tab/>
        <w:t>Pakuotės turinys ir kita informacija</w:t>
      </w:r>
    </w:p>
    <w:p w14:paraId="6349B5CA"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757A3FEE"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6DF37A2E"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1.</w:t>
      </w:r>
      <w:r w:rsidRPr="006754BA">
        <w:rPr>
          <w:rFonts w:ascii="Times New Roman" w:eastAsia="Calibri" w:hAnsi="Times New Roman" w:cs="Times New Roman"/>
          <w:b/>
          <w:lang w:val="lt-LT"/>
        </w:rPr>
        <w:tab/>
        <w:t>Kas yra Gentamicin</w:t>
      </w:r>
      <w:r w:rsidRPr="006754BA">
        <w:rPr>
          <w:rFonts w:ascii="Times New Roman" w:eastAsia="Calibri" w:hAnsi="Times New Roman" w:cs="Times New Roman"/>
          <w:lang w:val="lt-LT"/>
        </w:rPr>
        <w:t xml:space="preserve"> </w:t>
      </w:r>
      <w:r w:rsidRPr="006754BA">
        <w:rPr>
          <w:rFonts w:ascii="Times New Roman" w:eastAsia="Calibri" w:hAnsi="Times New Roman" w:cs="Times New Roman"/>
          <w:b/>
          <w:lang w:val="lt-LT"/>
        </w:rPr>
        <w:t>Krka ir kam jis vartojamas</w:t>
      </w:r>
    </w:p>
    <w:p w14:paraId="30A32621" w14:textId="77777777" w:rsidR="002977D6" w:rsidRPr="006754BA" w:rsidRDefault="002977D6" w:rsidP="006754BA">
      <w:pPr>
        <w:widowControl w:val="0"/>
        <w:tabs>
          <w:tab w:val="left" w:pos="930"/>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ab/>
      </w:r>
    </w:p>
    <w:p w14:paraId="7DFA9DB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Gentamicin Krka yra aminoglikozidų grupės antibiotikas, kuris naikina bakterijas, sukeliančias įvairias sunkias užkrečiamąsias ligas.</w:t>
      </w:r>
    </w:p>
    <w:p w14:paraId="1281A4F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12A25ACB"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Gentamicin Krka vartojama gydant:</w:t>
      </w:r>
    </w:p>
    <w:p w14:paraId="7981E706" w14:textId="77777777" w:rsidR="002977D6" w:rsidRPr="006754BA" w:rsidRDefault="002977D6" w:rsidP="006754BA">
      <w:pPr>
        <w:widowControl w:val="0"/>
        <w:numPr>
          <w:ilvl w:val="0"/>
          <w:numId w:val="31"/>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apatinių kvėpavimo takų infekcine liga, pvz., plaučių uždegimu;</w:t>
      </w:r>
    </w:p>
    <w:p w14:paraId="0788C3C0" w14:textId="77777777" w:rsidR="002977D6" w:rsidRPr="006754BA" w:rsidRDefault="002977D6" w:rsidP="006754BA">
      <w:pPr>
        <w:widowControl w:val="0"/>
        <w:numPr>
          <w:ilvl w:val="0"/>
          <w:numId w:val="31"/>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virškinimo trakto infekcine liga, pvz., pilvaplėvės uždegimu, tulžies takų uždegimu (vartojant kartu su kitokiais antibiotikais);</w:t>
      </w:r>
    </w:p>
    <w:p w14:paraId="24CA45E3" w14:textId="77777777" w:rsidR="002977D6" w:rsidRPr="006754BA" w:rsidRDefault="002977D6" w:rsidP="006754BA">
      <w:pPr>
        <w:widowControl w:val="0"/>
        <w:numPr>
          <w:ilvl w:val="0"/>
          <w:numId w:val="31"/>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inkstų ir šlapimo takų infekcine liga, pvz., pielonefritu;</w:t>
      </w:r>
    </w:p>
    <w:p w14:paraId="7EE7E496" w14:textId="77777777" w:rsidR="002977D6" w:rsidRPr="006754BA" w:rsidRDefault="002977D6" w:rsidP="006754BA">
      <w:pPr>
        <w:widowControl w:val="0"/>
        <w:numPr>
          <w:ilvl w:val="0"/>
          <w:numId w:val="31"/>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odos ir poodinio audinio infekcine liga, (pvz., infekuotos žaizdos infekcija, įskaitant pooperacines ir infekuotas nudegimas);</w:t>
      </w:r>
    </w:p>
    <w:p w14:paraId="21394781" w14:textId="77777777" w:rsidR="002977D6" w:rsidRPr="006754BA" w:rsidRDefault="002977D6" w:rsidP="006754BA">
      <w:pPr>
        <w:widowControl w:val="0"/>
        <w:numPr>
          <w:ilvl w:val="0"/>
          <w:numId w:val="31"/>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tuliaremija (tai gyvūnų platinama infekcinė liga);</w:t>
      </w:r>
    </w:p>
    <w:p w14:paraId="2D78E0D4" w14:textId="77777777" w:rsidR="002977D6" w:rsidRPr="006754BA" w:rsidRDefault="002977D6" w:rsidP="006754BA">
      <w:pPr>
        <w:widowControl w:val="0"/>
        <w:numPr>
          <w:ilvl w:val="0"/>
          <w:numId w:val="31"/>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kitokiomis sunkiomis sisteminėmis infekcinėmis ligomis pvz., kraujo užkrėtimu ir vidinio širdies dangalo uždegimu (kartu su kitokiais antibiotikais);</w:t>
      </w:r>
    </w:p>
    <w:p w14:paraId="1155EB00" w14:textId="77777777" w:rsidR="002977D6" w:rsidRPr="006754BA" w:rsidRDefault="002977D6" w:rsidP="006754BA">
      <w:pPr>
        <w:widowControl w:val="0"/>
        <w:numPr>
          <w:ilvl w:val="0"/>
          <w:numId w:val="31"/>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sunkiomis naujagimių infekcinėmis ligomis (kartu su kitokiais antibiotikais).</w:t>
      </w:r>
    </w:p>
    <w:p w14:paraId="28252B81" w14:textId="77777777" w:rsidR="002977D6" w:rsidRPr="006754BA" w:rsidRDefault="002977D6" w:rsidP="006754BA">
      <w:pPr>
        <w:widowControl w:val="0"/>
        <w:spacing w:after="0" w:line="240" w:lineRule="auto"/>
        <w:contextualSpacing/>
        <w:rPr>
          <w:rFonts w:ascii="Times New Roman" w:eastAsia="Calibri" w:hAnsi="Times New Roman" w:cs="Times New Roman"/>
          <w:lang w:val="lt-LT"/>
        </w:rPr>
      </w:pPr>
    </w:p>
    <w:p w14:paraId="3502B8CC" w14:textId="77777777" w:rsidR="002977D6" w:rsidRPr="006754BA" w:rsidRDefault="002977D6" w:rsidP="006754BA">
      <w:pPr>
        <w:widowControl w:val="0"/>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Gentamicino vartojama infekcijos profilaktikai po pilvo ertmės operacijų (kartu su kitokiais antibiotikais).</w:t>
      </w:r>
    </w:p>
    <w:p w14:paraId="44784825" w14:textId="77777777" w:rsidR="002977D6" w:rsidRPr="006754BA" w:rsidRDefault="002977D6" w:rsidP="006754BA">
      <w:pPr>
        <w:widowControl w:val="0"/>
        <w:spacing w:after="0" w:line="240" w:lineRule="auto"/>
        <w:contextualSpacing/>
        <w:rPr>
          <w:rFonts w:ascii="Times New Roman" w:eastAsia="Calibri" w:hAnsi="Times New Roman" w:cs="Times New Roman"/>
          <w:lang w:val="lt-LT"/>
        </w:rPr>
      </w:pPr>
    </w:p>
    <w:p w14:paraId="55748BB5" w14:textId="77777777" w:rsidR="002977D6" w:rsidRPr="006754BA" w:rsidRDefault="002977D6" w:rsidP="006754BA">
      <w:pPr>
        <w:widowControl w:val="0"/>
        <w:spacing w:after="0" w:line="240" w:lineRule="auto"/>
        <w:contextualSpacing/>
        <w:rPr>
          <w:rFonts w:ascii="Times New Roman" w:eastAsia="Calibri" w:hAnsi="Times New Roman" w:cs="Times New Roman"/>
          <w:lang w:val="lt-LT"/>
        </w:rPr>
      </w:pPr>
    </w:p>
    <w:p w14:paraId="7320778B"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2.</w:t>
      </w:r>
      <w:r w:rsidRPr="006754BA">
        <w:rPr>
          <w:rFonts w:ascii="Times New Roman" w:eastAsia="Calibri" w:hAnsi="Times New Roman" w:cs="Times New Roman"/>
          <w:b/>
          <w:lang w:val="lt-LT"/>
        </w:rPr>
        <w:tab/>
        <w:t>Kas žinotina prieš vartojant Gentamicin Krka</w:t>
      </w:r>
    </w:p>
    <w:p w14:paraId="3F96F2B4"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1CE9A9C0" w14:textId="6CA48C5A"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 xml:space="preserve">Gentamicin Krka vartoti </w:t>
      </w:r>
      <w:r w:rsidR="00E61BAF" w:rsidRPr="00E61BAF">
        <w:rPr>
          <w:rFonts w:ascii="Times New Roman" w:eastAsia="Calibri" w:hAnsi="Times New Roman" w:cs="Times New Roman"/>
          <w:b/>
          <w:lang w:val="lt-LT"/>
        </w:rPr>
        <w:t>draudžiama</w:t>
      </w:r>
      <w:r w:rsidRPr="006754BA">
        <w:rPr>
          <w:rFonts w:ascii="Times New Roman" w:eastAsia="Calibri" w:hAnsi="Times New Roman" w:cs="Times New Roman"/>
          <w:b/>
          <w:lang w:val="lt-LT"/>
        </w:rPr>
        <w:t>:</w:t>
      </w:r>
    </w:p>
    <w:p w14:paraId="4B21F3BB" w14:textId="77777777" w:rsidR="002977D6" w:rsidRPr="006754BA" w:rsidRDefault="002977D6" w:rsidP="00DC29C1">
      <w:pPr>
        <w:widowControl w:val="0"/>
        <w:tabs>
          <w:tab w:val="left" w:pos="567"/>
        </w:tabs>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w:t>
      </w:r>
      <w:r w:rsidRPr="006754BA">
        <w:rPr>
          <w:rFonts w:ascii="Times New Roman" w:eastAsia="Calibri" w:hAnsi="Times New Roman" w:cs="Times New Roman"/>
          <w:lang w:val="lt-LT"/>
        </w:rPr>
        <w:tab/>
        <w:t>jeigu padidėjęs jautrumas gentamicinui, bet kuriam kitam aminoglikozidų grupės antibiotikui arba bet kuriai pagalbinei šio vaisto medžiagai;</w:t>
      </w:r>
    </w:p>
    <w:p w14:paraId="7090239F"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w:t>
      </w:r>
      <w:r w:rsidRPr="006754BA">
        <w:rPr>
          <w:rFonts w:ascii="Times New Roman" w:eastAsia="Calibri" w:hAnsi="Times New Roman" w:cs="Times New Roman"/>
          <w:lang w:val="lt-LT"/>
        </w:rPr>
        <w:tab/>
        <w:t>jeigu sergate sunkiąja miastenija.</w:t>
      </w:r>
    </w:p>
    <w:p w14:paraId="64B3910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57CFCCED" w14:textId="62F68267" w:rsidR="002977D6" w:rsidRPr="006754BA" w:rsidRDefault="00D035FD"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Įspėjimai ir atsargumo prie</w:t>
      </w:r>
      <w:r w:rsidR="002977D6" w:rsidRPr="006754BA">
        <w:rPr>
          <w:rFonts w:ascii="Times New Roman" w:eastAsia="Calibri" w:hAnsi="Times New Roman" w:cs="Times New Roman"/>
          <w:b/>
          <w:lang w:val="lt-LT"/>
        </w:rPr>
        <w:t>monės</w:t>
      </w:r>
    </w:p>
    <w:p w14:paraId="59F584F3" w14:textId="77777777" w:rsidR="002977D6"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Pasitarkite su gydytoju, vaistininku arba slaugytoju, prieš pradėdami vartoti Gentamicin Krka.</w:t>
      </w:r>
    </w:p>
    <w:p w14:paraId="740B4E37" w14:textId="77777777" w:rsidR="00E61BAF" w:rsidRDefault="00E61BAF" w:rsidP="006754BA">
      <w:pPr>
        <w:widowControl w:val="0"/>
        <w:tabs>
          <w:tab w:val="left" w:pos="567"/>
        </w:tabs>
        <w:spacing w:after="0" w:line="240" w:lineRule="auto"/>
        <w:contextualSpacing/>
        <w:rPr>
          <w:rFonts w:ascii="Times New Roman" w:eastAsia="Calibri" w:hAnsi="Times New Roman" w:cs="Times New Roman"/>
          <w:lang w:val="lt-LT"/>
        </w:rPr>
      </w:pPr>
    </w:p>
    <w:p w14:paraId="4908C4E2" w14:textId="50C38A11" w:rsidR="00E61BAF" w:rsidRPr="006754BA" w:rsidRDefault="00E61BAF" w:rsidP="006754BA">
      <w:pPr>
        <w:widowControl w:val="0"/>
        <w:tabs>
          <w:tab w:val="left" w:pos="567"/>
        </w:tabs>
        <w:spacing w:after="0" w:line="240" w:lineRule="auto"/>
        <w:contextualSpacing/>
        <w:rPr>
          <w:rFonts w:ascii="Times New Roman" w:eastAsia="Calibri" w:hAnsi="Times New Roman" w:cs="Times New Roman"/>
          <w:lang w:val="lt-LT"/>
        </w:rPr>
      </w:pPr>
      <w:r w:rsidRPr="00E61BAF">
        <w:rPr>
          <w:rFonts w:ascii="Times New Roman" w:eastAsia="Calibri" w:hAnsi="Times New Roman" w:cs="Times New Roman"/>
          <w:lang w:val="lt-LT"/>
        </w:rPr>
        <w:t>Pasitarkite su gydytoju arba vaistininku, jei pasireiškia sunkus viduriavimas.</w:t>
      </w:r>
    </w:p>
    <w:p w14:paraId="3AFA4AD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2F16483D"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Kad būtų išvengta nepageidaujamo poveikio, prieš gydymą, gydymo metu ir baigus gydymą rekomenduojama sekti gentamicino vartojančio paciento inkstų veiklą (kreatinino kiekį serume, kreatinino klirensą), tikrinti pusiausvyros aparato ir ausies sraigės funkciją, be to, rekomenduojama stebėti kepenų veiklos ir laboratorinius rodmenis.</w:t>
      </w:r>
    </w:p>
    <w:p w14:paraId="04DE2B1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5A2816E0"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Times New Roman" w:hAnsi="Times New Roman" w:cs="Times New Roman"/>
          <w:lang w:val="lt-LT" w:eastAsia="sl-SI"/>
        </w:rPr>
        <w:t>Vaisto</w:t>
      </w:r>
      <w:r w:rsidRPr="006754BA">
        <w:rPr>
          <w:rFonts w:ascii="Times New Roman" w:eastAsia="Calibri" w:hAnsi="Times New Roman" w:cs="Times New Roman"/>
          <w:lang w:val="lt-LT"/>
        </w:rPr>
        <w:t xml:space="preserve"> reikia atsargiai vartoti pacientams, kurių klausos ir pusiausviros organo funkcija sutrikusi, įskaitant ir 8-ojo galvinio nervo pažeidimą.</w:t>
      </w:r>
    </w:p>
    <w:p w14:paraId="4F028370"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2E794764" w14:textId="2740CA04"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Vartojant gentamicino reikia stebėti ar neatsiranda klausos sutrikimas, svaigulys, spengimas ausyse.</w:t>
      </w:r>
    </w:p>
    <w:p w14:paraId="7DB489C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1216E8A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Jei šio antibiotiko tenka vartoti ilgai ir didesnėmis dozėmis, reikia stebėti inkstų, pusiausvyros ir klausos organo veiklą.</w:t>
      </w:r>
    </w:p>
    <w:p w14:paraId="13E7C8E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E12F9EB" w14:textId="7FA94603"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Jei </w:t>
      </w:r>
      <w:r w:rsidR="00E61BAF" w:rsidRPr="00E61BAF">
        <w:rPr>
          <w:rFonts w:ascii="Times New Roman" w:eastAsia="Calibri" w:hAnsi="Times New Roman" w:cs="Times New Roman"/>
          <w:lang w:val="lt-LT"/>
        </w:rPr>
        <w:t>paciento</w:t>
      </w:r>
      <w:r w:rsidRPr="006754BA">
        <w:rPr>
          <w:rFonts w:ascii="Times New Roman" w:eastAsia="Calibri" w:hAnsi="Times New Roman" w:cs="Times New Roman"/>
          <w:lang w:val="lt-LT"/>
        </w:rPr>
        <w:t xml:space="preserve"> inkstų veikla sutrikusi, gentamicino galima vartoti tik būtinu atveju. Antibiotiko dozę reikia mažinti atsižvelgiant į inkstų veiklos rodmenis.</w:t>
      </w:r>
    </w:p>
    <w:p w14:paraId="790A8874"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2421D36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Kartu su šlapimo išskyrimą didinančiais vaistais šio antibiotiko reikia vartoti atsargiai.</w:t>
      </w:r>
    </w:p>
    <w:p w14:paraId="40B833FE"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75AF70BC" w14:textId="1BEFE1E5"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Dėl </w:t>
      </w:r>
      <w:r w:rsidR="00A2124D" w:rsidRPr="006754BA">
        <w:rPr>
          <w:rFonts w:ascii="Times New Roman" w:eastAsia="Calibri" w:hAnsi="Times New Roman" w:cs="Times New Roman"/>
          <w:lang w:val="lt-LT"/>
        </w:rPr>
        <w:t>toksin</w:t>
      </w:r>
      <w:r w:rsidR="00A2124D">
        <w:rPr>
          <w:rFonts w:ascii="Times New Roman" w:eastAsia="Calibri" w:hAnsi="Times New Roman" w:cs="Times New Roman"/>
          <w:lang w:val="lt-LT"/>
        </w:rPr>
        <w:t>io</w:t>
      </w:r>
      <w:r w:rsidR="00A2124D" w:rsidRPr="006754BA">
        <w:rPr>
          <w:rFonts w:ascii="Times New Roman" w:eastAsia="Calibri" w:hAnsi="Times New Roman" w:cs="Times New Roman"/>
          <w:lang w:val="lt-LT"/>
        </w:rPr>
        <w:t xml:space="preserve"> </w:t>
      </w:r>
      <w:r w:rsidRPr="006754BA">
        <w:rPr>
          <w:rFonts w:ascii="Times New Roman" w:eastAsia="Calibri" w:hAnsi="Times New Roman" w:cs="Times New Roman"/>
          <w:lang w:val="lt-LT"/>
        </w:rPr>
        <w:t>antibiotiko poveikio inkstams ir klausos organui, vaisto vartoti pakartotinai ir (arba) ilgai, ypač pagyvenusiems žmonėms, nerekomenduojama.</w:t>
      </w:r>
    </w:p>
    <w:p w14:paraId="6684D7DA"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1159B445" w14:textId="77777777" w:rsidR="002977D6" w:rsidRPr="006754BA" w:rsidRDefault="002977D6" w:rsidP="006754BA">
      <w:pPr>
        <w:widowControl w:val="0"/>
        <w:tabs>
          <w:tab w:val="left" w:pos="0"/>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Jei pacientas yra gydomas gentamicinu, prieš chirurginę operaciją apie tai būtina pasakyti gydytojui anesteziologui-reanimatologui.</w:t>
      </w:r>
    </w:p>
    <w:p w14:paraId="39656806"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0254876C"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Pacientams, sergantiems ligomis, kurių metu sutrinka impulso perdavimas iš nervo į raumenį (parkinsonizmas, kūdikių botulizmas), aminoglikozidų grupės antibiotikų reikia vartoti atsargiai (nes gali pasireikšti raumenų silpnumas ir nervo ir raumens jungties blokada).</w:t>
      </w:r>
    </w:p>
    <w:p w14:paraId="7FDBFA8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i/>
          <w:lang w:val="lt-LT"/>
        </w:rPr>
      </w:pPr>
    </w:p>
    <w:p w14:paraId="3526BAAD" w14:textId="77777777" w:rsidR="002977D6" w:rsidRPr="006754BA" w:rsidRDefault="002977D6" w:rsidP="006754BA">
      <w:pPr>
        <w:widowControl w:val="0"/>
        <w:tabs>
          <w:tab w:val="left" w:pos="567"/>
          <w:tab w:val="left" w:pos="709"/>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Pacientams, kuriems yra sumažėjusi kalcio koncentracija kraujyje, vaisto reikia vartoti atsargiai.</w:t>
      </w:r>
    </w:p>
    <w:p w14:paraId="29D4611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539D1B20"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Senyviems pacientams aminoglikozidų grupės antibiotikų reikia vartoti atsargiai, nes antibiotikų išskyrimas iš organizmo gali būti sulėtėjęs.</w:t>
      </w:r>
    </w:p>
    <w:p w14:paraId="4D2672D1"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570F8DBF"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Dėl inkstų nebrandumo iš naujagimių organizmo aminoglikozidų grupės antibiotikai pasišalina lėčiau, todėl šių antibiotikų išsiskyrimas iš organizmo gali pailgėti. Laiku ir prieš laiką gimusiems naujagimiams aminoglikozidų grupės antibiotikų reikia vartoti atsargiai.</w:t>
      </w:r>
    </w:p>
    <w:p w14:paraId="0ABDBFB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2C70957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lang w:val="lt-LT"/>
        </w:rPr>
      </w:pPr>
      <w:r w:rsidRPr="006754BA">
        <w:rPr>
          <w:rFonts w:ascii="Times New Roman" w:eastAsia="Calibri" w:hAnsi="Times New Roman" w:cs="Times New Roman"/>
          <w:b/>
          <w:lang w:val="lt-LT"/>
        </w:rPr>
        <w:t>Kiti vaistai ir Gentamicin Krka</w:t>
      </w:r>
    </w:p>
    <w:p w14:paraId="7622C2BB"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Jeigu vartojate arba neseniai vartojote kitų vaistų arba dėl to nesate tikri, apie tai pasakykite gydytojui arba vaistininkui.</w:t>
      </w:r>
    </w:p>
    <w:p w14:paraId="2E956B3B"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53F9478" w14:textId="03439528"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Kartu vartojant gentamiciną ir kitus vaistus, padidėja šalutinio poveikio pavojus. Pasakykite gydytojui, jeigu vartojate</w:t>
      </w:r>
      <w:r w:rsidR="00A2124D">
        <w:rPr>
          <w:rFonts w:ascii="Times New Roman" w:eastAsia="Calibri" w:hAnsi="Times New Roman" w:cs="Times New Roman"/>
          <w:lang w:val="lt-LT"/>
        </w:rPr>
        <w:t>:</w:t>
      </w:r>
    </w:p>
    <w:p w14:paraId="632F97DC" w14:textId="77777777" w:rsidR="002977D6" w:rsidRPr="006754BA" w:rsidRDefault="002977D6" w:rsidP="006754BA">
      <w:pPr>
        <w:widowControl w:val="0"/>
        <w:numPr>
          <w:ilvl w:val="0"/>
          <w:numId w:val="32"/>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diuretikų (ypač etakrino rūgšties ar furozemido);</w:t>
      </w:r>
    </w:p>
    <w:p w14:paraId="33E1ABB7" w14:textId="77777777" w:rsidR="002977D6" w:rsidRPr="006754BA" w:rsidRDefault="002977D6" w:rsidP="006754BA">
      <w:pPr>
        <w:widowControl w:val="0"/>
        <w:numPr>
          <w:ilvl w:val="0"/>
          <w:numId w:val="32"/>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antibiotikų, kurie gali sukelti nepageidaujamą poveikį inkstams ar klausos ir pusiausvyros organui (amikacino, tobramicino, vankomicino, cefaloridino, viomicino, polimiksino B, netromicino, neomicino, klindamicino, piperacilino, streptomicino, amfotericino B);</w:t>
      </w:r>
    </w:p>
    <w:p w14:paraId="73854852" w14:textId="5CB9CAF5" w:rsidR="002977D6" w:rsidRPr="006754BA" w:rsidRDefault="002977D6" w:rsidP="006754BA">
      <w:pPr>
        <w:widowControl w:val="0"/>
        <w:numPr>
          <w:ilvl w:val="0"/>
          <w:numId w:val="32"/>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kitų vaistų, galinčių sukelti nepageidaujamą poveikį inkstams ar klausos ir </w:t>
      </w:r>
      <w:r w:rsidR="00A2124D" w:rsidRPr="006754BA">
        <w:rPr>
          <w:rFonts w:ascii="Times New Roman" w:eastAsia="Calibri" w:hAnsi="Times New Roman" w:cs="Times New Roman"/>
          <w:lang w:val="lt-LT"/>
        </w:rPr>
        <w:t>pusiausv</w:t>
      </w:r>
      <w:r w:rsidR="00A2124D">
        <w:rPr>
          <w:rFonts w:ascii="Times New Roman" w:eastAsia="Calibri" w:hAnsi="Times New Roman" w:cs="Times New Roman"/>
          <w:lang w:val="lt-LT"/>
        </w:rPr>
        <w:t>y</w:t>
      </w:r>
      <w:r w:rsidR="00A2124D" w:rsidRPr="006754BA">
        <w:rPr>
          <w:rFonts w:ascii="Times New Roman" w:eastAsia="Calibri" w:hAnsi="Times New Roman" w:cs="Times New Roman"/>
          <w:lang w:val="lt-LT"/>
        </w:rPr>
        <w:t xml:space="preserve">ros </w:t>
      </w:r>
      <w:r w:rsidRPr="006754BA">
        <w:rPr>
          <w:rFonts w:ascii="Times New Roman" w:eastAsia="Calibri" w:hAnsi="Times New Roman" w:cs="Times New Roman"/>
          <w:lang w:val="lt-LT"/>
        </w:rPr>
        <w:t>organui (ciklosporino, metoksiflurano, foskarneto, cisplatinos arba (į veną) radiokontrastinių medžiagų).</w:t>
      </w:r>
    </w:p>
    <w:p w14:paraId="5B345E82"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p>
    <w:p w14:paraId="031A90A6"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lang w:val="lt-LT"/>
        </w:rPr>
        <w:t>Gentamicin Krka vartojant kartu su nervinio impulso perdavimą raumenims blokuojančiais vaistais, sustiprėja šių vaistų sukelta nervo ir raumens blokada, gali ištikti kvėpavimo paralyžius.</w:t>
      </w:r>
    </w:p>
    <w:p w14:paraId="2D2BE79A"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p>
    <w:p w14:paraId="0860DABD" w14:textId="02037516"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Nustatyta</w:t>
      </w:r>
      <w:r w:rsidR="00A2124D">
        <w:rPr>
          <w:rFonts w:ascii="Times New Roman" w:eastAsia="Calibri" w:hAnsi="Times New Roman" w:cs="Times New Roman"/>
          <w:lang w:val="lt-LT"/>
        </w:rPr>
        <w:t>s</w:t>
      </w:r>
      <w:r w:rsidRPr="006754BA">
        <w:rPr>
          <w:rFonts w:ascii="Times New Roman" w:eastAsia="Calibri" w:hAnsi="Times New Roman" w:cs="Times New Roman"/>
          <w:lang w:val="lt-LT"/>
        </w:rPr>
        <w:t xml:space="preserve"> aminoglikozidų grupės ir betalaktaminių antibiotikų, pvz., penicilinų</w:t>
      </w:r>
      <w:r w:rsidR="00A2124D">
        <w:rPr>
          <w:rFonts w:ascii="Times New Roman" w:eastAsia="Calibri" w:hAnsi="Times New Roman" w:cs="Times New Roman"/>
          <w:lang w:val="lt-LT"/>
        </w:rPr>
        <w:t>,</w:t>
      </w:r>
      <w:r w:rsidRPr="006754BA">
        <w:rPr>
          <w:rFonts w:ascii="Times New Roman" w:eastAsia="Calibri" w:hAnsi="Times New Roman" w:cs="Times New Roman"/>
          <w:lang w:val="lt-LT"/>
        </w:rPr>
        <w:t xml:space="preserve"> nesuderinam</w:t>
      </w:r>
      <w:r w:rsidR="00A2124D">
        <w:rPr>
          <w:rFonts w:ascii="Times New Roman" w:eastAsia="Calibri" w:hAnsi="Times New Roman" w:cs="Times New Roman"/>
          <w:lang w:val="lt-LT"/>
        </w:rPr>
        <w:t>umas</w:t>
      </w:r>
      <w:r w:rsidRPr="006754BA">
        <w:rPr>
          <w:rFonts w:ascii="Times New Roman" w:eastAsia="Calibri" w:hAnsi="Times New Roman" w:cs="Times New Roman"/>
          <w:lang w:val="lt-LT"/>
        </w:rPr>
        <w:t>, todėl viename švirkšte jų maišyti negalima.</w:t>
      </w:r>
    </w:p>
    <w:p w14:paraId="06B43C56"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Jei kartu šių antibiotikų vartoti būtina, reikia juos </w:t>
      </w:r>
      <w:r w:rsidRPr="006754BA">
        <w:rPr>
          <w:rFonts w:ascii="Times New Roman" w:eastAsia="Times New Roman" w:hAnsi="Times New Roman" w:cs="Times New Roman"/>
          <w:lang w:val="lt-LT" w:eastAsia="sl-SI"/>
        </w:rPr>
        <w:t>leisti</w:t>
      </w:r>
      <w:r w:rsidRPr="006754BA">
        <w:rPr>
          <w:rFonts w:ascii="Times New Roman" w:eastAsia="Calibri" w:hAnsi="Times New Roman" w:cs="Times New Roman"/>
          <w:lang w:val="lt-LT"/>
        </w:rPr>
        <w:t xml:space="preserve"> skirtingu laiku ir į skirtingas vietas.</w:t>
      </w:r>
    </w:p>
    <w:p w14:paraId="4B7B6125"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p>
    <w:p w14:paraId="574AA13B"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b/>
          <w:lang w:val="lt-LT"/>
        </w:rPr>
        <w:t>Nėštumas ir žindymo laikotarpis</w:t>
      </w:r>
    </w:p>
    <w:p w14:paraId="651837A3" w14:textId="77777777" w:rsidR="002977D6" w:rsidRPr="006754BA" w:rsidRDefault="002977D6" w:rsidP="006754BA">
      <w:pPr>
        <w:widowControl w:val="0"/>
        <w:tabs>
          <w:tab w:val="left" w:pos="567"/>
        </w:tabs>
        <w:spacing w:after="0" w:line="240" w:lineRule="auto"/>
        <w:contextualSpacing/>
        <w:rPr>
          <w:rFonts w:ascii="Times New Roman" w:eastAsia="Times New Roman" w:hAnsi="Times New Roman" w:cs="Times New Roman"/>
          <w:lang w:val="lt-LT" w:eastAsia="sl-SI"/>
        </w:rPr>
      </w:pPr>
    </w:p>
    <w:p w14:paraId="6D1B54EF"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Nėštumas</w:t>
      </w:r>
    </w:p>
    <w:p w14:paraId="4C96442B"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3BC1FC7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Aminoglikozidų grupės antibiotikai prasiskverbia per placentą bei gali pažeisti vaisiaus pusiausvyros bei klausos organą ir inkstus. Tinkamų ir gerai kontroliuotų tyrimų su nėščiomis moterimis, kurių inkstų funkcija sutrikusi, neatlikta.</w:t>
      </w:r>
    </w:p>
    <w:p w14:paraId="1BFF28B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Nėščiosioms gentamicino skiriama tik tada, kai kyla pavojus gyvybei, o kitų tinkamų antibiotikų nėra.</w:t>
      </w:r>
    </w:p>
    <w:p w14:paraId="26C9B2E6"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22E0E0CC"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Žindymas</w:t>
      </w:r>
    </w:p>
    <w:p w14:paraId="281CB14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Prieš vartojant bet kokį vaistą, būtina pasitarti su gydytoju arba vaistininku.</w:t>
      </w:r>
    </w:p>
    <w:p w14:paraId="6FC9A8FD"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Gentamicino išsiskiria į motinos pieną, todėl vartojant šio vaisto žindyti nerekomenduojama.</w:t>
      </w:r>
    </w:p>
    <w:p w14:paraId="2664D49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053C873D"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Vairavimas ir mechanizmų valdymas</w:t>
      </w:r>
    </w:p>
    <w:p w14:paraId="7E1CF597"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lang w:val="lt-LT"/>
        </w:rPr>
        <w:t>Gentamicinas gali pažeisti pusiausvyros organą. Dažniausiai dėl jo pažeidimo atsiranda pykinimas, svaigulys. Šių simptomų gali pasireikšti ir baigus vartoti gentamicino, todėl atsiradus šiems sutrikimams reikia į tai atkreipti dėmesį ir pra</w:t>
      </w:r>
      <w:r w:rsidRPr="006754BA">
        <w:rPr>
          <w:rFonts w:ascii="Times New Roman" w:eastAsia="Calibri" w:hAnsi="Times New Roman" w:cs="Times New Roman"/>
          <w:lang w:val="lt-LT"/>
        </w:rPr>
        <w:softHyphen/>
        <w:t>nešti gydytojui. Tuo metu vairuoti ir valdyti mechanizmų negalima.</w:t>
      </w:r>
    </w:p>
    <w:p w14:paraId="3806982B"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4043778" w14:textId="77777777" w:rsidR="00E61BAF" w:rsidRPr="00ED4985" w:rsidRDefault="00E61BAF" w:rsidP="00E61BAF">
      <w:pPr>
        <w:widowControl w:val="0"/>
        <w:tabs>
          <w:tab w:val="left" w:pos="567"/>
        </w:tabs>
        <w:spacing w:after="0" w:line="240" w:lineRule="auto"/>
        <w:contextualSpacing/>
        <w:rPr>
          <w:rFonts w:ascii="Times New Roman" w:eastAsia="Times New Roman" w:hAnsi="Times New Roman" w:cs="Times New Roman"/>
          <w:b/>
          <w:lang w:val="lt-LT" w:eastAsia="sl-SI"/>
        </w:rPr>
      </w:pPr>
      <w:r w:rsidRPr="00ED4985">
        <w:rPr>
          <w:rFonts w:ascii="Times New Roman" w:eastAsia="Calibri" w:hAnsi="Times New Roman" w:cs="Times New Roman"/>
          <w:b/>
          <w:lang w:val="lt-LT"/>
        </w:rPr>
        <w:t xml:space="preserve">Gentamicin Krka sudėtyje </w:t>
      </w:r>
      <w:r w:rsidRPr="00ED4985">
        <w:rPr>
          <w:rFonts w:ascii="Times New Roman" w:eastAsia="Calibri" w:hAnsi="Times New Roman" w:cs="Times New Roman"/>
          <w:b/>
          <w:lang w:val="lt-LT" w:eastAsia="sl-SI"/>
        </w:rPr>
        <w:t>yra</w:t>
      </w:r>
      <w:r w:rsidRPr="00ED4985">
        <w:rPr>
          <w:rFonts w:ascii="Times New Roman" w:eastAsia="Calibri" w:hAnsi="Times New Roman" w:cs="Times New Roman"/>
          <w:b/>
          <w:lang w:val="lt-LT"/>
        </w:rPr>
        <w:t xml:space="preserve"> </w:t>
      </w:r>
      <w:r w:rsidRPr="00C757AD">
        <w:rPr>
          <w:rFonts w:ascii="Times New Roman" w:eastAsia="Calibri" w:hAnsi="Times New Roman" w:cs="Times New Roman"/>
          <w:b/>
          <w:lang w:val="lt-LT"/>
        </w:rPr>
        <w:t>metilo parahidroksibenzoato (E218), propilo parahidroksibenzoato (E216), natrio metabisulfito (E223) ir natrio</w:t>
      </w:r>
      <w:r w:rsidRPr="00ED4985">
        <w:rPr>
          <w:rFonts w:ascii="Times New Roman" w:eastAsia="Times New Roman" w:hAnsi="Times New Roman" w:cs="Times New Roman"/>
          <w:b/>
          <w:lang w:val="lt-LT" w:eastAsia="sl-SI"/>
        </w:rPr>
        <w:t>.</w:t>
      </w:r>
    </w:p>
    <w:p w14:paraId="20D0C63F" w14:textId="77777777" w:rsidR="00E61BAF" w:rsidRPr="00C757AD" w:rsidRDefault="00E61BAF" w:rsidP="00E61BAF">
      <w:pPr>
        <w:widowControl w:val="0"/>
        <w:tabs>
          <w:tab w:val="left" w:pos="567"/>
        </w:tabs>
        <w:spacing w:after="0" w:line="240" w:lineRule="auto"/>
        <w:contextualSpacing/>
        <w:rPr>
          <w:rFonts w:ascii="Times New Roman" w:eastAsia="Times New Roman" w:hAnsi="Times New Roman" w:cs="Times New Roman"/>
          <w:lang w:val="lt-LT" w:eastAsia="sl-SI"/>
        </w:rPr>
      </w:pPr>
      <w:r w:rsidRPr="00C757AD">
        <w:rPr>
          <w:rFonts w:ascii="Times New Roman" w:eastAsia="Times New Roman" w:hAnsi="Times New Roman" w:cs="Times New Roman"/>
          <w:lang w:val="lt-LT" w:eastAsia="sl-SI"/>
        </w:rPr>
        <w:t>Metilo parahidroksibenzoatas, propilo parahidroksibenzoatas gali sukelti alerginių reakcijų, kurios gali būti uždelstos, ir išimtiniais atvejais bronchų spazmą.</w:t>
      </w:r>
    </w:p>
    <w:p w14:paraId="04521597" w14:textId="77777777" w:rsidR="00E61BAF" w:rsidRPr="00C757AD" w:rsidRDefault="00E61BAF" w:rsidP="00E61BAF">
      <w:pPr>
        <w:widowControl w:val="0"/>
        <w:tabs>
          <w:tab w:val="left" w:pos="567"/>
        </w:tabs>
        <w:spacing w:after="0" w:line="240" w:lineRule="auto"/>
        <w:contextualSpacing/>
        <w:rPr>
          <w:rFonts w:ascii="Times New Roman" w:eastAsia="Times New Roman" w:hAnsi="Times New Roman" w:cs="Times New Roman"/>
          <w:lang w:val="lt-LT" w:eastAsia="sl-SI"/>
        </w:rPr>
      </w:pPr>
      <w:r w:rsidRPr="00C757AD">
        <w:rPr>
          <w:rFonts w:ascii="Times New Roman" w:eastAsia="Times New Roman" w:hAnsi="Times New Roman" w:cs="Times New Roman"/>
          <w:lang w:val="lt-LT" w:eastAsia="sl-SI"/>
        </w:rPr>
        <w:t>Natrio metabisulfitas retais atvejais gali sukelti sunkių padidėjusio jautrumo reakcijų ir bronchų spazmą.</w:t>
      </w:r>
    </w:p>
    <w:p w14:paraId="063BDAA3" w14:textId="1C419CF3" w:rsidR="002977D6" w:rsidRPr="006754BA" w:rsidRDefault="00E61BAF" w:rsidP="006754BA">
      <w:pPr>
        <w:widowControl w:val="0"/>
        <w:tabs>
          <w:tab w:val="left" w:pos="567"/>
        </w:tabs>
        <w:spacing w:after="0" w:line="240" w:lineRule="auto"/>
        <w:contextualSpacing/>
        <w:rPr>
          <w:rFonts w:ascii="Times New Roman" w:eastAsia="Calibri" w:hAnsi="Times New Roman" w:cs="Times New Roman"/>
          <w:lang w:val="lt-LT"/>
        </w:rPr>
      </w:pPr>
      <w:r w:rsidRPr="00C757AD">
        <w:rPr>
          <w:rFonts w:ascii="Times New Roman" w:eastAsia="Times New Roman" w:hAnsi="Times New Roman" w:cs="Times New Roman"/>
          <w:lang w:val="lt-LT" w:eastAsia="sl-SI"/>
        </w:rPr>
        <w:t>Šio vaisto dozavimo vienete yra mažiau kaip 1</w:t>
      </w:r>
      <w:r>
        <w:rPr>
          <w:rFonts w:ascii="Times New Roman" w:eastAsia="Times New Roman" w:hAnsi="Times New Roman" w:cs="Times New Roman"/>
          <w:lang w:val="lt-LT" w:eastAsia="sl-SI"/>
        </w:rPr>
        <w:t> </w:t>
      </w:r>
      <w:r w:rsidRPr="00C757AD">
        <w:rPr>
          <w:rFonts w:ascii="Times New Roman" w:eastAsia="Times New Roman" w:hAnsi="Times New Roman" w:cs="Times New Roman"/>
          <w:lang w:val="lt-LT" w:eastAsia="sl-SI"/>
        </w:rPr>
        <w:t>mmol (23</w:t>
      </w:r>
      <w:r>
        <w:rPr>
          <w:rFonts w:ascii="Times New Roman" w:eastAsia="Times New Roman" w:hAnsi="Times New Roman" w:cs="Times New Roman"/>
          <w:lang w:val="lt-LT" w:eastAsia="sl-SI"/>
        </w:rPr>
        <w:t> </w:t>
      </w:r>
      <w:r w:rsidRPr="00C757AD">
        <w:rPr>
          <w:rFonts w:ascii="Times New Roman" w:eastAsia="Times New Roman" w:hAnsi="Times New Roman" w:cs="Times New Roman"/>
          <w:lang w:val="lt-LT" w:eastAsia="sl-SI"/>
        </w:rPr>
        <w:t>mg) natrio, t.</w:t>
      </w:r>
      <w:r>
        <w:rPr>
          <w:rFonts w:ascii="Times New Roman" w:eastAsia="Times New Roman" w:hAnsi="Times New Roman" w:cs="Times New Roman"/>
          <w:lang w:val="lt-LT" w:eastAsia="sl-SI"/>
        </w:rPr>
        <w:t xml:space="preserve"> </w:t>
      </w:r>
      <w:r w:rsidRPr="00C757AD">
        <w:rPr>
          <w:rFonts w:ascii="Times New Roman" w:eastAsia="Times New Roman" w:hAnsi="Times New Roman" w:cs="Times New Roman"/>
          <w:lang w:val="lt-LT" w:eastAsia="sl-SI"/>
        </w:rPr>
        <w:t>y. jis beveik neturi reikšmės</w:t>
      </w:r>
      <w:r w:rsidR="002977D6" w:rsidRPr="006754BA">
        <w:rPr>
          <w:rFonts w:ascii="Times New Roman" w:eastAsia="Calibri" w:hAnsi="Times New Roman" w:cs="Times New Roman"/>
          <w:lang w:val="lt-LT"/>
        </w:rPr>
        <w:t>.</w:t>
      </w:r>
    </w:p>
    <w:p w14:paraId="413F5EAE"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7200D4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63AA555A"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3.</w:t>
      </w:r>
      <w:r w:rsidRPr="006754BA">
        <w:rPr>
          <w:rFonts w:ascii="Times New Roman" w:eastAsia="Calibri" w:hAnsi="Times New Roman" w:cs="Times New Roman"/>
          <w:b/>
          <w:lang w:val="lt-LT"/>
        </w:rPr>
        <w:tab/>
        <w:t>Kaip vartoti Gentamicin Krka</w:t>
      </w:r>
    </w:p>
    <w:p w14:paraId="18994181"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lang w:val="lt-LT"/>
        </w:rPr>
      </w:pPr>
    </w:p>
    <w:p w14:paraId="4A72A33E"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Dozavimas ir vartojimo metodas</w:t>
      </w:r>
    </w:p>
    <w:p w14:paraId="2AED4FE6"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Visada vartokite šį vaistą tiksliai kaip nurodė gydytojas arba vaistininkas. Jeigu abejojate, kreipkitės į gydytoją arba vaistininką.</w:t>
      </w:r>
    </w:p>
    <w:p w14:paraId="6D1F043E"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59F2A89F"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Jūsų gydytojas nustatys vaisto dozę, vartojimo dažnumą ir gydymo trukmę priklausomai nuo ligos, vaisto toleravimo, organizmo reakcijos į gydymą ir galimą šalutinį poveikį.</w:t>
      </w:r>
    </w:p>
    <w:p w14:paraId="4D3BBD6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07DD992C"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i/>
          <w:lang w:val="lt-LT"/>
        </w:rPr>
        <w:t>Vaikams, paaugliams ir suaugusiems</w:t>
      </w:r>
      <w:r w:rsidRPr="006754BA">
        <w:rPr>
          <w:rFonts w:ascii="Times New Roman" w:eastAsia="Calibri" w:hAnsi="Times New Roman" w:cs="Times New Roman"/>
          <w:lang w:val="lt-LT"/>
        </w:rPr>
        <w:t>: 3-6 mg/kg kūno svorio per parą kaip vienkartinė dozė (pageidautina) ar padalinta į 2 dalis.</w:t>
      </w:r>
    </w:p>
    <w:p w14:paraId="5B49D96A"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B26ACB2"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lang w:val="lt-LT"/>
        </w:rPr>
      </w:pPr>
      <w:r w:rsidRPr="006754BA">
        <w:rPr>
          <w:rFonts w:ascii="Times New Roman" w:eastAsia="Calibri" w:hAnsi="Times New Roman" w:cs="Times New Roman"/>
          <w:b/>
          <w:lang w:val="lt-LT"/>
        </w:rPr>
        <w:t>Vartojimas vaikams</w:t>
      </w:r>
    </w:p>
    <w:p w14:paraId="55BC05CD" w14:textId="47EB7400"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i/>
          <w:lang w:val="lt-LT"/>
        </w:rPr>
        <w:t>Vyresni nei 1 mėnesio kūdikiai</w:t>
      </w:r>
      <w:r w:rsidRPr="00DC29C1">
        <w:rPr>
          <w:rFonts w:ascii="Times New Roman" w:eastAsia="Calibri" w:hAnsi="Times New Roman" w:cs="Times New Roman"/>
          <w:iCs/>
          <w:lang w:val="lt-LT"/>
        </w:rPr>
        <w:t>:</w:t>
      </w:r>
      <w:r w:rsidRPr="006754BA">
        <w:rPr>
          <w:rFonts w:ascii="Times New Roman" w:eastAsia="Calibri" w:hAnsi="Times New Roman" w:cs="Times New Roman"/>
          <w:i/>
          <w:lang w:val="lt-LT"/>
        </w:rPr>
        <w:t xml:space="preserve"> </w:t>
      </w:r>
      <w:r w:rsidRPr="006754BA">
        <w:rPr>
          <w:rFonts w:ascii="Times New Roman" w:eastAsia="Calibri" w:hAnsi="Times New Roman" w:cs="Times New Roman"/>
          <w:lang w:val="lt-LT"/>
        </w:rPr>
        <w:t>4,5-7,5 mg/kg kūno svo</w:t>
      </w:r>
      <w:r w:rsidR="00D035FD" w:rsidRPr="006754BA">
        <w:rPr>
          <w:rFonts w:ascii="Times New Roman" w:eastAsia="Calibri" w:hAnsi="Times New Roman" w:cs="Times New Roman"/>
          <w:lang w:val="lt-LT"/>
        </w:rPr>
        <w:t>rio per parą vartojama kaip</w:t>
      </w:r>
      <w:r w:rsidRPr="006754BA">
        <w:rPr>
          <w:rFonts w:ascii="Times New Roman" w:eastAsia="Calibri" w:hAnsi="Times New Roman" w:cs="Times New Roman"/>
          <w:lang w:val="lt-LT"/>
        </w:rPr>
        <w:t xml:space="preserve"> vienkartinė dozė (pageidautina) ar padalinta į 2 dalis.</w:t>
      </w:r>
    </w:p>
    <w:p w14:paraId="29375AD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i/>
          <w:u w:val="single"/>
          <w:lang w:val="lt-LT"/>
        </w:rPr>
      </w:pPr>
    </w:p>
    <w:p w14:paraId="4BA4F459" w14:textId="1C2ECDF4"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i/>
          <w:u w:val="single"/>
          <w:lang w:val="lt-LT"/>
        </w:rPr>
        <w:t>Naujagimiai</w:t>
      </w:r>
      <w:r w:rsidRPr="00DC29C1">
        <w:rPr>
          <w:rFonts w:ascii="Times New Roman" w:eastAsia="Calibri" w:hAnsi="Times New Roman" w:cs="Times New Roman"/>
          <w:iCs/>
          <w:lang w:val="lt-LT"/>
        </w:rPr>
        <w:t xml:space="preserve">: </w:t>
      </w:r>
      <w:r w:rsidRPr="006754BA">
        <w:rPr>
          <w:rFonts w:ascii="Times New Roman" w:eastAsia="Calibri" w:hAnsi="Times New Roman" w:cs="Times New Roman"/>
          <w:lang w:val="lt-LT"/>
        </w:rPr>
        <w:t>4-7 mg/kg kūno svorio per parą kaip 1 vienkartinė dozė.</w:t>
      </w:r>
    </w:p>
    <w:p w14:paraId="123ED90B"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10194541"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b/>
          <w:lang w:val="lt-LT"/>
        </w:rPr>
        <w:t>Pacientai, kurių inkstų funkcija sutrikusi</w:t>
      </w:r>
    </w:p>
    <w:p w14:paraId="34828251" w14:textId="4A9FBB8B"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Pacientams, kurių inkstų funkcija sutrikusi </w:t>
      </w:r>
      <w:r w:rsidR="0069022F" w:rsidRPr="006754BA">
        <w:rPr>
          <w:rFonts w:ascii="Times New Roman" w:eastAsia="Calibri" w:hAnsi="Times New Roman" w:cs="Times New Roman"/>
          <w:lang w:val="lt-LT"/>
        </w:rPr>
        <w:t>rekomenduojam</w:t>
      </w:r>
      <w:r w:rsidR="0069022F">
        <w:rPr>
          <w:rFonts w:ascii="Times New Roman" w:eastAsia="Calibri" w:hAnsi="Times New Roman" w:cs="Times New Roman"/>
          <w:lang w:val="lt-LT"/>
        </w:rPr>
        <w:t>ą</w:t>
      </w:r>
      <w:r w:rsidR="0069022F" w:rsidRPr="006754BA">
        <w:rPr>
          <w:rFonts w:ascii="Times New Roman" w:eastAsia="Calibri" w:hAnsi="Times New Roman" w:cs="Times New Roman"/>
          <w:lang w:val="lt-LT"/>
        </w:rPr>
        <w:t xml:space="preserve"> </w:t>
      </w:r>
      <w:r w:rsidRPr="006754BA">
        <w:rPr>
          <w:rFonts w:ascii="Times New Roman" w:eastAsia="Calibri" w:hAnsi="Times New Roman" w:cs="Times New Roman"/>
          <w:lang w:val="lt-LT"/>
        </w:rPr>
        <w:t>paros dozę reikia mažinti atsižvelgiant į inkstų funkcijos sutrikimo laipsnį.</w:t>
      </w:r>
    </w:p>
    <w:p w14:paraId="0DCE1DA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753E99B"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lang w:val="lt-LT"/>
        </w:rPr>
      </w:pPr>
      <w:r w:rsidRPr="006754BA">
        <w:rPr>
          <w:rFonts w:ascii="Times New Roman" w:eastAsia="Calibri" w:hAnsi="Times New Roman" w:cs="Times New Roman"/>
          <w:b/>
          <w:lang w:val="lt-LT"/>
        </w:rPr>
        <w:t>Vartojimo metodas</w:t>
      </w:r>
    </w:p>
    <w:p w14:paraId="2935AEA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Gentamicino </w:t>
      </w:r>
      <w:r w:rsidRPr="006754BA">
        <w:rPr>
          <w:rFonts w:ascii="Times New Roman" w:eastAsia="Times New Roman" w:hAnsi="Times New Roman" w:cs="Times New Roman"/>
          <w:lang w:val="lt-LT" w:eastAsia="sl-SI"/>
        </w:rPr>
        <w:t>leidžiama</w:t>
      </w:r>
      <w:r w:rsidRPr="006754BA">
        <w:rPr>
          <w:rFonts w:ascii="Times New Roman" w:eastAsia="Calibri" w:hAnsi="Times New Roman" w:cs="Times New Roman"/>
          <w:lang w:val="lt-LT"/>
        </w:rPr>
        <w:t xml:space="preserve"> į raumenis, tačiau galima vartoti ir į veną. Detali informacija pateikta pakuotės lapelio pabaigoje prie informacijos, skirtos sveikatos priežiūros specialistams.</w:t>
      </w:r>
    </w:p>
    <w:p w14:paraId="0B7A4A96" w14:textId="77777777" w:rsidR="002977D6" w:rsidRPr="006754BA" w:rsidDel="00294346"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6D8C1104" w14:textId="6CEA9C49"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i/>
          <w:lang w:val="lt-LT"/>
        </w:rPr>
      </w:pPr>
      <w:r w:rsidRPr="006754BA">
        <w:rPr>
          <w:rFonts w:ascii="Times New Roman" w:eastAsia="Calibri" w:hAnsi="Times New Roman" w:cs="Times New Roman"/>
          <w:i/>
          <w:lang w:val="lt-LT"/>
        </w:rPr>
        <w:t>Jei manote, kad vaistas veikia per stipriai arba per silpnai, pasakykite gydytojui arba vaistininkui.</w:t>
      </w:r>
    </w:p>
    <w:p w14:paraId="3175ACF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0A78F911" w14:textId="7F7A7FB9"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b/>
          <w:lang w:val="lt-LT"/>
        </w:rPr>
        <w:t>Ką daryti pavartojus per didelę Gentamicin Krka dozę</w:t>
      </w:r>
    </w:p>
    <w:p w14:paraId="5DF7AE4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Perdozuotas ar per greitai </w:t>
      </w:r>
      <w:r w:rsidRPr="006754BA">
        <w:rPr>
          <w:rFonts w:ascii="Times New Roman" w:eastAsia="Times New Roman" w:hAnsi="Times New Roman" w:cs="Times New Roman"/>
          <w:lang w:val="lt-LT" w:eastAsia="sl-SI"/>
        </w:rPr>
        <w:t>suleistas</w:t>
      </w:r>
      <w:r w:rsidRPr="006754BA">
        <w:rPr>
          <w:rFonts w:ascii="Times New Roman" w:eastAsia="Calibri" w:hAnsi="Times New Roman" w:cs="Times New Roman"/>
          <w:lang w:val="lt-LT"/>
        </w:rPr>
        <w:t xml:space="preserve"> gentamicinas gali sukelti kvėpavimo pasunkėjimą, pykinimą, galvos sukimąsi, vėmimą, triukšmą ir spaudimo pojūtį ausyse, kojų mėšlungį.</w:t>
      </w:r>
    </w:p>
    <w:p w14:paraId="01E5E756"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Pajutę šių simptomų arba įtarę, kad Jums </w:t>
      </w:r>
      <w:r w:rsidRPr="006754BA">
        <w:rPr>
          <w:rFonts w:ascii="Times New Roman" w:eastAsia="Times New Roman" w:hAnsi="Times New Roman" w:cs="Times New Roman"/>
          <w:lang w:val="lt-LT" w:eastAsia="sl-SI"/>
        </w:rPr>
        <w:t>leidžiama</w:t>
      </w:r>
      <w:r w:rsidRPr="006754BA">
        <w:rPr>
          <w:rFonts w:ascii="Times New Roman" w:eastAsia="Calibri" w:hAnsi="Times New Roman" w:cs="Times New Roman"/>
          <w:lang w:val="lt-LT"/>
        </w:rPr>
        <w:t xml:space="preserve"> per didelė gentamicino dozė, pasitarkite su gydytoju.</w:t>
      </w:r>
    </w:p>
    <w:p w14:paraId="6BE8864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527499A1"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Pamiršus pavartoti Gentamicin Krka</w:t>
      </w:r>
    </w:p>
    <w:p w14:paraId="5E3690AD" w14:textId="1982C8EE"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Kokiais laiko intervalais </w:t>
      </w:r>
      <w:r w:rsidRPr="006754BA">
        <w:rPr>
          <w:rFonts w:ascii="Times New Roman" w:eastAsia="Times New Roman" w:hAnsi="Times New Roman" w:cs="Times New Roman"/>
          <w:lang w:val="lt-LT" w:eastAsia="sl-SI"/>
        </w:rPr>
        <w:t>leisti</w:t>
      </w:r>
      <w:r w:rsidRPr="006754BA">
        <w:rPr>
          <w:rFonts w:ascii="Times New Roman" w:eastAsia="Calibri" w:hAnsi="Times New Roman" w:cs="Times New Roman"/>
          <w:lang w:val="lt-LT"/>
        </w:rPr>
        <w:t xml:space="preserve"> gentamicino, nuspręs gydytojas. Jei laiku Jums nebuvo </w:t>
      </w:r>
      <w:r w:rsidRPr="006754BA">
        <w:rPr>
          <w:rFonts w:ascii="Times New Roman" w:eastAsia="Times New Roman" w:hAnsi="Times New Roman" w:cs="Times New Roman"/>
          <w:lang w:val="lt-LT" w:eastAsia="sl-SI"/>
        </w:rPr>
        <w:t>suleista</w:t>
      </w:r>
      <w:r w:rsidRPr="006754BA">
        <w:rPr>
          <w:rFonts w:ascii="Times New Roman" w:eastAsia="Calibri" w:hAnsi="Times New Roman" w:cs="Times New Roman"/>
          <w:lang w:val="lt-LT"/>
        </w:rPr>
        <w:t xml:space="preserve"> šio vaisto, apie tai kiek įmanoma greičiau pasakykite gydytojui.</w:t>
      </w:r>
    </w:p>
    <w:p w14:paraId="6E5918DB"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6B1B8BDB"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b/>
          <w:lang w:val="lt-LT"/>
        </w:rPr>
        <w:t>Nustojus vartoti Gentamicin Krka</w:t>
      </w:r>
    </w:p>
    <w:p w14:paraId="1AD14BF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Per anksti nutraukus šio vaisto vartojimą, liga gali atsinaujinti.</w:t>
      </w:r>
    </w:p>
    <w:p w14:paraId="6A5C22DC"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6BB253D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Jeigu kiltų daugiau klausimų dėl šio vaisto vartojimo, kreipkitės į gydytoją arba slaugytoją.</w:t>
      </w:r>
    </w:p>
    <w:p w14:paraId="33478453"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59AC2B8F"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D0FEAC3"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4.</w:t>
      </w:r>
      <w:r w:rsidRPr="006754BA">
        <w:rPr>
          <w:rFonts w:ascii="Times New Roman" w:eastAsia="Calibri" w:hAnsi="Times New Roman" w:cs="Times New Roman"/>
          <w:b/>
          <w:lang w:val="lt-LT"/>
        </w:rPr>
        <w:tab/>
        <w:t>Galimas šalutinis poveikis</w:t>
      </w:r>
    </w:p>
    <w:p w14:paraId="26ADFE34"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7BFDCFAD" w14:textId="77777777" w:rsidR="002977D6"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lang w:val="lt-LT"/>
        </w:rPr>
        <w:t>Šis vaistas, kaip ir visi kiti, gali sukelti šalutinį poveikį, nors jis pasireiškia ne visiems.</w:t>
      </w:r>
    </w:p>
    <w:p w14:paraId="0EB091BE" w14:textId="77777777" w:rsidR="008A2FD2" w:rsidRPr="006754BA" w:rsidRDefault="008A2FD2" w:rsidP="006754BA">
      <w:pPr>
        <w:widowControl w:val="0"/>
        <w:tabs>
          <w:tab w:val="left" w:pos="567"/>
        </w:tabs>
        <w:spacing w:after="0" w:line="240" w:lineRule="auto"/>
        <w:contextualSpacing/>
        <w:outlineLvl w:val="0"/>
        <w:rPr>
          <w:rFonts w:ascii="Times New Roman" w:eastAsia="Calibri" w:hAnsi="Times New Roman" w:cs="Times New Roman"/>
          <w:lang w:val="lt-LT"/>
        </w:rPr>
      </w:pPr>
    </w:p>
    <w:p w14:paraId="6DB7963E" w14:textId="3D3D86D3" w:rsidR="002977D6" w:rsidRPr="00DC29C1" w:rsidRDefault="008A2FD2" w:rsidP="006754BA">
      <w:pPr>
        <w:widowControl w:val="0"/>
        <w:tabs>
          <w:tab w:val="left" w:pos="567"/>
        </w:tabs>
        <w:spacing w:after="0" w:line="240" w:lineRule="auto"/>
        <w:contextualSpacing/>
        <w:rPr>
          <w:rFonts w:ascii="Times New Roman" w:eastAsia="Calibri" w:hAnsi="Times New Roman" w:cs="Times New Roman"/>
          <w:b/>
          <w:bCs/>
          <w:color w:val="333333"/>
          <w:lang w:val="lt-LT"/>
        </w:rPr>
      </w:pPr>
      <w:r w:rsidRPr="008A2FD2">
        <w:rPr>
          <w:rFonts w:ascii="Times New Roman" w:eastAsia="Calibri" w:hAnsi="Times New Roman" w:cs="Times New Roman"/>
          <w:b/>
          <w:bCs/>
          <w:lang w:val="lt-LT"/>
        </w:rPr>
        <w:t>Nedažni šalutinio poveikio reiškiniai (gali pasireikšti rečiau kaip 1 iš 100 asmenų):</w:t>
      </w:r>
    </w:p>
    <w:p w14:paraId="370BAFED" w14:textId="77777777" w:rsidR="002977D6"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Klausos ir pusiausvyros sutrikimas*, spengimas ir spaudimo pojūtis ausyse, nevalingas akių trūkčiojimas (taip vadinamas nistagmas).</w:t>
      </w:r>
    </w:p>
    <w:p w14:paraId="70A037DB" w14:textId="56FBA33B" w:rsidR="00733156" w:rsidRPr="006754BA" w:rsidRDefault="0073315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Galvos sukimasis.</w:t>
      </w:r>
    </w:p>
    <w:p w14:paraId="11018F1B" w14:textId="0C84E1C8"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color w:val="333333"/>
          <w:lang w:val="lt-LT"/>
        </w:rPr>
      </w:pPr>
      <w:r w:rsidRPr="006754BA">
        <w:rPr>
          <w:rFonts w:ascii="Times New Roman" w:eastAsia="Calibri" w:hAnsi="Times New Roman" w:cs="Times New Roman"/>
          <w:lang w:val="lt-LT"/>
        </w:rPr>
        <w:t>Pykinimas, vėmimas, viduriavimas.</w:t>
      </w:r>
    </w:p>
    <w:p w14:paraId="03DBC41F"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color w:val="333333"/>
          <w:lang w:val="lt-LT"/>
        </w:rPr>
      </w:pPr>
      <w:r w:rsidRPr="006754BA">
        <w:rPr>
          <w:rFonts w:ascii="Times New Roman" w:eastAsia="Calibri" w:hAnsi="Times New Roman" w:cs="Times New Roman"/>
          <w:lang w:val="lt-LT"/>
        </w:rPr>
        <w:t>Šlapalo ir kreatinino koncentracijos padidėjimas***, baltymas šlapime.</w:t>
      </w:r>
    </w:p>
    <w:p w14:paraId="20FF8D6A"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color w:val="333333"/>
          <w:lang w:val="lt-LT"/>
        </w:rPr>
      </w:pPr>
    </w:p>
    <w:p w14:paraId="06E0DF2C" w14:textId="4E281B51" w:rsidR="002977D6" w:rsidRPr="00DC29C1" w:rsidRDefault="008A2FD2" w:rsidP="006754BA">
      <w:pPr>
        <w:widowControl w:val="0"/>
        <w:tabs>
          <w:tab w:val="left" w:pos="567"/>
        </w:tabs>
        <w:spacing w:after="0" w:line="240" w:lineRule="auto"/>
        <w:contextualSpacing/>
        <w:rPr>
          <w:rFonts w:ascii="Times New Roman" w:eastAsia="Calibri" w:hAnsi="Times New Roman" w:cs="Times New Roman"/>
          <w:b/>
          <w:bCs/>
          <w:lang w:val="lt-LT"/>
        </w:rPr>
      </w:pPr>
      <w:r w:rsidRPr="008A2FD2">
        <w:rPr>
          <w:rFonts w:ascii="Times New Roman" w:eastAsia="Calibri" w:hAnsi="Times New Roman" w:cs="Times New Roman"/>
          <w:b/>
          <w:bCs/>
          <w:lang w:val="lt-LT"/>
        </w:rPr>
        <w:t>Reti šalutinio poveikio reiškiniai (gali pasireikšti rečiau kaip 1 iš 1 000 asmenų):</w:t>
      </w:r>
    </w:p>
    <w:p w14:paraId="7BDE4F48"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Per mažas kalcio kiekis kraujyje, per mažas kalio kiekis kraujyje, per mažas magnio kiekis kraujyje.</w:t>
      </w:r>
    </w:p>
    <w:p w14:paraId="1A94751E"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Padidėjusio jautrumo reakcijos (išbėrimas).</w:t>
      </w:r>
    </w:p>
    <w:p w14:paraId="4C5DD265"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Nervo ir raumens jungties blokada**.</w:t>
      </w:r>
    </w:p>
    <w:p w14:paraId="465D4602"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035381FD" w14:textId="7037590A" w:rsidR="002977D6" w:rsidRPr="00DC29C1" w:rsidRDefault="008A2FD2" w:rsidP="006754BA">
      <w:pPr>
        <w:widowControl w:val="0"/>
        <w:tabs>
          <w:tab w:val="left" w:pos="567"/>
        </w:tabs>
        <w:spacing w:after="0" w:line="240" w:lineRule="auto"/>
        <w:contextualSpacing/>
        <w:rPr>
          <w:rFonts w:ascii="Times New Roman" w:eastAsia="Calibri" w:hAnsi="Times New Roman" w:cs="Times New Roman"/>
          <w:b/>
          <w:bCs/>
          <w:lang w:val="lt-LT"/>
        </w:rPr>
      </w:pPr>
      <w:r w:rsidRPr="00ED68DD">
        <w:rPr>
          <w:rFonts w:ascii="Times New Roman" w:eastAsia="Calibri" w:hAnsi="Times New Roman" w:cs="Times New Roman"/>
          <w:b/>
        </w:rPr>
        <w:t>Labai reti šalutinio poveikio reiškiniai (gali pasireikšti rečiau kaip 1 iš 10 000 asmenų):</w:t>
      </w:r>
    </w:p>
    <w:p w14:paraId="35AE706C"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Eozinofilų kiekio padidėjimas, leukocitų, trombocitų kiekio sumažėjimas, mažakraujystė, hemoglobino koncentracijos sumažėjimas.</w:t>
      </w:r>
    </w:p>
    <w:p w14:paraId="001BAAD8"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Anafilaksinė reakcija.</w:t>
      </w:r>
    </w:p>
    <w:p w14:paraId="4075CF26" w14:textId="165FC015"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Galvos skausmas, tariamas jutimas.</w:t>
      </w:r>
    </w:p>
    <w:p w14:paraId="0298C4DE"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Regos sutrikimai.</w:t>
      </w:r>
    </w:p>
    <w:p w14:paraId="39C53544"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Nuolatinis viduriavimas (pseudomembraninis kolitas).</w:t>
      </w:r>
    </w:p>
    <w:p w14:paraId="5D994985"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Bilirubino ir kepenų fermentų aktyvumo padidėjimas (tai rodo kepenų veiklos sutrikimą).</w:t>
      </w:r>
    </w:p>
    <w:p w14:paraId="5CA65FA9"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Karščiavimas, širdies plakimas.</w:t>
      </w:r>
    </w:p>
    <w:p w14:paraId="75B0C942"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Ūminis inkstų nepakankamumas.</w:t>
      </w:r>
    </w:p>
    <w:p w14:paraId="1A25D447" w14:textId="77777777" w:rsidR="002977D6" w:rsidRPr="006754BA" w:rsidRDefault="002977D6" w:rsidP="006754BA">
      <w:pPr>
        <w:widowControl w:val="0"/>
        <w:numPr>
          <w:ilvl w:val="0"/>
          <w:numId w:val="33"/>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Didelė fosforo ir aminorūgščių koncentracija šlapime (vadinamasis į Fankoni (Fanconi) panašus sindromas, susijęs su ilgą laiką vartojamomis didelėmis dozėmis).</w:t>
      </w:r>
    </w:p>
    <w:p w14:paraId="384D5F77" w14:textId="77777777" w:rsidR="002977D6" w:rsidRPr="006754BA" w:rsidRDefault="002977D6" w:rsidP="006754BA">
      <w:pPr>
        <w:widowControl w:val="0"/>
        <w:spacing w:after="0" w:line="240" w:lineRule="auto"/>
        <w:ind w:left="1140"/>
        <w:contextualSpacing/>
        <w:rPr>
          <w:rFonts w:ascii="Times New Roman" w:eastAsia="Calibri" w:hAnsi="Times New Roman" w:cs="Times New Roman"/>
          <w:lang w:val="lt-LT"/>
        </w:rPr>
      </w:pPr>
    </w:p>
    <w:p w14:paraId="0B543080" w14:textId="63AF9F8B" w:rsidR="002977D6" w:rsidRDefault="008A2FD2" w:rsidP="006754BA">
      <w:pPr>
        <w:widowControl w:val="0"/>
        <w:spacing w:after="0" w:line="240" w:lineRule="auto"/>
        <w:contextualSpacing/>
        <w:rPr>
          <w:rFonts w:ascii="Times New Roman" w:eastAsia="Calibri" w:hAnsi="Times New Roman" w:cs="Times New Roman"/>
          <w:lang w:val="lt-LT" w:eastAsia="sl-SI"/>
        </w:rPr>
      </w:pPr>
      <w:r w:rsidRPr="00ED68DD">
        <w:rPr>
          <w:rFonts w:ascii="Times New Roman" w:hAnsi="Times New Roman" w:cs="Times New Roman"/>
          <w:b/>
          <w:bCs/>
          <w:noProof/>
          <w:snapToGrid w:val="0"/>
        </w:rPr>
        <w:t>Šalutinio poveikio reiškiniai, kurių dažnis nežinomas (negali būti apskaičiuotas pagal turimus duomenis):</w:t>
      </w:r>
    </w:p>
    <w:p w14:paraId="206622E1" w14:textId="77777777" w:rsidR="00847677" w:rsidRPr="00510B41" w:rsidRDefault="00847677" w:rsidP="00847677">
      <w:pPr>
        <w:widowControl w:val="0"/>
        <w:spacing w:after="0" w:line="240" w:lineRule="auto"/>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r>
      <w:bookmarkStart w:id="8" w:name="_Hlk162598169"/>
      <w:r w:rsidRPr="00510B41">
        <w:rPr>
          <w:rFonts w:ascii="Times New Roman" w:eastAsia="Calibri" w:hAnsi="Times New Roman" w:cs="Times New Roman"/>
          <w:lang w:val="lt-LT" w:eastAsia="sl-SI"/>
        </w:rPr>
        <w:t>Laikinas ir negrįžtamas klausos praradimas, kurtumas*.</w:t>
      </w:r>
    </w:p>
    <w:p w14:paraId="0954DDB8" w14:textId="77777777" w:rsidR="00847677" w:rsidRPr="00510B41" w:rsidRDefault="00847677" w:rsidP="00847677">
      <w:pPr>
        <w:widowControl w:val="0"/>
        <w:spacing w:after="0" w:line="240" w:lineRule="auto"/>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t>Alerginės reakcijos:</w:t>
      </w:r>
    </w:p>
    <w:p w14:paraId="17CA965E" w14:textId="77777777" w:rsidR="00847677" w:rsidRPr="00510B41" w:rsidRDefault="00847677" w:rsidP="00DC29C1">
      <w:pPr>
        <w:widowControl w:val="0"/>
        <w:spacing w:after="0" w:line="240" w:lineRule="auto"/>
        <w:ind w:left="851" w:hanging="426"/>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t>niežtinčiu, vienkartiniu išbėrimu ar dilgėline (urtikarija).</w:t>
      </w:r>
    </w:p>
    <w:p w14:paraId="51F7424E" w14:textId="77777777" w:rsidR="00847677" w:rsidRPr="00510B41" w:rsidRDefault="00847677" w:rsidP="00847677">
      <w:pPr>
        <w:widowControl w:val="0"/>
        <w:spacing w:after="0" w:line="240" w:lineRule="auto"/>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t>Infekcija kitoms gentamicinui atsparioms bakterijoms.</w:t>
      </w:r>
    </w:p>
    <w:p w14:paraId="15B77FFB" w14:textId="77777777" w:rsidR="00847677" w:rsidRPr="00510B41" w:rsidRDefault="00847677" w:rsidP="00847677">
      <w:pPr>
        <w:widowControl w:val="0"/>
        <w:spacing w:after="0" w:line="240" w:lineRule="auto"/>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t>Nuovargis.</w:t>
      </w:r>
    </w:p>
    <w:p w14:paraId="3BB58B43" w14:textId="77777777" w:rsidR="00847677" w:rsidRPr="00510B41" w:rsidRDefault="00847677" w:rsidP="00847677">
      <w:pPr>
        <w:widowControl w:val="0"/>
        <w:spacing w:after="0" w:line="240" w:lineRule="auto"/>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t>Sumišimas.</w:t>
      </w:r>
    </w:p>
    <w:p w14:paraId="3EAC6354" w14:textId="77777777" w:rsidR="00847677" w:rsidRPr="00510B41" w:rsidRDefault="00847677" w:rsidP="00847677">
      <w:pPr>
        <w:widowControl w:val="0"/>
        <w:spacing w:after="0" w:line="240" w:lineRule="auto"/>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t>Depresija.</w:t>
      </w:r>
    </w:p>
    <w:p w14:paraId="766B6D1F" w14:textId="77777777" w:rsidR="00847677" w:rsidRPr="00510B41" w:rsidRDefault="00847677" w:rsidP="00847677">
      <w:pPr>
        <w:widowControl w:val="0"/>
        <w:spacing w:after="0" w:line="240" w:lineRule="auto"/>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t>Keistos vizijos ar garsai (haliucinacijos).</w:t>
      </w:r>
    </w:p>
    <w:p w14:paraId="124635C7" w14:textId="3F62C92A" w:rsidR="00847677" w:rsidRPr="00ED4985" w:rsidRDefault="00847677" w:rsidP="00847677">
      <w:pPr>
        <w:widowControl w:val="0"/>
        <w:spacing w:after="0" w:line="240" w:lineRule="auto"/>
        <w:contextualSpacing/>
        <w:rPr>
          <w:rFonts w:ascii="Times New Roman" w:eastAsia="Calibri" w:hAnsi="Times New Roman" w:cs="Times New Roman"/>
          <w:lang w:val="lt-LT" w:eastAsia="sl-SI"/>
        </w:rPr>
      </w:pPr>
      <w:r w:rsidRPr="00510B41">
        <w:rPr>
          <w:rFonts w:ascii="Times New Roman" w:eastAsia="Calibri" w:hAnsi="Times New Roman" w:cs="Times New Roman"/>
          <w:lang w:val="lt-LT" w:eastAsia="sl-SI"/>
        </w:rPr>
        <w:t>­</w:t>
      </w:r>
      <w:r w:rsidRPr="00510B41">
        <w:rPr>
          <w:rFonts w:ascii="Times New Roman" w:eastAsia="Calibri" w:hAnsi="Times New Roman" w:cs="Times New Roman"/>
          <w:lang w:val="lt-LT" w:eastAsia="sl-SI"/>
        </w:rPr>
        <w:tab/>
        <w:t>Burnos opos</w:t>
      </w:r>
      <w:bookmarkEnd w:id="8"/>
      <w:r>
        <w:rPr>
          <w:rFonts w:ascii="Times New Roman" w:eastAsia="Calibri" w:hAnsi="Times New Roman" w:cs="Times New Roman"/>
          <w:lang w:val="lt-LT" w:eastAsia="sl-SI"/>
        </w:rPr>
        <w:t>.</w:t>
      </w:r>
    </w:p>
    <w:p w14:paraId="65069D78" w14:textId="77777777" w:rsidR="00847677" w:rsidRPr="006754BA" w:rsidRDefault="00847677" w:rsidP="006754BA">
      <w:pPr>
        <w:widowControl w:val="0"/>
        <w:spacing w:after="0" w:line="240" w:lineRule="auto"/>
        <w:contextualSpacing/>
        <w:rPr>
          <w:rFonts w:ascii="Times New Roman" w:eastAsia="Calibri" w:hAnsi="Times New Roman" w:cs="Times New Roman"/>
          <w:lang w:val="lt-LT" w:eastAsia="sl-SI"/>
        </w:rPr>
      </w:pPr>
    </w:p>
    <w:p w14:paraId="2D83B1B2" w14:textId="3EEFC04F"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 Pusiausvyros ir klausos funkcijos sutrikimas yra nedažnas, bet svarbus poveikis, kadangi jis neišnyksta. Toks poveikis gali paūmėti net nutraukus gentamicino vartojimą. Pirmieji požymiai būna spengimas ir spaudimo pojūtis ausyse. Pusiausvyros funkcijos sutrikimas kliniškai pasireiškia pykinimu, vėmimu, galvos sukimusi arba nevalingais trūkčiojančiais akių judesiais. Didesnė klausos ir pusiausvyros sutrikimo rizika yra pacientams, kuriems toks sutrikimas jau buvo, kuriems yra inkstų veiklos sutrikimas, kurie gydomi kitokiais toksinį poveikį klausos ir </w:t>
      </w:r>
      <w:r w:rsidR="00923756" w:rsidRPr="006754BA">
        <w:rPr>
          <w:rFonts w:ascii="Times New Roman" w:eastAsia="Calibri" w:hAnsi="Times New Roman" w:cs="Times New Roman"/>
          <w:lang w:val="lt-LT"/>
        </w:rPr>
        <w:t>pusiausv</w:t>
      </w:r>
      <w:r w:rsidR="00923756">
        <w:rPr>
          <w:rFonts w:ascii="Times New Roman" w:eastAsia="Calibri" w:hAnsi="Times New Roman" w:cs="Times New Roman"/>
          <w:lang w:val="lt-LT"/>
        </w:rPr>
        <w:t>y</w:t>
      </w:r>
      <w:r w:rsidR="00923756" w:rsidRPr="006754BA">
        <w:rPr>
          <w:rFonts w:ascii="Times New Roman" w:eastAsia="Calibri" w:hAnsi="Times New Roman" w:cs="Times New Roman"/>
          <w:lang w:val="lt-LT"/>
        </w:rPr>
        <w:t xml:space="preserve">ros </w:t>
      </w:r>
      <w:r w:rsidRPr="006754BA">
        <w:rPr>
          <w:rFonts w:ascii="Times New Roman" w:eastAsia="Calibri" w:hAnsi="Times New Roman" w:cs="Times New Roman"/>
          <w:lang w:val="lt-LT"/>
        </w:rPr>
        <w:t>organui sukeliančiais vaistais, kurių organizme nėra reikiamo skysčių kiekio arba kurie ilgai vartojo didesnę gentamicino dozę.</w:t>
      </w:r>
    </w:p>
    <w:p w14:paraId="3044C2A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58EC0AA2"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 Dažniausiai pasireiškia vaisto greitai </w:t>
      </w:r>
      <w:r w:rsidRPr="006754BA">
        <w:rPr>
          <w:rFonts w:ascii="Times New Roman" w:eastAsia="Times New Roman" w:hAnsi="Times New Roman" w:cs="Times New Roman"/>
          <w:lang w:val="lt-LT" w:eastAsia="sl-SI"/>
        </w:rPr>
        <w:t>suleidus</w:t>
      </w:r>
      <w:r w:rsidRPr="006754BA">
        <w:rPr>
          <w:rFonts w:ascii="Times New Roman" w:eastAsia="Calibri" w:hAnsi="Times New Roman" w:cs="Times New Roman"/>
          <w:lang w:val="lt-LT"/>
        </w:rPr>
        <w:t xml:space="preserve"> į veną arba didelę gentamicino dozę injekuojant į pleuros ar pilvaplėvės ertmę.</w:t>
      </w:r>
    </w:p>
    <w:p w14:paraId="7260C8C2"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0602A780" w14:textId="4D505CB5"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 Toksinis gentamicino poveikis inkstams dažniau pasireiškia senyviems žmonėms, moterims, </w:t>
      </w:r>
      <w:r w:rsidR="00847677" w:rsidRPr="00847677">
        <w:rPr>
          <w:rFonts w:ascii="Times New Roman" w:eastAsia="Calibri" w:hAnsi="Times New Roman" w:cs="Times New Roman"/>
          <w:lang w:val="lt-LT"/>
        </w:rPr>
        <w:t>pacientams</w:t>
      </w:r>
      <w:r w:rsidRPr="006754BA">
        <w:rPr>
          <w:rFonts w:ascii="Times New Roman" w:eastAsia="Calibri" w:hAnsi="Times New Roman" w:cs="Times New Roman"/>
          <w:lang w:val="lt-LT"/>
        </w:rPr>
        <w:t xml:space="preserve">, kurių inkstų funkcija sutrikusi, pacientams, kurių organizme trūksta skysčio, nefroziniu sindromu sergantiems </w:t>
      </w:r>
      <w:r w:rsidR="00DC0A7C">
        <w:rPr>
          <w:rFonts w:ascii="Times New Roman" w:eastAsia="Calibri" w:hAnsi="Times New Roman" w:cs="Times New Roman"/>
          <w:lang w:val="lt-LT"/>
        </w:rPr>
        <w:t>pacientams</w:t>
      </w:r>
      <w:r w:rsidRPr="006754BA">
        <w:rPr>
          <w:rFonts w:ascii="Times New Roman" w:eastAsia="Calibri" w:hAnsi="Times New Roman" w:cs="Times New Roman"/>
          <w:lang w:val="lt-LT"/>
        </w:rPr>
        <w:t xml:space="preserve">, diabetine nefropatija sergantiems pacientams bei </w:t>
      </w:r>
      <w:r w:rsidR="00847677" w:rsidRPr="00847677">
        <w:rPr>
          <w:rFonts w:ascii="Times New Roman" w:eastAsia="Calibri" w:hAnsi="Times New Roman" w:cs="Times New Roman"/>
          <w:lang w:val="lt-LT"/>
        </w:rPr>
        <w:t>pacientams</w:t>
      </w:r>
      <w:r w:rsidRPr="006754BA">
        <w:rPr>
          <w:rFonts w:ascii="Times New Roman" w:eastAsia="Calibri" w:hAnsi="Times New Roman" w:cs="Times New Roman"/>
          <w:lang w:val="lt-LT"/>
        </w:rPr>
        <w:t>, vartojantiems kitokių toksinį poveikį inkstams sukeliančių vaistų. Inkstų veiklos sutrikimas būna laikinas.</w:t>
      </w:r>
    </w:p>
    <w:p w14:paraId="7BDEB828" w14:textId="77777777" w:rsidR="00EB511D" w:rsidRPr="006754BA" w:rsidRDefault="00EB511D" w:rsidP="006754BA">
      <w:pPr>
        <w:widowControl w:val="0"/>
        <w:numPr>
          <w:ilvl w:val="12"/>
          <w:numId w:val="0"/>
        </w:numPr>
        <w:spacing w:after="0" w:line="240" w:lineRule="auto"/>
        <w:ind w:right="-2"/>
        <w:contextualSpacing/>
        <w:rPr>
          <w:rFonts w:ascii="Times New Roman" w:eastAsia="Calibri" w:hAnsi="Times New Roman" w:cs="Times New Roman"/>
          <w:b/>
          <w:snapToGrid w:val="0"/>
          <w:lang w:val="lt-LT"/>
        </w:rPr>
      </w:pPr>
    </w:p>
    <w:p w14:paraId="2A4BE259" w14:textId="77777777" w:rsidR="00EB511D" w:rsidRPr="006754BA" w:rsidRDefault="00EB511D" w:rsidP="006754BA">
      <w:pPr>
        <w:widowControl w:val="0"/>
        <w:numPr>
          <w:ilvl w:val="12"/>
          <w:numId w:val="0"/>
        </w:numPr>
        <w:spacing w:after="0" w:line="240" w:lineRule="auto"/>
        <w:ind w:right="-2"/>
        <w:contextualSpacing/>
        <w:rPr>
          <w:rFonts w:ascii="Times New Roman" w:eastAsia="Calibri" w:hAnsi="Times New Roman" w:cs="Times New Roman"/>
          <w:lang w:val="lt-LT"/>
        </w:rPr>
      </w:pPr>
      <w:r w:rsidRPr="006754BA">
        <w:rPr>
          <w:rFonts w:ascii="Times New Roman" w:eastAsia="Calibri" w:hAnsi="Times New Roman" w:cs="Times New Roman"/>
          <w:b/>
          <w:snapToGrid w:val="0"/>
          <w:lang w:val="lt-LT"/>
        </w:rPr>
        <w:t>Pranešimas apie šalutinį poveikį</w:t>
      </w:r>
    </w:p>
    <w:p w14:paraId="3C374813" w14:textId="349CB68B" w:rsidR="00EB511D" w:rsidRPr="006754BA" w:rsidRDefault="00847677" w:rsidP="006754BA">
      <w:pPr>
        <w:widowControl w:val="0"/>
        <w:numPr>
          <w:ilvl w:val="12"/>
          <w:numId w:val="0"/>
        </w:numPr>
        <w:spacing w:after="0" w:line="240" w:lineRule="auto"/>
        <w:ind w:right="-2"/>
        <w:contextualSpacing/>
        <w:rPr>
          <w:rFonts w:ascii="Times New Roman" w:eastAsia="Calibri" w:hAnsi="Times New Roman" w:cs="Times New Roman"/>
          <w:lang w:val="lt-LT"/>
        </w:rPr>
      </w:pPr>
      <w:r w:rsidRPr="007C2B59">
        <w:rPr>
          <w:rFonts w:ascii="Times New Roman" w:eastAsia="Calibri" w:hAnsi="Times New Roman" w:cs="Times New Roman"/>
          <w:lang w:val="lt-LT"/>
        </w:rPr>
        <w:t>Jeigu pasireiškė šalutinis poveikis, įskaitant šiame lapelyje nenurodytą, pasakykite gydytojui</w:t>
      </w:r>
      <w:r w:rsidR="00923756">
        <w:rPr>
          <w:rFonts w:ascii="Times New Roman" w:eastAsia="Calibri" w:hAnsi="Times New Roman" w:cs="Times New Roman"/>
          <w:lang w:val="lt-LT"/>
        </w:rPr>
        <w:t>,</w:t>
      </w:r>
      <w:r w:rsidRPr="007C2B59">
        <w:rPr>
          <w:rFonts w:ascii="Times New Roman" w:eastAsia="Calibri" w:hAnsi="Times New Roman" w:cs="Times New Roman"/>
          <w:lang w:val="lt-LT"/>
        </w:rPr>
        <w:t xml:space="preserve">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EB511D" w:rsidRPr="006754BA">
        <w:rPr>
          <w:rFonts w:ascii="Times New Roman" w:eastAsia="Calibri" w:hAnsi="Times New Roman" w:cs="Times New Roman"/>
          <w:snapToGrid w:val="0"/>
          <w:lang w:val="lt-LT"/>
        </w:rPr>
        <w:t>.</w:t>
      </w:r>
    </w:p>
    <w:p w14:paraId="2FD4CF47" w14:textId="77777777" w:rsidR="00EB511D" w:rsidRPr="006754BA" w:rsidRDefault="00EB511D" w:rsidP="006754BA">
      <w:pPr>
        <w:widowControl w:val="0"/>
        <w:numPr>
          <w:ilvl w:val="12"/>
          <w:numId w:val="0"/>
        </w:numPr>
        <w:spacing w:after="0" w:line="240" w:lineRule="auto"/>
        <w:ind w:right="-2"/>
        <w:contextualSpacing/>
        <w:rPr>
          <w:rFonts w:ascii="Times New Roman" w:eastAsia="Calibri" w:hAnsi="Times New Roman" w:cs="Times New Roman"/>
          <w:lang w:val="lt-LT"/>
        </w:rPr>
      </w:pPr>
    </w:p>
    <w:p w14:paraId="4A6C225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16E0061"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r w:rsidRPr="006754BA">
        <w:rPr>
          <w:rFonts w:ascii="Times New Roman" w:eastAsia="Calibri" w:hAnsi="Times New Roman" w:cs="Times New Roman"/>
          <w:b/>
          <w:lang w:val="lt-LT"/>
        </w:rPr>
        <w:t>5.</w:t>
      </w:r>
      <w:r w:rsidRPr="006754BA">
        <w:rPr>
          <w:rFonts w:ascii="Times New Roman" w:eastAsia="Calibri" w:hAnsi="Times New Roman" w:cs="Times New Roman"/>
          <w:b/>
          <w:lang w:val="lt-LT"/>
        </w:rPr>
        <w:tab/>
        <w:t>Kaip laikyti Gentamicin Krka</w:t>
      </w:r>
    </w:p>
    <w:p w14:paraId="6411597C"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lang w:val="lt-LT"/>
        </w:rPr>
      </w:pPr>
    </w:p>
    <w:p w14:paraId="08A2D87F"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lang w:val="lt-LT"/>
        </w:rPr>
        <w:t>Šį vaistą laikykite vaikams nepastebimoje ir nepasiekiamoje vietoje.</w:t>
      </w:r>
    </w:p>
    <w:p w14:paraId="6A582992" w14:textId="77777777" w:rsidR="002977D6" w:rsidRPr="006754BA" w:rsidDel="00B80F04" w:rsidRDefault="002977D6" w:rsidP="006754BA">
      <w:pPr>
        <w:widowControl w:val="0"/>
        <w:numPr>
          <w:ilvl w:val="12"/>
          <w:numId w:val="0"/>
        </w:numPr>
        <w:tabs>
          <w:tab w:val="left" w:pos="567"/>
          <w:tab w:val="left" w:pos="8505"/>
        </w:tabs>
        <w:spacing w:after="0" w:line="240" w:lineRule="auto"/>
        <w:ind w:right="-2"/>
        <w:contextualSpacing/>
        <w:outlineLvl w:val="0"/>
        <w:rPr>
          <w:rFonts w:ascii="Times New Roman" w:eastAsia="Times New Roman" w:hAnsi="Times New Roman" w:cs="Times New Roman"/>
          <w:lang w:val="lt-LT" w:eastAsia="sl-SI"/>
        </w:rPr>
      </w:pPr>
    </w:p>
    <w:p w14:paraId="533FB109" w14:textId="477FF1B2"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lang w:val="lt-LT"/>
        </w:rPr>
        <w:t>Ant dėžutės po „Tinka iki</w:t>
      </w:r>
      <w:r w:rsidR="00520B0F" w:rsidRPr="006754BA">
        <w:rPr>
          <w:rFonts w:ascii="Times New Roman" w:eastAsia="Calibri" w:hAnsi="Times New Roman" w:cs="Times New Roman"/>
          <w:lang w:val="lt-LT"/>
        </w:rPr>
        <w:t>/EXP</w:t>
      </w:r>
      <w:r w:rsidRPr="006754BA">
        <w:rPr>
          <w:rFonts w:ascii="Times New Roman" w:eastAsia="Times New Roman" w:hAnsi="Times New Roman" w:cs="Times New Roman"/>
          <w:lang w:val="lt-LT" w:eastAsia="sl-SI"/>
        </w:rPr>
        <w:t>“ ir ampulės</w:t>
      </w:r>
      <w:r w:rsidRPr="006754BA">
        <w:rPr>
          <w:rFonts w:ascii="Times New Roman" w:eastAsia="Calibri" w:hAnsi="Times New Roman" w:cs="Times New Roman"/>
          <w:lang w:val="lt-LT"/>
        </w:rPr>
        <w:t xml:space="preserve"> nurodytam tinkamumo laikui pasibaigus, šio vaisto vartoti negalima. Vaistas tinkamas vartoti iki paskutinės nurodyto mėnesio dienos.</w:t>
      </w:r>
    </w:p>
    <w:p w14:paraId="4D778ECB"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p>
    <w:p w14:paraId="7EADEA7E" w14:textId="7E516265"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r w:rsidRPr="006754BA">
        <w:rPr>
          <w:rFonts w:ascii="Times New Roman" w:eastAsia="Calibri" w:hAnsi="Times New Roman" w:cs="Times New Roman"/>
          <w:lang w:val="lt-LT"/>
        </w:rPr>
        <w:t>Laikyti ne aukštesnėje kaip 25 </w:t>
      </w:r>
      <w:r w:rsidRPr="006754BA">
        <w:rPr>
          <w:rFonts w:ascii="Times New Roman" w:eastAsia="Calibri" w:hAnsi="Times New Roman" w:cs="Times New Roman"/>
          <w:lang w:val="lt-LT"/>
        </w:rPr>
        <w:sym w:font="Symbol" w:char="F0B0"/>
      </w:r>
      <w:r w:rsidR="00520B0F" w:rsidRPr="006754BA">
        <w:rPr>
          <w:rFonts w:ascii="Times New Roman" w:eastAsia="Calibri" w:hAnsi="Times New Roman" w:cs="Times New Roman"/>
          <w:lang w:val="lt-LT"/>
        </w:rPr>
        <w:t>C temperatūroje</w:t>
      </w:r>
      <w:r w:rsidR="00BE11AE" w:rsidRPr="006754BA">
        <w:rPr>
          <w:rFonts w:ascii="Times New Roman" w:eastAsia="Calibri" w:hAnsi="Times New Roman" w:cs="Times New Roman"/>
          <w:lang w:val="lt-LT"/>
        </w:rPr>
        <w:t>. Laikyti</w:t>
      </w:r>
      <w:r w:rsidR="00520B0F" w:rsidRPr="006754BA">
        <w:rPr>
          <w:rFonts w:ascii="Times New Roman" w:eastAsia="Calibri" w:hAnsi="Times New Roman" w:cs="Times New Roman"/>
          <w:lang w:val="lt-LT"/>
        </w:rPr>
        <w:t xml:space="preserve"> gamintojo pakuotėje. </w:t>
      </w:r>
    </w:p>
    <w:p w14:paraId="7109E16D"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lang w:val="lt-LT"/>
        </w:rPr>
      </w:pPr>
    </w:p>
    <w:p w14:paraId="231A03F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3816EDD4"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p>
    <w:p w14:paraId="62AEA259"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b/>
          <w:lang w:val="lt-LT"/>
        </w:rPr>
      </w:pPr>
    </w:p>
    <w:p w14:paraId="6097235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lang w:val="lt-LT"/>
        </w:rPr>
      </w:pPr>
      <w:r w:rsidRPr="006754BA">
        <w:rPr>
          <w:rFonts w:ascii="Times New Roman" w:eastAsia="Calibri" w:hAnsi="Times New Roman" w:cs="Times New Roman"/>
          <w:b/>
          <w:lang w:val="lt-LT"/>
        </w:rPr>
        <w:t>6.</w:t>
      </w:r>
      <w:r w:rsidRPr="006754BA">
        <w:rPr>
          <w:rFonts w:ascii="Times New Roman" w:eastAsia="Calibri" w:hAnsi="Times New Roman" w:cs="Times New Roman"/>
          <w:b/>
          <w:lang w:val="lt-LT"/>
        </w:rPr>
        <w:tab/>
        <w:t>Pakuotės turinys ir kita informacija</w:t>
      </w:r>
    </w:p>
    <w:p w14:paraId="2133E034"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bCs/>
          <w:lang w:val="lt-LT"/>
        </w:rPr>
      </w:pPr>
    </w:p>
    <w:p w14:paraId="5E2D00AF"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bCs/>
          <w:lang w:val="lt-LT"/>
        </w:rPr>
      </w:pPr>
      <w:r w:rsidRPr="006754BA">
        <w:rPr>
          <w:rFonts w:ascii="Times New Roman" w:eastAsia="Calibri" w:hAnsi="Times New Roman" w:cs="Times New Roman"/>
          <w:b/>
          <w:bCs/>
          <w:lang w:val="lt-LT"/>
        </w:rPr>
        <w:t>Gentamicin Krka sudėtis</w:t>
      </w:r>
    </w:p>
    <w:p w14:paraId="7F801296" w14:textId="7B13CCC8" w:rsidR="002977D6" w:rsidRPr="006754BA" w:rsidRDefault="002977D6" w:rsidP="006754BA">
      <w:pPr>
        <w:widowControl w:val="0"/>
        <w:numPr>
          <w:ilvl w:val="0"/>
          <w:numId w:val="35"/>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Veiklioji medžiaga yra </w:t>
      </w:r>
      <w:r w:rsidRPr="006754BA">
        <w:rPr>
          <w:rFonts w:ascii="Times New Roman" w:eastAsia="Calibri" w:hAnsi="Times New Roman" w:cs="Times New Roman"/>
          <w:lang w:val="lt-LT" w:eastAsia="sl-SI"/>
        </w:rPr>
        <w:t>gentamicinas.</w:t>
      </w:r>
      <w:r w:rsidRPr="006754BA">
        <w:rPr>
          <w:rFonts w:ascii="Times New Roman" w:eastAsia="Calibri" w:hAnsi="Times New Roman" w:cs="Times New Roman"/>
          <w:lang w:val="lt-LT"/>
        </w:rPr>
        <w:t xml:space="preserve"> </w:t>
      </w:r>
      <w:r w:rsidR="00923756" w:rsidRPr="006754BA">
        <w:rPr>
          <w:rFonts w:ascii="Times New Roman" w:eastAsia="Calibri" w:hAnsi="Times New Roman" w:cs="Times New Roman"/>
          <w:lang w:val="lt-LT"/>
        </w:rPr>
        <w:t>2</w:t>
      </w:r>
      <w:r w:rsidR="00923756">
        <w:rPr>
          <w:rFonts w:ascii="Times New Roman" w:eastAsia="Calibri" w:hAnsi="Times New Roman" w:cs="Times New Roman"/>
          <w:lang w:val="lt-LT"/>
        </w:rPr>
        <w:t> </w:t>
      </w:r>
      <w:r w:rsidRPr="006754BA">
        <w:rPr>
          <w:rFonts w:ascii="Times New Roman" w:eastAsia="Calibri" w:hAnsi="Times New Roman" w:cs="Times New Roman"/>
          <w:lang w:val="lt-LT"/>
        </w:rPr>
        <w:t xml:space="preserve">ml </w:t>
      </w:r>
      <w:r w:rsidRPr="006754BA">
        <w:rPr>
          <w:rFonts w:ascii="Times New Roman" w:eastAsia="Calibri" w:hAnsi="Times New Roman" w:cs="Times New Roman"/>
          <w:lang w:val="lt-LT" w:eastAsia="sl-SI"/>
        </w:rPr>
        <w:t xml:space="preserve">injekcinio ar infuzinio </w:t>
      </w:r>
      <w:r w:rsidRPr="006754BA">
        <w:rPr>
          <w:rFonts w:ascii="Times New Roman" w:eastAsia="Calibri" w:hAnsi="Times New Roman" w:cs="Times New Roman"/>
          <w:lang w:val="lt-LT"/>
        </w:rPr>
        <w:t xml:space="preserve">tirpalo (ampulėje) yra 80 mg gentamicino </w:t>
      </w:r>
      <w:r w:rsidRPr="006754BA">
        <w:rPr>
          <w:rFonts w:ascii="Times New Roman" w:eastAsia="Calibri" w:hAnsi="Times New Roman" w:cs="Times New Roman"/>
          <w:lang w:val="lt-LT" w:eastAsia="sl-SI"/>
        </w:rPr>
        <w:t xml:space="preserve">(gentamicino </w:t>
      </w:r>
      <w:r w:rsidRPr="006754BA">
        <w:rPr>
          <w:rFonts w:ascii="Times New Roman" w:eastAsia="Calibri" w:hAnsi="Times New Roman" w:cs="Times New Roman"/>
          <w:lang w:val="lt-LT"/>
        </w:rPr>
        <w:t>sulfato</w:t>
      </w:r>
      <w:r w:rsidRPr="006754BA">
        <w:rPr>
          <w:rFonts w:ascii="Times New Roman" w:eastAsia="Calibri" w:hAnsi="Times New Roman" w:cs="Times New Roman"/>
          <w:lang w:val="lt-LT" w:eastAsia="sl-SI"/>
        </w:rPr>
        <w:t xml:space="preserve"> pavidalu).</w:t>
      </w:r>
    </w:p>
    <w:p w14:paraId="6F55FC9A" w14:textId="77777777" w:rsidR="002977D6" w:rsidRDefault="002977D6" w:rsidP="006754BA">
      <w:pPr>
        <w:widowControl w:val="0"/>
        <w:numPr>
          <w:ilvl w:val="0"/>
          <w:numId w:val="35"/>
        </w:numPr>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Pagalbinės medžiagos yra metilo parahidroksibenzoatas (E218), propilo parahidroksibenzoatas (E216), dinatrio edetatas, natrio metabisulfitas (E223), injekcinis vanduo.</w:t>
      </w:r>
    </w:p>
    <w:p w14:paraId="6F0D09ED" w14:textId="1ABD011B" w:rsidR="005456D7" w:rsidRPr="006754BA" w:rsidRDefault="005456D7" w:rsidP="00DC29C1">
      <w:pPr>
        <w:widowControl w:val="0"/>
        <w:spacing w:after="0" w:line="240" w:lineRule="auto"/>
        <w:contextualSpacing/>
        <w:rPr>
          <w:rFonts w:ascii="Times New Roman" w:eastAsia="Calibri" w:hAnsi="Times New Roman" w:cs="Times New Roman"/>
          <w:lang w:val="lt-LT"/>
        </w:rPr>
      </w:pPr>
      <w:r w:rsidRPr="0002111E">
        <w:rPr>
          <w:rFonts w:ascii="Times New Roman" w:eastAsia="Calibri" w:hAnsi="Times New Roman" w:cs="Times New Roman"/>
          <w:lang w:val="lt-LT"/>
        </w:rPr>
        <w:t xml:space="preserve">Žr. 2 skyrių </w:t>
      </w:r>
      <w:r>
        <w:rPr>
          <w:rFonts w:ascii="Times New Roman" w:eastAsia="Calibri" w:hAnsi="Times New Roman" w:cs="Times New Roman"/>
          <w:lang w:val="lt-LT"/>
        </w:rPr>
        <w:t>„</w:t>
      </w:r>
      <w:r w:rsidRPr="0002111E">
        <w:rPr>
          <w:rFonts w:ascii="Times New Roman" w:eastAsia="Calibri" w:hAnsi="Times New Roman" w:cs="Times New Roman"/>
          <w:lang w:val="lt-LT"/>
        </w:rPr>
        <w:t>Gentamicin Krka sudėtyje yra metilo parahidroksibenzoato (E218), propilo parahidroksibenzoato (E216), natrio metabisulfito (E223) ir natrio</w:t>
      </w:r>
      <w:r>
        <w:rPr>
          <w:rFonts w:ascii="Times New Roman" w:eastAsia="Calibri" w:hAnsi="Times New Roman" w:cs="Times New Roman"/>
          <w:lang w:val="lt-LT"/>
        </w:rPr>
        <w:t>“</w:t>
      </w:r>
      <w:r w:rsidRPr="0002111E">
        <w:rPr>
          <w:rFonts w:ascii="Times New Roman" w:eastAsia="Calibri" w:hAnsi="Times New Roman" w:cs="Times New Roman"/>
          <w:lang w:val="lt-LT"/>
        </w:rPr>
        <w:t>.</w:t>
      </w:r>
    </w:p>
    <w:p w14:paraId="50C88061"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lang w:val="lt-LT"/>
        </w:rPr>
      </w:pPr>
    </w:p>
    <w:p w14:paraId="36F1DA63"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b/>
          <w:bCs/>
          <w:lang w:val="lt-LT"/>
        </w:rPr>
      </w:pPr>
      <w:r w:rsidRPr="006754BA">
        <w:rPr>
          <w:rFonts w:ascii="Times New Roman" w:eastAsia="Calibri" w:hAnsi="Times New Roman" w:cs="Times New Roman"/>
          <w:b/>
          <w:bCs/>
          <w:lang w:val="lt-LT"/>
        </w:rPr>
        <w:t>Gentamicin Krka išvaizda ir kiekis pakuotėje</w:t>
      </w:r>
    </w:p>
    <w:p w14:paraId="7753D6F0"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Gentamicin Krka injekcinis</w:t>
      </w:r>
      <w:r w:rsidRPr="006754BA">
        <w:rPr>
          <w:rFonts w:ascii="Times New Roman" w:eastAsia="Times New Roman" w:hAnsi="Times New Roman" w:cs="Times New Roman"/>
          <w:lang w:val="lt-LT" w:eastAsia="sl-SI"/>
        </w:rPr>
        <w:t xml:space="preserve"> ar </w:t>
      </w:r>
      <w:r w:rsidRPr="006754BA">
        <w:rPr>
          <w:rFonts w:ascii="Times New Roman" w:eastAsia="Calibri" w:hAnsi="Times New Roman" w:cs="Times New Roman"/>
          <w:lang w:val="lt-LT"/>
        </w:rPr>
        <w:t>infuzinis tirpalas yra bespalvis ar gelsvos spalvos, skaidrus tirpalas.</w:t>
      </w:r>
    </w:p>
    <w:p w14:paraId="6669A042" w14:textId="0AD3DA45"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Dėžutėje yra 10 ampulių po 2 ml (ampulė yra skaidraus stiklo, ant kurios yra raudonas taškas ir </w:t>
      </w:r>
      <w:r w:rsidR="00520B0F" w:rsidRPr="006754BA">
        <w:rPr>
          <w:rFonts w:ascii="Times New Roman" w:eastAsia="Calibri" w:hAnsi="Times New Roman" w:cs="Times New Roman"/>
          <w:lang w:val="lt-LT"/>
        </w:rPr>
        <w:t>raudonas</w:t>
      </w:r>
      <w:r w:rsidRPr="006754BA">
        <w:rPr>
          <w:rFonts w:ascii="Times New Roman" w:eastAsia="Calibri" w:hAnsi="Times New Roman" w:cs="Times New Roman"/>
          <w:lang w:val="lt-LT"/>
        </w:rPr>
        <w:t xml:space="preserve"> žiedas) injekcinio</w:t>
      </w:r>
      <w:r w:rsidRPr="006754BA">
        <w:rPr>
          <w:rFonts w:ascii="Times New Roman" w:eastAsia="Times New Roman" w:hAnsi="Times New Roman" w:cs="Times New Roman"/>
          <w:lang w:val="lt-LT" w:eastAsia="sl-SI"/>
        </w:rPr>
        <w:t xml:space="preserve"> ar</w:t>
      </w:r>
      <w:r w:rsidRPr="006754BA">
        <w:rPr>
          <w:rFonts w:ascii="Times New Roman" w:eastAsia="Calibri" w:hAnsi="Times New Roman" w:cs="Times New Roman"/>
          <w:lang w:val="lt-LT"/>
        </w:rPr>
        <w:t xml:space="preserve"> infuzinio tirpalo (80 mg/2 ml).</w:t>
      </w:r>
    </w:p>
    <w:p w14:paraId="7D35F38B" w14:textId="3E592B1A"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13B3D204" w14:textId="77777777" w:rsidR="00EB511D" w:rsidRDefault="00EB511D" w:rsidP="006754BA">
      <w:pPr>
        <w:widowControl w:val="0"/>
        <w:numPr>
          <w:ilvl w:val="12"/>
          <w:numId w:val="0"/>
        </w:numPr>
        <w:spacing w:after="0" w:line="240" w:lineRule="auto"/>
        <w:ind w:left="540" w:right="-2" w:hanging="540"/>
        <w:contextualSpacing/>
        <w:rPr>
          <w:rFonts w:ascii="Times New Roman" w:eastAsia="Calibri" w:hAnsi="Times New Roman" w:cs="Times New Roman"/>
          <w:b/>
          <w:lang w:val="lt-LT"/>
        </w:rPr>
      </w:pPr>
    </w:p>
    <w:p w14:paraId="2BF9E7A2" w14:textId="77777777" w:rsidR="0002111E" w:rsidRPr="006754BA" w:rsidRDefault="0002111E" w:rsidP="006754BA">
      <w:pPr>
        <w:widowControl w:val="0"/>
        <w:numPr>
          <w:ilvl w:val="12"/>
          <w:numId w:val="0"/>
        </w:numPr>
        <w:spacing w:after="0" w:line="240" w:lineRule="auto"/>
        <w:ind w:left="540" w:right="-2" w:hanging="540"/>
        <w:contextualSpacing/>
        <w:rPr>
          <w:rFonts w:ascii="Times New Roman" w:eastAsia="Calibri" w:hAnsi="Times New Roman" w:cs="Times New Roman"/>
          <w:b/>
          <w:lang w:val="lt-LT"/>
        </w:rPr>
      </w:pPr>
    </w:p>
    <w:p w14:paraId="12C63E2E" w14:textId="14E2B640" w:rsidR="0083348D" w:rsidRPr="006754BA" w:rsidRDefault="00432BAB" w:rsidP="006754BA">
      <w:pPr>
        <w:tabs>
          <w:tab w:val="left" w:pos="567"/>
        </w:tabs>
        <w:spacing w:after="0" w:line="240" w:lineRule="auto"/>
        <w:contextualSpacing/>
        <w:outlineLvl w:val="0"/>
        <w:rPr>
          <w:rFonts w:ascii="Times New Roman" w:hAnsi="Times New Roman" w:cs="Times New Roman"/>
          <w:b/>
          <w:lang w:val="lt-LT"/>
        </w:rPr>
      </w:pPr>
      <w:r w:rsidRPr="006754BA">
        <w:rPr>
          <w:rFonts w:ascii="Times New Roman" w:hAnsi="Times New Roman" w:cs="Times New Roman"/>
          <w:b/>
          <w:lang w:val="lt-LT"/>
        </w:rPr>
        <w:t xml:space="preserve">Registruotojas </w:t>
      </w:r>
      <w:r w:rsidR="00EB511D" w:rsidRPr="006754BA">
        <w:rPr>
          <w:rFonts w:ascii="Times New Roman" w:hAnsi="Times New Roman" w:cs="Times New Roman"/>
          <w:b/>
          <w:lang w:val="lt-LT"/>
        </w:rPr>
        <w:t>ir gamintojas</w:t>
      </w:r>
      <w:r w:rsidR="00E9000B" w:rsidRPr="006754BA">
        <w:rPr>
          <w:rFonts w:ascii="Times New Roman" w:hAnsi="Times New Roman" w:cs="Times New Roman"/>
          <w:b/>
          <w:lang w:val="lt-LT"/>
        </w:rPr>
        <w:t xml:space="preserve"> </w:t>
      </w:r>
      <w:r w:rsidR="00E9000B" w:rsidRPr="006754BA">
        <w:rPr>
          <w:rFonts w:ascii="Times New Roman" w:eastAsia="Times New Roman" w:hAnsi="Times New Roman" w:cs="Times New Roman"/>
          <w:b/>
          <w:lang w:val="lt-LT" w:eastAsia="lt-LT"/>
        </w:rPr>
        <w:t>eksportuojančioje valstybėje</w:t>
      </w:r>
    </w:p>
    <w:p w14:paraId="27F7A288" w14:textId="6F93662D" w:rsidR="003815D8" w:rsidRPr="006754BA" w:rsidRDefault="00D50BFB" w:rsidP="006754BA">
      <w:pPr>
        <w:widowControl w:val="0"/>
        <w:spacing w:after="0" w:line="240" w:lineRule="auto"/>
        <w:ind w:left="567" w:hanging="567"/>
        <w:contextualSpacing/>
        <w:rPr>
          <w:rFonts w:ascii="Times New Roman" w:eastAsia="Calibri" w:hAnsi="Times New Roman" w:cs="Times New Roman"/>
          <w:lang w:val="lt-LT"/>
        </w:rPr>
      </w:pPr>
      <w:r w:rsidRPr="006754BA">
        <w:rPr>
          <w:rFonts w:ascii="Times New Roman" w:eastAsia="Times New Roman" w:hAnsi="Times New Roman" w:cs="Times New Roman"/>
          <w:lang w:val="lt-LT" w:eastAsia="sl-SI"/>
        </w:rPr>
        <w:t>Krka</w:t>
      </w:r>
      <w:r w:rsidR="003815D8" w:rsidRPr="006754BA">
        <w:rPr>
          <w:rFonts w:ascii="Times New Roman" w:eastAsia="Calibri" w:hAnsi="Times New Roman" w:cs="Times New Roman"/>
          <w:lang w:val="lt-LT"/>
        </w:rPr>
        <w:t>, d.d., Novo mesto</w:t>
      </w:r>
    </w:p>
    <w:p w14:paraId="6222F95F" w14:textId="41A41023" w:rsidR="003815D8" w:rsidRPr="006754BA" w:rsidRDefault="003815D8" w:rsidP="006754BA">
      <w:pPr>
        <w:widowControl w:val="0"/>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Šmarješka cesta 6</w:t>
      </w:r>
    </w:p>
    <w:p w14:paraId="72C593AA" w14:textId="77777777" w:rsidR="003815D8" w:rsidRPr="006754BA" w:rsidRDefault="003815D8" w:rsidP="006754BA">
      <w:pPr>
        <w:widowControl w:val="0"/>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8501 Novo mesto</w:t>
      </w:r>
    </w:p>
    <w:p w14:paraId="20BEDF04" w14:textId="77777777" w:rsidR="003815D8" w:rsidRPr="006754BA" w:rsidRDefault="003815D8" w:rsidP="006754BA">
      <w:pPr>
        <w:widowControl w:val="0"/>
        <w:spacing w:after="0" w:line="240" w:lineRule="auto"/>
        <w:ind w:left="567" w:hanging="567"/>
        <w:contextualSpacing/>
        <w:rPr>
          <w:rFonts w:ascii="Times New Roman" w:eastAsia="Calibri" w:hAnsi="Times New Roman" w:cs="Times New Roman"/>
          <w:lang w:val="lt-LT"/>
        </w:rPr>
      </w:pPr>
      <w:r w:rsidRPr="006754BA">
        <w:rPr>
          <w:rFonts w:ascii="Times New Roman" w:eastAsia="Calibri" w:hAnsi="Times New Roman" w:cs="Times New Roman"/>
          <w:lang w:val="lt-LT"/>
        </w:rPr>
        <w:t>Slovėnija</w:t>
      </w:r>
    </w:p>
    <w:p w14:paraId="200F4C78" w14:textId="37BE6830" w:rsidR="008D3860" w:rsidRPr="00DC29C1" w:rsidRDefault="008D3860" w:rsidP="006754BA">
      <w:pPr>
        <w:spacing w:after="0" w:line="240" w:lineRule="auto"/>
        <w:contextualSpacing/>
        <w:rPr>
          <w:rFonts w:ascii="Times New Roman" w:hAnsi="Times New Roman" w:cs="Times New Roman"/>
          <w:lang w:val="lt-LT"/>
        </w:rPr>
      </w:pPr>
    </w:p>
    <w:p w14:paraId="51891787" w14:textId="77777777" w:rsidR="00C56DAC" w:rsidRPr="006754BA" w:rsidRDefault="00C56DAC" w:rsidP="006754BA">
      <w:pPr>
        <w:pStyle w:val="BodyText"/>
        <w:spacing w:after="0"/>
        <w:contextualSpacing/>
        <w:rPr>
          <w:b/>
          <w:szCs w:val="22"/>
        </w:rPr>
      </w:pPr>
      <w:r w:rsidRPr="006754BA">
        <w:rPr>
          <w:b/>
          <w:szCs w:val="22"/>
        </w:rPr>
        <w:t>Lygiagretus importuotojas</w:t>
      </w:r>
    </w:p>
    <w:p w14:paraId="13586672" w14:textId="77777777" w:rsidR="00C56DAC" w:rsidRPr="006754BA" w:rsidRDefault="00C56DAC" w:rsidP="006754BA">
      <w:pPr>
        <w:pStyle w:val="BodyText"/>
        <w:spacing w:after="0"/>
        <w:contextualSpacing/>
        <w:rPr>
          <w:szCs w:val="22"/>
        </w:rPr>
      </w:pPr>
      <w:r w:rsidRPr="006754BA">
        <w:rPr>
          <w:szCs w:val="22"/>
        </w:rPr>
        <w:t>UAB ,,Limedika“</w:t>
      </w:r>
    </w:p>
    <w:p w14:paraId="0CB0E59D" w14:textId="77777777" w:rsidR="0002111E" w:rsidRPr="00660F13" w:rsidRDefault="0002111E" w:rsidP="0002111E">
      <w:pPr>
        <w:pStyle w:val="BodyText"/>
        <w:spacing w:after="0"/>
        <w:contextualSpacing/>
        <w:rPr>
          <w:szCs w:val="22"/>
        </w:rPr>
      </w:pPr>
      <w:r w:rsidRPr="00660F13">
        <w:rPr>
          <w:szCs w:val="22"/>
        </w:rPr>
        <w:t>Erdvės g. 2</w:t>
      </w:r>
    </w:p>
    <w:p w14:paraId="796570D4" w14:textId="77777777" w:rsidR="0002111E" w:rsidRPr="00660F13" w:rsidRDefault="0002111E" w:rsidP="0002111E">
      <w:pPr>
        <w:pStyle w:val="BodyText"/>
        <w:spacing w:after="0"/>
        <w:contextualSpacing/>
        <w:rPr>
          <w:szCs w:val="22"/>
        </w:rPr>
      </w:pPr>
      <w:r w:rsidRPr="00660F13">
        <w:rPr>
          <w:szCs w:val="22"/>
        </w:rPr>
        <w:t>Ramučių k., Karmėlavos sen.</w:t>
      </w:r>
    </w:p>
    <w:p w14:paraId="43A66914" w14:textId="77777777" w:rsidR="0002111E" w:rsidRPr="00ED4985" w:rsidRDefault="0002111E" w:rsidP="0002111E">
      <w:pPr>
        <w:pStyle w:val="BodyText"/>
        <w:spacing w:after="0"/>
        <w:contextualSpacing/>
        <w:rPr>
          <w:szCs w:val="22"/>
        </w:rPr>
      </w:pPr>
      <w:r w:rsidRPr="00660F13">
        <w:rPr>
          <w:szCs w:val="22"/>
        </w:rPr>
        <w:t>LT-52114 Kauno r. sav.</w:t>
      </w:r>
    </w:p>
    <w:p w14:paraId="6DD42118" w14:textId="3BDF4A7F" w:rsidR="00C56DAC" w:rsidRPr="006754BA" w:rsidRDefault="00C56DAC" w:rsidP="006754BA">
      <w:pPr>
        <w:pStyle w:val="BodyText"/>
        <w:spacing w:after="0"/>
        <w:contextualSpacing/>
        <w:rPr>
          <w:szCs w:val="22"/>
        </w:rPr>
      </w:pPr>
      <w:r w:rsidRPr="006754BA">
        <w:rPr>
          <w:szCs w:val="22"/>
        </w:rPr>
        <w:t>Lietuva</w:t>
      </w:r>
    </w:p>
    <w:p w14:paraId="7E068176" w14:textId="77777777" w:rsidR="00C56DAC" w:rsidRPr="006754BA" w:rsidRDefault="00C56DAC" w:rsidP="006754BA">
      <w:pPr>
        <w:pStyle w:val="BodyText"/>
        <w:spacing w:after="0"/>
        <w:contextualSpacing/>
        <w:rPr>
          <w:szCs w:val="22"/>
        </w:rPr>
      </w:pPr>
      <w:bookmarkStart w:id="9" w:name="_GoBack"/>
      <w:bookmarkEnd w:id="9"/>
    </w:p>
    <w:p w14:paraId="4EF88CD5" w14:textId="15F95CDE" w:rsidR="004A42D7" w:rsidRPr="006754BA" w:rsidRDefault="004A42D7" w:rsidP="006754BA">
      <w:pPr>
        <w:pStyle w:val="BodyText"/>
        <w:spacing w:after="0"/>
        <w:contextualSpacing/>
        <w:rPr>
          <w:b/>
          <w:szCs w:val="22"/>
        </w:rPr>
      </w:pPr>
    </w:p>
    <w:p w14:paraId="43F3CBC9" w14:textId="046AA4B4" w:rsidR="0094557B" w:rsidRPr="006754BA" w:rsidRDefault="0094557B" w:rsidP="006754BA">
      <w:pPr>
        <w:pStyle w:val="BodyText"/>
        <w:spacing w:after="0"/>
        <w:contextualSpacing/>
        <w:rPr>
          <w:b/>
          <w:szCs w:val="22"/>
        </w:rPr>
      </w:pPr>
      <w:r w:rsidRPr="006754BA">
        <w:rPr>
          <w:b/>
          <w:szCs w:val="22"/>
        </w:rPr>
        <w:t xml:space="preserve">Šis pakuotės lapelis paskutinį kartą peržiūrėtas </w:t>
      </w:r>
      <w:r w:rsidR="00DC29C1">
        <w:rPr>
          <w:b/>
          <w:szCs w:val="22"/>
        </w:rPr>
        <w:t>2024-05-06.</w:t>
      </w:r>
    </w:p>
    <w:p w14:paraId="7ADDB981" w14:textId="77777777" w:rsidR="008F568E" w:rsidRPr="006754BA" w:rsidRDefault="008F568E">
      <w:pPr>
        <w:pStyle w:val="BTEMEASMCA"/>
      </w:pPr>
    </w:p>
    <w:p w14:paraId="71D86E33" w14:textId="047D51C4" w:rsidR="00445CFD" w:rsidRPr="006754BA" w:rsidRDefault="0094557B">
      <w:pPr>
        <w:pStyle w:val="BTEMEASMCA"/>
        <w:rPr>
          <w:rStyle w:val="Hyperlink"/>
          <w:color w:val="auto"/>
          <w:u w:val="none"/>
        </w:rPr>
      </w:pPr>
      <w:r w:rsidRPr="006754BA">
        <w:t xml:space="preserve">Išsami informacija apie šį vaistą pateikiama Valstybinės vaistų kontrolės tarnybos prie Lietuvos Respublikos sveikatos apsaugos ministerijos tinklalapyje </w:t>
      </w:r>
      <w:hyperlink r:id="rId8" w:history="1">
        <w:r w:rsidRPr="006754BA">
          <w:rPr>
            <w:rStyle w:val="Hyperlink"/>
          </w:rPr>
          <w:t>http://www.vvkt.lt/</w:t>
        </w:r>
      </w:hyperlink>
      <w:r w:rsidR="000E75ED" w:rsidRPr="005A34FD">
        <w:rPr>
          <w:rStyle w:val="Hyperlink"/>
          <w:color w:val="auto"/>
          <w:u w:val="none"/>
        </w:rPr>
        <w:t>.</w:t>
      </w:r>
    </w:p>
    <w:p w14:paraId="75DD0AF2" w14:textId="77777777" w:rsidR="000831AA" w:rsidRPr="006754BA" w:rsidRDefault="000831AA">
      <w:pPr>
        <w:pStyle w:val="BTEMEASMCA"/>
        <w:rPr>
          <w:rStyle w:val="Hyperlink"/>
          <w:color w:val="auto"/>
          <w:u w:val="none"/>
        </w:rPr>
      </w:pPr>
    </w:p>
    <w:p w14:paraId="6AF64622" w14:textId="11904886" w:rsidR="00520B0F" w:rsidRPr="006754BA" w:rsidRDefault="00520B0F" w:rsidP="006754BA">
      <w:pPr>
        <w:spacing w:after="0" w:line="240" w:lineRule="auto"/>
        <w:contextualSpacing/>
        <w:rPr>
          <w:rFonts w:ascii="Times New Roman" w:eastAsia="Times New Roman" w:hAnsi="Times New Roman" w:cs="Times New Roman"/>
          <w:i/>
          <w:lang w:val="lt-LT" w:eastAsia="lt-LT"/>
        </w:rPr>
      </w:pPr>
      <w:r w:rsidRPr="006754BA">
        <w:rPr>
          <w:rFonts w:ascii="Times New Roman" w:eastAsia="Times New Roman" w:hAnsi="Times New Roman" w:cs="Times New Roman"/>
          <w:i/>
          <w:lang w:val="lt-LT" w:eastAsia="lt-LT"/>
        </w:rPr>
        <w:t xml:space="preserve">Lygiagrečiai importuojamas vaistas skiriasi nuo referencinio vaisto laikymo sąlygomis: lygiagrečiai importuojamą vaistą rekomenduojama laikyti ne aukštesnėje kaip 25 °C temperatūroje gamintojo pakuotėje, referencinį vaistą rekomenduojama laikyti ne aukštesnėje kaip </w:t>
      </w:r>
      <w:r w:rsidR="005A34FD" w:rsidRPr="006754BA">
        <w:rPr>
          <w:rFonts w:ascii="Times New Roman" w:eastAsia="Times New Roman" w:hAnsi="Times New Roman" w:cs="Times New Roman"/>
          <w:i/>
          <w:lang w:val="lt-LT" w:eastAsia="lt-LT"/>
        </w:rPr>
        <w:t>25</w:t>
      </w:r>
      <w:r w:rsidR="005A34FD">
        <w:rPr>
          <w:rFonts w:ascii="Times New Roman" w:eastAsia="Times New Roman" w:hAnsi="Times New Roman" w:cs="Times New Roman"/>
          <w:i/>
          <w:lang w:val="lt-LT" w:eastAsia="lt-LT"/>
        </w:rPr>
        <w:t> </w:t>
      </w:r>
      <w:r w:rsidR="005A34FD" w:rsidRPr="006754BA">
        <w:rPr>
          <w:rFonts w:ascii="Times New Roman" w:eastAsia="Times New Roman" w:hAnsi="Times New Roman" w:cs="Times New Roman"/>
          <w:i/>
          <w:lang w:val="lt-LT" w:eastAsia="lt-LT"/>
        </w:rPr>
        <w:t>°</w:t>
      </w:r>
      <w:r w:rsidRPr="006754BA">
        <w:rPr>
          <w:rFonts w:ascii="Times New Roman" w:eastAsia="Times New Roman" w:hAnsi="Times New Roman" w:cs="Times New Roman"/>
          <w:i/>
          <w:lang w:val="lt-LT" w:eastAsia="lt-LT"/>
        </w:rPr>
        <w:t xml:space="preserve">C temperatūroje; talpyklės išvaizda: lygiagrečiai importuojamo vaisto ampulė yra skaidraus stiklo, ant kurios yra raudonas taškas ir raudonas žiedas, o referencinio vaisto ampulė - skaidraus stiklo, ant kurios yra raudonas taškas ir geltonas žiedas. </w:t>
      </w:r>
    </w:p>
    <w:p w14:paraId="6529E6B1" w14:textId="278010FE" w:rsidR="000831AA" w:rsidRPr="006754BA" w:rsidRDefault="000831AA" w:rsidP="006754BA">
      <w:pPr>
        <w:spacing w:after="0" w:line="240" w:lineRule="auto"/>
        <w:contextualSpacing/>
        <w:rPr>
          <w:rFonts w:ascii="Times New Roman" w:eastAsia="Times New Roman" w:hAnsi="Times New Roman" w:cs="Times New Roman"/>
          <w:i/>
          <w:color w:val="000000"/>
          <w:lang w:val="lt-LT" w:eastAsia="lt-LT"/>
        </w:rPr>
      </w:pPr>
    </w:p>
    <w:p w14:paraId="3BF9E12C" w14:textId="77777777" w:rsidR="000831AA" w:rsidRPr="006754BA" w:rsidRDefault="000831AA">
      <w:pPr>
        <w:pStyle w:val="BTEMEASMCA"/>
        <w:rPr>
          <w:rStyle w:val="Hyperlink"/>
          <w:rFonts w:asciiTheme="minorHAnsi" w:eastAsiaTheme="minorHAnsi" w:hAnsiTheme="minorHAnsi" w:cstheme="minorBidi"/>
          <w:color w:val="auto"/>
          <w:u w:val="none"/>
          <w:lang w:val="en-US"/>
        </w:rPr>
      </w:pPr>
    </w:p>
    <w:p w14:paraId="08B704A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&lt;--------------------------------------------------------------------------------------------------------------------------</w:t>
      </w:r>
    </w:p>
    <w:p w14:paraId="703A4EBC" w14:textId="673AF4CD" w:rsidR="002977D6" w:rsidRPr="006754BA" w:rsidRDefault="0002111E" w:rsidP="006754BA">
      <w:pPr>
        <w:widowControl w:val="0"/>
        <w:tabs>
          <w:tab w:val="left" w:pos="567"/>
        </w:tabs>
        <w:spacing w:after="0" w:line="240" w:lineRule="auto"/>
        <w:contextualSpacing/>
        <w:rPr>
          <w:rFonts w:ascii="Times New Roman" w:eastAsia="Calibri" w:hAnsi="Times New Roman" w:cs="Times New Roman"/>
          <w:b/>
          <w:lang w:val="lt-LT"/>
        </w:rPr>
      </w:pPr>
      <w:r w:rsidRPr="00660F13">
        <w:rPr>
          <w:rFonts w:ascii="Times New Roman" w:eastAsia="Calibri" w:hAnsi="Times New Roman" w:cs="Times New Roman"/>
          <w:b/>
          <w:lang w:val="lt-LT"/>
        </w:rPr>
        <w:t>Toliau</w:t>
      </w:r>
      <w:r w:rsidR="002977D6" w:rsidRPr="006754BA">
        <w:rPr>
          <w:rFonts w:ascii="Times New Roman" w:eastAsia="Calibri" w:hAnsi="Times New Roman" w:cs="Times New Roman"/>
          <w:b/>
          <w:lang w:val="lt-LT"/>
        </w:rPr>
        <w:t xml:space="preserve"> pateikta informacija skirta tik sveikatos priežiūros specialistams:</w:t>
      </w:r>
    </w:p>
    <w:p w14:paraId="07EB7ADC" w14:textId="77777777" w:rsidR="002977D6" w:rsidRPr="006754BA" w:rsidRDefault="002977D6" w:rsidP="006754BA">
      <w:pPr>
        <w:widowControl w:val="0"/>
        <w:tabs>
          <w:tab w:val="left" w:pos="567"/>
        </w:tabs>
        <w:spacing w:after="0" w:line="240" w:lineRule="auto"/>
        <w:contextualSpacing/>
        <w:outlineLvl w:val="0"/>
        <w:rPr>
          <w:rFonts w:ascii="Times New Roman" w:eastAsia="Calibri" w:hAnsi="Times New Roman" w:cs="Times New Roman"/>
          <w:lang w:val="lt-LT"/>
        </w:rPr>
      </w:pPr>
    </w:p>
    <w:p w14:paraId="6FD5076F"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i/>
          <w:lang w:val="lt-LT"/>
        </w:rPr>
      </w:pPr>
      <w:r w:rsidRPr="006754BA">
        <w:rPr>
          <w:rFonts w:ascii="Times New Roman" w:eastAsia="Calibri" w:hAnsi="Times New Roman" w:cs="Times New Roman"/>
          <w:i/>
          <w:lang w:val="lt-LT"/>
        </w:rPr>
        <w:t>Dozavimas pacientams, kurių inkstų funkcija sutrikusi</w:t>
      </w:r>
    </w:p>
    <w:p w14:paraId="5A8B326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tbl>
      <w:tblPr>
        <w:tblW w:w="0" w:type="auto"/>
        <w:tblInd w:w="150" w:type="dxa"/>
        <w:tblLayout w:type="fixed"/>
        <w:tblCellMar>
          <w:left w:w="0" w:type="dxa"/>
          <w:right w:w="0" w:type="dxa"/>
        </w:tblCellMar>
        <w:tblLook w:val="0000" w:firstRow="0" w:lastRow="0" w:firstColumn="0" w:lastColumn="0" w:noHBand="0" w:noVBand="0"/>
      </w:tblPr>
      <w:tblGrid>
        <w:gridCol w:w="1134"/>
        <w:gridCol w:w="1030"/>
        <w:gridCol w:w="1030"/>
        <w:gridCol w:w="1030"/>
        <w:gridCol w:w="1163"/>
        <w:gridCol w:w="984"/>
        <w:gridCol w:w="2421"/>
      </w:tblGrid>
      <w:tr w:rsidR="002977D6" w:rsidRPr="006754BA" w14:paraId="005D3BE8" w14:textId="77777777" w:rsidTr="00457ECD">
        <w:trPr>
          <w:cantSplit/>
          <w:trHeight w:val="60"/>
        </w:trPr>
        <w:tc>
          <w:tcPr>
            <w:tcW w:w="2164" w:type="dxa"/>
            <w:gridSpan w:val="2"/>
            <w:tcBorders>
              <w:top w:val="single" w:sz="6" w:space="0" w:color="auto"/>
              <w:left w:val="single" w:sz="6" w:space="0" w:color="auto"/>
              <w:right w:val="single" w:sz="6" w:space="0" w:color="auto"/>
            </w:tcBorders>
            <w:shd w:val="pct5" w:color="auto" w:fill="auto"/>
          </w:tcPr>
          <w:p w14:paraId="29193D4F" w14:textId="5BCE382F" w:rsidR="002977D6" w:rsidRPr="006754BA" w:rsidRDefault="0002111E"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60F13">
              <w:rPr>
                <w:rFonts w:ascii="Times New Roman" w:eastAsia="Calibri" w:hAnsi="Times New Roman" w:cs="Times New Roman"/>
                <w:lang w:val="lt-LT"/>
              </w:rPr>
              <w:t>Šlapalo</w:t>
            </w:r>
            <w:r w:rsidR="002977D6" w:rsidRPr="006754BA">
              <w:rPr>
                <w:rFonts w:ascii="Times New Roman" w:eastAsia="Calibri" w:hAnsi="Times New Roman" w:cs="Times New Roman"/>
                <w:lang w:val="lt-LT"/>
              </w:rPr>
              <w:t xml:space="preserve"> koncentracija</w:t>
            </w:r>
          </w:p>
        </w:tc>
        <w:tc>
          <w:tcPr>
            <w:tcW w:w="2060" w:type="dxa"/>
            <w:gridSpan w:val="2"/>
            <w:tcBorders>
              <w:top w:val="single" w:sz="6" w:space="0" w:color="auto"/>
              <w:left w:val="single" w:sz="6" w:space="0" w:color="auto"/>
              <w:right w:val="single" w:sz="6" w:space="0" w:color="auto"/>
            </w:tcBorders>
            <w:shd w:val="pct5" w:color="auto" w:fill="auto"/>
          </w:tcPr>
          <w:p w14:paraId="4851D9C3"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Kreatinino klirensas</w:t>
            </w:r>
          </w:p>
        </w:tc>
        <w:tc>
          <w:tcPr>
            <w:tcW w:w="2147" w:type="dxa"/>
            <w:gridSpan w:val="2"/>
            <w:tcBorders>
              <w:top w:val="single" w:sz="6" w:space="0" w:color="auto"/>
              <w:left w:val="single" w:sz="6" w:space="0" w:color="auto"/>
              <w:right w:val="single" w:sz="6" w:space="0" w:color="auto"/>
            </w:tcBorders>
            <w:shd w:val="pct5" w:color="auto" w:fill="auto"/>
          </w:tcPr>
          <w:p w14:paraId="071BF46C"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Kreatinino koncentracija serume</w:t>
            </w:r>
          </w:p>
        </w:tc>
        <w:tc>
          <w:tcPr>
            <w:tcW w:w="2421" w:type="dxa"/>
            <w:vMerge w:val="restart"/>
            <w:tcBorders>
              <w:top w:val="single" w:sz="6" w:space="0" w:color="auto"/>
              <w:left w:val="single" w:sz="6" w:space="0" w:color="auto"/>
              <w:right w:val="single" w:sz="6" w:space="0" w:color="auto"/>
            </w:tcBorders>
            <w:shd w:val="pct5" w:color="auto" w:fill="auto"/>
          </w:tcPr>
          <w:p w14:paraId="567C79E5"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Dozė ir vartojimo intervalas</w:t>
            </w:r>
          </w:p>
        </w:tc>
      </w:tr>
      <w:tr w:rsidR="002977D6" w:rsidRPr="006754BA" w14:paraId="79A96966" w14:textId="77777777" w:rsidTr="00457ECD">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14:paraId="13CFF479" w14:textId="114E4981"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mg/</w:t>
            </w:r>
            <w:r w:rsidR="005A34FD" w:rsidRPr="006754BA">
              <w:rPr>
                <w:rFonts w:ascii="Times New Roman" w:eastAsia="Calibri" w:hAnsi="Times New Roman" w:cs="Times New Roman"/>
                <w:lang w:val="lt-LT"/>
              </w:rPr>
              <w:t>100</w:t>
            </w:r>
            <w:r w:rsidR="005A34FD">
              <w:rPr>
                <w:rFonts w:ascii="Times New Roman" w:eastAsia="Calibri" w:hAnsi="Times New Roman" w:cs="Times New Roman"/>
                <w:lang w:val="lt-LT"/>
              </w:rPr>
              <w:t> </w:t>
            </w:r>
            <w:r w:rsidRPr="006754BA">
              <w:rPr>
                <w:rFonts w:ascii="Times New Roman" w:eastAsia="Calibri" w:hAnsi="Times New Roman" w:cs="Times New Roman"/>
                <w:lang w:val="lt-LT"/>
              </w:rPr>
              <w:t>ml</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2BE27A7C"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mmol/l</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2A81B58E"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4D1ED1B7"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ml/sek.</w:t>
            </w:r>
          </w:p>
        </w:tc>
        <w:tc>
          <w:tcPr>
            <w:tcW w:w="1163" w:type="dxa"/>
            <w:tcBorders>
              <w:top w:val="single" w:sz="6" w:space="0" w:color="auto"/>
              <w:left w:val="single" w:sz="6" w:space="0" w:color="auto"/>
              <w:bottom w:val="single" w:sz="6" w:space="0" w:color="auto"/>
              <w:right w:val="single" w:sz="6" w:space="0" w:color="auto"/>
            </w:tcBorders>
            <w:shd w:val="pct5" w:color="auto" w:fill="auto"/>
          </w:tcPr>
          <w:p w14:paraId="32603E1C" w14:textId="036698F5"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mg/</w:t>
            </w:r>
            <w:r w:rsidR="005A34FD" w:rsidRPr="006754BA">
              <w:rPr>
                <w:rFonts w:ascii="Times New Roman" w:eastAsia="Calibri" w:hAnsi="Times New Roman" w:cs="Times New Roman"/>
                <w:lang w:val="lt-LT"/>
              </w:rPr>
              <w:t>100</w:t>
            </w:r>
            <w:r w:rsidR="005A34FD">
              <w:rPr>
                <w:rFonts w:ascii="Times New Roman" w:eastAsia="Calibri" w:hAnsi="Times New Roman" w:cs="Times New Roman"/>
                <w:lang w:val="lt-LT"/>
              </w:rPr>
              <w:t> </w:t>
            </w:r>
            <w:r w:rsidRPr="006754BA">
              <w:rPr>
                <w:rFonts w:ascii="Times New Roman" w:eastAsia="Calibri" w:hAnsi="Times New Roman" w:cs="Times New Roman"/>
                <w:lang w:val="lt-LT"/>
              </w:rPr>
              <w:t>ml</w:t>
            </w:r>
          </w:p>
        </w:tc>
        <w:tc>
          <w:tcPr>
            <w:tcW w:w="984" w:type="dxa"/>
            <w:tcBorders>
              <w:top w:val="single" w:sz="6" w:space="0" w:color="auto"/>
              <w:left w:val="single" w:sz="6" w:space="0" w:color="auto"/>
              <w:bottom w:val="single" w:sz="6" w:space="0" w:color="auto"/>
              <w:right w:val="single" w:sz="6" w:space="0" w:color="auto"/>
            </w:tcBorders>
            <w:shd w:val="pct5" w:color="auto" w:fill="auto"/>
          </w:tcPr>
          <w:p w14:paraId="313B8FD7"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µmol/l</w:t>
            </w:r>
          </w:p>
        </w:tc>
        <w:tc>
          <w:tcPr>
            <w:tcW w:w="2421" w:type="dxa"/>
            <w:vMerge/>
            <w:tcBorders>
              <w:top w:val="nil"/>
              <w:left w:val="single" w:sz="6" w:space="0" w:color="auto"/>
              <w:bottom w:val="single" w:sz="6" w:space="0" w:color="auto"/>
              <w:right w:val="single" w:sz="6" w:space="0" w:color="auto"/>
            </w:tcBorders>
            <w:shd w:val="pct5" w:color="auto" w:fill="auto"/>
          </w:tcPr>
          <w:p w14:paraId="5509F283"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r>
      <w:tr w:rsidR="002977D6" w:rsidRPr="006754BA" w14:paraId="49B5955B" w14:textId="77777777" w:rsidTr="00457ECD">
        <w:trPr>
          <w:cantSplit/>
        </w:trPr>
        <w:tc>
          <w:tcPr>
            <w:tcW w:w="1134" w:type="dxa"/>
            <w:tcBorders>
              <w:left w:val="single" w:sz="6" w:space="0" w:color="auto"/>
              <w:right w:val="single" w:sz="6" w:space="0" w:color="auto"/>
            </w:tcBorders>
          </w:tcPr>
          <w:p w14:paraId="733D57C7"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&lt;40</w:t>
            </w:r>
          </w:p>
        </w:tc>
        <w:tc>
          <w:tcPr>
            <w:tcW w:w="1030" w:type="dxa"/>
            <w:tcBorders>
              <w:left w:val="single" w:sz="6" w:space="0" w:color="auto"/>
              <w:right w:val="single" w:sz="6" w:space="0" w:color="auto"/>
            </w:tcBorders>
          </w:tcPr>
          <w:p w14:paraId="135D5286"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&lt;6,8</w:t>
            </w:r>
          </w:p>
        </w:tc>
        <w:tc>
          <w:tcPr>
            <w:tcW w:w="1030" w:type="dxa"/>
            <w:tcBorders>
              <w:left w:val="single" w:sz="6" w:space="0" w:color="auto"/>
              <w:right w:val="single" w:sz="6" w:space="0" w:color="auto"/>
            </w:tcBorders>
          </w:tcPr>
          <w:p w14:paraId="7E33A170"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&gt;70</w:t>
            </w:r>
          </w:p>
        </w:tc>
        <w:tc>
          <w:tcPr>
            <w:tcW w:w="1030" w:type="dxa"/>
            <w:tcBorders>
              <w:left w:val="single" w:sz="6" w:space="0" w:color="auto"/>
              <w:right w:val="single" w:sz="6" w:space="0" w:color="auto"/>
            </w:tcBorders>
          </w:tcPr>
          <w:p w14:paraId="1DC53FD3"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&gt;1,16</w:t>
            </w:r>
          </w:p>
        </w:tc>
        <w:tc>
          <w:tcPr>
            <w:tcW w:w="1163" w:type="dxa"/>
            <w:tcBorders>
              <w:left w:val="single" w:sz="6" w:space="0" w:color="auto"/>
              <w:right w:val="single" w:sz="6" w:space="0" w:color="auto"/>
            </w:tcBorders>
          </w:tcPr>
          <w:p w14:paraId="332E3820"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&lt;1,4</w:t>
            </w:r>
          </w:p>
        </w:tc>
        <w:tc>
          <w:tcPr>
            <w:tcW w:w="984" w:type="dxa"/>
            <w:tcBorders>
              <w:left w:val="single" w:sz="6" w:space="0" w:color="auto"/>
              <w:bottom w:val="single" w:sz="6" w:space="0" w:color="auto"/>
              <w:right w:val="single" w:sz="6" w:space="0" w:color="auto"/>
            </w:tcBorders>
          </w:tcPr>
          <w:p w14:paraId="0F2BFF7E"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&lt;124</w:t>
            </w:r>
          </w:p>
        </w:tc>
        <w:tc>
          <w:tcPr>
            <w:tcW w:w="2421" w:type="dxa"/>
            <w:tcBorders>
              <w:left w:val="single" w:sz="6" w:space="0" w:color="auto"/>
              <w:bottom w:val="single" w:sz="6" w:space="0" w:color="auto"/>
              <w:right w:val="single" w:sz="6" w:space="0" w:color="auto"/>
            </w:tcBorders>
          </w:tcPr>
          <w:p w14:paraId="25F52C6A" w14:textId="1206A03C"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 xml:space="preserve">po </w:t>
            </w:r>
            <w:r w:rsidR="007E40F3" w:rsidRPr="006754BA">
              <w:rPr>
                <w:rFonts w:ascii="Times New Roman" w:eastAsia="Calibri" w:hAnsi="Times New Roman" w:cs="Times New Roman"/>
                <w:lang w:val="lt-LT"/>
              </w:rPr>
              <w:t>80</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t>mg* kas 8 val.</w:t>
            </w:r>
          </w:p>
        </w:tc>
      </w:tr>
      <w:tr w:rsidR="002977D6" w:rsidRPr="006754BA" w14:paraId="0FF9702F" w14:textId="77777777" w:rsidTr="00457ECD">
        <w:trPr>
          <w:cantSplit/>
        </w:trPr>
        <w:tc>
          <w:tcPr>
            <w:tcW w:w="1134" w:type="dxa"/>
            <w:tcBorders>
              <w:top w:val="single" w:sz="6" w:space="0" w:color="auto"/>
              <w:left w:val="single" w:sz="6" w:space="0" w:color="auto"/>
              <w:right w:val="single" w:sz="6" w:space="0" w:color="auto"/>
            </w:tcBorders>
          </w:tcPr>
          <w:p w14:paraId="562F9C66"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c>
          <w:tcPr>
            <w:tcW w:w="1030" w:type="dxa"/>
            <w:tcBorders>
              <w:top w:val="single" w:sz="6" w:space="0" w:color="auto"/>
              <w:left w:val="single" w:sz="6" w:space="0" w:color="auto"/>
              <w:right w:val="single" w:sz="6" w:space="0" w:color="auto"/>
            </w:tcBorders>
          </w:tcPr>
          <w:p w14:paraId="7B8FD4CF"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c>
          <w:tcPr>
            <w:tcW w:w="1030" w:type="dxa"/>
            <w:tcBorders>
              <w:top w:val="single" w:sz="6" w:space="0" w:color="auto"/>
              <w:left w:val="single" w:sz="6" w:space="0" w:color="auto"/>
              <w:right w:val="single" w:sz="6" w:space="0" w:color="auto"/>
            </w:tcBorders>
          </w:tcPr>
          <w:p w14:paraId="57E40EA5"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c>
          <w:tcPr>
            <w:tcW w:w="1030" w:type="dxa"/>
            <w:tcBorders>
              <w:top w:val="single" w:sz="6" w:space="0" w:color="auto"/>
              <w:left w:val="single" w:sz="6" w:space="0" w:color="auto"/>
            </w:tcBorders>
          </w:tcPr>
          <w:p w14:paraId="6312BD1C"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c>
          <w:tcPr>
            <w:tcW w:w="1163" w:type="dxa"/>
            <w:tcBorders>
              <w:top w:val="single" w:sz="6" w:space="0" w:color="auto"/>
              <w:left w:val="single" w:sz="6" w:space="0" w:color="auto"/>
              <w:bottom w:val="single" w:sz="6" w:space="0" w:color="auto"/>
              <w:right w:val="single" w:sz="6" w:space="0" w:color="auto"/>
            </w:tcBorders>
          </w:tcPr>
          <w:p w14:paraId="60EDCDF6"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1,4–1,9</w:t>
            </w:r>
          </w:p>
        </w:tc>
        <w:tc>
          <w:tcPr>
            <w:tcW w:w="984" w:type="dxa"/>
            <w:tcBorders>
              <w:top w:val="single" w:sz="6" w:space="0" w:color="auto"/>
              <w:bottom w:val="single" w:sz="6" w:space="0" w:color="auto"/>
              <w:right w:val="single" w:sz="6" w:space="0" w:color="auto"/>
            </w:tcBorders>
          </w:tcPr>
          <w:p w14:paraId="1E033AB3"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124–168</w:t>
            </w:r>
          </w:p>
        </w:tc>
        <w:tc>
          <w:tcPr>
            <w:tcW w:w="2421" w:type="dxa"/>
            <w:tcBorders>
              <w:top w:val="single" w:sz="6" w:space="0" w:color="auto"/>
              <w:left w:val="single" w:sz="6" w:space="0" w:color="auto"/>
              <w:bottom w:val="single" w:sz="6" w:space="0" w:color="auto"/>
              <w:right w:val="single" w:sz="6" w:space="0" w:color="auto"/>
            </w:tcBorders>
          </w:tcPr>
          <w:p w14:paraId="7CEFA0D1" w14:textId="233DDE3D"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 xml:space="preserve">po </w:t>
            </w:r>
            <w:r w:rsidR="007E40F3" w:rsidRPr="006754BA">
              <w:rPr>
                <w:rFonts w:ascii="Times New Roman" w:eastAsia="Calibri" w:hAnsi="Times New Roman" w:cs="Times New Roman"/>
                <w:lang w:val="lt-LT"/>
              </w:rPr>
              <w:t>80</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t>mg* kas 12 val.</w:t>
            </w:r>
          </w:p>
        </w:tc>
      </w:tr>
      <w:tr w:rsidR="002977D6" w:rsidRPr="006754BA" w14:paraId="7050B95B" w14:textId="77777777" w:rsidTr="00457ECD">
        <w:trPr>
          <w:cantSplit/>
        </w:trPr>
        <w:tc>
          <w:tcPr>
            <w:tcW w:w="1134" w:type="dxa"/>
            <w:tcBorders>
              <w:left w:val="single" w:sz="6" w:space="0" w:color="auto"/>
              <w:right w:val="single" w:sz="6" w:space="0" w:color="auto"/>
            </w:tcBorders>
          </w:tcPr>
          <w:p w14:paraId="6F517118"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40–100</w:t>
            </w:r>
          </w:p>
        </w:tc>
        <w:tc>
          <w:tcPr>
            <w:tcW w:w="1030" w:type="dxa"/>
            <w:tcBorders>
              <w:left w:val="single" w:sz="6" w:space="0" w:color="auto"/>
              <w:right w:val="single" w:sz="6" w:space="0" w:color="auto"/>
            </w:tcBorders>
          </w:tcPr>
          <w:p w14:paraId="226CA480"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6,8–17</w:t>
            </w:r>
          </w:p>
        </w:tc>
        <w:tc>
          <w:tcPr>
            <w:tcW w:w="1030" w:type="dxa"/>
            <w:tcBorders>
              <w:left w:val="single" w:sz="6" w:space="0" w:color="auto"/>
              <w:right w:val="single" w:sz="6" w:space="0" w:color="auto"/>
            </w:tcBorders>
          </w:tcPr>
          <w:p w14:paraId="3CEF82DD"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30–70</w:t>
            </w:r>
          </w:p>
        </w:tc>
        <w:tc>
          <w:tcPr>
            <w:tcW w:w="1030" w:type="dxa"/>
            <w:tcBorders>
              <w:left w:val="single" w:sz="6" w:space="0" w:color="auto"/>
            </w:tcBorders>
          </w:tcPr>
          <w:p w14:paraId="4B7C333F"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0,5–1,16</w:t>
            </w:r>
          </w:p>
        </w:tc>
        <w:tc>
          <w:tcPr>
            <w:tcW w:w="1163" w:type="dxa"/>
            <w:tcBorders>
              <w:top w:val="single" w:sz="6" w:space="0" w:color="auto"/>
              <w:left w:val="single" w:sz="6" w:space="0" w:color="auto"/>
              <w:bottom w:val="single" w:sz="6" w:space="0" w:color="auto"/>
              <w:right w:val="single" w:sz="6" w:space="0" w:color="auto"/>
            </w:tcBorders>
          </w:tcPr>
          <w:p w14:paraId="76C6E55B"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1,9–2,8</w:t>
            </w:r>
          </w:p>
        </w:tc>
        <w:tc>
          <w:tcPr>
            <w:tcW w:w="984" w:type="dxa"/>
            <w:tcBorders>
              <w:top w:val="single" w:sz="6" w:space="0" w:color="auto"/>
              <w:bottom w:val="single" w:sz="6" w:space="0" w:color="auto"/>
              <w:right w:val="single" w:sz="6" w:space="0" w:color="auto"/>
            </w:tcBorders>
          </w:tcPr>
          <w:p w14:paraId="4759BC5C"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168–248</w:t>
            </w:r>
          </w:p>
        </w:tc>
        <w:tc>
          <w:tcPr>
            <w:tcW w:w="2421" w:type="dxa"/>
            <w:tcBorders>
              <w:top w:val="single" w:sz="6" w:space="0" w:color="auto"/>
              <w:left w:val="single" w:sz="6" w:space="0" w:color="auto"/>
              <w:bottom w:val="single" w:sz="6" w:space="0" w:color="auto"/>
              <w:right w:val="single" w:sz="6" w:space="0" w:color="auto"/>
            </w:tcBorders>
          </w:tcPr>
          <w:p w14:paraId="589BE944" w14:textId="178385BB"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 xml:space="preserve">po </w:t>
            </w:r>
            <w:r w:rsidR="007E40F3" w:rsidRPr="006754BA">
              <w:rPr>
                <w:rFonts w:ascii="Times New Roman" w:eastAsia="Calibri" w:hAnsi="Times New Roman" w:cs="Times New Roman"/>
                <w:lang w:val="lt-LT"/>
              </w:rPr>
              <w:t>80</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t>mg* kas 18 val.</w:t>
            </w:r>
          </w:p>
        </w:tc>
      </w:tr>
      <w:tr w:rsidR="002977D6" w:rsidRPr="006754BA" w14:paraId="77241AB6" w14:textId="77777777" w:rsidTr="00457ECD">
        <w:trPr>
          <w:cantSplit/>
        </w:trPr>
        <w:tc>
          <w:tcPr>
            <w:tcW w:w="1134" w:type="dxa"/>
            <w:tcBorders>
              <w:top w:val="single" w:sz="6" w:space="0" w:color="auto"/>
              <w:left w:val="single" w:sz="6" w:space="0" w:color="auto"/>
              <w:right w:val="single" w:sz="6" w:space="0" w:color="auto"/>
            </w:tcBorders>
          </w:tcPr>
          <w:p w14:paraId="63E3C839"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c>
          <w:tcPr>
            <w:tcW w:w="1030" w:type="dxa"/>
            <w:tcBorders>
              <w:top w:val="single" w:sz="6" w:space="0" w:color="auto"/>
              <w:left w:val="single" w:sz="6" w:space="0" w:color="auto"/>
              <w:right w:val="single" w:sz="6" w:space="0" w:color="auto"/>
            </w:tcBorders>
          </w:tcPr>
          <w:p w14:paraId="34852FC3"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c>
          <w:tcPr>
            <w:tcW w:w="1030" w:type="dxa"/>
            <w:tcBorders>
              <w:top w:val="single" w:sz="6" w:space="0" w:color="auto"/>
              <w:left w:val="single" w:sz="6" w:space="0" w:color="auto"/>
              <w:right w:val="single" w:sz="6" w:space="0" w:color="auto"/>
            </w:tcBorders>
          </w:tcPr>
          <w:p w14:paraId="74862BBF"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c>
          <w:tcPr>
            <w:tcW w:w="1030" w:type="dxa"/>
            <w:tcBorders>
              <w:top w:val="single" w:sz="6" w:space="0" w:color="auto"/>
              <w:left w:val="single" w:sz="6" w:space="0" w:color="auto"/>
            </w:tcBorders>
          </w:tcPr>
          <w:p w14:paraId="5A492B68"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p>
        </w:tc>
        <w:tc>
          <w:tcPr>
            <w:tcW w:w="1163" w:type="dxa"/>
            <w:tcBorders>
              <w:top w:val="single" w:sz="6" w:space="0" w:color="auto"/>
              <w:left w:val="single" w:sz="6" w:space="0" w:color="auto"/>
              <w:bottom w:val="single" w:sz="6" w:space="0" w:color="auto"/>
              <w:right w:val="single" w:sz="6" w:space="0" w:color="auto"/>
            </w:tcBorders>
          </w:tcPr>
          <w:p w14:paraId="441319B6"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2,8–3,7</w:t>
            </w:r>
          </w:p>
        </w:tc>
        <w:tc>
          <w:tcPr>
            <w:tcW w:w="984" w:type="dxa"/>
            <w:tcBorders>
              <w:top w:val="single" w:sz="6" w:space="0" w:color="auto"/>
              <w:bottom w:val="single" w:sz="6" w:space="0" w:color="auto"/>
              <w:right w:val="single" w:sz="6" w:space="0" w:color="auto"/>
            </w:tcBorders>
          </w:tcPr>
          <w:p w14:paraId="2BCE284B"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248–327</w:t>
            </w:r>
          </w:p>
        </w:tc>
        <w:tc>
          <w:tcPr>
            <w:tcW w:w="2421" w:type="dxa"/>
            <w:tcBorders>
              <w:top w:val="single" w:sz="6" w:space="0" w:color="auto"/>
              <w:left w:val="single" w:sz="6" w:space="0" w:color="auto"/>
              <w:bottom w:val="single" w:sz="6" w:space="0" w:color="auto"/>
              <w:right w:val="single" w:sz="6" w:space="0" w:color="auto"/>
            </w:tcBorders>
          </w:tcPr>
          <w:p w14:paraId="1EECA289" w14:textId="2BAE19EC"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 xml:space="preserve">po </w:t>
            </w:r>
            <w:r w:rsidR="007E40F3" w:rsidRPr="006754BA">
              <w:rPr>
                <w:rFonts w:ascii="Times New Roman" w:eastAsia="Calibri" w:hAnsi="Times New Roman" w:cs="Times New Roman"/>
                <w:lang w:val="lt-LT"/>
              </w:rPr>
              <w:t>80</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t>mg* kas 24 val.</w:t>
            </w:r>
          </w:p>
        </w:tc>
      </w:tr>
      <w:tr w:rsidR="002977D6" w:rsidRPr="006754BA" w14:paraId="3F229097" w14:textId="77777777" w:rsidTr="00457ECD">
        <w:trPr>
          <w:cantSplit/>
        </w:trPr>
        <w:tc>
          <w:tcPr>
            <w:tcW w:w="1134" w:type="dxa"/>
            <w:tcBorders>
              <w:left w:val="single" w:sz="6" w:space="0" w:color="auto"/>
              <w:bottom w:val="single" w:sz="6" w:space="0" w:color="auto"/>
              <w:right w:val="single" w:sz="6" w:space="0" w:color="auto"/>
            </w:tcBorders>
          </w:tcPr>
          <w:p w14:paraId="3F21BA1E"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100–200</w:t>
            </w:r>
          </w:p>
        </w:tc>
        <w:tc>
          <w:tcPr>
            <w:tcW w:w="1030" w:type="dxa"/>
            <w:tcBorders>
              <w:left w:val="single" w:sz="6" w:space="0" w:color="auto"/>
              <w:bottom w:val="single" w:sz="6" w:space="0" w:color="auto"/>
              <w:right w:val="single" w:sz="6" w:space="0" w:color="auto"/>
            </w:tcBorders>
          </w:tcPr>
          <w:p w14:paraId="0BEDF06F"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17–34</w:t>
            </w:r>
          </w:p>
        </w:tc>
        <w:tc>
          <w:tcPr>
            <w:tcW w:w="1030" w:type="dxa"/>
            <w:tcBorders>
              <w:left w:val="single" w:sz="6" w:space="0" w:color="auto"/>
              <w:bottom w:val="single" w:sz="6" w:space="0" w:color="auto"/>
              <w:right w:val="single" w:sz="6" w:space="0" w:color="auto"/>
            </w:tcBorders>
          </w:tcPr>
          <w:p w14:paraId="422D9C81"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10–30</w:t>
            </w:r>
          </w:p>
        </w:tc>
        <w:tc>
          <w:tcPr>
            <w:tcW w:w="1030" w:type="dxa"/>
            <w:tcBorders>
              <w:left w:val="single" w:sz="6" w:space="0" w:color="auto"/>
              <w:bottom w:val="single" w:sz="6" w:space="0" w:color="auto"/>
            </w:tcBorders>
          </w:tcPr>
          <w:p w14:paraId="6AD9D3F5"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0,16–0,5</w:t>
            </w:r>
          </w:p>
        </w:tc>
        <w:tc>
          <w:tcPr>
            <w:tcW w:w="1163" w:type="dxa"/>
            <w:tcBorders>
              <w:top w:val="single" w:sz="6" w:space="0" w:color="auto"/>
              <w:left w:val="single" w:sz="6" w:space="0" w:color="auto"/>
              <w:bottom w:val="single" w:sz="6" w:space="0" w:color="auto"/>
              <w:right w:val="single" w:sz="6" w:space="0" w:color="auto"/>
            </w:tcBorders>
          </w:tcPr>
          <w:p w14:paraId="41A548B4"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3,7–5,3</w:t>
            </w:r>
          </w:p>
        </w:tc>
        <w:tc>
          <w:tcPr>
            <w:tcW w:w="984" w:type="dxa"/>
            <w:tcBorders>
              <w:top w:val="single" w:sz="6" w:space="0" w:color="auto"/>
              <w:bottom w:val="single" w:sz="6" w:space="0" w:color="auto"/>
              <w:right w:val="single" w:sz="6" w:space="0" w:color="auto"/>
            </w:tcBorders>
          </w:tcPr>
          <w:p w14:paraId="7CE2EE0A"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327–469</w:t>
            </w:r>
          </w:p>
        </w:tc>
        <w:tc>
          <w:tcPr>
            <w:tcW w:w="2421" w:type="dxa"/>
            <w:tcBorders>
              <w:top w:val="single" w:sz="6" w:space="0" w:color="auto"/>
              <w:left w:val="single" w:sz="6" w:space="0" w:color="auto"/>
              <w:bottom w:val="single" w:sz="6" w:space="0" w:color="auto"/>
              <w:right w:val="single" w:sz="6" w:space="0" w:color="auto"/>
            </w:tcBorders>
          </w:tcPr>
          <w:p w14:paraId="28D2EEDE" w14:textId="5125350C"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 xml:space="preserve">po </w:t>
            </w:r>
            <w:r w:rsidR="007E40F3" w:rsidRPr="006754BA">
              <w:rPr>
                <w:rFonts w:ascii="Times New Roman" w:eastAsia="Calibri" w:hAnsi="Times New Roman" w:cs="Times New Roman"/>
                <w:lang w:val="lt-LT"/>
              </w:rPr>
              <w:t>80</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t>mg* kas 36 val.</w:t>
            </w:r>
          </w:p>
        </w:tc>
      </w:tr>
      <w:tr w:rsidR="002977D6" w:rsidRPr="006754BA" w14:paraId="1FA9F18E" w14:textId="77777777" w:rsidTr="00457ECD">
        <w:trPr>
          <w:cantSplit/>
        </w:trPr>
        <w:tc>
          <w:tcPr>
            <w:tcW w:w="1134" w:type="dxa"/>
            <w:tcBorders>
              <w:top w:val="single" w:sz="6" w:space="0" w:color="auto"/>
              <w:left w:val="single" w:sz="6" w:space="0" w:color="auto"/>
              <w:bottom w:val="single" w:sz="6" w:space="0" w:color="auto"/>
              <w:right w:val="single" w:sz="6" w:space="0" w:color="auto"/>
            </w:tcBorders>
          </w:tcPr>
          <w:p w14:paraId="2C11D7CF"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&gt;200</w:t>
            </w:r>
          </w:p>
        </w:tc>
        <w:tc>
          <w:tcPr>
            <w:tcW w:w="1030" w:type="dxa"/>
            <w:tcBorders>
              <w:top w:val="single" w:sz="6" w:space="0" w:color="auto"/>
              <w:left w:val="single" w:sz="6" w:space="0" w:color="auto"/>
              <w:bottom w:val="single" w:sz="6" w:space="0" w:color="auto"/>
              <w:right w:val="single" w:sz="6" w:space="0" w:color="auto"/>
            </w:tcBorders>
          </w:tcPr>
          <w:p w14:paraId="4390E9B4"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&gt;34</w:t>
            </w:r>
          </w:p>
        </w:tc>
        <w:tc>
          <w:tcPr>
            <w:tcW w:w="1030" w:type="dxa"/>
            <w:tcBorders>
              <w:top w:val="single" w:sz="6" w:space="0" w:color="auto"/>
              <w:left w:val="single" w:sz="6" w:space="0" w:color="auto"/>
              <w:bottom w:val="single" w:sz="6" w:space="0" w:color="auto"/>
              <w:right w:val="single" w:sz="6" w:space="0" w:color="auto"/>
            </w:tcBorders>
          </w:tcPr>
          <w:p w14:paraId="29627F80"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5–10</w:t>
            </w:r>
          </w:p>
        </w:tc>
        <w:tc>
          <w:tcPr>
            <w:tcW w:w="1030" w:type="dxa"/>
            <w:tcBorders>
              <w:top w:val="single" w:sz="6" w:space="0" w:color="auto"/>
              <w:left w:val="single" w:sz="6" w:space="0" w:color="auto"/>
              <w:bottom w:val="single" w:sz="6" w:space="0" w:color="auto"/>
            </w:tcBorders>
          </w:tcPr>
          <w:p w14:paraId="42C21490"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0,08–0,16</w:t>
            </w:r>
          </w:p>
        </w:tc>
        <w:tc>
          <w:tcPr>
            <w:tcW w:w="1163" w:type="dxa"/>
            <w:tcBorders>
              <w:top w:val="single" w:sz="6" w:space="0" w:color="auto"/>
              <w:left w:val="single" w:sz="6" w:space="0" w:color="auto"/>
              <w:bottom w:val="single" w:sz="6" w:space="0" w:color="auto"/>
              <w:right w:val="single" w:sz="6" w:space="0" w:color="auto"/>
            </w:tcBorders>
          </w:tcPr>
          <w:p w14:paraId="2A9BA198"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5,3–7,2</w:t>
            </w:r>
          </w:p>
        </w:tc>
        <w:tc>
          <w:tcPr>
            <w:tcW w:w="984" w:type="dxa"/>
            <w:tcBorders>
              <w:top w:val="single" w:sz="6" w:space="0" w:color="auto"/>
              <w:bottom w:val="single" w:sz="6" w:space="0" w:color="auto"/>
              <w:right w:val="single" w:sz="6" w:space="0" w:color="auto"/>
            </w:tcBorders>
          </w:tcPr>
          <w:p w14:paraId="2F93106C" w14:textId="77777777"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469–636</w:t>
            </w:r>
          </w:p>
        </w:tc>
        <w:tc>
          <w:tcPr>
            <w:tcW w:w="2421" w:type="dxa"/>
            <w:tcBorders>
              <w:top w:val="single" w:sz="6" w:space="0" w:color="auto"/>
              <w:left w:val="single" w:sz="6" w:space="0" w:color="auto"/>
              <w:bottom w:val="single" w:sz="6" w:space="0" w:color="auto"/>
              <w:right w:val="single" w:sz="6" w:space="0" w:color="auto"/>
            </w:tcBorders>
          </w:tcPr>
          <w:p w14:paraId="37E9CEA9" w14:textId="1B70DDAF" w:rsidR="002977D6" w:rsidRPr="006754BA" w:rsidRDefault="002977D6" w:rsidP="006754BA">
            <w:pPr>
              <w:widowControl w:val="0"/>
              <w:tabs>
                <w:tab w:val="left" w:pos="567"/>
              </w:tabs>
              <w:spacing w:after="0" w:line="240" w:lineRule="auto"/>
              <w:contextualSpacing/>
              <w:jc w:val="center"/>
              <w:rPr>
                <w:rFonts w:ascii="Times New Roman" w:eastAsia="Calibri" w:hAnsi="Times New Roman" w:cs="Times New Roman"/>
                <w:lang w:val="lt-LT"/>
              </w:rPr>
            </w:pPr>
            <w:r w:rsidRPr="006754BA">
              <w:rPr>
                <w:rFonts w:ascii="Times New Roman" w:eastAsia="Calibri" w:hAnsi="Times New Roman" w:cs="Times New Roman"/>
                <w:lang w:val="lt-LT"/>
              </w:rPr>
              <w:t xml:space="preserve">po </w:t>
            </w:r>
            <w:r w:rsidR="007E40F3" w:rsidRPr="006754BA">
              <w:rPr>
                <w:rFonts w:ascii="Times New Roman" w:eastAsia="Calibri" w:hAnsi="Times New Roman" w:cs="Times New Roman"/>
                <w:lang w:val="lt-LT"/>
              </w:rPr>
              <w:t>80</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t>mg* kas 48 val.</w:t>
            </w:r>
          </w:p>
        </w:tc>
      </w:tr>
    </w:tbl>
    <w:p w14:paraId="55A484FD"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238EC4CA" w14:textId="53F5519F"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 Jei paciento svoris mažesnis kaip </w:t>
      </w:r>
      <w:r w:rsidR="007E40F3" w:rsidRPr="006754BA">
        <w:rPr>
          <w:rFonts w:ascii="Times New Roman" w:eastAsia="Calibri" w:hAnsi="Times New Roman" w:cs="Times New Roman"/>
          <w:lang w:val="lt-LT"/>
        </w:rPr>
        <w:t>60</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t>kg, tai gentamicino dozė yra 60 mg.</w:t>
      </w:r>
    </w:p>
    <w:p w14:paraId="37203BEC"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6AA78B99" w14:textId="054932CE"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Dozės mažinimas ir laiko intervalo ilginimas vienodai tinka dozavimui mažinti, tačiau reikia atsižvelgti į tai, kad aukščiau nurodytos dozės yra apytikslės, po tokios pat dozės skirtingų pacientų serume gali susidaryti nevienoda koncentracija. Dėl to komplikuotais klinikiniais atvejais reikia sekti gentamicino koncentraciją kraujo serume ir atitinkamai keisti vaistinio preparato dozę. 30-60 min. po vartojimo į veną arba į raumenis gentamicino koncentracija serume turi būti bent </w:t>
      </w:r>
      <w:r w:rsidR="005A34FD" w:rsidRPr="006754BA">
        <w:rPr>
          <w:rFonts w:ascii="Times New Roman" w:eastAsia="Calibri" w:hAnsi="Times New Roman" w:cs="Times New Roman"/>
          <w:lang w:val="lt-LT"/>
        </w:rPr>
        <w:t>5</w:t>
      </w:r>
      <w:r w:rsidR="005A34FD">
        <w:rPr>
          <w:rFonts w:ascii="Times New Roman" w:eastAsia="Calibri" w:hAnsi="Times New Roman" w:cs="Times New Roman"/>
          <w:lang w:val="lt-LT"/>
        </w:rPr>
        <w:t> </w:t>
      </w:r>
      <w:r w:rsidRPr="006754BA">
        <w:rPr>
          <w:rFonts w:ascii="Times New Roman" w:eastAsia="Calibri" w:hAnsi="Times New Roman" w:cs="Times New Roman"/>
          <w:lang w:val="lt-LT"/>
        </w:rPr>
        <w:sym w:font="Symbol" w:char="F06D"/>
      </w:r>
      <w:r w:rsidRPr="006754BA">
        <w:rPr>
          <w:rFonts w:ascii="Times New Roman" w:eastAsia="Calibri" w:hAnsi="Times New Roman" w:cs="Times New Roman"/>
          <w:lang w:val="lt-LT"/>
        </w:rPr>
        <w:t>g/ml.</w:t>
      </w:r>
    </w:p>
    <w:p w14:paraId="38A355A2"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6D18F4A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Po hemodializės </w:t>
      </w:r>
      <w:r w:rsidRPr="006754BA">
        <w:rPr>
          <w:rFonts w:ascii="Times New Roman" w:eastAsia="Times New Roman" w:hAnsi="Times New Roman" w:cs="Times New Roman"/>
          <w:lang w:val="lt-LT" w:eastAsia="sl-SI"/>
        </w:rPr>
        <w:t>leidžiama</w:t>
      </w:r>
      <w:r w:rsidRPr="006754BA">
        <w:rPr>
          <w:rFonts w:ascii="Times New Roman" w:eastAsia="Calibri" w:hAnsi="Times New Roman" w:cs="Times New Roman"/>
          <w:lang w:val="lt-LT"/>
        </w:rPr>
        <w:t xml:space="preserve"> 1-1,5 mg/kg kūno svorio gentamicino. Atliekant peritoninę dializę, į 2 litrus dializės skysčio įpilama 1 mg/kg kūno svorio gentamicino.</w:t>
      </w:r>
    </w:p>
    <w:p w14:paraId="716E8B7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8E994DF" w14:textId="36F3B198" w:rsidR="002977D6" w:rsidRDefault="002977D6" w:rsidP="006754BA">
      <w:pPr>
        <w:widowControl w:val="0"/>
        <w:tabs>
          <w:tab w:val="left" w:pos="567"/>
        </w:tabs>
        <w:spacing w:after="0" w:line="240" w:lineRule="auto"/>
        <w:contextualSpacing/>
        <w:rPr>
          <w:rFonts w:ascii="Times New Roman" w:eastAsia="Times New Roman" w:hAnsi="Times New Roman" w:cs="Times New Roman"/>
          <w:lang w:val="lt-LT" w:eastAsia="sl-SI"/>
        </w:rPr>
      </w:pPr>
      <w:r w:rsidRPr="006754BA">
        <w:rPr>
          <w:rFonts w:ascii="Times New Roman" w:eastAsia="Calibri" w:hAnsi="Times New Roman" w:cs="Times New Roman"/>
          <w:lang w:val="lt-LT"/>
        </w:rPr>
        <w:t xml:space="preserve">Gydytojas parinks </w:t>
      </w:r>
      <w:r w:rsidRPr="006754BA">
        <w:rPr>
          <w:rFonts w:ascii="Times New Roman" w:eastAsia="Times New Roman" w:hAnsi="Times New Roman" w:cs="Times New Roman"/>
          <w:lang w:val="lt-LT" w:eastAsia="sl-SI"/>
        </w:rPr>
        <w:t>vaistinio preparato</w:t>
      </w:r>
      <w:r w:rsidRPr="006754BA">
        <w:rPr>
          <w:rFonts w:ascii="Times New Roman" w:eastAsia="Calibri" w:hAnsi="Times New Roman" w:cs="Times New Roman"/>
          <w:lang w:val="lt-LT"/>
        </w:rPr>
        <w:t xml:space="preserve"> dozę, jo vartojimo dažnumą ir gydymo </w:t>
      </w:r>
      <w:r w:rsidRPr="006754BA">
        <w:rPr>
          <w:rFonts w:ascii="Times New Roman" w:eastAsia="Times New Roman" w:hAnsi="Times New Roman" w:cs="Times New Roman"/>
          <w:lang w:val="lt-LT" w:eastAsia="sl-SI"/>
        </w:rPr>
        <w:t>trukmę</w:t>
      </w:r>
      <w:r w:rsidR="005A34FD">
        <w:rPr>
          <w:rFonts w:ascii="Times New Roman" w:eastAsia="Times New Roman" w:hAnsi="Times New Roman" w:cs="Times New Roman"/>
          <w:lang w:val="lt-LT" w:eastAsia="sl-SI"/>
        </w:rPr>
        <w:t>.</w:t>
      </w:r>
    </w:p>
    <w:p w14:paraId="7BD4652F" w14:textId="77777777" w:rsidR="005A34FD" w:rsidRPr="006754BA" w:rsidRDefault="005A34FD" w:rsidP="006754BA">
      <w:pPr>
        <w:widowControl w:val="0"/>
        <w:tabs>
          <w:tab w:val="left" w:pos="567"/>
        </w:tabs>
        <w:spacing w:after="0" w:line="240" w:lineRule="auto"/>
        <w:contextualSpacing/>
        <w:rPr>
          <w:rFonts w:ascii="Times New Roman" w:eastAsia="Times New Roman" w:hAnsi="Times New Roman" w:cs="Times New Roman"/>
          <w:lang w:val="lt-LT" w:eastAsia="sl-SI"/>
        </w:rPr>
      </w:pPr>
    </w:p>
    <w:p w14:paraId="740108D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u w:val="single"/>
          <w:lang w:val="lt-LT"/>
        </w:rPr>
      </w:pPr>
      <w:r w:rsidRPr="006754BA">
        <w:rPr>
          <w:rFonts w:ascii="Times New Roman" w:eastAsia="Times New Roman" w:hAnsi="Times New Roman" w:cs="Times New Roman"/>
          <w:u w:val="single"/>
          <w:lang w:val="lt-LT" w:eastAsia="sl-SI"/>
        </w:rPr>
        <w:t>Patarimas</w:t>
      </w:r>
      <w:r w:rsidRPr="006754BA">
        <w:rPr>
          <w:rFonts w:ascii="Times New Roman" w:eastAsia="Calibri" w:hAnsi="Times New Roman" w:cs="Times New Roman"/>
          <w:u w:val="single"/>
          <w:lang w:val="lt-LT"/>
        </w:rPr>
        <w:t xml:space="preserve"> monitoravimui</w:t>
      </w:r>
    </w:p>
    <w:p w14:paraId="66BD64DD" w14:textId="729BBC78"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Rekomenduojama stebėti gentamicino koncentraciją serume, ypač senyviems pacientams, naujagimiams ir pacientams, kurių inkstų funkcija yra sutrikusi. Mėginiai imami esant mažiausiai koncentracijai prieš suleidžiant sekančią dozę. Jei gentamicino vartojama kelis kartus per parą, jo koncentracija serume prieš vartojant kitą dozę neturi viršyti </w:t>
      </w:r>
      <w:r w:rsidR="007E40F3" w:rsidRPr="006754BA">
        <w:rPr>
          <w:rFonts w:ascii="Times New Roman" w:eastAsia="Calibri" w:hAnsi="Times New Roman" w:cs="Times New Roman"/>
          <w:lang w:val="lt-LT"/>
        </w:rPr>
        <w:t>2</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sym w:font="Symbol" w:char="F06D"/>
      </w:r>
      <w:r w:rsidRPr="006754BA">
        <w:rPr>
          <w:rFonts w:ascii="Times New Roman" w:eastAsia="Calibri" w:hAnsi="Times New Roman" w:cs="Times New Roman"/>
          <w:lang w:val="lt-LT"/>
        </w:rPr>
        <w:t xml:space="preserve">g/ml, jei jo vartojama 1 kartą per parą – </w:t>
      </w:r>
      <w:r w:rsidR="007E40F3" w:rsidRPr="006754BA">
        <w:rPr>
          <w:rFonts w:ascii="Times New Roman" w:eastAsia="Calibri" w:hAnsi="Times New Roman" w:cs="Times New Roman"/>
          <w:lang w:val="lt-LT"/>
        </w:rPr>
        <w:t>1</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sym w:font="Symbol" w:char="F06D"/>
      </w:r>
      <w:r w:rsidRPr="006754BA">
        <w:rPr>
          <w:rFonts w:ascii="Times New Roman" w:eastAsia="Calibri" w:hAnsi="Times New Roman" w:cs="Times New Roman"/>
          <w:lang w:val="lt-LT"/>
        </w:rPr>
        <w:t>g/ml.</w:t>
      </w:r>
    </w:p>
    <w:p w14:paraId="0AD37231"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6CD07799"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u w:val="single"/>
          <w:lang w:val="lt-LT"/>
        </w:rPr>
      </w:pPr>
      <w:r w:rsidRPr="006754BA">
        <w:rPr>
          <w:rFonts w:ascii="Times New Roman" w:eastAsia="Calibri" w:hAnsi="Times New Roman" w:cs="Times New Roman"/>
          <w:u w:val="single"/>
          <w:lang w:val="lt-LT"/>
        </w:rPr>
        <w:t>Vartojimo metodas</w:t>
      </w:r>
    </w:p>
    <w:p w14:paraId="1489127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Gentamicinas paprastai vartojamas į raumenis, </w:t>
      </w:r>
      <w:r w:rsidRPr="00DC29C1">
        <w:rPr>
          <w:rFonts w:ascii="Times New Roman" w:eastAsia="Times New Roman" w:hAnsi="Times New Roman" w:cs="Times New Roman"/>
          <w:lang w:val="lt-LT" w:eastAsia="sl-SI"/>
        </w:rPr>
        <w:t>bet gali būti vartojamas ir į veną, leidžiant tiesiai į veną arba injekuoti per intraveninį kateterį</w:t>
      </w:r>
      <w:r w:rsidRPr="005A34FD">
        <w:rPr>
          <w:rFonts w:ascii="Times New Roman" w:eastAsia="Calibri" w:hAnsi="Times New Roman" w:cs="Times New Roman"/>
          <w:lang w:val="lt-LT"/>
        </w:rPr>
        <w:t xml:space="preserve">. </w:t>
      </w:r>
      <w:r w:rsidRPr="006754BA">
        <w:rPr>
          <w:rFonts w:ascii="Times New Roman" w:eastAsia="Calibri" w:hAnsi="Times New Roman" w:cs="Times New Roman"/>
          <w:lang w:val="lt-LT"/>
        </w:rPr>
        <w:t>Rekomenduojama dozė ir atsargumo priemonės, skirtos vartojant į raumenis ir į veną, yra vienodos.</w:t>
      </w:r>
    </w:p>
    <w:p w14:paraId="6995DF4E" w14:textId="5B9A421A"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Vartojant į veną, </w:t>
      </w:r>
      <w:r w:rsidRPr="006754BA">
        <w:rPr>
          <w:rFonts w:ascii="Times New Roman" w:eastAsia="Times New Roman" w:hAnsi="Times New Roman" w:cs="Times New Roman"/>
          <w:lang w:val="lt-LT" w:eastAsia="sl-SI"/>
        </w:rPr>
        <w:t>vaistinio preparato galima leisti</w:t>
      </w:r>
      <w:r w:rsidRPr="006754BA">
        <w:rPr>
          <w:rFonts w:ascii="Times New Roman" w:eastAsia="Calibri" w:hAnsi="Times New Roman" w:cs="Times New Roman"/>
          <w:lang w:val="lt-LT"/>
        </w:rPr>
        <w:t xml:space="preserve"> tiesiai į veną arba per intraveninį kateterį. Injekcija turi trukti 2-</w:t>
      </w:r>
      <w:r w:rsidR="005A34FD" w:rsidRPr="006754BA">
        <w:rPr>
          <w:rFonts w:ascii="Times New Roman" w:eastAsia="Calibri" w:hAnsi="Times New Roman" w:cs="Times New Roman"/>
          <w:lang w:val="lt-LT"/>
        </w:rPr>
        <w:t>3</w:t>
      </w:r>
      <w:r w:rsidR="005A34FD">
        <w:rPr>
          <w:rFonts w:ascii="Times New Roman" w:eastAsia="Calibri" w:hAnsi="Times New Roman" w:cs="Times New Roman"/>
          <w:lang w:val="lt-LT"/>
        </w:rPr>
        <w:t> </w:t>
      </w:r>
      <w:r w:rsidRPr="006754BA">
        <w:rPr>
          <w:rFonts w:ascii="Times New Roman" w:eastAsia="Calibri" w:hAnsi="Times New Roman" w:cs="Times New Roman"/>
          <w:lang w:val="lt-LT"/>
        </w:rPr>
        <w:t>min. Jei gentamicino vartojama 1 kartą per parą, jis turi būti infuzuojamas į veną per 30</w:t>
      </w:r>
      <w:r w:rsidRPr="006754BA">
        <w:rPr>
          <w:rFonts w:ascii="Times New Roman" w:eastAsia="Calibri" w:hAnsi="Times New Roman" w:cs="Times New Roman"/>
          <w:lang w:val="lt-LT"/>
        </w:rPr>
        <w:noBreakHyphen/>
        <w:t>60 min.</w:t>
      </w:r>
    </w:p>
    <w:p w14:paraId="35A4942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05D41CFF" w14:textId="47E6B8AF"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Trumpai infuzijai į veną gentamicinas atskiedžiamas 100-</w:t>
      </w:r>
      <w:r w:rsidR="007E40F3" w:rsidRPr="006754BA">
        <w:rPr>
          <w:rFonts w:ascii="Times New Roman" w:eastAsia="Calibri" w:hAnsi="Times New Roman" w:cs="Times New Roman"/>
          <w:lang w:val="lt-LT"/>
        </w:rPr>
        <w:t>200</w:t>
      </w:r>
      <w:r w:rsidR="007E40F3">
        <w:rPr>
          <w:rFonts w:ascii="Times New Roman" w:eastAsia="Calibri" w:hAnsi="Times New Roman" w:cs="Times New Roman"/>
          <w:lang w:val="lt-LT"/>
        </w:rPr>
        <w:t> </w:t>
      </w:r>
      <w:r w:rsidRPr="006754BA">
        <w:rPr>
          <w:rFonts w:ascii="Times New Roman" w:eastAsia="Calibri" w:hAnsi="Times New Roman" w:cs="Times New Roman"/>
          <w:lang w:val="lt-LT"/>
        </w:rPr>
        <w:t>ml sterilaus fiziologinio natrio chlorido tirpalo arba sterilaus 5 % gliukozės tirpalo. Gentamicino koncentracija tirpale turi neviršyti 1 mg/ml.</w:t>
      </w:r>
    </w:p>
    <w:p w14:paraId="3569160A"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1B7F4857"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 xml:space="preserve">Gentamicinas sukelia ilgalaikį poantibiotikinį veikimą, kurio metu kiekvienos naujos gentamicino dozės poveikis būna silpnesnis dėl mažesnio bakterijų jautrumo šiam </w:t>
      </w:r>
      <w:r w:rsidRPr="006754BA">
        <w:rPr>
          <w:rFonts w:ascii="Times New Roman" w:eastAsia="Times New Roman" w:hAnsi="Times New Roman" w:cs="Times New Roman"/>
          <w:lang w:val="lt-LT" w:eastAsia="sl-SI"/>
        </w:rPr>
        <w:t>vaistiniam preparatui.</w:t>
      </w:r>
      <w:r w:rsidRPr="006754BA">
        <w:rPr>
          <w:rFonts w:ascii="Times New Roman" w:eastAsia="Calibri" w:hAnsi="Times New Roman" w:cs="Times New Roman"/>
          <w:lang w:val="lt-LT"/>
        </w:rPr>
        <w:t xml:space="preserve"> Antibakterinio poveikio požiūriu, šio vaistinio preparato vartojimas 1 kartą per parą yra pranašesnis, dėl stipresnio baktericidinio poveikio, sukelto didelės pradinės gentamicino koncentracijos kraujo serume ir geresnio antibakterinio kitos dozės poveikio susijusio su ilgesniu vartojimo intervalu.</w:t>
      </w:r>
    </w:p>
    <w:p w14:paraId="7D06E8C0"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0D1C01F8"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r w:rsidRPr="006754BA">
        <w:rPr>
          <w:rFonts w:ascii="Times New Roman" w:eastAsia="Calibri" w:hAnsi="Times New Roman" w:cs="Times New Roman"/>
          <w:lang w:val="lt-LT"/>
        </w:rPr>
        <w:t>1 kartą per parą gentamicino vartoti nerekomenduojama, jei yra sutrikusi imuninės sistemos funkcija (kai yra neutropenija), sunkus inkstų funkcijos nepakankamumas, cistinė fibrozė, ascitas, infekcinis endokarditas, didelės (daugiau kaip 20 % kūno paviršiaus ploto) apimties nudegimas ir nėščioms moterims.</w:t>
      </w:r>
    </w:p>
    <w:p w14:paraId="06843015" w14:textId="77777777" w:rsidR="002977D6" w:rsidRPr="006754BA" w:rsidRDefault="002977D6" w:rsidP="006754BA">
      <w:pPr>
        <w:widowControl w:val="0"/>
        <w:tabs>
          <w:tab w:val="left" w:pos="567"/>
        </w:tabs>
        <w:spacing w:after="0" w:line="240" w:lineRule="auto"/>
        <w:contextualSpacing/>
        <w:rPr>
          <w:rFonts w:ascii="Times New Roman" w:eastAsia="Calibri" w:hAnsi="Times New Roman" w:cs="Times New Roman"/>
          <w:lang w:val="lt-LT"/>
        </w:rPr>
      </w:pPr>
    </w:p>
    <w:p w14:paraId="3005965D" w14:textId="7947F839" w:rsidR="002977D6" w:rsidRPr="00DC29C1" w:rsidRDefault="002977D6" w:rsidP="00DC29C1">
      <w:pPr>
        <w:widowControl w:val="0"/>
        <w:tabs>
          <w:tab w:val="left" w:pos="567"/>
        </w:tabs>
        <w:spacing w:after="0" w:line="240" w:lineRule="auto"/>
        <w:contextualSpacing/>
      </w:pPr>
      <w:r w:rsidRPr="006754BA">
        <w:rPr>
          <w:rFonts w:ascii="Times New Roman" w:eastAsia="Calibri" w:hAnsi="Times New Roman" w:cs="Times New Roman"/>
          <w:lang w:val="lt-LT"/>
        </w:rPr>
        <w:t>Įprastinė gydymo gentamicinu trukmė yra 7-10 parų. Jei infekcinė liga labai sunki ir komplikuota gydymo trukmė gali būti ilgesnė.</w:t>
      </w:r>
    </w:p>
    <w:sectPr w:rsidR="002977D6" w:rsidRPr="00DC29C1" w:rsidSect="006754BA">
      <w:footerReference w:type="even" r:id="rId9"/>
      <w:footerReference w:type="default" r:id="rId10"/>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0024AE" w16cex:dateUtc="2024-03-29T09:30:00Z"/>
  <w16cex:commentExtensible w16cex:durableId="3D65A790" w16cex:dateUtc="2024-03-29T09:31:00Z"/>
  <w16cex:commentExtensible w16cex:durableId="4C7555BB" w16cex:dateUtc="2024-03-29T09:32:00Z"/>
  <w16cex:commentExtensible w16cex:durableId="2BB157FD" w16cex:dateUtc="2024-03-29T09:32:00Z"/>
  <w16cex:commentExtensible w16cex:durableId="48CCA99D" w16cex:dateUtc="2024-03-29T09:33:00Z"/>
  <w16cex:commentExtensible w16cex:durableId="7D7D515D" w16cex:dateUtc="2024-03-29T09:33:00Z"/>
  <w16cex:commentExtensible w16cex:durableId="5F0EBCE2" w16cex:dateUtc="2024-03-29T09:33:00Z"/>
  <w16cex:commentExtensible w16cex:durableId="1DFF70CB" w16cex:dateUtc="2024-03-29T09:33:00Z"/>
  <w16cex:commentExtensible w16cex:durableId="00361F43" w16cex:dateUtc="2024-03-29T09:34:00Z"/>
  <w16cex:commentExtensible w16cex:durableId="32C08450" w16cex:dateUtc="2024-03-29T09:34:00Z"/>
  <w16cex:commentExtensible w16cex:durableId="58B5F1B2" w16cex:dateUtc="2024-03-29T09:34:00Z"/>
  <w16cex:commentExtensible w16cex:durableId="2F97200F" w16cex:dateUtc="2024-03-29T09:34:00Z"/>
  <w16cex:commentExtensible w16cex:durableId="5EDD7A25" w16cex:dateUtc="2024-03-29T09:34:00Z"/>
  <w16cex:commentExtensible w16cex:durableId="09A8A92D" w16cex:dateUtc="2024-03-29T09:35:00Z"/>
  <w16cex:commentExtensible w16cex:durableId="69DBC71D" w16cex:dateUtc="2024-03-29T09:35:00Z"/>
  <w16cex:commentExtensible w16cex:durableId="50DE2E0F" w16cex:dateUtc="2024-03-29T09:35:00Z"/>
  <w16cex:commentExtensible w16cex:durableId="2324D638" w16cex:dateUtc="2024-03-29T09:31:00Z"/>
  <w16cex:commentExtensible w16cex:durableId="52A76A2C" w16cex:dateUtc="2024-03-29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09283" w16cid:durableId="660024AE"/>
  <w16cid:commentId w16cid:paraId="35E2EE9F" w16cid:durableId="3D65A790"/>
  <w16cid:commentId w16cid:paraId="5DD3AD9D" w16cid:durableId="4C7555BB"/>
  <w16cid:commentId w16cid:paraId="4246AEEE" w16cid:durableId="2BB157FD"/>
  <w16cid:commentId w16cid:paraId="4EB085D4" w16cid:durableId="48CCA99D"/>
  <w16cid:commentId w16cid:paraId="53A1A8B3" w16cid:durableId="7D7D515D"/>
  <w16cid:commentId w16cid:paraId="0E4D7608" w16cid:durableId="5F0EBCE2"/>
  <w16cid:commentId w16cid:paraId="56100A99" w16cid:durableId="1DFF70CB"/>
  <w16cid:commentId w16cid:paraId="1C8827BF" w16cid:durableId="00361F43"/>
  <w16cid:commentId w16cid:paraId="3069E550" w16cid:durableId="32C08450"/>
  <w16cid:commentId w16cid:paraId="4607FB21" w16cid:durableId="58B5F1B2"/>
  <w16cid:commentId w16cid:paraId="2AECCC8F" w16cid:durableId="2F97200F"/>
  <w16cid:commentId w16cid:paraId="6F7035B8" w16cid:durableId="5EDD7A25"/>
  <w16cid:commentId w16cid:paraId="5B352878" w16cid:durableId="09A8A92D"/>
  <w16cid:commentId w16cid:paraId="62FB0966" w16cid:durableId="69DBC71D"/>
  <w16cid:commentId w16cid:paraId="529AE58C" w16cid:durableId="50DE2E0F"/>
  <w16cid:commentId w16cid:paraId="4DC744BA" w16cid:durableId="2324D638"/>
  <w16cid:commentId w16cid:paraId="5EC8DA22" w16cid:durableId="52A76A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20064" w14:textId="77777777" w:rsidR="00F724EF" w:rsidRDefault="00F724EF">
      <w:pPr>
        <w:spacing w:after="0" w:line="240" w:lineRule="auto"/>
      </w:pPr>
      <w:r>
        <w:separator/>
      </w:r>
    </w:p>
  </w:endnote>
  <w:endnote w:type="continuationSeparator" w:id="0">
    <w:p w14:paraId="697BC108" w14:textId="77777777" w:rsidR="00F724EF" w:rsidRDefault="00F7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6B1919" w:rsidRDefault="006B1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0B43D27A" w:rsidR="006B1919" w:rsidRDefault="006B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29C1">
      <w:rPr>
        <w:rStyle w:val="PageNumber"/>
        <w:noProof/>
      </w:rPr>
      <w:t>11</w:t>
    </w:r>
    <w:r>
      <w:rPr>
        <w:rStyle w:val="PageNumber"/>
      </w:rPr>
      <w:fldChar w:fldCharType="end"/>
    </w:r>
  </w:p>
  <w:p w14:paraId="29D65BB4" w14:textId="77777777" w:rsidR="006B1919" w:rsidRDefault="006B19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BA09" w14:textId="77777777" w:rsidR="00F724EF" w:rsidRDefault="00F724EF">
      <w:pPr>
        <w:spacing w:after="0" w:line="240" w:lineRule="auto"/>
      </w:pPr>
      <w:r>
        <w:separator/>
      </w:r>
    </w:p>
  </w:footnote>
  <w:footnote w:type="continuationSeparator" w:id="0">
    <w:p w14:paraId="675F0AE6" w14:textId="77777777" w:rsidR="00F724EF" w:rsidRDefault="00F72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77681"/>
    <w:multiLevelType w:val="hybridMultilevel"/>
    <w:tmpl w:val="223C9BE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24D9B"/>
    <w:multiLevelType w:val="hybridMultilevel"/>
    <w:tmpl w:val="149E4BC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E52A3"/>
    <w:multiLevelType w:val="hybridMultilevel"/>
    <w:tmpl w:val="FCFA9D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12B30"/>
    <w:multiLevelType w:val="hybridMultilevel"/>
    <w:tmpl w:val="00D4FC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E0DC9"/>
    <w:multiLevelType w:val="hybridMultilevel"/>
    <w:tmpl w:val="FF86598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DE6E7F"/>
    <w:multiLevelType w:val="hybridMultilevel"/>
    <w:tmpl w:val="9A960B98"/>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703A7"/>
    <w:multiLevelType w:val="hybridMultilevel"/>
    <w:tmpl w:val="BD6097D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8201E"/>
    <w:multiLevelType w:val="hybridMultilevel"/>
    <w:tmpl w:val="A7A841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E7C61"/>
    <w:multiLevelType w:val="hybridMultilevel"/>
    <w:tmpl w:val="E7287090"/>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A5425"/>
    <w:multiLevelType w:val="hybridMultilevel"/>
    <w:tmpl w:val="380EBD9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DD56D6"/>
    <w:multiLevelType w:val="hybridMultilevel"/>
    <w:tmpl w:val="4F341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BA608E"/>
    <w:multiLevelType w:val="hybridMultilevel"/>
    <w:tmpl w:val="FC24B2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F4AD4"/>
    <w:multiLevelType w:val="hybridMultilevel"/>
    <w:tmpl w:val="C458DF9E"/>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5934C8"/>
    <w:multiLevelType w:val="hybridMultilevel"/>
    <w:tmpl w:val="52A04972"/>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9E4A6B"/>
    <w:multiLevelType w:val="hybridMultilevel"/>
    <w:tmpl w:val="7FCC1AE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lvlOverride w:ilvl="0">
      <w:lvl w:ilvl="0">
        <w:start w:val="1"/>
        <w:numFmt w:val="bullet"/>
        <w:lvlText w:val="-"/>
        <w:lvlJc w:val="left"/>
        <w:pPr>
          <w:ind w:left="360" w:hanging="360"/>
        </w:pPr>
      </w:lvl>
    </w:lvlOverride>
  </w:num>
  <w:num w:numId="4">
    <w:abstractNumId w:val="11"/>
  </w:num>
  <w:num w:numId="5">
    <w:abstractNumId w:val="15"/>
  </w:num>
  <w:num w:numId="6">
    <w:abstractNumId w:val="3"/>
  </w:num>
  <w:num w:numId="7">
    <w:abstractNumId w:val="34"/>
  </w:num>
  <w:num w:numId="8">
    <w:abstractNumId w:val="25"/>
  </w:num>
  <w:num w:numId="9">
    <w:abstractNumId w:val="24"/>
  </w:num>
  <w:num w:numId="10">
    <w:abstractNumId w:val="21"/>
  </w:num>
  <w:num w:numId="11">
    <w:abstractNumId w:val="19"/>
  </w:num>
  <w:num w:numId="12">
    <w:abstractNumId w:val="23"/>
  </w:num>
  <w:num w:numId="13">
    <w:abstractNumId w:val="30"/>
  </w:num>
  <w:num w:numId="14">
    <w:abstractNumId w:val="5"/>
  </w:num>
  <w:num w:numId="15">
    <w:abstractNumId w:val="9"/>
  </w:num>
  <w:num w:numId="16">
    <w:abstractNumId w:val="2"/>
  </w:num>
  <w:num w:numId="17">
    <w:abstractNumId w:val="13"/>
  </w:num>
  <w:num w:numId="18">
    <w:abstractNumId w:val="26"/>
  </w:num>
  <w:num w:numId="19">
    <w:abstractNumId w:val="29"/>
  </w:num>
  <w:num w:numId="20">
    <w:abstractNumId w:val="14"/>
  </w:num>
  <w:num w:numId="21">
    <w:abstractNumId w:val="12"/>
  </w:num>
  <w:num w:numId="22">
    <w:abstractNumId w:val="28"/>
  </w:num>
  <w:num w:numId="23">
    <w:abstractNumId w:val="1"/>
  </w:num>
  <w:num w:numId="24">
    <w:abstractNumId w:val="32"/>
  </w:num>
  <w:num w:numId="25">
    <w:abstractNumId w:val="4"/>
  </w:num>
  <w:num w:numId="26">
    <w:abstractNumId w:val="31"/>
  </w:num>
  <w:num w:numId="27">
    <w:abstractNumId w:val="22"/>
  </w:num>
  <w:num w:numId="28">
    <w:abstractNumId w:val="33"/>
  </w:num>
  <w:num w:numId="29">
    <w:abstractNumId w:val="18"/>
  </w:num>
  <w:num w:numId="30">
    <w:abstractNumId w:val="27"/>
  </w:num>
  <w:num w:numId="31">
    <w:abstractNumId w:val="7"/>
  </w:num>
  <w:num w:numId="32">
    <w:abstractNumId w:val="6"/>
  </w:num>
  <w:num w:numId="33">
    <w:abstractNumId w:val="17"/>
  </w:num>
  <w:num w:numId="34">
    <w:abstractNumId w:val="20"/>
  </w:num>
  <w:num w:numId="3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2111E"/>
    <w:rsid w:val="00031229"/>
    <w:rsid w:val="000567CF"/>
    <w:rsid w:val="00057924"/>
    <w:rsid w:val="00065BC3"/>
    <w:rsid w:val="000831AA"/>
    <w:rsid w:val="00083B2E"/>
    <w:rsid w:val="000A0E5E"/>
    <w:rsid w:val="000A1A7B"/>
    <w:rsid w:val="000B0135"/>
    <w:rsid w:val="000E75ED"/>
    <w:rsid w:val="00105934"/>
    <w:rsid w:val="00110DFC"/>
    <w:rsid w:val="00137436"/>
    <w:rsid w:val="00141446"/>
    <w:rsid w:val="00162E87"/>
    <w:rsid w:val="0019379A"/>
    <w:rsid w:val="00193FE9"/>
    <w:rsid w:val="001A24DB"/>
    <w:rsid w:val="001C3B97"/>
    <w:rsid w:val="001D7199"/>
    <w:rsid w:val="002042FA"/>
    <w:rsid w:val="00213697"/>
    <w:rsid w:val="00232F9A"/>
    <w:rsid w:val="0025156A"/>
    <w:rsid w:val="002620E7"/>
    <w:rsid w:val="00263A08"/>
    <w:rsid w:val="00273A6A"/>
    <w:rsid w:val="00284E4D"/>
    <w:rsid w:val="00290608"/>
    <w:rsid w:val="002977D6"/>
    <w:rsid w:val="00297820"/>
    <w:rsid w:val="002A0B66"/>
    <w:rsid w:val="002D64D2"/>
    <w:rsid w:val="002E27C0"/>
    <w:rsid w:val="002F5D5F"/>
    <w:rsid w:val="00300ABF"/>
    <w:rsid w:val="003140FC"/>
    <w:rsid w:val="00335CAC"/>
    <w:rsid w:val="003439B1"/>
    <w:rsid w:val="0035786D"/>
    <w:rsid w:val="00360AF4"/>
    <w:rsid w:val="003815D8"/>
    <w:rsid w:val="003A3861"/>
    <w:rsid w:val="003A3C73"/>
    <w:rsid w:val="003C3F23"/>
    <w:rsid w:val="003D07DA"/>
    <w:rsid w:val="003D4481"/>
    <w:rsid w:val="003F713E"/>
    <w:rsid w:val="00421DB0"/>
    <w:rsid w:val="00432BAB"/>
    <w:rsid w:val="00445CFD"/>
    <w:rsid w:val="0046113B"/>
    <w:rsid w:val="00461B44"/>
    <w:rsid w:val="004711A2"/>
    <w:rsid w:val="004733E7"/>
    <w:rsid w:val="004757B4"/>
    <w:rsid w:val="00477A2E"/>
    <w:rsid w:val="00491C56"/>
    <w:rsid w:val="004955EC"/>
    <w:rsid w:val="004A23F4"/>
    <w:rsid w:val="004A3222"/>
    <w:rsid w:val="004A42D7"/>
    <w:rsid w:val="004B78EF"/>
    <w:rsid w:val="004C6235"/>
    <w:rsid w:val="004E7CA3"/>
    <w:rsid w:val="004F4251"/>
    <w:rsid w:val="00520B0F"/>
    <w:rsid w:val="005456D7"/>
    <w:rsid w:val="00593140"/>
    <w:rsid w:val="005A34FD"/>
    <w:rsid w:val="005B2E20"/>
    <w:rsid w:val="005C7A9C"/>
    <w:rsid w:val="005D4317"/>
    <w:rsid w:val="005D5EC2"/>
    <w:rsid w:val="005E0632"/>
    <w:rsid w:val="00617513"/>
    <w:rsid w:val="006254B6"/>
    <w:rsid w:val="006278E6"/>
    <w:rsid w:val="006412A0"/>
    <w:rsid w:val="006754BA"/>
    <w:rsid w:val="0069022F"/>
    <w:rsid w:val="006B1919"/>
    <w:rsid w:val="006C4487"/>
    <w:rsid w:val="006C7CE1"/>
    <w:rsid w:val="006E20BA"/>
    <w:rsid w:val="006F5D75"/>
    <w:rsid w:val="006F66D0"/>
    <w:rsid w:val="007038E5"/>
    <w:rsid w:val="00733156"/>
    <w:rsid w:val="00747681"/>
    <w:rsid w:val="00773A95"/>
    <w:rsid w:val="00774E9F"/>
    <w:rsid w:val="00783838"/>
    <w:rsid w:val="00795431"/>
    <w:rsid w:val="007B40DE"/>
    <w:rsid w:val="007E40F3"/>
    <w:rsid w:val="007F0CEB"/>
    <w:rsid w:val="0083348D"/>
    <w:rsid w:val="00847677"/>
    <w:rsid w:val="0087555A"/>
    <w:rsid w:val="00883F5D"/>
    <w:rsid w:val="00895BBC"/>
    <w:rsid w:val="008A0156"/>
    <w:rsid w:val="008A1524"/>
    <w:rsid w:val="008A2FD2"/>
    <w:rsid w:val="008B7DCE"/>
    <w:rsid w:val="008C3AC4"/>
    <w:rsid w:val="008D3860"/>
    <w:rsid w:val="008D408E"/>
    <w:rsid w:val="008F568E"/>
    <w:rsid w:val="008F6E9C"/>
    <w:rsid w:val="00923407"/>
    <w:rsid w:val="00923756"/>
    <w:rsid w:val="0094557B"/>
    <w:rsid w:val="00947DF4"/>
    <w:rsid w:val="009518AE"/>
    <w:rsid w:val="009708A3"/>
    <w:rsid w:val="00991436"/>
    <w:rsid w:val="009A4A27"/>
    <w:rsid w:val="009B0004"/>
    <w:rsid w:val="009B30FE"/>
    <w:rsid w:val="009E3C6B"/>
    <w:rsid w:val="009F7B68"/>
    <w:rsid w:val="00A0131F"/>
    <w:rsid w:val="00A1568F"/>
    <w:rsid w:val="00A17915"/>
    <w:rsid w:val="00A2124D"/>
    <w:rsid w:val="00A30E87"/>
    <w:rsid w:val="00A41505"/>
    <w:rsid w:val="00A60323"/>
    <w:rsid w:val="00A8722E"/>
    <w:rsid w:val="00AB403D"/>
    <w:rsid w:val="00AB5F47"/>
    <w:rsid w:val="00AC0343"/>
    <w:rsid w:val="00AD6954"/>
    <w:rsid w:val="00AE2BAB"/>
    <w:rsid w:val="00AE7B39"/>
    <w:rsid w:val="00AF65CC"/>
    <w:rsid w:val="00B04AD1"/>
    <w:rsid w:val="00B1421E"/>
    <w:rsid w:val="00B325ED"/>
    <w:rsid w:val="00B35830"/>
    <w:rsid w:val="00B459A9"/>
    <w:rsid w:val="00B46006"/>
    <w:rsid w:val="00B74804"/>
    <w:rsid w:val="00B905E7"/>
    <w:rsid w:val="00BA4491"/>
    <w:rsid w:val="00BA76D4"/>
    <w:rsid w:val="00BE11AE"/>
    <w:rsid w:val="00BF34C2"/>
    <w:rsid w:val="00BF74AF"/>
    <w:rsid w:val="00C0617B"/>
    <w:rsid w:val="00C3063C"/>
    <w:rsid w:val="00C324C3"/>
    <w:rsid w:val="00C34F49"/>
    <w:rsid w:val="00C47E29"/>
    <w:rsid w:val="00C5106C"/>
    <w:rsid w:val="00C56DAC"/>
    <w:rsid w:val="00C827A2"/>
    <w:rsid w:val="00CB5A18"/>
    <w:rsid w:val="00CC4023"/>
    <w:rsid w:val="00CC5EAF"/>
    <w:rsid w:val="00CF08C2"/>
    <w:rsid w:val="00CF3E44"/>
    <w:rsid w:val="00D028B9"/>
    <w:rsid w:val="00D035FD"/>
    <w:rsid w:val="00D208C5"/>
    <w:rsid w:val="00D50BFB"/>
    <w:rsid w:val="00D577F4"/>
    <w:rsid w:val="00D86972"/>
    <w:rsid w:val="00D94D53"/>
    <w:rsid w:val="00DA5BD9"/>
    <w:rsid w:val="00DA7717"/>
    <w:rsid w:val="00DC0A7C"/>
    <w:rsid w:val="00DC29C1"/>
    <w:rsid w:val="00DD5B30"/>
    <w:rsid w:val="00DD6CEB"/>
    <w:rsid w:val="00DE3598"/>
    <w:rsid w:val="00DE71C5"/>
    <w:rsid w:val="00DF3020"/>
    <w:rsid w:val="00E21124"/>
    <w:rsid w:val="00E2122B"/>
    <w:rsid w:val="00E21CCC"/>
    <w:rsid w:val="00E51D1A"/>
    <w:rsid w:val="00E54FD0"/>
    <w:rsid w:val="00E61BAF"/>
    <w:rsid w:val="00E73109"/>
    <w:rsid w:val="00E75429"/>
    <w:rsid w:val="00E75A3F"/>
    <w:rsid w:val="00E80807"/>
    <w:rsid w:val="00E9000B"/>
    <w:rsid w:val="00E94E16"/>
    <w:rsid w:val="00EA4890"/>
    <w:rsid w:val="00EB511D"/>
    <w:rsid w:val="00EF2841"/>
    <w:rsid w:val="00F04D20"/>
    <w:rsid w:val="00F724EF"/>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7E40F3"/>
    <w:pPr>
      <w:spacing w:after="0" w:line="240" w:lineRule="auto"/>
      <w:contextualSpacing/>
    </w:pPr>
    <w:rPr>
      <w:rFonts w:ascii="Times New Roman" w:eastAsia="Times New Roman" w:hAnsi="Times New Roman" w:cs="Times New Roman"/>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7E40F3"/>
    <w:rPr>
      <w:rFonts w:ascii="Times New Roman" w:eastAsia="Times New Roman" w:hAnsi="Times New Roman" w:cs="Times New Roman"/>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88668">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54558503">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500F-098E-453A-A360-8EF2DA70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13774</Words>
  <Characters>7852</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18</cp:revision>
  <cp:lastPrinted>2016-06-23T11:13:00Z</cp:lastPrinted>
  <dcterms:created xsi:type="dcterms:W3CDTF">2024-03-29T07:06:00Z</dcterms:created>
  <dcterms:modified xsi:type="dcterms:W3CDTF">2024-05-13T07:43:00Z</dcterms:modified>
</cp:coreProperties>
</file>