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4A749" w14:textId="77777777" w:rsidR="003451F2" w:rsidRPr="00216B78" w:rsidRDefault="003451F2" w:rsidP="00BE6BC3"/>
    <w:p w14:paraId="2B025C7C" w14:textId="77777777" w:rsidR="003451F2" w:rsidRPr="00216B78" w:rsidRDefault="003451F2" w:rsidP="00BE6BC3"/>
    <w:p w14:paraId="14A2C708" w14:textId="77777777" w:rsidR="003451F2" w:rsidRPr="00216B78" w:rsidRDefault="003451F2" w:rsidP="00BE6BC3"/>
    <w:p w14:paraId="43BA4A68" w14:textId="77777777" w:rsidR="003451F2" w:rsidRPr="00216B78" w:rsidRDefault="003451F2" w:rsidP="00BE6BC3"/>
    <w:p w14:paraId="5CC56314" w14:textId="77777777" w:rsidR="003451F2" w:rsidRPr="00216B78" w:rsidRDefault="003451F2" w:rsidP="00BE6BC3"/>
    <w:p w14:paraId="1B76D44E" w14:textId="77777777" w:rsidR="003451F2" w:rsidRPr="00216B78" w:rsidRDefault="003451F2" w:rsidP="00BE6BC3"/>
    <w:p w14:paraId="38BB663D" w14:textId="77777777" w:rsidR="003451F2" w:rsidRPr="00216B78" w:rsidRDefault="003451F2" w:rsidP="00BE6BC3"/>
    <w:p w14:paraId="084E0AF4" w14:textId="77777777" w:rsidR="003451F2" w:rsidRPr="00216B78" w:rsidRDefault="003451F2" w:rsidP="00BE6BC3"/>
    <w:p w14:paraId="3506EF7C" w14:textId="77777777" w:rsidR="003451F2" w:rsidRPr="00216B78" w:rsidRDefault="003451F2" w:rsidP="00BE6BC3"/>
    <w:p w14:paraId="661E2E67" w14:textId="77777777" w:rsidR="003451F2" w:rsidRPr="00216B78" w:rsidRDefault="003451F2" w:rsidP="00BE6BC3"/>
    <w:p w14:paraId="2EE714C3" w14:textId="77777777" w:rsidR="003451F2" w:rsidRPr="00216B78" w:rsidRDefault="003451F2" w:rsidP="00BE6BC3"/>
    <w:p w14:paraId="72145387" w14:textId="77777777" w:rsidR="003451F2" w:rsidRPr="00216B78" w:rsidRDefault="003451F2" w:rsidP="00BE6BC3"/>
    <w:p w14:paraId="10D56851" w14:textId="77777777" w:rsidR="003451F2" w:rsidRPr="00216B78" w:rsidRDefault="003451F2" w:rsidP="00BE6BC3"/>
    <w:p w14:paraId="660FB215" w14:textId="77777777" w:rsidR="003451F2" w:rsidRPr="00216B78" w:rsidRDefault="003451F2" w:rsidP="00BE6BC3"/>
    <w:p w14:paraId="032FB47D" w14:textId="77777777" w:rsidR="003451F2" w:rsidRPr="00216B78" w:rsidRDefault="003451F2" w:rsidP="00BE6BC3"/>
    <w:p w14:paraId="582BBF41" w14:textId="77777777" w:rsidR="003451F2" w:rsidRPr="00216B78" w:rsidRDefault="003451F2" w:rsidP="00BE6BC3"/>
    <w:p w14:paraId="21550206" w14:textId="77777777" w:rsidR="00E457A0" w:rsidRPr="00216B78" w:rsidRDefault="00E457A0" w:rsidP="00BE6BC3"/>
    <w:p w14:paraId="553B6FC1" w14:textId="77777777" w:rsidR="00E457A0" w:rsidRPr="00216B78" w:rsidRDefault="00E457A0" w:rsidP="00BE6BC3"/>
    <w:p w14:paraId="643B1534" w14:textId="77777777" w:rsidR="00E457A0" w:rsidRPr="00216B78" w:rsidRDefault="00E457A0" w:rsidP="00BE6BC3"/>
    <w:p w14:paraId="49A960C7" w14:textId="77777777" w:rsidR="00E457A0" w:rsidRPr="00216B78" w:rsidRDefault="00E457A0" w:rsidP="00BE6BC3"/>
    <w:p w14:paraId="01F299EC" w14:textId="77777777" w:rsidR="00E457A0" w:rsidRPr="00216B78" w:rsidRDefault="00E457A0" w:rsidP="00BE6BC3"/>
    <w:p w14:paraId="5307AE3A" w14:textId="77777777" w:rsidR="00E457A0" w:rsidRPr="00216B78" w:rsidRDefault="00E457A0" w:rsidP="00BE6BC3"/>
    <w:p w14:paraId="68B3C974" w14:textId="77777777" w:rsidR="00E457A0" w:rsidRPr="00216B78" w:rsidRDefault="00E457A0" w:rsidP="00BE6BC3"/>
    <w:p w14:paraId="54444493" w14:textId="77777777" w:rsidR="003451F2" w:rsidRPr="00216B78" w:rsidRDefault="003451F2" w:rsidP="00CE6E5F">
      <w:pPr>
        <w:pStyle w:val="Text"/>
        <w:spacing w:before="0" w:after="0"/>
        <w:jc w:val="center"/>
        <w:rPr>
          <w:b/>
          <w:bCs/>
          <w:sz w:val="22"/>
          <w:szCs w:val="22"/>
          <w:lang w:val="lt-LT"/>
        </w:rPr>
      </w:pPr>
      <w:r w:rsidRPr="00216B78">
        <w:rPr>
          <w:b/>
          <w:bCs/>
          <w:sz w:val="22"/>
          <w:szCs w:val="22"/>
          <w:lang w:val="lt-LT"/>
        </w:rPr>
        <w:t>I PRIEDAS</w:t>
      </w:r>
    </w:p>
    <w:p w14:paraId="5A07A8A6" w14:textId="77777777" w:rsidR="003451F2" w:rsidRPr="00216B78" w:rsidRDefault="003451F2" w:rsidP="00CE6E5F">
      <w:pPr>
        <w:pStyle w:val="Text"/>
        <w:spacing w:before="0" w:after="0"/>
        <w:jc w:val="center"/>
        <w:rPr>
          <w:b/>
          <w:bCs/>
          <w:sz w:val="22"/>
          <w:szCs w:val="22"/>
          <w:lang w:val="lt-LT"/>
        </w:rPr>
      </w:pPr>
    </w:p>
    <w:p w14:paraId="72DDBBB2" w14:textId="77777777" w:rsidR="003451F2" w:rsidRPr="00216B78" w:rsidRDefault="003451F2" w:rsidP="00CE6E5F">
      <w:pPr>
        <w:pStyle w:val="Text"/>
        <w:spacing w:before="0" w:after="0"/>
        <w:jc w:val="center"/>
        <w:rPr>
          <w:b/>
          <w:bCs/>
          <w:sz w:val="22"/>
          <w:szCs w:val="22"/>
          <w:lang w:val="lt-LT"/>
        </w:rPr>
      </w:pPr>
      <w:r w:rsidRPr="00216B78">
        <w:rPr>
          <w:b/>
          <w:bCs/>
          <w:sz w:val="22"/>
          <w:szCs w:val="22"/>
          <w:lang w:val="lt-LT"/>
        </w:rPr>
        <w:t>PREPARATO CHARAKTERISTIKŲ SANTRAUKA</w:t>
      </w:r>
    </w:p>
    <w:p w14:paraId="3F76A23C" w14:textId="77777777" w:rsidR="00942394" w:rsidRPr="00216B78" w:rsidRDefault="003451F2" w:rsidP="00E457A0">
      <w:pPr>
        <w:pStyle w:val="Text"/>
        <w:spacing w:before="0" w:after="0"/>
        <w:jc w:val="left"/>
        <w:rPr>
          <w:b/>
          <w:color w:val="auto"/>
          <w:sz w:val="22"/>
          <w:szCs w:val="22"/>
          <w:lang w:val="lt-LT"/>
        </w:rPr>
      </w:pPr>
      <w:r w:rsidRPr="00216B78">
        <w:rPr>
          <w:b/>
          <w:bCs/>
          <w:color w:val="auto"/>
          <w:sz w:val="22"/>
          <w:szCs w:val="22"/>
          <w:lang w:val="lt-LT"/>
        </w:rPr>
        <w:br w:type="page"/>
      </w:r>
    </w:p>
    <w:p w14:paraId="17076362" w14:textId="77777777" w:rsidR="008E70E4" w:rsidRPr="00216B78" w:rsidRDefault="00754B96" w:rsidP="00361769">
      <w:pPr>
        <w:pStyle w:val="Default"/>
        <w:ind w:left="567" w:hanging="567"/>
        <w:rPr>
          <w:sz w:val="22"/>
          <w:szCs w:val="22"/>
          <w:lang w:val="lt-LT"/>
        </w:rPr>
      </w:pPr>
      <w:r w:rsidRPr="00216B78">
        <w:rPr>
          <w:b/>
          <w:bCs/>
          <w:sz w:val="22"/>
          <w:szCs w:val="22"/>
          <w:lang w:val="lt-LT"/>
        </w:rPr>
        <w:lastRenderedPageBreak/>
        <w:t>1.</w:t>
      </w:r>
      <w:r w:rsidRPr="00216B78">
        <w:rPr>
          <w:b/>
          <w:bCs/>
          <w:sz w:val="22"/>
          <w:szCs w:val="22"/>
          <w:lang w:val="lt-LT"/>
        </w:rPr>
        <w:tab/>
      </w:r>
      <w:r w:rsidR="008E70E4" w:rsidRPr="00216B78">
        <w:rPr>
          <w:b/>
          <w:bCs/>
          <w:sz w:val="22"/>
          <w:szCs w:val="22"/>
          <w:lang w:val="lt-LT"/>
        </w:rPr>
        <w:t>VAISTINIO PREPARATO PAVADINIMAS</w:t>
      </w:r>
    </w:p>
    <w:p w14:paraId="117C6073" w14:textId="77777777" w:rsidR="00754B96" w:rsidRPr="00216B78" w:rsidRDefault="00754B96" w:rsidP="00754B96">
      <w:pPr>
        <w:pStyle w:val="Default"/>
        <w:rPr>
          <w:color w:val="auto"/>
          <w:sz w:val="22"/>
          <w:szCs w:val="22"/>
          <w:lang w:val="lt-LT"/>
        </w:rPr>
      </w:pPr>
    </w:p>
    <w:p w14:paraId="6B8CD7F1" w14:textId="77777777" w:rsidR="008E70E4" w:rsidRPr="00216B78" w:rsidRDefault="001F6371" w:rsidP="00754B96">
      <w:pPr>
        <w:pStyle w:val="Default"/>
        <w:rPr>
          <w:sz w:val="22"/>
          <w:szCs w:val="22"/>
          <w:lang w:val="lt-LT"/>
        </w:rPr>
      </w:pPr>
      <w:r w:rsidRPr="00216B78">
        <w:rPr>
          <w:color w:val="auto"/>
          <w:sz w:val="22"/>
          <w:szCs w:val="22"/>
          <w:lang w:val="lt-LT"/>
        </w:rPr>
        <w:t>f</w:t>
      </w:r>
      <w:r w:rsidR="00324E4D" w:rsidRPr="00216B78">
        <w:rPr>
          <w:color w:val="auto"/>
          <w:sz w:val="22"/>
          <w:szCs w:val="22"/>
          <w:lang w:val="lt-LT"/>
        </w:rPr>
        <w:t xml:space="preserve">ibryga </w:t>
      </w:r>
      <w:r w:rsidR="008E70E4" w:rsidRPr="00216B78">
        <w:rPr>
          <w:color w:val="auto"/>
          <w:sz w:val="22"/>
          <w:szCs w:val="22"/>
          <w:lang w:val="lt-LT"/>
        </w:rPr>
        <w:t>1 g</w:t>
      </w:r>
      <w:r w:rsidR="00213A7E" w:rsidRPr="00216B78">
        <w:rPr>
          <w:color w:val="auto"/>
          <w:sz w:val="22"/>
          <w:szCs w:val="22"/>
          <w:lang w:val="lt-LT"/>
        </w:rPr>
        <w:t xml:space="preserve"> </w:t>
      </w:r>
      <w:r w:rsidR="008E70E4" w:rsidRPr="00216B78">
        <w:rPr>
          <w:color w:val="auto"/>
          <w:sz w:val="22"/>
          <w:szCs w:val="22"/>
          <w:lang w:val="lt-LT"/>
        </w:rPr>
        <w:t>milteliai ir tirpiklis injekciniam ar infuziniam tirpalui</w:t>
      </w:r>
      <w:bookmarkStart w:id="0" w:name="_GoBack"/>
      <w:bookmarkEnd w:id="0"/>
    </w:p>
    <w:p w14:paraId="15453349" w14:textId="77777777" w:rsidR="00754B96" w:rsidRPr="00216B78" w:rsidRDefault="00754B96" w:rsidP="007B277D"/>
    <w:p w14:paraId="1ACD3F61" w14:textId="77777777" w:rsidR="00754B96" w:rsidRPr="00216B78" w:rsidRDefault="00754B96" w:rsidP="007B277D"/>
    <w:p w14:paraId="4F052722" w14:textId="77777777" w:rsidR="008E70E4" w:rsidRPr="00216B78" w:rsidRDefault="00754B96" w:rsidP="00361769">
      <w:pPr>
        <w:pStyle w:val="Default"/>
        <w:ind w:left="567" w:hanging="567"/>
        <w:rPr>
          <w:b/>
          <w:bCs/>
          <w:sz w:val="22"/>
          <w:szCs w:val="22"/>
          <w:lang w:val="lt-LT"/>
        </w:rPr>
      </w:pPr>
      <w:r w:rsidRPr="00216B78">
        <w:rPr>
          <w:b/>
          <w:bCs/>
          <w:sz w:val="22"/>
          <w:szCs w:val="22"/>
          <w:lang w:val="lt-LT"/>
        </w:rPr>
        <w:t>2.</w:t>
      </w:r>
      <w:r w:rsidRPr="00216B78">
        <w:rPr>
          <w:b/>
          <w:bCs/>
          <w:sz w:val="22"/>
          <w:szCs w:val="22"/>
          <w:lang w:val="lt-LT"/>
        </w:rPr>
        <w:tab/>
      </w:r>
      <w:r w:rsidR="008E70E4" w:rsidRPr="00216B78">
        <w:rPr>
          <w:b/>
          <w:bCs/>
          <w:sz w:val="22"/>
          <w:szCs w:val="22"/>
          <w:lang w:val="lt-LT"/>
        </w:rPr>
        <w:t>KOKYBINĖ IR KIEKYBINĖ SUDĖTIS</w:t>
      </w:r>
    </w:p>
    <w:p w14:paraId="13BB145A" w14:textId="77777777" w:rsidR="00754B96" w:rsidRPr="00216B78" w:rsidRDefault="00754B96" w:rsidP="00754B96">
      <w:pPr>
        <w:pStyle w:val="Default"/>
        <w:rPr>
          <w:color w:val="auto"/>
          <w:sz w:val="22"/>
          <w:szCs w:val="22"/>
          <w:lang w:val="lt-LT"/>
        </w:rPr>
      </w:pPr>
    </w:p>
    <w:p w14:paraId="0B0881BD" w14:textId="77777777" w:rsidR="008E70E4" w:rsidRPr="00216B78" w:rsidRDefault="008E70E4" w:rsidP="00754B96">
      <w:pPr>
        <w:pStyle w:val="Default"/>
        <w:rPr>
          <w:color w:val="auto"/>
          <w:sz w:val="22"/>
          <w:szCs w:val="22"/>
          <w:lang w:val="lt-LT"/>
        </w:rPr>
      </w:pPr>
      <w:r w:rsidRPr="00216B78">
        <w:rPr>
          <w:color w:val="auto"/>
          <w:sz w:val="22"/>
          <w:szCs w:val="22"/>
          <w:lang w:val="lt-LT"/>
        </w:rPr>
        <w:t>Žmogaus fibrinogenas</w:t>
      </w:r>
    </w:p>
    <w:p w14:paraId="6065D63F" w14:textId="77777777" w:rsidR="00754B96" w:rsidRPr="00216B78" w:rsidRDefault="00754B96" w:rsidP="00754B96">
      <w:pPr>
        <w:pStyle w:val="Default"/>
        <w:rPr>
          <w:color w:val="auto"/>
          <w:sz w:val="22"/>
          <w:szCs w:val="22"/>
          <w:lang w:val="lt-LT"/>
        </w:rPr>
      </w:pPr>
    </w:p>
    <w:p w14:paraId="3DD91DA2" w14:textId="77777777" w:rsidR="008E70E4" w:rsidRPr="00216B78" w:rsidRDefault="008E70E4" w:rsidP="00754B96">
      <w:pPr>
        <w:pStyle w:val="Default"/>
        <w:rPr>
          <w:color w:val="auto"/>
          <w:sz w:val="22"/>
          <w:szCs w:val="22"/>
          <w:lang w:val="lt-LT"/>
        </w:rPr>
      </w:pPr>
      <w:r w:rsidRPr="00216B78">
        <w:rPr>
          <w:color w:val="auto"/>
          <w:sz w:val="22"/>
          <w:szCs w:val="22"/>
          <w:lang w:val="lt-LT"/>
        </w:rPr>
        <w:t xml:space="preserve">Kiekviename </w:t>
      </w:r>
      <w:r w:rsidR="00324E4D" w:rsidRPr="00216B78">
        <w:rPr>
          <w:color w:val="auto"/>
          <w:sz w:val="22"/>
          <w:szCs w:val="22"/>
          <w:lang w:val="lt-LT"/>
        </w:rPr>
        <w:t xml:space="preserve">fibryga </w:t>
      </w:r>
      <w:r w:rsidRPr="00216B78">
        <w:rPr>
          <w:color w:val="auto"/>
          <w:sz w:val="22"/>
          <w:szCs w:val="22"/>
          <w:lang w:val="lt-LT"/>
        </w:rPr>
        <w:t>buteliuke yra 1 g žmogaus fibrinogeno. Paruošus naudojant 50</w:t>
      </w:r>
      <w:r w:rsidR="000F6B96" w:rsidRPr="00216B78">
        <w:rPr>
          <w:color w:val="auto"/>
          <w:sz w:val="22"/>
          <w:szCs w:val="22"/>
          <w:lang w:val="lt-LT"/>
        </w:rPr>
        <w:t> </w:t>
      </w:r>
      <w:r w:rsidRPr="00216B78">
        <w:rPr>
          <w:color w:val="auto"/>
          <w:sz w:val="22"/>
          <w:szCs w:val="22"/>
          <w:lang w:val="lt-LT"/>
        </w:rPr>
        <w:t xml:space="preserve">ml injekcinio vandens, </w:t>
      </w:r>
      <w:r w:rsidR="00324E4D" w:rsidRPr="00216B78">
        <w:rPr>
          <w:color w:val="auto"/>
          <w:sz w:val="22"/>
          <w:szCs w:val="22"/>
          <w:lang w:val="lt-LT"/>
        </w:rPr>
        <w:t>fibryga</w:t>
      </w:r>
      <w:r w:rsidR="00324E4D" w:rsidRPr="00216B78" w:rsidDel="00324E4D">
        <w:rPr>
          <w:color w:val="auto"/>
          <w:sz w:val="22"/>
          <w:szCs w:val="22"/>
          <w:lang w:val="lt-LT"/>
        </w:rPr>
        <w:t xml:space="preserve"> </w:t>
      </w:r>
      <w:r w:rsidRPr="00216B78">
        <w:rPr>
          <w:color w:val="auto"/>
          <w:sz w:val="22"/>
          <w:szCs w:val="22"/>
          <w:lang w:val="lt-LT"/>
        </w:rPr>
        <w:t xml:space="preserve">sudėtyje yra </w:t>
      </w:r>
      <w:r w:rsidR="00C74E70" w:rsidRPr="00216B78">
        <w:rPr>
          <w:color w:val="auto"/>
          <w:sz w:val="22"/>
          <w:szCs w:val="22"/>
          <w:lang w:val="lt-LT"/>
        </w:rPr>
        <w:t xml:space="preserve">apytiksliai </w:t>
      </w:r>
      <w:r w:rsidRPr="00216B78">
        <w:rPr>
          <w:color w:val="auto"/>
          <w:sz w:val="22"/>
          <w:szCs w:val="22"/>
          <w:lang w:val="lt-LT"/>
        </w:rPr>
        <w:t>20 mg/ml žmogaus fibrinogeno.</w:t>
      </w:r>
    </w:p>
    <w:p w14:paraId="4D529529" w14:textId="77777777" w:rsidR="00754B96" w:rsidRPr="00216B78" w:rsidRDefault="00754B96" w:rsidP="00754B96">
      <w:pPr>
        <w:pStyle w:val="Default"/>
        <w:rPr>
          <w:color w:val="auto"/>
          <w:sz w:val="22"/>
          <w:szCs w:val="22"/>
          <w:lang w:val="lt-LT"/>
        </w:rPr>
      </w:pPr>
    </w:p>
    <w:p w14:paraId="74312068" w14:textId="77777777" w:rsidR="008E70E4" w:rsidRPr="00216B78" w:rsidRDefault="008E70E4" w:rsidP="00754B96">
      <w:pPr>
        <w:pStyle w:val="Default"/>
        <w:rPr>
          <w:color w:val="auto"/>
          <w:sz w:val="22"/>
          <w:szCs w:val="22"/>
          <w:lang w:val="lt-LT"/>
        </w:rPr>
      </w:pPr>
      <w:r w:rsidRPr="00216B78">
        <w:rPr>
          <w:color w:val="auto"/>
          <w:sz w:val="22"/>
          <w:szCs w:val="22"/>
          <w:lang w:val="lt-LT"/>
        </w:rPr>
        <w:t xml:space="preserve">Krešulius sudaryti gebančio baltymo kiekis nustatomas pagal žmogaus fibrinogeno </w:t>
      </w:r>
      <w:r w:rsidR="0032340C" w:rsidRPr="00216B78">
        <w:rPr>
          <w:color w:val="auto"/>
          <w:sz w:val="22"/>
          <w:szCs w:val="22"/>
          <w:lang w:val="lt-LT"/>
        </w:rPr>
        <w:t xml:space="preserve">straipsnį </w:t>
      </w:r>
      <w:r w:rsidRPr="00216B78">
        <w:rPr>
          <w:color w:val="auto"/>
          <w:sz w:val="22"/>
          <w:szCs w:val="22"/>
          <w:lang w:val="lt-LT"/>
        </w:rPr>
        <w:t>Europos farmakopėj</w:t>
      </w:r>
      <w:r w:rsidR="0032340C" w:rsidRPr="00216B78">
        <w:rPr>
          <w:color w:val="auto"/>
          <w:sz w:val="22"/>
          <w:szCs w:val="22"/>
          <w:lang w:val="lt-LT"/>
        </w:rPr>
        <w:t>oje</w:t>
      </w:r>
      <w:r w:rsidRPr="00216B78">
        <w:rPr>
          <w:color w:val="auto"/>
          <w:sz w:val="22"/>
          <w:szCs w:val="22"/>
          <w:lang w:val="lt-LT"/>
        </w:rPr>
        <w:t>.</w:t>
      </w:r>
    </w:p>
    <w:p w14:paraId="1BB51FCF" w14:textId="77777777" w:rsidR="00754B96" w:rsidRPr="00216B78" w:rsidRDefault="00754B96" w:rsidP="00754B96">
      <w:pPr>
        <w:pStyle w:val="Default"/>
        <w:rPr>
          <w:color w:val="auto"/>
          <w:sz w:val="22"/>
          <w:szCs w:val="22"/>
          <w:lang w:val="lt-LT"/>
        </w:rPr>
      </w:pPr>
    </w:p>
    <w:p w14:paraId="0E91FC94" w14:textId="77777777" w:rsidR="008E70E4" w:rsidRPr="00216B78" w:rsidRDefault="008E70E4" w:rsidP="00754B96">
      <w:pPr>
        <w:pStyle w:val="Default"/>
        <w:rPr>
          <w:color w:val="auto"/>
          <w:sz w:val="22"/>
          <w:szCs w:val="22"/>
          <w:lang w:val="lt-LT"/>
        </w:rPr>
      </w:pPr>
      <w:r w:rsidRPr="00216B78">
        <w:rPr>
          <w:color w:val="auto"/>
          <w:sz w:val="22"/>
          <w:szCs w:val="22"/>
          <w:lang w:val="lt-LT"/>
        </w:rPr>
        <w:t>Gaminama iš žmonių donorų plazmos.</w:t>
      </w:r>
    </w:p>
    <w:p w14:paraId="11936BF9" w14:textId="77777777" w:rsidR="00754B96" w:rsidRPr="00216B78" w:rsidRDefault="00754B96" w:rsidP="00754B96">
      <w:pPr>
        <w:pStyle w:val="Default"/>
        <w:rPr>
          <w:color w:val="auto"/>
          <w:sz w:val="22"/>
          <w:szCs w:val="22"/>
          <w:lang w:val="lt-LT"/>
        </w:rPr>
      </w:pPr>
    </w:p>
    <w:p w14:paraId="5FA1D764" w14:textId="77777777" w:rsidR="00213A7E" w:rsidRPr="00216B78" w:rsidRDefault="008E70E4" w:rsidP="00754B96">
      <w:pPr>
        <w:pStyle w:val="Default"/>
        <w:rPr>
          <w:color w:val="auto"/>
          <w:sz w:val="22"/>
          <w:szCs w:val="22"/>
          <w:lang w:val="lt-LT"/>
        </w:rPr>
      </w:pPr>
      <w:r w:rsidRPr="00216B78">
        <w:rPr>
          <w:color w:val="auto"/>
          <w:sz w:val="22"/>
          <w:szCs w:val="22"/>
          <w:u w:val="single"/>
          <w:lang w:val="lt-LT"/>
        </w:rPr>
        <w:t>Pagalbinės medžiagos, kurių poveikis žinomas</w:t>
      </w:r>
    </w:p>
    <w:p w14:paraId="5ED11069" w14:textId="77777777" w:rsidR="008E70E4" w:rsidRPr="00216B78" w:rsidRDefault="0032340C" w:rsidP="00754B96">
      <w:pPr>
        <w:pStyle w:val="Default"/>
        <w:rPr>
          <w:color w:val="auto"/>
          <w:sz w:val="22"/>
          <w:szCs w:val="22"/>
          <w:lang w:val="lt-LT"/>
        </w:rPr>
      </w:pPr>
      <w:r w:rsidRPr="00216B78">
        <w:rPr>
          <w:color w:val="auto"/>
          <w:sz w:val="22"/>
          <w:szCs w:val="22"/>
          <w:lang w:val="lt-LT"/>
        </w:rPr>
        <w:t>Kiekv</w:t>
      </w:r>
      <w:r w:rsidR="008E70E4" w:rsidRPr="00216B78">
        <w:rPr>
          <w:color w:val="auto"/>
          <w:sz w:val="22"/>
          <w:szCs w:val="22"/>
          <w:lang w:val="lt-LT"/>
        </w:rPr>
        <w:t>iename buteliuke yra iki 132 mg (5,8 mmol) natrio.</w:t>
      </w:r>
    </w:p>
    <w:p w14:paraId="156F7A5E" w14:textId="77777777" w:rsidR="00213A7E" w:rsidRPr="00216B78" w:rsidRDefault="00213A7E" w:rsidP="00754B96">
      <w:pPr>
        <w:pStyle w:val="Default"/>
        <w:rPr>
          <w:color w:val="auto"/>
          <w:sz w:val="22"/>
          <w:szCs w:val="22"/>
          <w:lang w:val="lt-LT"/>
        </w:rPr>
      </w:pPr>
    </w:p>
    <w:p w14:paraId="70B6230A" w14:textId="77777777" w:rsidR="008E70E4" w:rsidRPr="00216B78" w:rsidRDefault="008E70E4" w:rsidP="00754B96">
      <w:pPr>
        <w:pStyle w:val="Default"/>
        <w:rPr>
          <w:color w:val="auto"/>
          <w:sz w:val="22"/>
          <w:szCs w:val="22"/>
          <w:lang w:val="lt-LT"/>
        </w:rPr>
      </w:pPr>
      <w:r w:rsidRPr="00216B78">
        <w:rPr>
          <w:color w:val="auto"/>
          <w:sz w:val="22"/>
          <w:szCs w:val="22"/>
          <w:lang w:val="lt-LT"/>
        </w:rPr>
        <w:t>Visos pagalbinės medžiagos išvardytos 6.1 skyriuje.</w:t>
      </w:r>
    </w:p>
    <w:p w14:paraId="166B2DFF" w14:textId="77777777" w:rsidR="00754B96" w:rsidRPr="00216B78" w:rsidRDefault="00754B96" w:rsidP="00754B96">
      <w:pPr>
        <w:pStyle w:val="Default"/>
        <w:rPr>
          <w:color w:val="auto"/>
          <w:sz w:val="22"/>
          <w:szCs w:val="22"/>
          <w:lang w:val="lt-LT"/>
        </w:rPr>
      </w:pPr>
    </w:p>
    <w:p w14:paraId="28D050C0" w14:textId="77777777" w:rsidR="00754B96" w:rsidRPr="00216B78" w:rsidRDefault="00754B96" w:rsidP="00754B96">
      <w:pPr>
        <w:pStyle w:val="Default"/>
        <w:rPr>
          <w:color w:val="auto"/>
          <w:sz w:val="22"/>
          <w:szCs w:val="22"/>
          <w:lang w:val="lt-LT"/>
        </w:rPr>
      </w:pPr>
    </w:p>
    <w:p w14:paraId="5AB6A9AB" w14:textId="77777777" w:rsidR="008E70E4" w:rsidRPr="00216B78" w:rsidRDefault="00361769" w:rsidP="00361769">
      <w:pPr>
        <w:pStyle w:val="Default"/>
        <w:ind w:left="567" w:hanging="567"/>
        <w:outlineLvl w:val="0"/>
        <w:rPr>
          <w:b/>
          <w:bCs/>
          <w:sz w:val="22"/>
          <w:szCs w:val="22"/>
          <w:lang w:val="lt-LT"/>
        </w:rPr>
      </w:pPr>
      <w:r w:rsidRPr="00216B78">
        <w:rPr>
          <w:b/>
          <w:bCs/>
          <w:sz w:val="22"/>
          <w:szCs w:val="22"/>
          <w:lang w:val="lt-LT"/>
        </w:rPr>
        <w:t>3.</w:t>
      </w:r>
      <w:r w:rsidRPr="00216B78">
        <w:rPr>
          <w:b/>
          <w:bCs/>
          <w:sz w:val="22"/>
          <w:szCs w:val="22"/>
          <w:lang w:val="lt-LT"/>
        </w:rPr>
        <w:tab/>
      </w:r>
      <w:r w:rsidR="008E70E4" w:rsidRPr="00216B78">
        <w:rPr>
          <w:b/>
          <w:bCs/>
          <w:sz w:val="22"/>
          <w:szCs w:val="22"/>
          <w:lang w:val="lt-LT"/>
        </w:rPr>
        <w:t>FARMACINĖ FORMA</w:t>
      </w:r>
    </w:p>
    <w:p w14:paraId="2C97EFBF" w14:textId="77777777" w:rsidR="00754B96" w:rsidRPr="00216B78" w:rsidRDefault="00754B96" w:rsidP="00754B96">
      <w:pPr>
        <w:pStyle w:val="Default"/>
        <w:rPr>
          <w:color w:val="auto"/>
          <w:sz w:val="22"/>
          <w:szCs w:val="22"/>
          <w:lang w:val="lt-LT"/>
        </w:rPr>
      </w:pPr>
    </w:p>
    <w:p w14:paraId="5BD53812" w14:textId="77777777" w:rsidR="008E70E4" w:rsidRPr="00216B78" w:rsidRDefault="008E70E4" w:rsidP="00754B96">
      <w:pPr>
        <w:pStyle w:val="Default"/>
        <w:rPr>
          <w:color w:val="auto"/>
          <w:sz w:val="22"/>
          <w:szCs w:val="22"/>
          <w:lang w:val="lt-LT"/>
        </w:rPr>
      </w:pPr>
      <w:r w:rsidRPr="00216B78">
        <w:rPr>
          <w:color w:val="auto"/>
          <w:sz w:val="22"/>
          <w:szCs w:val="22"/>
          <w:lang w:val="lt-LT"/>
        </w:rPr>
        <w:t>Milteliai ir tirpiklis injekciniam ar infuziniam tirpalui.</w:t>
      </w:r>
    </w:p>
    <w:p w14:paraId="1DD4E189" w14:textId="77777777" w:rsidR="00754B96" w:rsidRPr="00216B78" w:rsidRDefault="00754B96" w:rsidP="00754B96">
      <w:pPr>
        <w:pStyle w:val="Default"/>
        <w:rPr>
          <w:color w:val="auto"/>
          <w:sz w:val="22"/>
          <w:szCs w:val="22"/>
          <w:lang w:val="lt-LT"/>
        </w:rPr>
      </w:pPr>
    </w:p>
    <w:p w14:paraId="0ADCF3D4" w14:textId="7368CB12" w:rsidR="008E70E4" w:rsidRPr="00216B78" w:rsidRDefault="008E70E4" w:rsidP="00754B96">
      <w:pPr>
        <w:pStyle w:val="Default"/>
        <w:rPr>
          <w:color w:val="auto"/>
          <w:sz w:val="22"/>
          <w:szCs w:val="22"/>
          <w:lang w:val="lt-LT"/>
        </w:rPr>
      </w:pPr>
      <w:r w:rsidRPr="00216B78">
        <w:rPr>
          <w:color w:val="auto"/>
          <w:sz w:val="22"/>
          <w:szCs w:val="22"/>
          <w:lang w:val="lt-LT"/>
        </w:rPr>
        <w:t xml:space="preserve">Milteliai yra balti arba </w:t>
      </w:r>
      <w:r w:rsidR="00C74E70" w:rsidRPr="00216B78">
        <w:rPr>
          <w:color w:val="auto"/>
          <w:sz w:val="22"/>
          <w:szCs w:val="22"/>
          <w:lang w:val="lt-LT"/>
        </w:rPr>
        <w:t>gelsvi</w:t>
      </w:r>
      <w:r w:rsidRPr="00216B78">
        <w:rPr>
          <w:color w:val="auto"/>
          <w:sz w:val="22"/>
          <w:szCs w:val="22"/>
          <w:lang w:val="lt-LT"/>
        </w:rPr>
        <w:t xml:space="preserve"> ir higroskopiniai, jie atrodo kaip puri </w:t>
      </w:r>
      <w:r w:rsidR="0075228B" w:rsidRPr="00216B78">
        <w:rPr>
          <w:color w:val="auto"/>
          <w:sz w:val="22"/>
          <w:szCs w:val="22"/>
          <w:lang w:val="lt-LT"/>
        </w:rPr>
        <w:t>masė</w:t>
      </w:r>
      <w:r w:rsidRPr="00216B78">
        <w:rPr>
          <w:color w:val="auto"/>
          <w:sz w:val="22"/>
          <w:szCs w:val="22"/>
          <w:lang w:val="lt-LT"/>
        </w:rPr>
        <w:t>.</w:t>
      </w:r>
    </w:p>
    <w:p w14:paraId="5982C230" w14:textId="77777777" w:rsidR="00754B96" w:rsidRPr="00216B78" w:rsidRDefault="00754B96" w:rsidP="00754B96">
      <w:pPr>
        <w:pStyle w:val="Default"/>
        <w:rPr>
          <w:color w:val="auto"/>
          <w:sz w:val="22"/>
          <w:szCs w:val="22"/>
          <w:lang w:val="lt-LT"/>
        </w:rPr>
      </w:pPr>
    </w:p>
    <w:p w14:paraId="086091CB" w14:textId="77777777" w:rsidR="008E70E4" w:rsidRPr="00216B78" w:rsidRDefault="008E70E4" w:rsidP="00754B96">
      <w:pPr>
        <w:pStyle w:val="Default"/>
        <w:rPr>
          <w:color w:val="auto"/>
          <w:sz w:val="22"/>
          <w:szCs w:val="22"/>
          <w:lang w:val="lt-LT"/>
        </w:rPr>
      </w:pPr>
      <w:r w:rsidRPr="00216B78">
        <w:rPr>
          <w:color w:val="auto"/>
          <w:sz w:val="22"/>
          <w:szCs w:val="22"/>
          <w:lang w:val="lt-LT"/>
        </w:rPr>
        <w:t>Tirpiklis yra skaidrus ir bespalvis skystis.</w:t>
      </w:r>
    </w:p>
    <w:p w14:paraId="7BC5D0DD" w14:textId="77777777" w:rsidR="00754B96" w:rsidRPr="00216B78" w:rsidRDefault="00754B96" w:rsidP="00754B96">
      <w:pPr>
        <w:pStyle w:val="Default"/>
        <w:rPr>
          <w:color w:val="auto"/>
          <w:sz w:val="22"/>
          <w:szCs w:val="22"/>
          <w:lang w:val="lt-LT"/>
        </w:rPr>
      </w:pPr>
    </w:p>
    <w:p w14:paraId="6EEAB05C" w14:textId="77777777" w:rsidR="00754B96" w:rsidRPr="00216B78" w:rsidRDefault="00754B96" w:rsidP="00754B96">
      <w:pPr>
        <w:pStyle w:val="Default"/>
        <w:rPr>
          <w:color w:val="auto"/>
          <w:sz w:val="22"/>
          <w:szCs w:val="22"/>
          <w:lang w:val="lt-LT"/>
        </w:rPr>
      </w:pPr>
    </w:p>
    <w:p w14:paraId="3C7C9FD9" w14:textId="77777777" w:rsidR="008E70E4" w:rsidRPr="00216B78" w:rsidRDefault="00361769" w:rsidP="00361769">
      <w:pPr>
        <w:pStyle w:val="Default"/>
        <w:ind w:left="567" w:hanging="567"/>
        <w:outlineLvl w:val="0"/>
        <w:rPr>
          <w:b/>
          <w:bCs/>
          <w:sz w:val="22"/>
          <w:szCs w:val="22"/>
          <w:lang w:val="lt-LT"/>
        </w:rPr>
      </w:pPr>
      <w:r w:rsidRPr="00216B78">
        <w:rPr>
          <w:b/>
          <w:bCs/>
          <w:sz w:val="22"/>
          <w:szCs w:val="22"/>
          <w:lang w:val="lt-LT"/>
        </w:rPr>
        <w:t>4.</w:t>
      </w:r>
      <w:r w:rsidRPr="00216B78">
        <w:rPr>
          <w:b/>
          <w:bCs/>
          <w:sz w:val="22"/>
          <w:szCs w:val="22"/>
          <w:lang w:val="lt-LT"/>
        </w:rPr>
        <w:tab/>
      </w:r>
      <w:r w:rsidR="008E70E4" w:rsidRPr="00216B78">
        <w:rPr>
          <w:b/>
          <w:bCs/>
          <w:sz w:val="22"/>
          <w:szCs w:val="22"/>
          <w:lang w:val="lt-LT"/>
        </w:rPr>
        <w:t>KLINIKINĖ INFORMACIJA</w:t>
      </w:r>
    </w:p>
    <w:p w14:paraId="140D2D5D" w14:textId="77777777" w:rsidR="00754B96" w:rsidRPr="00216B78" w:rsidRDefault="00754B96" w:rsidP="007B277D">
      <w:pPr>
        <w:keepNext/>
      </w:pPr>
    </w:p>
    <w:p w14:paraId="589200FB" w14:textId="77777777" w:rsidR="008E70E4" w:rsidRPr="00216B78" w:rsidRDefault="00361769" w:rsidP="00361769">
      <w:pPr>
        <w:pStyle w:val="Default"/>
        <w:ind w:left="567" w:hanging="567"/>
        <w:outlineLvl w:val="1"/>
        <w:rPr>
          <w:sz w:val="22"/>
          <w:szCs w:val="22"/>
          <w:lang w:val="lt-LT"/>
        </w:rPr>
      </w:pPr>
      <w:r w:rsidRPr="00216B78">
        <w:rPr>
          <w:b/>
          <w:bCs/>
          <w:sz w:val="22"/>
          <w:szCs w:val="22"/>
          <w:lang w:val="lt-LT"/>
        </w:rPr>
        <w:t>4.1</w:t>
      </w:r>
      <w:r w:rsidRPr="00216B78">
        <w:rPr>
          <w:b/>
          <w:bCs/>
          <w:sz w:val="22"/>
          <w:szCs w:val="22"/>
          <w:lang w:val="lt-LT"/>
        </w:rPr>
        <w:tab/>
      </w:r>
      <w:r w:rsidR="008E70E4" w:rsidRPr="00216B78">
        <w:rPr>
          <w:b/>
          <w:bCs/>
          <w:sz w:val="22"/>
          <w:szCs w:val="22"/>
          <w:lang w:val="lt-LT"/>
        </w:rPr>
        <w:t>Terapinės indikacijos</w:t>
      </w:r>
    </w:p>
    <w:p w14:paraId="743C7FDC" w14:textId="77777777" w:rsidR="00B8436C" w:rsidRPr="00216B78" w:rsidRDefault="00B8436C" w:rsidP="007B277D">
      <w:pPr>
        <w:pStyle w:val="Default"/>
        <w:keepNext/>
        <w:rPr>
          <w:color w:val="auto"/>
          <w:sz w:val="22"/>
          <w:szCs w:val="22"/>
          <w:lang w:val="lt-LT"/>
        </w:rPr>
      </w:pPr>
    </w:p>
    <w:p w14:paraId="50022397" w14:textId="77777777" w:rsidR="008E70E4" w:rsidRPr="00216B78" w:rsidRDefault="008E70E4" w:rsidP="00754B96">
      <w:pPr>
        <w:pStyle w:val="Default"/>
        <w:rPr>
          <w:color w:val="auto"/>
          <w:sz w:val="22"/>
          <w:szCs w:val="22"/>
          <w:lang w:val="lt-LT"/>
        </w:rPr>
      </w:pPr>
      <w:r w:rsidRPr="00216B78">
        <w:rPr>
          <w:color w:val="auto"/>
          <w:sz w:val="22"/>
          <w:szCs w:val="22"/>
          <w:lang w:val="lt-LT"/>
        </w:rPr>
        <w:t xml:space="preserve">Kraujavimo </w:t>
      </w:r>
      <w:r w:rsidR="001352E6" w:rsidRPr="00216B78">
        <w:rPr>
          <w:color w:val="auto"/>
          <w:sz w:val="22"/>
          <w:szCs w:val="22"/>
          <w:lang w:val="lt-LT"/>
        </w:rPr>
        <w:t xml:space="preserve">epizodų </w:t>
      </w:r>
      <w:r w:rsidRPr="00216B78">
        <w:rPr>
          <w:color w:val="auto"/>
          <w:sz w:val="22"/>
          <w:szCs w:val="22"/>
          <w:lang w:val="lt-LT"/>
        </w:rPr>
        <w:t>gydymas ir perioperacinė profilaktika įgimta hipofibrinogenemija arba afibrinogenemija sergantiems pacientams, linkusiems į kraujavimą.</w:t>
      </w:r>
    </w:p>
    <w:p w14:paraId="7D1C3DAE" w14:textId="77777777" w:rsidR="00754B96" w:rsidRPr="00216B78" w:rsidRDefault="00754B96" w:rsidP="00754B96">
      <w:pPr>
        <w:pStyle w:val="Default"/>
        <w:rPr>
          <w:color w:val="auto"/>
          <w:sz w:val="22"/>
          <w:szCs w:val="22"/>
          <w:lang w:val="lt-LT"/>
        </w:rPr>
      </w:pPr>
    </w:p>
    <w:p w14:paraId="3F7736A5" w14:textId="77777777" w:rsidR="008E70E4" w:rsidRPr="00216B78" w:rsidRDefault="008E70E4" w:rsidP="00754B96">
      <w:pPr>
        <w:pStyle w:val="Default"/>
        <w:rPr>
          <w:color w:val="auto"/>
          <w:sz w:val="22"/>
          <w:szCs w:val="22"/>
          <w:lang w:val="lt-LT"/>
        </w:rPr>
      </w:pPr>
      <w:r w:rsidRPr="00216B78">
        <w:rPr>
          <w:color w:val="auto"/>
          <w:sz w:val="22"/>
          <w:szCs w:val="22"/>
          <w:lang w:val="lt-LT"/>
        </w:rPr>
        <w:t>Papildomas gydymas gydant nekontroliuojamą sunkią hemoragiją pacientams, sergantiems įgyta hipofibrinogenemija, chirurginės intervencijos metu.</w:t>
      </w:r>
    </w:p>
    <w:p w14:paraId="5B782A49" w14:textId="77777777" w:rsidR="00754B96" w:rsidRPr="00216B78" w:rsidRDefault="00754B96" w:rsidP="00754B96">
      <w:pPr>
        <w:pStyle w:val="Default"/>
        <w:rPr>
          <w:color w:val="auto"/>
          <w:sz w:val="22"/>
          <w:szCs w:val="22"/>
          <w:lang w:val="lt-LT"/>
        </w:rPr>
      </w:pPr>
    </w:p>
    <w:p w14:paraId="2BFB2443" w14:textId="77777777" w:rsidR="008E70E4" w:rsidRPr="00216B78" w:rsidRDefault="00361769" w:rsidP="00361769">
      <w:pPr>
        <w:pStyle w:val="Default"/>
        <w:ind w:left="567" w:hanging="567"/>
        <w:outlineLvl w:val="1"/>
        <w:rPr>
          <w:b/>
          <w:bCs/>
          <w:sz w:val="22"/>
          <w:szCs w:val="22"/>
          <w:lang w:val="lt-LT"/>
        </w:rPr>
      </w:pPr>
      <w:r w:rsidRPr="00216B78">
        <w:rPr>
          <w:b/>
          <w:bCs/>
          <w:sz w:val="22"/>
          <w:szCs w:val="22"/>
          <w:lang w:val="lt-LT"/>
        </w:rPr>
        <w:t>4.2</w:t>
      </w:r>
      <w:r w:rsidRPr="00216B78">
        <w:rPr>
          <w:b/>
          <w:bCs/>
          <w:sz w:val="22"/>
          <w:szCs w:val="22"/>
          <w:lang w:val="lt-LT"/>
        </w:rPr>
        <w:tab/>
      </w:r>
      <w:r w:rsidR="008E70E4" w:rsidRPr="00216B78">
        <w:rPr>
          <w:b/>
          <w:bCs/>
          <w:sz w:val="22"/>
          <w:szCs w:val="22"/>
          <w:lang w:val="lt-LT"/>
        </w:rPr>
        <w:t>Dozavimas ir vartojimo metodas</w:t>
      </w:r>
    </w:p>
    <w:p w14:paraId="5CAAEDD6" w14:textId="77777777" w:rsidR="00754B96" w:rsidRPr="00216B78" w:rsidRDefault="00754B96" w:rsidP="007B277D">
      <w:pPr>
        <w:pStyle w:val="Default"/>
        <w:keepNext/>
        <w:rPr>
          <w:color w:val="auto"/>
          <w:sz w:val="22"/>
          <w:szCs w:val="22"/>
          <w:lang w:val="lt-LT"/>
        </w:rPr>
      </w:pPr>
    </w:p>
    <w:p w14:paraId="2473203B" w14:textId="77777777" w:rsidR="008E70E4" w:rsidRPr="00216B78" w:rsidRDefault="008E70E4" w:rsidP="00754B96">
      <w:pPr>
        <w:pStyle w:val="Default"/>
        <w:rPr>
          <w:sz w:val="22"/>
          <w:szCs w:val="22"/>
          <w:lang w:val="lt-LT"/>
        </w:rPr>
      </w:pPr>
      <w:r w:rsidRPr="00216B78">
        <w:rPr>
          <w:color w:val="auto"/>
          <w:sz w:val="22"/>
          <w:szCs w:val="22"/>
          <w:lang w:val="lt-LT"/>
        </w:rPr>
        <w:t>Gydym</w:t>
      </w:r>
      <w:r w:rsidR="00B8436C" w:rsidRPr="00216B78">
        <w:rPr>
          <w:color w:val="auto"/>
          <w:sz w:val="22"/>
          <w:szCs w:val="22"/>
          <w:lang w:val="lt-LT"/>
        </w:rPr>
        <w:t>ą reikia pradėti prižiūrint</w:t>
      </w:r>
      <w:r w:rsidRPr="00216B78">
        <w:rPr>
          <w:color w:val="auto"/>
          <w:sz w:val="22"/>
          <w:szCs w:val="22"/>
          <w:lang w:val="lt-LT"/>
        </w:rPr>
        <w:t xml:space="preserve"> krešėjimo sutrikimų gydymo patirties turin</w:t>
      </w:r>
      <w:r w:rsidR="00B8436C" w:rsidRPr="00216B78">
        <w:rPr>
          <w:color w:val="auto"/>
          <w:sz w:val="22"/>
          <w:szCs w:val="22"/>
          <w:lang w:val="lt-LT"/>
        </w:rPr>
        <w:t>čiam</w:t>
      </w:r>
      <w:r w:rsidRPr="00216B78">
        <w:rPr>
          <w:color w:val="auto"/>
          <w:sz w:val="22"/>
          <w:szCs w:val="22"/>
          <w:lang w:val="lt-LT"/>
        </w:rPr>
        <w:t xml:space="preserve"> gydytoj</w:t>
      </w:r>
      <w:r w:rsidR="00B8436C" w:rsidRPr="00216B78">
        <w:rPr>
          <w:color w:val="auto"/>
          <w:sz w:val="22"/>
          <w:szCs w:val="22"/>
          <w:lang w:val="lt-LT"/>
        </w:rPr>
        <w:t>ui</w:t>
      </w:r>
      <w:r w:rsidRPr="00216B78">
        <w:rPr>
          <w:color w:val="auto"/>
          <w:sz w:val="22"/>
          <w:szCs w:val="22"/>
          <w:lang w:val="lt-LT"/>
        </w:rPr>
        <w:t>.</w:t>
      </w:r>
    </w:p>
    <w:p w14:paraId="6FA84A14" w14:textId="77777777" w:rsidR="00754B96" w:rsidRPr="00216B78" w:rsidRDefault="00754B96" w:rsidP="007B277D"/>
    <w:p w14:paraId="262EC885" w14:textId="77777777" w:rsidR="008E70E4" w:rsidRPr="00216B78" w:rsidRDefault="008E70E4" w:rsidP="00754B96">
      <w:pPr>
        <w:pStyle w:val="Default"/>
        <w:outlineLvl w:val="2"/>
        <w:rPr>
          <w:color w:val="auto"/>
          <w:sz w:val="22"/>
          <w:szCs w:val="22"/>
          <w:u w:val="single"/>
          <w:lang w:val="lt-LT"/>
        </w:rPr>
      </w:pPr>
      <w:r w:rsidRPr="00216B78">
        <w:rPr>
          <w:bCs/>
          <w:color w:val="auto"/>
          <w:sz w:val="22"/>
          <w:szCs w:val="22"/>
          <w:u w:val="single"/>
          <w:lang w:val="lt-LT"/>
        </w:rPr>
        <w:t>Dozavimas</w:t>
      </w:r>
    </w:p>
    <w:p w14:paraId="6BCF557B" w14:textId="77777777" w:rsidR="00754B96" w:rsidRPr="00216B78" w:rsidRDefault="00754B96" w:rsidP="007B277D">
      <w:pPr>
        <w:pStyle w:val="Default"/>
        <w:keepNext/>
        <w:rPr>
          <w:color w:val="auto"/>
          <w:sz w:val="22"/>
          <w:szCs w:val="22"/>
          <w:lang w:val="lt-LT"/>
        </w:rPr>
      </w:pPr>
    </w:p>
    <w:p w14:paraId="0C0F2E3F" w14:textId="77777777" w:rsidR="008E70E4" w:rsidRPr="00216B78" w:rsidRDefault="008E70E4" w:rsidP="00754B96">
      <w:pPr>
        <w:pStyle w:val="Default"/>
        <w:rPr>
          <w:color w:val="auto"/>
          <w:sz w:val="22"/>
          <w:szCs w:val="22"/>
          <w:lang w:val="lt-LT"/>
        </w:rPr>
      </w:pPr>
      <w:r w:rsidRPr="00216B78">
        <w:rPr>
          <w:color w:val="auto"/>
          <w:sz w:val="22"/>
          <w:szCs w:val="22"/>
          <w:lang w:val="lt-LT"/>
        </w:rPr>
        <w:t>Pakaitinio gydymo dozavimas ir trukmė priklauso nuo sutrikimo sunkumo, kraujavimo vietos ir laipsnio bei paciento klinikinės būklės.</w:t>
      </w:r>
    </w:p>
    <w:p w14:paraId="3D6DE35B" w14:textId="77777777" w:rsidR="00754B96" w:rsidRPr="00216B78" w:rsidRDefault="00754B96" w:rsidP="00754B96">
      <w:pPr>
        <w:pStyle w:val="Default"/>
        <w:rPr>
          <w:color w:val="auto"/>
          <w:sz w:val="22"/>
          <w:szCs w:val="22"/>
          <w:lang w:val="lt-LT"/>
        </w:rPr>
      </w:pPr>
    </w:p>
    <w:p w14:paraId="3BB7E3F0" w14:textId="77777777" w:rsidR="008E70E4" w:rsidRPr="00216B78" w:rsidRDefault="008E70E4" w:rsidP="00754B96">
      <w:pPr>
        <w:pStyle w:val="Default"/>
        <w:rPr>
          <w:color w:val="auto"/>
          <w:sz w:val="22"/>
          <w:szCs w:val="22"/>
          <w:lang w:val="lt-LT"/>
        </w:rPr>
      </w:pPr>
      <w:r w:rsidRPr="00216B78">
        <w:rPr>
          <w:color w:val="auto"/>
          <w:sz w:val="22"/>
          <w:szCs w:val="22"/>
          <w:lang w:val="lt-LT"/>
        </w:rPr>
        <w:t>Siekiant apskaičiuoti individualias dozes ir vartojamą kiekį bei vartojimo dažnį, (funkcinio) fibrinogeno kiekį reikia nustatyti kiekvienam pacientui individualiai, reguliariai matuojant fibrinogeno koncentraciją plazmoje ir nuolat stebint klinikinę paciento būklę bei kitus taikomus pakaitinio gydymo metodus.</w:t>
      </w:r>
    </w:p>
    <w:p w14:paraId="18B04BC7" w14:textId="77777777" w:rsidR="002E3295" w:rsidRPr="00216B78" w:rsidRDefault="002E3295" w:rsidP="00754B96">
      <w:pPr>
        <w:pStyle w:val="Default"/>
        <w:rPr>
          <w:color w:val="auto"/>
          <w:sz w:val="22"/>
          <w:szCs w:val="22"/>
          <w:lang w:val="lt-LT"/>
        </w:rPr>
      </w:pPr>
    </w:p>
    <w:p w14:paraId="3E57BFC0" w14:textId="77777777" w:rsidR="008E70E4" w:rsidRPr="00216B78" w:rsidRDefault="008E70E4" w:rsidP="00754B96">
      <w:pPr>
        <w:pStyle w:val="Default"/>
        <w:rPr>
          <w:color w:val="auto"/>
          <w:sz w:val="22"/>
          <w:szCs w:val="22"/>
          <w:lang w:val="lt-LT"/>
        </w:rPr>
      </w:pPr>
      <w:r w:rsidRPr="00216B78">
        <w:rPr>
          <w:color w:val="auto"/>
          <w:sz w:val="22"/>
          <w:szCs w:val="22"/>
          <w:lang w:val="lt-LT"/>
        </w:rPr>
        <w:lastRenderedPageBreak/>
        <w:t>Didesnės chirurginės intervencijos atveju labai svarbu tiksliai stebėti pakaitinį gydymą atliekant krešėjimo tyrimus.</w:t>
      </w:r>
    </w:p>
    <w:p w14:paraId="4763F3E7" w14:textId="77777777" w:rsidR="00754B96" w:rsidRPr="00216B78" w:rsidRDefault="00754B96" w:rsidP="00754B96">
      <w:pPr>
        <w:pStyle w:val="Default"/>
        <w:rPr>
          <w:color w:val="auto"/>
          <w:sz w:val="22"/>
          <w:szCs w:val="22"/>
          <w:lang w:val="lt-LT"/>
        </w:rPr>
      </w:pPr>
    </w:p>
    <w:p w14:paraId="6090C5E0" w14:textId="77777777" w:rsidR="008E70E4" w:rsidRPr="00216B78" w:rsidRDefault="008E70E4" w:rsidP="00754B96">
      <w:pPr>
        <w:pStyle w:val="Default"/>
        <w:keepNext/>
        <w:rPr>
          <w:color w:val="auto"/>
          <w:sz w:val="22"/>
          <w:szCs w:val="22"/>
          <w:u w:val="single"/>
          <w:lang w:val="lt-LT"/>
        </w:rPr>
      </w:pPr>
      <w:r w:rsidRPr="00216B78">
        <w:rPr>
          <w:color w:val="auto"/>
          <w:sz w:val="22"/>
          <w:szCs w:val="22"/>
          <w:u w:val="single"/>
          <w:lang w:val="lt-LT"/>
        </w:rPr>
        <w:t>1. Profilaktika įgimta hipofibrinogenemija arba afibrinogenemija sergantiems pacientams, linkusiems į kraujavimą.</w:t>
      </w:r>
    </w:p>
    <w:p w14:paraId="2D03FDDD" w14:textId="77777777" w:rsidR="00754B96" w:rsidRPr="00216B78" w:rsidRDefault="00754B96" w:rsidP="00754B96">
      <w:pPr>
        <w:pStyle w:val="Default"/>
        <w:keepNext/>
        <w:rPr>
          <w:color w:val="auto"/>
          <w:sz w:val="22"/>
          <w:szCs w:val="22"/>
          <w:u w:val="single"/>
          <w:lang w:val="lt-LT"/>
        </w:rPr>
      </w:pPr>
    </w:p>
    <w:p w14:paraId="0D2ED8D0" w14:textId="77777777" w:rsidR="008E70E4" w:rsidRPr="00216B78" w:rsidRDefault="008E70E4" w:rsidP="00754B96">
      <w:pPr>
        <w:pStyle w:val="Default"/>
        <w:rPr>
          <w:color w:val="auto"/>
          <w:sz w:val="22"/>
          <w:szCs w:val="22"/>
          <w:lang w:val="lt-LT"/>
        </w:rPr>
      </w:pPr>
      <w:r w:rsidRPr="00216B78">
        <w:rPr>
          <w:color w:val="auto"/>
          <w:sz w:val="22"/>
          <w:szCs w:val="22"/>
          <w:lang w:val="lt-LT"/>
        </w:rPr>
        <w:t>Siekiant išvengti per didelio kraujavimo chirurginių procedūrų metu, rekomenduojama taikyti profilaktinį gydymą, kad fibrinogeno kiekis būtų padidintas iki 1 g/l ir fibrinogeno kiekis išlaikomas, kol bus užtikrinta hemostazė, bei didesnį už 0,5 g/l kiekį, kol užgis žaizda.</w:t>
      </w:r>
    </w:p>
    <w:p w14:paraId="594048A7" w14:textId="77777777" w:rsidR="00754B96" w:rsidRPr="00216B78" w:rsidRDefault="00754B96" w:rsidP="00754B96">
      <w:pPr>
        <w:pStyle w:val="Default"/>
        <w:rPr>
          <w:color w:val="auto"/>
          <w:sz w:val="22"/>
          <w:szCs w:val="22"/>
          <w:lang w:val="lt-LT"/>
        </w:rPr>
      </w:pPr>
    </w:p>
    <w:p w14:paraId="12300523" w14:textId="77777777" w:rsidR="008E70E4" w:rsidRPr="00216B78" w:rsidRDefault="008E70E4" w:rsidP="00754B96">
      <w:pPr>
        <w:pStyle w:val="Default"/>
        <w:rPr>
          <w:color w:val="auto"/>
          <w:sz w:val="22"/>
          <w:szCs w:val="22"/>
          <w:lang w:val="lt-LT"/>
        </w:rPr>
      </w:pPr>
      <w:r w:rsidRPr="00216B78">
        <w:rPr>
          <w:color w:val="auto"/>
          <w:sz w:val="22"/>
          <w:szCs w:val="22"/>
          <w:lang w:val="lt-LT"/>
        </w:rPr>
        <w:t>Chirurginės procedūros arba kraujavimo epizodo gydymo atveju dozę reikia apskaičiuoti taip:</w:t>
      </w:r>
    </w:p>
    <w:p w14:paraId="5741DAB8" w14:textId="77777777" w:rsidR="002E3295" w:rsidRPr="00216B78" w:rsidRDefault="002E3295" w:rsidP="00754B96">
      <w:pPr>
        <w:pStyle w:val="Default"/>
        <w:rPr>
          <w:sz w:val="22"/>
          <w:szCs w:val="22"/>
          <w:lang w:val="lt-LT"/>
        </w:rPr>
      </w:pPr>
    </w:p>
    <w:p w14:paraId="147097DE" w14:textId="77777777" w:rsidR="008E70E4" w:rsidRPr="00216B78" w:rsidRDefault="008E70E4" w:rsidP="00754B96">
      <w:pPr>
        <w:pStyle w:val="Default"/>
        <w:rPr>
          <w:sz w:val="22"/>
          <w:szCs w:val="22"/>
          <w:lang w:val="lt-LT"/>
        </w:rPr>
      </w:pPr>
      <w:bookmarkStart w:id="1" w:name="_Hlk73605237"/>
      <w:r w:rsidRPr="00216B78">
        <w:rPr>
          <w:sz w:val="22"/>
          <w:szCs w:val="22"/>
          <w:lang w:val="lt-LT"/>
        </w:rPr>
        <w:t xml:space="preserve">Dozė (mg/kg kūno svorio) = </w:t>
      </w:r>
      <w:r w:rsidRPr="00216B78">
        <w:rPr>
          <w:sz w:val="22"/>
          <w:szCs w:val="22"/>
          <w:u w:val="single"/>
          <w:lang w:val="lt-LT"/>
        </w:rPr>
        <w:t>[Tikslinis kiekis (g/l) - išmatuotas kiekis (g/l)]</w:t>
      </w:r>
    </w:p>
    <w:p w14:paraId="3E7EDD04" w14:textId="77777777" w:rsidR="008E70E4" w:rsidRPr="00216B78" w:rsidRDefault="008E70E4" w:rsidP="00754B96">
      <w:pPr>
        <w:pStyle w:val="Default"/>
        <w:rPr>
          <w:sz w:val="22"/>
          <w:szCs w:val="22"/>
          <w:lang w:val="lt-LT"/>
        </w:rPr>
      </w:pPr>
      <w:r w:rsidRPr="00216B78">
        <w:rPr>
          <w:sz w:val="22"/>
          <w:szCs w:val="22"/>
          <w:lang w:val="lt-LT"/>
        </w:rPr>
        <w:tab/>
      </w:r>
      <w:r w:rsidRPr="00216B78">
        <w:rPr>
          <w:sz w:val="22"/>
          <w:szCs w:val="22"/>
          <w:lang w:val="lt-LT"/>
        </w:rPr>
        <w:tab/>
      </w:r>
      <w:r w:rsidRPr="00216B78">
        <w:rPr>
          <w:sz w:val="22"/>
          <w:szCs w:val="22"/>
          <w:lang w:val="lt-LT"/>
        </w:rPr>
        <w:tab/>
      </w:r>
      <w:r w:rsidRPr="00216B78">
        <w:rPr>
          <w:sz w:val="22"/>
          <w:szCs w:val="22"/>
          <w:lang w:val="lt-LT"/>
        </w:rPr>
        <w:tab/>
        <w:t xml:space="preserve">         0,018 (g/l vienam mg/kg kūno svorio)</w:t>
      </w:r>
    </w:p>
    <w:bookmarkEnd w:id="1"/>
    <w:p w14:paraId="23F1B33A" w14:textId="77777777" w:rsidR="00754B96" w:rsidRPr="00216B78" w:rsidRDefault="00754B96" w:rsidP="00754B96">
      <w:pPr>
        <w:pStyle w:val="Default"/>
        <w:rPr>
          <w:color w:val="auto"/>
          <w:sz w:val="22"/>
          <w:szCs w:val="22"/>
          <w:lang w:val="lt-LT"/>
        </w:rPr>
      </w:pPr>
    </w:p>
    <w:p w14:paraId="0A758A92" w14:textId="77777777" w:rsidR="008E70E4" w:rsidRPr="00216B78" w:rsidRDefault="008E70E4" w:rsidP="00754B96">
      <w:pPr>
        <w:pStyle w:val="Default"/>
        <w:rPr>
          <w:color w:val="auto"/>
          <w:sz w:val="22"/>
          <w:szCs w:val="22"/>
          <w:lang w:val="lt-LT"/>
        </w:rPr>
      </w:pPr>
      <w:r w:rsidRPr="00216B78">
        <w:rPr>
          <w:color w:val="auto"/>
          <w:sz w:val="22"/>
          <w:szCs w:val="22"/>
          <w:lang w:val="lt-LT"/>
        </w:rPr>
        <w:t>Tolesnį dozavimą (injekcijų dozes ir dažnį) reikia pritaikyti pagal paciento klinikinę būklę ir laboratorinių tyrimų rezultatus.</w:t>
      </w:r>
    </w:p>
    <w:p w14:paraId="5A51B5FD" w14:textId="77777777" w:rsidR="00754B96" w:rsidRPr="00216B78" w:rsidRDefault="00754B96" w:rsidP="00754B96">
      <w:pPr>
        <w:pStyle w:val="Default"/>
        <w:rPr>
          <w:color w:val="auto"/>
          <w:sz w:val="22"/>
          <w:szCs w:val="22"/>
          <w:lang w:val="lt-LT"/>
        </w:rPr>
      </w:pPr>
    </w:p>
    <w:p w14:paraId="0BBF9889" w14:textId="77777777" w:rsidR="008E70E4" w:rsidRPr="00216B78" w:rsidRDefault="008E70E4" w:rsidP="00754B96">
      <w:pPr>
        <w:pStyle w:val="Default"/>
        <w:rPr>
          <w:color w:val="auto"/>
          <w:sz w:val="22"/>
          <w:szCs w:val="22"/>
          <w:lang w:val="lt-LT"/>
        </w:rPr>
      </w:pPr>
      <w:r w:rsidRPr="00216B78">
        <w:rPr>
          <w:color w:val="auto"/>
          <w:sz w:val="22"/>
          <w:szCs w:val="22"/>
          <w:lang w:val="lt-LT"/>
        </w:rPr>
        <w:t>Fibrinogeno biologini</w:t>
      </w:r>
      <w:r w:rsidR="002E3295" w:rsidRPr="00216B78">
        <w:rPr>
          <w:color w:val="auto"/>
          <w:sz w:val="22"/>
          <w:szCs w:val="22"/>
          <w:lang w:val="lt-LT"/>
        </w:rPr>
        <w:t>s pusinės eliminacijos laikas</w:t>
      </w:r>
      <w:r w:rsidRPr="00216B78">
        <w:rPr>
          <w:color w:val="auto"/>
          <w:sz w:val="22"/>
          <w:szCs w:val="22"/>
          <w:lang w:val="lt-LT"/>
        </w:rPr>
        <w:t xml:space="preserve"> yra 3</w:t>
      </w:r>
      <w:r w:rsidRPr="00216B78">
        <w:rPr>
          <w:color w:val="auto"/>
          <w:sz w:val="22"/>
          <w:szCs w:val="22"/>
          <w:lang w:val="lt-LT"/>
        </w:rPr>
        <w:noBreakHyphen/>
        <w:t>4 dienos. Todėl, jei nevartojama, kartotinio gydymo žmogaus fibrinogenu paprastai nereikia. Atsižvelgiant į kaupimąsi, kuris vyksta kartotinio vartojimo profilaktikos tikslais atveju, dozę ir dažnį reikia nustatyti pagal konkrečiam pacientui gydytojo numatytus gydymo tikslus.</w:t>
      </w:r>
    </w:p>
    <w:p w14:paraId="504B6947" w14:textId="77777777" w:rsidR="001352E6" w:rsidRPr="00216B78" w:rsidRDefault="001352E6" w:rsidP="00754B96">
      <w:pPr>
        <w:pStyle w:val="Default"/>
        <w:rPr>
          <w:color w:val="auto"/>
          <w:sz w:val="22"/>
          <w:szCs w:val="22"/>
          <w:lang w:val="lt-LT"/>
        </w:rPr>
      </w:pPr>
    </w:p>
    <w:p w14:paraId="7812BAC1" w14:textId="77777777" w:rsidR="001352E6" w:rsidRPr="00216B78" w:rsidRDefault="001352E6" w:rsidP="00754B96">
      <w:pPr>
        <w:pStyle w:val="Default"/>
        <w:rPr>
          <w:i/>
          <w:iCs/>
          <w:color w:val="auto"/>
          <w:sz w:val="22"/>
          <w:szCs w:val="22"/>
          <w:lang w:val="lt-LT"/>
        </w:rPr>
      </w:pPr>
      <w:r w:rsidRPr="00216B78">
        <w:rPr>
          <w:i/>
          <w:iCs/>
          <w:color w:val="auto"/>
          <w:sz w:val="22"/>
          <w:szCs w:val="22"/>
          <w:lang w:val="lt-LT"/>
        </w:rPr>
        <w:t>Vaikų populiacija</w:t>
      </w:r>
    </w:p>
    <w:p w14:paraId="019388E2" w14:textId="77777777" w:rsidR="001352E6" w:rsidRPr="00216B78" w:rsidRDefault="001352E6" w:rsidP="00754B96">
      <w:pPr>
        <w:pStyle w:val="Default"/>
        <w:rPr>
          <w:color w:val="auto"/>
          <w:sz w:val="22"/>
          <w:szCs w:val="22"/>
          <w:lang w:val="lt-LT"/>
        </w:rPr>
      </w:pPr>
    </w:p>
    <w:p w14:paraId="13F708DE" w14:textId="77777777" w:rsidR="001352E6" w:rsidRPr="00216B78" w:rsidRDefault="001352E6" w:rsidP="00754B96">
      <w:pPr>
        <w:pStyle w:val="Default"/>
        <w:rPr>
          <w:color w:val="auto"/>
          <w:sz w:val="22"/>
          <w:szCs w:val="22"/>
          <w:lang w:val="lt-LT"/>
        </w:rPr>
      </w:pPr>
      <w:bookmarkStart w:id="2" w:name="_Hlk73615916"/>
      <w:r w:rsidRPr="00216B78">
        <w:rPr>
          <w:color w:val="auto"/>
          <w:sz w:val="22"/>
          <w:szCs w:val="22"/>
          <w:lang w:val="lt-LT"/>
        </w:rPr>
        <w:t xml:space="preserve">Chirurginės procedūros arba kraujavimo epizodo gydymo atveju dozė paaugliams apskaičiuojama pagal aukščiau aprašytą formulę suaugusiesiems, o dozę vaikams, jaunesniems nei 12 metų reikia apskaičiuoti </w:t>
      </w:r>
      <w:r w:rsidR="00247DA9" w:rsidRPr="00216B78">
        <w:rPr>
          <w:color w:val="auto"/>
          <w:sz w:val="22"/>
          <w:szCs w:val="22"/>
          <w:lang w:val="lt-LT"/>
        </w:rPr>
        <w:t>taip:</w:t>
      </w:r>
    </w:p>
    <w:p w14:paraId="071BDA0F" w14:textId="77777777" w:rsidR="00247DA9" w:rsidRPr="00216B78" w:rsidRDefault="00247DA9" w:rsidP="00754B96">
      <w:pPr>
        <w:pStyle w:val="Default"/>
        <w:rPr>
          <w:color w:val="auto"/>
          <w:sz w:val="22"/>
          <w:szCs w:val="22"/>
          <w:lang w:val="lt-LT"/>
        </w:rPr>
      </w:pPr>
    </w:p>
    <w:p w14:paraId="52893346" w14:textId="77777777" w:rsidR="00247DA9" w:rsidRPr="00216B78" w:rsidRDefault="00247DA9" w:rsidP="00247DA9">
      <w:pPr>
        <w:pStyle w:val="Default"/>
        <w:rPr>
          <w:sz w:val="22"/>
          <w:szCs w:val="22"/>
          <w:lang w:val="lt-LT"/>
        </w:rPr>
      </w:pPr>
      <w:r w:rsidRPr="00216B78">
        <w:rPr>
          <w:sz w:val="22"/>
          <w:szCs w:val="22"/>
          <w:lang w:val="lt-LT"/>
        </w:rPr>
        <w:t xml:space="preserve">Dozė (mg/kg kūno svorio) = </w:t>
      </w:r>
      <w:r w:rsidRPr="00216B78">
        <w:rPr>
          <w:sz w:val="22"/>
          <w:szCs w:val="22"/>
          <w:u w:val="single"/>
          <w:lang w:val="lt-LT"/>
        </w:rPr>
        <w:t>[Tikslinis kiekis (g/l) - išmatuotas kiekis (g/l)]</w:t>
      </w:r>
    </w:p>
    <w:p w14:paraId="7480E100" w14:textId="77777777" w:rsidR="00247DA9" w:rsidRPr="00216B78" w:rsidRDefault="00247DA9" w:rsidP="00247DA9">
      <w:pPr>
        <w:pStyle w:val="Default"/>
        <w:rPr>
          <w:sz w:val="22"/>
          <w:szCs w:val="22"/>
          <w:lang w:val="lt-LT"/>
        </w:rPr>
      </w:pPr>
      <w:r w:rsidRPr="00216B78">
        <w:rPr>
          <w:sz w:val="22"/>
          <w:szCs w:val="22"/>
          <w:lang w:val="lt-LT"/>
        </w:rPr>
        <w:tab/>
      </w:r>
      <w:r w:rsidRPr="00216B78">
        <w:rPr>
          <w:sz w:val="22"/>
          <w:szCs w:val="22"/>
          <w:lang w:val="lt-LT"/>
        </w:rPr>
        <w:tab/>
      </w:r>
      <w:r w:rsidRPr="00216B78">
        <w:rPr>
          <w:sz w:val="22"/>
          <w:szCs w:val="22"/>
          <w:lang w:val="lt-LT"/>
        </w:rPr>
        <w:tab/>
      </w:r>
      <w:r w:rsidRPr="00216B78">
        <w:rPr>
          <w:sz w:val="22"/>
          <w:szCs w:val="22"/>
          <w:lang w:val="lt-LT"/>
        </w:rPr>
        <w:tab/>
        <w:t xml:space="preserve">         0,014 (g/l vienam mg/kg kūno svorio)</w:t>
      </w:r>
    </w:p>
    <w:p w14:paraId="0F44B9FC" w14:textId="77777777" w:rsidR="00247DA9" w:rsidRPr="00216B78" w:rsidRDefault="00247DA9" w:rsidP="00754B96">
      <w:pPr>
        <w:pStyle w:val="Default"/>
        <w:rPr>
          <w:color w:val="auto"/>
          <w:sz w:val="22"/>
          <w:szCs w:val="22"/>
          <w:lang w:val="lt-LT"/>
        </w:rPr>
      </w:pPr>
    </w:p>
    <w:p w14:paraId="5A9FAB1F" w14:textId="77777777" w:rsidR="00247DA9" w:rsidRPr="00216B78" w:rsidRDefault="00247DA9" w:rsidP="00247DA9">
      <w:pPr>
        <w:pStyle w:val="Default"/>
        <w:rPr>
          <w:color w:val="auto"/>
          <w:sz w:val="22"/>
          <w:szCs w:val="22"/>
          <w:lang w:val="lt-LT"/>
        </w:rPr>
      </w:pPr>
      <w:r w:rsidRPr="00216B78">
        <w:rPr>
          <w:color w:val="auto"/>
          <w:sz w:val="22"/>
          <w:szCs w:val="22"/>
          <w:lang w:val="lt-LT"/>
        </w:rPr>
        <w:t>Tolesnį dozavimą reikia pritaikyti pagal paciento klinikinę būklę ir laboratorinių tyrimų rezultatus.</w:t>
      </w:r>
    </w:p>
    <w:bookmarkEnd w:id="2"/>
    <w:p w14:paraId="3A74B567" w14:textId="77777777" w:rsidR="00754B96" w:rsidRPr="00216B78" w:rsidRDefault="00754B96" w:rsidP="007B277D"/>
    <w:p w14:paraId="2A6014E6" w14:textId="77777777" w:rsidR="008E70E4" w:rsidRPr="00216B78" w:rsidRDefault="008E70E4" w:rsidP="00754B96">
      <w:pPr>
        <w:pStyle w:val="Default"/>
        <w:rPr>
          <w:i/>
          <w:color w:val="auto"/>
          <w:sz w:val="22"/>
          <w:szCs w:val="22"/>
          <w:lang w:val="lt-LT"/>
        </w:rPr>
      </w:pPr>
      <w:r w:rsidRPr="00216B78">
        <w:rPr>
          <w:bCs/>
          <w:i/>
          <w:color w:val="auto"/>
          <w:sz w:val="22"/>
          <w:szCs w:val="22"/>
          <w:lang w:val="lt-LT"/>
        </w:rPr>
        <w:t>Senyvi pacientai</w:t>
      </w:r>
    </w:p>
    <w:p w14:paraId="430E8549" w14:textId="77777777" w:rsidR="00754B96" w:rsidRPr="00216B78" w:rsidRDefault="00754B96" w:rsidP="00754B96">
      <w:pPr>
        <w:pStyle w:val="Default"/>
        <w:rPr>
          <w:color w:val="auto"/>
          <w:sz w:val="22"/>
          <w:szCs w:val="22"/>
          <w:lang w:val="lt-LT"/>
        </w:rPr>
      </w:pPr>
    </w:p>
    <w:p w14:paraId="1F1C112C" w14:textId="77777777" w:rsidR="008E70E4" w:rsidRPr="00216B78" w:rsidRDefault="008E70E4" w:rsidP="00754B96">
      <w:pPr>
        <w:pStyle w:val="Default"/>
        <w:rPr>
          <w:color w:val="auto"/>
          <w:sz w:val="22"/>
          <w:szCs w:val="22"/>
          <w:lang w:val="lt-LT"/>
        </w:rPr>
      </w:pPr>
      <w:r w:rsidRPr="00216B78">
        <w:rPr>
          <w:color w:val="auto"/>
          <w:sz w:val="22"/>
          <w:szCs w:val="22"/>
          <w:lang w:val="lt-LT"/>
        </w:rPr>
        <w:t xml:space="preserve">Į </w:t>
      </w:r>
      <w:r w:rsidR="00324E4D" w:rsidRPr="00216B78">
        <w:rPr>
          <w:color w:val="auto"/>
          <w:sz w:val="22"/>
          <w:szCs w:val="22"/>
          <w:lang w:val="lt-LT"/>
        </w:rPr>
        <w:t>fibryga</w:t>
      </w:r>
      <w:r w:rsidR="00324E4D" w:rsidRPr="00216B78" w:rsidDel="00324E4D">
        <w:rPr>
          <w:color w:val="auto"/>
          <w:sz w:val="22"/>
          <w:szCs w:val="22"/>
          <w:lang w:val="lt-LT"/>
        </w:rPr>
        <w:t xml:space="preserve"> </w:t>
      </w:r>
      <w:r w:rsidRPr="00216B78">
        <w:rPr>
          <w:color w:val="auto"/>
          <w:sz w:val="22"/>
          <w:szCs w:val="22"/>
          <w:lang w:val="lt-LT"/>
        </w:rPr>
        <w:t>klinikinius tyrimus nebuvo įtraukti 65 metų ir vyresni pacientai, todėl nėra patikimų duomenų, ar jie reaguoja kitaip nei jaunesni pacientai.</w:t>
      </w:r>
    </w:p>
    <w:p w14:paraId="12CB7BAF" w14:textId="77777777" w:rsidR="00754B96" w:rsidRPr="00216B78" w:rsidRDefault="00754B96" w:rsidP="00754B96">
      <w:pPr>
        <w:pStyle w:val="Default"/>
        <w:rPr>
          <w:color w:val="auto"/>
          <w:sz w:val="22"/>
          <w:szCs w:val="22"/>
          <w:u w:val="single"/>
          <w:lang w:val="lt-LT"/>
        </w:rPr>
      </w:pPr>
    </w:p>
    <w:p w14:paraId="2354B2FB" w14:textId="77777777" w:rsidR="008E70E4" w:rsidRPr="00216B78" w:rsidRDefault="008E70E4" w:rsidP="00754B96">
      <w:pPr>
        <w:pStyle w:val="Default"/>
        <w:rPr>
          <w:color w:val="auto"/>
          <w:sz w:val="22"/>
          <w:szCs w:val="22"/>
          <w:u w:val="single"/>
          <w:lang w:val="lt-LT"/>
        </w:rPr>
      </w:pPr>
      <w:r w:rsidRPr="00216B78">
        <w:rPr>
          <w:color w:val="auto"/>
          <w:sz w:val="22"/>
          <w:szCs w:val="22"/>
          <w:u w:val="single"/>
          <w:lang w:val="lt-LT"/>
        </w:rPr>
        <w:t>2. Kraujavimo gydymas</w:t>
      </w:r>
    </w:p>
    <w:p w14:paraId="036308D3" w14:textId="77777777" w:rsidR="00754B96" w:rsidRPr="00216B78" w:rsidRDefault="00754B96" w:rsidP="00754B96">
      <w:pPr>
        <w:pStyle w:val="Default"/>
        <w:rPr>
          <w:color w:val="auto"/>
          <w:sz w:val="22"/>
          <w:szCs w:val="22"/>
          <w:u w:val="single"/>
          <w:lang w:val="lt-LT"/>
        </w:rPr>
      </w:pPr>
    </w:p>
    <w:p w14:paraId="09563EA1" w14:textId="77777777" w:rsidR="008E70E4" w:rsidRPr="00216B78" w:rsidRDefault="008E70E4" w:rsidP="00754B96">
      <w:pPr>
        <w:pStyle w:val="ATextBericht"/>
        <w:spacing w:before="0" w:after="0"/>
        <w:jc w:val="left"/>
        <w:rPr>
          <w:i/>
          <w:sz w:val="22"/>
          <w:szCs w:val="22"/>
          <w:lang w:val="lt-LT"/>
        </w:rPr>
      </w:pPr>
      <w:r w:rsidRPr="00216B78">
        <w:rPr>
          <w:bCs/>
          <w:i/>
          <w:sz w:val="22"/>
          <w:szCs w:val="22"/>
          <w:lang w:val="lt-LT"/>
        </w:rPr>
        <w:t>Kraujavimas pacientams, sergantiems įgimta hipofibrinogenemija arba afibrinogenemija</w:t>
      </w:r>
    </w:p>
    <w:p w14:paraId="4CAD4DE6" w14:textId="77777777" w:rsidR="00754B96" w:rsidRPr="00216B78" w:rsidRDefault="00754B96" w:rsidP="00754B96">
      <w:pPr>
        <w:pStyle w:val="ATextBericht"/>
        <w:spacing w:before="0" w:after="0"/>
        <w:jc w:val="left"/>
        <w:rPr>
          <w:sz w:val="22"/>
          <w:szCs w:val="22"/>
          <w:lang w:val="lt-LT"/>
        </w:rPr>
      </w:pPr>
    </w:p>
    <w:p w14:paraId="2F925F3A" w14:textId="77777777" w:rsidR="008E70E4" w:rsidRPr="00216B78" w:rsidRDefault="008E70E4" w:rsidP="00754B96">
      <w:pPr>
        <w:pStyle w:val="ATextBericht"/>
        <w:spacing w:before="0" w:after="0"/>
        <w:jc w:val="left"/>
        <w:rPr>
          <w:b/>
          <w:sz w:val="22"/>
          <w:szCs w:val="22"/>
          <w:lang w:val="lt-LT"/>
        </w:rPr>
      </w:pPr>
      <w:r w:rsidRPr="00216B78">
        <w:rPr>
          <w:sz w:val="22"/>
          <w:szCs w:val="22"/>
          <w:lang w:val="lt-LT"/>
        </w:rPr>
        <w:t>Kraujavim</w:t>
      </w:r>
      <w:r w:rsidR="0014333F" w:rsidRPr="00216B78">
        <w:rPr>
          <w:sz w:val="22"/>
          <w:szCs w:val="22"/>
          <w:lang w:val="lt-LT"/>
        </w:rPr>
        <w:t>o epizodus</w:t>
      </w:r>
      <w:r w:rsidRPr="00216B78">
        <w:rPr>
          <w:sz w:val="22"/>
          <w:szCs w:val="22"/>
          <w:lang w:val="lt-LT"/>
        </w:rPr>
        <w:t xml:space="preserve"> reikia gydyti</w:t>
      </w:r>
      <w:r w:rsidR="0014333F" w:rsidRPr="00216B78">
        <w:rPr>
          <w:sz w:val="22"/>
          <w:szCs w:val="22"/>
          <w:lang w:val="lt-LT"/>
        </w:rPr>
        <w:t xml:space="preserve"> </w:t>
      </w:r>
      <w:bookmarkStart w:id="3" w:name="_Hlk73616008"/>
      <w:r w:rsidR="0014333F" w:rsidRPr="00216B78">
        <w:rPr>
          <w:sz w:val="22"/>
          <w:szCs w:val="22"/>
          <w:lang w:val="lt-LT"/>
        </w:rPr>
        <w:t>remiantis aukščiau aprašytomis atitinkamomis formulėmis suaugusiesiems ir (arba) paaugliams ir vaikams,</w:t>
      </w:r>
      <w:bookmarkEnd w:id="3"/>
      <w:r w:rsidR="0014333F" w:rsidRPr="00216B78">
        <w:rPr>
          <w:sz w:val="22"/>
          <w:szCs w:val="22"/>
          <w:lang w:val="lt-LT"/>
        </w:rPr>
        <w:t xml:space="preserve"> </w:t>
      </w:r>
      <w:r w:rsidRPr="00216B78">
        <w:rPr>
          <w:sz w:val="22"/>
          <w:szCs w:val="22"/>
          <w:lang w:val="lt-LT"/>
        </w:rPr>
        <w:t>kad būtų pasiekta rekomenduojama tikslinė 1 g/l fibrinogeno koncentracija plazmoje. Šią koncentraciją reikia išlaikyti, kol bus užtikrinta hemostazė.</w:t>
      </w:r>
    </w:p>
    <w:p w14:paraId="1D5BF26A" w14:textId="77777777" w:rsidR="00754B96" w:rsidRPr="00216B78" w:rsidRDefault="00754B96" w:rsidP="00754B96">
      <w:pPr>
        <w:pStyle w:val="ATextBericht"/>
        <w:spacing w:before="0" w:after="0"/>
        <w:jc w:val="left"/>
        <w:rPr>
          <w:b/>
          <w:bCs/>
          <w:sz w:val="22"/>
          <w:szCs w:val="22"/>
          <w:lang w:val="lt-LT"/>
        </w:rPr>
      </w:pPr>
    </w:p>
    <w:p w14:paraId="6B6F84C7" w14:textId="77777777" w:rsidR="008E70E4" w:rsidRPr="00216B78" w:rsidRDefault="008E70E4" w:rsidP="00BE6BC3">
      <w:pPr>
        <w:pStyle w:val="ATextBericht"/>
        <w:spacing w:before="0" w:after="0"/>
        <w:jc w:val="left"/>
        <w:rPr>
          <w:i/>
          <w:sz w:val="22"/>
          <w:szCs w:val="22"/>
          <w:lang w:val="lt-LT"/>
        </w:rPr>
      </w:pPr>
      <w:r w:rsidRPr="00216B78">
        <w:rPr>
          <w:bCs/>
          <w:i/>
          <w:sz w:val="22"/>
          <w:szCs w:val="22"/>
          <w:lang w:val="lt-LT"/>
        </w:rPr>
        <w:t>Kraujavimas pacientams, sergantiems įgyta fibrinogeno stoka</w:t>
      </w:r>
    </w:p>
    <w:p w14:paraId="3045AFF1" w14:textId="77777777" w:rsidR="002E3295" w:rsidRPr="00216B78" w:rsidRDefault="002E3295" w:rsidP="006B6FC5">
      <w:pPr>
        <w:autoSpaceDE w:val="0"/>
        <w:autoSpaceDN w:val="0"/>
        <w:adjustRightInd w:val="0"/>
        <w:rPr>
          <w:color w:val="000000"/>
          <w:lang w:eastAsia="de-CH"/>
        </w:rPr>
      </w:pPr>
    </w:p>
    <w:p w14:paraId="7C7B8EE2" w14:textId="77777777" w:rsidR="008E70E4" w:rsidRPr="00216B78" w:rsidRDefault="008E70E4" w:rsidP="006B6FC5">
      <w:pPr>
        <w:autoSpaceDE w:val="0"/>
        <w:autoSpaceDN w:val="0"/>
        <w:adjustRightInd w:val="0"/>
        <w:rPr>
          <w:color w:val="000000"/>
          <w:lang w:eastAsia="de-CH"/>
        </w:rPr>
      </w:pPr>
      <w:r w:rsidRPr="00216B78">
        <w:rPr>
          <w:color w:val="000000"/>
          <w:lang w:eastAsia="de-CH"/>
        </w:rPr>
        <w:t>Suaugusieji</w:t>
      </w:r>
    </w:p>
    <w:p w14:paraId="2B25683E" w14:textId="77777777" w:rsidR="00754B96" w:rsidRPr="00216B78" w:rsidRDefault="00754B96" w:rsidP="006B6FC5">
      <w:pPr>
        <w:autoSpaceDE w:val="0"/>
        <w:autoSpaceDN w:val="0"/>
        <w:adjustRightInd w:val="0"/>
        <w:rPr>
          <w:color w:val="000000"/>
          <w:lang w:eastAsia="de-CH"/>
        </w:rPr>
      </w:pPr>
    </w:p>
    <w:p w14:paraId="551CDAFA" w14:textId="77777777" w:rsidR="008E70E4" w:rsidRPr="00216B78" w:rsidRDefault="008E70E4" w:rsidP="00754B96">
      <w:pPr>
        <w:pStyle w:val="ATextBericht"/>
        <w:spacing w:before="0" w:after="0"/>
        <w:jc w:val="left"/>
        <w:rPr>
          <w:sz w:val="22"/>
          <w:szCs w:val="22"/>
          <w:lang w:val="lt-LT"/>
        </w:rPr>
      </w:pPr>
      <w:r w:rsidRPr="00216B78">
        <w:rPr>
          <w:sz w:val="22"/>
          <w:szCs w:val="22"/>
          <w:lang w:val="lt-LT"/>
        </w:rPr>
        <w:t>Paprastai iš pradžių skiriama 1</w:t>
      </w:r>
      <w:r w:rsidR="002E3295" w:rsidRPr="00216B78">
        <w:rPr>
          <w:sz w:val="22"/>
          <w:szCs w:val="22"/>
          <w:lang w:val="lt-LT"/>
        </w:rPr>
        <w:t> – </w:t>
      </w:r>
      <w:r w:rsidRPr="00216B78">
        <w:rPr>
          <w:sz w:val="22"/>
          <w:szCs w:val="22"/>
          <w:lang w:val="lt-LT"/>
        </w:rPr>
        <w:t>2 g, po to skiriamos infuzijos pagal poreikį. Sunkaus kraujavimo, pvz., didelės apimties operacijos, atveju gali reikėti didesnių fibrinogeno kiekių (4</w:t>
      </w:r>
      <w:r w:rsidR="002E3295" w:rsidRPr="00216B78">
        <w:rPr>
          <w:sz w:val="22"/>
          <w:szCs w:val="22"/>
          <w:lang w:val="lt-LT"/>
        </w:rPr>
        <w:t> – </w:t>
      </w:r>
      <w:r w:rsidRPr="00216B78">
        <w:rPr>
          <w:sz w:val="22"/>
          <w:szCs w:val="22"/>
          <w:lang w:val="lt-LT"/>
        </w:rPr>
        <w:t>8 g).</w:t>
      </w:r>
    </w:p>
    <w:p w14:paraId="4F099B76" w14:textId="77777777" w:rsidR="00754B96" w:rsidRPr="00216B78" w:rsidRDefault="00754B96" w:rsidP="00754B96">
      <w:pPr>
        <w:pStyle w:val="ATextBericht"/>
        <w:spacing w:before="0" w:after="0"/>
        <w:jc w:val="left"/>
        <w:rPr>
          <w:sz w:val="22"/>
          <w:szCs w:val="22"/>
          <w:lang w:val="lt-LT"/>
        </w:rPr>
      </w:pPr>
    </w:p>
    <w:p w14:paraId="3E9DD443" w14:textId="77777777" w:rsidR="008E70E4" w:rsidRPr="00216B78" w:rsidRDefault="008E70E4" w:rsidP="00754B96">
      <w:pPr>
        <w:autoSpaceDE w:val="0"/>
        <w:autoSpaceDN w:val="0"/>
        <w:adjustRightInd w:val="0"/>
        <w:rPr>
          <w:i/>
          <w:iCs/>
          <w:color w:val="000000"/>
          <w:lang w:eastAsia="de-CH"/>
        </w:rPr>
      </w:pPr>
      <w:r w:rsidRPr="00216B78">
        <w:rPr>
          <w:i/>
          <w:iCs/>
          <w:color w:val="000000"/>
          <w:lang w:eastAsia="de-CH"/>
        </w:rPr>
        <w:t>Vaik</w:t>
      </w:r>
      <w:r w:rsidR="0014333F" w:rsidRPr="00216B78">
        <w:rPr>
          <w:i/>
          <w:iCs/>
          <w:color w:val="000000"/>
          <w:lang w:eastAsia="de-CH"/>
        </w:rPr>
        <w:t>ų populiacija</w:t>
      </w:r>
    </w:p>
    <w:p w14:paraId="47E4D260" w14:textId="77777777" w:rsidR="0014333F" w:rsidRPr="00216B78" w:rsidRDefault="0014333F" w:rsidP="007B277D">
      <w:pPr>
        <w:pStyle w:val="ATextBericht"/>
        <w:keepNext/>
        <w:spacing w:before="0" w:after="0"/>
        <w:jc w:val="left"/>
        <w:rPr>
          <w:sz w:val="22"/>
          <w:szCs w:val="22"/>
          <w:lang w:val="lt-LT"/>
        </w:rPr>
      </w:pPr>
    </w:p>
    <w:p w14:paraId="30678405" w14:textId="77777777" w:rsidR="008E70E4" w:rsidRPr="00216B78" w:rsidRDefault="008E70E4" w:rsidP="00754B96">
      <w:pPr>
        <w:pStyle w:val="ATextBericht"/>
        <w:spacing w:before="0" w:after="0"/>
        <w:jc w:val="left"/>
        <w:rPr>
          <w:sz w:val="22"/>
          <w:szCs w:val="22"/>
          <w:lang w:val="lt-LT"/>
        </w:rPr>
      </w:pPr>
      <w:r w:rsidRPr="00216B78">
        <w:rPr>
          <w:sz w:val="22"/>
          <w:szCs w:val="22"/>
          <w:lang w:val="lt-LT"/>
        </w:rPr>
        <w:t>Dozę galima nustatyti pagal kūno svorį ir klinikinį poreikį, tačiau paprastai skiriama 20</w:t>
      </w:r>
      <w:r w:rsidR="002E3295" w:rsidRPr="00216B78">
        <w:rPr>
          <w:sz w:val="22"/>
          <w:szCs w:val="22"/>
          <w:lang w:val="lt-LT"/>
        </w:rPr>
        <w:t> – </w:t>
      </w:r>
      <w:r w:rsidRPr="00216B78">
        <w:rPr>
          <w:sz w:val="22"/>
          <w:szCs w:val="22"/>
          <w:lang w:val="lt-LT"/>
        </w:rPr>
        <w:t>30 mg/kg dozė.</w:t>
      </w:r>
    </w:p>
    <w:p w14:paraId="0E4070D0" w14:textId="77777777" w:rsidR="00754B96" w:rsidRPr="00216B78" w:rsidRDefault="00754B96" w:rsidP="007B277D"/>
    <w:p w14:paraId="5934897E" w14:textId="77777777" w:rsidR="008E70E4" w:rsidRPr="00216B78" w:rsidRDefault="008E70E4" w:rsidP="00754B96">
      <w:pPr>
        <w:pStyle w:val="Default"/>
        <w:keepNext/>
        <w:outlineLvl w:val="2"/>
        <w:rPr>
          <w:bCs/>
          <w:color w:val="auto"/>
          <w:sz w:val="22"/>
          <w:szCs w:val="22"/>
          <w:u w:val="single"/>
          <w:lang w:val="lt-LT"/>
        </w:rPr>
      </w:pPr>
      <w:r w:rsidRPr="00216B78">
        <w:rPr>
          <w:bCs/>
          <w:color w:val="auto"/>
          <w:sz w:val="22"/>
          <w:szCs w:val="22"/>
          <w:u w:val="single"/>
          <w:lang w:val="lt-LT"/>
        </w:rPr>
        <w:t>Vartojimo metodas</w:t>
      </w:r>
    </w:p>
    <w:p w14:paraId="4F8B8DE0" w14:textId="77777777" w:rsidR="00754B96" w:rsidRPr="00216B78" w:rsidRDefault="00754B96" w:rsidP="007B277D">
      <w:pPr>
        <w:keepNext/>
      </w:pPr>
    </w:p>
    <w:p w14:paraId="37CEA1D1" w14:textId="77777777" w:rsidR="008E70E4" w:rsidRPr="00216B78" w:rsidRDefault="00F879D5" w:rsidP="00754B96">
      <w:pPr>
        <w:pStyle w:val="Default"/>
        <w:rPr>
          <w:color w:val="auto"/>
          <w:sz w:val="22"/>
          <w:szCs w:val="22"/>
          <w:lang w:val="lt-LT"/>
        </w:rPr>
      </w:pPr>
      <w:r w:rsidRPr="00216B78">
        <w:rPr>
          <w:color w:val="auto"/>
          <w:sz w:val="22"/>
          <w:szCs w:val="22"/>
          <w:lang w:val="lt-LT"/>
        </w:rPr>
        <w:t>Infuzija arba injekcija į veną</w:t>
      </w:r>
      <w:r w:rsidR="008E70E4" w:rsidRPr="00216B78">
        <w:rPr>
          <w:color w:val="auto"/>
          <w:sz w:val="22"/>
          <w:szCs w:val="22"/>
          <w:lang w:val="lt-LT"/>
        </w:rPr>
        <w:t>.</w:t>
      </w:r>
    </w:p>
    <w:p w14:paraId="0D22A7CB" w14:textId="77777777" w:rsidR="00754B96" w:rsidRPr="00216B78" w:rsidRDefault="00754B96" w:rsidP="00754B96">
      <w:pPr>
        <w:pStyle w:val="Default"/>
        <w:rPr>
          <w:color w:val="auto"/>
          <w:sz w:val="22"/>
          <w:szCs w:val="22"/>
          <w:lang w:val="lt-LT"/>
        </w:rPr>
      </w:pPr>
    </w:p>
    <w:p w14:paraId="058BDA8F" w14:textId="77777777" w:rsidR="008E70E4" w:rsidRPr="00216B78" w:rsidRDefault="00BE7183" w:rsidP="00754B96">
      <w:pPr>
        <w:pStyle w:val="Default"/>
        <w:rPr>
          <w:color w:val="auto"/>
          <w:sz w:val="22"/>
          <w:szCs w:val="22"/>
          <w:lang w:val="lt-LT"/>
        </w:rPr>
      </w:pPr>
      <w:r w:rsidRPr="00216B78">
        <w:rPr>
          <w:color w:val="auto"/>
          <w:sz w:val="22"/>
          <w:szCs w:val="22"/>
          <w:lang w:val="lt-LT"/>
        </w:rPr>
        <w:t>f</w:t>
      </w:r>
      <w:r w:rsidR="00324E4D" w:rsidRPr="00216B78">
        <w:rPr>
          <w:color w:val="auto"/>
          <w:sz w:val="22"/>
          <w:szCs w:val="22"/>
          <w:lang w:val="lt-LT"/>
        </w:rPr>
        <w:t xml:space="preserve">ibryga </w:t>
      </w:r>
      <w:r w:rsidR="008E70E4" w:rsidRPr="00216B78">
        <w:rPr>
          <w:color w:val="auto"/>
          <w:sz w:val="22"/>
          <w:szCs w:val="22"/>
          <w:lang w:val="lt-LT"/>
        </w:rPr>
        <w:t>reikia lėtai leisti į veną rekomenduojamu ne didesniu kaip 5 ml per minutę greičiu pacientams, sergantiems įgimta hipofibrinogenemija arba afibrinogenemija, ir rekomenduojamu ne didesniu kaip 10 ml per minutę greičiu pacientams, sergantiems įgyta fibrinogeno stoka.</w:t>
      </w:r>
    </w:p>
    <w:p w14:paraId="614C622F" w14:textId="77777777" w:rsidR="005C294B" w:rsidRPr="00216B78" w:rsidRDefault="005C294B" w:rsidP="00754B96">
      <w:pPr>
        <w:pStyle w:val="Default"/>
        <w:rPr>
          <w:sz w:val="22"/>
          <w:szCs w:val="22"/>
          <w:lang w:val="lt-LT"/>
        </w:rPr>
      </w:pPr>
    </w:p>
    <w:p w14:paraId="4A5F94CB" w14:textId="77777777" w:rsidR="008E70E4" w:rsidRPr="00216B78" w:rsidRDefault="008E70E4" w:rsidP="00754B96">
      <w:pPr>
        <w:pStyle w:val="Default"/>
        <w:rPr>
          <w:sz w:val="22"/>
          <w:szCs w:val="22"/>
          <w:lang w:val="lt-LT"/>
        </w:rPr>
      </w:pPr>
      <w:r w:rsidRPr="00216B78">
        <w:rPr>
          <w:sz w:val="22"/>
          <w:szCs w:val="22"/>
          <w:lang w:val="lt-LT"/>
        </w:rPr>
        <w:t>Vaistinio preparato ruošimo prieš vartojant instrukcija pateikiama 6.6 skyriuje.</w:t>
      </w:r>
    </w:p>
    <w:p w14:paraId="4FDC02EA" w14:textId="77777777" w:rsidR="00754B96" w:rsidRPr="00216B78" w:rsidRDefault="00754B96" w:rsidP="00754B96">
      <w:pPr>
        <w:pStyle w:val="Default"/>
        <w:rPr>
          <w:sz w:val="22"/>
          <w:szCs w:val="22"/>
          <w:lang w:val="lt-LT"/>
        </w:rPr>
      </w:pPr>
    </w:p>
    <w:p w14:paraId="4668BCAD" w14:textId="77777777" w:rsidR="008E70E4" w:rsidRPr="00216B78" w:rsidRDefault="00361769" w:rsidP="00361769">
      <w:pPr>
        <w:pStyle w:val="Default"/>
        <w:ind w:left="567" w:hanging="567"/>
        <w:rPr>
          <w:b/>
          <w:bCs/>
          <w:sz w:val="22"/>
          <w:szCs w:val="22"/>
          <w:lang w:val="lt-LT"/>
        </w:rPr>
      </w:pPr>
      <w:r w:rsidRPr="00216B78">
        <w:rPr>
          <w:b/>
          <w:bCs/>
          <w:sz w:val="22"/>
          <w:szCs w:val="22"/>
          <w:lang w:val="lt-LT"/>
        </w:rPr>
        <w:t>4.3</w:t>
      </w:r>
      <w:r w:rsidRPr="00216B78">
        <w:rPr>
          <w:b/>
          <w:bCs/>
          <w:sz w:val="22"/>
          <w:szCs w:val="22"/>
          <w:lang w:val="lt-LT"/>
        </w:rPr>
        <w:tab/>
      </w:r>
      <w:r w:rsidR="008E70E4" w:rsidRPr="00216B78">
        <w:rPr>
          <w:b/>
          <w:bCs/>
          <w:sz w:val="22"/>
          <w:szCs w:val="22"/>
          <w:lang w:val="lt-LT"/>
        </w:rPr>
        <w:t>Kontraindikacijos</w:t>
      </w:r>
    </w:p>
    <w:p w14:paraId="3B1B0161" w14:textId="77777777" w:rsidR="00754B96" w:rsidRPr="00216B78" w:rsidRDefault="00754B96" w:rsidP="007B277D">
      <w:pPr>
        <w:keepNext/>
      </w:pPr>
    </w:p>
    <w:p w14:paraId="1610B97D" w14:textId="77777777" w:rsidR="008E70E4" w:rsidRPr="00216B78" w:rsidRDefault="008E70E4" w:rsidP="00754B96">
      <w:pPr>
        <w:pStyle w:val="Default"/>
        <w:rPr>
          <w:sz w:val="22"/>
          <w:szCs w:val="22"/>
          <w:lang w:val="lt-LT"/>
        </w:rPr>
      </w:pPr>
      <w:r w:rsidRPr="00216B78">
        <w:rPr>
          <w:sz w:val="22"/>
          <w:szCs w:val="22"/>
          <w:lang w:val="lt-LT"/>
        </w:rPr>
        <w:t>Padidėjęs jautrumas veikliajai arba bet kuriai 6.1 skyriuje nurodytai pagalbinei medžiagai.</w:t>
      </w:r>
    </w:p>
    <w:p w14:paraId="1AA89C52" w14:textId="77777777" w:rsidR="00754B96" w:rsidRPr="00216B78" w:rsidRDefault="00754B96" w:rsidP="00754B96">
      <w:pPr>
        <w:pStyle w:val="Default"/>
        <w:rPr>
          <w:sz w:val="22"/>
          <w:szCs w:val="22"/>
          <w:lang w:val="lt-LT"/>
        </w:rPr>
      </w:pPr>
    </w:p>
    <w:p w14:paraId="5181BA33" w14:textId="77777777" w:rsidR="008E70E4" w:rsidRPr="00216B78" w:rsidRDefault="00754B96" w:rsidP="00361769">
      <w:pPr>
        <w:pStyle w:val="Default"/>
        <w:keepNext/>
        <w:ind w:left="567" w:hanging="567"/>
        <w:rPr>
          <w:b/>
          <w:bCs/>
          <w:sz w:val="22"/>
          <w:szCs w:val="22"/>
          <w:lang w:val="lt-LT"/>
        </w:rPr>
      </w:pPr>
      <w:r w:rsidRPr="00216B78">
        <w:rPr>
          <w:b/>
          <w:bCs/>
          <w:sz w:val="22"/>
          <w:szCs w:val="22"/>
          <w:lang w:val="lt-LT"/>
        </w:rPr>
        <w:t>4.4</w:t>
      </w:r>
      <w:r w:rsidRPr="00216B78">
        <w:rPr>
          <w:b/>
          <w:bCs/>
          <w:sz w:val="22"/>
          <w:szCs w:val="22"/>
          <w:lang w:val="lt-LT"/>
        </w:rPr>
        <w:tab/>
      </w:r>
      <w:r w:rsidR="008E70E4" w:rsidRPr="00216B78">
        <w:rPr>
          <w:b/>
          <w:bCs/>
          <w:sz w:val="22"/>
          <w:szCs w:val="22"/>
          <w:lang w:val="lt-LT"/>
        </w:rPr>
        <w:t>Specialūs įspėjimai ir atsargumo priemonės</w:t>
      </w:r>
    </w:p>
    <w:p w14:paraId="78D10A25" w14:textId="77777777" w:rsidR="00754B96" w:rsidRPr="00216B78" w:rsidRDefault="00754B96" w:rsidP="007B277D">
      <w:pPr>
        <w:keepNext/>
      </w:pPr>
    </w:p>
    <w:p w14:paraId="067F228F" w14:textId="77777777" w:rsidR="000B5F39" w:rsidRPr="00216B78" w:rsidRDefault="000B5F39" w:rsidP="00E53617">
      <w:pPr>
        <w:pStyle w:val="Default"/>
        <w:keepNext/>
        <w:rPr>
          <w:bCs/>
          <w:i/>
          <w:sz w:val="22"/>
          <w:szCs w:val="22"/>
          <w:lang w:val="lt-LT"/>
        </w:rPr>
      </w:pPr>
      <w:r w:rsidRPr="00216B78">
        <w:rPr>
          <w:bCs/>
          <w:i/>
          <w:sz w:val="22"/>
          <w:szCs w:val="22"/>
          <w:lang w:val="lt-LT"/>
        </w:rPr>
        <w:t>Atsekamumas</w:t>
      </w:r>
    </w:p>
    <w:p w14:paraId="565D77D4" w14:textId="77777777" w:rsidR="000B5F39" w:rsidRPr="00216B78" w:rsidRDefault="007D3B02" w:rsidP="00E53617">
      <w:pPr>
        <w:keepNext/>
        <w:keepLines/>
        <w:spacing w:line="276" w:lineRule="auto"/>
        <w:rPr>
          <w:rFonts w:eastAsia="Times New Roman"/>
          <w:szCs w:val="24"/>
        </w:rPr>
      </w:pPr>
      <w:r w:rsidRPr="00216B78">
        <w:rPr>
          <w:rFonts w:eastAsia="Times New Roman"/>
          <w:szCs w:val="24"/>
        </w:rPr>
        <w:t>Siekiant pagerinti biologinių vaistinių preparatų atsekamumą, reikia aiškiai užrašyti paskirto vaistinio preparato pavadinimą ir serijos numerį</w:t>
      </w:r>
    </w:p>
    <w:p w14:paraId="5ACADC7A" w14:textId="77777777" w:rsidR="000B5F39" w:rsidRPr="00216B78" w:rsidRDefault="000B5F39" w:rsidP="00754B96">
      <w:pPr>
        <w:pStyle w:val="Default"/>
        <w:keepNext/>
        <w:outlineLvl w:val="1"/>
        <w:rPr>
          <w:bCs/>
          <w:sz w:val="22"/>
          <w:szCs w:val="22"/>
          <w:lang w:val="lt-LT"/>
        </w:rPr>
      </w:pPr>
    </w:p>
    <w:p w14:paraId="337913B5" w14:textId="77777777" w:rsidR="008E70E4" w:rsidRPr="00216B78" w:rsidRDefault="008E70E4" w:rsidP="00754B96">
      <w:pPr>
        <w:pStyle w:val="Default"/>
        <w:rPr>
          <w:i/>
          <w:iCs/>
          <w:color w:val="auto"/>
          <w:sz w:val="22"/>
          <w:szCs w:val="22"/>
          <w:lang w:val="lt-LT"/>
        </w:rPr>
      </w:pPr>
      <w:r w:rsidRPr="00216B78">
        <w:rPr>
          <w:i/>
          <w:iCs/>
          <w:color w:val="auto"/>
          <w:sz w:val="22"/>
          <w:szCs w:val="22"/>
          <w:lang w:val="lt-LT"/>
        </w:rPr>
        <w:t>Tromboembolija</w:t>
      </w:r>
    </w:p>
    <w:p w14:paraId="46F5C2FF" w14:textId="77777777" w:rsidR="006660BB" w:rsidRPr="00216B78" w:rsidRDefault="006660BB" w:rsidP="00754B96">
      <w:pPr>
        <w:pStyle w:val="Default"/>
        <w:rPr>
          <w:color w:val="auto"/>
          <w:sz w:val="22"/>
          <w:szCs w:val="22"/>
          <w:lang w:val="lt-LT"/>
        </w:rPr>
      </w:pPr>
    </w:p>
    <w:p w14:paraId="5D468BF9" w14:textId="77777777" w:rsidR="008E70E4" w:rsidRPr="00216B78" w:rsidRDefault="008E70E4" w:rsidP="00754B96">
      <w:pPr>
        <w:pStyle w:val="Default"/>
        <w:rPr>
          <w:color w:val="auto"/>
          <w:sz w:val="22"/>
          <w:szCs w:val="22"/>
          <w:lang w:val="lt-LT"/>
        </w:rPr>
      </w:pPr>
      <w:r w:rsidRPr="00216B78">
        <w:rPr>
          <w:color w:val="auto"/>
          <w:sz w:val="22"/>
          <w:szCs w:val="22"/>
          <w:lang w:val="lt-LT"/>
        </w:rPr>
        <w:t>Gydant žmogaus fibrinogenu pacientus, sergančius įgimta arba įgyta stoka, ypač skiriant dideles arba kartotines dozes, yra trombozės rizika. Reikia atidžiai stebėti, ar žmogaus fibrinogenu gydomiems pacientams nepasireiškia trombozės simptomų.</w:t>
      </w:r>
    </w:p>
    <w:p w14:paraId="7674B967" w14:textId="77777777" w:rsidR="00754B96" w:rsidRPr="00216B78" w:rsidRDefault="00754B96" w:rsidP="00754B96">
      <w:pPr>
        <w:pStyle w:val="Default"/>
        <w:rPr>
          <w:color w:val="auto"/>
          <w:sz w:val="22"/>
          <w:szCs w:val="22"/>
          <w:lang w:val="lt-LT"/>
        </w:rPr>
      </w:pPr>
    </w:p>
    <w:p w14:paraId="76F99E79" w14:textId="77777777" w:rsidR="00754B96" w:rsidRPr="00216B78" w:rsidRDefault="008E70E4" w:rsidP="00754B96">
      <w:pPr>
        <w:pStyle w:val="Default"/>
        <w:rPr>
          <w:color w:val="auto"/>
          <w:sz w:val="22"/>
          <w:szCs w:val="22"/>
          <w:lang w:val="lt-LT"/>
        </w:rPr>
      </w:pPr>
      <w:r w:rsidRPr="00216B78">
        <w:rPr>
          <w:color w:val="auto"/>
          <w:sz w:val="22"/>
          <w:szCs w:val="22"/>
          <w:lang w:val="lt-LT"/>
        </w:rPr>
        <w:t>Pacientams, kurie anksčiau sirgo vainikin</w:t>
      </w:r>
      <w:r w:rsidR="006660BB" w:rsidRPr="00216B78">
        <w:rPr>
          <w:color w:val="auto"/>
          <w:sz w:val="22"/>
          <w:szCs w:val="22"/>
          <w:lang w:val="lt-LT"/>
        </w:rPr>
        <w:t>ių širdies kraujagyslių</w:t>
      </w:r>
      <w:r w:rsidRPr="00216B78">
        <w:rPr>
          <w:color w:val="auto"/>
          <w:sz w:val="22"/>
          <w:szCs w:val="22"/>
          <w:lang w:val="lt-LT"/>
        </w:rPr>
        <w:t xml:space="preserve"> liga arba miokardo infarkt</w:t>
      </w:r>
      <w:r w:rsidR="006660BB" w:rsidRPr="00216B78">
        <w:rPr>
          <w:color w:val="auto"/>
          <w:sz w:val="22"/>
          <w:szCs w:val="22"/>
          <w:lang w:val="lt-LT"/>
        </w:rPr>
        <w:t>u</w:t>
      </w:r>
      <w:r w:rsidRPr="00216B78">
        <w:rPr>
          <w:color w:val="auto"/>
          <w:sz w:val="22"/>
          <w:szCs w:val="22"/>
          <w:lang w:val="lt-LT"/>
        </w:rPr>
        <w:t>, sergantiems kepenų liga, pacientams perioperaciniu arba pooperaciniu laikotarpiu, naujagimiams arba pacientams, kuriems yra tromboembolijos reiškinių arba diseminuotos intravaskulinės koaguliacijos rizika, reikia pa</w:t>
      </w:r>
      <w:r w:rsidR="006660BB" w:rsidRPr="00216B78">
        <w:rPr>
          <w:color w:val="auto"/>
          <w:sz w:val="22"/>
          <w:szCs w:val="22"/>
          <w:lang w:val="lt-LT"/>
        </w:rPr>
        <w:t>sverti</w:t>
      </w:r>
      <w:r w:rsidRPr="00216B78">
        <w:rPr>
          <w:color w:val="auto"/>
          <w:sz w:val="22"/>
          <w:szCs w:val="22"/>
          <w:lang w:val="lt-LT"/>
        </w:rPr>
        <w:t xml:space="preserve"> galimą gydymo žmogaus plazmos fibrinogenu naudą ir tromboembolijos komplikacijų riziką. </w:t>
      </w:r>
    </w:p>
    <w:p w14:paraId="6141841D" w14:textId="77777777" w:rsidR="008E70E4" w:rsidRPr="00216B78" w:rsidRDefault="008E70E4" w:rsidP="00754B96">
      <w:pPr>
        <w:pStyle w:val="Default"/>
        <w:rPr>
          <w:color w:val="auto"/>
          <w:sz w:val="22"/>
          <w:szCs w:val="22"/>
          <w:lang w:val="lt-LT"/>
        </w:rPr>
      </w:pPr>
      <w:r w:rsidRPr="00216B78">
        <w:rPr>
          <w:color w:val="auto"/>
          <w:sz w:val="22"/>
          <w:szCs w:val="22"/>
          <w:lang w:val="lt-LT"/>
        </w:rPr>
        <w:t>Taip pat reikia imtis atsargumo priemonių ir atidžiai stebėti.</w:t>
      </w:r>
    </w:p>
    <w:p w14:paraId="297625A0" w14:textId="77777777" w:rsidR="006660BB" w:rsidRPr="00216B78" w:rsidRDefault="006660BB" w:rsidP="00754B96">
      <w:pPr>
        <w:pStyle w:val="Default"/>
        <w:rPr>
          <w:color w:val="auto"/>
          <w:sz w:val="22"/>
          <w:szCs w:val="22"/>
          <w:lang w:val="lt-LT"/>
        </w:rPr>
      </w:pPr>
    </w:p>
    <w:p w14:paraId="348E43D7" w14:textId="77777777" w:rsidR="008E70E4" w:rsidRPr="00216B78" w:rsidRDefault="008E70E4" w:rsidP="00754B96">
      <w:pPr>
        <w:pStyle w:val="Default"/>
        <w:rPr>
          <w:color w:val="auto"/>
          <w:sz w:val="22"/>
          <w:szCs w:val="22"/>
          <w:lang w:val="lt-LT"/>
        </w:rPr>
      </w:pPr>
      <w:r w:rsidRPr="00216B78">
        <w:rPr>
          <w:color w:val="auto"/>
          <w:sz w:val="22"/>
          <w:szCs w:val="22"/>
          <w:lang w:val="lt-LT"/>
        </w:rPr>
        <w:t>Įgyta hipofibrinogenemija yra susijusi su maža visų k</w:t>
      </w:r>
      <w:r w:rsidR="006660BB" w:rsidRPr="00216B78">
        <w:rPr>
          <w:color w:val="auto"/>
          <w:sz w:val="22"/>
          <w:szCs w:val="22"/>
          <w:lang w:val="lt-LT"/>
        </w:rPr>
        <w:t>rešėjimo</w:t>
      </w:r>
      <w:r w:rsidRPr="00216B78">
        <w:rPr>
          <w:color w:val="auto"/>
          <w:sz w:val="22"/>
          <w:szCs w:val="22"/>
          <w:lang w:val="lt-LT"/>
        </w:rPr>
        <w:t xml:space="preserve"> faktorių (ne tik fibrinogeno) ir inhibitorių koncentracija plazmoje, todėl reikia apsvarstyti galimybę gydyti kraujo preparatais, kurių sudėtyje yra k</w:t>
      </w:r>
      <w:r w:rsidR="006660BB" w:rsidRPr="00216B78">
        <w:rPr>
          <w:color w:val="auto"/>
          <w:sz w:val="22"/>
          <w:szCs w:val="22"/>
          <w:lang w:val="lt-LT"/>
        </w:rPr>
        <w:t>rešėjimo</w:t>
      </w:r>
      <w:r w:rsidRPr="00216B78">
        <w:rPr>
          <w:color w:val="auto"/>
          <w:sz w:val="22"/>
          <w:szCs w:val="22"/>
          <w:lang w:val="lt-LT"/>
        </w:rPr>
        <w:t xml:space="preserve"> faktorių. Reikia atidžiai stebėti k</w:t>
      </w:r>
      <w:r w:rsidR="006660BB" w:rsidRPr="00216B78">
        <w:rPr>
          <w:color w:val="auto"/>
          <w:sz w:val="22"/>
          <w:szCs w:val="22"/>
          <w:lang w:val="lt-LT"/>
        </w:rPr>
        <w:t>rešėjimo</w:t>
      </w:r>
      <w:r w:rsidRPr="00216B78">
        <w:rPr>
          <w:color w:val="auto"/>
          <w:sz w:val="22"/>
          <w:szCs w:val="22"/>
          <w:lang w:val="lt-LT"/>
        </w:rPr>
        <w:t xml:space="preserve"> sistemą.</w:t>
      </w:r>
    </w:p>
    <w:p w14:paraId="50CD6B57" w14:textId="77777777" w:rsidR="00754B96" w:rsidRPr="00216B78" w:rsidRDefault="00754B96" w:rsidP="00754B96">
      <w:pPr>
        <w:pStyle w:val="Default"/>
        <w:rPr>
          <w:i/>
          <w:iCs/>
          <w:color w:val="auto"/>
          <w:sz w:val="22"/>
          <w:szCs w:val="22"/>
          <w:lang w:val="lt-LT"/>
        </w:rPr>
      </w:pPr>
    </w:p>
    <w:p w14:paraId="739BD972" w14:textId="77777777" w:rsidR="008E70E4" w:rsidRPr="00216B78" w:rsidRDefault="008E70E4" w:rsidP="00754B96">
      <w:pPr>
        <w:pStyle w:val="Default"/>
        <w:rPr>
          <w:i/>
          <w:color w:val="auto"/>
          <w:sz w:val="22"/>
          <w:szCs w:val="22"/>
          <w:lang w:val="lt-LT"/>
        </w:rPr>
      </w:pPr>
      <w:r w:rsidRPr="00216B78">
        <w:rPr>
          <w:i/>
          <w:iCs/>
          <w:color w:val="auto"/>
          <w:sz w:val="22"/>
          <w:szCs w:val="22"/>
          <w:lang w:val="lt-LT"/>
        </w:rPr>
        <w:t>Alerginės arba anafilaksinės reakcijos</w:t>
      </w:r>
    </w:p>
    <w:p w14:paraId="3CF1D962" w14:textId="77777777" w:rsidR="006660BB" w:rsidRPr="00216B78" w:rsidRDefault="006660BB" w:rsidP="00754B96">
      <w:pPr>
        <w:pStyle w:val="Default"/>
        <w:rPr>
          <w:color w:val="auto"/>
          <w:sz w:val="22"/>
          <w:szCs w:val="22"/>
          <w:lang w:val="lt-LT"/>
        </w:rPr>
      </w:pPr>
    </w:p>
    <w:p w14:paraId="252D5EE4" w14:textId="77777777" w:rsidR="008E70E4" w:rsidRPr="00216B78" w:rsidRDefault="008E70E4" w:rsidP="00754B96">
      <w:pPr>
        <w:pStyle w:val="Default"/>
        <w:rPr>
          <w:color w:val="auto"/>
          <w:sz w:val="22"/>
          <w:szCs w:val="22"/>
          <w:lang w:val="lt-LT"/>
        </w:rPr>
      </w:pPr>
      <w:r w:rsidRPr="00216B78">
        <w:rPr>
          <w:color w:val="auto"/>
          <w:sz w:val="22"/>
          <w:szCs w:val="22"/>
          <w:lang w:val="lt-LT"/>
        </w:rPr>
        <w:t>Jeigu pasireiškė alerginės arba anafilaksinės reakcijos, injekciją / infuziją reikia nedelsiant nutraukti. Pasireiškus anafilaksiniam šokui, reikia taikyti standartinį medicininį šoko gydymą.</w:t>
      </w:r>
    </w:p>
    <w:p w14:paraId="589E25F2" w14:textId="77777777" w:rsidR="00754B96" w:rsidRPr="00216B78" w:rsidRDefault="00754B96" w:rsidP="00754B96">
      <w:pPr>
        <w:pStyle w:val="Default"/>
        <w:rPr>
          <w:i/>
          <w:iCs/>
          <w:color w:val="auto"/>
          <w:sz w:val="22"/>
          <w:szCs w:val="22"/>
          <w:lang w:val="lt-LT"/>
        </w:rPr>
      </w:pPr>
    </w:p>
    <w:p w14:paraId="46229BF1" w14:textId="77777777" w:rsidR="008E70E4" w:rsidRPr="00216B78" w:rsidRDefault="008E70E4" w:rsidP="00754B96">
      <w:pPr>
        <w:pStyle w:val="Default"/>
        <w:rPr>
          <w:i/>
          <w:color w:val="auto"/>
          <w:sz w:val="22"/>
          <w:szCs w:val="22"/>
          <w:lang w:val="lt-LT"/>
        </w:rPr>
      </w:pPr>
      <w:r w:rsidRPr="00216B78">
        <w:rPr>
          <w:i/>
          <w:iCs/>
          <w:color w:val="auto"/>
          <w:sz w:val="22"/>
          <w:szCs w:val="22"/>
          <w:lang w:val="lt-LT"/>
        </w:rPr>
        <w:t>Natrio kiekis</w:t>
      </w:r>
    </w:p>
    <w:p w14:paraId="38C53D06" w14:textId="77777777" w:rsidR="006660BB" w:rsidRPr="00216B78" w:rsidRDefault="006660BB" w:rsidP="00754B96">
      <w:pPr>
        <w:pStyle w:val="Default"/>
        <w:rPr>
          <w:color w:val="auto"/>
          <w:sz w:val="22"/>
          <w:szCs w:val="22"/>
          <w:lang w:val="lt-LT"/>
        </w:rPr>
      </w:pPr>
    </w:p>
    <w:p w14:paraId="01C2EC2B" w14:textId="77777777" w:rsidR="008E70E4" w:rsidRPr="00216B78" w:rsidRDefault="0032340C" w:rsidP="00754B96">
      <w:pPr>
        <w:pStyle w:val="Default"/>
        <w:rPr>
          <w:color w:val="auto"/>
          <w:sz w:val="22"/>
          <w:szCs w:val="22"/>
          <w:lang w:val="lt-LT"/>
        </w:rPr>
      </w:pPr>
      <w:r w:rsidRPr="00216B78">
        <w:rPr>
          <w:color w:val="auto"/>
          <w:sz w:val="22"/>
          <w:szCs w:val="22"/>
          <w:lang w:val="lt-LT"/>
        </w:rPr>
        <w:t xml:space="preserve">Kiekviename </w:t>
      </w:r>
      <w:r w:rsidR="000B5F39" w:rsidRPr="00216B78">
        <w:rPr>
          <w:color w:val="auto"/>
          <w:sz w:val="22"/>
          <w:szCs w:val="22"/>
          <w:lang w:val="lt-LT"/>
        </w:rPr>
        <w:t>šio vaistinio preparato</w:t>
      </w:r>
      <w:r w:rsidR="008E70E4" w:rsidRPr="00216B78">
        <w:rPr>
          <w:color w:val="auto"/>
          <w:sz w:val="22"/>
          <w:szCs w:val="22"/>
          <w:lang w:val="lt-LT"/>
        </w:rPr>
        <w:t xml:space="preserve"> buteliuke yra iki 132 mg natrio, tai atitinka 6,6 </w:t>
      </w:r>
      <w:r w:rsidR="006660BB" w:rsidRPr="00216B78">
        <w:rPr>
          <w:color w:val="auto"/>
          <w:sz w:val="22"/>
          <w:szCs w:val="22"/>
          <w:lang w:val="lt-LT"/>
        </w:rPr>
        <w:t> </w:t>
      </w:r>
      <w:r w:rsidR="008E70E4" w:rsidRPr="00216B78">
        <w:rPr>
          <w:color w:val="auto"/>
          <w:sz w:val="22"/>
          <w:szCs w:val="22"/>
          <w:lang w:val="lt-LT"/>
        </w:rPr>
        <w:t>% didžiausios PSO rekomenduojamos paros normos suaugusiesiems, kuri yra 2 g natrio. Būtina atsižvelgti pacientams, kuriems kontroliuojamas natrio kiekis maiste.</w:t>
      </w:r>
    </w:p>
    <w:p w14:paraId="2DEAF10F" w14:textId="77777777" w:rsidR="00754B96" w:rsidRPr="00216B78" w:rsidRDefault="00754B96" w:rsidP="00754B96">
      <w:pPr>
        <w:pStyle w:val="Default"/>
        <w:rPr>
          <w:i/>
          <w:iCs/>
          <w:color w:val="auto"/>
          <w:sz w:val="22"/>
          <w:szCs w:val="22"/>
          <w:lang w:val="lt-LT"/>
        </w:rPr>
      </w:pPr>
    </w:p>
    <w:p w14:paraId="292E9236" w14:textId="77777777" w:rsidR="008E70E4" w:rsidRPr="00216B78" w:rsidRDefault="008E70E4" w:rsidP="007B277D">
      <w:pPr>
        <w:pStyle w:val="Default"/>
        <w:keepNext/>
        <w:rPr>
          <w:color w:val="auto"/>
          <w:sz w:val="22"/>
          <w:szCs w:val="22"/>
          <w:lang w:val="lt-LT"/>
        </w:rPr>
      </w:pPr>
      <w:r w:rsidRPr="00216B78">
        <w:rPr>
          <w:i/>
          <w:iCs/>
          <w:color w:val="auto"/>
          <w:sz w:val="22"/>
          <w:szCs w:val="22"/>
          <w:lang w:val="lt-LT"/>
        </w:rPr>
        <w:t>Apsauga nuo virusų</w:t>
      </w:r>
    </w:p>
    <w:p w14:paraId="7AABF037" w14:textId="77777777" w:rsidR="006660BB" w:rsidRPr="00216B78" w:rsidRDefault="006660BB" w:rsidP="007B277D">
      <w:pPr>
        <w:pStyle w:val="Default"/>
        <w:keepNext/>
        <w:rPr>
          <w:color w:val="auto"/>
          <w:sz w:val="22"/>
          <w:szCs w:val="22"/>
          <w:lang w:val="lt-LT"/>
        </w:rPr>
      </w:pPr>
    </w:p>
    <w:p w14:paraId="312B5C93" w14:textId="77777777" w:rsidR="008E70E4" w:rsidRPr="00216B78" w:rsidRDefault="00930198" w:rsidP="00754B96">
      <w:pPr>
        <w:pStyle w:val="Default"/>
        <w:rPr>
          <w:color w:val="auto"/>
          <w:sz w:val="22"/>
          <w:szCs w:val="22"/>
          <w:lang w:val="lt-LT"/>
        </w:rPr>
      </w:pPr>
      <w:r w:rsidRPr="00216B78">
        <w:rPr>
          <w:color w:val="auto"/>
          <w:sz w:val="22"/>
          <w:szCs w:val="22"/>
          <w:lang w:val="lt-LT"/>
        </w:rPr>
        <w:t xml:space="preserve">Siekiant išvengti galimų infekcijų, vartojant vaistinius preparatus, </w:t>
      </w:r>
      <w:r w:rsidR="007751CF" w:rsidRPr="00216B78">
        <w:rPr>
          <w:color w:val="auto"/>
          <w:sz w:val="22"/>
          <w:szCs w:val="22"/>
          <w:lang w:val="lt-LT"/>
        </w:rPr>
        <w:t>pagamintus</w:t>
      </w:r>
      <w:r w:rsidRPr="00216B78">
        <w:rPr>
          <w:color w:val="auto"/>
          <w:sz w:val="22"/>
          <w:szCs w:val="22"/>
          <w:lang w:val="lt-LT"/>
        </w:rPr>
        <w:t xml:space="preserve"> naudojant žmogaus kraują ar plazmą, </w:t>
      </w:r>
      <w:r w:rsidR="008E70E4" w:rsidRPr="00216B78">
        <w:rPr>
          <w:color w:val="auto"/>
          <w:sz w:val="22"/>
          <w:szCs w:val="22"/>
          <w:lang w:val="lt-LT"/>
        </w:rPr>
        <w:t xml:space="preserve">, taikomos šios standartinės priemonės: donorų atranka, atrankinė individualių donacijų ir plazmos </w:t>
      </w:r>
      <w:r w:rsidR="006660BB" w:rsidRPr="00216B78">
        <w:rPr>
          <w:color w:val="auto"/>
          <w:sz w:val="22"/>
          <w:szCs w:val="22"/>
          <w:lang w:val="lt-LT"/>
        </w:rPr>
        <w:t>kaupinių</w:t>
      </w:r>
      <w:r w:rsidR="008E70E4" w:rsidRPr="00216B78">
        <w:rPr>
          <w:color w:val="auto"/>
          <w:sz w:val="22"/>
          <w:szCs w:val="22"/>
          <w:lang w:val="lt-LT"/>
        </w:rPr>
        <w:t xml:space="preserve"> patikra ieškant specifinių infekcijos žymenų ir efektyvių gamybos etapų, </w:t>
      </w:r>
      <w:r w:rsidR="008E70E4" w:rsidRPr="00216B78">
        <w:rPr>
          <w:color w:val="auto"/>
          <w:sz w:val="22"/>
          <w:szCs w:val="22"/>
          <w:lang w:val="lt-LT"/>
        </w:rPr>
        <w:lastRenderedPageBreak/>
        <w:t xml:space="preserve">skirtų virusams </w:t>
      </w:r>
      <w:r w:rsidR="00B52E8A" w:rsidRPr="00216B78">
        <w:rPr>
          <w:color w:val="auto"/>
          <w:sz w:val="22"/>
          <w:szCs w:val="22"/>
          <w:lang w:val="lt-LT"/>
        </w:rPr>
        <w:t>naikinti</w:t>
      </w:r>
      <w:r w:rsidR="008E70E4" w:rsidRPr="00216B78">
        <w:rPr>
          <w:color w:val="auto"/>
          <w:sz w:val="22"/>
          <w:szCs w:val="22"/>
          <w:lang w:val="lt-LT"/>
        </w:rPr>
        <w:t xml:space="preserve"> ir (arba) pašalinti, įtraukimas. Nepaisant to, kai skiriami iš žmogaus kraujo arba plazmos pagaminti vaistiniai preparatai, infekcinių ligų sukėlėjų perdavimo galimybės visiškai atmesti negalima. Tai taip pat taikoma nežinomiems arba </w:t>
      </w:r>
      <w:r w:rsidR="00B52E8A" w:rsidRPr="00216B78">
        <w:rPr>
          <w:color w:val="auto"/>
          <w:sz w:val="22"/>
          <w:szCs w:val="22"/>
          <w:lang w:val="lt-LT"/>
        </w:rPr>
        <w:t xml:space="preserve">naujai </w:t>
      </w:r>
      <w:r w:rsidR="008E70E4" w:rsidRPr="00216B78">
        <w:rPr>
          <w:color w:val="auto"/>
          <w:sz w:val="22"/>
          <w:szCs w:val="22"/>
          <w:lang w:val="lt-LT"/>
        </w:rPr>
        <w:t>atsirandantiems virusams ir kitiems patogenams.</w:t>
      </w:r>
    </w:p>
    <w:p w14:paraId="678B5123" w14:textId="77777777" w:rsidR="00754B96" w:rsidRPr="00216B78" w:rsidRDefault="00754B96" w:rsidP="00754B96">
      <w:pPr>
        <w:pStyle w:val="Default"/>
        <w:rPr>
          <w:color w:val="auto"/>
          <w:sz w:val="22"/>
          <w:szCs w:val="22"/>
          <w:lang w:val="lt-LT"/>
        </w:rPr>
      </w:pPr>
    </w:p>
    <w:p w14:paraId="66B48E78" w14:textId="77777777" w:rsidR="008E70E4" w:rsidRPr="00216B78" w:rsidRDefault="008E70E4" w:rsidP="00754B96">
      <w:pPr>
        <w:pStyle w:val="Default"/>
        <w:rPr>
          <w:color w:val="auto"/>
          <w:sz w:val="22"/>
          <w:szCs w:val="22"/>
          <w:lang w:val="lt-LT"/>
        </w:rPr>
      </w:pPr>
      <w:r w:rsidRPr="00216B78">
        <w:rPr>
          <w:color w:val="auto"/>
          <w:sz w:val="22"/>
          <w:szCs w:val="22"/>
          <w:lang w:val="lt-LT"/>
        </w:rPr>
        <w:t xml:space="preserve">Taikomos priemonės laikomos veiksmingomis tokiems virusams su apvalkalu kaip ŽIV, HBV ir HCV bei virusui be apvalkalo HAV. Taikomos priemonės gali būti nepakankamai veiksmingos prieš virusus </w:t>
      </w:r>
      <w:r w:rsidR="001E0B85" w:rsidRPr="00216B78">
        <w:rPr>
          <w:color w:val="auto"/>
          <w:sz w:val="22"/>
          <w:szCs w:val="22"/>
          <w:lang w:val="lt-LT"/>
        </w:rPr>
        <w:t xml:space="preserve"> be apvalkalo tokius </w:t>
      </w:r>
      <w:r w:rsidRPr="00216B78">
        <w:rPr>
          <w:color w:val="auto"/>
          <w:sz w:val="22"/>
          <w:szCs w:val="22"/>
          <w:lang w:val="lt-LT"/>
        </w:rPr>
        <w:t>kaip parvovirusas B19. Parvoviruso B19 infekcija gali būti sunki nėščioms moterims (vaisiaus infekcija) ir asmenims, kuriems yra imunodeficitas arba padidėjusi eritropoezė (pvz., hemoli</w:t>
      </w:r>
      <w:r w:rsidR="00A34604" w:rsidRPr="00216B78">
        <w:rPr>
          <w:color w:val="auto"/>
          <w:sz w:val="22"/>
          <w:szCs w:val="22"/>
          <w:lang w:val="lt-LT"/>
        </w:rPr>
        <w:t>z</w:t>
      </w:r>
      <w:r w:rsidRPr="00216B78">
        <w:rPr>
          <w:color w:val="auto"/>
          <w:sz w:val="22"/>
          <w:szCs w:val="22"/>
          <w:lang w:val="lt-LT"/>
        </w:rPr>
        <w:t>inė anemija).</w:t>
      </w:r>
    </w:p>
    <w:p w14:paraId="37CA7ADE" w14:textId="77777777" w:rsidR="00A34604" w:rsidRPr="00216B78" w:rsidRDefault="00A34604" w:rsidP="00754B96">
      <w:pPr>
        <w:pStyle w:val="Default"/>
        <w:rPr>
          <w:color w:val="auto"/>
          <w:sz w:val="22"/>
          <w:szCs w:val="22"/>
          <w:lang w:val="lt-LT"/>
        </w:rPr>
      </w:pPr>
    </w:p>
    <w:p w14:paraId="6DD8785A" w14:textId="77777777" w:rsidR="008E70E4" w:rsidRPr="00216B78" w:rsidRDefault="008E70E4" w:rsidP="00754B96">
      <w:pPr>
        <w:pStyle w:val="Default"/>
        <w:rPr>
          <w:color w:val="auto"/>
          <w:sz w:val="22"/>
          <w:szCs w:val="22"/>
          <w:lang w:val="lt-LT"/>
        </w:rPr>
      </w:pPr>
      <w:r w:rsidRPr="00216B78">
        <w:rPr>
          <w:color w:val="auto"/>
          <w:sz w:val="22"/>
          <w:szCs w:val="22"/>
          <w:lang w:val="lt-LT"/>
        </w:rPr>
        <w:t xml:space="preserve">Reikia apsvarstyti atitinkamos vakcinacijos (nuo hepatito A ir B) galimybę pacientams, kurie reguliariai ir (arba) kartotinai vartoja iš žmogaus plazmos </w:t>
      </w:r>
      <w:r w:rsidR="00A34604" w:rsidRPr="00216B78">
        <w:rPr>
          <w:color w:val="auto"/>
          <w:sz w:val="22"/>
          <w:szCs w:val="22"/>
          <w:lang w:val="lt-LT"/>
        </w:rPr>
        <w:t>pagamintus</w:t>
      </w:r>
      <w:r w:rsidRPr="00216B78">
        <w:rPr>
          <w:color w:val="auto"/>
          <w:sz w:val="22"/>
          <w:szCs w:val="22"/>
          <w:lang w:val="lt-LT"/>
        </w:rPr>
        <w:t xml:space="preserve"> vaistinius preparatus.</w:t>
      </w:r>
    </w:p>
    <w:p w14:paraId="248E0F81" w14:textId="77777777" w:rsidR="00754B96" w:rsidRPr="00216B78" w:rsidRDefault="00754B96" w:rsidP="00754B96">
      <w:pPr>
        <w:pStyle w:val="Default"/>
        <w:rPr>
          <w:i/>
          <w:iCs/>
          <w:sz w:val="22"/>
          <w:szCs w:val="22"/>
          <w:lang w:val="lt-LT"/>
        </w:rPr>
      </w:pPr>
    </w:p>
    <w:p w14:paraId="78F5969C" w14:textId="77777777" w:rsidR="00A34604" w:rsidRPr="00216B78" w:rsidRDefault="008E70E4" w:rsidP="00754B96">
      <w:pPr>
        <w:pStyle w:val="Default"/>
        <w:rPr>
          <w:i/>
          <w:iCs/>
          <w:sz w:val="22"/>
          <w:szCs w:val="22"/>
          <w:lang w:val="lt-LT"/>
        </w:rPr>
      </w:pPr>
      <w:r w:rsidRPr="00216B78">
        <w:rPr>
          <w:i/>
          <w:iCs/>
          <w:sz w:val="22"/>
          <w:szCs w:val="22"/>
          <w:lang w:val="lt-LT"/>
        </w:rPr>
        <w:t>Imunogeni</w:t>
      </w:r>
      <w:r w:rsidR="00A34604" w:rsidRPr="00216B78">
        <w:rPr>
          <w:i/>
          <w:iCs/>
          <w:sz w:val="22"/>
          <w:szCs w:val="22"/>
          <w:lang w:val="lt-LT"/>
        </w:rPr>
        <w:t>škumas</w:t>
      </w:r>
    </w:p>
    <w:p w14:paraId="009FDB35" w14:textId="77777777" w:rsidR="008E70E4" w:rsidRPr="00216B78" w:rsidRDefault="008E70E4" w:rsidP="00754B96">
      <w:pPr>
        <w:pStyle w:val="Default"/>
        <w:rPr>
          <w:i/>
          <w:sz w:val="22"/>
          <w:szCs w:val="22"/>
          <w:lang w:val="lt-LT"/>
        </w:rPr>
      </w:pPr>
    </w:p>
    <w:p w14:paraId="0FA92F89" w14:textId="77777777" w:rsidR="00F526CC" w:rsidRPr="00216B78" w:rsidRDefault="00F526CC" w:rsidP="00F526CC">
      <w:pPr>
        <w:pStyle w:val="Default"/>
        <w:rPr>
          <w:sz w:val="22"/>
          <w:szCs w:val="22"/>
          <w:lang w:val="lt-LT"/>
        </w:rPr>
      </w:pPr>
      <w:r w:rsidRPr="00216B78">
        <w:rPr>
          <w:sz w:val="22"/>
          <w:szCs w:val="22"/>
          <w:lang w:val="lt-LT"/>
        </w:rPr>
        <w:t>Taikant pakaitinį gydymą krešėjimo faktoriais esant kitoms įgimtoms stokoms, nustatyti antikūnai, tačiau duomenų dėl fibrinogeno koncentrato šiuo metu nėra.</w:t>
      </w:r>
    </w:p>
    <w:p w14:paraId="689165D9" w14:textId="77777777" w:rsidR="00754B96" w:rsidRPr="00216B78" w:rsidRDefault="00754B96" w:rsidP="007B277D"/>
    <w:p w14:paraId="2CFD1B53" w14:textId="77777777" w:rsidR="008E70E4" w:rsidRPr="00216B78" w:rsidRDefault="00754B96" w:rsidP="00754B96">
      <w:pPr>
        <w:pStyle w:val="Default"/>
        <w:outlineLvl w:val="1"/>
        <w:rPr>
          <w:b/>
          <w:bCs/>
          <w:sz w:val="22"/>
          <w:szCs w:val="22"/>
          <w:lang w:val="lt-LT"/>
        </w:rPr>
      </w:pPr>
      <w:r w:rsidRPr="00216B78">
        <w:rPr>
          <w:b/>
          <w:bCs/>
          <w:sz w:val="22"/>
          <w:szCs w:val="22"/>
          <w:lang w:val="lt-LT"/>
        </w:rPr>
        <w:t>4.5</w:t>
      </w:r>
      <w:r w:rsidRPr="00216B78">
        <w:rPr>
          <w:b/>
          <w:bCs/>
          <w:sz w:val="22"/>
          <w:szCs w:val="22"/>
          <w:lang w:val="lt-LT"/>
        </w:rPr>
        <w:tab/>
      </w:r>
      <w:r w:rsidR="008E70E4" w:rsidRPr="00216B78">
        <w:rPr>
          <w:b/>
          <w:bCs/>
          <w:sz w:val="22"/>
          <w:szCs w:val="22"/>
          <w:lang w:val="lt-LT"/>
        </w:rPr>
        <w:t>Sąveika su kitais vaistiniais preparatais ir kitokia sąveika</w:t>
      </w:r>
    </w:p>
    <w:p w14:paraId="050E0716" w14:textId="77777777" w:rsidR="00754B96" w:rsidRPr="00216B78" w:rsidRDefault="00754B96" w:rsidP="007B277D">
      <w:pPr>
        <w:keepNext/>
      </w:pPr>
    </w:p>
    <w:p w14:paraId="063298DC" w14:textId="77777777" w:rsidR="008E70E4" w:rsidRPr="00216B78" w:rsidRDefault="008E70E4" w:rsidP="00754B96">
      <w:pPr>
        <w:pStyle w:val="Default"/>
        <w:rPr>
          <w:color w:val="auto"/>
          <w:sz w:val="22"/>
          <w:szCs w:val="22"/>
          <w:lang w:val="lt-LT"/>
        </w:rPr>
      </w:pPr>
      <w:r w:rsidRPr="00216B78">
        <w:rPr>
          <w:color w:val="auto"/>
          <w:sz w:val="22"/>
          <w:szCs w:val="22"/>
          <w:lang w:val="lt-LT"/>
        </w:rPr>
        <w:t>Žmogaus fibrinogeno preparatų sąveikos su kitais vaistiniais preparatais nenustatyta.</w:t>
      </w:r>
    </w:p>
    <w:p w14:paraId="5E1ED66F" w14:textId="77777777" w:rsidR="00754B96" w:rsidRPr="00216B78" w:rsidRDefault="00754B96" w:rsidP="00754B96">
      <w:pPr>
        <w:pStyle w:val="Default"/>
        <w:rPr>
          <w:color w:val="auto"/>
          <w:sz w:val="22"/>
          <w:szCs w:val="22"/>
          <w:lang w:val="lt-LT"/>
        </w:rPr>
      </w:pPr>
    </w:p>
    <w:p w14:paraId="60154819" w14:textId="77777777" w:rsidR="008E70E4" w:rsidRPr="00216B78" w:rsidRDefault="00754B96" w:rsidP="00361769">
      <w:pPr>
        <w:pStyle w:val="Default"/>
        <w:keepNext/>
        <w:rPr>
          <w:b/>
          <w:bCs/>
          <w:sz w:val="22"/>
          <w:szCs w:val="22"/>
          <w:lang w:val="lt-LT"/>
        </w:rPr>
      </w:pPr>
      <w:r w:rsidRPr="00216B78">
        <w:rPr>
          <w:b/>
          <w:bCs/>
          <w:sz w:val="22"/>
          <w:szCs w:val="22"/>
          <w:lang w:val="lt-LT"/>
        </w:rPr>
        <w:t>4.6</w:t>
      </w:r>
      <w:r w:rsidRPr="00216B78">
        <w:rPr>
          <w:b/>
          <w:bCs/>
          <w:sz w:val="22"/>
          <w:szCs w:val="22"/>
          <w:lang w:val="lt-LT"/>
        </w:rPr>
        <w:tab/>
      </w:r>
      <w:r w:rsidR="008E70E4" w:rsidRPr="00216B78">
        <w:rPr>
          <w:b/>
          <w:bCs/>
          <w:sz w:val="22"/>
          <w:szCs w:val="22"/>
          <w:lang w:val="lt-LT"/>
        </w:rPr>
        <w:t>Vaisingumas, nėštumo ir žindymo laikotarpis</w:t>
      </w:r>
    </w:p>
    <w:p w14:paraId="2B7BD6E0" w14:textId="77777777" w:rsidR="00754B96" w:rsidRPr="00216B78" w:rsidRDefault="00754B96" w:rsidP="007B277D">
      <w:pPr>
        <w:keepNext/>
      </w:pPr>
    </w:p>
    <w:p w14:paraId="48EF2983" w14:textId="77777777" w:rsidR="008E70E4" w:rsidRPr="00216B78" w:rsidRDefault="008E70E4" w:rsidP="00754B96">
      <w:pPr>
        <w:pStyle w:val="Default"/>
        <w:rPr>
          <w:color w:val="auto"/>
          <w:sz w:val="22"/>
          <w:szCs w:val="22"/>
          <w:u w:val="single"/>
          <w:lang w:val="lt-LT"/>
        </w:rPr>
      </w:pPr>
      <w:r w:rsidRPr="00216B78">
        <w:rPr>
          <w:bCs/>
          <w:iCs/>
          <w:color w:val="auto"/>
          <w:sz w:val="22"/>
          <w:szCs w:val="22"/>
          <w:u w:val="single"/>
          <w:lang w:val="lt-LT"/>
        </w:rPr>
        <w:t>Nėštumas</w:t>
      </w:r>
    </w:p>
    <w:p w14:paraId="1A187423" w14:textId="77777777" w:rsidR="004935A6" w:rsidRPr="00216B78" w:rsidRDefault="00BE7183" w:rsidP="004935A6">
      <w:pPr>
        <w:pStyle w:val="Default"/>
        <w:rPr>
          <w:color w:val="auto"/>
          <w:sz w:val="22"/>
          <w:szCs w:val="22"/>
          <w:lang w:val="lt-LT"/>
        </w:rPr>
      </w:pPr>
      <w:r w:rsidRPr="00216B78">
        <w:rPr>
          <w:sz w:val="22"/>
          <w:szCs w:val="22"/>
          <w:lang w:val="lt-LT"/>
        </w:rPr>
        <w:t>f</w:t>
      </w:r>
      <w:r w:rsidR="004935A6" w:rsidRPr="00216B78">
        <w:rPr>
          <w:sz w:val="22"/>
          <w:szCs w:val="22"/>
          <w:lang w:val="lt-LT"/>
        </w:rPr>
        <w:t>ibryga vartojimo nėščioms moterims saugumas kontroliuojamaisiais klinikiniais tyrimais neištirtas.</w:t>
      </w:r>
      <w:r w:rsidR="004935A6" w:rsidRPr="00216B78">
        <w:rPr>
          <w:color w:val="auto"/>
          <w:sz w:val="22"/>
          <w:szCs w:val="22"/>
          <w:lang w:val="lt-LT"/>
        </w:rPr>
        <w:t xml:space="preserve"> Fibrinogeno vaistinių preparatų skyrimo gydant akušerines komplikacijas klinikinė patirtis rodo, kad kenksmingas poveikis nėštumo eigai arba vaisiaus ar naujagimio sveikatai nėra tikėtinas.</w:t>
      </w:r>
    </w:p>
    <w:p w14:paraId="372C2B9F" w14:textId="77777777" w:rsidR="008E70E4" w:rsidRPr="00216B78" w:rsidRDefault="008E70E4" w:rsidP="00754B96">
      <w:pPr>
        <w:pStyle w:val="Default"/>
        <w:rPr>
          <w:color w:val="auto"/>
          <w:sz w:val="22"/>
          <w:szCs w:val="22"/>
          <w:lang w:val="lt-LT"/>
        </w:rPr>
      </w:pPr>
      <w:r w:rsidRPr="00216B78">
        <w:rPr>
          <w:color w:val="auto"/>
          <w:sz w:val="22"/>
          <w:szCs w:val="22"/>
          <w:lang w:val="lt-LT"/>
        </w:rPr>
        <w:t xml:space="preserve">Gyvūnų reprodukcijos tyrimų su </w:t>
      </w:r>
      <w:r w:rsidR="00324E4D" w:rsidRPr="00216B78">
        <w:rPr>
          <w:color w:val="auto"/>
          <w:sz w:val="22"/>
          <w:szCs w:val="22"/>
          <w:lang w:val="lt-LT"/>
        </w:rPr>
        <w:t>fibryga</w:t>
      </w:r>
      <w:r w:rsidRPr="00216B78">
        <w:rPr>
          <w:color w:val="auto"/>
          <w:sz w:val="22"/>
          <w:szCs w:val="22"/>
          <w:lang w:val="lt-LT"/>
        </w:rPr>
        <w:t xml:space="preserve"> neatlikta (žr. 5.3 skyrių). Kadangi veiklioji medžiaga yra gauta iš žmogaus, ji katabolizuojama taip pat kaip paciento</w:t>
      </w:r>
      <w:r w:rsidR="00F84236" w:rsidRPr="00216B78">
        <w:rPr>
          <w:color w:val="auto"/>
          <w:sz w:val="22"/>
          <w:szCs w:val="22"/>
          <w:lang w:val="lt-LT"/>
        </w:rPr>
        <w:t xml:space="preserve"> organizmo nuosavas</w:t>
      </w:r>
      <w:r w:rsidRPr="00216B78">
        <w:rPr>
          <w:color w:val="auto"/>
          <w:sz w:val="22"/>
          <w:szCs w:val="22"/>
          <w:lang w:val="lt-LT"/>
        </w:rPr>
        <w:t>baltymas. Nėra tikėtina, kad šios žmogaus kraujo fiziologinės sudedamosios dalys sukeltų nepageidaujamą poveikį reprodukcijai arba vaisiui.</w:t>
      </w:r>
    </w:p>
    <w:p w14:paraId="3492427D" w14:textId="77777777" w:rsidR="00F526CC" w:rsidRPr="00216B78" w:rsidRDefault="00F526CC" w:rsidP="00754B96">
      <w:pPr>
        <w:pStyle w:val="Default"/>
        <w:rPr>
          <w:sz w:val="22"/>
          <w:szCs w:val="22"/>
          <w:lang w:val="lt-LT"/>
        </w:rPr>
      </w:pPr>
    </w:p>
    <w:p w14:paraId="6A0D7313" w14:textId="77777777" w:rsidR="008E70E4" w:rsidRPr="00216B78" w:rsidRDefault="008E70E4" w:rsidP="00754B96">
      <w:pPr>
        <w:pStyle w:val="Default"/>
        <w:rPr>
          <w:color w:val="auto"/>
          <w:sz w:val="22"/>
          <w:szCs w:val="22"/>
          <w:u w:val="single"/>
          <w:lang w:val="lt-LT"/>
        </w:rPr>
      </w:pPr>
      <w:r w:rsidRPr="00216B78">
        <w:rPr>
          <w:bCs/>
          <w:iCs/>
          <w:color w:val="auto"/>
          <w:sz w:val="22"/>
          <w:szCs w:val="22"/>
          <w:u w:val="single"/>
          <w:lang w:val="lt-LT"/>
        </w:rPr>
        <w:t>Žindym</w:t>
      </w:r>
      <w:r w:rsidR="007D3B02" w:rsidRPr="00216B78">
        <w:rPr>
          <w:bCs/>
          <w:iCs/>
          <w:color w:val="auto"/>
          <w:sz w:val="22"/>
          <w:szCs w:val="22"/>
          <w:u w:val="single"/>
          <w:lang w:val="lt-LT"/>
        </w:rPr>
        <w:t>as</w:t>
      </w:r>
    </w:p>
    <w:p w14:paraId="21048C8D" w14:textId="77777777" w:rsidR="008E70E4" w:rsidRPr="00216B78" w:rsidRDefault="008E70E4" w:rsidP="00754B96">
      <w:pPr>
        <w:pStyle w:val="Default"/>
        <w:rPr>
          <w:color w:val="auto"/>
          <w:sz w:val="22"/>
          <w:szCs w:val="22"/>
          <w:lang w:val="lt-LT"/>
        </w:rPr>
      </w:pPr>
      <w:r w:rsidRPr="00216B78">
        <w:rPr>
          <w:color w:val="auto"/>
          <w:sz w:val="22"/>
          <w:szCs w:val="22"/>
          <w:lang w:val="lt-LT"/>
        </w:rPr>
        <w:t xml:space="preserve">Nežinoma, ar </w:t>
      </w:r>
      <w:r w:rsidR="00324E4D" w:rsidRPr="00216B78">
        <w:rPr>
          <w:color w:val="auto"/>
          <w:sz w:val="22"/>
          <w:szCs w:val="22"/>
          <w:lang w:val="lt-LT"/>
        </w:rPr>
        <w:t>fibryga</w:t>
      </w:r>
      <w:r w:rsidR="00324E4D" w:rsidRPr="00216B78" w:rsidDel="00324E4D">
        <w:rPr>
          <w:color w:val="auto"/>
          <w:sz w:val="22"/>
          <w:szCs w:val="22"/>
          <w:lang w:val="lt-LT"/>
        </w:rPr>
        <w:t xml:space="preserve"> </w:t>
      </w:r>
      <w:r w:rsidRPr="00216B78">
        <w:rPr>
          <w:color w:val="auto"/>
          <w:sz w:val="22"/>
          <w:szCs w:val="22"/>
          <w:lang w:val="lt-LT"/>
        </w:rPr>
        <w:t xml:space="preserve">išsiskiria į motinos pieną. </w:t>
      </w:r>
      <w:r w:rsidR="004935A6" w:rsidRPr="00216B78">
        <w:rPr>
          <w:color w:val="auto"/>
          <w:sz w:val="22"/>
          <w:szCs w:val="22"/>
          <w:lang w:val="lt-LT"/>
        </w:rPr>
        <w:t>Tačiau dėl medžiagos pobūd</w:t>
      </w:r>
      <w:r w:rsidR="006303B5" w:rsidRPr="00216B78">
        <w:rPr>
          <w:color w:val="auto"/>
          <w:sz w:val="22"/>
          <w:szCs w:val="22"/>
          <w:lang w:val="lt-LT"/>
        </w:rPr>
        <w:t>žio</w:t>
      </w:r>
      <w:r w:rsidR="004935A6" w:rsidRPr="00216B78">
        <w:rPr>
          <w:color w:val="auto"/>
          <w:sz w:val="22"/>
          <w:szCs w:val="22"/>
          <w:lang w:val="lt-LT"/>
        </w:rPr>
        <w:t>, kokio nors poveikio žindomiems naujagimiams</w:t>
      </w:r>
      <w:r w:rsidR="00B376DB" w:rsidRPr="00216B78">
        <w:rPr>
          <w:color w:val="auto"/>
          <w:sz w:val="22"/>
          <w:szCs w:val="22"/>
          <w:lang w:val="lt-LT"/>
        </w:rPr>
        <w:t xml:space="preserve"> ar</w:t>
      </w:r>
      <w:r w:rsidR="004935A6" w:rsidRPr="00216B78">
        <w:rPr>
          <w:color w:val="auto"/>
          <w:sz w:val="22"/>
          <w:szCs w:val="22"/>
          <w:lang w:val="lt-LT"/>
        </w:rPr>
        <w:t xml:space="preserve"> kūdikiams nesitikima.</w:t>
      </w:r>
      <w:r w:rsidR="00BE7183" w:rsidRPr="00216B78" w:rsidDel="00BE7183">
        <w:rPr>
          <w:color w:val="auto"/>
          <w:sz w:val="22"/>
          <w:szCs w:val="22"/>
          <w:lang w:val="lt-LT"/>
        </w:rPr>
        <w:t xml:space="preserve"> </w:t>
      </w:r>
    </w:p>
    <w:p w14:paraId="4690BF3C" w14:textId="77777777" w:rsidR="004935A6" w:rsidRPr="00216B78" w:rsidRDefault="004935A6" w:rsidP="00754B96">
      <w:pPr>
        <w:pStyle w:val="Default"/>
        <w:rPr>
          <w:color w:val="auto"/>
          <w:sz w:val="22"/>
          <w:szCs w:val="22"/>
          <w:lang w:val="lt-LT"/>
        </w:rPr>
      </w:pPr>
    </w:p>
    <w:p w14:paraId="3A053B9C" w14:textId="77777777" w:rsidR="004935A6" w:rsidRPr="00216B78" w:rsidRDefault="004935A6" w:rsidP="00754B96">
      <w:pPr>
        <w:pStyle w:val="Default"/>
        <w:rPr>
          <w:color w:val="auto"/>
          <w:sz w:val="22"/>
          <w:szCs w:val="22"/>
          <w:lang w:val="lt-LT"/>
        </w:rPr>
      </w:pPr>
      <w:r w:rsidRPr="00216B78">
        <w:rPr>
          <w:color w:val="auto"/>
          <w:sz w:val="22"/>
          <w:szCs w:val="22"/>
          <w:lang w:val="lt-LT"/>
        </w:rPr>
        <w:t>Taigi, atsižvelgiant į žindymo naudą kūdikiui ir gydymo naudą motinai, reikia nuspręsti ar reikia gydyti fibryga.</w:t>
      </w:r>
    </w:p>
    <w:p w14:paraId="75CCAF34" w14:textId="77777777" w:rsidR="00754B96" w:rsidRPr="00216B78" w:rsidRDefault="00754B96" w:rsidP="00754B96">
      <w:pPr>
        <w:pStyle w:val="Default"/>
        <w:rPr>
          <w:color w:val="auto"/>
          <w:sz w:val="22"/>
          <w:szCs w:val="22"/>
          <w:lang w:val="lt-LT"/>
        </w:rPr>
      </w:pPr>
    </w:p>
    <w:p w14:paraId="486A4E6F" w14:textId="77777777" w:rsidR="008E70E4" w:rsidRPr="00216B78" w:rsidRDefault="008E70E4" w:rsidP="00754B96">
      <w:pPr>
        <w:pStyle w:val="Default"/>
        <w:rPr>
          <w:color w:val="auto"/>
          <w:sz w:val="22"/>
          <w:szCs w:val="22"/>
          <w:u w:val="single"/>
          <w:lang w:val="lt-LT"/>
        </w:rPr>
      </w:pPr>
      <w:r w:rsidRPr="00216B78">
        <w:rPr>
          <w:bCs/>
          <w:iCs/>
          <w:color w:val="auto"/>
          <w:sz w:val="22"/>
          <w:szCs w:val="22"/>
          <w:u w:val="single"/>
          <w:lang w:val="lt-LT"/>
        </w:rPr>
        <w:t>Vaisingumas</w:t>
      </w:r>
    </w:p>
    <w:p w14:paraId="314FCB92" w14:textId="77777777" w:rsidR="008E70E4" w:rsidRPr="00216B78" w:rsidRDefault="008E70E4" w:rsidP="00754B96">
      <w:pPr>
        <w:pStyle w:val="Default"/>
        <w:rPr>
          <w:sz w:val="22"/>
          <w:szCs w:val="22"/>
          <w:lang w:val="lt-LT"/>
        </w:rPr>
      </w:pPr>
      <w:r w:rsidRPr="00216B78">
        <w:rPr>
          <w:sz w:val="22"/>
          <w:szCs w:val="22"/>
          <w:lang w:val="lt-LT"/>
        </w:rPr>
        <w:t>Duomenų apie vaisingumą nėra.</w:t>
      </w:r>
    </w:p>
    <w:p w14:paraId="5D41724F" w14:textId="77777777" w:rsidR="00754B96" w:rsidRPr="00216B78" w:rsidRDefault="00754B96" w:rsidP="00754B96">
      <w:pPr>
        <w:pStyle w:val="Default"/>
        <w:rPr>
          <w:color w:val="auto"/>
          <w:sz w:val="22"/>
          <w:szCs w:val="22"/>
          <w:lang w:val="lt-LT"/>
        </w:rPr>
      </w:pPr>
    </w:p>
    <w:p w14:paraId="32CB2B79" w14:textId="77777777" w:rsidR="008E70E4" w:rsidRPr="00216B78" w:rsidRDefault="00754B96" w:rsidP="00754B96">
      <w:pPr>
        <w:pStyle w:val="Default"/>
        <w:outlineLvl w:val="1"/>
        <w:rPr>
          <w:b/>
          <w:bCs/>
          <w:sz w:val="22"/>
          <w:szCs w:val="22"/>
          <w:lang w:val="lt-LT"/>
        </w:rPr>
      </w:pPr>
      <w:r w:rsidRPr="00216B78">
        <w:rPr>
          <w:b/>
          <w:bCs/>
          <w:sz w:val="22"/>
          <w:szCs w:val="22"/>
          <w:lang w:val="lt-LT"/>
        </w:rPr>
        <w:t>4.7</w:t>
      </w:r>
      <w:r w:rsidRPr="00216B78">
        <w:rPr>
          <w:b/>
          <w:bCs/>
          <w:sz w:val="22"/>
          <w:szCs w:val="22"/>
          <w:lang w:val="lt-LT"/>
        </w:rPr>
        <w:tab/>
      </w:r>
      <w:r w:rsidR="008E70E4" w:rsidRPr="00216B78">
        <w:rPr>
          <w:b/>
          <w:bCs/>
          <w:sz w:val="22"/>
          <w:szCs w:val="22"/>
          <w:lang w:val="lt-LT"/>
        </w:rPr>
        <w:t>Poveikis gebėjimui vairuoti ir valdyti mechanizmus</w:t>
      </w:r>
    </w:p>
    <w:p w14:paraId="374F9494" w14:textId="77777777" w:rsidR="00754B96" w:rsidRPr="00216B78" w:rsidRDefault="00754B96" w:rsidP="007B277D">
      <w:pPr>
        <w:keepNext/>
      </w:pPr>
    </w:p>
    <w:p w14:paraId="0303C085" w14:textId="77777777" w:rsidR="008E70E4" w:rsidRPr="00216B78" w:rsidRDefault="00BE7183" w:rsidP="00754B96">
      <w:pPr>
        <w:pStyle w:val="Default"/>
        <w:rPr>
          <w:color w:val="auto"/>
          <w:sz w:val="22"/>
          <w:szCs w:val="22"/>
          <w:lang w:val="lt-LT"/>
        </w:rPr>
      </w:pPr>
      <w:r w:rsidRPr="00216B78">
        <w:rPr>
          <w:color w:val="auto"/>
          <w:sz w:val="22"/>
          <w:szCs w:val="22"/>
          <w:lang w:val="lt-LT"/>
        </w:rPr>
        <w:t>f</w:t>
      </w:r>
      <w:r w:rsidR="00324E4D" w:rsidRPr="00216B78">
        <w:rPr>
          <w:color w:val="auto"/>
          <w:sz w:val="22"/>
          <w:szCs w:val="22"/>
          <w:lang w:val="lt-LT"/>
        </w:rPr>
        <w:t xml:space="preserve">ibryga </w:t>
      </w:r>
      <w:r w:rsidR="008E70E4" w:rsidRPr="00216B78">
        <w:rPr>
          <w:color w:val="auto"/>
          <w:sz w:val="22"/>
          <w:szCs w:val="22"/>
          <w:lang w:val="lt-LT"/>
        </w:rPr>
        <w:t>gebėjimo vairuoti ir valdyti mechanizmus neveikia.</w:t>
      </w:r>
    </w:p>
    <w:p w14:paraId="41FD5E1F" w14:textId="77777777" w:rsidR="00754B96" w:rsidRPr="00216B78" w:rsidRDefault="00754B96" w:rsidP="00754B96">
      <w:pPr>
        <w:pStyle w:val="Default"/>
        <w:rPr>
          <w:color w:val="auto"/>
          <w:sz w:val="22"/>
          <w:szCs w:val="22"/>
          <w:lang w:val="lt-LT"/>
        </w:rPr>
      </w:pPr>
    </w:p>
    <w:p w14:paraId="3010A0C2" w14:textId="77777777" w:rsidR="008E70E4" w:rsidRPr="00216B78" w:rsidRDefault="00754B96" w:rsidP="007B277D">
      <w:pPr>
        <w:pStyle w:val="Antrat2"/>
      </w:pPr>
      <w:r w:rsidRPr="00216B78">
        <w:t>4.8</w:t>
      </w:r>
      <w:r w:rsidRPr="00216B78">
        <w:tab/>
      </w:r>
      <w:r w:rsidR="008E70E4" w:rsidRPr="00216B78">
        <w:t>Nepageidaujamas poveikis</w:t>
      </w:r>
    </w:p>
    <w:p w14:paraId="08F406A0" w14:textId="77777777" w:rsidR="00754B96" w:rsidRPr="00216B78" w:rsidRDefault="00754B96" w:rsidP="007B277D">
      <w:pPr>
        <w:keepNext/>
      </w:pPr>
    </w:p>
    <w:p w14:paraId="14AEDAEE" w14:textId="77777777" w:rsidR="008E70E4" w:rsidRPr="00216B78" w:rsidRDefault="008E70E4" w:rsidP="00754B96">
      <w:pPr>
        <w:pStyle w:val="Text"/>
        <w:keepNext/>
        <w:spacing w:before="0" w:after="0"/>
        <w:jc w:val="left"/>
        <w:rPr>
          <w:color w:val="auto"/>
          <w:sz w:val="22"/>
          <w:szCs w:val="22"/>
          <w:u w:val="single"/>
          <w:lang w:val="lt-LT"/>
        </w:rPr>
      </w:pPr>
      <w:r w:rsidRPr="00216B78">
        <w:rPr>
          <w:color w:val="auto"/>
          <w:sz w:val="22"/>
          <w:szCs w:val="22"/>
          <w:u w:val="single"/>
          <w:lang w:val="lt-LT"/>
        </w:rPr>
        <w:t>Saugumo duomenų santrauka</w:t>
      </w:r>
    </w:p>
    <w:p w14:paraId="131195C9" w14:textId="77777777" w:rsidR="008E70E4" w:rsidRPr="00216B78" w:rsidRDefault="008E70E4" w:rsidP="00754B96">
      <w:pPr>
        <w:pStyle w:val="Default"/>
        <w:rPr>
          <w:sz w:val="22"/>
          <w:szCs w:val="22"/>
          <w:lang w:val="lt-LT"/>
        </w:rPr>
      </w:pPr>
      <w:r w:rsidRPr="00216B78">
        <w:rPr>
          <w:sz w:val="22"/>
          <w:szCs w:val="22"/>
          <w:lang w:val="lt-LT"/>
        </w:rPr>
        <w:t>Patikimų duomenų apie šio vaistinio preparato klinikinių tyrimų metu nustatytų nepageidaujamų reakcijų dažnį nėra.</w:t>
      </w:r>
    </w:p>
    <w:p w14:paraId="24ABF1C6" w14:textId="77777777" w:rsidR="008E70E4" w:rsidRPr="00216B78" w:rsidRDefault="008E70E4" w:rsidP="00754B96">
      <w:pPr>
        <w:pStyle w:val="Default"/>
        <w:rPr>
          <w:sz w:val="22"/>
          <w:szCs w:val="22"/>
          <w:lang w:val="lt-LT"/>
        </w:rPr>
      </w:pPr>
    </w:p>
    <w:p w14:paraId="736703C8" w14:textId="77777777" w:rsidR="008E70E4" w:rsidRPr="00216B78" w:rsidRDefault="008E70E4" w:rsidP="00754B96">
      <w:pPr>
        <w:pStyle w:val="Default"/>
        <w:rPr>
          <w:sz w:val="22"/>
          <w:szCs w:val="22"/>
          <w:lang w:val="lt-LT"/>
        </w:rPr>
      </w:pPr>
      <w:r w:rsidRPr="00216B78">
        <w:rPr>
          <w:sz w:val="22"/>
          <w:szCs w:val="22"/>
          <w:lang w:val="lt-LT"/>
        </w:rPr>
        <w:t>Klinikinių tyrimų metu nustatytos šios nepageidaujamos reakcijos: karščiavimas</w:t>
      </w:r>
      <w:r w:rsidR="00547059" w:rsidRPr="00216B78">
        <w:rPr>
          <w:sz w:val="22"/>
          <w:szCs w:val="22"/>
          <w:lang w:val="lt-LT"/>
        </w:rPr>
        <w:t xml:space="preserve">, </w:t>
      </w:r>
      <w:bookmarkStart w:id="4" w:name="_Hlk73615657"/>
      <w:r w:rsidRPr="00216B78">
        <w:rPr>
          <w:sz w:val="22"/>
          <w:szCs w:val="22"/>
          <w:lang w:val="lt-LT"/>
        </w:rPr>
        <w:t>vaisto sukelta</w:t>
      </w:r>
      <w:r w:rsidR="00395AAA" w:rsidRPr="00216B78">
        <w:rPr>
          <w:sz w:val="22"/>
          <w:szCs w:val="22"/>
          <w:lang w:val="lt-LT"/>
        </w:rPr>
        <w:t xml:space="preserve"> odos reakcija</w:t>
      </w:r>
      <w:bookmarkEnd w:id="4"/>
      <w:r w:rsidR="00547059" w:rsidRPr="00216B78">
        <w:rPr>
          <w:sz w:val="22"/>
          <w:szCs w:val="22"/>
          <w:lang w:val="lt-LT"/>
        </w:rPr>
        <w:t xml:space="preserve">, </w:t>
      </w:r>
      <w:r w:rsidR="00021F81" w:rsidRPr="00216B78">
        <w:rPr>
          <w:sz w:val="22"/>
          <w:szCs w:val="22"/>
          <w:lang w:val="lt-LT"/>
        </w:rPr>
        <w:t>flebitas ir trombozė</w:t>
      </w:r>
      <w:r w:rsidR="00547059" w:rsidRPr="00216B78">
        <w:rPr>
          <w:sz w:val="22"/>
          <w:szCs w:val="22"/>
          <w:lang w:val="lt-LT"/>
        </w:rPr>
        <w:t>.</w:t>
      </w:r>
    </w:p>
    <w:p w14:paraId="5208FB1A" w14:textId="77777777" w:rsidR="008E70E4" w:rsidRPr="00216B78" w:rsidRDefault="008E70E4" w:rsidP="00754B96">
      <w:pPr>
        <w:pStyle w:val="Default"/>
        <w:rPr>
          <w:sz w:val="22"/>
          <w:szCs w:val="22"/>
          <w:lang w:val="lt-LT"/>
        </w:rPr>
      </w:pPr>
    </w:p>
    <w:p w14:paraId="3D960091" w14:textId="77777777" w:rsidR="008E70E4" w:rsidRPr="00216B78" w:rsidRDefault="008E70E4" w:rsidP="00754B96">
      <w:pPr>
        <w:pStyle w:val="Default"/>
        <w:keepNext/>
        <w:keepLines/>
        <w:rPr>
          <w:sz w:val="22"/>
          <w:szCs w:val="22"/>
          <w:lang w:val="lt-LT"/>
        </w:rPr>
      </w:pPr>
      <w:r w:rsidRPr="00216B78">
        <w:rPr>
          <w:sz w:val="22"/>
          <w:szCs w:val="22"/>
          <w:lang w:val="lt-LT"/>
        </w:rPr>
        <w:lastRenderedPageBreak/>
        <w:t xml:space="preserve">Vartojant </w:t>
      </w:r>
      <w:r w:rsidR="00324E4D" w:rsidRPr="00216B78">
        <w:rPr>
          <w:color w:val="auto"/>
          <w:sz w:val="22"/>
          <w:szCs w:val="22"/>
          <w:lang w:val="lt-LT"/>
        </w:rPr>
        <w:t>fibryga</w:t>
      </w:r>
      <w:r w:rsidR="00324E4D" w:rsidRPr="00216B78" w:rsidDel="00324E4D">
        <w:rPr>
          <w:sz w:val="22"/>
          <w:szCs w:val="22"/>
          <w:lang w:val="lt-LT"/>
        </w:rPr>
        <w:t xml:space="preserve"> </w:t>
      </w:r>
      <w:r w:rsidRPr="00216B78">
        <w:rPr>
          <w:sz w:val="22"/>
          <w:szCs w:val="22"/>
          <w:lang w:val="lt-LT"/>
        </w:rPr>
        <w:t>ir kitus fibrinogeno koncentratus, nustatytos šios nepageidaujamos reakcijos:</w:t>
      </w:r>
    </w:p>
    <w:p w14:paraId="3EA098A3" w14:textId="77777777" w:rsidR="00547059" w:rsidRPr="00216B78" w:rsidRDefault="00547059" w:rsidP="00754B96">
      <w:pPr>
        <w:pStyle w:val="Default"/>
        <w:keepNext/>
        <w:keepLines/>
        <w:rPr>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3844"/>
        <w:gridCol w:w="2086"/>
      </w:tblGrid>
      <w:tr w:rsidR="008E70E4" w:rsidRPr="00216B78" w14:paraId="7C3CEFC1" w14:textId="77777777" w:rsidTr="0004000C">
        <w:trPr>
          <w:cantSplit/>
          <w:trHeight w:val="420"/>
        </w:trPr>
        <w:tc>
          <w:tcPr>
            <w:tcW w:w="2873" w:type="dxa"/>
          </w:tcPr>
          <w:p w14:paraId="320C7683" w14:textId="77777777" w:rsidR="008E70E4" w:rsidRPr="00216B78" w:rsidRDefault="008E70E4" w:rsidP="00754B96">
            <w:pPr>
              <w:keepNext/>
              <w:keepLines/>
              <w:ind w:left="284"/>
              <w:contextualSpacing/>
            </w:pPr>
            <w:r w:rsidRPr="00216B78">
              <w:t>Standartinė MedDRA organų sistemų klasė</w:t>
            </w:r>
          </w:p>
        </w:tc>
        <w:tc>
          <w:tcPr>
            <w:tcW w:w="3844" w:type="dxa"/>
          </w:tcPr>
          <w:p w14:paraId="232B5C81" w14:textId="77777777" w:rsidR="008E70E4" w:rsidRPr="00216B78" w:rsidRDefault="008E70E4" w:rsidP="00754B96">
            <w:pPr>
              <w:keepNext/>
              <w:keepLines/>
              <w:ind w:left="284"/>
              <w:contextualSpacing/>
            </w:pPr>
            <w:r w:rsidRPr="00216B78">
              <w:t>Nepageidaujamas poveikis</w:t>
            </w:r>
          </w:p>
        </w:tc>
        <w:tc>
          <w:tcPr>
            <w:tcW w:w="2086" w:type="dxa"/>
          </w:tcPr>
          <w:p w14:paraId="51887D54" w14:textId="77777777" w:rsidR="008E70E4" w:rsidRPr="00216B78" w:rsidRDefault="008E70E4" w:rsidP="00754B96">
            <w:pPr>
              <w:keepNext/>
              <w:keepLines/>
              <w:ind w:left="284"/>
              <w:contextualSpacing/>
            </w:pPr>
            <w:r w:rsidRPr="00216B78">
              <w:t>Dažnis</w:t>
            </w:r>
            <w:r w:rsidR="000A78FB" w:rsidRPr="00216B78">
              <w:t>*</w:t>
            </w:r>
          </w:p>
        </w:tc>
      </w:tr>
      <w:tr w:rsidR="008E70E4" w:rsidRPr="00216B78" w14:paraId="7AE6777A" w14:textId="77777777" w:rsidTr="0004000C">
        <w:trPr>
          <w:cantSplit/>
          <w:trHeight w:val="854"/>
        </w:trPr>
        <w:tc>
          <w:tcPr>
            <w:tcW w:w="2873" w:type="dxa"/>
          </w:tcPr>
          <w:p w14:paraId="48C6C310" w14:textId="77777777" w:rsidR="008E70E4" w:rsidRPr="00216B78" w:rsidRDefault="008E70E4" w:rsidP="00754B96">
            <w:pPr>
              <w:pStyle w:val="Default"/>
              <w:ind w:left="284"/>
              <w:contextualSpacing/>
              <w:rPr>
                <w:sz w:val="22"/>
                <w:szCs w:val="22"/>
                <w:lang w:val="lt-LT"/>
              </w:rPr>
            </w:pPr>
            <w:r w:rsidRPr="00216B78">
              <w:rPr>
                <w:sz w:val="22"/>
                <w:szCs w:val="22"/>
                <w:lang w:val="lt-LT"/>
              </w:rPr>
              <w:t xml:space="preserve">Imuninės sistemos sutrikimai: </w:t>
            </w:r>
          </w:p>
        </w:tc>
        <w:tc>
          <w:tcPr>
            <w:tcW w:w="3844" w:type="dxa"/>
          </w:tcPr>
          <w:p w14:paraId="0C3611B6" w14:textId="77777777" w:rsidR="008E70E4" w:rsidRPr="00216B78" w:rsidRDefault="008E70E4" w:rsidP="00754B96">
            <w:pPr>
              <w:pStyle w:val="Default"/>
              <w:ind w:left="284"/>
              <w:contextualSpacing/>
              <w:rPr>
                <w:sz w:val="22"/>
                <w:szCs w:val="22"/>
                <w:lang w:val="lt-LT"/>
              </w:rPr>
            </w:pPr>
            <w:r w:rsidRPr="00216B78">
              <w:rPr>
                <w:sz w:val="22"/>
                <w:szCs w:val="22"/>
                <w:lang w:val="lt-LT"/>
              </w:rPr>
              <w:t>Alerginės arba anafilaksinės reakcijos</w:t>
            </w:r>
          </w:p>
          <w:p w14:paraId="11521EE1" w14:textId="77777777" w:rsidR="008E70E4" w:rsidRPr="00216B78" w:rsidRDefault="008E70E4" w:rsidP="00754B96">
            <w:pPr>
              <w:pStyle w:val="Default"/>
              <w:ind w:left="284"/>
              <w:contextualSpacing/>
              <w:rPr>
                <w:sz w:val="22"/>
                <w:szCs w:val="22"/>
                <w:lang w:val="lt-LT"/>
              </w:rPr>
            </w:pPr>
            <w:r w:rsidRPr="00216B78">
              <w:rPr>
                <w:sz w:val="22"/>
                <w:szCs w:val="22"/>
                <w:lang w:val="lt-LT"/>
              </w:rPr>
              <w:t>Odos reakcijos</w:t>
            </w:r>
          </w:p>
        </w:tc>
        <w:tc>
          <w:tcPr>
            <w:tcW w:w="2086" w:type="dxa"/>
          </w:tcPr>
          <w:p w14:paraId="16775437" w14:textId="77777777" w:rsidR="008E70E4" w:rsidRPr="00216B78" w:rsidRDefault="008E70E4" w:rsidP="00754B96">
            <w:pPr>
              <w:ind w:left="284"/>
              <w:contextualSpacing/>
            </w:pPr>
            <w:r w:rsidRPr="00216B78">
              <w:t>Dažnis nežinomas</w:t>
            </w:r>
          </w:p>
        </w:tc>
      </w:tr>
      <w:tr w:rsidR="008E70E4" w:rsidRPr="00216B78" w14:paraId="01DA66E4" w14:textId="77777777" w:rsidTr="0004000C">
        <w:trPr>
          <w:cantSplit/>
          <w:trHeight w:val="948"/>
        </w:trPr>
        <w:tc>
          <w:tcPr>
            <w:tcW w:w="2873" w:type="dxa"/>
          </w:tcPr>
          <w:p w14:paraId="768277AE" w14:textId="77777777" w:rsidR="008E70E4" w:rsidRPr="00216B78" w:rsidRDefault="008E70E4" w:rsidP="00754B96">
            <w:pPr>
              <w:pStyle w:val="Default"/>
              <w:ind w:left="284"/>
              <w:contextualSpacing/>
              <w:rPr>
                <w:sz w:val="22"/>
                <w:szCs w:val="22"/>
                <w:lang w:val="lt-LT"/>
              </w:rPr>
            </w:pPr>
            <w:r w:rsidRPr="00216B78">
              <w:rPr>
                <w:sz w:val="22"/>
                <w:szCs w:val="22"/>
                <w:lang w:val="lt-LT"/>
              </w:rPr>
              <w:t xml:space="preserve">Kraujagyslių sutrikimai: </w:t>
            </w:r>
          </w:p>
        </w:tc>
        <w:tc>
          <w:tcPr>
            <w:tcW w:w="3844" w:type="dxa"/>
          </w:tcPr>
          <w:p w14:paraId="063651DD" w14:textId="77777777" w:rsidR="008E70E4" w:rsidRPr="00216B78" w:rsidRDefault="008E70E4" w:rsidP="00754B96">
            <w:pPr>
              <w:pStyle w:val="Default"/>
              <w:ind w:left="284"/>
              <w:contextualSpacing/>
              <w:rPr>
                <w:sz w:val="22"/>
                <w:szCs w:val="22"/>
                <w:lang w:val="lt-LT"/>
              </w:rPr>
            </w:pPr>
            <w:r w:rsidRPr="00216B78">
              <w:rPr>
                <w:sz w:val="22"/>
                <w:szCs w:val="22"/>
                <w:lang w:val="lt-LT"/>
              </w:rPr>
              <w:t>Tromboembolijos epizodai (įskaitant miokardo infarktą ir plaučių emboliją) (žr. 4.4 skyrių)</w:t>
            </w:r>
          </w:p>
          <w:p w14:paraId="6CEF444E" w14:textId="77777777" w:rsidR="008E70E4" w:rsidRPr="00216B78" w:rsidRDefault="008E70E4" w:rsidP="00754B96">
            <w:pPr>
              <w:pStyle w:val="Default"/>
              <w:ind w:left="284"/>
              <w:contextualSpacing/>
              <w:rPr>
                <w:sz w:val="22"/>
                <w:szCs w:val="22"/>
                <w:lang w:val="lt-LT"/>
              </w:rPr>
            </w:pPr>
            <w:r w:rsidRPr="00216B78">
              <w:rPr>
                <w:sz w:val="22"/>
                <w:szCs w:val="22"/>
                <w:lang w:val="lt-LT"/>
              </w:rPr>
              <w:t>Tromboflebitas</w:t>
            </w:r>
          </w:p>
        </w:tc>
        <w:tc>
          <w:tcPr>
            <w:tcW w:w="2086" w:type="dxa"/>
          </w:tcPr>
          <w:p w14:paraId="321C46F1" w14:textId="77777777" w:rsidR="008E70E4" w:rsidRPr="00216B78" w:rsidRDefault="008E70E4" w:rsidP="00754B96">
            <w:pPr>
              <w:ind w:left="284"/>
              <w:contextualSpacing/>
            </w:pPr>
            <w:r w:rsidRPr="00216B78">
              <w:t>Dažnis nežinomas</w:t>
            </w:r>
          </w:p>
        </w:tc>
      </w:tr>
      <w:tr w:rsidR="008E70E4" w:rsidRPr="00216B78" w14:paraId="48EF9D04" w14:textId="77777777" w:rsidTr="0004000C">
        <w:trPr>
          <w:cantSplit/>
          <w:trHeight w:val="791"/>
        </w:trPr>
        <w:tc>
          <w:tcPr>
            <w:tcW w:w="2873" w:type="dxa"/>
          </w:tcPr>
          <w:p w14:paraId="32A9FC6A" w14:textId="77777777" w:rsidR="008E70E4" w:rsidRPr="00216B78" w:rsidRDefault="008E70E4" w:rsidP="00754B96">
            <w:pPr>
              <w:pStyle w:val="Default"/>
              <w:ind w:left="284"/>
              <w:contextualSpacing/>
              <w:rPr>
                <w:sz w:val="22"/>
                <w:szCs w:val="22"/>
                <w:lang w:val="lt-LT"/>
              </w:rPr>
            </w:pPr>
            <w:r w:rsidRPr="00216B78">
              <w:rPr>
                <w:sz w:val="22"/>
                <w:szCs w:val="22"/>
                <w:lang w:val="lt-LT"/>
              </w:rPr>
              <w:t xml:space="preserve">Bendrieji sutrikimai ir vartojimo vietos pažeidimai: </w:t>
            </w:r>
          </w:p>
        </w:tc>
        <w:tc>
          <w:tcPr>
            <w:tcW w:w="3844" w:type="dxa"/>
          </w:tcPr>
          <w:p w14:paraId="3E454235" w14:textId="77777777" w:rsidR="008E70E4" w:rsidRPr="00216B78" w:rsidRDefault="008E70E4" w:rsidP="00754B96">
            <w:pPr>
              <w:pStyle w:val="Default"/>
              <w:ind w:left="284"/>
              <w:contextualSpacing/>
              <w:rPr>
                <w:sz w:val="22"/>
                <w:szCs w:val="22"/>
                <w:lang w:val="lt-LT"/>
              </w:rPr>
            </w:pPr>
            <w:r w:rsidRPr="00216B78">
              <w:rPr>
                <w:sz w:val="22"/>
                <w:szCs w:val="22"/>
                <w:lang w:val="lt-LT"/>
              </w:rPr>
              <w:t>Padidėjusi kūno temperatūra (karščiavimas)</w:t>
            </w:r>
          </w:p>
        </w:tc>
        <w:tc>
          <w:tcPr>
            <w:tcW w:w="2086" w:type="dxa"/>
          </w:tcPr>
          <w:p w14:paraId="0209B19E" w14:textId="77777777" w:rsidR="008E70E4" w:rsidRPr="00216B78" w:rsidRDefault="008E70E4" w:rsidP="00754B96">
            <w:pPr>
              <w:ind w:left="284"/>
              <w:contextualSpacing/>
            </w:pPr>
            <w:r w:rsidRPr="00216B78">
              <w:t>Dažnis nežinomas</w:t>
            </w:r>
          </w:p>
        </w:tc>
      </w:tr>
    </w:tbl>
    <w:p w14:paraId="2B677926" w14:textId="77777777" w:rsidR="008E70E4" w:rsidRPr="00216B78" w:rsidRDefault="000A78FB" w:rsidP="00C8026A">
      <w:pPr>
        <w:pStyle w:val="Default"/>
        <w:rPr>
          <w:sz w:val="18"/>
          <w:szCs w:val="18"/>
          <w:lang w:val="lt-LT"/>
        </w:rPr>
      </w:pPr>
      <w:r w:rsidRPr="00216B78">
        <w:rPr>
          <w:sz w:val="22"/>
          <w:szCs w:val="22"/>
          <w:lang w:val="lt-LT"/>
        </w:rPr>
        <w:t xml:space="preserve">* </w:t>
      </w:r>
      <w:r w:rsidRPr="00216B78">
        <w:rPr>
          <w:sz w:val="18"/>
          <w:szCs w:val="18"/>
          <w:lang w:val="lt-LT"/>
        </w:rPr>
        <w:t xml:space="preserve">Dažnis nežinomas, nes negali būti apskaičiuotas pagal turimus duomenis. Klinikinių tyrimų metu nustatyti </w:t>
      </w:r>
      <w:r w:rsidR="00B376DB" w:rsidRPr="00216B78">
        <w:rPr>
          <w:sz w:val="18"/>
          <w:szCs w:val="18"/>
          <w:lang w:val="lt-LT"/>
        </w:rPr>
        <w:t xml:space="preserve">pavieniai </w:t>
      </w:r>
      <w:r w:rsidRPr="00216B78">
        <w:rPr>
          <w:sz w:val="18"/>
          <w:szCs w:val="18"/>
          <w:lang w:val="lt-LT"/>
        </w:rPr>
        <w:t>nedidelio karščiavimo ir odos reakcijų atvejai. Alerginės arba anafilaksinio tipo reakcijos, tromboembolijos epizodai (įskaitant miokardo infarktą ir plaučių emboliją) ir tromboflebitas yra organų sistemų klasės poveikis.</w:t>
      </w:r>
    </w:p>
    <w:p w14:paraId="3B9F775A" w14:textId="77777777" w:rsidR="000A78FB" w:rsidRPr="00216B78" w:rsidRDefault="000A78FB" w:rsidP="00C8026A">
      <w:pPr>
        <w:pStyle w:val="Default"/>
        <w:rPr>
          <w:sz w:val="18"/>
          <w:szCs w:val="18"/>
          <w:lang w:val="lt-LT"/>
        </w:rPr>
      </w:pPr>
    </w:p>
    <w:p w14:paraId="6FB29BA6" w14:textId="77777777" w:rsidR="008E70E4" w:rsidRPr="00216B78" w:rsidRDefault="00547059" w:rsidP="00754B96">
      <w:pPr>
        <w:pStyle w:val="Default"/>
        <w:rPr>
          <w:sz w:val="22"/>
          <w:szCs w:val="22"/>
          <w:lang w:val="lt-LT"/>
        </w:rPr>
      </w:pPr>
      <w:r w:rsidRPr="00216B78">
        <w:rPr>
          <w:sz w:val="22"/>
          <w:szCs w:val="22"/>
          <w:lang w:val="lt-LT"/>
        </w:rPr>
        <w:t>Apie apsaugą nuo perduodamų sukėlėjų</w:t>
      </w:r>
      <w:r w:rsidR="008E70E4" w:rsidRPr="00216B78">
        <w:rPr>
          <w:sz w:val="22"/>
          <w:szCs w:val="22"/>
          <w:lang w:val="lt-LT"/>
        </w:rPr>
        <w:t xml:space="preserve"> žr. 4.4 skyriuje.</w:t>
      </w:r>
    </w:p>
    <w:p w14:paraId="320A14FC" w14:textId="77777777" w:rsidR="008E70E4" w:rsidRPr="00216B78" w:rsidRDefault="008E70E4" w:rsidP="00754B96">
      <w:pPr>
        <w:pStyle w:val="Default"/>
        <w:rPr>
          <w:sz w:val="22"/>
          <w:szCs w:val="22"/>
          <w:u w:val="single"/>
          <w:lang w:val="lt-LT"/>
        </w:rPr>
      </w:pPr>
    </w:p>
    <w:p w14:paraId="47D3CDC1" w14:textId="77777777" w:rsidR="008E70E4" w:rsidRPr="00216B78" w:rsidRDefault="008E70E4" w:rsidP="00754B96">
      <w:pPr>
        <w:pStyle w:val="Text"/>
        <w:keepNext/>
        <w:spacing w:before="0" w:after="0"/>
        <w:jc w:val="left"/>
        <w:rPr>
          <w:color w:val="auto"/>
          <w:sz w:val="22"/>
          <w:szCs w:val="22"/>
          <w:u w:val="single"/>
          <w:lang w:val="lt-LT"/>
        </w:rPr>
      </w:pPr>
      <w:r w:rsidRPr="00216B78">
        <w:rPr>
          <w:color w:val="auto"/>
          <w:sz w:val="22"/>
          <w:szCs w:val="22"/>
          <w:u w:val="single"/>
          <w:lang w:val="lt-LT"/>
        </w:rPr>
        <w:t>Vaikų populiacija:</w:t>
      </w:r>
    </w:p>
    <w:p w14:paraId="23894686" w14:textId="77777777" w:rsidR="00021F81" w:rsidRPr="00216B78" w:rsidRDefault="00021F81" w:rsidP="00021F81">
      <w:pPr>
        <w:pStyle w:val="Default"/>
        <w:rPr>
          <w:sz w:val="22"/>
          <w:szCs w:val="22"/>
          <w:lang w:val="lt-LT"/>
        </w:rPr>
      </w:pPr>
      <w:r w:rsidRPr="00216B78">
        <w:rPr>
          <w:sz w:val="22"/>
          <w:szCs w:val="22"/>
          <w:lang w:val="lt-LT"/>
        </w:rPr>
        <w:t xml:space="preserve">Į įgimtos fibrinogeno stokos saugumo analizę buvo įtraukti dvidešimt šeši pacientai nuo 1 iki 18 metų, </w:t>
      </w:r>
      <w:bookmarkStart w:id="5" w:name="_Hlk73611984"/>
      <w:r w:rsidRPr="00216B78">
        <w:rPr>
          <w:sz w:val="22"/>
          <w:szCs w:val="22"/>
          <w:lang w:val="lt-LT"/>
        </w:rPr>
        <w:t>iš kurių 12 buvo paaugliai nuo 12 iki 18 metų, 8 vaikai nuo 6 iki 12 metų ir 6 vaikai nuo 1 iki 6 metų.</w:t>
      </w:r>
    </w:p>
    <w:bookmarkEnd w:id="5"/>
    <w:p w14:paraId="64633B40" w14:textId="77777777" w:rsidR="00021F81" w:rsidRPr="00216B78" w:rsidRDefault="00021F81" w:rsidP="00021F81">
      <w:pPr>
        <w:pStyle w:val="Default"/>
        <w:rPr>
          <w:sz w:val="22"/>
          <w:szCs w:val="22"/>
          <w:lang w:val="lt-LT"/>
        </w:rPr>
      </w:pPr>
      <w:r w:rsidRPr="00216B78">
        <w:rPr>
          <w:sz w:val="22"/>
          <w:szCs w:val="22"/>
          <w:lang w:val="lt-LT"/>
        </w:rPr>
        <w:t>Bendri suaugusiųjų, paauglių ir vaikų saugumo duomenys nesiskiria.</w:t>
      </w:r>
    </w:p>
    <w:p w14:paraId="4DE4E569" w14:textId="77777777" w:rsidR="00021F81" w:rsidRPr="00216B78" w:rsidRDefault="00021F81" w:rsidP="00754B96">
      <w:pPr>
        <w:pStyle w:val="Default"/>
        <w:rPr>
          <w:sz w:val="22"/>
          <w:szCs w:val="22"/>
          <w:lang w:val="lt-LT"/>
        </w:rPr>
      </w:pPr>
    </w:p>
    <w:p w14:paraId="6141BAD8" w14:textId="77777777" w:rsidR="008E70E4" w:rsidRPr="00216B78" w:rsidRDefault="008E70E4" w:rsidP="00754B96">
      <w:pPr>
        <w:pStyle w:val="Default"/>
        <w:rPr>
          <w:sz w:val="22"/>
          <w:szCs w:val="22"/>
          <w:lang w:val="lt-LT"/>
        </w:rPr>
      </w:pPr>
      <w:r w:rsidRPr="00216B78">
        <w:rPr>
          <w:sz w:val="22"/>
          <w:szCs w:val="22"/>
          <w:lang w:val="lt-LT"/>
        </w:rPr>
        <w:t>Į įgimtos fibrinogeno stokos saugumo analizę buvo įtraukti aštuoni pacientai nuo 12 iki 18 metų.</w:t>
      </w:r>
    </w:p>
    <w:p w14:paraId="31A9D82C" w14:textId="77777777" w:rsidR="008E70E4" w:rsidRPr="00216B78" w:rsidRDefault="008E70E4" w:rsidP="00754B96">
      <w:pPr>
        <w:pStyle w:val="Default"/>
        <w:rPr>
          <w:sz w:val="22"/>
          <w:szCs w:val="22"/>
          <w:lang w:val="lt-LT"/>
        </w:rPr>
      </w:pPr>
      <w:r w:rsidRPr="00216B78">
        <w:rPr>
          <w:sz w:val="22"/>
          <w:szCs w:val="22"/>
          <w:lang w:val="lt-LT"/>
        </w:rPr>
        <w:t>Bendri suaugusiųjų ir paauglių saugumo duomenys nesiskiria.</w:t>
      </w:r>
    </w:p>
    <w:p w14:paraId="5BD6D272" w14:textId="77777777" w:rsidR="008E70E4" w:rsidRPr="00216B78" w:rsidRDefault="008E70E4" w:rsidP="00754B96">
      <w:pPr>
        <w:pStyle w:val="Default"/>
        <w:rPr>
          <w:sz w:val="22"/>
          <w:szCs w:val="22"/>
          <w:lang w:val="lt-LT"/>
        </w:rPr>
      </w:pPr>
      <w:r w:rsidRPr="00216B78">
        <w:rPr>
          <w:sz w:val="22"/>
          <w:szCs w:val="22"/>
          <w:lang w:val="lt-LT"/>
        </w:rPr>
        <w:t xml:space="preserve">Duomenų apie </w:t>
      </w:r>
      <w:r w:rsidR="00324E4D" w:rsidRPr="00216B78">
        <w:rPr>
          <w:color w:val="auto"/>
          <w:sz w:val="22"/>
          <w:szCs w:val="22"/>
          <w:lang w:val="lt-LT"/>
        </w:rPr>
        <w:t>fibryga</w:t>
      </w:r>
      <w:r w:rsidR="00324E4D" w:rsidRPr="00216B78" w:rsidDel="00324E4D">
        <w:rPr>
          <w:sz w:val="22"/>
          <w:szCs w:val="22"/>
          <w:lang w:val="lt-LT"/>
        </w:rPr>
        <w:t xml:space="preserve"> </w:t>
      </w:r>
      <w:r w:rsidRPr="00216B78">
        <w:rPr>
          <w:sz w:val="22"/>
          <w:szCs w:val="22"/>
          <w:lang w:val="lt-LT"/>
        </w:rPr>
        <w:t>vartojimą pacientams vaikams, sergantiems įgyta fibrinogeno stoka, nėra.</w:t>
      </w:r>
    </w:p>
    <w:p w14:paraId="5B543DAC" w14:textId="77777777" w:rsidR="008E70E4" w:rsidRPr="00216B78" w:rsidRDefault="008E70E4" w:rsidP="00754B96">
      <w:pPr>
        <w:pStyle w:val="Default"/>
        <w:rPr>
          <w:sz w:val="22"/>
          <w:szCs w:val="22"/>
          <w:lang w:val="lt-LT"/>
        </w:rPr>
      </w:pPr>
    </w:p>
    <w:p w14:paraId="49CEDCA8" w14:textId="77777777" w:rsidR="008E70E4" w:rsidRPr="00216B78" w:rsidRDefault="008E70E4" w:rsidP="00754B96">
      <w:pPr>
        <w:pStyle w:val="Default"/>
        <w:rPr>
          <w:sz w:val="22"/>
          <w:szCs w:val="22"/>
          <w:u w:val="single"/>
          <w:lang w:val="lt-LT"/>
        </w:rPr>
      </w:pPr>
      <w:r w:rsidRPr="00216B78">
        <w:rPr>
          <w:iCs/>
          <w:sz w:val="22"/>
          <w:szCs w:val="22"/>
          <w:u w:val="single"/>
          <w:lang w:val="lt-LT"/>
        </w:rPr>
        <w:t>Pranešimas apie įtariamas nepageidaujamas reakcijas</w:t>
      </w:r>
    </w:p>
    <w:p w14:paraId="6C364187" w14:textId="2BAE935B" w:rsidR="006D4310" w:rsidRPr="00216B78" w:rsidRDefault="00C8263D" w:rsidP="00CC59D2">
      <w:pPr>
        <w:tabs>
          <w:tab w:val="left" w:pos="567"/>
        </w:tabs>
        <w:autoSpaceDE w:val="0"/>
        <w:autoSpaceDN w:val="0"/>
        <w:adjustRightInd w:val="0"/>
        <w:rPr>
          <w:rFonts w:eastAsia="Times New Roman"/>
          <w:noProof/>
          <w:snapToGrid w:val="0"/>
          <w:szCs w:val="24"/>
        </w:rPr>
      </w:pPr>
      <w:r w:rsidRPr="00216B78">
        <w:t xml:space="preserve">Svarbu pranešti apie įtariamas nepageidaujamas reakcijas, pastebėtas po vaistinio preparato registracijos, nes tai leidžia nuolat stebėti vaistinio preparato naudos ir rizikos santykį. </w:t>
      </w:r>
      <w:r w:rsidR="006D4310" w:rsidRPr="00216B78">
        <w:rPr>
          <w:rFonts w:eastAsia="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9" w:history="1">
        <w:r w:rsidR="006D4310" w:rsidRPr="00216B78">
          <w:rPr>
            <w:rFonts w:eastAsia="Times New Roman"/>
            <w:noProof/>
            <w:snapToGrid w:val="0"/>
            <w:color w:val="0000FF"/>
            <w:szCs w:val="24"/>
            <w:u w:val="single"/>
          </w:rPr>
          <w:t>https://vapris.vvkt.lt/vvkt-web/public/nrvSpecialist</w:t>
        </w:r>
      </w:hyperlink>
      <w:r w:rsidR="006D4310" w:rsidRPr="00216B78">
        <w:rPr>
          <w:rFonts w:eastAsia="Times New Roman"/>
          <w:noProof/>
          <w:snapToGrid w:val="0"/>
          <w:szCs w:val="24"/>
        </w:rPr>
        <w:t xml:space="preserve"> arba užpildę Sveikatos priežiūros ar farmacijos specialisto pranešimo apie įtariamą nepageidaujamą reakciją (ĮNR) formą, kuri skelbiama </w:t>
      </w:r>
      <w:hyperlink r:id="rId10" w:history="1">
        <w:r w:rsidR="006D4310" w:rsidRPr="00216B78">
          <w:rPr>
            <w:rFonts w:eastAsia="Times New Roman"/>
            <w:noProof/>
            <w:snapToGrid w:val="0"/>
            <w:color w:val="0000FF"/>
            <w:szCs w:val="24"/>
            <w:u w:val="single"/>
          </w:rPr>
          <w:t>https://www.vvkt.lt/index.php?1399030386</w:t>
        </w:r>
      </w:hyperlink>
      <w:r w:rsidR="006D4310" w:rsidRPr="00216B78">
        <w:rPr>
          <w:rFonts w:eastAsia="Times New Roman"/>
          <w:noProof/>
          <w:snapToGrid w:val="0"/>
          <w:szCs w:val="24"/>
        </w:rPr>
        <w:t>, ir atsiųsti elektroniniu paštu (adresu NepageidaujamaR@vvkt.lt).</w:t>
      </w:r>
    </w:p>
    <w:p w14:paraId="1FF3E576" w14:textId="3BF82113" w:rsidR="003169D1" w:rsidRPr="00216B78" w:rsidRDefault="003169D1" w:rsidP="008F3BA8"/>
    <w:p w14:paraId="6AB69DD5" w14:textId="77777777" w:rsidR="008F3BA8" w:rsidRPr="00216B78" w:rsidRDefault="008F3BA8" w:rsidP="008F3BA8"/>
    <w:p w14:paraId="7AD1D688" w14:textId="77777777" w:rsidR="008E70E4" w:rsidRPr="00216B78" w:rsidRDefault="00754B96" w:rsidP="00754B96">
      <w:pPr>
        <w:pStyle w:val="Default"/>
        <w:outlineLvl w:val="1"/>
        <w:rPr>
          <w:b/>
          <w:bCs/>
          <w:sz w:val="22"/>
          <w:szCs w:val="22"/>
          <w:lang w:val="lt-LT"/>
        </w:rPr>
      </w:pPr>
      <w:r w:rsidRPr="00216B78">
        <w:rPr>
          <w:b/>
          <w:bCs/>
          <w:sz w:val="22"/>
          <w:szCs w:val="22"/>
          <w:lang w:val="lt-LT"/>
        </w:rPr>
        <w:t>4.9</w:t>
      </w:r>
      <w:r w:rsidRPr="00216B78">
        <w:rPr>
          <w:b/>
          <w:bCs/>
          <w:sz w:val="22"/>
          <w:szCs w:val="22"/>
          <w:lang w:val="lt-LT"/>
        </w:rPr>
        <w:tab/>
      </w:r>
      <w:r w:rsidR="008E70E4" w:rsidRPr="00216B78">
        <w:rPr>
          <w:b/>
          <w:bCs/>
          <w:sz w:val="22"/>
          <w:szCs w:val="22"/>
          <w:lang w:val="lt-LT"/>
        </w:rPr>
        <w:t>Perdozavimas</w:t>
      </w:r>
    </w:p>
    <w:p w14:paraId="5F201DA9" w14:textId="77777777" w:rsidR="00754B96" w:rsidRPr="00216B78" w:rsidRDefault="00754B96" w:rsidP="007B277D">
      <w:pPr>
        <w:keepNext/>
      </w:pPr>
    </w:p>
    <w:p w14:paraId="6E1EB8C7" w14:textId="77777777" w:rsidR="008E70E4" w:rsidRPr="00216B78" w:rsidRDefault="008E70E4" w:rsidP="008F3BA8">
      <w:pPr>
        <w:pStyle w:val="Default"/>
        <w:rPr>
          <w:sz w:val="22"/>
          <w:szCs w:val="22"/>
          <w:lang w:val="lt-LT"/>
        </w:rPr>
      </w:pPr>
      <w:r w:rsidRPr="00216B78">
        <w:rPr>
          <w:sz w:val="22"/>
          <w:szCs w:val="22"/>
          <w:lang w:val="lt-LT"/>
        </w:rPr>
        <w:t>Siekiant išvengti perdozavimo, gydymo metu reikia reguliariai stebėti fibrinogeno koncentraciją plazmoje (žr. 4.2 skyrių).</w:t>
      </w:r>
    </w:p>
    <w:p w14:paraId="2BA3A913" w14:textId="77777777" w:rsidR="00754B96" w:rsidRPr="00216B78" w:rsidRDefault="00754B96">
      <w:pPr>
        <w:pStyle w:val="Default"/>
        <w:rPr>
          <w:sz w:val="22"/>
          <w:szCs w:val="22"/>
          <w:lang w:val="lt-LT"/>
        </w:rPr>
      </w:pPr>
    </w:p>
    <w:p w14:paraId="4099FE44" w14:textId="77777777" w:rsidR="00754B96" w:rsidRPr="00216B78" w:rsidRDefault="008E70E4">
      <w:pPr>
        <w:pStyle w:val="Default"/>
        <w:rPr>
          <w:color w:val="auto"/>
          <w:sz w:val="22"/>
          <w:szCs w:val="22"/>
          <w:lang w:val="lt-LT"/>
        </w:rPr>
      </w:pPr>
      <w:r w:rsidRPr="00216B78">
        <w:rPr>
          <w:color w:val="auto"/>
          <w:sz w:val="22"/>
          <w:szCs w:val="22"/>
          <w:lang w:val="lt-LT"/>
        </w:rPr>
        <w:t>Perdozavimo atveju padidėja tromboembolinių komplikacijų atsiradimo rizika.</w:t>
      </w:r>
    </w:p>
    <w:p w14:paraId="6EBC51AA" w14:textId="77777777" w:rsidR="00754B96" w:rsidRPr="00216B78" w:rsidRDefault="00754B96">
      <w:pPr>
        <w:pStyle w:val="Default"/>
        <w:rPr>
          <w:color w:val="auto"/>
          <w:sz w:val="22"/>
          <w:szCs w:val="22"/>
          <w:lang w:val="lt-LT"/>
        </w:rPr>
      </w:pPr>
    </w:p>
    <w:p w14:paraId="4995D43A" w14:textId="77777777" w:rsidR="00754B96" w:rsidRPr="00216B78" w:rsidRDefault="00754B96">
      <w:pPr>
        <w:pStyle w:val="Default"/>
        <w:rPr>
          <w:color w:val="auto"/>
          <w:sz w:val="22"/>
          <w:szCs w:val="22"/>
          <w:lang w:val="lt-LT"/>
        </w:rPr>
      </w:pPr>
    </w:p>
    <w:p w14:paraId="13FB9D73" w14:textId="77777777" w:rsidR="008E70E4" w:rsidRPr="00216B78" w:rsidRDefault="00754B96" w:rsidP="007B277D">
      <w:pPr>
        <w:pStyle w:val="Antrat1"/>
      </w:pPr>
      <w:r w:rsidRPr="00216B78">
        <w:t>5.</w:t>
      </w:r>
      <w:r w:rsidRPr="00216B78">
        <w:tab/>
      </w:r>
      <w:r w:rsidR="008E70E4" w:rsidRPr="00216B78">
        <w:t>FARMAKOLOGINĖS SAVYBĖS</w:t>
      </w:r>
    </w:p>
    <w:p w14:paraId="36D3F93A" w14:textId="77777777" w:rsidR="00754B96" w:rsidRPr="00216B78" w:rsidRDefault="00754B96" w:rsidP="007B277D">
      <w:pPr>
        <w:keepNext/>
      </w:pPr>
    </w:p>
    <w:p w14:paraId="7D0D059A" w14:textId="77777777" w:rsidR="008E70E4" w:rsidRPr="00216B78" w:rsidRDefault="00754B96" w:rsidP="00754B96">
      <w:pPr>
        <w:pStyle w:val="Default"/>
        <w:outlineLvl w:val="1"/>
        <w:rPr>
          <w:b/>
          <w:bCs/>
          <w:sz w:val="22"/>
          <w:szCs w:val="22"/>
          <w:lang w:val="lt-LT"/>
        </w:rPr>
      </w:pPr>
      <w:r w:rsidRPr="00216B78">
        <w:rPr>
          <w:b/>
          <w:bCs/>
          <w:sz w:val="22"/>
          <w:szCs w:val="22"/>
          <w:lang w:val="lt-LT"/>
        </w:rPr>
        <w:t>5.1</w:t>
      </w:r>
      <w:r w:rsidRPr="00216B78">
        <w:rPr>
          <w:b/>
          <w:bCs/>
          <w:sz w:val="22"/>
          <w:szCs w:val="22"/>
          <w:lang w:val="lt-LT"/>
        </w:rPr>
        <w:tab/>
      </w:r>
      <w:r w:rsidR="008E70E4" w:rsidRPr="00216B78">
        <w:rPr>
          <w:b/>
          <w:bCs/>
          <w:sz w:val="22"/>
          <w:szCs w:val="22"/>
          <w:lang w:val="lt-LT"/>
        </w:rPr>
        <w:t>Farmakodinaminės savybės</w:t>
      </w:r>
    </w:p>
    <w:p w14:paraId="779CD57C" w14:textId="77777777" w:rsidR="00754B96" w:rsidRPr="00216B78" w:rsidRDefault="00754B96" w:rsidP="007B277D">
      <w:pPr>
        <w:keepNext/>
      </w:pPr>
    </w:p>
    <w:p w14:paraId="56B6EFA8" w14:textId="77777777" w:rsidR="008E70E4" w:rsidRPr="00216B78" w:rsidRDefault="008E70E4" w:rsidP="00754B96">
      <w:pPr>
        <w:pStyle w:val="Default"/>
        <w:rPr>
          <w:sz w:val="22"/>
          <w:szCs w:val="22"/>
          <w:lang w:val="lt-LT"/>
        </w:rPr>
      </w:pPr>
      <w:r w:rsidRPr="00216B78">
        <w:rPr>
          <w:bCs/>
          <w:sz w:val="22"/>
          <w:szCs w:val="22"/>
          <w:lang w:val="lt-LT"/>
        </w:rPr>
        <w:t>Farmakoterapinė grupė –</w:t>
      </w:r>
      <w:r w:rsidRPr="00216B78">
        <w:rPr>
          <w:sz w:val="22"/>
          <w:szCs w:val="22"/>
          <w:lang w:val="lt-LT"/>
        </w:rPr>
        <w:t xml:space="preserve"> </w:t>
      </w:r>
      <w:r w:rsidR="008F3BA8" w:rsidRPr="00216B78">
        <w:rPr>
          <w:sz w:val="22"/>
          <w:szCs w:val="22"/>
          <w:lang w:val="lt-LT"/>
        </w:rPr>
        <w:t>antihemoraginiai vaist</w:t>
      </w:r>
      <w:r w:rsidR="00B376DB" w:rsidRPr="00216B78">
        <w:rPr>
          <w:sz w:val="22"/>
          <w:szCs w:val="22"/>
          <w:lang w:val="lt-LT"/>
        </w:rPr>
        <w:t>ini</w:t>
      </w:r>
      <w:r w:rsidR="008F3BA8" w:rsidRPr="00216B78">
        <w:rPr>
          <w:sz w:val="22"/>
          <w:szCs w:val="22"/>
          <w:lang w:val="lt-LT"/>
        </w:rPr>
        <w:t>ai</w:t>
      </w:r>
      <w:r w:rsidR="00B376DB" w:rsidRPr="00216B78">
        <w:rPr>
          <w:sz w:val="22"/>
          <w:szCs w:val="22"/>
          <w:lang w:val="lt-LT"/>
        </w:rPr>
        <w:t xml:space="preserve"> preparatai</w:t>
      </w:r>
      <w:r w:rsidRPr="00216B78">
        <w:rPr>
          <w:sz w:val="22"/>
          <w:szCs w:val="22"/>
          <w:lang w:val="lt-LT"/>
        </w:rPr>
        <w:t>, fibrinogenas, ATC kodas – B02BB01</w:t>
      </w:r>
      <w:r w:rsidR="008F3BA8" w:rsidRPr="00216B78">
        <w:rPr>
          <w:sz w:val="22"/>
          <w:szCs w:val="22"/>
          <w:lang w:val="lt-LT"/>
        </w:rPr>
        <w:t>.</w:t>
      </w:r>
    </w:p>
    <w:p w14:paraId="4314D261" w14:textId="77777777" w:rsidR="008E70E4" w:rsidRPr="00216B78" w:rsidRDefault="008E70E4" w:rsidP="00754B96">
      <w:pPr>
        <w:pStyle w:val="Default"/>
        <w:rPr>
          <w:sz w:val="22"/>
          <w:szCs w:val="22"/>
          <w:lang w:val="lt-LT"/>
        </w:rPr>
      </w:pPr>
    </w:p>
    <w:p w14:paraId="10D79E9F" w14:textId="77777777" w:rsidR="008E70E4" w:rsidRPr="00216B78" w:rsidRDefault="008E70E4" w:rsidP="00754B96">
      <w:pPr>
        <w:pStyle w:val="Default"/>
        <w:rPr>
          <w:sz w:val="22"/>
          <w:szCs w:val="22"/>
          <w:lang w:val="lt-LT"/>
        </w:rPr>
      </w:pPr>
      <w:r w:rsidRPr="00216B78">
        <w:rPr>
          <w:sz w:val="22"/>
          <w:szCs w:val="22"/>
          <w:lang w:val="lt-LT"/>
        </w:rPr>
        <w:t>Žmogaus fibrinogenas (I koaguliacijos faktorius), esant trombinui, aktyvintam XIII koaguliacijos faktoriui (FXIIIa) ir kalcio jonams, virsta stabiliu ir elastiniu trimačiu fibrino hemosta</w:t>
      </w:r>
      <w:r w:rsidR="008F3BA8" w:rsidRPr="00216B78">
        <w:rPr>
          <w:sz w:val="22"/>
          <w:szCs w:val="22"/>
          <w:lang w:val="lt-LT"/>
        </w:rPr>
        <w:t>z</w:t>
      </w:r>
      <w:r w:rsidRPr="00216B78">
        <w:rPr>
          <w:sz w:val="22"/>
          <w:szCs w:val="22"/>
          <w:lang w:val="lt-LT"/>
        </w:rPr>
        <w:t>iniu krešuliu.</w:t>
      </w:r>
    </w:p>
    <w:p w14:paraId="3AECE2E6" w14:textId="77777777" w:rsidR="008E70E4" w:rsidRPr="00216B78" w:rsidRDefault="008E70E4" w:rsidP="00754B96">
      <w:pPr>
        <w:pStyle w:val="Default"/>
        <w:rPr>
          <w:sz w:val="22"/>
          <w:szCs w:val="22"/>
          <w:lang w:val="lt-LT"/>
        </w:rPr>
      </w:pPr>
    </w:p>
    <w:p w14:paraId="2CC960AE" w14:textId="77777777" w:rsidR="008E70E4" w:rsidRPr="00216B78" w:rsidRDefault="008E70E4" w:rsidP="00754B96">
      <w:pPr>
        <w:pStyle w:val="Default"/>
        <w:rPr>
          <w:sz w:val="22"/>
          <w:szCs w:val="22"/>
          <w:lang w:val="lt-LT"/>
        </w:rPr>
      </w:pPr>
      <w:r w:rsidRPr="00216B78">
        <w:rPr>
          <w:sz w:val="22"/>
          <w:szCs w:val="22"/>
          <w:lang w:val="lt-LT"/>
        </w:rPr>
        <w:lastRenderedPageBreak/>
        <w:t>Vartojant žmogaus fibrinogeną, padidėja fibrinogeno koncentracija plazmoje ir gali būti laikinai koreguojamas pacientų, kuriems yra fibrinogeno stoka, koaguliacijos defektas.</w:t>
      </w:r>
    </w:p>
    <w:p w14:paraId="448EC5DB" w14:textId="77777777" w:rsidR="008E70E4" w:rsidRPr="00216B78" w:rsidRDefault="008E70E4" w:rsidP="00754B96">
      <w:pPr>
        <w:pStyle w:val="Default"/>
        <w:rPr>
          <w:sz w:val="22"/>
          <w:szCs w:val="22"/>
          <w:lang w:val="lt-LT"/>
        </w:rPr>
      </w:pPr>
    </w:p>
    <w:p w14:paraId="344949D0" w14:textId="77777777" w:rsidR="008E70E4" w:rsidRPr="00216B78" w:rsidRDefault="008E70E4" w:rsidP="00754B96">
      <w:pPr>
        <w:pStyle w:val="Default"/>
        <w:rPr>
          <w:sz w:val="22"/>
          <w:szCs w:val="22"/>
          <w:lang w:val="lt-LT"/>
        </w:rPr>
      </w:pPr>
      <w:r w:rsidRPr="00216B78">
        <w:rPr>
          <w:sz w:val="22"/>
          <w:szCs w:val="22"/>
          <w:lang w:val="lt-LT"/>
        </w:rPr>
        <w:t xml:space="preserve">Atvirajame, perspektyviniame, atsitiktinių imčių, kontroliuojamame, dviejų grupių, kryžminiame vienkartinio dozės vartojimo farmakokinetikos </w:t>
      </w:r>
      <w:r w:rsidR="00021F81" w:rsidRPr="00216B78">
        <w:rPr>
          <w:sz w:val="22"/>
          <w:szCs w:val="22"/>
          <w:lang w:val="lt-LT"/>
        </w:rPr>
        <w:t>2</w:t>
      </w:r>
      <w:r w:rsidRPr="00216B78">
        <w:rPr>
          <w:sz w:val="22"/>
          <w:szCs w:val="22"/>
          <w:lang w:val="lt-LT"/>
        </w:rPr>
        <w:t> fazės tyrime, kuriame dalyvavo 22 pacientai, kuriems yra įgimta fibrinogeno stoka (afibrinogenemija) (žr. 5.2 skyrių), taip pat buvo vertinamas didžiausias krešulių tvirtumas (DKT) kaip surogatinis hemosta</w:t>
      </w:r>
      <w:r w:rsidR="008F3BA8" w:rsidRPr="00216B78">
        <w:rPr>
          <w:sz w:val="22"/>
          <w:szCs w:val="22"/>
          <w:lang w:val="lt-LT"/>
        </w:rPr>
        <w:t>z</w:t>
      </w:r>
      <w:r w:rsidRPr="00216B78">
        <w:rPr>
          <w:sz w:val="22"/>
          <w:szCs w:val="22"/>
          <w:lang w:val="lt-LT"/>
        </w:rPr>
        <w:t xml:space="preserve">inio veiksmingumo žymuo (FORMA-01). DKT buvo nustatomas tromboelastometriniais (ROTEM) tyrimais. Kiekvienam pacientui DKT buvo nustatomas prieš vienkartinį </w:t>
      </w:r>
      <w:r w:rsidR="00324E4D" w:rsidRPr="00216B78">
        <w:rPr>
          <w:color w:val="auto"/>
          <w:sz w:val="22"/>
          <w:szCs w:val="22"/>
          <w:lang w:val="lt-LT"/>
        </w:rPr>
        <w:t>fibryga</w:t>
      </w:r>
      <w:r w:rsidRPr="00216B78">
        <w:rPr>
          <w:sz w:val="22"/>
          <w:szCs w:val="22"/>
          <w:lang w:val="lt-LT"/>
        </w:rPr>
        <w:t xml:space="preserve"> dozės vartojimą (pradinis) ir praėjus vienai valandai po jos vartojimo. DKT vertės buvo reikšmingai didesnės po </w:t>
      </w:r>
      <w:r w:rsidR="00324E4D" w:rsidRPr="00216B78">
        <w:rPr>
          <w:color w:val="auto"/>
          <w:sz w:val="22"/>
          <w:szCs w:val="22"/>
          <w:lang w:val="lt-LT"/>
        </w:rPr>
        <w:t>fibryga</w:t>
      </w:r>
      <w:r w:rsidR="00324E4D" w:rsidRPr="00216B78" w:rsidDel="00324E4D">
        <w:rPr>
          <w:sz w:val="22"/>
          <w:szCs w:val="22"/>
          <w:lang w:val="lt-LT"/>
        </w:rPr>
        <w:t xml:space="preserve"> </w:t>
      </w:r>
      <w:r w:rsidRPr="00216B78">
        <w:rPr>
          <w:sz w:val="22"/>
          <w:szCs w:val="22"/>
          <w:lang w:val="lt-LT"/>
        </w:rPr>
        <w:t>vartojimo nei pradinio įvertinimo metu (žr. lentelę toliau).</w:t>
      </w:r>
    </w:p>
    <w:p w14:paraId="7AA16F93" w14:textId="77777777" w:rsidR="008E70E4" w:rsidRPr="00216B78" w:rsidRDefault="008E70E4" w:rsidP="00754B96">
      <w:pPr>
        <w:pStyle w:val="Default"/>
        <w:rPr>
          <w:sz w:val="22"/>
          <w:szCs w:val="22"/>
          <w:lang w:val="lt-LT"/>
        </w:rPr>
      </w:pPr>
    </w:p>
    <w:p w14:paraId="1E425164" w14:textId="77777777" w:rsidR="008E70E4" w:rsidRPr="00216B78" w:rsidRDefault="008E70E4" w:rsidP="00754B96">
      <w:pPr>
        <w:pStyle w:val="Antrat"/>
        <w:rPr>
          <w:b/>
          <w:i w:val="0"/>
          <w:color w:val="auto"/>
          <w:sz w:val="22"/>
          <w:szCs w:val="22"/>
        </w:rPr>
      </w:pPr>
      <w:r w:rsidRPr="00216B78">
        <w:rPr>
          <w:b/>
          <w:bCs/>
          <w:i w:val="0"/>
          <w:color w:val="auto"/>
          <w:sz w:val="22"/>
          <w:szCs w:val="22"/>
        </w:rPr>
        <w:t xml:space="preserve">1 lentelė. Didžiausias krešulių tvirtumas DKT </w:t>
      </w:r>
      <w:r w:rsidR="008F3BA8" w:rsidRPr="00216B78">
        <w:rPr>
          <w:b/>
          <w:bCs/>
          <w:i w:val="0"/>
          <w:color w:val="auto"/>
          <w:sz w:val="22"/>
          <w:szCs w:val="22"/>
        </w:rPr>
        <w:t>(</w:t>
      </w:r>
      <w:r w:rsidRPr="00216B78">
        <w:rPr>
          <w:b/>
          <w:bCs/>
          <w:i w:val="0"/>
          <w:color w:val="auto"/>
          <w:sz w:val="22"/>
          <w:szCs w:val="22"/>
        </w:rPr>
        <w:t>mm</w:t>
      </w:r>
      <w:r w:rsidR="008F3BA8" w:rsidRPr="00216B78">
        <w:rPr>
          <w:b/>
          <w:bCs/>
          <w:i w:val="0"/>
          <w:color w:val="auto"/>
          <w:sz w:val="22"/>
          <w:szCs w:val="22"/>
        </w:rPr>
        <w:t>)</w:t>
      </w:r>
      <w:r w:rsidRPr="00216B78">
        <w:rPr>
          <w:b/>
          <w:bCs/>
          <w:i w:val="0"/>
          <w:color w:val="auto"/>
          <w:sz w:val="22"/>
          <w:szCs w:val="22"/>
        </w:rPr>
        <w:t xml:space="preserve"> (ITT populiacija) n = 22</w:t>
      </w:r>
    </w:p>
    <w:tbl>
      <w:tblPr>
        <w:tblW w:w="4960" w:type="pct"/>
        <w:tblInd w:w="108" w:type="dxa"/>
        <w:tblBorders>
          <w:top w:val="single" w:sz="8" w:space="0" w:color="000000"/>
          <w:left w:val="single" w:sz="6" w:space="0" w:color="000000"/>
          <w:bottom w:val="single" w:sz="8" w:space="0" w:color="000000"/>
          <w:right w:val="single" w:sz="6" w:space="0" w:color="000000"/>
        </w:tblBorders>
        <w:tblLayout w:type="fixed"/>
        <w:tblLook w:val="0000" w:firstRow="0" w:lastRow="0" w:firstColumn="0" w:lastColumn="0" w:noHBand="0" w:noVBand="0"/>
      </w:tblPr>
      <w:tblGrid>
        <w:gridCol w:w="4015"/>
        <w:gridCol w:w="2697"/>
        <w:gridCol w:w="2271"/>
      </w:tblGrid>
      <w:tr w:rsidR="008E70E4" w:rsidRPr="00216B78" w14:paraId="0092E99A" w14:textId="77777777" w:rsidTr="0004000C">
        <w:trPr>
          <w:trHeight w:val="146"/>
        </w:trPr>
        <w:tc>
          <w:tcPr>
            <w:tcW w:w="3992" w:type="dxa"/>
            <w:tcBorders>
              <w:top w:val="single" w:sz="8" w:space="0" w:color="000000"/>
              <w:bottom w:val="single" w:sz="8" w:space="0" w:color="000000"/>
              <w:right w:val="single" w:sz="6" w:space="0" w:color="000000"/>
            </w:tcBorders>
          </w:tcPr>
          <w:p w14:paraId="71392DE3" w14:textId="77777777" w:rsidR="008E70E4" w:rsidRPr="00216B78" w:rsidRDefault="008E70E4" w:rsidP="00754B96">
            <w:pPr>
              <w:pStyle w:val="Table"/>
              <w:spacing w:before="0" w:after="0"/>
              <w:jc w:val="left"/>
              <w:rPr>
                <w:rFonts w:ascii="Times New Roman" w:hAnsi="Times New Roman" w:cs="Times New Roman"/>
                <w:b/>
                <w:bCs/>
                <w:sz w:val="22"/>
                <w:szCs w:val="22"/>
                <w:lang w:val="lt-LT"/>
              </w:rPr>
            </w:pPr>
            <w:r w:rsidRPr="00216B78">
              <w:rPr>
                <w:rFonts w:ascii="Times New Roman" w:hAnsi="Times New Roman" w:cs="Times New Roman"/>
                <w:b/>
                <w:bCs/>
                <w:sz w:val="22"/>
                <w:szCs w:val="22"/>
                <w:lang w:val="lt-LT"/>
              </w:rPr>
              <w:t>Laiko taškas</w:t>
            </w:r>
          </w:p>
        </w:tc>
        <w:tc>
          <w:tcPr>
            <w:tcW w:w="2681" w:type="dxa"/>
            <w:tcBorders>
              <w:top w:val="single" w:sz="8" w:space="0" w:color="000000"/>
              <w:left w:val="single" w:sz="6" w:space="0" w:color="000000"/>
              <w:bottom w:val="single" w:sz="8" w:space="0" w:color="000000"/>
              <w:right w:val="single" w:sz="6" w:space="0" w:color="000000"/>
            </w:tcBorders>
          </w:tcPr>
          <w:p w14:paraId="39A23F06" w14:textId="77777777" w:rsidR="008E70E4" w:rsidRPr="00216B78" w:rsidRDefault="008E70E4" w:rsidP="00754B96">
            <w:pPr>
              <w:pStyle w:val="Table"/>
              <w:spacing w:before="0" w:after="0"/>
              <w:jc w:val="left"/>
              <w:rPr>
                <w:rFonts w:ascii="Times New Roman" w:hAnsi="Times New Roman" w:cs="Times New Roman"/>
                <w:b/>
                <w:bCs/>
                <w:sz w:val="22"/>
                <w:szCs w:val="22"/>
                <w:lang w:val="lt-LT"/>
              </w:rPr>
            </w:pPr>
            <w:r w:rsidRPr="00216B78">
              <w:rPr>
                <w:rFonts w:ascii="Times New Roman" w:hAnsi="Times New Roman" w:cs="Times New Roman"/>
                <w:b/>
                <w:bCs/>
                <w:sz w:val="22"/>
                <w:szCs w:val="22"/>
                <w:lang w:val="lt-LT"/>
              </w:rPr>
              <w:t>Vidurkis ± SN</w:t>
            </w:r>
          </w:p>
        </w:tc>
        <w:tc>
          <w:tcPr>
            <w:tcW w:w="2258" w:type="dxa"/>
            <w:tcBorders>
              <w:top w:val="single" w:sz="8" w:space="0" w:color="000000"/>
              <w:left w:val="single" w:sz="6" w:space="0" w:color="000000"/>
              <w:bottom w:val="single" w:sz="8" w:space="0" w:color="000000"/>
            </w:tcBorders>
          </w:tcPr>
          <w:p w14:paraId="20588FD7" w14:textId="77777777" w:rsidR="008E70E4" w:rsidRPr="00216B78" w:rsidRDefault="008E70E4" w:rsidP="00754B96">
            <w:pPr>
              <w:pStyle w:val="Table"/>
              <w:spacing w:before="0" w:after="0"/>
              <w:jc w:val="left"/>
              <w:rPr>
                <w:rFonts w:ascii="Times New Roman" w:hAnsi="Times New Roman" w:cs="Times New Roman"/>
                <w:b/>
                <w:bCs/>
                <w:sz w:val="22"/>
                <w:szCs w:val="22"/>
                <w:lang w:val="lt-LT"/>
              </w:rPr>
            </w:pPr>
            <w:r w:rsidRPr="00216B78">
              <w:rPr>
                <w:rFonts w:ascii="Times New Roman" w:hAnsi="Times New Roman" w:cs="Times New Roman"/>
                <w:b/>
                <w:bCs/>
                <w:sz w:val="22"/>
                <w:szCs w:val="22"/>
                <w:lang w:val="lt-LT"/>
              </w:rPr>
              <w:t>Mediana (intervalas)</w:t>
            </w:r>
          </w:p>
        </w:tc>
      </w:tr>
      <w:tr w:rsidR="008E70E4" w:rsidRPr="00216B78" w14:paraId="14FEE0BC" w14:textId="77777777" w:rsidTr="0004000C">
        <w:trPr>
          <w:trHeight w:val="144"/>
        </w:trPr>
        <w:tc>
          <w:tcPr>
            <w:tcW w:w="3992" w:type="dxa"/>
            <w:tcBorders>
              <w:top w:val="single" w:sz="8" w:space="0" w:color="000000"/>
              <w:bottom w:val="single" w:sz="6" w:space="0" w:color="000000"/>
              <w:right w:val="single" w:sz="6" w:space="0" w:color="000000"/>
            </w:tcBorders>
          </w:tcPr>
          <w:p w14:paraId="1F1858CB" w14:textId="77777777" w:rsidR="008E70E4" w:rsidRPr="00216B78" w:rsidRDefault="008E70E4" w:rsidP="00754B96">
            <w:pPr>
              <w:pStyle w:val="Table"/>
              <w:spacing w:before="0" w:after="0"/>
              <w:jc w:val="left"/>
              <w:rPr>
                <w:rFonts w:ascii="Times New Roman" w:hAnsi="Times New Roman" w:cs="Times New Roman"/>
                <w:sz w:val="22"/>
                <w:szCs w:val="22"/>
                <w:lang w:val="lt-LT"/>
              </w:rPr>
            </w:pPr>
            <w:r w:rsidRPr="00216B78">
              <w:rPr>
                <w:rFonts w:ascii="Times New Roman" w:hAnsi="Times New Roman" w:cs="Times New Roman"/>
                <w:sz w:val="22"/>
                <w:szCs w:val="22"/>
                <w:lang w:val="lt-LT"/>
              </w:rPr>
              <w:t xml:space="preserve">Prieš infuziją </w:t>
            </w:r>
          </w:p>
        </w:tc>
        <w:tc>
          <w:tcPr>
            <w:tcW w:w="2681" w:type="dxa"/>
            <w:tcBorders>
              <w:top w:val="single" w:sz="8" w:space="0" w:color="000000"/>
              <w:left w:val="single" w:sz="6" w:space="0" w:color="000000"/>
              <w:bottom w:val="single" w:sz="8" w:space="0" w:color="000000"/>
              <w:right w:val="single" w:sz="6" w:space="0" w:color="000000"/>
            </w:tcBorders>
          </w:tcPr>
          <w:p w14:paraId="04131ECB" w14:textId="77777777" w:rsidR="008E70E4" w:rsidRPr="00216B78" w:rsidRDefault="008E70E4" w:rsidP="00754B96">
            <w:pPr>
              <w:pStyle w:val="Table"/>
              <w:spacing w:before="0" w:after="0"/>
              <w:jc w:val="left"/>
              <w:rPr>
                <w:rFonts w:ascii="Times New Roman" w:hAnsi="Times New Roman" w:cs="Times New Roman"/>
                <w:sz w:val="22"/>
                <w:szCs w:val="22"/>
                <w:lang w:val="lt-LT"/>
              </w:rPr>
            </w:pPr>
            <w:r w:rsidRPr="00216B78">
              <w:rPr>
                <w:rFonts w:ascii="Times New Roman" w:hAnsi="Times New Roman" w:cs="Times New Roman"/>
                <w:sz w:val="22"/>
                <w:szCs w:val="22"/>
                <w:lang w:val="lt-LT"/>
              </w:rPr>
              <w:t xml:space="preserve">0 ± 0 </w:t>
            </w:r>
          </w:p>
        </w:tc>
        <w:tc>
          <w:tcPr>
            <w:tcW w:w="2258" w:type="dxa"/>
            <w:tcBorders>
              <w:top w:val="single" w:sz="8" w:space="0" w:color="000000"/>
              <w:left w:val="single" w:sz="6" w:space="0" w:color="000000"/>
              <w:bottom w:val="single" w:sz="6" w:space="0" w:color="000000"/>
            </w:tcBorders>
          </w:tcPr>
          <w:p w14:paraId="6C9115D1" w14:textId="77777777" w:rsidR="008E70E4" w:rsidRPr="00216B78" w:rsidRDefault="008E70E4" w:rsidP="00754B96">
            <w:pPr>
              <w:pStyle w:val="Table"/>
              <w:spacing w:before="0" w:after="0"/>
              <w:jc w:val="left"/>
              <w:rPr>
                <w:rFonts w:ascii="Times New Roman" w:hAnsi="Times New Roman" w:cs="Times New Roman"/>
                <w:sz w:val="22"/>
                <w:szCs w:val="22"/>
                <w:lang w:val="lt-LT"/>
              </w:rPr>
            </w:pPr>
            <w:r w:rsidRPr="00216B78">
              <w:rPr>
                <w:rFonts w:ascii="Times New Roman" w:hAnsi="Times New Roman" w:cs="Times New Roman"/>
                <w:sz w:val="22"/>
                <w:szCs w:val="22"/>
                <w:lang w:val="lt-LT"/>
              </w:rPr>
              <w:t xml:space="preserve">0 (0-0) </w:t>
            </w:r>
          </w:p>
        </w:tc>
      </w:tr>
      <w:tr w:rsidR="008E70E4" w:rsidRPr="00216B78" w14:paraId="4B52B2A7" w14:textId="77777777" w:rsidTr="0004000C">
        <w:trPr>
          <w:trHeight w:val="144"/>
        </w:trPr>
        <w:tc>
          <w:tcPr>
            <w:tcW w:w="3992" w:type="dxa"/>
            <w:tcBorders>
              <w:top w:val="single" w:sz="6" w:space="0" w:color="000000"/>
              <w:bottom w:val="single" w:sz="6" w:space="0" w:color="000000"/>
              <w:right w:val="single" w:sz="6" w:space="0" w:color="000000"/>
            </w:tcBorders>
          </w:tcPr>
          <w:p w14:paraId="11005A73" w14:textId="77777777" w:rsidR="008E70E4" w:rsidRPr="00216B78" w:rsidRDefault="008E70E4" w:rsidP="00754B96">
            <w:pPr>
              <w:pStyle w:val="Table"/>
              <w:spacing w:before="0" w:after="0"/>
              <w:jc w:val="left"/>
              <w:rPr>
                <w:rFonts w:ascii="Times New Roman" w:hAnsi="Times New Roman" w:cs="Times New Roman"/>
                <w:sz w:val="22"/>
                <w:szCs w:val="22"/>
                <w:lang w:val="lt-LT"/>
              </w:rPr>
            </w:pPr>
            <w:r w:rsidRPr="00216B78">
              <w:rPr>
                <w:rFonts w:ascii="Times New Roman" w:hAnsi="Times New Roman" w:cs="Times New Roman"/>
                <w:sz w:val="22"/>
                <w:szCs w:val="22"/>
                <w:lang w:val="lt-LT"/>
              </w:rPr>
              <w:t xml:space="preserve">Praėjus 1 valandai po infuzijos </w:t>
            </w:r>
          </w:p>
        </w:tc>
        <w:tc>
          <w:tcPr>
            <w:tcW w:w="2681" w:type="dxa"/>
            <w:tcBorders>
              <w:top w:val="single" w:sz="8" w:space="0" w:color="000000"/>
              <w:left w:val="single" w:sz="6" w:space="0" w:color="000000"/>
              <w:bottom w:val="single" w:sz="8" w:space="0" w:color="000000"/>
              <w:right w:val="single" w:sz="6" w:space="0" w:color="000000"/>
            </w:tcBorders>
          </w:tcPr>
          <w:p w14:paraId="559AB28F" w14:textId="77777777" w:rsidR="008E70E4" w:rsidRPr="00216B78" w:rsidRDefault="008E70E4" w:rsidP="00754B96">
            <w:pPr>
              <w:pStyle w:val="Table"/>
              <w:spacing w:before="0" w:after="0"/>
              <w:jc w:val="left"/>
              <w:rPr>
                <w:rFonts w:ascii="Times New Roman" w:hAnsi="Times New Roman" w:cs="Times New Roman"/>
                <w:sz w:val="22"/>
                <w:szCs w:val="22"/>
                <w:lang w:val="lt-LT"/>
              </w:rPr>
            </w:pPr>
            <w:r w:rsidRPr="00216B78">
              <w:rPr>
                <w:rFonts w:ascii="Times New Roman" w:hAnsi="Times New Roman" w:cs="Times New Roman"/>
                <w:sz w:val="22"/>
                <w:szCs w:val="22"/>
                <w:lang w:val="lt-LT"/>
              </w:rPr>
              <w:t xml:space="preserve">9,7 ± 3,0 </w:t>
            </w:r>
          </w:p>
        </w:tc>
        <w:tc>
          <w:tcPr>
            <w:tcW w:w="2258" w:type="dxa"/>
            <w:tcBorders>
              <w:top w:val="single" w:sz="6" w:space="0" w:color="000000"/>
              <w:left w:val="single" w:sz="6" w:space="0" w:color="000000"/>
              <w:bottom w:val="single" w:sz="6" w:space="0" w:color="000000"/>
            </w:tcBorders>
          </w:tcPr>
          <w:p w14:paraId="2AC10E6A" w14:textId="77777777" w:rsidR="008E70E4" w:rsidRPr="00216B78" w:rsidRDefault="008E70E4" w:rsidP="00754B96">
            <w:pPr>
              <w:pStyle w:val="Table"/>
              <w:spacing w:before="0" w:after="0"/>
              <w:jc w:val="left"/>
              <w:rPr>
                <w:rFonts w:ascii="Times New Roman" w:hAnsi="Times New Roman" w:cs="Times New Roman"/>
                <w:sz w:val="22"/>
                <w:szCs w:val="22"/>
                <w:lang w:val="lt-LT"/>
              </w:rPr>
            </w:pPr>
            <w:r w:rsidRPr="00216B78">
              <w:rPr>
                <w:rFonts w:ascii="Times New Roman" w:hAnsi="Times New Roman" w:cs="Times New Roman"/>
                <w:sz w:val="22"/>
                <w:szCs w:val="22"/>
                <w:lang w:val="lt-LT"/>
              </w:rPr>
              <w:t xml:space="preserve">10,0 (4,0-16,0) </w:t>
            </w:r>
          </w:p>
        </w:tc>
      </w:tr>
      <w:tr w:rsidR="008E70E4" w:rsidRPr="00216B78" w14:paraId="4D6FFB46" w14:textId="77777777" w:rsidTr="0004000C">
        <w:trPr>
          <w:trHeight w:val="280"/>
        </w:trPr>
        <w:tc>
          <w:tcPr>
            <w:tcW w:w="3992" w:type="dxa"/>
            <w:tcBorders>
              <w:top w:val="single" w:sz="6" w:space="0" w:color="000000"/>
              <w:bottom w:val="single" w:sz="6" w:space="0" w:color="000000"/>
              <w:right w:val="single" w:sz="6" w:space="0" w:color="000000"/>
            </w:tcBorders>
          </w:tcPr>
          <w:p w14:paraId="3E9C88B6" w14:textId="77777777" w:rsidR="008E70E4" w:rsidRPr="00216B78" w:rsidRDefault="008E70E4" w:rsidP="00754B96">
            <w:pPr>
              <w:pStyle w:val="Table"/>
              <w:spacing w:before="0" w:after="0"/>
              <w:jc w:val="left"/>
              <w:rPr>
                <w:rFonts w:ascii="Times New Roman" w:hAnsi="Times New Roman" w:cs="Times New Roman"/>
                <w:sz w:val="22"/>
                <w:szCs w:val="22"/>
                <w:lang w:val="lt-LT"/>
              </w:rPr>
            </w:pPr>
            <w:r w:rsidRPr="00216B78">
              <w:rPr>
                <w:rFonts w:ascii="Times New Roman" w:hAnsi="Times New Roman" w:cs="Times New Roman"/>
                <w:sz w:val="22"/>
                <w:szCs w:val="22"/>
                <w:lang w:val="lt-LT"/>
              </w:rPr>
              <w:t xml:space="preserve">Vidutinis pokytis (pirminė analizė)* </w:t>
            </w:r>
          </w:p>
        </w:tc>
        <w:tc>
          <w:tcPr>
            <w:tcW w:w="2681" w:type="dxa"/>
            <w:tcBorders>
              <w:top w:val="single" w:sz="8" w:space="0" w:color="000000"/>
              <w:left w:val="single" w:sz="6" w:space="0" w:color="000000"/>
              <w:bottom w:val="single" w:sz="8" w:space="0" w:color="000000"/>
              <w:right w:val="single" w:sz="6" w:space="0" w:color="000000"/>
            </w:tcBorders>
          </w:tcPr>
          <w:p w14:paraId="16357201" w14:textId="77777777" w:rsidR="008E70E4" w:rsidRPr="00216B78" w:rsidRDefault="008E70E4" w:rsidP="00754B96">
            <w:pPr>
              <w:pStyle w:val="Table"/>
              <w:spacing w:before="0" w:after="0"/>
              <w:jc w:val="left"/>
              <w:rPr>
                <w:rFonts w:ascii="Times New Roman" w:hAnsi="Times New Roman" w:cs="Times New Roman"/>
                <w:sz w:val="22"/>
                <w:szCs w:val="22"/>
                <w:lang w:val="lt-LT"/>
              </w:rPr>
            </w:pPr>
            <w:r w:rsidRPr="00216B78">
              <w:rPr>
                <w:rFonts w:ascii="Times New Roman" w:hAnsi="Times New Roman" w:cs="Times New Roman"/>
                <w:sz w:val="22"/>
                <w:szCs w:val="22"/>
                <w:lang w:val="lt-LT"/>
              </w:rPr>
              <w:t xml:space="preserve">9,7 ± 3,0 </w:t>
            </w:r>
          </w:p>
        </w:tc>
        <w:tc>
          <w:tcPr>
            <w:tcW w:w="2258" w:type="dxa"/>
            <w:tcBorders>
              <w:top w:val="single" w:sz="6" w:space="0" w:color="000000"/>
              <w:left w:val="single" w:sz="6" w:space="0" w:color="000000"/>
              <w:bottom w:val="single" w:sz="6" w:space="0" w:color="000000"/>
            </w:tcBorders>
          </w:tcPr>
          <w:p w14:paraId="1B635992" w14:textId="77777777" w:rsidR="008E70E4" w:rsidRPr="00216B78" w:rsidRDefault="008E70E4" w:rsidP="00754B96">
            <w:pPr>
              <w:pStyle w:val="Table"/>
              <w:spacing w:before="0" w:after="0"/>
              <w:jc w:val="left"/>
              <w:rPr>
                <w:rFonts w:ascii="Times New Roman" w:hAnsi="Times New Roman" w:cs="Times New Roman"/>
                <w:sz w:val="22"/>
                <w:szCs w:val="22"/>
                <w:lang w:val="lt-LT"/>
              </w:rPr>
            </w:pPr>
            <w:r w:rsidRPr="00216B78">
              <w:rPr>
                <w:rFonts w:ascii="Times New Roman" w:hAnsi="Times New Roman" w:cs="Times New Roman"/>
                <w:sz w:val="22"/>
                <w:szCs w:val="22"/>
                <w:lang w:val="lt-LT"/>
              </w:rPr>
              <w:t xml:space="preserve">10,0 (4,0-16,0) </w:t>
            </w:r>
          </w:p>
        </w:tc>
      </w:tr>
    </w:tbl>
    <w:p w14:paraId="5C077FF9" w14:textId="77777777" w:rsidR="008E70E4" w:rsidRPr="00216B78" w:rsidRDefault="008E70E4" w:rsidP="00754B96">
      <w:pPr>
        <w:pStyle w:val="Tablefootnote"/>
        <w:spacing w:before="0" w:after="0"/>
        <w:jc w:val="left"/>
        <w:rPr>
          <w:rFonts w:ascii="Times New Roman" w:hAnsi="Times New Roman" w:cs="Times New Roman"/>
          <w:sz w:val="20"/>
          <w:szCs w:val="20"/>
          <w:lang w:val="lt-LT"/>
        </w:rPr>
      </w:pPr>
      <w:r w:rsidRPr="00216B78">
        <w:rPr>
          <w:rFonts w:ascii="Times New Roman" w:hAnsi="Times New Roman" w:cs="Times New Roman"/>
          <w:sz w:val="20"/>
          <w:szCs w:val="20"/>
          <w:lang w:val="lt-LT"/>
        </w:rPr>
        <w:t>DKT = didžiausias krešulių tvirtumas, ITT = atrinkta gydyti populiacija.</w:t>
      </w:r>
    </w:p>
    <w:p w14:paraId="26C5619A" w14:textId="77777777" w:rsidR="008E70E4" w:rsidRPr="00216B78" w:rsidRDefault="008E70E4" w:rsidP="00754B96">
      <w:pPr>
        <w:pStyle w:val="Tablefootnote"/>
        <w:spacing w:before="0" w:after="0"/>
        <w:jc w:val="left"/>
        <w:rPr>
          <w:rFonts w:ascii="Times New Roman" w:hAnsi="Times New Roman" w:cs="Times New Roman"/>
          <w:sz w:val="20"/>
          <w:szCs w:val="20"/>
          <w:lang w:val="lt-LT"/>
        </w:rPr>
      </w:pPr>
      <w:r w:rsidRPr="00216B78">
        <w:rPr>
          <w:rFonts w:ascii="Times New Roman" w:hAnsi="Times New Roman" w:cs="Times New Roman"/>
          <w:sz w:val="20"/>
          <w:szCs w:val="20"/>
          <w:lang w:val="lt-LT"/>
        </w:rPr>
        <w:t>*p &lt; 0,0001 (95 % pasikliautinasis intervalas 8,37; 10,99)</w:t>
      </w:r>
    </w:p>
    <w:p w14:paraId="7D3E2B3B" w14:textId="77777777" w:rsidR="007718AC" w:rsidRPr="00216B78" w:rsidRDefault="007718AC" w:rsidP="00754B96">
      <w:pPr>
        <w:pStyle w:val="Default"/>
        <w:rPr>
          <w:sz w:val="22"/>
          <w:szCs w:val="22"/>
          <w:lang w:val="lt-LT"/>
        </w:rPr>
      </w:pPr>
    </w:p>
    <w:p w14:paraId="550D71EA" w14:textId="77777777" w:rsidR="008E70E4" w:rsidRPr="00162E8D" w:rsidRDefault="008E70E4" w:rsidP="007B277D">
      <w:bookmarkStart w:id="6" w:name="_Hlk73607492"/>
      <w:r w:rsidRPr="00216B78">
        <w:t>Buvo atlikta</w:t>
      </w:r>
      <w:r w:rsidR="00E56529" w:rsidRPr="00216B78">
        <w:t>s</w:t>
      </w:r>
      <w:r w:rsidRPr="00216B78">
        <w:t xml:space="preserve"> perspektyvini</w:t>
      </w:r>
      <w:r w:rsidR="00E56529" w:rsidRPr="00216B78">
        <w:t>s</w:t>
      </w:r>
      <w:r w:rsidRPr="00216B78">
        <w:t>, atvir</w:t>
      </w:r>
      <w:r w:rsidR="00E56529" w:rsidRPr="00216B78">
        <w:t>as</w:t>
      </w:r>
      <w:r w:rsidRPr="00216B78">
        <w:t>, nekontroliuojam</w:t>
      </w:r>
      <w:r w:rsidR="00E56529" w:rsidRPr="00216B78">
        <w:t>as</w:t>
      </w:r>
      <w:r w:rsidRPr="00216B78">
        <w:t>, daugiacentr</w:t>
      </w:r>
      <w:r w:rsidR="00E56529" w:rsidRPr="00216B78">
        <w:t>is</w:t>
      </w:r>
      <w:r w:rsidRPr="00216B78">
        <w:t xml:space="preserve"> </w:t>
      </w:r>
      <w:r w:rsidR="00021F81" w:rsidRPr="00216B78">
        <w:t>3</w:t>
      </w:r>
      <w:r w:rsidRPr="00216B78">
        <w:t> fazės tyrim</w:t>
      </w:r>
      <w:r w:rsidR="00E56529" w:rsidRPr="00216B78">
        <w:t>as</w:t>
      </w:r>
      <w:r w:rsidRPr="00216B78">
        <w:t xml:space="preserve"> (FORMA-02), į kur</w:t>
      </w:r>
      <w:r w:rsidR="00E56529" w:rsidRPr="00216B78">
        <w:t>į</w:t>
      </w:r>
      <w:r w:rsidRPr="00216B78">
        <w:t xml:space="preserve"> buvo įtraukti </w:t>
      </w:r>
      <w:r w:rsidR="00021F81" w:rsidRPr="00216B78">
        <w:t>25</w:t>
      </w:r>
      <w:r w:rsidRPr="00216B78">
        <w:t> pacient</w:t>
      </w:r>
      <w:r w:rsidR="00021F81" w:rsidRPr="00216B78">
        <w:t>ai</w:t>
      </w:r>
      <w:r w:rsidRPr="00216B78">
        <w:t xml:space="preserve">, kuriems buvo įgimta fibrinogeno stoka (afibrinogenemija ir hipofibrinogenemija), kurių amžius buvo nuo </w:t>
      </w:r>
      <w:r w:rsidR="00021F81" w:rsidRPr="00216B78">
        <w:t>12</w:t>
      </w:r>
      <w:r w:rsidRPr="00216B78">
        <w:t xml:space="preserve"> iki </w:t>
      </w:r>
      <w:r w:rsidR="00021F81" w:rsidRPr="00216B78">
        <w:t>54</w:t>
      </w:r>
      <w:r w:rsidRPr="00216B78">
        <w:t xml:space="preserve"> metų </w:t>
      </w:r>
      <w:bookmarkEnd w:id="6"/>
      <w:r w:rsidRPr="00216B78">
        <w:t>(</w:t>
      </w:r>
      <w:r w:rsidR="00021F81" w:rsidRPr="00216B78">
        <w:t>6</w:t>
      </w:r>
      <w:r w:rsidRPr="00216B78">
        <w:t xml:space="preserve"> paaugliai, </w:t>
      </w:r>
      <w:r w:rsidR="00021F81" w:rsidRPr="00216B78">
        <w:t>19</w:t>
      </w:r>
      <w:r w:rsidRPr="00216B78">
        <w:t xml:space="preserve"> suaugusiųjų), duomenys. </w:t>
      </w:r>
      <w:bookmarkStart w:id="7" w:name="_Hlk73611036"/>
      <w:r w:rsidR="00205517" w:rsidRPr="00216B78">
        <w:t>Tyrimas</w:t>
      </w:r>
      <w:r w:rsidRPr="00216B78">
        <w:t xml:space="preserve"> apėmė </w:t>
      </w:r>
      <w:r w:rsidR="00414FF9" w:rsidRPr="00216B78">
        <w:t>89</w:t>
      </w:r>
      <w:r w:rsidRPr="00216B78">
        <w:t xml:space="preserve"> kraujavimo epizodus ir </w:t>
      </w:r>
      <w:r w:rsidR="00414FF9" w:rsidRPr="00216B78">
        <w:t>12</w:t>
      </w:r>
      <w:r w:rsidRPr="00216B78">
        <w:t> chirurgin</w:t>
      </w:r>
      <w:r w:rsidR="00414FF9" w:rsidRPr="00216B78">
        <w:t>ių</w:t>
      </w:r>
      <w:r w:rsidRPr="00216B78">
        <w:t xml:space="preserve"> procedūr</w:t>
      </w:r>
      <w:r w:rsidR="00414FF9" w:rsidRPr="00216B78">
        <w:t>ų</w:t>
      </w:r>
      <w:r w:rsidRPr="00216B78">
        <w:t xml:space="preserve">. </w:t>
      </w:r>
      <w:bookmarkEnd w:id="7"/>
      <w:r w:rsidR="00205517" w:rsidRPr="00216B78">
        <w:t xml:space="preserve">Nustatytas reikšmingas DKT pokytis nuo pradinio įvertinimo, vertinant pagal ROTEM ir fibrinogeno koncentraciją plazmoje. </w:t>
      </w:r>
      <w:bookmarkStart w:id="8" w:name="_Hlk73611194"/>
      <w:r w:rsidR="00205517" w:rsidRPr="00216B78">
        <w:t xml:space="preserve">Gydant kraujavimo epizodus </w:t>
      </w:r>
      <w:r w:rsidR="00414FF9" w:rsidRPr="00216B78">
        <w:t xml:space="preserve">fibryga infuzijos dozės mediana buvo </w:t>
      </w:r>
      <w:r w:rsidR="00414FF9" w:rsidRPr="00162E8D">
        <w:t>57,5</w:t>
      </w:r>
      <w:r w:rsidR="00E55667" w:rsidRPr="00162E8D">
        <w:t> </w:t>
      </w:r>
      <w:r w:rsidR="00414FF9" w:rsidRPr="00162E8D">
        <w:t xml:space="preserve">mg/kg, o </w:t>
      </w:r>
      <w:r w:rsidR="00E55667" w:rsidRPr="00162E8D">
        <w:t>visos</w:t>
      </w:r>
      <w:r w:rsidR="00414FF9" w:rsidRPr="00162E8D">
        <w:t xml:space="preserve"> dozės mediana buvo 59,4 mg/kg. </w:t>
      </w:r>
      <w:r w:rsidR="00E55667" w:rsidRPr="00162E8D">
        <w:t>Visos</w:t>
      </w:r>
      <w:r w:rsidR="00414FF9" w:rsidRPr="00162E8D">
        <w:t xml:space="preserve"> fibryga dozės mediana chirurginės procedūros metu buvo 85,8 mg/kg. </w:t>
      </w:r>
      <w:r w:rsidR="00E56529" w:rsidRPr="00216B78">
        <w:t xml:space="preserve">Nepriklausomas vertinimo komitetas, </w:t>
      </w:r>
      <w:r w:rsidR="0070723D" w:rsidRPr="00216B78">
        <w:t>naudodamas</w:t>
      </w:r>
      <w:r w:rsidR="00E56529" w:rsidRPr="00216B78">
        <w:t xml:space="preserve"> objektyvią vertinimo sistemą</w:t>
      </w:r>
      <w:r w:rsidR="0070723D" w:rsidRPr="00216B78">
        <w:t>,</w:t>
      </w:r>
      <w:r w:rsidR="00E56529" w:rsidRPr="00216B78">
        <w:t xml:space="preserve"> </w:t>
      </w:r>
      <w:r w:rsidR="00E56529" w:rsidRPr="00162E8D">
        <w:t>b</w:t>
      </w:r>
      <w:r w:rsidR="00414FF9" w:rsidRPr="00162E8D">
        <w:t>endr</w:t>
      </w:r>
      <w:r w:rsidR="00E56529" w:rsidRPr="00162E8D">
        <w:t>ą</w:t>
      </w:r>
      <w:r w:rsidR="00414FF9" w:rsidRPr="00162E8D">
        <w:t xml:space="preserve"> hemostazin</w:t>
      </w:r>
      <w:r w:rsidR="00E56529" w:rsidRPr="00162E8D">
        <w:t>į</w:t>
      </w:r>
      <w:r w:rsidR="00414FF9" w:rsidRPr="00162E8D">
        <w:t xml:space="preserve"> veiksmingum</w:t>
      </w:r>
      <w:r w:rsidR="00E56529" w:rsidRPr="00162E8D">
        <w:t>ą</w:t>
      </w:r>
      <w:r w:rsidR="00414FF9" w:rsidRPr="00162E8D">
        <w:t xml:space="preserve"> įvertin</w:t>
      </w:r>
      <w:r w:rsidR="00E56529" w:rsidRPr="00162E8D">
        <w:t>o</w:t>
      </w:r>
      <w:r w:rsidR="00414FF9" w:rsidRPr="00162E8D">
        <w:t xml:space="preserve"> kaip </w:t>
      </w:r>
      <w:r w:rsidR="00414FF9" w:rsidRPr="00216B78">
        <w:t>sėkming</w:t>
      </w:r>
      <w:r w:rsidR="00E56529" w:rsidRPr="00216B78">
        <w:t>ą</w:t>
      </w:r>
      <w:r w:rsidR="00414FF9" w:rsidRPr="00216B78">
        <w:t xml:space="preserve"> (veiksmingumas įvertintas kaip geras arba puikus) 98,9 </w:t>
      </w:r>
      <w:r w:rsidR="00414FF9" w:rsidRPr="00162E8D">
        <w:t>% gydyt</w:t>
      </w:r>
      <w:r w:rsidR="00414FF9" w:rsidRPr="00216B78">
        <w:t xml:space="preserve">ų kraujavimo epizodų ir 100 </w:t>
      </w:r>
      <w:r w:rsidR="00414FF9" w:rsidRPr="00162E8D">
        <w:t>% chirurgini</w:t>
      </w:r>
      <w:r w:rsidR="00E56529" w:rsidRPr="00162E8D">
        <w:t>ų</w:t>
      </w:r>
      <w:r w:rsidR="00414FF9" w:rsidRPr="00162E8D">
        <w:t xml:space="preserve"> proced</w:t>
      </w:r>
      <w:r w:rsidR="00414FF9" w:rsidRPr="00216B78">
        <w:t>ūrų</w:t>
      </w:r>
      <w:r w:rsidR="00E56529" w:rsidRPr="00216B78">
        <w:t>.</w:t>
      </w:r>
      <w:bookmarkEnd w:id="8"/>
    </w:p>
    <w:p w14:paraId="7FD80508" w14:textId="77777777" w:rsidR="00E56529" w:rsidRPr="00162E8D" w:rsidRDefault="00E56529" w:rsidP="00754B96">
      <w:pPr>
        <w:pStyle w:val="Default"/>
        <w:rPr>
          <w:sz w:val="22"/>
          <w:szCs w:val="22"/>
          <w:lang w:val="lt-LT"/>
        </w:rPr>
      </w:pPr>
    </w:p>
    <w:p w14:paraId="1D45FABF" w14:textId="77777777" w:rsidR="00E56529" w:rsidRPr="00216B78" w:rsidRDefault="00E56529" w:rsidP="00754B96">
      <w:pPr>
        <w:pStyle w:val="Default"/>
        <w:rPr>
          <w:sz w:val="22"/>
          <w:szCs w:val="22"/>
          <w:lang w:val="lt-LT"/>
        </w:rPr>
      </w:pPr>
      <w:r w:rsidRPr="00216B78">
        <w:rPr>
          <w:sz w:val="22"/>
          <w:szCs w:val="22"/>
          <w:lang w:val="lt-LT"/>
        </w:rPr>
        <w:t xml:space="preserve">Buvo atliktas </w:t>
      </w:r>
      <w:r w:rsidR="00205517" w:rsidRPr="00216B78">
        <w:rPr>
          <w:sz w:val="22"/>
          <w:szCs w:val="22"/>
          <w:lang w:val="lt-LT"/>
        </w:rPr>
        <w:t xml:space="preserve">kitas </w:t>
      </w:r>
      <w:r w:rsidRPr="00216B78">
        <w:rPr>
          <w:sz w:val="22"/>
          <w:szCs w:val="22"/>
          <w:lang w:val="lt-LT"/>
        </w:rPr>
        <w:t>perspektyvinis, atviras, nekontroliuojamas, daugiacentris 3 fazės tyrimas (FORMA-0</w:t>
      </w:r>
      <w:r w:rsidR="009D4067" w:rsidRPr="00216B78">
        <w:rPr>
          <w:sz w:val="22"/>
          <w:szCs w:val="22"/>
          <w:lang w:val="lt-LT"/>
        </w:rPr>
        <w:t>4</w:t>
      </w:r>
      <w:r w:rsidRPr="00216B78">
        <w:rPr>
          <w:sz w:val="22"/>
          <w:szCs w:val="22"/>
          <w:lang w:val="lt-LT"/>
        </w:rPr>
        <w:t>), į kurį buvo įtraukt</w:t>
      </w:r>
      <w:r w:rsidR="00F66F94" w:rsidRPr="00216B78">
        <w:rPr>
          <w:sz w:val="22"/>
          <w:szCs w:val="22"/>
          <w:lang w:val="lt-LT"/>
        </w:rPr>
        <w:t>a</w:t>
      </w:r>
      <w:r w:rsidRPr="00216B78">
        <w:rPr>
          <w:sz w:val="22"/>
          <w:szCs w:val="22"/>
          <w:lang w:val="lt-LT"/>
        </w:rPr>
        <w:t xml:space="preserve"> </w:t>
      </w:r>
      <w:r w:rsidR="00F66F94" w:rsidRPr="00216B78">
        <w:rPr>
          <w:sz w:val="22"/>
          <w:szCs w:val="22"/>
          <w:lang w:val="lt-LT"/>
        </w:rPr>
        <w:t>14</w:t>
      </w:r>
      <w:r w:rsidRPr="00216B78">
        <w:rPr>
          <w:sz w:val="22"/>
          <w:szCs w:val="22"/>
          <w:lang w:val="lt-LT"/>
        </w:rPr>
        <w:t> pacient</w:t>
      </w:r>
      <w:r w:rsidR="00F66F94" w:rsidRPr="00216B78">
        <w:rPr>
          <w:sz w:val="22"/>
          <w:szCs w:val="22"/>
          <w:lang w:val="lt-LT"/>
        </w:rPr>
        <w:t>ų</w:t>
      </w:r>
      <w:r w:rsidRPr="00216B78">
        <w:rPr>
          <w:sz w:val="22"/>
          <w:szCs w:val="22"/>
          <w:lang w:val="lt-LT"/>
        </w:rPr>
        <w:t xml:space="preserve">, kuriems buvo įgimta fibrinogeno stoka (afibrinogenemija ir hipofibrinogenemija), kurių amžius buvo nuo 1 iki </w:t>
      </w:r>
      <w:r w:rsidR="00205517" w:rsidRPr="00216B78">
        <w:rPr>
          <w:sz w:val="22"/>
          <w:szCs w:val="22"/>
          <w:lang w:val="lt-LT"/>
        </w:rPr>
        <w:t>1</w:t>
      </w:r>
      <w:r w:rsidR="009D4067" w:rsidRPr="00216B78">
        <w:rPr>
          <w:sz w:val="22"/>
          <w:szCs w:val="22"/>
          <w:lang w:val="lt-LT"/>
        </w:rPr>
        <w:t>0</w:t>
      </w:r>
      <w:r w:rsidRPr="00216B78">
        <w:rPr>
          <w:sz w:val="22"/>
          <w:szCs w:val="22"/>
          <w:lang w:val="lt-LT"/>
        </w:rPr>
        <w:t> metų</w:t>
      </w:r>
      <w:r w:rsidR="00205517" w:rsidRPr="00216B78">
        <w:rPr>
          <w:sz w:val="22"/>
          <w:szCs w:val="22"/>
          <w:lang w:val="lt-LT"/>
        </w:rPr>
        <w:t xml:space="preserve"> (6 pacientai jaunesni nei 6 metų ir 8 pacientai nuo 6 iki 12 metų). </w:t>
      </w:r>
      <w:r w:rsidR="00EF11A5" w:rsidRPr="00216B78">
        <w:rPr>
          <w:sz w:val="22"/>
          <w:szCs w:val="22"/>
          <w:lang w:val="lt-LT"/>
        </w:rPr>
        <w:t xml:space="preserve">Tyrimas apėmė 10 kraujavimo epizodų ir 3 chirurgines procedūras, taip pat vienkartinės dozės farmakokinetiką. Nustatytas reikšmingas DKT pokytis nuo pradinio įvertinimo, vertinant pagal ROTEM ir fibrinogeno koncentraciją plazmoje. Gydant kraujavimo epizodus fibryga infuzijos dozės mediana buvo </w:t>
      </w:r>
      <w:r w:rsidR="00EF11A5" w:rsidRPr="00162E8D">
        <w:rPr>
          <w:color w:val="auto"/>
          <w:sz w:val="22"/>
          <w:szCs w:val="22"/>
          <w:lang w:val="lt-LT"/>
        </w:rPr>
        <w:t xml:space="preserve">70,2 mg/kg, o </w:t>
      </w:r>
      <w:r w:rsidR="00F66F94" w:rsidRPr="00162E8D">
        <w:rPr>
          <w:color w:val="auto"/>
          <w:sz w:val="22"/>
          <w:szCs w:val="22"/>
          <w:lang w:val="lt-LT"/>
        </w:rPr>
        <w:t>visos</w:t>
      </w:r>
      <w:r w:rsidR="00EF11A5" w:rsidRPr="00162E8D">
        <w:rPr>
          <w:color w:val="auto"/>
          <w:sz w:val="22"/>
          <w:szCs w:val="22"/>
          <w:lang w:val="lt-LT"/>
        </w:rPr>
        <w:t xml:space="preserve"> dozės mediana buvo 73,9 mg/kg. </w:t>
      </w:r>
      <w:r w:rsidR="00F66F94" w:rsidRPr="00162E8D">
        <w:rPr>
          <w:color w:val="auto"/>
          <w:sz w:val="22"/>
          <w:szCs w:val="22"/>
          <w:lang w:val="lt-LT"/>
        </w:rPr>
        <w:t>Visos</w:t>
      </w:r>
      <w:r w:rsidR="00EF11A5" w:rsidRPr="00162E8D">
        <w:rPr>
          <w:color w:val="auto"/>
          <w:sz w:val="22"/>
          <w:szCs w:val="22"/>
          <w:lang w:val="lt-LT"/>
        </w:rPr>
        <w:t xml:space="preserve"> fibryga dozės mediana chirurginės procedūros metu buvo 108</w:t>
      </w:r>
      <w:r w:rsidR="00F66F94" w:rsidRPr="00162E8D">
        <w:rPr>
          <w:color w:val="auto"/>
          <w:sz w:val="22"/>
          <w:szCs w:val="22"/>
          <w:lang w:val="lt-LT"/>
        </w:rPr>
        <w:t> </w:t>
      </w:r>
      <w:r w:rsidR="00EF11A5" w:rsidRPr="00162E8D">
        <w:rPr>
          <w:color w:val="auto"/>
          <w:sz w:val="22"/>
          <w:szCs w:val="22"/>
          <w:lang w:val="lt-LT"/>
        </w:rPr>
        <w:t xml:space="preserve">mg/kg. </w:t>
      </w:r>
      <w:bookmarkStart w:id="9" w:name="_Hlk73612107"/>
      <w:r w:rsidR="00EF11A5" w:rsidRPr="00216B78">
        <w:rPr>
          <w:sz w:val="22"/>
          <w:szCs w:val="22"/>
          <w:lang w:val="lt-LT"/>
        </w:rPr>
        <w:t xml:space="preserve">Nepriklausomas vertinimo komitetas, </w:t>
      </w:r>
      <w:r w:rsidR="0070723D" w:rsidRPr="00216B78">
        <w:rPr>
          <w:sz w:val="22"/>
          <w:szCs w:val="22"/>
          <w:lang w:val="lt-LT"/>
        </w:rPr>
        <w:t xml:space="preserve">naudodamas </w:t>
      </w:r>
      <w:r w:rsidR="00EF11A5" w:rsidRPr="00216B78">
        <w:rPr>
          <w:sz w:val="22"/>
          <w:szCs w:val="22"/>
          <w:lang w:val="lt-LT"/>
        </w:rPr>
        <w:t>objektyvią vertinimo sistemą</w:t>
      </w:r>
      <w:r w:rsidR="0070723D" w:rsidRPr="00216B78">
        <w:rPr>
          <w:sz w:val="22"/>
          <w:szCs w:val="22"/>
          <w:lang w:val="lt-LT"/>
        </w:rPr>
        <w:t>,</w:t>
      </w:r>
      <w:r w:rsidR="00EF11A5" w:rsidRPr="00216B78">
        <w:rPr>
          <w:sz w:val="22"/>
          <w:szCs w:val="22"/>
          <w:lang w:val="lt-LT"/>
        </w:rPr>
        <w:t xml:space="preserve"> </w:t>
      </w:r>
      <w:r w:rsidR="00EF11A5" w:rsidRPr="00162E8D">
        <w:rPr>
          <w:color w:val="auto"/>
          <w:sz w:val="22"/>
          <w:szCs w:val="22"/>
          <w:lang w:val="lt-LT"/>
        </w:rPr>
        <w:t xml:space="preserve">bendrą hemostazinį veiksmingumą įvertino kaip </w:t>
      </w:r>
      <w:r w:rsidR="00EF11A5" w:rsidRPr="00216B78">
        <w:rPr>
          <w:sz w:val="22"/>
          <w:szCs w:val="22"/>
          <w:lang w:val="lt-LT"/>
        </w:rPr>
        <w:t xml:space="preserve">sėkmingą (veiksmingumas įvertintas kaip geras arba puikus) 100 </w:t>
      </w:r>
      <w:r w:rsidR="00EF11A5" w:rsidRPr="00162E8D">
        <w:rPr>
          <w:sz w:val="22"/>
          <w:szCs w:val="22"/>
          <w:lang w:val="lt-LT"/>
        </w:rPr>
        <w:t>% gydyt</w:t>
      </w:r>
      <w:r w:rsidR="00EF11A5" w:rsidRPr="00216B78">
        <w:rPr>
          <w:sz w:val="22"/>
          <w:szCs w:val="22"/>
          <w:lang w:val="lt-LT"/>
        </w:rPr>
        <w:t xml:space="preserve">ų kraujavimo epizodų ir </w:t>
      </w:r>
      <w:r w:rsidR="00EF11A5" w:rsidRPr="00162E8D">
        <w:rPr>
          <w:sz w:val="22"/>
          <w:szCs w:val="22"/>
          <w:lang w:val="lt-LT"/>
        </w:rPr>
        <w:t>chirurginių proced</w:t>
      </w:r>
      <w:r w:rsidR="00EF11A5" w:rsidRPr="00216B78">
        <w:rPr>
          <w:sz w:val="22"/>
          <w:szCs w:val="22"/>
          <w:lang w:val="lt-LT"/>
        </w:rPr>
        <w:t>ūrų.</w:t>
      </w:r>
    </w:p>
    <w:bookmarkEnd w:id="9"/>
    <w:p w14:paraId="20B12829" w14:textId="77777777" w:rsidR="007718AC" w:rsidRPr="00216B78" w:rsidRDefault="007718AC" w:rsidP="00754B96">
      <w:pPr>
        <w:pStyle w:val="Default"/>
        <w:rPr>
          <w:sz w:val="22"/>
          <w:szCs w:val="22"/>
          <w:lang w:val="lt-LT"/>
        </w:rPr>
      </w:pPr>
    </w:p>
    <w:p w14:paraId="475E7E44" w14:textId="77777777" w:rsidR="008E70E4" w:rsidRPr="00216B78" w:rsidRDefault="008E70E4" w:rsidP="00754B96">
      <w:pPr>
        <w:pStyle w:val="Default"/>
        <w:rPr>
          <w:color w:val="auto"/>
          <w:sz w:val="22"/>
          <w:szCs w:val="22"/>
          <w:lang w:val="lt-LT"/>
        </w:rPr>
      </w:pPr>
      <w:r w:rsidRPr="00216B78">
        <w:rPr>
          <w:color w:val="auto"/>
          <w:sz w:val="22"/>
          <w:szCs w:val="22"/>
          <w:lang w:val="lt-LT"/>
        </w:rPr>
        <w:t xml:space="preserve">Perspektyviniu, atsitiktinių imčių, kontroliuojamuoju tyrimu FORMA-05 buvo tiriamas </w:t>
      </w:r>
      <w:r w:rsidR="00BE7183" w:rsidRPr="00216B78">
        <w:rPr>
          <w:color w:val="auto"/>
          <w:sz w:val="22"/>
          <w:szCs w:val="22"/>
          <w:lang w:val="lt-LT"/>
        </w:rPr>
        <w:t xml:space="preserve">hemostazinis </w:t>
      </w:r>
      <w:r w:rsidR="00324E4D" w:rsidRPr="00216B78">
        <w:rPr>
          <w:color w:val="auto"/>
          <w:sz w:val="22"/>
          <w:szCs w:val="22"/>
          <w:lang w:val="lt-LT"/>
        </w:rPr>
        <w:t>fibryga</w:t>
      </w:r>
      <w:r w:rsidRPr="00216B78">
        <w:rPr>
          <w:color w:val="auto"/>
          <w:sz w:val="22"/>
          <w:szCs w:val="22"/>
          <w:lang w:val="lt-LT"/>
        </w:rPr>
        <w:t xml:space="preserve"> veiksmingumas ir saugumas, lyginant su krioprecipitatu kaip fibrinogeno papildymo šaltiniais pacientams, kuriems išsivysto įgyta fibrinogeno stoka, atliekant citoredukcinę</w:t>
      </w:r>
      <w:r w:rsidR="000F4147" w:rsidRPr="00216B78">
        <w:rPr>
          <w:color w:val="auto"/>
          <w:sz w:val="22"/>
          <w:szCs w:val="22"/>
          <w:lang w:val="lt-LT"/>
        </w:rPr>
        <w:t xml:space="preserve"> išplitusio</w:t>
      </w:r>
      <w:r w:rsidR="00624B8C" w:rsidRPr="00216B78">
        <w:rPr>
          <w:color w:val="auto"/>
          <w:sz w:val="22"/>
          <w:szCs w:val="22"/>
          <w:lang w:val="lt-LT"/>
        </w:rPr>
        <w:t xml:space="preserve"> </w:t>
      </w:r>
      <w:r w:rsidR="000F4147" w:rsidRPr="00216B78">
        <w:rPr>
          <w:color w:val="auto"/>
          <w:sz w:val="22"/>
          <w:szCs w:val="22"/>
          <w:lang w:val="lt-LT"/>
        </w:rPr>
        <w:t xml:space="preserve">pilvo piktybinio naviko, pilvaplėvės pseudomiksomos, operaciją. </w:t>
      </w:r>
      <w:r w:rsidRPr="00216B78">
        <w:rPr>
          <w:color w:val="auto"/>
          <w:sz w:val="22"/>
          <w:szCs w:val="22"/>
          <w:lang w:val="lt-LT"/>
        </w:rPr>
        <w:t xml:space="preserve">Į tyrimą buvo įtraukti 43 suaugę pacientai, </w:t>
      </w:r>
      <w:r w:rsidR="000F4147" w:rsidRPr="00216B78">
        <w:rPr>
          <w:color w:val="auto"/>
          <w:sz w:val="22"/>
          <w:szCs w:val="22"/>
          <w:lang w:val="lt-LT"/>
        </w:rPr>
        <w:t xml:space="preserve">pagal protokolą (PP) </w:t>
      </w:r>
      <w:r w:rsidRPr="00216B78">
        <w:rPr>
          <w:color w:val="auto"/>
          <w:sz w:val="22"/>
          <w:szCs w:val="22"/>
          <w:lang w:val="lt-LT"/>
        </w:rPr>
        <w:t xml:space="preserve">priklausantys analizės </w:t>
      </w:r>
      <w:r w:rsidR="000F4147" w:rsidRPr="00216B78">
        <w:rPr>
          <w:color w:val="auto"/>
          <w:sz w:val="22"/>
          <w:szCs w:val="22"/>
          <w:lang w:val="lt-LT"/>
        </w:rPr>
        <w:t>grupei</w:t>
      </w:r>
      <w:r w:rsidRPr="00216B78">
        <w:rPr>
          <w:color w:val="auto"/>
          <w:sz w:val="22"/>
          <w:szCs w:val="22"/>
          <w:lang w:val="lt-LT"/>
        </w:rPr>
        <w:t>, 21 </w:t>
      </w:r>
      <w:r w:rsidR="000F4147" w:rsidRPr="00216B78">
        <w:rPr>
          <w:color w:val="auto"/>
          <w:sz w:val="22"/>
          <w:szCs w:val="22"/>
          <w:lang w:val="lt-LT"/>
        </w:rPr>
        <w:t xml:space="preserve">pacientas buvo gydytas </w:t>
      </w:r>
      <w:r w:rsidR="00324E4D" w:rsidRPr="00216B78">
        <w:rPr>
          <w:color w:val="auto"/>
          <w:sz w:val="22"/>
          <w:szCs w:val="22"/>
          <w:lang w:val="lt-LT"/>
        </w:rPr>
        <w:t>fibryga</w:t>
      </w:r>
      <w:r w:rsidR="00324E4D" w:rsidRPr="00216B78" w:rsidDel="00324E4D">
        <w:rPr>
          <w:color w:val="auto"/>
          <w:sz w:val="22"/>
          <w:szCs w:val="22"/>
          <w:lang w:val="lt-LT"/>
        </w:rPr>
        <w:t xml:space="preserve"> </w:t>
      </w:r>
      <w:r w:rsidRPr="00216B78">
        <w:rPr>
          <w:color w:val="auto"/>
          <w:sz w:val="22"/>
          <w:szCs w:val="22"/>
          <w:lang w:val="lt-LT"/>
        </w:rPr>
        <w:t>ir 22 </w:t>
      </w:r>
      <w:r w:rsidR="000F4147" w:rsidRPr="00216B78">
        <w:rPr>
          <w:color w:val="auto"/>
          <w:sz w:val="22"/>
          <w:szCs w:val="22"/>
          <w:lang w:val="lt-LT"/>
        </w:rPr>
        <w:t xml:space="preserve">pacientai gydyti </w:t>
      </w:r>
      <w:r w:rsidRPr="00216B78">
        <w:rPr>
          <w:color w:val="auto"/>
          <w:sz w:val="22"/>
          <w:szCs w:val="22"/>
          <w:lang w:val="lt-LT"/>
        </w:rPr>
        <w:t xml:space="preserve">krioprecipitatu. </w:t>
      </w:r>
      <w:r w:rsidR="000F4147" w:rsidRPr="00216B78">
        <w:rPr>
          <w:color w:val="auto"/>
          <w:sz w:val="22"/>
          <w:szCs w:val="22"/>
          <w:lang w:val="lt-LT"/>
        </w:rPr>
        <w:t>Operacijos metu</w:t>
      </w:r>
      <w:r w:rsidRPr="00216B78">
        <w:rPr>
          <w:color w:val="auto"/>
          <w:sz w:val="22"/>
          <w:szCs w:val="22"/>
          <w:lang w:val="lt-LT"/>
        </w:rPr>
        <w:t xml:space="preserve"> fibrinogeno papildymas buvo atliekamas </w:t>
      </w:r>
      <w:r w:rsidR="00CA23A8" w:rsidRPr="00216B78">
        <w:rPr>
          <w:color w:val="auto"/>
          <w:sz w:val="22"/>
          <w:szCs w:val="22"/>
          <w:lang w:val="lt-LT"/>
        </w:rPr>
        <w:t xml:space="preserve">prevenciškai </w:t>
      </w:r>
      <w:r w:rsidRPr="00216B78">
        <w:rPr>
          <w:color w:val="auto"/>
          <w:sz w:val="22"/>
          <w:szCs w:val="22"/>
          <w:lang w:val="lt-LT"/>
        </w:rPr>
        <w:t>(t. y., po 60</w:t>
      </w:r>
      <w:r w:rsidR="000F4147" w:rsidRPr="00216B78">
        <w:rPr>
          <w:color w:val="auto"/>
          <w:sz w:val="22"/>
          <w:szCs w:val="22"/>
          <w:lang w:val="lt-LT"/>
        </w:rPr>
        <w:t xml:space="preserve"> – </w:t>
      </w:r>
      <w:r w:rsidRPr="00216B78">
        <w:rPr>
          <w:color w:val="auto"/>
          <w:sz w:val="22"/>
          <w:szCs w:val="22"/>
          <w:lang w:val="lt-LT"/>
        </w:rPr>
        <w:t xml:space="preserve">90 operacijos minučių, nustačius per gausų kraujo netekimą, tačiau prieš netenkant 2 litrus kraujo), skiriant 4 g </w:t>
      </w:r>
      <w:r w:rsidR="00324E4D" w:rsidRPr="00216B78">
        <w:rPr>
          <w:color w:val="auto"/>
          <w:sz w:val="22"/>
          <w:szCs w:val="22"/>
          <w:lang w:val="lt-LT"/>
        </w:rPr>
        <w:t>fibryga</w:t>
      </w:r>
      <w:r w:rsidR="00324E4D" w:rsidRPr="00216B78" w:rsidDel="00324E4D">
        <w:rPr>
          <w:color w:val="auto"/>
          <w:sz w:val="22"/>
          <w:szCs w:val="22"/>
          <w:lang w:val="lt-LT"/>
        </w:rPr>
        <w:t xml:space="preserve"> </w:t>
      </w:r>
      <w:r w:rsidRPr="00216B78">
        <w:rPr>
          <w:color w:val="auto"/>
          <w:sz w:val="22"/>
          <w:szCs w:val="22"/>
          <w:lang w:val="lt-LT"/>
        </w:rPr>
        <w:t>dozes arba 2 </w:t>
      </w:r>
      <w:r w:rsidR="007256A7" w:rsidRPr="00216B78">
        <w:rPr>
          <w:color w:val="auto"/>
          <w:sz w:val="22"/>
          <w:szCs w:val="22"/>
          <w:lang w:val="lt-LT"/>
        </w:rPr>
        <w:t xml:space="preserve">kaupinius, sudarytus iš </w:t>
      </w:r>
      <w:r w:rsidRPr="00216B78">
        <w:rPr>
          <w:color w:val="auto"/>
          <w:sz w:val="22"/>
          <w:szCs w:val="22"/>
          <w:lang w:val="lt-LT"/>
        </w:rPr>
        <w:t>5 </w:t>
      </w:r>
      <w:r w:rsidR="007256A7" w:rsidRPr="00216B78">
        <w:rPr>
          <w:color w:val="auto"/>
          <w:sz w:val="22"/>
          <w:szCs w:val="22"/>
          <w:lang w:val="lt-LT"/>
        </w:rPr>
        <w:t xml:space="preserve">vienetų </w:t>
      </w:r>
      <w:r w:rsidRPr="00216B78">
        <w:rPr>
          <w:color w:val="auto"/>
          <w:sz w:val="22"/>
          <w:szCs w:val="22"/>
          <w:lang w:val="lt-LT"/>
        </w:rPr>
        <w:t xml:space="preserve">krioprecipitato, kartojant pagal poreikį. 7,8 ± 1,7 operacijos valandomis buvo naudojami atitinkamai 6,5 ± 3 g </w:t>
      </w:r>
      <w:r w:rsidR="00324E4D" w:rsidRPr="00216B78">
        <w:rPr>
          <w:color w:val="auto"/>
          <w:sz w:val="22"/>
          <w:szCs w:val="22"/>
          <w:lang w:val="lt-LT"/>
        </w:rPr>
        <w:t>fibryga</w:t>
      </w:r>
      <w:r w:rsidR="00324E4D" w:rsidRPr="00216B78" w:rsidDel="00324E4D">
        <w:rPr>
          <w:color w:val="auto"/>
          <w:sz w:val="22"/>
          <w:szCs w:val="22"/>
          <w:lang w:val="lt-LT"/>
        </w:rPr>
        <w:t xml:space="preserve"> </w:t>
      </w:r>
      <w:r w:rsidRPr="00216B78">
        <w:rPr>
          <w:color w:val="auto"/>
          <w:sz w:val="22"/>
          <w:szCs w:val="22"/>
          <w:lang w:val="lt-LT"/>
        </w:rPr>
        <w:t xml:space="preserve">(89 ± 39 mg/kg kūno svorio) ir 4,1 ± 2,2 </w:t>
      </w:r>
      <w:r w:rsidR="007256A7" w:rsidRPr="00216B78">
        <w:rPr>
          <w:color w:val="auto"/>
          <w:sz w:val="22"/>
          <w:szCs w:val="22"/>
          <w:lang w:val="lt-LT"/>
        </w:rPr>
        <w:t>kaupiniai</w:t>
      </w:r>
      <w:r w:rsidRPr="00216B78">
        <w:rPr>
          <w:color w:val="auto"/>
          <w:sz w:val="22"/>
          <w:szCs w:val="22"/>
          <w:lang w:val="lt-LT"/>
        </w:rPr>
        <w:t xml:space="preserve"> iš 5 </w:t>
      </w:r>
      <w:r w:rsidR="007256A7" w:rsidRPr="00216B78">
        <w:rPr>
          <w:color w:val="auto"/>
          <w:sz w:val="22"/>
          <w:szCs w:val="22"/>
          <w:lang w:val="lt-LT"/>
        </w:rPr>
        <w:t xml:space="preserve">vienetų </w:t>
      </w:r>
      <w:r w:rsidRPr="00216B78">
        <w:rPr>
          <w:color w:val="auto"/>
          <w:sz w:val="22"/>
          <w:szCs w:val="22"/>
          <w:lang w:val="lt-LT"/>
        </w:rPr>
        <w:t xml:space="preserve">krioprecipitato. </w:t>
      </w:r>
      <w:r w:rsidR="00BE7183" w:rsidRPr="00216B78">
        <w:rPr>
          <w:color w:val="auto"/>
          <w:sz w:val="22"/>
          <w:szCs w:val="22"/>
          <w:lang w:val="lt-LT"/>
        </w:rPr>
        <w:t>f</w:t>
      </w:r>
      <w:r w:rsidR="00324E4D" w:rsidRPr="00216B78">
        <w:rPr>
          <w:color w:val="auto"/>
          <w:sz w:val="22"/>
          <w:szCs w:val="22"/>
          <w:lang w:val="lt-LT"/>
        </w:rPr>
        <w:t>ibryga</w:t>
      </w:r>
      <w:r w:rsidR="00324E4D" w:rsidRPr="00216B78" w:rsidDel="00324E4D">
        <w:rPr>
          <w:color w:val="auto"/>
          <w:sz w:val="22"/>
          <w:szCs w:val="22"/>
          <w:lang w:val="lt-LT"/>
        </w:rPr>
        <w:t xml:space="preserve"> </w:t>
      </w:r>
      <w:r w:rsidRPr="00216B78">
        <w:rPr>
          <w:color w:val="auto"/>
          <w:sz w:val="22"/>
          <w:szCs w:val="22"/>
          <w:lang w:val="lt-LT"/>
        </w:rPr>
        <w:t>ir krioprecipitatu gyd</w:t>
      </w:r>
      <w:r w:rsidR="00CA23A8" w:rsidRPr="00216B78">
        <w:rPr>
          <w:color w:val="auto"/>
          <w:sz w:val="22"/>
          <w:szCs w:val="22"/>
          <w:lang w:val="lt-LT"/>
        </w:rPr>
        <w:t>ytiems</w:t>
      </w:r>
      <w:r w:rsidRPr="00216B78">
        <w:rPr>
          <w:color w:val="auto"/>
          <w:sz w:val="22"/>
          <w:szCs w:val="22"/>
          <w:lang w:val="lt-LT"/>
        </w:rPr>
        <w:t xml:space="preserve"> pacientams operacijos metu buvo skiriama </w:t>
      </w:r>
      <w:r w:rsidR="007256A7" w:rsidRPr="00216B78">
        <w:rPr>
          <w:color w:val="auto"/>
          <w:sz w:val="22"/>
          <w:szCs w:val="22"/>
          <w:lang w:val="lt-LT"/>
        </w:rPr>
        <w:t xml:space="preserve">vidutiniškai </w:t>
      </w:r>
      <w:r w:rsidR="00E0581D" w:rsidRPr="00216B78">
        <w:rPr>
          <w:color w:val="auto"/>
          <w:sz w:val="22"/>
          <w:szCs w:val="22"/>
          <w:lang w:val="lt-LT"/>
        </w:rPr>
        <w:t xml:space="preserve">atitinkamai </w:t>
      </w:r>
      <w:r w:rsidRPr="00216B78">
        <w:rPr>
          <w:color w:val="auto"/>
          <w:sz w:val="22"/>
          <w:szCs w:val="22"/>
          <w:lang w:val="lt-LT"/>
        </w:rPr>
        <w:t>1 vienet</w:t>
      </w:r>
      <w:r w:rsidR="007256A7" w:rsidRPr="00216B78">
        <w:rPr>
          <w:color w:val="auto"/>
          <w:sz w:val="22"/>
          <w:szCs w:val="22"/>
          <w:lang w:val="lt-LT"/>
        </w:rPr>
        <w:t>as</w:t>
      </w:r>
      <w:r w:rsidRPr="00216B78">
        <w:rPr>
          <w:color w:val="auto"/>
          <w:sz w:val="22"/>
          <w:szCs w:val="22"/>
          <w:lang w:val="lt-LT"/>
        </w:rPr>
        <w:t xml:space="preserve"> ir 0,5 vienetų </w:t>
      </w:r>
      <w:r w:rsidR="007256A7" w:rsidRPr="00216B78">
        <w:rPr>
          <w:color w:val="auto"/>
          <w:sz w:val="22"/>
          <w:szCs w:val="22"/>
          <w:lang w:val="lt-LT"/>
        </w:rPr>
        <w:t>erit</w:t>
      </w:r>
      <w:r w:rsidR="00E0581D" w:rsidRPr="00216B78">
        <w:rPr>
          <w:color w:val="auto"/>
          <w:sz w:val="22"/>
          <w:szCs w:val="22"/>
          <w:lang w:val="lt-LT"/>
        </w:rPr>
        <w:t>ro</w:t>
      </w:r>
      <w:r w:rsidR="007256A7" w:rsidRPr="00216B78">
        <w:rPr>
          <w:color w:val="auto"/>
          <w:sz w:val="22"/>
          <w:szCs w:val="22"/>
          <w:lang w:val="lt-LT"/>
        </w:rPr>
        <w:t>citų</w:t>
      </w:r>
      <w:r w:rsidR="00E0581D" w:rsidRPr="00216B78">
        <w:rPr>
          <w:color w:val="auto"/>
          <w:sz w:val="22"/>
          <w:szCs w:val="22"/>
          <w:lang w:val="lt-LT"/>
        </w:rPr>
        <w:t xml:space="preserve"> koncentrato</w:t>
      </w:r>
      <w:r w:rsidRPr="00216B78">
        <w:rPr>
          <w:color w:val="auto"/>
          <w:sz w:val="22"/>
          <w:szCs w:val="22"/>
          <w:lang w:val="lt-LT"/>
        </w:rPr>
        <w:t>,</w:t>
      </w:r>
      <w:r w:rsidR="00E0581D" w:rsidRPr="00216B78">
        <w:rPr>
          <w:color w:val="auto"/>
          <w:sz w:val="22"/>
          <w:szCs w:val="22"/>
          <w:lang w:val="lt-LT"/>
        </w:rPr>
        <w:t xml:space="preserve">  vidutiniškai </w:t>
      </w:r>
      <w:r w:rsidRPr="00216B78">
        <w:rPr>
          <w:color w:val="auto"/>
          <w:sz w:val="22"/>
          <w:szCs w:val="22"/>
          <w:lang w:val="lt-LT"/>
        </w:rPr>
        <w:t xml:space="preserve">0 vienetų </w:t>
      </w:r>
      <w:r w:rsidR="00E0581D" w:rsidRPr="00216B78">
        <w:rPr>
          <w:color w:val="auto"/>
          <w:sz w:val="22"/>
          <w:szCs w:val="22"/>
          <w:lang w:val="lt-LT"/>
        </w:rPr>
        <w:t xml:space="preserve">eritrocitų koncentrato </w:t>
      </w:r>
      <w:r w:rsidRPr="00216B78">
        <w:rPr>
          <w:color w:val="auto"/>
          <w:sz w:val="22"/>
          <w:szCs w:val="22"/>
          <w:lang w:val="lt-LT"/>
        </w:rPr>
        <w:t>skir</w:t>
      </w:r>
      <w:r w:rsidR="00E0581D" w:rsidRPr="00216B78">
        <w:rPr>
          <w:color w:val="auto"/>
          <w:sz w:val="22"/>
          <w:szCs w:val="22"/>
          <w:lang w:val="lt-LT"/>
        </w:rPr>
        <w:t>ta</w:t>
      </w:r>
      <w:r w:rsidRPr="00216B78">
        <w:rPr>
          <w:color w:val="auto"/>
          <w:sz w:val="22"/>
          <w:szCs w:val="22"/>
          <w:lang w:val="lt-LT"/>
        </w:rPr>
        <w:t xml:space="preserve"> pirmąsias 24 valandas po operacijos abiejose grupėse (žr. lentelę toliau). Tyrimo metu švieži</w:t>
      </w:r>
      <w:r w:rsidR="00EA010C" w:rsidRPr="00216B78">
        <w:rPr>
          <w:color w:val="auto"/>
          <w:sz w:val="22"/>
          <w:szCs w:val="22"/>
          <w:lang w:val="lt-LT"/>
        </w:rPr>
        <w:t>ai</w:t>
      </w:r>
      <w:r w:rsidRPr="00216B78">
        <w:rPr>
          <w:color w:val="auto"/>
          <w:sz w:val="22"/>
          <w:szCs w:val="22"/>
          <w:lang w:val="lt-LT"/>
        </w:rPr>
        <w:t xml:space="preserve"> šaldytos plazmos arba trombocitų koncentratų transfuzijų nebuvo atliekama. Nepriklausomas vertinimo komitetas, naudodamas </w:t>
      </w:r>
      <w:r w:rsidRPr="00216B78">
        <w:rPr>
          <w:color w:val="auto"/>
          <w:sz w:val="22"/>
          <w:szCs w:val="22"/>
          <w:lang w:val="lt-LT"/>
        </w:rPr>
        <w:lastRenderedPageBreak/>
        <w:t xml:space="preserve">objektyvią vertinimo sistemą, </w:t>
      </w:r>
      <w:r w:rsidR="00BE7183" w:rsidRPr="00216B78">
        <w:rPr>
          <w:color w:val="auto"/>
          <w:sz w:val="22"/>
          <w:szCs w:val="22"/>
          <w:lang w:val="lt-LT"/>
        </w:rPr>
        <w:t>hemostazinį</w:t>
      </w:r>
      <w:r w:rsidRPr="00216B78">
        <w:rPr>
          <w:color w:val="auto"/>
          <w:sz w:val="22"/>
          <w:szCs w:val="22"/>
          <w:lang w:val="lt-LT"/>
        </w:rPr>
        <w:t xml:space="preserve"> gydymą pagal fibrinogeno papildymą įvertino kaip sėkmingą 100 % operacijų atvej</w:t>
      </w:r>
      <w:r w:rsidR="00E0581D" w:rsidRPr="00216B78">
        <w:rPr>
          <w:color w:val="auto"/>
          <w:sz w:val="22"/>
          <w:szCs w:val="22"/>
          <w:lang w:val="lt-LT"/>
        </w:rPr>
        <w:t>ais</w:t>
      </w:r>
      <w:r w:rsidRPr="00216B78">
        <w:rPr>
          <w:color w:val="auto"/>
          <w:sz w:val="22"/>
          <w:szCs w:val="22"/>
          <w:lang w:val="lt-LT"/>
        </w:rPr>
        <w:t xml:space="preserve"> abiejose grupėse.</w:t>
      </w:r>
    </w:p>
    <w:p w14:paraId="0F1EDA96" w14:textId="77777777" w:rsidR="008E70E4" w:rsidRPr="00216B78" w:rsidRDefault="008E70E4" w:rsidP="00754B96">
      <w:pPr>
        <w:pStyle w:val="Default"/>
        <w:rPr>
          <w:color w:val="auto"/>
          <w:sz w:val="22"/>
          <w:szCs w:val="22"/>
          <w:lang w:val="lt-LT"/>
        </w:rPr>
      </w:pPr>
    </w:p>
    <w:p w14:paraId="2DB464D7" w14:textId="77777777" w:rsidR="008E70E4" w:rsidRPr="00216B78" w:rsidRDefault="008E70E4" w:rsidP="00463F94">
      <w:pPr>
        <w:pStyle w:val="Antrat"/>
        <w:keepNext/>
        <w:rPr>
          <w:b/>
          <w:i w:val="0"/>
          <w:color w:val="auto"/>
          <w:sz w:val="22"/>
          <w:szCs w:val="22"/>
        </w:rPr>
      </w:pPr>
      <w:r w:rsidRPr="00216B78">
        <w:rPr>
          <w:b/>
          <w:bCs/>
          <w:i w:val="0"/>
          <w:color w:val="auto"/>
          <w:sz w:val="22"/>
          <w:szCs w:val="22"/>
        </w:rPr>
        <w:t>2 lentelė. RBC* transfuzija [vienetai] operacijos metu ir pirmąsias 24 valandas po operacijos (PP populiacija)</w:t>
      </w:r>
    </w:p>
    <w:tbl>
      <w:tblPr>
        <w:tblW w:w="9072" w:type="dxa"/>
        <w:tblBorders>
          <w:top w:val="single" w:sz="8" w:space="0" w:color="000000"/>
          <w:left w:val="single" w:sz="6" w:space="0" w:color="000000"/>
          <w:bottom w:val="single" w:sz="8" w:space="0" w:color="000000"/>
          <w:right w:val="single" w:sz="6" w:space="0" w:color="000000"/>
        </w:tblBorders>
        <w:tblLayout w:type="fixed"/>
        <w:tblCellMar>
          <w:left w:w="57" w:type="dxa"/>
          <w:right w:w="57" w:type="dxa"/>
        </w:tblCellMar>
        <w:tblLook w:val="0000" w:firstRow="0" w:lastRow="0" w:firstColumn="0" w:lastColumn="0" w:noHBand="0" w:noVBand="0"/>
      </w:tblPr>
      <w:tblGrid>
        <w:gridCol w:w="3869"/>
        <w:gridCol w:w="2602"/>
        <w:gridCol w:w="2601"/>
      </w:tblGrid>
      <w:tr w:rsidR="008E70E4" w:rsidRPr="00216B78" w14:paraId="731F51FB" w14:textId="77777777" w:rsidTr="00463F94">
        <w:trPr>
          <w:cantSplit/>
          <w:tblHeader/>
        </w:trPr>
        <w:tc>
          <w:tcPr>
            <w:tcW w:w="3841" w:type="dxa"/>
            <w:tcBorders>
              <w:top w:val="single" w:sz="8" w:space="0" w:color="000000"/>
              <w:bottom w:val="single" w:sz="8" w:space="0" w:color="000000"/>
              <w:right w:val="single" w:sz="6" w:space="0" w:color="000000"/>
            </w:tcBorders>
          </w:tcPr>
          <w:p w14:paraId="7C8D565B" w14:textId="77777777" w:rsidR="008E70E4" w:rsidRPr="00216B78" w:rsidRDefault="008E70E4" w:rsidP="00463F94">
            <w:pPr>
              <w:pStyle w:val="Table"/>
              <w:keepNext/>
              <w:spacing w:before="0" w:after="0"/>
              <w:jc w:val="left"/>
              <w:rPr>
                <w:rFonts w:ascii="Times New Roman" w:hAnsi="Times New Roman" w:cs="Times New Roman"/>
                <w:b/>
                <w:bCs/>
                <w:sz w:val="22"/>
                <w:szCs w:val="22"/>
                <w:lang w:val="lt-LT"/>
              </w:rPr>
            </w:pPr>
            <w:r w:rsidRPr="00216B78">
              <w:rPr>
                <w:rFonts w:ascii="Times New Roman" w:hAnsi="Times New Roman" w:cs="Times New Roman"/>
                <w:b/>
                <w:bCs/>
                <w:sz w:val="22"/>
                <w:szCs w:val="22"/>
                <w:lang w:val="lt-LT"/>
              </w:rPr>
              <w:t>Trukmė</w:t>
            </w:r>
          </w:p>
        </w:tc>
        <w:tc>
          <w:tcPr>
            <w:tcW w:w="2583" w:type="dxa"/>
            <w:tcBorders>
              <w:top w:val="single" w:sz="8" w:space="0" w:color="000000"/>
              <w:left w:val="single" w:sz="6" w:space="0" w:color="000000"/>
              <w:bottom w:val="single" w:sz="8" w:space="0" w:color="000000"/>
              <w:right w:val="single" w:sz="6" w:space="0" w:color="000000"/>
            </w:tcBorders>
          </w:tcPr>
          <w:p w14:paraId="5536E17C" w14:textId="77777777" w:rsidR="008E70E4" w:rsidRPr="00216B78" w:rsidRDefault="00BE7183" w:rsidP="00463F94">
            <w:pPr>
              <w:pStyle w:val="Table"/>
              <w:keepNext/>
              <w:spacing w:before="0" w:after="0"/>
              <w:jc w:val="center"/>
              <w:rPr>
                <w:rFonts w:ascii="Times New Roman" w:hAnsi="Times New Roman" w:cs="Times New Roman"/>
                <w:b/>
                <w:bCs/>
                <w:sz w:val="22"/>
                <w:szCs w:val="22"/>
                <w:lang w:val="lt-LT"/>
              </w:rPr>
            </w:pPr>
            <w:r w:rsidRPr="00216B78">
              <w:rPr>
                <w:rFonts w:ascii="Times New Roman" w:hAnsi="Times New Roman" w:cs="Times New Roman"/>
                <w:b/>
                <w:bCs/>
                <w:sz w:val="22"/>
                <w:szCs w:val="22"/>
                <w:lang w:val="lt-LT"/>
              </w:rPr>
              <w:t>f</w:t>
            </w:r>
            <w:r w:rsidR="00324E4D" w:rsidRPr="00216B78">
              <w:rPr>
                <w:rFonts w:ascii="Times New Roman" w:hAnsi="Times New Roman" w:cs="Times New Roman"/>
                <w:b/>
                <w:bCs/>
                <w:sz w:val="22"/>
                <w:szCs w:val="22"/>
                <w:lang w:val="lt-LT"/>
              </w:rPr>
              <w:t xml:space="preserve">ibryga </w:t>
            </w:r>
            <w:r w:rsidR="008E70E4" w:rsidRPr="00216B78">
              <w:rPr>
                <w:rFonts w:ascii="Times New Roman" w:hAnsi="Times New Roman" w:cs="Times New Roman"/>
                <w:b/>
                <w:bCs/>
                <w:sz w:val="22"/>
                <w:szCs w:val="22"/>
                <w:lang w:val="lt-LT"/>
              </w:rPr>
              <w:t>grupė (n = 21)</w:t>
            </w:r>
          </w:p>
          <w:p w14:paraId="357538C6" w14:textId="77777777" w:rsidR="008E70E4" w:rsidRPr="00216B78" w:rsidRDefault="008E70E4" w:rsidP="00463F94">
            <w:pPr>
              <w:pStyle w:val="Table"/>
              <w:keepNext/>
              <w:spacing w:before="0" w:after="0"/>
              <w:jc w:val="center"/>
              <w:rPr>
                <w:rFonts w:ascii="Times New Roman" w:hAnsi="Times New Roman" w:cs="Times New Roman"/>
                <w:b/>
                <w:bCs/>
                <w:sz w:val="22"/>
                <w:szCs w:val="22"/>
                <w:lang w:val="lt-LT"/>
              </w:rPr>
            </w:pPr>
            <w:r w:rsidRPr="00216B78">
              <w:rPr>
                <w:rFonts w:ascii="Times New Roman" w:hAnsi="Times New Roman" w:cs="Times New Roman"/>
                <w:b/>
                <w:bCs/>
                <w:sz w:val="22"/>
                <w:szCs w:val="22"/>
                <w:lang w:val="lt-LT"/>
              </w:rPr>
              <w:t>Mediana (intervalas)</w:t>
            </w:r>
          </w:p>
        </w:tc>
        <w:tc>
          <w:tcPr>
            <w:tcW w:w="2582" w:type="dxa"/>
            <w:tcBorders>
              <w:top w:val="single" w:sz="8" w:space="0" w:color="000000"/>
              <w:left w:val="single" w:sz="6" w:space="0" w:color="000000"/>
              <w:bottom w:val="single" w:sz="8" w:space="0" w:color="000000"/>
            </w:tcBorders>
          </w:tcPr>
          <w:p w14:paraId="6D0FDEE4" w14:textId="77777777" w:rsidR="008E70E4" w:rsidRPr="00216B78" w:rsidRDefault="008E70E4" w:rsidP="00463F94">
            <w:pPr>
              <w:pStyle w:val="Table"/>
              <w:keepNext/>
              <w:spacing w:before="0" w:after="0"/>
              <w:jc w:val="center"/>
              <w:rPr>
                <w:rFonts w:ascii="Times New Roman" w:hAnsi="Times New Roman" w:cs="Times New Roman"/>
                <w:b/>
                <w:bCs/>
                <w:sz w:val="22"/>
                <w:szCs w:val="22"/>
                <w:lang w:val="lt-LT"/>
              </w:rPr>
            </w:pPr>
            <w:r w:rsidRPr="00216B78">
              <w:rPr>
                <w:rFonts w:ascii="Times New Roman" w:hAnsi="Times New Roman" w:cs="Times New Roman"/>
                <w:b/>
                <w:bCs/>
                <w:sz w:val="22"/>
                <w:szCs w:val="22"/>
                <w:lang w:val="lt-LT"/>
              </w:rPr>
              <w:t>Krioprecipitato grupė (n = 22)</w:t>
            </w:r>
          </w:p>
          <w:p w14:paraId="14E6BE4D" w14:textId="77777777" w:rsidR="008E70E4" w:rsidRPr="00216B78" w:rsidRDefault="008E70E4" w:rsidP="00463F94">
            <w:pPr>
              <w:pStyle w:val="Table"/>
              <w:keepNext/>
              <w:spacing w:before="0" w:after="0"/>
              <w:jc w:val="center"/>
              <w:rPr>
                <w:rFonts w:ascii="Times New Roman" w:hAnsi="Times New Roman" w:cs="Times New Roman"/>
                <w:b/>
                <w:bCs/>
                <w:sz w:val="22"/>
                <w:szCs w:val="22"/>
                <w:lang w:val="lt-LT"/>
              </w:rPr>
            </w:pPr>
            <w:r w:rsidRPr="00216B78">
              <w:rPr>
                <w:rFonts w:ascii="Times New Roman" w:hAnsi="Times New Roman" w:cs="Times New Roman"/>
                <w:b/>
                <w:bCs/>
                <w:sz w:val="22"/>
                <w:szCs w:val="22"/>
                <w:lang w:val="lt-LT"/>
              </w:rPr>
              <w:t>Mediana (intervalas)</w:t>
            </w:r>
          </w:p>
        </w:tc>
      </w:tr>
      <w:tr w:rsidR="008E70E4" w:rsidRPr="00216B78" w14:paraId="26C0DA52" w14:textId="77777777" w:rsidTr="00463F94">
        <w:trPr>
          <w:cantSplit/>
        </w:trPr>
        <w:tc>
          <w:tcPr>
            <w:tcW w:w="3841" w:type="dxa"/>
            <w:tcBorders>
              <w:top w:val="single" w:sz="8" w:space="0" w:color="000000"/>
              <w:bottom w:val="single" w:sz="6" w:space="0" w:color="000000"/>
              <w:right w:val="single" w:sz="6" w:space="0" w:color="000000"/>
            </w:tcBorders>
          </w:tcPr>
          <w:p w14:paraId="13990B5D" w14:textId="77777777" w:rsidR="008E70E4" w:rsidRPr="00216B78" w:rsidRDefault="008E70E4" w:rsidP="00754B96">
            <w:pPr>
              <w:pStyle w:val="Table"/>
              <w:keepNext/>
              <w:keepLines/>
              <w:spacing w:before="0" w:after="0"/>
              <w:jc w:val="left"/>
              <w:rPr>
                <w:rFonts w:ascii="Times New Roman" w:hAnsi="Times New Roman" w:cs="Times New Roman"/>
                <w:sz w:val="22"/>
                <w:szCs w:val="22"/>
                <w:lang w:val="lt-LT"/>
              </w:rPr>
            </w:pPr>
            <w:r w:rsidRPr="00216B78">
              <w:rPr>
                <w:rFonts w:ascii="Times New Roman" w:hAnsi="Times New Roman" w:cs="Times New Roman"/>
                <w:sz w:val="22"/>
                <w:szCs w:val="22"/>
                <w:lang w:val="lt-LT"/>
              </w:rPr>
              <w:t>Operacijos metu</w:t>
            </w:r>
          </w:p>
        </w:tc>
        <w:tc>
          <w:tcPr>
            <w:tcW w:w="2583" w:type="dxa"/>
            <w:tcBorders>
              <w:top w:val="single" w:sz="8" w:space="0" w:color="000000"/>
              <w:left w:val="single" w:sz="6" w:space="0" w:color="000000"/>
              <w:bottom w:val="single" w:sz="8" w:space="0" w:color="000000"/>
              <w:right w:val="single" w:sz="6" w:space="0" w:color="000000"/>
            </w:tcBorders>
          </w:tcPr>
          <w:p w14:paraId="7155A7F4" w14:textId="77777777" w:rsidR="008E70E4" w:rsidRPr="00216B78" w:rsidRDefault="008E70E4" w:rsidP="00463F94">
            <w:pPr>
              <w:pStyle w:val="Table"/>
              <w:keepNext/>
              <w:keepLines/>
              <w:spacing w:before="0" w:after="0"/>
              <w:jc w:val="center"/>
              <w:rPr>
                <w:rFonts w:ascii="Times New Roman" w:hAnsi="Times New Roman" w:cs="Times New Roman"/>
                <w:sz w:val="22"/>
                <w:szCs w:val="22"/>
                <w:lang w:val="lt-LT"/>
              </w:rPr>
            </w:pPr>
            <w:r w:rsidRPr="00216B78">
              <w:rPr>
                <w:rFonts w:ascii="Times New Roman" w:hAnsi="Times New Roman" w:cs="Times New Roman"/>
                <w:sz w:val="22"/>
                <w:szCs w:val="22"/>
                <w:lang w:val="lt-LT"/>
              </w:rPr>
              <w:t>1 (0-4)</w:t>
            </w:r>
          </w:p>
        </w:tc>
        <w:tc>
          <w:tcPr>
            <w:tcW w:w="2582" w:type="dxa"/>
            <w:tcBorders>
              <w:top w:val="single" w:sz="8" w:space="0" w:color="000000"/>
              <w:left w:val="single" w:sz="6" w:space="0" w:color="000000"/>
              <w:bottom w:val="single" w:sz="6" w:space="0" w:color="000000"/>
            </w:tcBorders>
          </w:tcPr>
          <w:p w14:paraId="7E192C2E" w14:textId="77777777" w:rsidR="008E70E4" w:rsidRPr="00216B78" w:rsidRDefault="008E70E4" w:rsidP="00463F94">
            <w:pPr>
              <w:pStyle w:val="Table"/>
              <w:keepNext/>
              <w:keepLines/>
              <w:spacing w:before="0" w:after="0"/>
              <w:jc w:val="center"/>
              <w:rPr>
                <w:rFonts w:ascii="Times New Roman" w:hAnsi="Times New Roman" w:cs="Times New Roman"/>
                <w:sz w:val="22"/>
                <w:szCs w:val="22"/>
                <w:lang w:val="lt-LT"/>
              </w:rPr>
            </w:pPr>
            <w:r w:rsidRPr="00216B78">
              <w:rPr>
                <w:rFonts w:ascii="Times New Roman" w:hAnsi="Times New Roman" w:cs="Times New Roman"/>
                <w:sz w:val="22"/>
                <w:szCs w:val="22"/>
                <w:lang w:val="lt-LT"/>
              </w:rPr>
              <w:t>0,5 (0-5)</w:t>
            </w:r>
          </w:p>
        </w:tc>
      </w:tr>
      <w:tr w:rsidR="008E70E4" w:rsidRPr="00216B78" w14:paraId="1C8C5B78" w14:textId="77777777" w:rsidTr="00463F94">
        <w:trPr>
          <w:cantSplit/>
        </w:trPr>
        <w:tc>
          <w:tcPr>
            <w:tcW w:w="3841" w:type="dxa"/>
            <w:tcBorders>
              <w:top w:val="single" w:sz="6" w:space="0" w:color="000000"/>
              <w:bottom w:val="single" w:sz="6" w:space="0" w:color="000000"/>
              <w:right w:val="single" w:sz="6" w:space="0" w:color="000000"/>
            </w:tcBorders>
          </w:tcPr>
          <w:p w14:paraId="4F844E22" w14:textId="77777777" w:rsidR="008E70E4" w:rsidRPr="00216B78" w:rsidRDefault="008E70E4" w:rsidP="00754B96">
            <w:pPr>
              <w:pStyle w:val="Table"/>
              <w:keepNext/>
              <w:keepLines/>
              <w:spacing w:before="0" w:after="0"/>
              <w:jc w:val="left"/>
              <w:rPr>
                <w:rFonts w:ascii="Times New Roman" w:hAnsi="Times New Roman" w:cs="Times New Roman"/>
                <w:sz w:val="22"/>
                <w:szCs w:val="22"/>
                <w:lang w:val="lt-LT"/>
              </w:rPr>
            </w:pPr>
            <w:r w:rsidRPr="00216B78">
              <w:rPr>
                <w:rFonts w:ascii="Times New Roman" w:hAnsi="Times New Roman" w:cs="Times New Roman"/>
                <w:sz w:val="22"/>
                <w:szCs w:val="22"/>
                <w:lang w:val="lt-LT"/>
              </w:rPr>
              <w:t>Pirmąsias 24 valandas po operacijos</w:t>
            </w:r>
          </w:p>
        </w:tc>
        <w:tc>
          <w:tcPr>
            <w:tcW w:w="2583" w:type="dxa"/>
            <w:tcBorders>
              <w:top w:val="single" w:sz="8" w:space="0" w:color="000000"/>
              <w:left w:val="single" w:sz="6" w:space="0" w:color="000000"/>
              <w:bottom w:val="single" w:sz="8" w:space="0" w:color="000000"/>
              <w:right w:val="single" w:sz="6" w:space="0" w:color="000000"/>
            </w:tcBorders>
          </w:tcPr>
          <w:p w14:paraId="21B66018" w14:textId="77777777" w:rsidR="008E70E4" w:rsidRPr="00216B78" w:rsidRDefault="008E70E4" w:rsidP="00463F94">
            <w:pPr>
              <w:pStyle w:val="Table"/>
              <w:keepNext/>
              <w:keepLines/>
              <w:spacing w:before="0" w:after="0"/>
              <w:jc w:val="center"/>
              <w:rPr>
                <w:rFonts w:ascii="Times New Roman" w:hAnsi="Times New Roman" w:cs="Times New Roman"/>
                <w:sz w:val="22"/>
                <w:szCs w:val="22"/>
                <w:lang w:val="lt-LT"/>
              </w:rPr>
            </w:pPr>
            <w:r w:rsidRPr="00216B78">
              <w:rPr>
                <w:rFonts w:ascii="Times New Roman" w:hAnsi="Times New Roman" w:cs="Times New Roman"/>
                <w:sz w:val="22"/>
                <w:szCs w:val="22"/>
                <w:lang w:val="lt-LT"/>
              </w:rPr>
              <w:t>0 (0-2)</w:t>
            </w:r>
          </w:p>
        </w:tc>
        <w:tc>
          <w:tcPr>
            <w:tcW w:w="2582" w:type="dxa"/>
            <w:tcBorders>
              <w:top w:val="single" w:sz="6" w:space="0" w:color="000000"/>
              <w:left w:val="single" w:sz="6" w:space="0" w:color="000000"/>
              <w:bottom w:val="single" w:sz="6" w:space="0" w:color="000000"/>
            </w:tcBorders>
          </w:tcPr>
          <w:p w14:paraId="6C914837" w14:textId="77777777" w:rsidR="008E70E4" w:rsidRPr="00216B78" w:rsidRDefault="008E70E4" w:rsidP="00463F94">
            <w:pPr>
              <w:pStyle w:val="Table"/>
              <w:keepNext/>
              <w:keepLines/>
              <w:spacing w:before="0" w:after="0"/>
              <w:jc w:val="center"/>
              <w:rPr>
                <w:rFonts w:ascii="Times New Roman" w:hAnsi="Times New Roman" w:cs="Times New Roman"/>
                <w:sz w:val="22"/>
                <w:szCs w:val="22"/>
                <w:lang w:val="lt-LT"/>
              </w:rPr>
            </w:pPr>
            <w:r w:rsidRPr="00216B78">
              <w:rPr>
                <w:rFonts w:ascii="Times New Roman" w:hAnsi="Times New Roman" w:cs="Times New Roman"/>
                <w:sz w:val="22"/>
                <w:szCs w:val="22"/>
                <w:lang w:val="lt-LT"/>
              </w:rPr>
              <w:t>0 (0-2)</w:t>
            </w:r>
          </w:p>
        </w:tc>
      </w:tr>
    </w:tbl>
    <w:p w14:paraId="4F9DDD3D" w14:textId="77777777" w:rsidR="008E70E4" w:rsidRPr="00216B78" w:rsidRDefault="008E70E4" w:rsidP="00754B96">
      <w:pPr>
        <w:pStyle w:val="Tablefootnote"/>
        <w:keepNext/>
        <w:keepLines/>
        <w:spacing w:before="0" w:after="0"/>
        <w:jc w:val="left"/>
        <w:rPr>
          <w:rFonts w:ascii="Times New Roman" w:hAnsi="Times New Roman" w:cs="Times New Roman"/>
          <w:sz w:val="20"/>
          <w:szCs w:val="20"/>
          <w:lang w:val="lt-LT"/>
        </w:rPr>
      </w:pPr>
      <w:r w:rsidRPr="00216B78">
        <w:rPr>
          <w:rFonts w:ascii="Times New Roman" w:hAnsi="Times New Roman" w:cs="Times New Roman"/>
          <w:sz w:val="20"/>
          <w:szCs w:val="20"/>
          <w:lang w:val="lt-LT"/>
        </w:rPr>
        <w:t>RBC = eritrocitų koncentratai; PP = pagal protokolą.</w:t>
      </w:r>
    </w:p>
    <w:p w14:paraId="763D5469" w14:textId="77777777" w:rsidR="008E70E4" w:rsidRPr="00216B78" w:rsidRDefault="008E70E4" w:rsidP="00754B96">
      <w:pPr>
        <w:pStyle w:val="Tablefootnote"/>
        <w:spacing w:before="0" w:after="0"/>
        <w:jc w:val="left"/>
        <w:rPr>
          <w:rFonts w:ascii="Times New Roman" w:hAnsi="Times New Roman" w:cs="Times New Roman"/>
          <w:sz w:val="20"/>
          <w:szCs w:val="20"/>
          <w:lang w:val="lt-LT"/>
        </w:rPr>
      </w:pPr>
      <w:r w:rsidRPr="00216B78">
        <w:rPr>
          <w:rFonts w:ascii="Times New Roman" w:hAnsi="Times New Roman" w:cs="Times New Roman"/>
          <w:sz w:val="20"/>
          <w:szCs w:val="20"/>
          <w:lang w:val="lt-LT"/>
        </w:rPr>
        <w:t>*kitų alogeninių kraujo preparatų, pvz., šviežios šaldytos plazmos arba trombocitų koncentratų transfuzijų neatlikta</w:t>
      </w:r>
    </w:p>
    <w:p w14:paraId="29DC2586" w14:textId="77777777" w:rsidR="008E70E4" w:rsidRPr="00216B78" w:rsidRDefault="008E70E4" w:rsidP="00754B96">
      <w:pPr>
        <w:pStyle w:val="Default"/>
        <w:rPr>
          <w:sz w:val="22"/>
          <w:szCs w:val="22"/>
          <w:lang w:val="lt-LT"/>
        </w:rPr>
      </w:pPr>
    </w:p>
    <w:p w14:paraId="7D985660" w14:textId="77777777" w:rsidR="008E70E4" w:rsidRPr="00216B78" w:rsidRDefault="008E70E4" w:rsidP="00754B96">
      <w:pPr>
        <w:pStyle w:val="Default"/>
        <w:rPr>
          <w:sz w:val="22"/>
          <w:szCs w:val="22"/>
          <w:u w:val="single"/>
          <w:lang w:val="lt-LT"/>
        </w:rPr>
      </w:pPr>
      <w:r w:rsidRPr="00216B78">
        <w:rPr>
          <w:sz w:val="22"/>
          <w:szCs w:val="22"/>
          <w:u w:val="single"/>
          <w:lang w:val="lt-LT"/>
        </w:rPr>
        <w:t>Vaikų populiacija</w:t>
      </w:r>
    </w:p>
    <w:p w14:paraId="583692C4" w14:textId="77777777" w:rsidR="008E70E4" w:rsidRPr="00216B78" w:rsidRDefault="00EF3C96" w:rsidP="00754B96">
      <w:pPr>
        <w:pStyle w:val="Default"/>
        <w:rPr>
          <w:sz w:val="22"/>
          <w:szCs w:val="22"/>
          <w:lang w:val="lt-LT"/>
        </w:rPr>
      </w:pPr>
      <w:r w:rsidRPr="00216B78">
        <w:rPr>
          <w:sz w:val="22"/>
          <w:szCs w:val="22"/>
          <w:lang w:val="lt-LT"/>
        </w:rPr>
        <w:t xml:space="preserve">Sergantiesiems įgimta fibrinogeno stoka </w:t>
      </w:r>
      <w:r w:rsidR="00BE7183" w:rsidRPr="00216B78">
        <w:rPr>
          <w:sz w:val="22"/>
          <w:szCs w:val="22"/>
          <w:lang w:val="lt-LT"/>
        </w:rPr>
        <w:t>f</w:t>
      </w:r>
      <w:r w:rsidR="00324E4D" w:rsidRPr="00216B78">
        <w:rPr>
          <w:sz w:val="22"/>
          <w:szCs w:val="22"/>
          <w:lang w:val="lt-LT"/>
        </w:rPr>
        <w:t xml:space="preserve">ibryga </w:t>
      </w:r>
      <w:r w:rsidR="008E70E4" w:rsidRPr="00216B78">
        <w:rPr>
          <w:sz w:val="22"/>
          <w:szCs w:val="22"/>
          <w:lang w:val="lt-LT"/>
        </w:rPr>
        <w:t xml:space="preserve">buvo skiriamas dviejų klinikinių tyrimų metu </w:t>
      </w:r>
      <w:r w:rsidRPr="00216B78">
        <w:rPr>
          <w:sz w:val="22"/>
          <w:szCs w:val="22"/>
          <w:lang w:val="lt-LT"/>
        </w:rPr>
        <w:t xml:space="preserve">(FORMA-02 ir FORMA-04) 20 </w:t>
      </w:r>
      <w:r w:rsidR="008E70E4" w:rsidRPr="00216B78">
        <w:rPr>
          <w:sz w:val="22"/>
          <w:szCs w:val="22"/>
          <w:lang w:val="lt-LT"/>
        </w:rPr>
        <w:t>pacient</w:t>
      </w:r>
      <w:r w:rsidRPr="00216B78">
        <w:rPr>
          <w:sz w:val="22"/>
          <w:szCs w:val="22"/>
          <w:lang w:val="lt-LT"/>
        </w:rPr>
        <w:t>ų</w:t>
      </w:r>
      <w:r w:rsidR="008E70E4" w:rsidRPr="00216B78">
        <w:rPr>
          <w:sz w:val="22"/>
          <w:szCs w:val="22"/>
          <w:lang w:val="lt-LT"/>
        </w:rPr>
        <w:t xml:space="preserve"> nuo 1 iki 18 metų</w:t>
      </w:r>
      <w:r w:rsidRPr="00216B78">
        <w:rPr>
          <w:sz w:val="22"/>
          <w:szCs w:val="22"/>
          <w:lang w:val="lt-LT"/>
        </w:rPr>
        <w:t>, iš kurių 6 buvo paaugliai nuo 12 iki 18 metų, 8 vaikai nuo 6 iki 12 metų ir 6 vaikai nuo 1 iki 6 metų. Nepriklausomas vertinimo komitetas</w:t>
      </w:r>
      <w:r w:rsidR="00674AD5" w:rsidRPr="00216B78">
        <w:rPr>
          <w:sz w:val="22"/>
          <w:szCs w:val="22"/>
          <w:lang w:val="lt-LT"/>
        </w:rPr>
        <w:t xml:space="preserve"> </w:t>
      </w:r>
      <w:r w:rsidRPr="00216B78">
        <w:rPr>
          <w:color w:val="auto"/>
          <w:sz w:val="22"/>
          <w:szCs w:val="22"/>
          <w:lang w:val="lt-LT"/>
        </w:rPr>
        <w:t xml:space="preserve">hemostazinį veiksmingumą įvertino kaip </w:t>
      </w:r>
      <w:r w:rsidRPr="00216B78">
        <w:rPr>
          <w:sz w:val="22"/>
          <w:szCs w:val="22"/>
          <w:lang w:val="lt-LT"/>
        </w:rPr>
        <w:t>sėkmingą visiems kraujavimo epizodams gydyti (10 kraujavimo epizodų paaugliams, 5</w:t>
      </w:r>
      <w:r w:rsidR="008E2F45" w:rsidRPr="00216B78">
        <w:rPr>
          <w:sz w:val="22"/>
          <w:szCs w:val="22"/>
          <w:lang w:val="lt-LT"/>
        </w:rPr>
        <w:t xml:space="preserve"> epizodams</w:t>
      </w:r>
      <w:r w:rsidRPr="00216B78">
        <w:rPr>
          <w:sz w:val="22"/>
          <w:szCs w:val="22"/>
          <w:lang w:val="lt-LT"/>
        </w:rPr>
        <w:t xml:space="preserve"> vaikams nuo 6 iki 12 metų</w:t>
      </w:r>
      <w:r w:rsidR="008E2F45" w:rsidRPr="00216B78">
        <w:rPr>
          <w:sz w:val="22"/>
          <w:szCs w:val="22"/>
          <w:lang w:val="lt-LT"/>
        </w:rPr>
        <w:t xml:space="preserve"> ir 5 epizodams vaikams nuo 1 iki 6 metų). Kraujavimo profilaktika taip pat buvo įvertinta kaip sėkminga </w:t>
      </w:r>
      <w:r w:rsidR="00674AD5" w:rsidRPr="00216B78">
        <w:rPr>
          <w:sz w:val="22"/>
          <w:szCs w:val="22"/>
          <w:lang w:val="lt-LT"/>
        </w:rPr>
        <w:t xml:space="preserve">atlikus </w:t>
      </w:r>
      <w:r w:rsidR="008E2F45" w:rsidRPr="00216B78">
        <w:rPr>
          <w:sz w:val="22"/>
          <w:szCs w:val="22"/>
          <w:lang w:val="lt-LT"/>
        </w:rPr>
        <w:t>4</w:t>
      </w:r>
      <w:r w:rsidR="00317268" w:rsidRPr="00216B78">
        <w:rPr>
          <w:sz w:val="22"/>
          <w:szCs w:val="22"/>
          <w:lang w:val="lt-LT"/>
        </w:rPr>
        <w:t> </w:t>
      </w:r>
      <w:r w:rsidR="008E2F45" w:rsidRPr="00216B78">
        <w:rPr>
          <w:sz w:val="22"/>
          <w:szCs w:val="22"/>
          <w:lang w:val="lt-LT"/>
        </w:rPr>
        <w:t>chirurgin</w:t>
      </w:r>
      <w:r w:rsidR="00674AD5" w:rsidRPr="00216B78">
        <w:rPr>
          <w:sz w:val="22"/>
          <w:szCs w:val="22"/>
          <w:lang w:val="lt-LT"/>
        </w:rPr>
        <w:t>es</w:t>
      </w:r>
      <w:r w:rsidR="008E2F45" w:rsidRPr="00216B78">
        <w:rPr>
          <w:sz w:val="22"/>
          <w:szCs w:val="22"/>
          <w:lang w:val="lt-LT"/>
        </w:rPr>
        <w:t xml:space="preserve"> procedūr</w:t>
      </w:r>
      <w:r w:rsidR="00674AD5" w:rsidRPr="00216B78">
        <w:rPr>
          <w:sz w:val="22"/>
          <w:szCs w:val="22"/>
          <w:lang w:val="lt-LT"/>
        </w:rPr>
        <w:t>as šiems pacientams</w:t>
      </w:r>
      <w:r w:rsidR="008E2F45" w:rsidRPr="00216B78">
        <w:rPr>
          <w:sz w:val="22"/>
          <w:szCs w:val="22"/>
          <w:lang w:val="lt-LT"/>
        </w:rPr>
        <w:t xml:space="preserve"> (1 paaugliui ir 3 vaikams nuo 1 iki 6 metų</w:t>
      </w:r>
      <w:r w:rsidR="008E70E4" w:rsidRPr="00216B78">
        <w:rPr>
          <w:sz w:val="22"/>
          <w:szCs w:val="22"/>
          <w:lang w:val="lt-LT"/>
        </w:rPr>
        <w:t>).</w:t>
      </w:r>
    </w:p>
    <w:p w14:paraId="40A946A4" w14:textId="77777777" w:rsidR="007718AC" w:rsidRPr="00216B78" w:rsidRDefault="007718AC" w:rsidP="00754B96">
      <w:pPr>
        <w:pStyle w:val="Default"/>
        <w:rPr>
          <w:color w:val="auto"/>
          <w:sz w:val="22"/>
          <w:szCs w:val="22"/>
          <w:lang w:val="lt-LT"/>
        </w:rPr>
      </w:pPr>
    </w:p>
    <w:p w14:paraId="3907C876" w14:textId="77777777" w:rsidR="008E70E4" w:rsidRPr="00216B78" w:rsidRDefault="008E70E4" w:rsidP="007B277D">
      <w:pPr>
        <w:pStyle w:val="Antrat2"/>
      </w:pPr>
      <w:r w:rsidRPr="00216B78">
        <w:t xml:space="preserve">5.2 </w:t>
      </w:r>
      <w:r w:rsidR="00CC5C91" w:rsidRPr="00216B78">
        <w:tab/>
      </w:r>
      <w:r w:rsidRPr="00216B78">
        <w:t>Farmakokinetinės savybės</w:t>
      </w:r>
    </w:p>
    <w:p w14:paraId="7AA22A42" w14:textId="77777777" w:rsidR="007718AC" w:rsidRPr="00216B78" w:rsidRDefault="007718AC" w:rsidP="007B277D">
      <w:pPr>
        <w:keepNext/>
      </w:pPr>
    </w:p>
    <w:p w14:paraId="3A3C2C8C" w14:textId="77777777" w:rsidR="008E70E4" w:rsidRPr="00216B78" w:rsidRDefault="008E70E4" w:rsidP="00754B96">
      <w:pPr>
        <w:pStyle w:val="Default"/>
        <w:rPr>
          <w:sz w:val="22"/>
          <w:szCs w:val="22"/>
          <w:lang w:val="lt-LT"/>
        </w:rPr>
      </w:pPr>
      <w:r w:rsidRPr="00216B78">
        <w:rPr>
          <w:sz w:val="22"/>
          <w:szCs w:val="22"/>
          <w:lang w:val="lt-LT"/>
        </w:rPr>
        <w:t>Žmogaus fibrinogenas yra normali žmogaus plazmos sudedamoji dalis, jis veikia kaip endogeninis fibrinogenas. Fibrinogeno biologin</w:t>
      </w:r>
      <w:r w:rsidR="00E0581D" w:rsidRPr="00216B78">
        <w:rPr>
          <w:sz w:val="22"/>
          <w:szCs w:val="22"/>
          <w:lang w:val="lt-LT"/>
        </w:rPr>
        <w:t>is pusinės eliminacijos laikas</w:t>
      </w:r>
      <w:r w:rsidRPr="00216B78">
        <w:rPr>
          <w:sz w:val="22"/>
          <w:szCs w:val="22"/>
          <w:lang w:val="lt-LT"/>
        </w:rPr>
        <w:t xml:space="preserve"> plazmoje yra 3</w:t>
      </w:r>
      <w:r w:rsidRPr="00216B78">
        <w:rPr>
          <w:sz w:val="22"/>
          <w:szCs w:val="22"/>
          <w:lang w:val="lt-LT"/>
        </w:rPr>
        <w:noBreakHyphen/>
        <w:t xml:space="preserve">4 dienos. </w:t>
      </w:r>
      <w:r w:rsidR="00BE7183" w:rsidRPr="00216B78">
        <w:rPr>
          <w:sz w:val="22"/>
          <w:szCs w:val="22"/>
          <w:lang w:val="lt-LT"/>
        </w:rPr>
        <w:t>f</w:t>
      </w:r>
      <w:r w:rsidR="00324E4D" w:rsidRPr="00216B78">
        <w:rPr>
          <w:sz w:val="22"/>
          <w:szCs w:val="22"/>
          <w:lang w:val="lt-LT"/>
        </w:rPr>
        <w:t xml:space="preserve">ibryga </w:t>
      </w:r>
      <w:r w:rsidRPr="00216B78">
        <w:rPr>
          <w:sz w:val="22"/>
          <w:szCs w:val="22"/>
          <w:lang w:val="lt-LT"/>
        </w:rPr>
        <w:t>leidžiamas į veną</w:t>
      </w:r>
      <w:r w:rsidR="00556595" w:rsidRPr="00216B78">
        <w:rPr>
          <w:sz w:val="22"/>
          <w:szCs w:val="22"/>
          <w:lang w:val="lt-LT"/>
        </w:rPr>
        <w:t>, jo koncentracija plazmoje</w:t>
      </w:r>
      <w:r w:rsidRPr="00216B78">
        <w:rPr>
          <w:sz w:val="22"/>
          <w:szCs w:val="22"/>
          <w:lang w:val="lt-LT"/>
        </w:rPr>
        <w:t xml:space="preserve"> iš karto yra toki</w:t>
      </w:r>
      <w:r w:rsidR="00556595" w:rsidRPr="00216B78">
        <w:rPr>
          <w:sz w:val="22"/>
          <w:szCs w:val="22"/>
          <w:lang w:val="lt-LT"/>
        </w:rPr>
        <w:t>a</w:t>
      </w:r>
      <w:r w:rsidRPr="00216B78">
        <w:rPr>
          <w:sz w:val="22"/>
          <w:szCs w:val="22"/>
          <w:lang w:val="lt-LT"/>
        </w:rPr>
        <w:t>, kuri atitinka suleistą dozę.</w:t>
      </w:r>
    </w:p>
    <w:p w14:paraId="3185D964" w14:textId="77777777" w:rsidR="008E70E4" w:rsidRPr="00216B78" w:rsidRDefault="008E70E4" w:rsidP="00754B96">
      <w:pPr>
        <w:pStyle w:val="Default"/>
        <w:rPr>
          <w:sz w:val="22"/>
          <w:szCs w:val="22"/>
          <w:lang w:val="lt-LT"/>
        </w:rPr>
      </w:pPr>
      <w:r w:rsidRPr="00216B78">
        <w:rPr>
          <w:sz w:val="22"/>
          <w:szCs w:val="22"/>
          <w:lang w:val="lt-LT"/>
        </w:rPr>
        <w:t xml:space="preserve">Atvirajame, perspektyviniame, atsitiktinių imčių, kontroliuojamame, dviejų grupių, kryžminiame </w:t>
      </w:r>
      <w:r w:rsidR="008E2F45" w:rsidRPr="00216B78">
        <w:rPr>
          <w:sz w:val="22"/>
          <w:szCs w:val="22"/>
          <w:lang w:val="lt-LT"/>
        </w:rPr>
        <w:t>2</w:t>
      </w:r>
      <w:r w:rsidRPr="00216B78">
        <w:rPr>
          <w:sz w:val="22"/>
          <w:szCs w:val="22"/>
          <w:lang w:val="lt-LT"/>
        </w:rPr>
        <w:t xml:space="preserve"> fazės tyrime, kuriame dalyvavo 22 pacientai, kuriems yra įgimta fibrinogeno stoka (afibrinogenemija), kurių amžius buvo nuo 12 iki 53 metų (6 paaugliai, 16 suaugusiųjų), </w:t>
      </w:r>
      <w:r w:rsidR="00324E4D" w:rsidRPr="00216B78">
        <w:rPr>
          <w:color w:val="auto"/>
          <w:sz w:val="22"/>
          <w:szCs w:val="22"/>
          <w:lang w:val="lt-LT"/>
        </w:rPr>
        <w:t>fibryga</w:t>
      </w:r>
      <w:r w:rsidR="00324E4D" w:rsidRPr="00216B78" w:rsidDel="00324E4D">
        <w:rPr>
          <w:sz w:val="22"/>
          <w:szCs w:val="22"/>
          <w:lang w:val="lt-LT"/>
        </w:rPr>
        <w:t xml:space="preserve"> </w:t>
      </w:r>
      <w:r w:rsidRPr="00216B78">
        <w:rPr>
          <w:sz w:val="22"/>
          <w:szCs w:val="22"/>
          <w:lang w:val="lt-LT"/>
        </w:rPr>
        <w:t xml:space="preserve">vienkartinio vartojimo farmakokinetinės savybės buvo lyginamos su kito rinkoje esančio fibrinogeno koncentrato farmakokinetinėmis savybėmis tiems patiems pacientams (FORMA-01). Kiekvienam pacientui į veną buvo suleidžiama viena 70 mg/kg </w:t>
      </w:r>
      <w:r w:rsidR="00324E4D" w:rsidRPr="00216B78">
        <w:rPr>
          <w:color w:val="auto"/>
          <w:sz w:val="22"/>
          <w:szCs w:val="22"/>
          <w:lang w:val="lt-LT"/>
        </w:rPr>
        <w:t>fibryga</w:t>
      </w:r>
      <w:r w:rsidR="00324E4D" w:rsidRPr="00216B78" w:rsidDel="00324E4D">
        <w:rPr>
          <w:sz w:val="22"/>
          <w:szCs w:val="22"/>
          <w:lang w:val="lt-LT"/>
        </w:rPr>
        <w:t xml:space="preserve"> </w:t>
      </w:r>
      <w:r w:rsidRPr="00216B78">
        <w:rPr>
          <w:sz w:val="22"/>
          <w:szCs w:val="22"/>
          <w:lang w:val="lt-LT"/>
        </w:rPr>
        <w:t xml:space="preserve">ir lyginamojo vaistinio preparato dozė. Buvo paimti kraujo mėginiai, siekiant nustatyti fibrinogeno aktyvumą pradinio įvertinimo metu ir po infuzijos praėjus iki 14 dienų. </w:t>
      </w:r>
      <w:bookmarkStart w:id="10" w:name="_Hlk73613304"/>
      <w:r w:rsidR="00BE7183" w:rsidRPr="00216B78">
        <w:rPr>
          <w:sz w:val="22"/>
          <w:szCs w:val="22"/>
          <w:lang w:val="lt-LT"/>
        </w:rPr>
        <w:t>f</w:t>
      </w:r>
      <w:r w:rsidR="00324E4D" w:rsidRPr="00216B78">
        <w:rPr>
          <w:sz w:val="22"/>
          <w:szCs w:val="22"/>
          <w:lang w:val="lt-LT"/>
        </w:rPr>
        <w:t xml:space="preserve">ibryga </w:t>
      </w:r>
      <w:r w:rsidRPr="00216B78">
        <w:rPr>
          <w:sz w:val="22"/>
          <w:szCs w:val="22"/>
          <w:lang w:val="lt-LT"/>
        </w:rPr>
        <w:t xml:space="preserve">farmakokinetikos analizės </w:t>
      </w:r>
      <w:r w:rsidR="00556595" w:rsidRPr="00216B78">
        <w:rPr>
          <w:sz w:val="22"/>
          <w:szCs w:val="22"/>
          <w:lang w:val="lt-LT"/>
        </w:rPr>
        <w:t xml:space="preserve">pagal protokolą </w:t>
      </w:r>
      <w:r w:rsidR="00BF0FE9" w:rsidRPr="00216B78">
        <w:rPr>
          <w:sz w:val="22"/>
          <w:szCs w:val="22"/>
          <w:lang w:val="lt-LT"/>
        </w:rPr>
        <w:t xml:space="preserve">populiacijos </w:t>
      </w:r>
      <w:r w:rsidR="00556595" w:rsidRPr="00216B78">
        <w:rPr>
          <w:sz w:val="22"/>
          <w:szCs w:val="22"/>
          <w:lang w:val="lt-LT"/>
        </w:rPr>
        <w:t>(PP) (n = 21) parametrai</w:t>
      </w:r>
      <w:r w:rsidRPr="00216B78">
        <w:rPr>
          <w:sz w:val="22"/>
          <w:szCs w:val="22"/>
          <w:lang w:val="lt-LT"/>
        </w:rPr>
        <w:t xml:space="preserve"> apibendrin</w:t>
      </w:r>
      <w:r w:rsidR="00556595" w:rsidRPr="00216B78">
        <w:rPr>
          <w:sz w:val="22"/>
          <w:szCs w:val="22"/>
          <w:lang w:val="lt-LT"/>
        </w:rPr>
        <w:t>ti</w:t>
      </w:r>
      <w:r w:rsidRPr="00216B78">
        <w:rPr>
          <w:sz w:val="22"/>
          <w:szCs w:val="22"/>
          <w:lang w:val="lt-LT"/>
        </w:rPr>
        <w:t xml:space="preserve"> lentelėje toliau.</w:t>
      </w:r>
    </w:p>
    <w:bookmarkEnd w:id="10"/>
    <w:p w14:paraId="76F1A5B2" w14:textId="77777777" w:rsidR="008E70E4" w:rsidRPr="00216B78" w:rsidRDefault="008E70E4" w:rsidP="00754B96">
      <w:pPr>
        <w:pStyle w:val="Default"/>
        <w:rPr>
          <w:sz w:val="22"/>
          <w:szCs w:val="22"/>
          <w:lang w:val="lt-LT"/>
        </w:rPr>
      </w:pPr>
    </w:p>
    <w:p w14:paraId="2F6E8BBC" w14:textId="77777777" w:rsidR="008E70E4" w:rsidRPr="00216B78" w:rsidRDefault="008E70E4" w:rsidP="00DE1718">
      <w:pPr>
        <w:pStyle w:val="Antrat"/>
        <w:keepNext/>
        <w:rPr>
          <w:b/>
          <w:i w:val="0"/>
          <w:color w:val="auto"/>
          <w:sz w:val="22"/>
          <w:szCs w:val="22"/>
        </w:rPr>
      </w:pPr>
      <w:r w:rsidRPr="00216B78">
        <w:rPr>
          <w:b/>
          <w:bCs/>
          <w:i w:val="0"/>
          <w:color w:val="auto"/>
          <w:sz w:val="22"/>
          <w:szCs w:val="22"/>
        </w:rPr>
        <w:t xml:space="preserve">3 lentelė. </w:t>
      </w:r>
      <w:bookmarkStart w:id="11" w:name="_Hlk73613586"/>
      <w:r w:rsidRPr="00216B78">
        <w:rPr>
          <w:b/>
          <w:bCs/>
          <w:i w:val="0"/>
          <w:color w:val="auto"/>
          <w:sz w:val="22"/>
          <w:szCs w:val="22"/>
        </w:rPr>
        <w:t>Fibrinogeno aktyvumo farmakokinetikos parametrai (n = 21)</w:t>
      </w:r>
      <w:bookmarkEnd w:id="11"/>
      <w:r w:rsidRPr="00216B78">
        <w:rPr>
          <w:b/>
          <w:bCs/>
          <w:i w:val="0"/>
          <w:color w:val="auto"/>
          <w:sz w:val="22"/>
          <w:szCs w:val="22"/>
        </w:rPr>
        <w:t xml:space="preserve"> (PP populiacija*)</w:t>
      </w:r>
    </w:p>
    <w:tbl>
      <w:tblPr>
        <w:tblW w:w="9072" w:type="dxa"/>
        <w:tblBorders>
          <w:top w:val="single" w:sz="8" w:space="0" w:color="auto"/>
          <w:left w:val="single" w:sz="6" w:space="0" w:color="000000"/>
          <w:bottom w:val="single" w:sz="8" w:space="0" w:color="auto"/>
          <w:right w:val="single" w:sz="6" w:space="0" w:color="000000"/>
        </w:tblBorders>
        <w:tblLayout w:type="fixed"/>
        <w:tblCellMar>
          <w:left w:w="57" w:type="dxa"/>
          <w:right w:w="57" w:type="dxa"/>
        </w:tblCellMar>
        <w:tblLook w:val="0000" w:firstRow="0" w:lastRow="0" w:firstColumn="0" w:lastColumn="0" w:noHBand="0" w:noVBand="0"/>
      </w:tblPr>
      <w:tblGrid>
        <w:gridCol w:w="4026"/>
        <w:gridCol w:w="2523"/>
        <w:gridCol w:w="2523"/>
      </w:tblGrid>
      <w:tr w:rsidR="008E70E4" w:rsidRPr="00216B78" w14:paraId="15283BD9" w14:textId="77777777" w:rsidTr="00463F94">
        <w:trPr>
          <w:cantSplit/>
          <w:tblHeader/>
        </w:trPr>
        <w:tc>
          <w:tcPr>
            <w:tcW w:w="4026" w:type="dxa"/>
            <w:tcBorders>
              <w:top w:val="single" w:sz="8" w:space="0" w:color="000000"/>
              <w:bottom w:val="single" w:sz="8" w:space="0" w:color="000000"/>
              <w:right w:val="single" w:sz="6" w:space="0" w:color="000000"/>
            </w:tcBorders>
          </w:tcPr>
          <w:p w14:paraId="3EF37EB1" w14:textId="77777777" w:rsidR="008E70E4" w:rsidRPr="00216B78" w:rsidRDefault="008E70E4" w:rsidP="00463F94">
            <w:pPr>
              <w:pStyle w:val="Pagrindinistekstas2"/>
              <w:keepNext/>
              <w:spacing w:after="0" w:line="240" w:lineRule="auto"/>
              <w:rPr>
                <w:b/>
                <w:bCs/>
                <w:noProof/>
                <w:lang w:eastAsia="de-DE"/>
              </w:rPr>
            </w:pPr>
            <w:r w:rsidRPr="00216B78">
              <w:rPr>
                <w:b/>
                <w:bCs/>
                <w:noProof/>
                <w:lang w:eastAsia="de-DE"/>
              </w:rPr>
              <w:t>Parametras</w:t>
            </w:r>
          </w:p>
        </w:tc>
        <w:tc>
          <w:tcPr>
            <w:tcW w:w="2523" w:type="dxa"/>
            <w:tcBorders>
              <w:top w:val="single" w:sz="8" w:space="0" w:color="000000"/>
              <w:left w:val="single" w:sz="6" w:space="0" w:color="000000"/>
              <w:bottom w:val="single" w:sz="8" w:space="0" w:color="000000"/>
            </w:tcBorders>
          </w:tcPr>
          <w:p w14:paraId="1E502C83" w14:textId="77777777" w:rsidR="008E70E4" w:rsidRPr="00216B78" w:rsidRDefault="008E70E4" w:rsidP="00463F94">
            <w:pPr>
              <w:pStyle w:val="Pagrindinistekstas2"/>
              <w:keepNext/>
              <w:spacing w:after="0" w:line="240" w:lineRule="auto"/>
              <w:jc w:val="center"/>
              <w:rPr>
                <w:b/>
                <w:bCs/>
                <w:noProof/>
                <w:lang w:eastAsia="de-DE"/>
              </w:rPr>
            </w:pPr>
            <w:r w:rsidRPr="00216B78">
              <w:rPr>
                <w:b/>
                <w:bCs/>
                <w:noProof/>
                <w:lang w:eastAsia="de-DE"/>
              </w:rPr>
              <w:t>Vidurkis ± SN</w:t>
            </w:r>
          </w:p>
        </w:tc>
        <w:tc>
          <w:tcPr>
            <w:tcW w:w="2523" w:type="dxa"/>
            <w:tcBorders>
              <w:top w:val="single" w:sz="8" w:space="0" w:color="000000"/>
              <w:left w:val="single" w:sz="6" w:space="0" w:color="000000"/>
              <w:bottom w:val="single" w:sz="8" w:space="0" w:color="000000"/>
            </w:tcBorders>
          </w:tcPr>
          <w:p w14:paraId="04C859C3" w14:textId="77777777" w:rsidR="008E70E4" w:rsidRPr="00216B78" w:rsidRDefault="008E70E4" w:rsidP="00463F94">
            <w:pPr>
              <w:pStyle w:val="Pagrindinistekstas2"/>
              <w:keepNext/>
              <w:spacing w:after="0" w:line="240" w:lineRule="auto"/>
              <w:jc w:val="center"/>
              <w:rPr>
                <w:b/>
                <w:bCs/>
                <w:noProof/>
                <w:lang w:eastAsia="de-DE"/>
              </w:rPr>
            </w:pPr>
            <w:r w:rsidRPr="00216B78">
              <w:rPr>
                <w:b/>
                <w:bCs/>
                <w:noProof/>
                <w:lang w:eastAsia="de-DE"/>
              </w:rPr>
              <w:t>Intervalas</w:t>
            </w:r>
          </w:p>
        </w:tc>
      </w:tr>
      <w:tr w:rsidR="008E70E4" w:rsidRPr="00216B78" w14:paraId="1F3BCEE4" w14:textId="77777777" w:rsidTr="00463F94">
        <w:trPr>
          <w:cantSplit/>
        </w:trPr>
        <w:tc>
          <w:tcPr>
            <w:tcW w:w="4026" w:type="dxa"/>
            <w:tcBorders>
              <w:top w:val="single" w:sz="8" w:space="0" w:color="000000"/>
              <w:bottom w:val="single" w:sz="6" w:space="0" w:color="000000"/>
              <w:right w:val="single" w:sz="6" w:space="0" w:color="000000"/>
            </w:tcBorders>
          </w:tcPr>
          <w:p w14:paraId="438CBB8A" w14:textId="77777777" w:rsidR="008E70E4" w:rsidRPr="00216B78" w:rsidRDefault="008E70E4" w:rsidP="00754B96">
            <w:pPr>
              <w:pStyle w:val="Pagrindinistekstas2"/>
              <w:spacing w:after="0" w:line="240" w:lineRule="auto"/>
              <w:rPr>
                <w:noProof/>
                <w:lang w:eastAsia="de-DE"/>
              </w:rPr>
            </w:pPr>
            <w:r w:rsidRPr="00216B78">
              <w:rPr>
                <w:noProof/>
                <w:lang w:eastAsia="de-DE"/>
              </w:rPr>
              <w:t>Pus</w:t>
            </w:r>
            <w:r w:rsidR="00556595" w:rsidRPr="00216B78">
              <w:rPr>
                <w:noProof/>
                <w:lang w:eastAsia="de-DE"/>
              </w:rPr>
              <w:t>inės eliminacijos laikas</w:t>
            </w:r>
            <w:r w:rsidRPr="00216B78">
              <w:rPr>
                <w:noProof/>
                <w:lang w:eastAsia="de-DE"/>
              </w:rPr>
              <w:t xml:space="preserve"> [h] </w:t>
            </w:r>
          </w:p>
        </w:tc>
        <w:tc>
          <w:tcPr>
            <w:tcW w:w="2523" w:type="dxa"/>
            <w:tcBorders>
              <w:top w:val="single" w:sz="8" w:space="0" w:color="000000"/>
              <w:left w:val="single" w:sz="6" w:space="0" w:color="000000"/>
              <w:bottom w:val="single" w:sz="6" w:space="0" w:color="000000"/>
            </w:tcBorders>
          </w:tcPr>
          <w:p w14:paraId="09037075" w14:textId="77777777" w:rsidR="008E70E4" w:rsidRPr="00216B78" w:rsidRDefault="008E70E4" w:rsidP="00463F94">
            <w:pPr>
              <w:pStyle w:val="Pagrindinistekstas2"/>
              <w:spacing w:after="0" w:line="240" w:lineRule="auto"/>
              <w:jc w:val="center"/>
              <w:rPr>
                <w:noProof/>
                <w:lang w:eastAsia="de-DE"/>
              </w:rPr>
            </w:pPr>
            <w:r w:rsidRPr="00216B78">
              <w:rPr>
                <w:noProof/>
                <w:lang w:eastAsia="de-DE"/>
              </w:rPr>
              <w:t>75,9 ± 23,8</w:t>
            </w:r>
          </w:p>
        </w:tc>
        <w:tc>
          <w:tcPr>
            <w:tcW w:w="2523" w:type="dxa"/>
            <w:tcBorders>
              <w:top w:val="single" w:sz="8" w:space="0" w:color="000000"/>
              <w:left w:val="single" w:sz="6" w:space="0" w:color="000000"/>
              <w:bottom w:val="single" w:sz="6" w:space="0" w:color="000000"/>
            </w:tcBorders>
          </w:tcPr>
          <w:p w14:paraId="63FDEB61" w14:textId="77777777" w:rsidR="008E70E4" w:rsidRPr="00216B78" w:rsidRDefault="008E70E4" w:rsidP="00463F94">
            <w:pPr>
              <w:pStyle w:val="Pagrindinistekstas2"/>
              <w:spacing w:after="0" w:line="240" w:lineRule="auto"/>
              <w:jc w:val="center"/>
              <w:rPr>
                <w:noProof/>
                <w:lang w:eastAsia="de-DE"/>
              </w:rPr>
            </w:pPr>
            <w:r w:rsidRPr="00216B78">
              <w:rPr>
                <w:noProof/>
                <w:lang w:eastAsia="de-DE"/>
              </w:rPr>
              <w:t>40,0–157,0</w:t>
            </w:r>
          </w:p>
        </w:tc>
      </w:tr>
      <w:tr w:rsidR="008E70E4" w:rsidRPr="00216B78" w14:paraId="4523A920" w14:textId="77777777" w:rsidTr="00463F94">
        <w:trPr>
          <w:cantSplit/>
        </w:trPr>
        <w:tc>
          <w:tcPr>
            <w:tcW w:w="4026" w:type="dxa"/>
            <w:tcBorders>
              <w:top w:val="single" w:sz="6" w:space="0" w:color="000000"/>
              <w:bottom w:val="single" w:sz="6" w:space="0" w:color="000000"/>
              <w:right w:val="single" w:sz="6" w:space="0" w:color="000000"/>
            </w:tcBorders>
          </w:tcPr>
          <w:p w14:paraId="547CD4D2" w14:textId="77777777" w:rsidR="008E70E4" w:rsidRPr="00216B78" w:rsidRDefault="008E70E4" w:rsidP="00754B96">
            <w:pPr>
              <w:pStyle w:val="Pagrindinistekstas2"/>
              <w:spacing w:after="0" w:line="240" w:lineRule="auto"/>
              <w:rPr>
                <w:noProof/>
                <w:lang w:eastAsia="de-DE"/>
              </w:rPr>
            </w:pPr>
            <w:r w:rsidRPr="00216B78">
              <w:rPr>
                <w:noProof/>
                <w:lang w:eastAsia="de-DE"/>
              </w:rPr>
              <w:t>C</w:t>
            </w:r>
            <w:r w:rsidRPr="00216B78">
              <w:rPr>
                <w:noProof/>
                <w:vertAlign w:val="subscript"/>
                <w:lang w:eastAsia="de-DE"/>
              </w:rPr>
              <w:t>max</w:t>
            </w:r>
            <w:r w:rsidRPr="00216B78">
              <w:rPr>
                <w:noProof/>
                <w:lang w:eastAsia="de-DE"/>
              </w:rPr>
              <w:t xml:space="preserve"> [mg/dl] </w:t>
            </w:r>
          </w:p>
        </w:tc>
        <w:tc>
          <w:tcPr>
            <w:tcW w:w="2523" w:type="dxa"/>
            <w:tcBorders>
              <w:top w:val="single" w:sz="6" w:space="0" w:color="000000"/>
              <w:left w:val="single" w:sz="6" w:space="0" w:color="000000"/>
              <w:bottom w:val="single" w:sz="6" w:space="0" w:color="000000"/>
            </w:tcBorders>
          </w:tcPr>
          <w:p w14:paraId="53FD6DE1" w14:textId="77777777" w:rsidR="008E70E4" w:rsidRPr="00216B78" w:rsidRDefault="008E70E4" w:rsidP="00463F94">
            <w:pPr>
              <w:pStyle w:val="Pagrindinistekstas2"/>
              <w:spacing w:after="0" w:line="240" w:lineRule="auto"/>
              <w:jc w:val="center"/>
              <w:rPr>
                <w:noProof/>
                <w:lang w:eastAsia="de-DE"/>
              </w:rPr>
            </w:pPr>
            <w:r w:rsidRPr="00216B78">
              <w:rPr>
                <w:noProof/>
                <w:lang w:eastAsia="de-DE"/>
              </w:rPr>
              <w:t>139,0 ± 36,9</w:t>
            </w:r>
          </w:p>
        </w:tc>
        <w:tc>
          <w:tcPr>
            <w:tcW w:w="2523" w:type="dxa"/>
            <w:tcBorders>
              <w:top w:val="single" w:sz="6" w:space="0" w:color="000000"/>
              <w:left w:val="single" w:sz="6" w:space="0" w:color="000000"/>
              <w:bottom w:val="single" w:sz="6" w:space="0" w:color="000000"/>
            </w:tcBorders>
          </w:tcPr>
          <w:p w14:paraId="3C6D38AA" w14:textId="77777777" w:rsidR="008E70E4" w:rsidRPr="00216B78" w:rsidRDefault="008E70E4" w:rsidP="00463F94">
            <w:pPr>
              <w:pStyle w:val="Pagrindinistekstas2"/>
              <w:spacing w:after="0" w:line="240" w:lineRule="auto"/>
              <w:jc w:val="center"/>
              <w:rPr>
                <w:noProof/>
                <w:lang w:eastAsia="de-DE"/>
              </w:rPr>
            </w:pPr>
            <w:r w:rsidRPr="00216B78">
              <w:rPr>
                <w:noProof/>
                <w:lang w:eastAsia="de-DE"/>
              </w:rPr>
              <w:t>83,0–216,0</w:t>
            </w:r>
          </w:p>
        </w:tc>
      </w:tr>
      <w:tr w:rsidR="008E70E4" w:rsidRPr="00216B78" w14:paraId="2962326F" w14:textId="77777777" w:rsidTr="00463F94">
        <w:trPr>
          <w:cantSplit/>
        </w:trPr>
        <w:tc>
          <w:tcPr>
            <w:tcW w:w="4026" w:type="dxa"/>
            <w:tcBorders>
              <w:top w:val="single" w:sz="6" w:space="0" w:color="000000"/>
              <w:bottom w:val="single" w:sz="6" w:space="0" w:color="000000"/>
              <w:right w:val="single" w:sz="6" w:space="0" w:color="000000"/>
            </w:tcBorders>
          </w:tcPr>
          <w:p w14:paraId="041C0287" w14:textId="77777777" w:rsidR="008E70E4" w:rsidRPr="00216B78" w:rsidRDefault="008E70E4" w:rsidP="00754B96">
            <w:pPr>
              <w:pStyle w:val="Table"/>
              <w:spacing w:before="0" w:after="0"/>
              <w:jc w:val="left"/>
              <w:rPr>
                <w:rFonts w:ascii="Times New Roman" w:hAnsi="Times New Roman" w:cs="Times New Roman"/>
                <w:sz w:val="22"/>
                <w:szCs w:val="22"/>
                <w:lang w:val="lt-LT"/>
              </w:rPr>
            </w:pPr>
            <w:r w:rsidRPr="00216B78">
              <w:rPr>
                <w:rFonts w:ascii="Times New Roman" w:hAnsi="Times New Roman" w:cs="Times New Roman"/>
                <w:sz w:val="22"/>
                <w:szCs w:val="22"/>
                <w:lang w:val="lt-LT"/>
              </w:rPr>
              <w:t>AUC</w:t>
            </w:r>
            <w:r w:rsidRPr="00216B78">
              <w:rPr>
                <w:rFonts w:ascii="Times New Roman" w:hAnsi="Times New Roman" w:cs="Times New Roman"/>
                <w:sz w:val="22"/>
                <w:szCs w:val="22"/>
                <w:vertAlign w:val="subscript"/>
                <w:lang w:val="lt-LT"/>
              </w:rPr>
              <w:t>norm</w:t>
            </w:r>
            <w:r w:rsidRPr="00216B78">
              <w:rPr>
                <w:rFonts w:ascii="Times New Roman" w:hAnsi="Times New Roman" w:cs="Times New Roman"/>
                <w:sz w:val="22"/>
                <w:szCs w:val="22"/>
                <w:lang w:val="lt-LT"/>
              </w:rPr>
              <w:t xml:space="preserve"> vartojant 70 mg/kg [mg*h/ml] </w:t>
            </w:r>
          </w:p>
        </w:tc>
        <w:tc>
          <w:tcPr>
            <w:tcW w:w="2523" w:type="dxa"/>
            <w:tcBorders>
              <w:top w:val="single" w:sz="6" w:space="0" w:color="000000"/>
              <w:left w:val="single" w:sz="6" w:space="0" w:color="000000"/>
              <w:bottom w:val="single" w:sz="6" w:space="0" w:color="000000"/>
            </w:tcBorders>
          </w:tcPr>
          <w:p w14:paraId="4199969C" w14:textId="77777777" w:rsidR="008E70E4" w:rsidRPr="00216B78" w:rsidRDefault="008E70E4" w:rsidP="00463F94">
            <w:pPr>
              <w:pStyle w:val="Pagrindinistekstas2"/>
              <w:spacing w:after="0" w:line="240" w:lineRule="auto"/>
              <w:jc w:val="center"/>
              <w:rPr>
                <w:noProof/>
                <w:lang w:eastAsia="de-DE"/>
              </w:rPr>
            </w:pPr>
            <w:r w:rsidRPr="00216B78">
              <w:rPr>
                <w:noProof/>
                <w:lang w:eastAsia="de-DE"/>
              </w:rPr>
              <w:t>113,7 ± 31,5</w:t>
            </w:r>
          </w:p>
        </w:tc>
        <w:tc>
          <w:tcPr>
            <w:tcW w:w="2523" w:type="dxa"/>
            <w:tcBorders>
              <w:top w:val="single" w:sz="6" w:space="0" w:color="000000"/>
              <w:left w:val="single" w:sz="6" w:space="0" w:color="000000"/>
              <w:bottom w:val="single" w:sz="6" w:space="0" w:color="000000"/>
            </w:tcBorders>
          </w:tcPr>
          <w:p w14:paraId="3C33C6E6" w14:textId="77777777" w:rsidR="008E70E4" w:rsidRPr="00216B78" w:rsidRDefault="008E70E4" w:rsidP="00463F94">
            <w:pPr>
              <w:pStyle w:val="Pagrindinistekstas2"/>
              <w:spacing w:after="0" w:line="240" w:lineRule="auto"/>
              <w:jc w:val="center"/>
              <w:rPr>
                <w:noProof/>
                <w:lang w:eastAsia="de-DE"/>
              </w:rPr>
            </w:pPr>
            <w:r w:rsidRPr="00216B78">
              <w:rPr>
                <w:noProof/>
                <w:lang w:eastAsia="de-DE"/>
              </w:rPr>
              <w:t>59,7–175,5</w:t>
            </w:r>
          </w:p>
        </w:tc>
      </w:tr>
      <w:tr w:rsidR="008E70E4" w:rsidRPr="00216B78" w14:paraId="0D7A2852" w14:textId="77777777" w:rsidTr="00463F94">
        <w:trPr>
          <w:cantSplit/>
        </w:trPr>
        <w:tc>
          <w:tcPr>
            <w:tcW w:w="4026" w:type="dxa"/>
            <w:tcBorders>
              <w:top w:val="single" w:sz="6" w:space="0" w:color="000000"/>
              <w:bottom w:val="single" w:sz="6" w:space="0" w:color="000000"/>
              <w:right w:val="single" w:sz="6" w:space="0" w:color="000000"/>
            </w:tcBorders>
          </w:tcPr>
          <w:p w14:paraId="37358DBD" w14:textId="77777777" w:rsidR="008E70E4" w:rsidRPr="00216B78" w:rsidRDefault="008E70E4" w:rsidP="00754B96">
            <w:pPr>
              <w:pStyle w:val="Pagrindinistekstas2"/>
              <w:spacing w:after="0" w:line="240" w:lineRule="auto"/>
              <w:rPr>
                <w:noProof/>
                <w:lang w:eastAsia="de-DE"/>
              </w:rPr>
            </w:pPr>
            <w:r w:rsidRPr="00216B78">
              <w:rPr>
                <w:noProof/>
                <w:lang w:eastAsia="de-DE"/>
              </w:rPr>
              <w:t xml:space="preserve">Klirensas [ml/h/kg] </w:t>
            </w:r>
          </w:p>
        </w:tc>
        <w:tc>
          <w:tcPr>
            <w:tcW w:w="2523" w:type="dxa"/>
            <w:tcBorders>
              <w:top w:val="single" w:sz="6" w:space="0" w:color="000000"/>
              <w:left w:val="single" w:sz="6" w:space="0" w:color="000000"/>
              <w:bottom w:val="single" w:sz="6" w:space="0" w:color="000000"/>
            </w:tcBorders>
          </w:tcPr>
          <w:p w14:paraId="1C8B5518" w14:textId="77777777" w:rsidR="008E70E4" w:rsidRPr="00216B78" w:rsidRDefault="008E70E4" w:rsidP="00463F94">
            <w:pPr>
              <w:pStyle w:val="Pagrindinistekstas2"/>
              <w:spacing w:after="0" w:line="240" w:lineRule="auto"/>
              <w:jc w:val="center"/>
              <w:rPr>
                <w:noProof/>
                <w:lang w:eastAsia="de-DE"/>
              </w:rPr>
            </w:pPr>
            <w:r w:rsidRPr="00216B78">
              <w:rPr>
                <w:noProof/>
                <w:lang w:eastAsia="de-DE"/>
              </w:rPr>
              <w:t>0,67 ± 0,2</w:t>
            </w:r>
          </w:p>
        </w:tc>
        <w:tc>
          <w:tcPr>
            <w:tcW w:w="2523" w:type="dxa"/>
            <w:tcBorders>
              <w:top w:val="single" w:sz="6" w:space="0" w:color="000000"/>
              <w:left w:val="single" w:sz="6" w:space="0" w:color="000000"/>
              <w:bottom w:val="single" w:sz="6" w:space="0" w:color="000000"/>
            </w:tcBorders>
          </w:tcPr>
          <w:p w14:paraId="284C2D7F" w14:textId="77777777" w:rsidR="008E70E4" w:rsidRPr="00216B78" w:rsidRDefault="008E70E4" w:rsidP="00463F94">
            <w:pPr>
              <w:pStyle w:val="Pagrindinistekstas2"/>
              <w:spacing w:after="0" w:line="240" w:lineRule="auto"/>
              <w:jc w:val="center"/>
              <w:rPr>
                <w:noProof/>
                <w:lang w:eastAsia="de-DE"/>
              </w:rPr>
            </w:pPr>
            <w:r w:rsidRPr="00216B78">
              <w:rPr>
                <w:noProof/>
                <w:lang w:eastAsia="de-DE"/>
              </w:rPr>
              <w:t>0,4–1,2</w:t>
            </w:r>
          </w:p>
        </w:tc>
      </w:tr>
      <w:tr w:rsidR="008E70E4" w:rsidRPr="00216B78" w14:paraId="28A78FEC" w14:textId="77777777" w:rsidTr="00463F94">
        <w:trPr>
          <w:cantSplit/>
        </w:trPr>
        <w:tc>
          <w:tcPr>
            <w:tcW w:w="4026" w:type="dxa"/>
            <w:tcBorders>
              <w:top w:val="single" w:sz="6" w:space="0" w:color="000000"/>
              <w:bottom w:val="single" w:sz="6" w:space="0" w:color="000000"/>
              <w:right w:val="single" w:sz="6" w:space="0" w:color="000000"/>
            </w:tcBorders>
          </w:tcPr>
          <w:p w14:paraId="22699AB2" w14:textId="77777777" w:rsidR="008E70E4" w:rsidRPr="00216B78" w:rsidRDefault="008E70E4" w:rsidP="00754B96">
            <w:pPr>
              <w:pStyle w:val="Pagrindinistekstas2"/>
              <w:spacing w:after="0" w:line="240" w:lineRule="auto"/>
              <w:rPr>
                <w:noProof/>
                <w:lang w:eastAsia="de-DE"/>
              </w:rPr>
            </w:pPr>
            <w:r w:rsidRPr="00216B78">
              <w:rPr>
                <w:noProof/>
                <w:lang w:eastAsia="de-DE"/>
              </w:rPr>
              <w:t xml:space="preserve">Vidutinė buvimo trukmė [h] </w:t>
            </w:r>
          </w:p>
        </w:tc>
        <w:tc>
          <w:tcPr>
            <w:tcW w:w="2523" w:type="dxa"/>
            <w:tcBorders>
              <w:top w:val="single" w:sz="6" w:space="0" w:color="000000"/>
              <w:left w:val="single" w:sz="6" w:space="0" w:color="000000"/>
              <w:bottom w:val="single" w:sz="6" w:space="0" w:color="000000"/>
            </w:tcBorders>
          </w:tcPr>
          <w:p w14:paraId="48606E63" w14:textId="77777777" w:rsidR="008E70E4" w:rsidRPr="00216B78" w:rsidRDefault="008E70E4" w:rsidP="00463F94">
            <w:pPr>
              <w:pStyle w:val="Pagrindinistekstas2"/>
              <w:spacing w:after="0" w:line="240" w:lineRule="auto"/>
              <w:jc w:val="center"/>
              <w:rPr>
                <w:noProof/>
                <w:lang w:eastAsia="de-DE"/>
              </w:rPr>
            </w:pPr>
            <w:r w:rsidRPr="00216B78">
              <w:rPr>
                <w:noProof/>
                <w:lang w:eastAsia="de-DE"/>
              </w:rPr>
              <w:t>106,3 ± 30,9</w:t>
            </w:r>
          </w:p>
        </w:tc>
        <w:tc>
          <w:tcPr>
            <w:tcW w:w="2523" w:type="dxa"/>
            <w:tcBorders>
              <w:top w:val="single" w:sz="6" w:space="0" w:color="000000"/>
              <w:left w:val="single" w:sz="6" w:space="0" w:color="000000"/>
              <w:bottom w:val="single" w:sz="6" w:space="0" w:color="000000"/>
            </w:tcBorders>
          </w:tcPr>
          <w:p w14:paraId="3677AFFF" w14:textId="77777777" w:rsidR="008E70E4" w:rsidRPr="00216B78" w:rsidRDefault="008E70E4" w:rsidP="00463F94">
            <w:pPr>
              <w:pStyle w:val="Pagrindinistekstas2"/>
              <w:spacing w:after="0" w:line="240" w:lineRule="auto"/>
              <w:jc w:val="center"/>
              <w:rPr>
                <w:noProof/>
                <w:lang w:eastAsia="de-DE"/>
              </w:rPr>
            </w:pPr>
            <w:r w:rsidRPr="00216B78">
              <w:rPr>
                <w:noProof/>
                <w:lang w:eastAsia="de-DE"/>
              </w:rPr>
              <w:t>58,7–205,5</w:t>
            </w:r>
          </w:p>
        </w:tc>
      </w:tr>
      <w:tr w:rsidR="008E70E4" w:rsidRPr="00216B78" w14:paraId="1E3B4812" w14:textId="77777777" w:rsidTr="00463F94">
        <w:trPr>
          <w:cantSplit/>
        </w:trPr>
        <w:tc>
          <w:tcPr>
            <w:tcW w:w="4026" w:type="dxa"/>
            <w:tcBorders>
              <w:top w:val="single" w:sz="6" w:space="0" w:color="000000"/>
              <w:bottom w:val="single" w:sz="8" w:space="0" w:color="000000"/>
              <w:right w:val="single" w:sz="6" w:space="0" w:color="000000"/>
            </w:tcBorders>
          </w:tcPr>
          <w:p w14:paraId="3F4912BF" w14:textId="77777777" w:rsidR="008E70E4" w:rsidRPr="00216B78" w:rsidRDefault="008E70E4" w:rsidP="00754B96">
            <w:pPr>
              <w:pStyle w:val="Pagrindinistekstas2"/>
              <w:spacing w:after="0" w:line="240" w:lineRule="auto"/>
              <w:rPr>
                <w:noProof/>
                <w:lang w:eastAsia="de-DE"/>
              </w:rPr>
            </w:pPr>
            <w:r w:rsidRPr="00216B78">
              <w:rPr>
                <w:noProof/>
                <w:lang w:eastAsia="de-DE"/>
              </w:rPr>
              <w:t xml:space="preserve">Pasiskirstymo tūris esant nuostoviajai koncentracijai [ml/kg] </w:t>
            </w:r>
          </w:p>
        </w:tc>
        <w:tc>
          <w:tcPr>
            <w:tcW w:w="2523" w:type="dxa"/>
            <w:tcBorders>
              <w:top w:val="single" w:sz="6" w:space="0" w:color="000000"/>
              <w:left w:val="single" w:sz="6" w:space="0" w:color="000000"/>
              <w:bottom w:val="single" w:sz="8" w:space="0" w:color="000000"/>
            </w:tcBorders>
          </w:tcPr>
          <w:p w14:paraId="71610432" w14:textId="77777777" w:rsidR="008E70E4" w:rsidRPr="00216B78" w:rsidRDefault="008E70E4" w:rsidP="00463F94">
            <w:pPr>
              <w:pStyle w:val="Pagrindinistekstas2"/>
              <w:spacing w:after="0" w:line="240" w:lineRule="auto"/>
              <w:jc w:val="center"/>
              <w:rPr>
                <w:noProof/>
                <w:lang w:eastAsia="de-DE"/>
              </w:rPr>
            </w:pPr>
            <w:r w:rsidRPr="00216B78">
              <w:rPr>
                <w:noProof/>
                <w:lang w:eastAsia="de-DE"/>
              </w:rPr>
              <w:t>70,2 ± 29,9</w:t>
            </w:r>
          </w:p>
        </w:tc>
        <w:tc>
          <w:tcPr>
            <w:tcW w:w="2523" w:type="dxa"/>
            <w:tcBorders>
              <w:top w:val="single" w:sz="6" w:space="0" w:color="000000"/>
              <w:left w:val="single" w:sz="6" w:space="0" w:color="000000"/>
              <w:bottom w:val="single" w:sz="8" w:space="0" w:color="000000"/>
            </w:tcBorders>
          </w:tcPr>
          <w:p w14:paraId="31EAF810" w14:textId="77777777" w:rsidR="008E70E4" w:rsidRPr="00216B78" w:rsidRDefault="008E70E4" w:rsidP="00463F94">
            <w:pPr>
              <w:pStyle w:val="Pagrindinistekstas2"/>
              <w:spacing w:after="0" w:line="240" w:lineRule="auto"/>
              <w:jc w:val="center"/>
              <w:rPr>
                <w:noProof/>
                <w:lang w:eastAsia="de-DE"/>
              </w:rPr>
            </w:pPr>
            <w:r w:rsidRPr="00216B78">
              <w:rPr>
                <w:noProof/>
                <w:lang w:eastAsia="de-DE"/>
              </w:rPr>
              <w:t>36,9–149,1</w:t>
            </w:r>
          </w:p>
        </w:tc>
      </w:tr>
    </w:tbl>
    <w:p w14:paraId="63488E3D" w14:textId="77777777" w:rsidR="008E70E4" w:rsidRPr="00216B78" w:rsidRDefault="008E70E4" w:rsidP="00754B96">
      <w:pPr>
        <w:pStyle w:val="Tablefootnote"/>
        <w:spacing w:before="0" w:after="0"/>
        <w:jc w:val="left"/>
        <w:rPr>
          <w:rFonts w:ascii="Times New Roman" w:hAnsi="Times New Roman" w:cs="Times New Roman"/>
          <w:sz w:val="20"/>
          <w:szCs w:val="20"/>
          <w:lang w:val="lt-LT"/>
        </w:rPr>
      </w:pPr>
      <w:r w:rsidRPr="00216B78">
        <w:rPr>
          <w:rFonts w:ascii="Times New Roman" w:hAnsi="Times New Roman" w:cs="Times New Roman"/>
          <w:sz w:val="22"/>
          <w:szCs w:val="22"/>
          <w:lang w:val="lt-LT"/>
        </w:rPr>
        <w:t>*</w:t>
      </w:r>
      <w:r w:rsidRPr="00216B78">
        <w:rPr>
          <w:rFonts w:ascii="Times New Roman" w:hAnsi="Times New Roman" w:cs="Times New Roman"/>
          <w:sz w:val="20"/>
          <w:szCs w:val="20"/>
          <w:lang w:val="lt-LT"/>
        </w:rPr>
        <w:t xml:space="preserve">Vienas pacientas pašalintas iš PP populiacijos dėl &lt; 90 % planuotos </w:t>
      </w:r>
      <w:r w:rsidR="00324E4D" w:rsidRPr="00216B78">
        <w:rPr>
          <w:rFonts w:ascii="Times New Roman" w:hAnsi="Times New Roman" w:cs="Times New Roman"/>
          <w:sz w:val="20"/>
          <w:szCs w:val="20"/>
          <w:lang w:val="lt-LT"/>
        </w:rPr>
        <w:t xml:space="preserve">fibryga </w:t>
      </w:r>
      <w:r w:rsidRPr="00216B78">
        <w:rPr>
          <w:rFonts w:ascii="Times New Roman" w:hAnsi="Times New Roman" w:cs="Times New Roman"/>
          <w:sz w:val="20"/>
          <w:szCs w:val="20"/>
          <w:lang w:val="lt-LT"/>
        </w:rPr>
        <w:t>dozės ir lyginamojo preparato dozės vartojimo</w:t>
      </w:r>
    </w:p>
    <w:p w14:paraId="7185A0BC" w14:textId="77777777" w:rsidR="008E70E4" w:rsidRPr="00216B78" w:rsidRDefault="008E70E4" w:rsidP="00754B96">
      <w:pPr>
        <w:pStyle w:val="Tablefootnote"/>
        <w:spacing w:before="0" w:after="0"/>
        <w:jc w:val="left"/>
        <w:rPr>
          <w:rFonts w:ascii="Times New Roman" w:hAnsi="Times New Roman" w:cs="Times New Roman"/>
          <w:sz w:val="20"/>
          <w:szCs w:val="20"/>
          <w:lang w:val="lt-LT"/>
        </w:rPr>
      </w:pPr>
      <w:r w:rsidRPr="00216B78">
        <w:rPr>
          <w:rFonts w:ascii="Times New Roman" w:hAnsi="Times New Roman" w:cs="Times New Roman"/>
          <w:sz w:val="20"/>
          <w:szCs w:val="20"/>
          <w:lang w:val="lt-LT"/>
        </w:rPr>
        <w:t>C</w:t>
      </w:r>
      <w:r w:rsidRPr="00216B78">
        <w:rPr>
          <w:rFonts w:ascii="Times New Roman" w:hAnsi="Times New Roman" w:cs="Times New Roman"/>
          <w:sz w:val="20"/>
          <w:szCs w:val="20"/>
          <w:vertAlign w:val="subscript"/>
          <w:lang w:val="lt-LT"/>
        </w:rPr>
        <w:t>max</w:t>
      </w:r>
      <w:r w:rsidRPr="00216B78">
        <w:rPr>
          <w:rFonts w:ascii="Times New Roman" w:hAnsi="Times New Roman" w:cs="Times New Roman"/>
          <w:sz w:val="20"/>
          <w:szCs w:val="20"/>
          <w:lang w:val="lt-LT"/>
        </w:rPr>
        <w:t xml:space="preserve"> = didžiausia koncentracija plazmoje; AUC</w:t>
      </w:r>
      <w:r w:rsidRPr="00216B78">
        <w:rPr>
          <w:rFonts w:ascii="Times New Roman" w:hAnsi="Times New Roman" w:cs="Times New Roman"/>
          <w:sz w:val="20"/>
          <w:szCs w:val="20"/>
          <w:vertAlign w:val="subscript"/>
          <w:lang w:val="lt-LT"/>
        </w:rPr>
        <w:t>norm</w:t>
      </w:r>
      <w:r w:rsidRPr="00216B78">
        <w:rPr>
          <w:rFonts w:ascii="Times New Roman" w:hAnsi="Times New Roman" w:cs="Times New Roman"/>
          <w:sz w:val="20"/>
          <w:szCs w:val="20"/>
          <w:lang w:val="lt-LT"/>
        </w:rPr>
        <w:t xml:space="preserve"> = </w:t>
      </w:r>
      <w:bookmarkStart w:id="12" w:name="_Hlk73615150"/>
      <w:r w:rsidRPr="00216B78">
        <w:rPr>
          <w:rFonts w:ascii="Times New Roman" w:hAnsi="Times New Roman" w:cs="Times New Roman"/>
          <w:sz w:val="20"/>
          <w:szCs w:val="20"/>
          <w:lang w:val="lt-LT"/>
        </w:rPr>
        <w:t>plotas po kreive, normalizuotas iki vartotos dozės</w:t>
      </w:r>
      <w:bookmarkEnd w:id="12"/>
      <w:r w:rsidRPr="00216B78">
        <w:rPr>
          <w:rFonts w:ascii="Times New Roman" w:hAnsi="Times New Roman" w:cs="Times New Roman"/>
          <w:sz w:val="20"/>
          <w:szCs w:val="20"/>
          <w:lang w:val="lt-LT"/>
        </w:rPr>
        <w:t>; SN = standartinis nuokrypis</w:t>
      </w:r>
    </w:p>
    <w:p w14:paraId="2E743FB0" w14:textId="77777777" w:rsidR="007718AC" w:rsidRPr="00216B78" w:rsidRDefault="007718AC" w:rsidP="00754B96">
      <w:pPr>
        <w:pStyle w:val="Default"/>
        <w:rPr>
          <w:sz w:val="22"/>
          <w:szCs w:val="22"/>
          <w:lang w:val="lt-LT"/>
        </w:rPr>
      </w:pPr>
    </w:p>
    <w:p w14:paraId="3CBC1249" w14:textId="77777777" w:rsidR="008E70E4" w:rsidRPr="00216B78" w:rsidRDefault="008E70E4" w:rsidP="00754B96">
      <w:pPr>
        <w:pStyle w:val="Default"/>
        <w:rPr>
          <w:sz w:val="22"/>
          <w:szCs w:val="22"/>
          <w:lang w:val="lt-LT"/>
        </w:rPr>
      </w:pPr>
      <w:r w:rsidRPr="00216B78">
        <w:rPr>
          <w:sz w:val="22"/>
          <w:szCs w:val="22"/>
          <w:lang w:val="lt-LT"/>
        </w:rPr>
        <w:t xml:space="preserve">Palaipsnis atsikūrimas </w:t>
      </w:r>
      <w:r w:rsidRPr="00216B78">
        <w:rPr>
          <w:i/>
          <w:iCs/>
          <w:sz w:val="22"/>
          <w:szCs w:val="22"/>
          <w:lang w:val="lt-LT"/>
        </w:rPr>
        <w:t>in vivo</w:t>
      </w:r>
      <w:r w:rsidRPr="00216B78">
        <w:rPr>
          <w:sz w:val="22"/>
          <w:szCs w:val="22"/>
          <w:lang w:val="lt-LT"/>
        </w:rPr>
        <w:t xml:space="preserve"> (angl. </w:t>
      </w:r>
      <w:r w:rsidRPr="00216B78">
        <w:rPr>
          <w:i/>
          <w:iCs/>
          <w:sz w:val="22"/>
          <w:szCs w:val="22"/>
          <w:lang w:val="lt-LT"/>
        </w:rPr>
        <w:t>in vivo recovery</w:t>
      </w:r>
      <w:r w:rsidRPr="00216B78">
        <w:rPr>
          <w:sz w:val="22"/>
          <w:szCs w:val="22"/>
          <w:lang w:val="lt-LT"/>
        </w:rPr>
        <w:t>, IVR) nustatytas, remiantis koncentracijomis, aptiktomis praėjus iki 4 valandų po infuzijos. Palaipsnio IVR mediana buvo 1,8 mg/dl (intervalas 1,08–2,62 mg/dl) padidėjimas vienam mg/kg. IVR mediana rodo, kad 70 mg/kg dozė padidins paciento fibrinogeno koncentraciją plazmoje maždaug 125 mg/dl.</w:t>
      </w:r>
    </w:p>
    <w:p w14:paraId="16166213" w14:textId="77777777" w:rsidR="007718AC" w:rsidRPr="00216B78" w:rsidRDefault="007718AC" w:rsidP="00754B96">
      <w:pPr>
        <w:pStyle w:val="Default"/>
        <w:rPr>
          <w:sz w:val="22"/>
          <w:szCs w:val="22"/>
          <w:u w:val="single"/>
          <w:lang w:val="lt-LT"/>
        </w:rPr>
      </w:pPr>
    </w:p>
    <w:p w14:paraId="73BD276D" w14:textId="77777777" w:rsidR="008E70E4" w:rsidRPr="00216B78" w:rsidRDefault="008E70E4" w:rsidP="00754B96">
      <w:pPr>
        <w:pStyle w:val="Default"/>
        <w:rPr>
          <w:sz w:val="22"/>
          <w:szCs w:val="22"/>
          <w:u w:val="single"/>
          <w:lang w:val="lt-LT"/>
        </w:rPr>
      </w:pPr>
      <w:r w:rsidRPr="00216B78">
        <w:rPr>
          <w:sz w:val="22"/>
          <w:szCs w:val="22"/>
          <w:u w:val="single"/>
          <w:lang w:val="lt-LT"/>
        </w:rPr>
        <w:lastRenderedPageBreak/>
        <w:t>Farmakokinetika ypatingoms populiacijoms</w:t>
      </w:r>
    </w:p>
    <w:p w14:paraId="3A9E671A" w14:textId="77777777" w:rsidR="008E70E4" w:rsidRPr="00216B78" w:rsidRDefault="008E70E4" w:rsidP="00754B96">
      <w:pPr>
        <w:pStyle w:val="Default"/>
        <w:rPr>
          <w:sz w:val="22"/>
          <w:szCs w:val="22"/>
          <w:lang w:val="lt-LT"/>
        </w:rPr>
      </w:pPr>
      <w:r w:rsidRPr="00216B78">
        <w:rPr>
          <w:sz w:val="22"/>
          <w:szCs w:val="22"/>
          <w:lang w:val="lt-LT"/>
        </w:rPr>
        <w:t xml:space="preserve">Statistiškai reikšmingo fibrinogeno aktyvumo skirtumo tarp tyrime dalyvavusių vyrų ir moterų nenustatyta. </w:t>
      </w:r>
    </w:p>
    <w:p w14:paraId="69E61680" w14:textId="77777777" w:rsidR="007718AC" w:rsidRPr="00216B78" w:rsidRDefault="007718AC" w:rsidP="00754B96">
      <w:pPr>
        <w:pStyle w:val="Default"/>
        <w:rPr>
          <w:sz w:val="22"/>
          <w:szCs w:val="22"/>
          <w:u w:val="single"/>
          <w:lang w:val="lt-LT"/>
        </w:rPr>
      </w:pPr>
    </w:p>
    <w:p w14:paraId="3AFA2656" w14:textId="77777777" w:rsidR="008E70E4" w:rsidRPr="00216B78" w:rsidRDefault="008E70E4" w:rsidP="00754B96">
      <w:pPr>
        <w:pStyle w:val="Default"/>
        <w:rPr>
          <w:sz w:val="22"/>
          <w:szCs w:val="22"/>
          <w:u w:val="single"/>
          <w:lang w:val="lt-LT"/>
        </w:rPr>
      </w:pPr>
      <w:r w:rsidRPr="00216B78">
        <w:rPr>
          <w:sz w:val="22"/>
          <w:szCs w:val="22"/>
          <w:u w:val="single"/>
          <w:lang w:val="lt-LT"/>
        </w:rPr>
        <w:t>Vaikų populiacija</w:t>
      </w:r>
    </w:p>
    <w:p w14:paraId="299D720F" w14:textId="77777777" w:rsidR="008E2F45" w:rsidRPr="00216B78" w:rsidRDefault="008E2F45" w:rsidP="00754B96">
      <w:pPr>
        <w:pStyle w:val="Default"/>
        <w:rPr>
          <w:sz w:val="22"/>
          <w:szCs w:val="22"/>
          <w:lang w:val="lt-LT"/>
        </w:rPr>
      </w:pPr>
      <w:r w:rsidRPr="00216B78">
        <w:rPr>
          <w:sz w:val="22"/>
          <w:szCs w:val="22"/>
          <w:lang w:val="lt-LT"/>
        </w:rPr>
        <w:t xml:space="preserve">Paauglių nuo 12 iki 18 metų farmakokinetikos duomenys gauti iš tyrimo FORMA-02. </w:t>
      </w:r>
    </w:p>
    <w:p w14:paraId="182D6180" w14:textId="77777777" w:rsidR="008E70E4" w:rsidRPr="00216B78" w:rsidRDefault="007474DB" w:rsidP="00754B96">
      <w:pPr>
        <w:pStyle w:val="Default"/>
        <w:rPr>
          <w:sz w:val="22"/>
          <w:szCs w:val="22"/>
          <w:lang w:val="lt-LT"/>
        </w:rPr>
      </w:pPr>
      <w:r w:rsidRPr="00216B78">
        <w:rPr>
          <w:sz w:val="22"/>
          <w:szCs w:val="22"/>
          <w:lang w:val="lt-LT"/>
        </w:rPr>
        <w:t>PP analizėje pastebėtas nedidelis pusinės eliminacijos laiko  skirtumas paaugliams (n = 5), kuri buvo 72,8 ± 16,5 val., palyginti su 76,9 ± 26,1 val. suaugusiųjų grupėje (n = 16). Klirensas abiejose amžiaus grupėse buvo maždaug vienodas, t. y., atitinkamai 0,68 ± 0,18 ml/h/kg ir 0,66 ± 0,21 ml/h/kg.</w:t>
      </w:r>
    </w:p>
    <w:p w14:paraId="200219E2" w14:textId="77777777" w:rsidR="007474DB" w:rsidRPr="00216B78" w:rsidRDefault="007474DB" w:rsidP="007474DB">
      <w:pPr>
        <w:pStyle w:val="Default"/>
        <w:rPr>
          <w:sz w:val="22"/>
          <w:szCs w:val="22"/>
          <w:lang w:val="lt-LT"/>
        </w:rPr>
      </w:pPr>
      <w:r w:rsidRPr="00216B78">
        <w:rPr>
          <w:sz w:val="22"/>
          <w:szCs w:val="22"/>
          <w:lang w:val="lt-LT"/>
        </w:rPr>
        <w:t xml:space="preserve">Farmakokinetinės fibryga savybės toliau buvo tiriamos FORMA-04 tyrime 13-ai vaikų, jaunesnių nei 12 metų, kuriems yra įgimta fibrinogeno stoka (afibrinogenemija). Kiekvienam pacientui buvo suleista vienkartinė 70 mg/kg fibryga dozė į veną. fibryga farmakokinetikos parametrai apibendrinti lentelėje toliau. Palaipsnio IVR mediana buvo 1,4 mg/dl (intervalas </w:t>
      </w:r>
      <w:r w:rsidRPr="00162E8D">
        <w:rPr>
          <w:sz w:val="22"/>
          <w:szCs w:val="22"/>
          <w:lang w:val="lt-LT"/>
        </w:rPr>
        <w:t>1,3–2,1 mg/dl)</w:t>
      </w:r>
      <w:r w:rsidR="001F6B44" w:rsidRPr="00162E8D">
        <w:rPr>
          <w:sz w:val="22"/>
          <w:szCs w:val="22"/>
          <w:lang w:val="lt-LT"/>
        </w:rPr>
        <w:t xml:space="preserve"> padidėjimas vienam mg/kg.</w:t>
      </w:r>
    </w:p>
    <w:p w14:paraId="0BA7B74A" w14:textId="77777777" w:rsidR="007474DB" w:rsidRPr="00216B78" w:rsidRDefault="007474DB" w:rsidP="00754B96">
      <w:pPr>
        <w:pStyle w:val="Default"/>
        <w:rPr>
          <w:sz w:val="22"/>
          <w:szCs w:val="22"/>
          <w:lang w:val="lt-LT"/>
        </w:rPr>
      </w:pPr>
    </w:p>
    <w:p w14:paraId="3C2F5099" w14:textId="77777777" w:rsidR="001F6B44" w:rsidRPr="00216B78" w:rsidRDefault="001F6B44" w:rsidP="001F6B44">
      <w:pPr>
        <w:spacing w:before="120" w:line="276" w:lineRule="auto"/>
        <w:rPr>
          <w:rFonts w:eastAsia="SimSun"/>
          <w:b/>
          <w:bCs/>
          <w:lang w:eastAsia="zh-CN"/>
        </w:rPr>
      </w:pPr>
      <w:r w:rsidRPr="00216B78">
        <w:rPr>
          <w:rFonts w:eastAsia="SimSun"/>
          <w:b/>
          <w:bCs/>
          <w:lang w:eastAsia="zh-CN"/>
        </w:rPr>
        <w:t>4 lentelė. Fibrinogeno aktyvumo farmakokinetikos parametrai (n = 13)</w:t>
      </w:r>
    </w:p>
    <w:tbl>
      <w:tblPr>
        <w:tblW w:w="9072" w:type="dxa"/>
        <w:tblBorders>
          <w:top w:val="single" w:sz="8" w:space="0" w:color="auto"/>
          <w:left w:val="single" w:sz="6" w:space="0" w:color="000000"/>
          <w:bottom w:val="single" w:sz="8" w:space="0" w:color="auto"/>
          <w:right w:val="single" w:sz="6" w:space="0" w:color="000000"/>
        </w:tblBorders>
        <w:tblLayout w:type="fixed"/>
        <w:tblLook w:val="0000" w:firstRow="0" w:lastRow="0" w:firstColumn="0" w:lastColumn="0" w:noHBand="0" w:noVBand="0"/>
      </w:tblPr>
      <w:tblGrid>
        <w:gridCol w:w="4680"/>
        <w:gridCol w:w="2488"/>
        <w:gridCol w:w="1904"/>
      </w:tblGrid>
      <w:tr w:rsidR="00C67268" w:rsidRPr="00216B78" w14:paraId="23950407" w14:textId="77777777" w:rsidTr="00C67268">
        <w:trPr>
          <w:trHeight w:val="146"/>
        </w:trPr>
        <w:tc>
          <w:tcPr>
            <w:tcW w:w="4561" w:type="dxa"/>
            <w:tcBorders>
              <w:top w:val="single" w:sz="8" w:space="0" w:color="000000"/>
              <w:bottom w:val="single" w:sz="8" w:space="0" w:color="000000"/>
              <w:right w:val="single" w:sz="6" w:space="0" w:color="000000"/>
            </w:tcBorders>
          </w:tcPr>
          <w:p w14:paraId="7E33D8B1" w14:textId="77777777" w:rsidR="001F6B44" w:rsidRPr="00216B78" w:rsidRDefault="001F6B44" w:rsidP="001F6B44">
            <w:pPr>
              <w:spacing w:line="276" w:lineRule="auto"/>
              <w:jc w:val="both"/>
              <w:rPr>
                <w:rFonts w:eastAsia="SimSun" w:cs="Arial"/>
                <w:b/>
                <w:bCs/>
                <w:noProof/>
                <w:lang w:eastAsia="de-DE"/>
              </w:rPr>
            </w:pPr>
            <w:r w:rsidRPr="00216B78">
              <w:rPr>
                <w:rFonts w:eastAsia="SimSun" w:cs="Arial"/>
                <w:b/>
                <w:bCs/>
                <w:noProof/>
                <w:lang w:eastAsia="de-DE"/>
              </w:rPr>
              <w:t>Paramtras</w:t>
            </w:r>
          </w:p>
        </w:tc>
        <w:tc>
          <w:tcPr>
            <w:tcW w:w="2424" w:type="dxa"/>
            <w:tcBorders>
              <w:top w:val="single" w:sz="8" w:space="0" w:color="000000"/>
              <w:left w:val="single" w:sz="6" w:space="0" w:color="000000"/>
              <w:bottom w:val="single" w:sz="8" w:space="0" w:color="000000"/>
            </w:tcBorders>
          </w:tcPr>
          <w:p w14:paraId="260CF9B6" w14:textId="77777777" w:rsidR="001F6B44" w:rsidRPr="00216B78" w:rsidRDefault="001F6B44" w:rsidP="001F6B44">
            <w:pPr>
              <w:spacing w:line="276" w:lineRule="auto"/>
              <w:jc w:val="center"/>
              <w:rPr>
                <w:rFonts w:eastAsia="SimSun" w:cs="Arial"/>
                <w:b/>
                <w:bCs/>
                <w:noProof/>
                <w:lang w:eastAsia="de-DE"/>
              </w:rPr>
            </w:pPr>
            <w:r w:rsidRPr="00216B78">
              <w:rPr>
                <w:rFonts w:eastAsia="SimSun" w:cs="Arial"/>
                <w:b/>
                <w:bCs/>
                <w:noProof/>
                <w:lang w:eastAsia="de-DE"/>
              </w:rPr>
              <w:t>Vidurkis ± SN</w:t>
            </w:r>
          </w:p>
        </w:tc>
        <w:tc>
          <w:tcPr>
            <w:tcW w:w="1855" w:type="dxa"/>
            <w:tcBorders>
              <w:top w:val="single" w:sz="8" w:space="0" w:color="000000"/>
              <w:left w:val="single" w:sz="6" w:space="0" w:color="000000"/>
              <w:bottom w:val="single" w:sz="8" w:space="0" w:color="000000"/>
            </w:tcBorders>
          </w:tcPr>
          <w:p w14:paraId="5AD474E3" w14:textId="77777777" w:rsidR="001F6B44" w:rsidRPr="00216B78" w:rsidRDefault="001F6B44" w:rsidP="001F6B44">
            <w:pPr>
              <w:spacing w:line="276" w:lineRule="auto"/>
              <w:jc w:val="center"/>
              <w:rPr>
                <w:rFonts w:eastAsia="SimSun" w:cs="Arial"/>
                <w:b/>
                <w:bCs/>
                <w:noProof/>
                <w:lang w:eastAsia="de-DE"/>
              </w:rPr>
            </w:pPr>
            <w:r w:rsidRPr="00216B78">
              <w:rPr>
                <w:rFonts w:eastAsia="SimSun" w:cs="Arial"/>
                <w:b/>
                <w:bCs/>
                <w:noProof/>
                <w:lang w:eastAsia="de-DE"/>
              </w:rPr>
              <w:t>Intervalas</w:t>
            </w:r>
          </w:p>
        </w:tc>
      </w:tr>
      <w:tr w:rsidR="00C67268" w:rsidRPr="00216B78" w14:paraId="7A1BEBF0" w14:textId="77777777" w:rsidTr="00C67268">
        <w:trPr>
          <w:trHeight w:val="144"/>
        </w:trPr>
        <w:tc>
          <w:tcPr>
            <w:tcW w:w="4561" w:type="dxa"/>
            <w:tcBorders>
              <w:top w:val="single" w:sz="8" w:space="0" w:color="000000"/>
              <w:bottom w:val="single" w:sz="6" w:space="0" w:color="000000"/>
              <w:right w:val="single" w:sz="6" w:space="0" w:color="000000"/>
            </w:tcBorders>
          </w:tcPr>
          <w:p w14:paraId="26C85909" w14:textId="77777777" w:rsidR="001F6B44" w:rsidRPr="00216B78" w:rsidRDefault="001F6B44" w:rsidP="001F6B44">
            <w:pPr>
              <w:spacing w:line="276" w:lineRule="auto"/>
              <w:jc w:val="both"/>
              <w:rPr>
                <w:rFonts w:eastAsia="SimSun" w:cs="Arial"/>
                <w:noProof/>
                <w:lang w:eastAsia="de-DE"/>
              </w:rPr>
            </w:pPr>
            <w:r w:rsidRPr="00216B78">
              <w:rPr>
                <w:noProof/>
                <w:lang w:eastAsia="de-DE"/>
              </w:rPr>
              <w:t>Pusinės eliminacijos laikas [h</w:t>
            </w:r>
            <w:r w:rsidRPr="00216B78">
              <w:rPr>
                <w:rFonts w:eastAsia="SimSun" w:cs="Arial"/>
                <w:noProof/>
                <w:lang w:eastAsia="de-DE"/>
              </w:rPr>
              <w:t>]*</w:t>
            </w:r>
          </w:p>
        </w:tc>
        <w:tc>
          <w:tcPr>
            <w:tcW w:w="2424" w:type="dxa"/>
            <w:tcBorders>
              <w:top w:val="single" w:sz="8" w:space="0" w:color="000000"/>
              <w:left w:val="single" w:sz="6" w:space="0" w:color="000000"/>
              <w:bottom w:val="single" w:sz="6" w:space="0" w:color="000000"/>
            </w:tcBorders>
          </w:tcPr>
          <w:p w14:paraId="6F0C7599" w14:textId="77777777" w:rsidR="001F6B44" w:rsidRPr="00216B78" w:rsidRDefault="001F6B44" w:rsidP="001F6B44">
            <w:pPr>
              <w:spacing w:line="276" w:lineRule="auto"/>
              <w:jc w:val="center"/>
              <w:rPr>
                <w:rFonts w:eastAsia="SimSun" w:cs="Arial"/>
                <w:noProof/>
                <w:lang w:eastAsia="de-DE"/>
              </w:rPr>
            </w:pPr>
            <w:r w:rsidRPr="00216B78">
              <w:rPr>
                <w:rFonts w:eastAsia="SimSun" w:cs="Arial"/>
                <w:noProof/>
                <w:lang w:eastAsia="de-DE"/>
              </w:rPr>
              <w:t>63,3 ± 12,0</w:t>
            </w:r>
          </w:p>
        </w:tc>
        <w:tc>
          <w:tcPr>
            <w:tcW w:w="1855" w:type="dxa"/>
            <w:tcBorders>
              <w:top w:val="single" w:sz="8" w:space="0" w:color="000000"/>
              <w:left w:val="single" w:sz="6" w:space="0" w:color="000000"/>
              <w:bottom w:val="single" w:sz="6" w:space="0" w:color="000000"/>
            </w:tcBorders>
          </w:tcPr>
          <w:p w14:paraId="4C086BC9" w14:textId="77777777" w:rsidR="001F6B44" w:rsidRPr="00216B78" w:rsidRDefault="001F6B44" w:rsidP="001F6B44">
            <w:pPr>
              <w:spacing w:line="276" w:lineRule="auto"/>
              <w:jc w:val="center"/>
              <w:rPr>
                <w:rFonts w:eastAsia="SimSun" w:cs="Arial"/>
                <w:noProof/>
                <w:lang w:eastAsia="de-DE"/>
              </w:rPr>
            </w:pPr>
            <w:r w:rsidRPr="00216B78">
              <w:rPr>
                <w:rFonts w:eastAsia="SimSun" w:cs="Arial"/>
                <w:noProof/>
                <w:lang w:eastAsia="de-DE"/>
              </w:rPr>
              <w:t>45,6–91,6</w:t>
            </w:r>
          </w:p>
        </w:tc>
      </w:tr>
      <w:tr w:rsidR="00C67268" w:rsidRPr="00216B78" w14:paraId="5B5757FA" w14:textId="77777777" w:rsidTr="00C67268">
        <w:trPr>
          <w:trHeight w:val="147"/>
        </w:trPr>
        <w:tc>
          <w:tcPr>
            <w:tcW w:w="4561" w:type="dxa"/>
            <w:tcBorders>
              <w:top w:val="single" w:sz="6" w:space="0" w:color="000000"/>
              <w:bottom w:val="single" w:sz="6" w:space="0" w:color="000000"/>
              <w:right w:val="single" w:sz="6" w:space="0" w:color="000000"/>
            </w:tcBorders>
          </w:tcPr>
          <w:p w14:paraId="1C3741F0" w14:textId="77777777" w:rsidR="001F6B44" w:rsidRPr="00216B78" w:rsidRDefault="001F6B44" w:rsidP="001F6B44">
            <w:pPr>
              <w:spacing w:line="276" w:lineRule="auto"/>
              <w:jc w:val="both"/>
              <w:rPr>
                <w:rFonts w:eastAsia="SimSun" w:cs="Arial"/>
                <w:noProof/>
                <w:lang w:eastAsia="de-DE"/>
              </w:rPr>
            </w:pPr>
            <w:r w:rsidRPr="00216B78">
              <w:rPr>
                <w:rFonts w:eastAsia="SimSun" w:cs="Arial"/>
                <w:noProof/>
                <w:lang w:eastAsia="de-DE"/>
              </w:rPr>
              <w:t>C</w:t>
            </w:r>
            <w:r w:rsidRPr="00216B78">
              <w:rPr>
                <w:rFonts w:eastAsia="SimSun" w:cs="Arial"/>
                <w:noProof/>
                <w:vertAlign w:val="subscript"/>
                <w:lang w:eastAsia="de-DE"/>
              </w:rPr>
              <w:t>max</w:t>
            </w:r>
            <w:r w:rsidRPr="00216B78">
              <w:rPr>
                <w:rFonts w:eastAsia="SimSun" w:cs="Arial"/>
                <w:noProof/>
                <w:lang w:eastAsia="de-DE"/>
              </w:rPr>
              <w:t xml:space="preserve"> [mg/dl] </w:t>
            </w:r>
          </w:p>
        </w:tc>
        <w:tc>
          <w:tcPr>
            <w:tcW w:w="2424" w:type="dxa"/>
            <w:tcBorders>
              <w:top w:val="single" w:sz="6" w:space="0" w:color="000000"/>
              <w:left w:val="single" w:sz="6" w:space="0" w:color="000000"/>
              <w:bottom w:val="single" w:sz="6" w:space="0" w:color="000000"/>
            </w:tcBorders>
          </w:tcPr>
          <w:p w14:paraId="0EE94F76" w14:textId="77777777" w:rsidR="001F6B44" w:rsidRPr="00216B78" w:rsidRDefault="001F6B44" w:rsidP="001F6B44">
            <w:pPr>
              <w:spacing w:line="276" w:lineRule="auto"/>
              <w:jc w:val="center"/>
              <w:rPr>
                <w:rFonts w:eastAsia="SimSun" w:cs="Arial"/>
                <w:noProof/>
                <w:lang w:eastAsia="de-DE"/>
              </w:rPr>
            </w:pPr>
            <w:r w:rsidRPr="00216B78">
              <w:rPr>
                <w:rFonts w:eastAsia="SimSun" w:cs="Arial"/>
                <w:noProof/>
                <w:lang w:eastAsia="de-DE"/>
              </w:rPr>
              <w:t>107,2 ± 16,8</w:t>
            </w:r>
          </w:p>
        </w:tc>
        <w:tc>
          <w:tcPr>
            <w:tcW w:w="1855" w:type="dxa"/>
            <w:tcBorders>
              <w:top w:val="single" w:sz="6" w:space="0" w:color="000000"/>
              <w:left w:val="single" w:sz="6" w:space="0" w:color="000000"/>
              <w:bottom w:val="single" w:sz="6" w:space="0" w:color="000000"/>
            </w:tcBorders>
          </w:tcPr>
          <w:p w14:paraId="279A08FB" w14:textId="77777777" w:rsidR="001F6B44" w:rsidRPr="00216B78" w:rsidRDefault="001F6B44" w:rsidP="001F6B44">
            <w:pPr>
              <w:spacing w:line="276" w:lineRule="auto"/>
              <w:jc w:val="center"/>
              <w:rPr>
                <w:rFonts w:eastAsia="SimSun" w:cs="Arial"/>
                <w:noProof/>
                <w:lang w:eastAsia="de-DE"/>
              </w:rPr>
            </w:pPr>
            <w:r w:rsidRPr="00216B78">
              <w:rPr>
                <w:rFonts w:eastAsia="SimSun" w:cs="Arial"/>
                <w:noProof/>
                <w:lang w:eastAsia="de-DE"/>
              </w:rPr>
              <w:t>93,0–154,0</w:t>
            </w:r>
          </w:p>
        </w:tc>
      </w:tr>
      <w:tr w:rsidR="00C67268" w:rsidRPr="00216B78" w14:paraId="5E9537E9" w14:textId="77777777" w:rsidTr="00C67268">
        <w:trPr>
          <w:trHeight w:val="144"/>
        </w:trPr>
        <w:tc>
          <w:tcPr>
            <w:tcW w:w="4561" w:type="dxa"/>
            <w:tcBorders>
              <w:top w:val="single" w:sz="6" w:space="0" w:color="000000"/>
              <w:bottom w:val="single" w:sz="6" w:space="0" w:color="000000"/>
              <w:right w:val="single" w:sz="6" w:space="0" w:color="000000"/>
            </w:tcBorders>
          </w:tcPr>
          <w:p w14:paraId="40D70702" w14:textId="77777777" w:rsidR="001F6B44" w:rsidRPr="00216B78" w:rsidRDefault="001F6B44" w:rsidP="001F6B44">
            <w:pPr>
              <w:spacing w:line="276" w:lineRule="auto"/>
              <w:rPr>
                <w:rFonts w:eastAsia="Times New Roman"/>
              </w:rPr>
            </w:pPr>
            <w:r w:rsidRPr="00216B78">
              <w:t>AUC</w:t>
            </w:r>
            <w:r w:rsidRPr="00216B78">
              <w:rPr>
                <w:vertAlign w:val="subscript"/>
              </w:rPr>
              <w:t>norm</w:t>
            </w:r>
            <w:r w:rsidRPr="00216B78">
              <w:t xml:space="preserve"> vartojant 70 mg/kg [mg*h/ml] *</w:t>
            </w:r>
          </w:p>
        </w:tc>
        <w:tc>
          <w:tcPr>
            <w:tcW w:w="2424" w:type="dxa"/>
            <w:tcBorders>
              <w:top w:val="single" w:sz="6" w:space="0" w:color="000000"/>
              <w:left w:val="single" w:sz="6" w:space="0" w:color="000000"/>
              <w:bottom w:val="single" w:sz="6" w:space="0" w:color="000000"/>
            </w:tcBorders>
          </w:tcPr>
          <w:p w14:paraId="1434B4DE" w14:textId="77777777" w:rsidR="001F6B44" w:rsidRPr="00216B78" w:rsidRDefault="001F6B44" w:rsidP="001F6B44">
            <w:pPr>
              <w:spacing w:line="276" w:lineRule="auto"/>
              <w:jc w:val="center"/>
              <w:rPr>
                <w:rFonts w:eastAsia="SimSun" w:cs="Arial"/>
                <w:noProof/>
                <w:lang w:eastAsia="de-DE"/>
              </w:rPr>
            </w:pPr>
            <w:r w:rsidRPr="00216B78">
              <w:rPr>
                <w:rFonts w:eastAsia="SimSun" w:cs="Arial"/>
                <w:noProof/>
                <w:lang w:eastAsia="de-DE"/>
              </w:rPr>
              <w:t>92,0 ± 20,0</w:t>
            </w:r>
          </w:p>
        </w:tc>
        <w:tc>
          <w:tcPr>
            <w:tcW w:w="1855" w:type="dxa"/>
            <w:tcBorders>
              <w:top w:val="single" w:sz="6" w:space="0" w:color="000000"/>
              <w:left w:val="single" w:sz="6" w:space="0" w:color="000000"/>
              <w:bottom w:val="single" w:sz="6" w:space="0" w:color="000000"/>
            </w:tcBorders>
          </w:tcPr>
          <w:p w14:paraId="450B53A8" w14:textId="77777777" w:rsidR="001F6B44" w:rsidRPr="00216B78" w:rsidRDefault="001F6B44" w:rsidP="001F6B44">
            <w:pPr>
              <w:spacing w:line="276" w:lineRule="auto"/>
              <w:jc w:val="center"/>
              <w:rPr>
                <w:rFonts w:eastAsia="SimSun" w:cs="Arial"/>
                <w:noProof/>
                <w:lang w:eastAsia="de-DE"/>
              </w:rPr>
            </w:pPr>
            <w:r w:rsidRPr="00216B78">
              <w:rPr>
                <w:rFonts w:eastAsia="SimSun" w:cs="Arial"/>
                <w:noProof/>
                <w:lang w:eastAsia="de-DE"/>
              </w:rPr>
              <w:t>69,7–134,2</w:t>
            </w:r>
          </w:p>
        </w:tc>
      </w:tr>
      <w:tr w:rsidR="00C67268" w:rsidRPr="00216B78" w14:paraId="69243633" w14:textId="77777777" w:rsidTr="00C67268">
        <w:trPr>
          <w:trHeight w:val="144"/>
        </w:trPr>
        <w:tc>
          <w:tcPr>
            <w:tcW w:w="4561" w:type="dxa"/>
            <w:tcBorders>
              <w:top w:val="single" w:sz="6" w:space="0" w:color="000000"/>
              <w:bottom w:val="single" w:sz="6" w:space="0" w:color="000000"/>
              <w:right w:val="single" w:sz="6" w:space="0" w:color="000000"/>
            </w:tcBorders>
          </w:tcPr>
          <w:p w14:paraId="1D8EC45B" w14:textId="77777777" w:rsidR="001F6B44" w:rsidRPr="00216B78" w:rsidRDefault="001F6B44" w:rsidP="001F6B44">
            <w:pPr>
              <w:spacing w:line="276" w:lineRule="auto"/>
              <w:jc w:val="both"/>
              <w:rPr>
                <w:rFonts w:eastAsia="SimSun" w:cs="Arial"/>
                <w:noProof/>
                <w:lang w:eastAsia="de-DE"/>
              </w:rPr>
            </w:pPr>
            <w:r w:rsidRPr="00216B78">
              <w:rPr>
                <w:rFonts w:eastAsia="SimSun" w:cs="Arial"/>
                <w:noProof/>
                <w:lang w:eastAsia="de-DE"/>
              </w:rPr>
              <w:t>Klirensas [ml/h/kg]*</w:t>
            </w:r>
          </w:p>
        </w:tc>
        <w:tc>
          <w:tcPr>
            <w:tcW w:w="2424" w:type="dxa"/>
            <w:tcBorders>
              <w:top w:val="single" w:sz="6" w:space="0" w:color="000000"/>
              <w:left w:val="single" w:sz="6" w:space="0" w:color="000000"/>
              <w:bottom w:val="single" w:sz="6" w:space="0" w:color="000000"/>
            </w:tcBorders>
          </w:tcPr>
          <w:p w14:paraId="090FA151" w14:textId="77777777" w:rsidR="001F6B44" w:rsidRPr="00216B78" w:rsidRDefault="001F6B44" w:rsidP="001F6B44">
            <w:pPr>
              <w:spacing w:line="276" w:lineRule="auto"/>
              <w:jc w:val="center"/>
              <w:rPr>
                <w:rFonts w:eastAsia="SimSun" w:cs="Arial"/>
                <w:noProof/>
                <w:lang w:eastAsia="de-DE"/>
              </w:rPr>
            </w:pPr>
            <w:r w:rsidRPr="00216B78">
              <w:rPr>
                <w:rFonts w:eastAsia="SimSun" w:cs="Arial"/>
                <w:noProof/>
                <w:lang w:eastAsia="de-DE"/>
              </w:rPr>
              <w:t>0,8 ± 0,2</w:t>
            </w:r>
          </w:p>
        </w:tc>
        <w:tc>
          <w:tcPr>
            <w:tcW w:w="1855" w:type="dxa"/>
            <w:tcBorders>
              <w:top w:val="single" w:sz="6" w:space="0" w:color="000000"/>
              <w:left w:val="single" w:sz="6" w:space="0" w:color="000000"/>
              <w:bottom w:val="single" w:sz="6" w:space="0" w:color="000000"/>
            </w:tcBorders>
          </w:tcPr>
          <w:p w14:paraId="37AC5421" w14:textId="77777777" w:rsidR="001F6B44" w:rsidRPr="00216B78" w:rsidRDefault="001F6B44" w:rsidP="001F6B44">
            <w:pPr>
              <w:spacing w:line="276" w:lineRule="auto"/>
              <w:jc w:val="center"/>
              <w:rPr>
                <w:rFonts w:eastAsia="SimSun" w:cs="Arial"/>
                <w:noProof/>
                <w:lang w:eastAsia="de-DE"/>
              </w:rPr>
            </w:pPr>
            <w:r w:rsidRPr="00216B78">
              <w:rPr>
                <w:rFonts w:eastAsia="SimSun" w:cs="Arial"/>
                <w:noProof/>
                <w:lang w:eastAsia="de-DE"/>
              </w:rPr>
              <w:t>0,5–1,0</w:t>
            </w:r>
          </w:p>
        </w:tc>
      </w:tr>
      <w:tr w:rsidR="00C67268" w:rsidRPr="00216B78" w14:paraId="7CB80E93" w14:textId="77777777" w:rsidTr="00C67268">
        <w:trPr>
          <w:trHeight w:val="144"/>
        </w:trPr>
        <w:tc>
          <w:tcPr>
            <w:tcW w:w="4561" w:type="dxa"/>
            <w:tcBorders>
              <w:top w:val="single" w:sz="6" w:space="0" w:color="000000"/>
              <w:bottom w:val="single" w:sz="6" w:space="0" w:color="000000"/>
              <w:right w:val="single" w:sz="6" w:space="0" w:color="000000"/>
            </w:tcBorders>
          </w:tcPr>
          <w:p w14:paraId="2D4035EB" w14:textId="77777777" w:rsidR="001F6B44" w:rsidRPr="00216B78" w:rsidRDefault="001F6B44" w:rsidP="001F6B44">
            <w:pPr>
              <w:spacing w:line="276" w:lineRule="auto"/>
              <w:jc w:val="both"/>
              <w:rPr>
                <w:rFonts w:eastAsia="SimSun" w:cs="Arial"/>
                <w:noProof/>
                <w:lang w:eastAsia="de-DE"/>
              </w:rPr>
            </w:pPr>
            <w:r w:rsidRPr="00216B78">
              <w:rPr>
                <w:rFonts w:eastAsia="SimSun" w:cs="Arial"/>
                <w:noProof/>
                <w:lang w:eastAsia="de-DE"/>
              </w:rPr>
              <w:t>Vidutinė buvimo trukmė [h]*</w:t>
            </w:r>
          </w:p>
        </w:tc>
        <w:tc>
          <w:tcPr>
            <w:tcW w:w="2424" w:type="dxa"/>
            <w:tcBorders>
              <w:top w:val="single" w:sz="6" w:space="0" w:color="000000"/>
              <w:left w:val="single" w:sz="6" w:space="0" w:color="000000"/>
              <w:bottom w:val="single" w:sz="6" w:space="0" w:color="000000"/>
            </w:tcBorders>
          </w:tcPr>
          <w:p w14:paraId="136147B9" w14:textId="77777777" w:rsidR="001F6B44" w:rsidRPr="00216B78" w:rsidRDefault="001F6B44" w:rsidP="001F6B44">
            <w:pPr>
              <w:spacing w:line="276" w:lineRule="auto"/>
              <w:jc w:val="center"/>
              <w:rPr>
                <w:rFonts w:eastAsia="SimSun" w:cs="Arial"/>
                <w:noProof/>
                <w:lang w:eastAsia="de-DE"/>
              </w:rPr>
            </w:pPr>
            <w:r w:rsidRPr="00216B78">
              <w:rPr>
                <w:rFonts w:eastAsia="SimSun" w:cs="Arial"/>
                <w:noProof/>
                <w:lang w:eastAsia="de-DE"/>
              </w:rPr>
              <w:t>88,0 ± 16,8</w:t>
            </w:r>
          </w:p>
        </w:tc>
        <w:tc>
          <w:tcPr>
            <w:tcW w:w="1855" w:type="dxa"/>
            <w:tcBorders>
              <w:top w:val="single" w:sz="6" w:space="0" w:color="000000"/>
              <w:left w:val="single" w:sz="6" w:space="0" w:color="000000"/>
              <w:bottom w:val="single" w:sz="6" w:space="0" w:color="000000"/>
            </w:tcBorders>
          </w:tcPr>
          <w:p w14:paraId="16094566" w14:textId="77777777" w:rsidR="001F6B44" w:rsidRPr="00216B78" w:rsidRDefault="001F6B44" w:rsidP="001F6B44">
            <w:pPr>
              <w:spacing w:line="276" w:lineRule="auto"/>
              <w:jc w:val="center"/>
              <w:rPr>
                <w:rFonts w:eastAsia="SimSun" w:cs="Arial"/>
                <w:noProof/>
                <w:lang w:eastAsia="de-DE"/>
              </w:rPr>
            </w:pPr>
            <w:r w:rsidRPr="00216B78">
              <w:rPr>
                <w:rFonts w:eastAsia="SimSun" w:cs="Arial"/>
                <w:noProof/>
                <w:lang w:eastAsia="de-DE"/>
              </w:rPr>
              <w:t>63,6–126,7</w:t>
            </w:r>
          </w:p>
        </w:tc>
      </w:tr>
      <w:tr w:rsidR="00C67268" w:rsidRPr="00216B78" w14:paraId="11D4DA0C" w14:textId="77777777" w:rsidTr="00C67268">
        <w:trPr>
          <w:trHeight w:val="144"/>
        </w:trPr>
        <w:tc>
          <w:tcPr>
            <w:tcW w:w="4561" w:type="dxa"/>
            <w:tcBorders>
              <w:top w:val="single" w:sz="6" w:space="0" w:color="000000"/>
              <w:bottom w:val="single" w:sz="8" w:space="0" w:color="000000"/>
              <w:right w:val="single" w:sz="6" w:space="0" w:color="000000"/>
            </w:tcBorders>
          </w:tcPr>
          <w:p w14:paraId="3C142A45" w14:textId="77777777" w:rsidR="001F6B44" w:rsidRPr="00216B78" w:rsidRDefault="001F6B44" w:rsidP="007B277D">
            <w:pPr>
              <w:spacing w:line="276" w:lineRule="auto"/>
              <w:rPr>
                <w:rFonts w:eastAsia="SimSun" w:cs="Arial"/>
                <w:noProof/>
                <w:lang w:eastAsia="de-DE"/>
              </w:rPr>
            </w:pPr>
            <w:r w:rsidRPr="00216B78">
              <w:rPr>
                <w:rFonts w:eastAsia="SimSun" w:cs="Arial"/>
                <w:noProof/>
                <w:lang w:eastAsia="de-DE"/>
              </w:rPr>
              <w:t>Pasiskirstymo tūris esant nuostoviajai koncentracijai [ml/kg] *</w:t>
            </w:r>
          </w:p>
        </w:tc>
        <w:tc>
          <w:tcPr>
            <w:tcW w:w="2424" w:type="dxa"/>
            <w:tcBorders>
              <w:top w:val="single" w:sz="6" w:space="0" w:color="000000"/>
              <w:left w:val="single" w:sz="6" w:space="0" w:color="000000"/>
              <w:bottom w:val="single" w:sz="8" w:space="0" w:color="000000"/>
            </w:tcBorders>
          </w:tcPr>
          <w:p w14:paraId="6CA65F1F" w14:textId="77777777" w:rsidR="001F6B44" w:rsidRPr="00216B78" w:rsidRDefault="001F6B44" w:rsidP="001F6B44">
            <w:pPr>
              <w:spacing w:line="276" w:lineRule="auto"/>
              <w:jc w:val="center"/>
              <w:rPr>
                <w:rFonts w:eastAsia="SimSun" w:cs="Arial"/>
                <w:noProof/>
                <w:lang w:eastAsia="de-DE"/>
              </w:rPr>
            </w:pPr>
            <w:r w:rsidRPr="00216B78">
              <w:rPr>
                <w:rFonts w:eastAsia="SimSun" w:cs="Arial"/>
                <w:noProof/>
                <w:lang w:eastAsia="de-DE"/>
              </w:rPr>
              <w:t>67,6 ± 7,1</w:t>
            </w:r>
          </w:p>
        </w:tc>
        <w:tc>
          <w:tcPr>
            <w:tcW w:w="1855" w:type="dxa"/>
            <w:tcBorders>
              <w:top w:val="single" w:sz="6" w:space="0" w:color="000000"/>
              <w:left w:val="single" w:sz="6" w:space="0" w:color="000000"/>
              <w:bottom w:val="single" w:sz="8" w:space="0" w:color="000000"/>
            </w:tcBorders>
          </w:tcPr>
          <w:p w14:paraId="459C2218" w14:textId="77777777" w:rsidR="001F6B44" w:rsidRPr="00216B78" w:rsidRDefault="001F6B44" w:rsidP="001F6B44">
            <w:pPr>
              <w:spacing w:line="276" w:lineRule="auto"/>
              <w:jc w:val="center"/>
              <w:rPr>
                <w:rFonts w:eastAsia="SimSun" w:cs="Arial"/>
                <w:noProof/>
                <w:lang w:eastAsia="de-DE"/>
              </w:rPr>
            </w:pPr>
            <w:r w:rsidRPr="00216B78">
              <w:rPr>
                <w:rFonts w:eastAsia="SimSun" w:cs="Arial"/>
                <w:noProof/>
                <w:lang w:eastAsia="de-DE"/>
              </w:rPr>
              <w:t>52,8–76,8</w:t>
            </w:r>
          </w:p>
        </w:tc>
      </w:tr>
    </w:tbl>
    <w:p w14:paraId="2DBDC458" w14:textId="77777777" w:rsidR="001F6B44" w:rsidRPr="00216B78" w:rsidRDefault="001F6B44" w:rsidP="007B277D">
      <w:pPr>
        <w:pStyle w:val="Tablefootnote"/>
        <w:spacing w:before="0" w:after="0"/>
        <w:jc w:val="left"/>
        <w:rPr>
          <w:rFonts w:ascii="Times New Roman" w:hAnsi="Times New Roman" w:cs="Times New Roman"/>
          <w:sz w:val="20"/>
          <w:szCs w:val="20"/>
          <w:lang w:val="lt-LT"/>
        </w:rPr>
      </w:pPr>
      <w:r w:rsidRPr="00216B78">
        <w:rPr>
          <w:rFonts w:ascii="Times New Roman" w:hAnsi="Times New Roman" w:cs="Times New Roman"/>
          <w:sz w:val="20"/>
          <w:szCs w:val="20"/>
          <w:lang w:val="lt-LT"/>
        </w:rPr>
        <w:t>*apskaičiuota 10 iš 13 pacientų dėl nepakankam</w:t>
      </w:r>
      <w:r w:rsidR="00E92C96" w:rsidRPr="00216B78">
        <w:rPr>
          <w:rFonts w:ascii="Times New Roman" w:hAnsi="Times New Roman" w:cs="Times New Roman"/>
          <w:sz w:val="20"/>
          <w:szCs w:val="20"/>
          <w:lang w:val="lt-LT"/>
        </w:rPr>
        <w:t>o skaičiaus</w:t>
      </w:r>
      <w:r w:rsidRPr="00216B78">
        <w:rPr>
          <w:rFonts w:ascii="Times New Roman" w:hAnsi="Times New Roman" w:cs="Times New Roman"/>
          <w:sz w:val="20"/>
          <w:szCs w:val="20"/>
          <w:lang w:val="lt-LT"/>
        </w:rPr>
        <w:t xml:space="preserve"> </w:t>
      </w:r>
      <w:r w:rsidR="0037383C" w:rsidRPr="00216B78">
        <w:rPr>
          <w:rFonts w:ascii="Times New Roman" w:hAnsi="Times New Roman" w:cs="Times New Roman"/>
          <w:sz w:val="20"/>
          <w:szCs w:val="20"/>
          <w:lang w:val="lt-LT"/>
        </w:rPr>
        <w:t>kiekybinių įverčių 3 pacientams.</w:t>
      </w:r>
    </w:p>
    <w:p w14:paraId="64223078" w14:textId="77777777" w:rsidR="001F6B44" w:rsidRPr="00216B78" w:rsidRDefault="001F6B44" w:rsidP="007B277D">
      <w:pPr>
        <w:pStyle w:val="Tablefootnote"/>
        <w:spacing w:before="0" w:after="0"/>
        <w:jc w:val="left"/>
        <w:rPr>
          <w:rFonts w:ascii="Times New Roman" w:hAnsi="Times New Roman" w:cs="Times New Roman"/>
          <w:sz w:val="20"/>
          <w:szCs w:val="20"/>
          <w:lang w:val="lt-LT"/>
        </w:rPr>
      </w:pPr>
      <w:r w:rsidRPr="00216B78">
        <w:rPr>
          <w:rFonts w:ascii="Times New Roman" w:hAnsi="Times New Roman" w:cs="Times New Roman"/>
          <w:sz w:val="20"/>
          <w:szCs w:val="20"/>
          <w:lang w:val="lt-LT"/>
        </w:rPr>
        <w:t xml:space="preserve">IVR = </w:t>
      </w:r>
      <w:r w:rsidR="00E92C96" w:rsidRPr="00216B78">
        <w:rPr>
          <w:rFonts w:ascii="Times New Roman" w:hAnsi="Times New Roman" w:cs="Times New Roman"/>
          <w:sz w:val="20"/>
          <w:szCs w:val="20"/>
          <w:lang w:val="lt-LT"/>
        </w:rPr>
        <w:t xml:space="preserve">atsikūrimas </w:t>
      </w:r>
      <w:r w:rsidRPr="00216B78">
        <w:rPr>
          <w:rFonts w:ascii="Times New Roman" w:hAnsi="Times New Roman" w:cs="Times New Roman"/>
          <w:sz w:val="20"/>
          <w:szCs w:val="20"/>
          <w:lang w:val="lt-LT"/>
        </w:rPr>
        <w:t xml:space="preserve">in vivo; Cmax = </w:t>
      </w:r>
      <w:r w:rsidR="00E92C96" w:rsidRPr="00216B78">
        <w:rPr>
          <w:rFonts w:ascii="Times New Roman" w:hAnsi="Times New Roman" w:cs="Times New Roman"/>
          <w:sz w:val="20"/>
          <w:szCs w:val="20"/>
          <w:lang w:val="lt-LT"/>
        </w:rPr>
        <w:t>didžiausia koncentracija plazmoje</w:t>
      </w:r>
      <w:r w:rsidRPr="00216B78">
        <w:rPr>
          <w:rFonts w:ascii="Times New Roman" w:hAnsi="Times New Roman" w:cs="Times New Roman"/>
          <w:sz w:val="20"/>
          <w:szCs w:val="20"/>
          <w:lang w:val="lt-LT"/>
        </w:rPr>
        <w:t xml:space="preserve">; AUCnorm = </w:t>
      </w:r>
      <w:r w:rsidR="00E92C96" w:rsidRPr="00216B78">
        <w:rPr>
          <w:rFonts w:ascii="Times New Roman" w:hAnsi="Times New Roman" w:cs="Times New Roman"/>
          <w:sz w:val="20"/>
          <w:szCs w:val="20"/>
          <w:lang w:val="lt-LT"/>
        </w:rPr>
        <w:t>plotas po kreive, normalizuotas iki vartotos dozės</w:t>
      </w:r>
      <w:r w:rsidRPr="00216B78">
        <w:rPr>
          <w:rFonts w:ascii="Times New Roman" w:hAnsi="Times New Roman" w:cs="Times New Roman"/>
          <w:sz w:val="20"/>
          <w:szCs w:val="20"/>
          <w:lang w:val="lt-LT"/>
        </w:rPr>
        <w:t>; S</w:t>
      </w:r>
      <w:r w:rsidR="00E92C96" w:rsidRPr="00216B78">
        <w:rPr>
          <w:rFonts w:ascii="Times New Roman" w:hAnsi="Times New Roman" w:cs="Times New Roman"/>
          <w:sz w:val="20"/>
          <w:szCs w:val="20"/>
          <w:lang w:val="lt-LT"/>
        </w:rPr>
        <w:t>N</w:t>
      </w:r>
      <w:r w:rsidRPr="00216B78">
        <w:rPr>
          <w:rFonts w:ascii="Times New Roman" w:hAnsi="Times New Roman" w:cs="Times New Roman"/>
          <w:sz w:val="20"/>
          <w:szCs w:val="20"/>
          <w:lang w:val="lt-LT"/>
        </w:rPr>
        <w:t xml:space="preserve"> = stan</w:t>
      </w:r>
      <w:r w:rsidR="00E92C96" w:rsidRPr="00216B78">
        <w:rPr>
          <w:rFonts w:ascii="Times New Roman" w:hAnsi="Times New Roman" w:cs="Times New Roman"/>
          <w:sz w:val="20"/>
          <w:szCs w:val="20"/>
          <w:lang w:val="lt-LT"/>
        </w:rPr>
        <w:t>dartinis nuokrypis</w:t>
      </w:r>
    </w:p>
    <w:p w14:paraId="0EAA56E5" w14:textId="77777777" w:rsidR="007718AC" w:rsidRPr="00216B78" w:rsidRDefault="007718AC" w:rsidP="00754B96">
      <w:pPr>
        <w:pStyle w:val="Default"/>
        <w:rPr>
          <w:sz w:val="22"/>
          <w:szCs w:val="22"/>
          <w:lang w:val="lt-LT"/>
        </w:rPr>
      </w:pPr>
    </w:p>
    <w:p w14:paraId="37D446DD" w14:textId="77777777" w:rsidR="008E70E4" w:rsidRPr="00216B78" w:rsidRDefault="007718AC" w:rsidP="00754B96">
      <w:pPr>
        <w:pStyle w:val="Default"/>
        <w:outlineLvl w:val="1"/>
        <w:rPr>
          <w:b/>
          <w:bCs/>
          <w:sz w:val="22"/>
          <w:szCs w:val="22"/>
          <w:lang w:val="lt-LT"/>
        </w:rPr>
      </w:pPr>
      <w:r w:rsidRPr="00216B78">
        <w:rPr>
          <w:b/>
          <w:bCs/>
          <w:sz w:val="22"/>
          <w:szCs w:val="22"/>
          <w:lang w:val="lt-LT"/>
        </w:rPr>
        <w:t>5.3</w:t>
      </w:r>
      <w:r w:rsidRPr="00216B78">
        <w:rPr>
          <w:b/>
          <w:bCs/>
          <w:sz w:val="22"/>
          <w:szCs w:val="22"/>
          <w:lang w:val="lt-LT"/>
        </w:rPr>
        <w:tab/>
      </w:r>
      <w:r w:rsidR="008E70E4" w:rsidRPr="00216B78">
        <w:rPr>
          <w:b/>
          <w:bCs/>
          <w:sz w:val="22"/>
          <w:szCs w:val="22"/>
          <w:lang w:val="lt-LT"/>
        </w:rPr>
        <w:t>Ikiklinikinių saugumo tyrimų duomenys</w:t>
      </w:r>
    </w:p>
    <w:p w14:paraId="65AF648C" w14:textId="77777777" w:rsidR="007718AC" w:rsidRPr="00216B78" w:rsidRDefault="007718AC" w:rsidP="007B277D">
      <w:pPr>
        <w:keepNext/>
      </w:pPr>
    </w:p>
    <w:p w14:paraId="14B14E04" w14:textId="77777777" w:rsidR="008E70E4" w:rsidRPr="00216B78" w:rsidRDefault="00BE7183" w:rsidP="00754B96">
      <w:pPr>
        <w:pStyle w:val="Default"/>
        <w:rPr>
          <w:color w:val="auto"/>
          <w:sz w:val="22"/>
          <w:szCs w:val="22"/>
          <w:lang w:val="lt-LT"/>
        </w:rPr>
      </w:pPr>
      <w:r w:rsidRPr="00216B78">
        <w:rPr>
          <w:color w:val="auto"/>
          <w:sz w:val="22"/>
          <w:szCs w:val="22"/>
          <w:lang w:val="lt-LT"/>
        </w:rPr>
        <w:t>f</w:t>
      </w:r>
      <w:r w:rsidR="00324E4D" w:rsidRPr="00216B78">
        <w:rPr>
          <w:color w:val="auto"/>
          <w:sz w:val="22"/>
          <w:szCs w:val="22"/>
          <w:lang w:val="lt-LT"/>
        </w:rPr>
        <w:t xml:space="preserve">ibryga </w:t>
      </w:r>
      <w:r w:rsidR="008E70E4" w:rsidRPr="00216B78">
        <w:rPr>
          <w:color w:val="auto"/>
          <w:sz w:val="22"/>
          <w:szCs w:val="22"/>
          <w:lang w:val="lt-LT"/>
        </w:rPr>
        <w:t xml:space="preserve">saugumas nustatytas keliais ikiklinikinio saugumo farmakologijos (širdies ir kraujagyslių reiškiniai, galimas trombogeninis poveikis) ir toksikologijos tyrimais (ūminis toksinis poveikis, vietinis toleravimas). Remiantis šiais tyrimais, ikiklinikinių tyrimų duomenys ypatingo pavojaus žmonėms nerodo. Venų stazės tyrimu (Wessler'io tyrimu) įrodyta, kad vartojant iki 400 mg/kg kūno svorio dozes </w:t>
      </w:r>
      <w:r w:rsidR="00324E4D" w:rsidRPr="00216B78">
        <w:rPr>
          <w:color w:val="auto"/>
          <w:sz w:val="22"/>
          <w:szCs w:val="22"/>
          <w:lang w:val="lt-LT"/>
        </w:rPr>
        <w:t>fibryga</w:t>
      </w:r>
      <w:r w:rsidR="00324E4D" w:rsidRPr="00216B78" w:rsidDel="00324E4D">
        <w:rPr>
          <w:color w:val="auto"/>
          <w:sz w:val="22"/>
          <w:szCs w:val="22"/>
          <w:lang w:val="lt-LT"/>
        </w:rPr>
        <w:t xml:space="preserve"> </w:t>
      </w:r>
      <w:r w:rsidR="008E70E4" w:rsidRPr="00216B78">
        <w:rPr>
          <w:color w:val="auto"/>
          <w:sz w:val="22"/>
          <w:szCs w:val="22"/>
          <w:lang w:val="lt-LT"/>
        </w:rPr>
        <w:t>nėra trombogeniškas.</w:t>
      </w:r>
    </w:p>
    <w:p w14:paraId="710AAC4B" w14:textId="77777777" w:rsidR="007718AC" w:rsidRPr="00216B78" w:rsidRDefault="007718AC" w:rsidP="00754B96">
      <w:pPr>
        <w:pStyle w:val="Default"/>
        <w:rPr>
          <w:color w:val="auto"/>
          <w:sz w:val="22"/>
          <w:szCs w:val="22"/>
          <w:lang w:val="lt-LT"/>
        </w:rPr>
      </w:pPr>
    </w:p>
    <w:p w14:paraId="4180A5F8" w14:textId="77777777" w:rsidR="007718AC" w:rsidRPr="00216B78" w:rsidRDefault="007718AC" w:rsidP="00754B96">
      <w:pPr>
        <w:pStyle w:val="Default"/>
        <w:rPr>
          <w:color w:val="auto"/>
          <w:sz w:val="22"/>
          <w:szCs w:val="22"/>
          <w:lang w:val="lt-LT"/>
        </w:rPr>
      </w:pPr>
    </w:p>
    <w:p w14:paraId="7F6BE425" w14:textId="77777777" w:rsidR="008E70E4" w:rsidRPr="00216B78" w:rsidRDefault="007718AC" w:rsidP="00463F94">
      <w:pPr>
        <w:pStyle w:val="Default"/>
        <w:keepNext/>
        <w:outlineLvl w:val="0"/>
        <w:rPr>
          <w:b/>
          <w:bCs/>
          <w:sz w:val="22"/>
          <w:szCs w:val="22"/>
          <w:lang w:val="lt-LT"/>
        </w:rPr>
      </w:pPr>
      <w:r w:rsidRPr="00216B78">
        <w:rPr>
          <w:b/>
          <w:bCs/>
          <w:sz w:val="22"/>
          <w:szCs w:val="22"/>
          <w:lang w:val="lt-LT"/>
        </w:rPr>
        <w:t>6.</w:t>
      </w:r>
      <w:r w:rsidRPr="00216B78">
        <w:rPr>
          <w:b/>
          <w:bCs/>
          <w:sz w:val="22"/>
          <w:szCs w:val="22"/>
          <w:lang w:val="lt-LT"/>
        </w:rPr>
        <w:tab/>
      </w:r>
      <w:r w:rsidR="008E70E4" w:rsidRPr="00216B78">
        <w:rPr>
          <w:b/>
          <w:bCs/>
          <w:sz w:val="22"/>
          <w:szCs w:val="22"/>
          <w:lang w:val="lt-LT"/>
        </w:rPr>
        <w:t>FARMACINĖ INFORMACIJA</w:t>
      </w:r>
    </w:p>
    <w:p w14:paraId="691C6376" w14:textId="77777777" w:rsidR="007718AC" w:rsidRPr="00216B78" w:rsidRDefault="007718AC" w:rsidP="00463F94">
      <w:pPr>
        <w:keepNext/>
      </w:pPr>
    </w:p>
    <w:p w14:paraId="0120A82C" w14:textId="77777777" w:rsidR="008E70E4" w:rsidRPr="00216B78" w:rsidRDefault="007718AC" w:rsidP="00463F94">
      <w:pPr>
        <w:pStyle w:val="Default"/>
        <w:keepNext/>
        <w:outlineLvl w:val="1"/>
        <w:rPr>
          <w:b/>
          <w:bCs/>
          <w:sz w:val="22"/>
          <w:szCs w:val="22"/>
          <w:lang w:val="lt-LT"/>
        </w:rPr>
      </w:pPr>
      <w:r w:rsidRPr="00216B78">
        <w:rPr>
          <w:b/>
          <w:bCs/>
          <w:sz w:val="22"/>
          <w:szCs w:val="22"/>
          <w:lang w:val="lt-LT"/>
        </w:rPr>
        <w:t>6.1</w:t>
      </w:r>
      <w:r w:rsidRPr="00216B78">
        <w:rPr>
          <w:b/>
          <w:bCs/>
          <w:sz w:val="22"/>
          <w:szCs w:val="22"/>
          <w:lang w:val="lt-LT"/>
        </w:rPr>
        <w:tab/>
      </w:r>
      <w:r w:rsidR="008E70E4" w:rsidRPr="00216B78">
        <w:rPr>
          <w:b/>
          <w:bCs/>
          <w:sz w:val="22"/>
          <w:szCs w:val="22"/>
          <w:lang w:val="lt-LT"/>
        </w:rPr>
        <w:t>Pagalbinių medžiagų sąrašas</w:t>
      </w:r>
    </w:p>
    <w:p w14:paraId="5CE04E97" w14:textId="77777777" w:rsidR="007718AC" w:rsidRPr="00216B78" w:rsidRDefault="007718AC" w:rsidP="00463F94">
      <w:pPr>
        <w:keepNext/>
      </w:pPr>
    </w:p>
    <w:p w14:paraId="2433CFF3" w14:textId="77777777" w:rsidR="008E70E4" w:rsidRPr="00216B78" w:rsidRDefault="008E70E4" w:rsidP="00754B96">
      <w:pPr>
        <w:pStyle w:val="Default"/>
        <w:rPr>
          <w:color w:val="auto"/>
          <w:sz w:val="22"/>
          <w:szCs w:val="22"/>
          <w:u w:val="single"/>
          <w:lang w:val="lt-LT"/>
        </w:rPr>
      </w:pPr>
      <w:r w:rsidRPr="00216B78">
        <w:rPr>
          <w:color w:val="auto"/>
          <w:sz w:val="22"/>
          <w:szCs w:val="22"/>
          <w:u w:val="single"/>
          <w:lang w:val="lt-LT"/>
        </w:rPr>
        <w:t>Milteliai</w:t>
      </w:r>
    </w:p>
    <w:p w14:paraId="72BD5B17" w14:textId="77777777" w:rsidR="008E70E4" w:rsidRPr="00216B78" w:rsidRDefault="008E70E4" w:rsidP="00754B96">
      <w:pPr>
        <w:pStyle w:val="Default"/>
        <w:rPr>
          <w:color w:val="auto"/>
          <w:sz w:val="22"/>
          <w:szCs w:val="22"/>
          <w:lang w:val="lt-LT"/>
        </w:rPr>
      </w:pPr>
      <w:r w:rsidRPr="00216B78">
        <w:rPr>
          <w:color w:val="auto"/>
          <w:sz w:val="22"/>
          <w:szCs w:val="22"/>
          <w:lang w:val="lt-LT"/>
        </w:rPr>
        <w:t>L</w:t>
      </w:r>
      <w:r w:rsidRPr="00216B78">
        <w:rPr>
          <w:color w:val="auto"/>
          <w:sz w:val="22"/>
          <w:szCs w:val="22"/>
          <w:lang w:val="lt-LT"/>
        </w:rPr>
        <w:noBreakHyphen/>
        <w:t>arginino hidrochloridas</w:t>
      </w:r>
    </w:p>
    <w:p w14:paraId="655C7BF0" w14:textId="77777777" w:rsidR="008E70E4" w:rsidRPr="00216B78" w:rsidRDefault="008E70E4" w:rsidP="00754B96">
      <w:pPr>
        <w:pStyle w:val="Default"/>
        <w:rPr>
          <w:color w:val="auto"/>
          <w:sz w:val="22"/>
          <w:szCs w:val="22"/>
          <w:lang w:val="lt-LT"/>
        </w:rPr>
      </w:pPr>
      <w:r w:rsidRPr="00216B78">
        <w:rPr>
          <w:color w:val="auto"/>
          <w:sz w:val="22"/>
          <w:szCs w:val="22"/>
          <w:lang w:val="lt-LT"/>
        </w:rPr>
        <w:t>Glicinas</w:t>
      </w:r>
    </w:p>
    <w:p w14:paraId="280B8653" w14:textId="77777777" w:rsidR="008E70E4" w:rsidRPr="00216B78" w:rsidRDefault="008E70E4" w:rsidP="00754B96">
      <w:pPr>
        <w:pStyle w:val="Default"/>
        <w:rPr>
          <w:color w:val="auto"/>
          <w:sz w:val="22"/>
          <w:szCs w:val="22"/>
          <w:lang w:val="lt-LT"/>
        </w:rPr>
      </w:pPr>
      <w:r w:rsidRPr="00216B78">
        <w:rPr>
          <w:color w:val="auto"/>
          <w:sz w:val="22"/>
          <w:szCs w:val="22"/>
          <w:lang w:val="lt-LT"/>
        </w:rPr>
        <w:t>Natrio chloridas</w:t>
      </w:r>
    </w:p>
    <w:p w14:paraId="5D2CD35A" w14:textId="77777777" w:rsidR="008E70E4" w:rsidRPr="00216B78" w:rsidRDefault="008E70E4" w:rsidP="00754B96">
      <w:pPr>
        <w:pStyle w:val="Default"/>
        <w:rPr>
          <w:color w:val="auto"/>
          <w:sz w:val="22"/>
          <w:szCs w:val="22"/>
          <w:lang w:val="lt-LT"/>
        </w:rPr>
      </w:pPr>
      <w:r w:rsidRPr="00216B78">
        <w:rPr>
          <w:color w:val="auto"/>
          <w:sz w:val="22"/>
          <w:szCs w:val="22"/>
          <w:lang w:val="lt-LT"/>
        </w:rPr>
        <w:t>Natrio citrat</w:t>
      </w:r>
      <w:r w:rsidR="00BF0FE9" w:rsidRPr="00216B78">
        <w:rPr>
          <w:color w:val="auto"/>
          <w:sz w:val="22"/>
          <w:szCs w:val="22"/>
          <w:lang w:val="lt-LT"/>
        </w:rPr>
        <w:t>as</w:t>
      </w:r>
      <w:r w:rsidRPr="00216B78">
        <w:rPr>
          <w:color w:val="auto"/>
          <w:sz w:val="22"/>
          <w:szCs w:val="22"/>
          <w:lang w:val="lt-LT"/>
        </w:rPr>
        <w:t xml:space="preserve"> dihidratas</w:t>
      </w:r>
    </w:p>
    <w:p w14:paraId="1BB4FC30" w14:textId="77777777" w:rsidR="008E70E4" w:rsidRPr="00216B78" w:rsidRDefault="008E70E4" w:rsidP="00754B96">
      <w:pPr>
        <w:pStyle w:val="Default"/>
        <w:rPr>
          <w:sz w:val="22"/>
          <w:szCs w:val="22"/>
          <w:lang w:val="lt-LT"/>
        </w:rPr>
      </w:pPr>
    </w:p>
    <w:p w14:paraId="093B84C6" w14:textId="77777777" w:rsidR="008E70E4" w:rsidRPr="00216B78" w:rsidRDefault="008E70E4" w:rsidP="00754B96">
      <w:pPr>
        <w:pStyle w:val="Default"/>
        <w:rPr>
          <w:color w:val="auto"/>
          <w:sz w:val="22"/>
          <w:szCs w:val="22"/>
          <w:u w:val="single"/>
          <w:lang w:val="lt-LT"/>
        </w:rPr>
      </w:pPr>
      <w:r w:rsidRPr="00216B78">
        <w:rPr>
          <w:color w:val="auto"/>
          <w:sz w:val="22"/>
          <w:szCs w:val="22"/>
          <w:u w:val="single"/>
          <w:lang w:val="lt-LT"/>
        </w:rPr>
        <w:t>Tirpiklis</w:t>
      </w:r>
    </w:p>
    <w:p w14:paraId="4B615068" w14:textId="77777777" w:rsidR="008E70E4" w:rsidRPr="00216B78" w:rsidRDefault="008E70E4" w:rsidP="00754B96">
      <w:pPr>
        <w:pStyle w:val="Default"/>
        <w:rPr>
          <w:color w:val="auto"/>
          <w:sz w:val="22"/>
          <w:szCs w:val="22"/>
          <w:lang w:val="lt-LT"/>
        </w:rPr>
      </w:pPr>
      <w:r w:rsidRPr="00216B78">
        <w:rPr>
          <w:color w:val="auto"/>
          <w:sz w:val="22"/>
          <w:szCs w:val="22"/>
          <w:lang w:val="lt-LT"/>
        </w:rPr>
        <w:t>Injekcinis vanduo</w:t>
      </w:r>
    </w:p>
    <w:p w14:paraId="6F5693A0" w14:textId="77777777" w:rsidR="007718AC" w:rsidRPr="00216B78" w:rsidRDefault="007718AC" w:rsidP="00754B96">
      <w:pPr>
        <w:pStyle w:val="Default"/>
        <w:rPr>
          <w:color w:val="auto"/>
          <w:sz w:val="22"/>
          <w:szCs w:val="22"/>
          <w:lang w:val="lt-LT"/>
        </w:rPr>
      </w:pPr>
    </w:p>
    <w:p w14:paraId="676A45E7" w14:textId="77777777" w:rsidR="008E70E4" w:rsidRPr="00216B78" w:rsidRDefault="007718AC" w:rsidP="00754B96">
      <w:pPr>
        <w:pStyle w:val="Default"/>
        <w:outlineLvl w:val="1"/>
        <w:rPr>
          <w:b/>
          <w:bCs/>
          <w:sz w:val="22"/>
          <w:szCs w:val="22"/>
          <w:lang w:val="lt-LT"/>
        </w:rPr>
      </w:pPr>
      <w:r w:rsidRPr="00216B78">
        <w:rPr>
          <w:b/>
          <w:bCs/>
          <w:sz w:val="22"/>
          <w:szCs w:val="22"/>
          <w:lang w:val="lt-LT"/>
        </w:rPr>
        <w:t>6.2</w:t>
      </w:r>
      <w:r w:rsidRPr="00216B78">
        <w:rPr>
          <w:b/>
          <w:bCs/>
          <w:sz w:val="22"/>
          <w:szCs w:val="22"/>
          <w:lang w:val="lt-LT"/>
        </w:rPr>
        <w:tab/>
      </w:r>
      <w:r w:rsidR="008E70E4" w:rsidRPr="00216B78">
        <w:rPr>
          <w:b/>
          <w:bCs/>
          <w:sz w:val="22"/>
          <w:szCs w:val="22"/>
          <w:lang w:val="lt-LT"/>
        </w:rPr>
        <w:t>Nesuderinamumas</w:t>
      </w:r>
    </w:p>
    <w:p w14:paraId="73089498" w14:textId="77777777" w:rsidR="007718AC" w:rsidRPr="00216B78" w:rsidRDefault="007718AC" w:rsidP="007B277D">
      <w:pPr>
        <w:keepNext/>
      </w:pPr>
    </w:p>
    <w:p w14:paraId="2B3977B7" w14:textId="77777777" w:rsidR="008E70E4" w:rsidRPr="00216B78" w:rsidRDefault="008E70E4" w:rsidP="00754B96">
      <w:pPr>
        <w:pStyle w:val="Default"/>
        <w:rPr>
          <w:color w:val="auto"/>
          <w:sz w:val="22"/>
          <w:szCs w:val="22"/>
          <w:lang w:val="lt-LT"/>
        </w:rPr>
      </w:pPr>
      <w:r w:rsidRPr="00216B78">
        <w:rPr>
          <w:color w:val="auto"/>
          <w:sz w:val="22"/>
          <w:szCs w:val="22"/>
          <w:lang w:val="lt-LT"/>
        </w:rPr>
        <w:t>Šio vaistinio preparato maišyti su kitais negalima.</w:t>
      </w:r>
    </w:p>
    <w:p w14:paraId="56B281EB" w14:textId="77777777" w:rsidR="007718AC" w:rsidRPr="00216B78" w:rsidRDefault="007718AC" w:rsidP="00754B96">
      <w:pPr>
        <w:pStyle w:val="Default"/>
        <w:rPr>
          <w:color w:val="auto"/>
          <w:sz w:val="22"/>
          <w:szCs w:val="22"/>
          <w:lang w:val="lt-LT"/>
        </w:rPr>
      </w:pPr>
    </w:p>
    <w:p w14:paraId="192EF76E" w14:textId="77777777" w:rsidR="008E70E4" w:rsidRPr="00C67268" w:rsidRDefault="007718AC" w:rsidP="00FE53A3">
      <w:pPr>
        <w:pStyle w:val="Antrat2"/>
      </w:pPr>
      <w:r w:rsidRPr="00C67268">
        <w:lastRenderedPageBreak/>
        <w:t>6.3</w:t>
      </w:r>
      <w:r w:rsidRPr="00C67268">
        <w:tab/>
      </w:r>
      <w:r w:rsidR="008E70E4" w:rsidRPr="00C67268">
        <w:t>Tinkamumo laikas</w:t>
      </w:r>
    </w:p>
    <w:p w14:paraId="39D6EF62" w14:textId="77777777" w:rsidR="007718AC" w:rsidRPr="00216B78" w:rsidRDefault="007718AC" w:rsidP="007B277D">
      <w:pPr>
        <w:keepNext/>
      </w:pPr>
    </w:p>
    <w:p w14:paraId="05AA53D4" w14:textId="551979E3" w:rsidR="008E70E4" w:rsidRPr="00216B78" w:rsidRDefault="00C467F8" w:rsidP="00754B96">
      <w:pPr>
        <w:pStyle w:val="Default"/>
        <w:rPr>
          <w:color w:val="auto"/>
          <w:sz w:val="22"/>
          <w:szCs w:val="22"/>
          <w:lang w:val="lt-LT"/>
        </w:rPr>
      </w:pPr>
      <w:r>
        <w:rPr>
          <w:color w:val="auto"/>
          <w:sz w:val="22"/>
          <w:szCs w:val="22"/>
          <w:lang w:val="lt-LT"/>
        </w:rPr>
        <w:t>3</w:t>
      </w:r>
      <w:r w:rsidRPr="00216B78">
        <w:rPr>
          <w:color w:val="auto"/>
          <w:sz w:val="22"/>
          <w:szCs w:val="22"/>
          <w:lang w:val="lt-LT"/>
        </w:rPr>
        <w:t> </w:t>
      </w:r>
      <w:r w:rsidR="008E70E4" w:rsidRPr="00216B78">
        <w:rPr>
          <w:color w:val="auto"/>
          <w:sz w:val="22"/>
          <w:szCs w:val="22"/>
          <w:lang w:val="lt-LT"/>
        </w:rPr>
        <w:t>metai.</w:t>
      </w:r>
    </w:p>
    <w:p w14:paraId="3283FD2C" w14:textId="77777777" w:rsidR="00BF0FE9" w:rsidRPr="00216B78" w:rsidRDefault="008E70E4" w:rsidP="00754B96">
      <w:pPr>
        <w:pStyle w:val="Default"/>
        <w:rPr>
          <w:color w:val="auto"/>
          <w:sz w:val="22"/>
          <w:szCs w:val="22"/>
          <w:lang w:val="lt-LT"/>
        </w:rPr>
      </w:pPr>
      <w:r w:rsidRPr="00216B78">
        <w:rPr>
          <w:color w:val="auto"/>
          <w:sz w:val="22"/>
          <w:szCs w:val="22"/>
          <w:lang w:val="lt-LT"/>
        </w:rPr>
        <w:t xml:space="preserve">Paruošto tirpalo cheminis ir fizinis stabilumas išlieka 24 valandas, laikant kambario temperatūroje (ne aukštesnėje kaip 25 °C). </w:t>
      </w:r>
      <w:r w:rsidR="00BF0FE9" w:rsidRPr="00216B78">
        <w:rPr>
          <w:color w:val="auto"/>
          <w:sz w:val="22"/>
          <w:szCs w:val="22"/>
          <w:lang w:val="lt-LT"/>
        </w:rPr>
        <w:t>Mikrobiologiniu požiūriu</w:t>
      </w:r>
      <w:r w:rsidRPr="00216B78">
        <w:rPr>
          <w:color w:val="auto"/>
          <w:sz w:val="22"/>
          <w:szCs w:val="22"/>
          <w:lang w:val="lt-LT"/>
        </w:rPr>
        <w:t>, paruoštą vaistinį preparatą reikia vartoti nedelsiant. Jei vaistinis preparatas nėra nedelsiant vartojamas, už laikymo iki vartojimo trukmę ir sąlygas atsako vartotojas. Paruošt</w:t>
      </w:r>
      <w:r w:rsidR="00BF0FE9" w:rsidRPr="00216B78">
        <w:rPr>
          <w:color w:val="auto"/>
          <w:sz w:val="22"/>
          <w:szCs w:val="22"/>
          <w:lang w:val="lt-LT"/>
        </w:rPr>
        <w:t>o</w:t>
      </w:r>
      <w:r w:rsidRPr="00216B78">
        <w:rPr>
          <w:color w:val="auto"/>
          <w:sz w:val="22"/>
          <w:szCs w:val="22"/>
          <w:lang w:val="lt-LT"/>
        </w:rPr>
        <w:t xml:space="preserve"> tirpal</w:t>
      </w:r>
      <w:r w:rsidR="00BF0FE9" w:rsidRPr="00216B78">
        <w:rPr>
          <w:color w:val="auto"/>
          <w:sz w:val="22"/>
          <w:szCs w:val="22"/>
          <w:lang w:val="lt-LT"/>
        </w:rPr>
        <w:t>o negalima užšaldyti arba laikyti šaldytuve.</w:t>
      </w:r>
      <w:r w:rsidRPr="00216B78">
        <w:rPr>
          <w:color w:val="auto"/>
          <w:sz w:val="22"/>
          <w:szCs w:val="22"/>
          <w:lang w:val="lt-LT"/>
        </w:rPr>
        <w:t xml:space="preserve"> </w:t>
      </w:r>
    </w:p>
    <w:p w14:paraId="0C944AA4" w14:textId="77777777" w:rsidR="008E70E4" w:rsidRPr="00216B78" w:rsidRDefault="008E70E4" w:rsidP="00754B96">
      <w:pPr>
        <w:pStyle w:val="Default"/>
        <w:rPr>
          <w:color w:val="auto"/>
          <w:sz w:val="22"/>
          <w:szCs w:val="22"/>
          <w:lang w:val="lt-LT"/>
        </w:rPr>
      </w:pPr>
      <w:r w:rsidRPr="00216B78">
        <w:rPr>
          <w:color w:val="auto"/>
          <w:sz w:val="22"/>
          <w:szCs w:val="22"/>
          <w:lang w:val="lt-LT"/>
        </w:rPr>
        <w:t>Buteliukus su vaistinių preparatų likučiais reikia išmesti.</w:t>
      </w:r>
    </w:p>
    <w:p w14:paraId="30003E43" w14:textId="77777777" w:rsidR="007718AC" w:rsidRPr="00216B78" w:rsidRDefault="007718AC" w:rsidP="00754B96">
      <w:pPr>
        <w:pStyle w:val="Default"/>
        <w:rPr>
          <w:color w:val="auto"/>
          <w:sz w:val="22"/>
          <w:szCs w:val="22"/>
          <w:lang w:val="lt-LT"/>
        </w:rPr>
      </w:pPr>
    </w:p>
    <w:p w14:paraId="14614B29" w14:textId="77777777" w:rsidR="008E70E4" w:rsidRPr="00216B78" w:rsidRDefault="007718AC" w:rsidP="00754B96">
      <w:pPr>
        <w:pStyle w:val="Default"/>
        <w:outlineLvl w:val="1"/>
        <w:rPr>
          <w:b/>
          <w:bCs/>
          <w:sz w:val="22"/>
          <w:szCs w:val="22"/>
          <w:lang w:val="lt-LT"/>
        </w:rPr>
      </w:pPr>
      <w:r w:rsidRPr="00216B78">
        <w:rPr>
          <w:b/>
          <w:bCs/>
          <w:sz w:val="22"/>
          <w:szCs w:val="22"/>
          <w:lang w:val="lt-LT"/>
        </w:rPr>
        <w:t>6.4</w:t>
      </w:r>
      <w:r w:rsidRPr="00216B78">
        <w:rPr>
          <w:b/>
          <w:bCs/>
          <w:sz w:val="22"/>
          <w:szCs w:val="22"/>
          <w:lang w:val="lt-LT"/>
        </w:rPr>
        <w:tab/>
      </w:r>
      <w:r w:rsidR="008E70E4" w:rsidRPr="00216B78">
        <w:rPr>
          <w:b/>
          <w:bCs/>
          <w:sz w:val="22"/>
          <w:szCs w:val="22"/>
          <w:lang w:val="lt-LT"/>
        </w:rPr>
        <w:t>Specialios laikymo sąlygos</w:t>
      </w:r>
    </w:p>
    <w:p w14:paraId="738D2DEC" w14:textId="77777777" w:rsidR="007718AC" w:rsidRPr="00216B78" w:rsidRDefault="007718AC" w:rsidP="007B277D">
      <w:pPr>
        <w:keepNext/>
      </w:pPr>
    </w:p>
    <w:p w14:paraId="0A27A243" w14:textId="77777777" w:rsidR="008E70E4" w:rsidRPr="00216B78" w:rsidRDefault="008E70E4" w:rsidP="00754B96">
      <w:pPr>
        <w:pStyle w:val="Default"/>
        <w:rPr>
          <w:color w:val="auto"/>
          <w:sz w:val="22"/>
          <w:szCs w:val="22"/>
          <w:lang w:val="lt-LT"/>
        </w:rPr>
      </w:pPr>
      <w:r w:rsidRPr="00216B78">
        <w:rPr>
          <w:color w:val="auto"/>
          <w:sz w:val="22"/>
          <w:szCs w:val="22"/>
          <w:lang w:val="lt-LT"/>
        </w:rPr>
        <w:t xml:space="preserve">Laikyti ne aukštesnėje kaip 25 °C temperatūroje. Negalima užšaldyti. Buteliuką laikyti išorinėje dėžutėje, kad </w:t>
      </w:r>
      <w:r w:rsidR="00F44205" w:rsidRPr="00216B78">
        <w:rPr>
          <w:color w:val="auto"/>
          <w:sz w:val="22"/>
          <w:szCs w:val="22"/>
          <w:lang w:val="lt-LT"/>
        </w:rPr>
        <w:t xml:space="preserve">vaistinis </w:t>
      </w:r>
      <w:r w:rsidRPr="00216B78">
        <w:rPr>
          <w:color w:val="auto"/>
          <w:sz w:val="22"/>
          <w:szCs w:val="22"/>
          <w:lang w:val="lt-LT"/>
        </w:rPr>
        <w:t>preparatas būtų apsaugotas nuo šviesos.</w:t>
      </w:r>
    </w:p>
    <w:p w14:paraId="2D888AA1" w14:textId="77777777" w:rsidR="007718AC" w:rsidRPr="00216B78" w:rsidRDefault="007718AC" w:rsidP="00754B96">
      <w:pPr>
        <w:pStyle w:val="Default"/>
        <w:rPr>
          <w:color w:val="auto"/>
          <w:sz w:val="22"/>
          <w:szCs w:val="22"/>
          <w:lang w:val="lt-LT"/>
        </w:rPr>
      </w:pPr>
    </w:p>
    <w:p w14:paraId="6A3B155B" w14:textId="77777777" w:rsidR="008E70E4" w:rsidRPr="00216B78" w:rsidRDefault="008E70E4" w:rsidP="00754B96">
      <w:pPr>
        <w:pStyle w:val="Default"/>
        <w:rPr>
          <w:color w:val="auto"/>
          <w:sz w:val="22"/>
          <w:szCs w:val="22"/>
          <w:lang w:val="lt-LT"/>
        </w:rPr>
      </w:pPr>
      <w:r w:rsidRPr="00216B78">
        <w:rPr>
          <w:color w:val="auto"/>
          <w:sz w:val="22"/>
          <w:szCs w:val="22"/>
          <w:lang w:val="lt-LT"/>
        </w:rPr>
        <w:t>Paruošto vaistinio preparato laikymo sąlygos pateikiamos 6.3 skyriuje.</w:t>
      </w:r>
    </w:p>
    <w:p w14:paraId="77AF4036" w14:textId="77777777" w:rsidR="007718AC" w:rsidRPr="00216B78" w:rsidRDefault="007718AC" w:rsidP="00754B96">
      <w:pPr>
        <w:pStyle w:val="Default"/>
        <w:rPr>
          <w:sz w:val="22"/>
          <w:szCs w:val="22"/>
          <w:lang w:val="lt-LT"/>
        </w:rPr>
      </w:pPr>
    </w:p>
    <w:p w14:paraId="193F56FF" w14:textId="77777777" w:rsidR="008E70E4" w:rsidRPr="00216B78" w:rsidRDefault="007718AC" w:rsidP="00754B96">
      <w:pPr>
        <w:pStyle w:val="Default"/>
        <w:outlineLvl w:val="1"/>
        <w:rPr>
          <w:b/>
          <w:bCs/>
          <w:sz w:val="22"/>
          <w:szCs w:val="22"/>
          <w:lang w:val="lt-LT"/>
        </w:rPr>
      </w:pPr>
      <w:r w:rsidRPr="00216B78">
        <w:rPr>
          <w:b/>
          <w:bCs/>
          <w:sz w:val="22"/>
          <w:szCs w:val="22"/>
          <w:lang w:val="lt-LT"/>
        </w:rPr>
        <w:t>6.5</w:t>
      </w:r>
      <w:r w:rsidRPr="00216B78">
        <w:rPr>
          <w:b/>
          <w:bCs/>
          <w:sz w:val="22"/>
          <w:szCs w:val="22"/>
          <w:lang w:val="lt-LT"/>
        </w:rPr>
        <w:tab/>
      </w:r>
      <w:r w:rsidR="008E70E4" w:rsidRPr="00216B78">
        <w:rPr>
          <w:b/>
          <w:bCs/>
          <w:sz w:val="22"/>
          <w:szCs w:val="22"/>
          <w:lang w:val="lt-LT"/>
        </w:rPr>
        <w:t>Talpyklės pobūdis ir jos turinys</w:t>
      </w:r>
    </w:p>
    <w:p w14:paraId="2DF94663" w14:textId="77777777" w:rsidR="007718AC" w:rsidRPr="00216B78" w:rsidRDefault="007718AC" w:rsidP="007B277D">
      <w:pPr>
        <w:keepNext/>
      </w:pPr>
    </w:p>
    <w:p w14:paraId="4F0DFDF5" w14:textId="77777777" w:rsidR="008E70E4" w:rsidRPr="00216B78" w:rsidRDefault="008E70E4" w:rsidP="00754B96">
      <w:pPr>
        <w:pStyle w:val="Default"/>
        <w:rPr>
          <w:color w:val="auto"/>
          <w:sz w:val="22"/>
          <w:szCs w:val="22"/>
          <w:lang w:val="lt-LT"/>
        </w:rPr>
      </w:pPr>
      <w:r w:rsidRPr="00216B78">
        <w:rPr>
          <w:color w:val="auto"/>
          <w:sz w:val="22"/>
          <w:szCs w:val="22"/>
          <w:lang w:val="lt-LT"/>
        </w:rPr>
        <w:t>Kiekvienoje pakuotėje yra</w:t>
      </w:r>
    </w:p>
    <w:p w14:paraId="66D49078" w14:textId="77777777" w:rsidR="008E70E4" w:rsidRPr="00216B78" w:rsidRDefault="008E70E4" w:rsidP="00C67268">
      <w:pPr>
        <w:pStyle w:val="Default"/>
        <w:widowControl w:val="0"/>
        <w:numPr>
          <w:ilvl w:val="0"/>
          <w:numId w:val="2"/>
        </w:numPr>
        <w:rPr>
          <w:color w:val="auto"/>
          <w:sz w:val="22"/>
          <w:szCs w:val="22"/>
          <w:lang w:val="lt-LT"/>
        </w:rPr>
      </w:pPr>
      <w:r w:rsidRPr="00216B78">
        <w:rPr>
          <w:color w:val="auto"/>
          <w:sz w:val="22"/>
          <w:szCs w:val="22"/>
          <w:lang w:val="lt-LT"/>
        </w:rPr>
        <w:t>1 g žmogaus fibrinogeno 100 ml bespalvio</w:t>
      </w:r>
      <w:r w:rsidR="00111BD7" w:rsidRPr="00216B78">
        <w:rPr>
          <w:color w:val="auto"/>
          <w:sz w:val="22"/>
          <w:szCs w:val="22"/>
          <w:lang w:val="lt-LT"/>
        </w:rPr>
        <w:t xml:space="preserve"> II tipo (Ph. Eur)</w:t>
      </w:r>
      <w:r w:rsidRPr="00216B78">
        <w:rPr>
          <w:color w:val="auto"/>
          <w:sz w:val="22"/>
          <w:szCs w:val="22"/>
          <w:lang w:val="lt-LT"/>
        </w:rPr>
        <w:t xml:space="preserve"> stiklo buteliuke, užkimštame infuziniu </w:t>
      </w:r>
      <w:r w:rsidR="00111BD7" w:rsidRPr="00216B78">
        <w:rPr>
          <w:color w:val="auto"/>
          <w:sz w:val="22"/>
          <w:szCs w:val="22"/>
          <w:lang w:val="lt-LT"/>
        </w:rPr>
        <w:t xml:space="preserve">bromobutilo gumos </w:t>
      </w:r>
      <w:r w:rsidRPr="00216B78">
        <w:rPr>
          <w:color w:val="auto"/>
          <w:sz w:val="22"/>
          <w:szCs w:val="22"/>
          <w:lang w:val="lt-LT"/>
        </w:rPr>
        <w:t>kamščiu ir užsandarintame aliumininiu nuimamuoju dangteliu</w:t>
      </w:r>
    </w:p>
    <w:p w14:paraId="03B73E17" w14:textId="77777777" w:rsidR="008E70E4" w:rsidRPr="00216B78" w:rsidRDefault="008E70E4" w:rsidP="00C67268">
      <w:pPr>
        <w:pStyle w:val="Default"/>
        <w:widowControl w:val="0"/>
        <w:numPr>
          <w:ilvl w:val="0"/>
          <w:numId w:val="2"/>
        </w:numPr>
        <w:rPr>
          <w:color w:val="auto"/>
          <w:sz w:val="22"/>
          <w:szCs w:val="22"/>
          <w:lang w:val="lt-LT"/>
        </w:rPr>
      </w:pPr>
      <w:r w:rsidRPr="00216B78">
        <w:rPr>
          <w:color w:val="auto"/>
          <w:sz w:val="22"/>
          <w:szCs w:val="22"/>
          <w:lang w:val="lt-LT"/>
        </w:rPr>
        <w:t>50 ml tirpikli</w:t>
      </w:r>
      <w:r w:rsidR="00111BD7" w:rsidRPr="00216B78">
        <w:rPr>
          <w:color w:val="auto"/>
          <w:sz w:val="22"/>
          <w:szCs w:val="22"/>
          <w:lang w:val="lt-LT"/>
        </w:rPr>
        <w:t>o</w:t>
      </w:r>
      <w:r w:rsidRPr="00216B78">
        <w:rPr>
          <w:color w:val="auto"/>
          <w:sz w:val="22"/>
          <w:szCs w:val="22"/>
          <w:lang w:val="lt-LT"/>
        </w:rPr>
        <w:t xml:space="preserve"> (injekcini</w:t>
      </w:r>
      <w:r w:rsidR="001C4564" w:rsidRPr="00216B78">
        <w:rPr>
          <w:color w:val="auto"/>
          <w:sz w:val="22"/>
          <w:szCs w:val="22"/>
          <w:lang w:val="lt-LT"/>
        </w:rPr>
        <w:t>o</w:t>
      </w:r>
      <w:r w:rsidRPr="00216B78">
        <w:rPr>
          <w:color w:val="auto"/>
          <w:sz w:val="22"/>
          <w:szCs w:val="22"/>
          <w:lang w:val="lt-LT"/>
        </w:rPr>
        <w:t xml:space="preserve"> vand</w:t>
      </w:r>
      <w:r w:rsidR="001C4564" w:rsidRPr="00216B78">
        <w:rPr>
          <w:color w:val="auto"/>
          <w:sz w:val="22"/>
          <w:szCs w:val="22"/>
          <w:lang w:val="lt-LT"/>
        </w:rPr>
        <w:t>ens</w:t>
      </w:r>
      <w:r w:rsidRPr="00216B78">
        <w:rPr>
          <w:color w:val="auto"/>
          <w:sz w:val="22"/>
          <w:szCs w:val="22"/>
          <w:lang w:val="lt-LT"/>
        </w:rPr>
        <w:t xml:space="preserve">) 50 ml bespalvio </w:t>
      </w:r>
      <w:r w:rsidR="00111BD7" w:rsidRPr="00216B78">
        <w:rPr>
          <w:color w:val="auto"/>
          <w:sz w:val="22"/>
          <w:szCs w:val="22"/>
          <w:lang w:val="lt-LT"/>
        </w:rPr>
        <w:t xml:space="preserve">II tipo (Ph. Eur.) </w:t>
      </w:r>
      <w:r w:rsidRPr="00216B78">
        <w:rPr>
          <w:color w:val="auto"/>
          <w:sz w:val="22"/>
          <w:szCs w:val="22"/>
          <w:lang w:val="lt-LT"/>
        </w:rPr>
        <w:t xml:space="preserve">stiklo </w:t>
      </w:r>
      <w:r w:rsidR="00663C46" w:rsidRPr="00216B78">
        <w:rPr>
          <w:color w:val="auto"/>
          <w:sz w:val="22"/>
          <w:szCs w:val="22"/>
          <w:lang w:val="lt-LT"/>
        </w:rPr>
        <w:t>flakone</w:t>
      </w:r>
      <w:r w:rsidRPr="00216B78">
        <w:rPr>
          <w:color w:val="auto"/>
          <w:sz w:val="22"/>
          <w:szCs w:val="22"/>
          <w:lang w:val="lt-LT"/>
        </w:rPr>
        <w:t xml:space="preserve">, užkimštame infuziniu </w:t>
      </w:r>
      <w:r w:rsidR="00111BD7" w:rsidRPr="00216B78">
        <w:rPr>
          <w:color w:val="auto"/>
          <w:sz w:val="22"/>
          <w:szCs w:val="22"/>
          <w:lang w:val="lt-LT"/>
        </w:rPr>
        <w:t xml:space="preserve">halobutilo gumos </w:t>
      </w:r>
      <w:r w:rsidRPr="00216B78">
        <w:rPr>
          <w:color w:val="auto"/>
          <w:sz w:val="22"/>
          <w:szCs w:val="22"/>
          <w:lang w:val="lt-LT"/>
        </w:rPr>
        <w:t>kamščiu ir užsandarintame aliumininiu nuimamuoju dangteliu</w:t>
      </w:r>
    </w:p>
    <w:p w14:paraId="4892FA0E" w14:textId="5659C9A7" w:rsidR="008E70E4" w:rsidRPr="00FE53A3" w:rsidRDefault="008E70E4" w:rsidP="00C67268">
      <w:pPr>
        <w:pStyle w:val="Default"/>
        <w:widowControl w:val="0"/>
        <w:numPr>
          <w:ilvl w:val="0"/>
          <w:numId w:val="2"/>
        </w:numPr>
        <w:rPr>
          <w:sz w:val="22"/>
          <w:lang w:val="lt-LT"/>
        </w:rPr>
      </w:pPr>
      <w:r w:rsidRPr="00246F8F">
        <w:rPr>
          <w:color w:val="auto"/>
          <w:sz w:val="22"/>
          <w:szCs w:val="22"/>
          <w:lang w:val="lt-LT"/>
        </w:rPr>
        <w:t>1</w:t>
      </w:r>
      <w:r w:rsidR="00D70708">
        <w:rPr>
          <w:color w:val="auto"/>
          <w:sz w:val="22"/>
          <w:szCs w:val="22"/>
          <w:lang w:val="lt-LT"/>
        </w:rPr>
        <w:t> </w:t>
      </w:r>
      <w:r w:rsidR="00246F8F" w:rsidRPr="00246F8F">
        <w:rPr>
          <w:i/>
          <w:color w:val="auto"/>
          <w:sz w:val="22"/>
          <w:szCs w:val="22"/>
          <w:lang w:val="lt-LT"/>
        </w:rPr>
        <w:t>nextaro</w:t>
      </w:r>
      <w:r w:rsidR="008A181E" w:rsidRPr="00246F8F">
        <w:rPr>
          <w:color w:val="auto"/>
          <w:sz w:val="22"/>
          <w:szCs w:val="22"/>
          <w:lang w:val="lt-LT"/>
        </w:rPr>
        <w:t xml:space="preserve"> </w:t>
      </w:r>
      <w:r w:rsidRPr="00246F8F">
        <w:rPr>
          <w:color w:val="auto"/>
          <w:sz w:val="22"/>
          <w:szCs w:val="22"/>
          <w:lang w:val="lt-LT"/>
        </w:rPr>
        <w:t>perkėlimo įtaisas</w:t>
      </w:r>
    </w:p>
    <w:p w14:paraId="498FC17A" w14:textId="77777777" w:rsidR="007718AC" w:rsidRPr="00216B78" w:rsidRDefault="007718AC" w:rsidP="00463F94">
      <w:pPr>
        <w:pStyle w:val="Default"/>
        <w:widowControl w:val="0"/>
        <w:rPr>
          <w:sz w:val="22"/>
          <w:szCs w:val="22"/>
          <w:lang w:val="lt-LT"/>
        </w:rPr>
      </w:pPr>
    </w:p>
    <w:p w14:paraId="2AFE4FB8" w14:textId="77777777" w:rsidR="008E70E4" w:rsidRPr="00C67268" w:rsidRDefault="007718AC" w:rsidP="00FE53A3">
      <w:pPr>
        <w:pStyle w:val="Antrat2"/>
      </w:pPr>
      <w:r w:rsidRPr="00C67268">
        <w:t>6.6</w:t>
      </w:r>
      <w:r w:rsidRPr="00C67268">
        <w:tab/>
      </w:r>
      <w:r w:rsidR="008E70E4" w:rsidRPr="00C67268">
        <w:t>Specialūs reikalavimai atliekoms tvarkyti ir vaistiniam preparatui ruošti</w:t>
      </w:r>
    </w:p>
    <w:p w14:paraId="79451CFB" w14:textId="77777777" w:rsidR="007718AC" w:rsidRPr="00216B78" w:rsidRDefault="007718AC" w:rsidP="007B277D">
      <w:pPr>
        <w:keepNext/>
      </w:pPr>
    </w:p>
    <w:p w14:paraId="6B75D2E6" w14:textId="77777777" w:rsidR="008E70E4" w:rsidRPr="002458C0" w:rsidRDefault="008E70E4" w:rsidP="00FE53A3">
      <w:pPr>
        <w:pStyle w:val="Antrat4"/>
        <w:rPr>
          <w:b w:val="0"/>
          <w:i w:val="0"/>
        </w:rPr>
      </w:pPr>
      <w:r w:rsidRPr="00FE53A3">
        <w:t>Bendros instrukcijos</w:t>
      </w:r>
    </w:p>
    <w:p w14:paraId="2228BC5D" w14:textId="77777777" w:rsidR="007718AC" w:rsidRPr="00216B78" w:rsidRDefault="007718AC" w:rsidP="007B277D">
      <w:pPr>
        <w:keepNext/>
      </w:pPr>
    </w:p>
    <w:p w14:paraId="0FCF0A8A" w14:textId="77777777" w:rsidR="008E70E4" w:rsidRPr="00C67268" w:rsidRDefault="008E70E4" w:rsidP="00FE53A3">
      <w:pPr>
        <w:pStyle w:val="Sraopastraipa"/>
        <w:numPr>
          <w:ilvl w:val="0"/>
          <w:numId w:val="37"/>
        </w:numPr>
      </w:pPr>
      <w:r w:rsidRPr="00C67268">
        <w:t>Paruoštas tirpalas turi būti beveik bespalvis ir šiek tiek opalinis. Negalima vartoti tirpalų, kurie yra drumsti arba su nuosėdomis.</w:t>
      </w:r>
    </w:p>
    <w:p w14:paraId="5BA945B5" w14:textId="675C3545" w:rsidR="00D70708" w:rsidRPr="00977646" w:rsidRDefault="008D2F2F" w:rsidP="00977646">
      <w:pPr>
        <w:pStyle w:val="Sraopastraipa"/>
        <w:numPr>
          <w:ilvl w:val="0"/>
          <w:numId w:val="37"/>
        </w:numPr>
      </w:pPr>
      <w:bookmarkStart w:id="13" w:name="_Hlk148600480"/>
      <w:r w:rsidRPr="00977646">
        <w:t>fibryga</w:t>
      </w:r>
      <w:r w:rsidR="00D70708" w:rsidRPr="00977646">
        <w:t xml:space="preserve"> skirtas tik vienkartiniam vartojimui. Negalima pakartotinai naudoti jokių komponentų.</w:t>
      </w:r>
    </w:p>
    <w:p w14:paraId="07E421E6" w14:textId="6AB07238" w:rsidR="00D70708" w:rsidRPr="00977646" w:rsidRDefault="00D70708" w:rsidP="00977646">
      <w:pPr>
        <w:pStyle w:val="Sraopastraipa"/>
        <w:numPr>
          <w:ilvl w:val="0"/>
          <w:numId w:val="37"/>
        </w:numPr>
      </w:pPr>
      <w:r w:rsidRPr="00977646">
        <w:t xml:space="preserve">Mikrobiologiniu požiūriu paruoštą tirpalą reikia vartoti nedelsiant. Paruošto tirpalo cheminis ir fizinis stabilumas išlieka 24 valandas, laikant kambario temperatūroje (ne aukštesnėje kaip 25 °C). Paruošto </w:t>
      </w:r>
      <w:r w:rsidR="008D2F2F" w:rsidRPr="00977646">
        <w:t xml:space="preserve">fibryga </w:t>
      </w:r>
      <w:r w:rsidRPr="00977646">
        <w:t>tirpalo negalima užšaldyti arba laikyti šaldytuve.</w:t>
      </w:r>
    </w:p>
    <w:bookmarkEnd w:id="13"/>
    <w:p w14:paraId="14D3FFF1" w14:textId="77777777" w:rsidR="007718AC" w:rsidRPr="00C67268" w:rsidRDefault="007718AC" w:rsidP="00FE53A3"/>
    <w:p w14:paraId="240E6FAF" w14:textId="77777777" w:rsidR="008E70E4" w:rsidRPr="002458C0" w:rsidRDefault="008E70E4" w:rsidP="00FE53A3">
      <w:pPr>
        <w:pStyle w:val="Antrat4"/>
        <w:rPr>
          <w:b w:val="0"/>
          <w:i w:val="0"/>
        </w:rPr>
      </w:pPr>
      <w:r w:rsidRPr="00FE53A3">
        <w:t>Ruošimas</w:t>
      </w:r>
    </w:p>
    <w:p w14:paraId="58DF49B7" w14:textId="77777777" w:rsidR="007718AC" w:rsidRPr="00977646" w:rsidRDefault="007718AC" w:rsidP="00FE53A3"/>
    <w:p w14:paraId="488B7012" w14:textId="12A9005C" w:rsidR="00D70708" w:rsidRPr="00D70708" w:rsidRDefault="00D70708" w:rsidP="00073D00">
      <w:pPr>
        <w:numPr>
          <w:ilvl w:val="0"/>
          <w:numId w:val="15"/>
        </w:numPr>
        <w:autoSpaceDE w:val="0"/>
        <w:autoSpaceDN w:val="0"/>
        <w:adjustRightInd w:val="0"/>
        <w:rPr>
          <w:rFonts w:eastAsia="Times New Roman"/>
          <w:bCs/>
          <w:iCs/>
        </w:rPr>
      </w:pPr>
      <w:r w:rsidRPr="00D70708">
        <w:rPr>
          <w:rFonts w:eastAsiaTheme="minorHAnsi" w:cstheme="minorBidi"/>
          <w:color w:val="000000"/>
          <w:kern w:val="2"/>
          <w14:ligatures w14:val="standardContextual"/>
        </w:rPr>
        <w:t>Užtikrinkite, kad miltelių (</w:t>
      </w:r>
      <w:r w:rsidR="008D2F2F">
        <w:t>fibryga</w:t>
      </w:r>
      <w:r w:rsidRPr="00D70708">
        <w:rPr>
          <w:rFonts w:eastAsiaTheme="minorHAnsi" w:cstheme="minorBidi"/>
          <w:color w:val="000000"/>
          <w:kern w:val="2"/>
          <w14:ligatures w14:val="standardContextual"/>
        </w:rPr>
        <w:t xml:space="preserve">) buteliukas ir tirpiklio flakonas būtų kambario temperatūros. </w:t>
      </w:r>
      <w:r w:rsidRPr="00FE53A3">
        <w:rPr>
          <w:color w:val="000000"/>
          <w:kern w:val="2"/>
          <w14:ligatures w14:val="standardContextual"/>
        </w:rPr>
        <w:t xml:space="preserve">Ši temperatūra turi būti palaikoma viso ruošimo metu. Jei šildymui naudojama vandens vonelė, reikia saugoti, kad ant talpyklių guminių kamščių arba </w:t>
      </w:r>
      <w:r w:rsidR="0046252A">
        <w:rPr>
          <w:rFonts w:eastAsiaTheme="minorHAnsi" w:cstheme="minorBidi"/>
          <w:color w:val="000000"/>
          <w:kern w:val="2"/>
          <w14:ligatures w14:val="standardContextual"/>
        </w:rPr>
        <w:t>nuimamųjų dangtelių</w:t>
      </w:r>
      <w:r w:rsidRPr="00D70708">
        <w:rPr>
          <w:rFonts w:eastAsiaTheme="minorHAnsi" w:cstheme="minorBidi"/>
          <w:color w:val="000000"/>
          <w:kern w:val="2"/>
          <w14:ligatures w14:val="standardContextual"/>
        </w:rPr>
        <w:t xml:space="preserve"> nepatektų vandens. </w:t>
      </w:r>
      <w:r w:rsidRPr="00FE53A3">
        <w:rPr>
          <w:color w:val="000000"/>
          <w:kern w:val="2"/>
          <w14:ligatures w14:val="standardContextual"/>
        </w:rPr>
        <w:t>Vandens vonelės temperatūra neturi viršyti +37 °C.</w:t>
      </w:r>
    </w:p>
    <w:p w14:paraId="28573603" w14:textId="63F2FD64" w:rsidR="00D70708" w:rsidRPr="00073D00" w:rsidRDefault="00D70708" w:rsidP="00073D00">
      <w:pPr>
        <w:pStyle w:val="Sraopastraipa"/>
        <w:keepNext/>
        <w:numPr>
          <w:ilvl w:val="0"/>
          <w:numId w:val="15"/>
        </w:numPr>
        <w:rPr>
          <w:rFonts w:eastAsia="Times New Roman" w:cs="Arial"/>
          <w:noProof/>
          <w:color w:val="000000"/>
          <w:szCs w:val="24"/>
        </w:rPr>
      </w:pPr>
      <w:r w:rsidRPr="00073D00">
        <w:rPr>
          <w:rFonts w:eastAsiaTheme="minorHAnsi" w:cstheme="minorBidi"/>
          <w:color w:val="000000"/>
          <w:kern w:val="2"/>
          <w14:ligatures w14:val="standardContextual"/>
        </w:rPr>
        <w:t>Nuimkite nuo miltelių (</w:t>
      </w:r>
      <w:r w:rsidR="008D2F2F">
        <w:t>fibryga</w:t>
      </w:r>
      <w:r w:rsidRPr="00073D00">
        <w:rPr>
          <w:rFonts w:eastAsiaTheme="minorHAnsi" w:cstheme="minorBidi"/>
          <w:color w:val="000000"/>
          <w:kern w:val="2"/>
          <w14:ligatures w14:val="standardContextual"/>
        </w:rPr>
        <w:t xml:space="preserve">) buteliuko ir tirpiklio flakono </w:t>
      </w:r>
      <w:r w:rsidR="0046252A" w:rsidRPr="00073D00">
        <w:rPr>
          <w:rFonts w:eastAsiaTheme="minorHAnsi" w:cstheme="minorBidi"/>
          <w:color w:val="000000"/>
          <w:kern w:val="2"/>
          <w14:ligatures w14:val="standardContextual"/>
        </w:rPr>
        <w:t>nuimamuosius dangtelius</w:t>
      </w:r>
      <w:r w:rsidRPr="00073D00">
        <w:rPr>
          <w:rFonts w:eastAsiaTheme="minorHAnsi" w:cstheme="minorBidi"/>
          <w:color w:val="000000"/>
          <w:kern w:val="2"/>
          <w14:ligatures w14:val="standardContextual"/>
        </w:rPr>
        <w:t xml:space="preserve">, kad </w:t>
      </w:r>
      <w:r w:rsidRPr="00073D00">
        <w:t>atsidengtų</w:t>
      </w:r>
      <w:r w:rsidRPr="00073D00">
        <w:rPr>
          <w:rFonts w:eastAsiaTheme="minorHAnsi" w:cstheme="minorBidi"/>
          <w:color w:val="000000"/>
          <w:kern w:val="2"/>
          <w14:ligatures w14:val="standardContextual"/>
        </w:rPr>
        <w:t xml:space="preserve"> vidurinė infuzinio kamščio dalis. Nuvalykite guminius kamščius spiritiniu tamponu ir palaukite, kol guminiai kamščiai nudžius.</w:t>
      </w:r>
    </w:p>
    <w:p w14:paraId="34BFD1E7" w14:textId="77777777" w:rsidR="00D70708" w:rsidRPr="00D70708" w:rsidRDefault="00D70708" w:rsidP="00073D00">
      <w:pPr>
        <w:pStyle w:val="Sraopastraipa"/>
        <w:keepNext/>
        <w:numPr>
          <w:ilvl w:val="0"/>
          <w:numId w:val="15"/>
        </w:numPr>
        <w:rPr>
          <w:rFonts w:eastAsia="Times New Roman" w:cs="Arial"/>
          <w:noProof/>
          <w:color w:val="000000"/>
          <w:szCs w:val="24"/>
        </w:rPr>
      </w:pPr>
      <w:r w:rsidRPr="00D70708">
        <w:rPr>
          <w:rFonts w:eastAsiaTheme="minorHAnsi" w:cstheme="minorBidi"/>
          <w:color w:val="000000"/>
          <w:kern w:val="2"/>
          <w14:ligatures w14:val="standardContextual"/>
        </w:rPr>
        <w:t>Atidarykite perkėlimo įtaiso (</w:t>
      </w:r>
      <w:r w:rsidRPr="00D70708">
        <w:rPr>
          <w:rFonts w:eastAsiaTheme="minorHAnsi" w:cstheme="minorBidi"/>
          <w:i/>
          <w:iCs/>
          <w:color w:val="000000"/>
          <w:kern w:val="2"/>
          <w14:ligatures w14:val="standardContextual"/>
        </w:rPr>
        <w:t>nextaro</w:t>
      </w:r>
      <w:r w:rsidRPr="00D70708">
        <w:rPr>
          <w:rFonts w:eastAsiaTheme="minorHAnsi" w:cstheme="minorBidi"/>
          <w:color w:val="000000"/>
          <w:kern w:val="2"/>
          <w14:ligatures w14:val="standardContextual"/>
        </w:rPr>
        <w:t>) pakuotę nulupdami dangtelį (1 pav.). Sterilumui išlaikyti neišimkite perkėlimo įtaiso iš skaidrios lizdinės pakuotės. Nelieskite smaigalio.</w:t>
      </w:r>
    </w:p>
    <w:p w14:paraId="3DE46954" w14:textId="77777777" w:rsidR="00D70708" w:rsidRPr="00D70708" w:rsidRDefault="00D70708" w:rsidP="00073D00">
      <w:pPr>
        <w:autoSpaceDE w:val="0"/>
        <w:autoSpaceDN w:val="0"/>
        <w:adjustRightInd w:val="0"/>
        <w:ind w:left="567"/>
        <w:jc w:val="both"/>
        <w:rPr>
          <w:rFonts w:eastAsia="Times New Roman" w:cs="Arial"/>
          <w:noProof/>
          <w:color w:val="000000"/>
          <w:szCs w:val="24"/>
          <w:lang w:eastAsia="de-AT"/>
        </w:rPr>
      </w:pPr>
    </w:p>
    <w:tbl>
      <w:tblPr>
        <w:tblStyle w:val="Lentelstinklelis"/>
        <w:tblW w:w="8701"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754"/>
        <w:gridCol w:w="5947"/>
      </w:tblGrid>
      <w:tr w:rsidR="00977646" w:rsidRPr="00AB2F7B" w14:paraId="7946ADB3" w14:textId="77777777" w:rsidTr="002458C0">
        <w:trPr>
          <w:cantSplit/>
        </w:trPr>
        <w:tc>
          <w:tcPr>
            <w:tcW w:w="2754" w:type="dxa"/>
            <w:vAlign w:val="center"/>
          </w:tcPr>
          <w:p w14:paraId="26837894" w14:textId="30C18F01" w:rsidR="00977646" w:rsidRPr="002458C0" w:rsidRDefault="00977646" w:rsidP="00FE53A3">
            <w:pPr>
              <w:pStyle w:val="Default"/>
              <w:rPr>
                <w:lang w:val="et-EE"/>
              </w:rPr>
            </w:pPr>
            <w:r w:rsidRPr="002458C0">
              <w:rPr>
                <w:noProof/>
                <w:lang w:val="lt-LT" w:eastAsia="lt-LT"/>
              </w:rPr>
              <w:lastRenderedPageBreak/>
              <w:drawing>
                <wp:inline distT="0" distB="0" distL="0" distR="0" wp14:anchorId="7F53C9E0" wp14:editId="4C748378">
                  <wp:extent cx="1592769" cy="1420385"/>
                  <wp:effectExtent l="0" t="0" r="7620" b="8890"/>
                  <wp:docPr id="2011134937" name="Picture 2011134937" descr="A close-up of a hand holding a blue and black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close-up of a hand holding a blue and black device&#10;&#10;Description automatically generated"/>
                          <pic:cNvPicPr>
                            <a:picLocks noChangeAspect="1"/>
                          </pic:cNvPicPr>
                        </pic:nvPicPr>
                        <pic:blipFill rotWithShape="1">
                          <a:blip r:embed="rId11" cstate="print">
                            <a:extLst>
                              <a:ext uri="{28A0092B-C50C-407E-A947-70E740481C1C}">
                                <a14:useLocalDpi xmlns:a14="http://schemas.microsoft.com/office/drawing/2010/main" val="0"/>
                              </a:ext>
                            </a:extLst>
                          </a:blip>
                          <a:srcRect t="17121" r="16" b="25150"/>
                          <a:stretch/>
                        </pic:blipFill>
                        <pic:spPr>
                          <a:xfrm>
                            <a:off x="0" y="0"/>
                            <a:ext cx="1592769" cy="1420385"/>
                          </a:xfrm>
                          <a:prstGeom prst="rect">
                            <a:avLst/>
                          </a:prstGeom>
                        </pic:spPr>
                      </pic:pic>
                    </a:graphicData>
                  </a:graphic>
                </wp:inline>
              </w:drawing>
            </w:r>
          </w:p>
        </w:tc>
        <w:tc>
          <w:tcPr>
            <w:tcW w:w="5947" w:type="dxa"/>
            <w:vAlign w:val="center"/>
          </w:tcPr>
          <w:p w14:paraId="1CB57B44" w14:textId="44A4AF3A" w:rsidR="00977646" w:rsidRPr="00977646" w:rsidRDefault="00977646" w:rsidP="00EE21E9">
            <w:pPr>
              <w:pStyle w:val="Default"/>
              <w:rPr>
                <w:sz w:val="22"/>
                <w:szCs w:val="22"/>
                <w:lang w:val="et-EE"/>
              </w:rPr>
            </w:pPr>
            <w:r w:rsidRPr="00977646">
              <w:rPr>
                <w:sz w:val="22"/>
                <w:szCs w:val="22"/>
              </w:rPr>
              <w:t>Perkėlimo įtaisas</w:t>
            </w:r>
          </w:p>
        </w:tc>
      </w:tr>
      <w:tr w:rsidR="00FE53A3" w:rsidRPr="00AB2F7B" w14:paraId="4D3E4A09" w14:textId="77777777" w:rsidTr="002458C0">
        <w:trPr>
          <w:cantSplit/>
          <w:trHeight w:val="160"/>
        </w:trPr>
        <w:tc>
          <w:tcPr>
            <w:tcW w:w="2754" w:type="dxa"/>
            <w:vAlign w:val="center"/>
          </w:tcPr>
          <w:p w14:paraId="523E29F1" w14:textId="77777777" w:rsidR="00FE53A3" w:rsidRPr="00FE53A3" w:rsidRDefault="00FE53A3" w:rsidP="00FE53A3">
            <w:pPr>
              <w:jc w:val="center"/>
              <w:rPr>
                <w:color w:val="000000"/>
                <w:kern w:val="24"/>
              </w:rPr>
            </w:pPr>
            <w:r w:rsidRPr="00E161F7">
              <w:rPr>
                <w:color w:val="000000"/>
              </w:rPr>
              <w:t>1</w:t>
            </w:r>
            <w:r w:rsidRPr="00FE53A3">
              <w:rPr>
                <w:color w:val="000000"/>
              </w:rPr>
              <w:t> pav.</w:t>
            </w:r>
          </w:p>
        </w:tc>
        <w:tc>
          <w:tcPr>
            <w:tcW w:w="5947" w:type="dxa"/>
            <w:vAlign w:val="center"/>
          </w:tcPr>
          <w:p w14:paraId="35DBD31A" w14:textId="77777777" w:rsidR="00FE53A3" w:rsidRPr="002458C0" w:rsidRDefault="00FE53A3" w:rsidP="00FE53A3">
            <w:pPr>
              <w:pStyle w:val="Default"/>
              <w:rPr>
                <w:lang w:val="et-EE"/>
              </w:rPr>
            </w:pPr>
          </w:p>
        </w:tc>
      </w:tr>
    </w:tbl>
    <w:p w14:paraId="741319E9" w14:textId="77777777" w:rsidR="00D70708" w:rsidRPr="00D70708" w:rsidRDefault="00D70708" w:rsidP="00073D00">
      <w:pPr>
        <w:autoSpaceDE w:val="0"/>
        <w:autoSpaceDN w:val="0"/>
        <w:adjustRightInd w:val="0"/>
        <w:ind w:left="567"/>
        <w:jc w:val="both"/>
        <w:rPr>
          <w:rFonts w:eastAsia="Times New Roman" w:cs="Arial"/>
          <w:noProof/>
          <w:color w:val="000000"/>
          <w:szCs w:val="24"/>
          <w:lang w:eastAsia="de-AT"/>
        </w:rPr>
      </w:pPr>
    </w:p>
    <w:p w14:paraId="1BD5F0B7" w14:textId="77777777" w:rsidR="00D70708" w:rsidRPr="00D70708" w:rsidRDefault="00D70708" w:rsidP="00073D00">
      <w:pPr>
        <w:numPr>
          <w:ilvl w:val="0"/>
          <w:numId w:val="15"/>
        </w:numPr>
        <w:autoSpaceDE w:val="0"/>
        <w:autoSpaceDN w:val="0"/>
        <w:adjustRightInd w:val="0"/>
        <w:spacing w:before="120" w:after="120" w:line="259" w:lineRule="auto"/>
        <w:ind w:left="426" w:hanging="426"/>
        <w:rPr>
          <w:rFonts w:eastAsia="Times New Roman" w:cs="Arial"/>
          <w:noProof/>
          <w:color w:val="000000"/>
          <w:szCs w:val="24"/>
        </w:rPr>
      </w:pPr>
      <w:r w:rsidRPr="00D70708">
        <w:rPr>
          <w:rFonts w:eastAsiaTheme="minorHAnsi" w:cstheme="minorBidi"/>
          <w:color w:val="000000"/>
          <w:kern w:val="2"/>
          <w14:ligatures w14:val="standardContextual"/>
        </w:rPr>
        <w:t>Padėkite tirpiklio flakoną ant lygaus, švaraus paviršiaus ir tvirtai laikykite. Neišėmę iš lizdinės pakuotės, uždėkite mėlynąją perkėlimo įtaiso dalį ant tirpiklio flakono viršaus. Laikydami tiesiai, tvirtai spauskite žemyn, kol užsifiksuos (2 pav.). Tvirtinimo metu nesukite.</w:t>
      </w:r>
    </w:p>
    <w:p w14:paraId="798053B3" w14:textId="77777777" w:rsidR="00D70708" w:rsidRPr="00D70708" w:rsidRDefault="00D70708" w:rsidP="00073D00">
      <w:pPr>
        <w:ind w:left="567" w:right="28"/>
        <w:rPr>
          <w:rFonts w:eastAsia="SimSun"/>
          <w:i/>
          <w:iCs/>
          <w:noProof/>
          <w:szCs w:val="20"/>
        </w:rPr>
      </w:pPr>
      <w:r w:rsidRPr="00D70708">
        <w:rPr>
          <w:rFonts w:eastAsiaTheme="minorHAnsi" w:cstheme="minorBidi"/>
          <w:b/>
          <w:i/>
          <w:kern w:val="2"/>
          <w14:ligatures w14:val="standardContextual"/>
        </w:rPr>
        <w:t>Pastaba:</w:t>
      </w:r>
      <w:r w:rsidRPr="00D70708">
        <w:rPr>
          <w:rFonts w:eastAsiaTheme="minorHAnsi" w:cstheme="minorBidi"/>
          <w:b/>
          <w:i/>
          <w:kern w:val="2"/>
          <w14:ligatures w14:val="standardContextual"/>
        </w:rPr>
        <w:br/>
      </w:r>
      <w:r w:rsidRPr="00D70708">
        <w:rPr>
          <w:rFonts w:eastAsiaTheme="minorHAnsi" w:cstheme="minorBidi"/>
          <w:i/>
          <w:kern w:val="2"/>
          <w14:ligatures w14:val="standardContextual"/>
        </w:rPr>
        <w:t>Pirma reikia pritvirtinti perkėlimo įtaisą prie tirpiklio flakono ir tada prie liofilizuotų miltelių buteliuko. Kitaip neliks vakuumo ir tirpiklio perkėlimas neįvyks.</w:t>
      </w:r>
    </w:p>
    <w:p w14:paraId="4B17F536" w14:textId="77777777" w:rsidR="00D70708" w:rsidRPr="00D70708" w:rsidRDefault="00D70708" w:rsidP="00073D00">
      <w:pPr>
        <w:autoSpaceDE w:val="0"/>
        <w:autoSpaceDN w:val="0"/>
        <w:adjustRightInd w:val="0"/>
        <w:ind w:left="567"/>
        <w:jc w:val="both"/>
        <w:rPr>
          <w:rFonts w:eastAsia="Times New Roman" w:cs="Arial"/>
          <w:noProof/>
          <w:color w:val="000000"/>
          <w:szCs w:val="24"/>
          <w:lang w:eastAsia="de-AT"/>
        </w:rPr>
      </w:pPr>
    </w:p>
    <w:tbl>
      <w:tblPr>
        <w:tblStyle w:val="Lentelstinklelis"/>
        <w:tblW w:w="8635"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66"/>
        <w:gridCol w:w="5869"/>
      </w:tblGrid>
      <w:tr w:rsidR="00E161F7" w:rsidRPr="00AB2F7B" w14:paraId="7A1A1026" w14:textId="77777777" w:rsidTr="00073D00">
        <w:tc>
          <w:tcPr>
            <w:tcW w:w="2766" w:type="dxa"/>
          </w:tcPr>
          <w:p w14:paraId="453CD49B" w14:textId="51A2212D" w:rsidR="00E161F7" w:rsidRPr="00AB2F7B" w:rsidRDefault="00E161F7" w:rsidP="00EE21E9">
            <w:pPr>
              <w:pStyle w:val="Default"/>
              <w:jc w:val="both"/>
              <w:rPr>
                <w:sz w:val="22"/>
                <w:lang w:val="et-EE"/>
              </w:rPr>
            </w:pPr>
            <w:r w:rsidRPr="00AB2F7B">
              <w:rPr>
                <w:noProof/>
                <w:sz w:val="22"/>
                <w:lang w:val="lt-LT" w:eastAsia="lt-LT"/>
              </w:rPr>
              <w:drawing>
                <wp:inline distT="0" distB="0" distL="0" distR="0" wp14:anchorId="26B39BEF" wp14:editId="5371DB04">
                  <wp:extent cx="1609950" cy="1457528"/>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793226" name=""/>
                          <pic:cNvPicPr/>
                        </pic:nvPicPr>
                        <pic:blipFill>
                          <a:blip r:embed="rId12"/>
                          <a:stretch>
                            <a:fillRect/>
                          </a:stretch>
                        </pic:blipFill>
                        <pic:spPr>
                          <a:xfrm>
                            <a:off x="0" y="0"/>
                            <a:ext cx="1609950" cy="1457528"/>
                          </a:xfrm>
                          <a:prstGeom prst="rect">
                            <a:avLst/>
                          </a:prstGeom>
                        </pic:spPr>
                      </pic:pic>
                    </a:graphicData>
                  </a:graphic>
                </wp:inline>
              </w:drawing>
            </w:r>
          </w:p>
        </w:tc>
        <w:tc>
          <w:tcPr>
            <w:tcW w:w="5869" w:type="dxa"/>
            <w:vAlign w:val="center"/>
          </w:tcPr>
          <w:p w14:paraId="49B5069D" w14:textId="77777777" w:rsidR="00E161F7" w:rsidRPr="00AB2F7B" w:rsidRDefault="00E161F7" w:rsidP="00EE21E9">
            <w:pPr>
              <w:pStyle w:val="Default"/>
              <w:rPr>
                <w:sz w:val="22"/>
                <w:lang w:val="et-EE"/>
              </w:rPr>
            </w:pPr>
          </w:p>
          <w:p w14:paraId="40CB99BD" w14:textId="77777777" w:rsidR="00E161F7" w:rsidRPr="00AB2F7B" w:rsidRDefault="00E161F7" w:rsidP="00EE21E9">
            <w:pPr>
              <w:pStyle w:val="Default"/>
              <w:rPr>
                <w:sz w:val="22"/>
                <w:lang w:val="et-EE"/>
              </w:rPr>
            </w:pPr>
          </w:p>
          <w:p w14:paraId="5DD5C64B" w14:textId="77777777" w:rsidR="00E161F7" w:rsidRPr="00AB2F7B" w:rsidRDefault="00E161F7" w:rsidP="00EE21E9">
            <w:pPr>
              <w:pStyle w:val="Default"/>
              <w:rPr>
                <w:sz w:val="22"/>
                <w:lang w:val="et-EE"/>
              </w:rPr>
            </w:pPr>
          </w:p>
          <w:p w14:paraId="6D2514E4" w14:textId="77777777" w:rsidR="00E161F7" w:rsidRPr="00AB2F7B" w:rsidRDefault="00E161F7" w:rsidP="00EE21E9">
            <w:pPr>
              <w:pStyle w:val="Default"/>
              <w:rPr>
                <w:sz w:val="22"/>
                <w:lang w:val="et-EE"/>
              </w:rPr>
            </w:pPr>
          </w:p>
          <w:p w14:paraId="429F7360" w14:textId="258A574F" w:rsidR="00E161F7" w:rsidRPr="00E161F7" w:rsidRDefault="00E161F7" w:rsidP="00EE21E9">
            <w:pPr>
              <w:pStyle w:val="Default"/>
              <w:rPr>
                <w:sz w:val="22"/>
                <w:szCs w:val="22"/>
                <w:lang w:val="et-EE"/>
              </w:rPr>
            </w:pPr>
            <w:r w:rsidRPr="00E161F7">
              <w:rPr>
                <w:sz w:val="22"/>
                <w:szCs w:val="22"/>
              </w:rPr>
              <w:t>Tirpiklio flakonas</w:t>
            </w:r>
          </w:p>
        </w:tc>
      </w:tr>
      <w:tr w:rsidR="00E161F7" w:rsidRPr="00AB2F7B" w14:paraId="52E747D5" w14:textId="77777777" w:rsidTr="00073D00">
        <w:tc>
          <w:tcPr>
            <w:tcW w:w="2766" w:type="dxa"/>
            <w:vAlign w:val="center"/>
          </w:tcPr>
          <w:p w14:paraId="54EA7FAF" w14:textId="524A09E6" w:rsidR="00E161F7" w:rsidRPr="00AB2F7B" w:rsidRDefault="00E161F7" w:rsidP="00EE21E9">
            <w:pPr>
              <w:pStyle w:val="Default"/>
              <w:jc w:val="center"/>
              <w:rPr>
                <w:sz w:val="22"/>
                <w:lang w:val="et-EE"/>
              </w:rPr>
            </w:pPr>
            <w:r>
              <w:rPr>
                <w:sz w:val="22"/>
                <w:szCs w:val="22"/>
              </w:rPr>
              <w:t>2</w:t>
            </w:r>
            <w:r w:rsidRPr="00E161F7">
              <w:rPr>
                <w:sz w:val="22"/>
                <w:szCs w:val="22"/>
              </w:rPr>
              <w:t> pav.</w:t>
            </w:r>
          </w:p>
        </w:tc>
        <w:tc>
          <w:tcPr>
            <w:tcW w:w="5869" w:type="dxa"/>
          </w:tcPr>
          <w:p w14:paraId="43313C68" w14:textId="77777777" w:rsidR="00E161F7" w:rsidRPr="00AB2F7B" w:rsidRDefault="00E161F7" w:rsidP="00EE21E9">
            <w:pPr>
              <w:pStyle w:val="Default"/>
              <w:jc w:val="both"/>
              <w:rPr>
                <w:sz w:val="22"/>
                <w:lang w:val="et-EE"/>
              </w:rPr>
            </w:pPr>
          </w:p>
        </w:tc>
      </w:tr>
    </w:tbl>
    <w:p w14:paraId="6F7F34BC" w14:textId="77777777" w:rsidR="00D70708" w:rsidRPr="00D70708" w:rsidRDefault="00D70708" w:rsidP="00073D00">
      <w:pPr>
        <w:autoSpaceDE w:val="0"/>
        <w:autoSpaceDN w:val="0"/>
        <w:adjustRightInd w:val="0"/>
        <w:ind w:left="567"/>
        <w:jc w:val="both"/>
        <w:rPr>
          <w:rFonts w:eastAsia="Times New Roman" w:cs="Arial"/>
          <w:noProof/>
          <w:color w:val="000000"/>
          <w:szCs w:val="24"/>
          <w:lang w:eastAsia="de-AT"/>
        </w:rPr>
      </w:pPr>
    </w:p>
    <w:p w14:paraId="7E170CD3" w14:textId="77777777" w:rsidR="00D70708" w:rsidRPr="00D70708" w:rsidRDefault="00D70708" w:rsidP="00073D00">
      <w:pPr>
        <w:pStyle w:val="Sraopastraipa"/>
        <w:keepNext/>
        <w:numPr>
          <w:ilvl w:val="0"/>
          <w:numId w:val="15"/>
        </w:numPr>
        <w:rPr>
          <w:rFonts w:eastAsia="Times New Roman" w:cs="Arial"/>
          <w:noProof/>
          <w:color w:val="000000"/>
          <w:szCs w:val="24"/>
        </w:rPr>
      </w:pPr>
      <w:r w:rsidRPr="00D70708">
        <w:rPr>
          <w:rFonts w:eastAsiaTheme="minorHAnsi" w:cstheme="minorBidi"/>
          <w:color w:val="000000"/>
          <w:kern w:val="2"/>
          <w14:ligatures w14:val="standardContextual"/>
        </w:rPr>
        <w:t>Laikydami tirpiklio flakoną, atsargiai nuimkite lizdinę pakuotę nuo perkėlimo įtaiso (</w:t>
      </w:r>
      <w:r w:rsidRPr="00D70708">
        <w:rPr>
          <w:rFonts w:eastAsiaTheme="minorHAnsi" w:cstheme="minorBidi"/>
          <w:i/>
          <w:iCs/>
          <w:color w:val="000000"/>
          <w:kern w:val="2"/>
          <w14:ligatures w14:val="standardContextual"/>
        </w:rPr>
        <w:t>nextaro</w:t>
      </w:r>
      <w:r w:rsidRPr="00D70708">
        <w:rPr>
          <w:rFonts w:eastAsiaTheme="minorHAnsi" w:cstheme="minorBidi"/>
          <w:color w:val="000000"/>
          <w:kern w:val="2"/>
          <w14:ligatures w14:val="standardContextual"/>
        </w:rPr>
        <w:t>), vertikaliai traukdami į viršų. Būtinai palikite perkėlimo įtaisą tvirtai pritvirtintą prie tirpiklio flakono (3 pav.).</w:t>
      </w:r>
    </w:p>
    <w:p w14:paraId="5553F6A8" w14:textId="41FDB735" w:rsidR="00D70708" w:rsidRPr="00D70708" w:rsidRDefault="00D70708" w:rsidP="00073D00">
      <w:pPr>
        <w:autoSpaceDE w:val="0"/>
        <w:autoSpaceDN w:val="0"/>
        <w:adjustRightInd w:val="0"/>
        <w:ind w:left="567"/>
        <w:jc w:val="both"/>
        <w:rPr>
          <w:rFonts w:eastAsia="Times New Roman" w:cs="Arial"/>
          <w:noProof/>
          <w:color w:val="000000"/>
          <w:szCs w:val="24"/>
        </w:rPr>
      </w:pPr>
    </w:p>
    <w:tbl>
      <w:tblPr>
        <w:tblStyle w:val="Lentelstinklelis"/>
        <w:tblW w:w="8635"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88"/>
        <w:gridCol w:w="5947"/>
      </w:tblGrid>
      <w:tr w:rsidR="00E161F7" w:rsidRPr="00AB2F7B" w14:paraId="0F8CF76A" w14:textId="77777777" w:rsidTr="00073D00">
        <w:trPr>
          <w:cantSplit/>
        </w:trPr>
        <w:tc>
          <w:tcPr>
            <w:tcW w:w="2688" w:type="dxa"/>
          </w:tcPr>
          <w:p w14:paraId="4DC4C09C" w14:textId="06E92A1F" w:rsidR="00E161F7" w:rsidRPr="00AB2F7B" w:rsidRDefault="00E161F7" w:rsidP="00EE21E9">
            <w:pPr>
              <w:pStyle w:val="Default"/>
              <w:jc w:val="both"/>
              <w:rPr>
                <w:sz w:val="22"/>
                <w:lang w:val="et-EE"/>
              </w:rPr>
            </w:pPr>
            <w:r w:rsidRPr="00AB2F7B">
              <w:rPr>
                <w:noProof/>
                <w:sz w:val="22"/>
                <w:lang w:val="lt-LT" w:eastAsia="lt-LT"/>
              </w:rPr>
              <w:drawing>
                <wp:inline distT="0" distB="0" distL="0" distR="0" wp14:anchorId="68FAE811" wp14:editId="7CA5C8FC">
                  <wp:extent cx="1514686" cy="1619476"/>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134582" name=""/>
                          <pic:cNvPicPr/>
                        </pic:nvPicPr>
                        <pic:blipFill>
                          <a:blip r:embed="rId13"/>
                          <a:stretch>
                            <a:fillRect/>
                          </a:stretch>
                        </pic:blipFill>
                        <pic:spPr>
                          <a:xfrm>
                            <a:off x="0" y="0"/>
                            <a:ext cx="1514686" cy="1619476"/>
                          </a:xfrm>
                          <a:prstGeom prst="rect">
                            <a:avLst/>
                          </a:prstGeom>
                        </pic:spPr>
                      </pic:pic>
                    </a:graphicData>
                  </a:graphic>
                </wp:inline>
              </w:drawing>
            </w:r>
          </w:p>
        </w:tc>
        <w:tc>
          <w:tcPr>
            <w:tcW w:w="5947" w:type="dxa"/>
            <w:vAlign w:val="center"/>
          </w:tcPr>
          <w:p w14:paraId="101DF678" w14:textId="77777777" w:rsidR="00E161F7" w:rsidRPr="00AB2F7B" w:rsidRDefault="00E161F7" w:rsidP="00EE21E9">
            <w:pPr>
              <w:pStyle w:val="Default"/>
              <w:rPr>
                <w:sz w:val="22"/>
                <w:lang w:val="et-EE"/>
              </w:rPr>
            </w:pPr>
          </w:p>
          <w:p w14:paraId="68850C3E" w14:textId="77777777" w:rsidR="00E161F7" w:rsidRPr="00AB2F7B" w:rsidRDefault="00E161F7" w:rsidP="00EE21E9">
            <w:pPr>
              <w:pStyle w:val="Default"/>
              <w:rPr>
                <w:sz w:val="22"/>
                <w:lang w:val="et-EE"/>
              </w:rPr>
            </w:pPr>
          </w:p>
          <w:p w14:paraId="53339EA2" w14:textId="77777777" w:rsidR="00E161F7" w:rsidRPr="00AB2F7B" w:rsidRDefault="00E161F7" w:rsidP="00EE21E9">
            <w:pPr>
              <w:pStyle w:val="Default"/>
              <w:rPr>
                <w:sz w:val="22"/>
                <w:lang w:val="et-EE"/>
              </w:rPr>
            </w:pPr>
          </w:p>
          <w:p w14:paraId="7E598D35" w14:textId="77777777" w:rsidR="00E161F7" w:rsidRPr="00AB2F7B" w:rsidRDefault="00E161F7" w:rsidP="00EE21E9">
            <w:pPr>
              <w:pStyle w:val="Default"/>
              <w:rPr>
                <w:sz w:val="22"/>
                <w:lang w:val="et-EE"/>
              </w:rPr>
            </w:pPr>
          </w:p>
          <w:p w14:paraId="4C8B1AB9" w14:textId="4FC4BE65" w:rsidR="00E161F7" w:rsidRPr="00AB2F7B" w:rsidRDefault="00E161F7" w:rsidP="00EE21E9">
            <w:pPr>
              <w:pStyle w:val="Default"/>
              <w:rPr>
                <w:sz w:val="22"/>
                <w:lang w:val="et-EE"/>
              </w:rPr>
            </w:pPr>
            <w:r w:rsidRPr="00E161F7">
              <w:rPr>
                <w:sz w:val="22"/>
                <w:szCs w:val="22"/>
              </w:rPr>
              <w:t>Tirpiklio flakonas</w:t>
            </w:r>
          </w:p>
        </w:tc>
      </w:tr>
      <w:tr w:rsidR="00E161F7" w:rsidRPr="00AB2F7B" w14:paraId="3082AFEF" w14:textId="77777777" w:rsidTr="00073D00">
        <w:trPr>
          <w:cantSplit/>
        </w:trPr>
        <w:tc>
          <w:tcPr>
            <w:tcW w:w="2688" w:type="dxa"/>
          </w:tcPr>
          <w:p w14:paraId="2DFC4692" w14:textId="5871F575" w:rsidR="00E161F7" w:rsidRPr="00AB2F7B" w:rsidRDefault="00E161F7" w:rsidP="00073D00">
            <w:pPr>
              <w:pStyle w:val="Default"/>
              <w:jc w:val="center"/>
              <w:rPr>
                <w:sz w:val="22"/>
                <w:lang w:val="et-EE"/>
              </w:rPr>
            </w:pPr>
            <w:r>
              <w:rPr>
                <w:sz w:val="22"/>
                <w:szCs w:val="22"/>
              </w:rPr>
              <w:t>3</w:t>
            </w:r>
            <w:r w:rsidRPr="00E161F7">
              <w:rPr>
                <w:sz w:val="22"/>
                <w:szCs w:val="22"/>
              </w:rPr>
              <w:t> pav.</w:t>
            </w:r>
          </w:p>
        </w:tc>
        <w:tc>
          <w:tcPr>
            <w:tcW w:w="5947" w:type="dxa"/>
          </w:tcPr>
          <w:p w14:paraId="422C1732" w14:textId="77777777" w:rsidR="00E161F7" w:rsidRPr="00AB2F7B" w:rsidRDefault="00E161F7" w:rsidP="00EE21E9">
            <w:pPr>
              <w:pStyle w:val="Default"/>
              <w:jc w:val="both"/>
              <w:rPr>
                <w:sz w:val="22"/>
                <w:lang w:val="et-EE"/>
              </w:rPr>
            </w:pPr>
          </w:p>
        </w:tc>
      </w:tr>
    </w:tbl>
    <w:p w14:paraId="275514BB" w14:textId="77777777" w:rsidR="00D70708" w:rsidRPr="00D70708" w:rsidRDefault="00D70708" w:rsidP="00073D00">
      <w:pPr>
        <w:autoSpaceDE w:val="0"/>
        <w:autoSpaceDN w:val="0"/>
        <w:adjustRightInd w:val="0"/>
        <w:ind w:left="567"/>
        <w:jc w:val="both"/>
        <w:rPr>
          <w:rFonts w:eastAsia="Times New Roman" w:cs="Arial"/>
          <w:noProof/>
          <w:color w:val="000000"/>
          <w:szCs w:val="24"/>
          <w:lang w:eastAsia="de-AT"/>
        </w:rPr>
      </w:pPr>
    </w:p>
    <w:p w14:paraId="06090EF2" w14:textId="61178D54" w:rsidR="00D70708" w:rsidRPr="00D70708" w:rsidRDefault="00D70708" w:rsidP="00073D00">
      <w:pPr>
        <w:pStyle w:val="Sraopastraipa"/>
        <w:keepNext/>
        <w:numPr>
          <w:ilvl w:val="0"/>
          <w:numId w:val="15"/>
        </w:numPr>
        <w:rPr>
          <w:rFonts w:eastAsia="Times New Roman" w:cs="Arial"/>
          <w:noProof/>
          <w:color w:val="000000"/>
          <w:szCs w:val="24"/>
        </w:rPr>
      </w:pPr>
      <w:r w:rsidRPr="00D70708">
        <w:rPr>
          <w:rFonts w:eastAsiaTheme="minorHAnsi" w:cstheme="minorBidi"/>
          <w:color w:val="000000"/>
          <w:kern w:val="2"/>
          <w14:ligatures w14:val="standardContextual"/>
        </w:rPr>
        <w:t>Padėkite miltelių (</w:t>
      </w:r>
      <w:r w:rsidR="008D2F2F">
        <w:t>fibryga</w:t>
      </w:r>
      <w:r w:rsidRPr="00D70708">
        <w:rPr>
          <w:rFonts w:eastAsiaTheme="minorHAnsi" w:cstheme="minorBidi"/>
          <w:color w:val="000000"/>
          <w:kern w:val="2"/>
          <w14:ligatures w14:val="standardContextual"/>
        </w:rPr>
        <w:t>) buteliuką ant lygaus, švaraus paviršiaus ir tvirtai laikykite. Paimkite tirpiklio flakoną su pritvirtintu perkėlimo įtaisu ir apverskite jį. Uždėkite baltąją perkėlimo įtaiso jungties dalį ant miltelių (</w:t>
      </w:r>
      <w:r w:rsidR="008D2F2F">
        <w:t>fibryga</w:t>
      </w:r>
      <w:r w:rsidRPr="00D70708">
        <w:rPr>
          <w:rFonts w:eastAsiaTheme="minorHAnsi" w:cstheme="minorBidi"/>
          <w:color w:val="000000"/>
          <w:kern w:val="2"/>
          <w14:ligatures w14:val="standardContextual"/>
        </w:rPr>
        <w:t>) buteliuko ir tvirtai spauskite žemyn, kol užsifiksuos (4 pav.). Tvirtinimo metu nesukite. Tirpiklis automatiškai tekės į miltelių (</w:t>
      </w:r>
      <w:r w:rsidR="008D2F2F">
        <w:t>fibryga</w:t>
      </w:r>
      <w:r w:rsidRPr="00D70708">
        <w:rPr>
          <w:rFonts w:eastAsiaTheme="minorHAnsi" w:cstheme="minorBidi"/>
          <w:color w:val="000000"/>
          <w:kern w:val="2"/>
          <w14:ligatures w14:val="standardContextual"/>
        </w:rPr>
        <w:t>) buteliuką.</w:t>
      </w:r>
    </w:p>
    <w:p w14:paraId="248F188E" w14:textId="77777777" w:rsidR="00D70708" w:rsidRPr="00D70708" w:rsidRDefault="00D70708" w:rsidP="00073D00">
      <w:pPr>
        <w:autoSpaceDE w:val="0"/>
        <w:autoSpaceDN w:val="0"/>
        <w:adjustRightInd w:val="0"/>
        <w:ind w:left="567"/>
        <w:jc w:val="both"/>
        <w:rPr>
          <w:rFonts w:eastAsia="Times New Roman" w:cs="Arial"/>
          <w:noProof/>
          <w:color w:val="000000"/>
          <w:szCs w:val="24"/>
          <w:lang w:eastAsia="de-AT"/>
        </w:rPr>
      </w:pPr>
    </w:p>
    <w:tbl>
      <w:tblPr>
        <w:tblStyle w:val="Lentelstinklelis"/>
        <w:tblW w:w="8635"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88"/>
        <w:gridCol w:w="5947"/>
      </w:tblGrid>
      <w:tr w:rsidR="00E161F7" w:rsidRPr="00AB2F7B" w14:paraId="461B36AB" w14:textId="77777777" w:rsidTr="00073D00">
        <w:trPr>
          <w:cantSplit/>
        </w:trPr>
        <w:tc>
          <w:tcPr>
            <w:tcW w:w="2688" w:type="dxa"/>
          </w:tcPr>
          <w:p w14:paraId="13E308B8" w14:textId="62349E6D" w:rsidR="00E161F7" w:rsidRPr="00AB2F7B" w:rsidRDefault="00E161F7" w:rsidP="00EE21E9">
            <w:pPr>
              <w:pStyle w:val="Default"/>
              <w:jc w:val="both"/>
              <w:rPr>
                <w:sz w:val="22"/>
                <w:lang w:val="et-EE"/>
              </w:rPr>
            </w:pPr>
            <w:r w:rsidRPr="00AB2F7B">
              <w:rPr>
                <w:noProof/>
                <w:sz w:val="22"/>
                <w:lang w:val="lt-LT" w:eastAsia="lt-LT"/>
              </w:rPr>
              <w:lastRenderedPageBreak/>
              <w:drawing>
                <wp:inline distT="0" distB="0" distL="0" distR="0" wp14:anchorId="01640ACF" wp14:editId="75FF4A7D">
                  <wp:extent cx="1419423" cy="1924319"/>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311520" name=""/>
                          <pic:cNvPicPr/>
                        </pic:nvPicPr>
                        <pic:blipFill>
                          <a:blip r:embed="rId14"/>
                          <a:stretch>
                            <a:fillRect/>
                          </a:stretch>
                        </pic:blipFill>
                        <pic:spPr>
                          <a:xfrm>
                            <a:off x="0" y="0"/>
                            <a:ext cx="1419423" cy="1924319"/>
                          </a:xfrm>
                          <a:prstGeom prst="rect">
                            <a:avLst/>
                          </a:prstGeom>
                        </pic:spPr>
                      </pic:pic>
                    </a:graphicData>
                  </a:graphic>
                </wp:inline>
              </w:drawing>
            </w:r>
          </w:p>
        </w:tc>
        <w:tc>
          <w:tcPr>
            <w:tcW w:w="5947" w:type="dxa"/>
          </w:tcPr>
          <w:p w14:paraId="07D227BB" w14:textId="77777777" w:rsidR="00E161F7" w:rsidRPr="00AB2F7B" w:rsidRDefault="00E161F7" w:rsidP="00EE21E9">
            <w:pPr>
              <w:pStyle w:val="Default"/>
              <w:jc w:val="both"/>
              <w:rPr>
                <w:sz w:val="22"/>
                <w:lang w:val="et-EE"/>
              </w:rPr>
            </w:pPr>
          </w:p>
          <w:p w14:paraId="67070EE0" w14:textId="24E51A2D" w:rsidR="00E161F7" w:rsidRPr="00AB2F7B" w:rsidRDefault="00E161F7" w:rsidP="00EE21E9">
            <w:pPr>
              <w:pStyle w:val="Default"/>
              <w:jc w:val="both"/>
              <w:rPr>
                <w:sz w:val="22"/>
                <w:lang w:val="et-EE"/>
              </w:rPr>
            </w:pPr>
            <w:r w:rsidRPr="00E161F7">
              <w:rPr>
                <w:sz w:val="22"/>
                <w:szCs w:val="22"/>
              </w:rPr>
              <w:t>Tirpiklio flakonas</w:t>
            </w:r>
          </w:p>
          <w:p w14:paraId="14D2A15C" w14:textId="77777777" w:rsidR="00E161F7" w:rsidRPr="00AB2F7B" w:rsidRDefault="00E161F7" w:rsidP="00EE21E9">
            <w:pPr>
              <w:pStyle w:val="Default"/>
              <w:jc w:val="both"/>
              <w:rPr>
                <w:sz w:val="22"/>
                <w:lang w:val="et-EE"/>
              </w:rPr>
            </w:pPr>
          </w:p>
          <w:p w14:paraId="6F85152B" w14:textId="77777777" w:rsidR="00E161F7" w:rsidRPr="00AB2F7B" w:rsidRDefault="00E161F7" w:rsidP="00EE21E9">
            <w:pPr>
              <w:pStyle w:val="Default"/>
              <w:jc w:val="both"/>
              <w:rPr>
                <w:sz w:val="22"/>
                <w:lang w:val="et-EE"/>
              </w:rPr>
            </w:pPr>
          </w:p>
          <w:p w14:paraId="5F8A0F26" w14:textId="77777777" w:rsidR="00E161F7" w:rsidRPr="00AB2F7B" w:rsidRDefault="00E161F7" w:rsidP="00EE21E9">
            <w:pPr>
              <w:pStyle w:val="Default"/>
              <w:jc w:val="both"/>
              <w:rPr>
                <w:sz w:val="22"/>
                <w:lang w:val="et-EE"/>
              </w:rPr>
            </w:pPr>
          </w:p>
          <w:p w14:paraId="4E7420CF" w14:textId="77777777" w:rsidR="00E161F7" w:rsidRPr="00AB2F7B" w:rsidRDefault="00E161F7" w:rsidP="00EE21E9">
            <w:pPr>
              <w:pStyle w:val="Default"/>
              <w:jc w:val="both"/>
              <w:rPr>
                <w:sz w:val="22"/>
                <w:lang w:val="et-EE"/>
              </w:rPr>
            </w:pPr>
          </w:p>
          <w:p w14:paraId="581B96A4" w14:textId="77777777" w:rsidR="00E161F7" w:rsidRPr="00AB2F7B" w:rsidRDefault="00E161F7" w:rsidP="00EE21E9">
            <w:pPr>
              <w:pStyle w:val="Default"/>
              <w:jc w:val="both"/>
              <w:rPr>
                <w:sz w:val="22"/>
                <w:lang w:val="et-EE"/>
              </w:rPr>
            </w:pPr>
          </w:p>
          <w:p w14:paraId="222EA8AD" w14:textId="77777777" w:rsidR="00E161F7" w:rsidRDefault="00E161F7" w:rsidP="00EE21E9">
            <w:pPr>
              <w:pStyle w:val="Default"/>
              <w:jc w:val="both"/>
              <w:rPr>
                <w:sz w:val="22"/>
                <w:lang w:val="et-EE"/>
              </w:rPr>
            </w:pPr>
          </w:p>
          <w:p w14:paraId="7B4FF948" w14:textId="671D6649" w:rsidR="00E161F7" w:rsidRPr="00AB2F7B" w:rsidRDefault="00E161F7" w:rsidP="00EE21E9">
            <w:pPr>
              <w:pStyle w:val="Default"/>
              <w:jc w:val="both"/>
              <w:rPr>
                <w:sz w:val="22"/>
                <w:lang w:val="et-EE"/>
              </w:rPr>
            </w:pPr>
            <w:r>
              <w:rPr>
                <w:sz w:val="22"/>
                <w:lang w:val="et-EE"/>
              </w:rPr>
              <w:t>fibryga buteliukas</w:t>
            </w:r>
          </w:p>
        </w:tc>
      </w:tr>
      <w:tr w:rsidR="00E161F7" w:rsidRPr="00AB2F7B" w14:paraId="76BB6AC4" w14:textId="77777777" w:rsidTr="00073D00">
        <w:trPr>
          <w:cantSplit/>
        </w:trPr>
        <w:tc>
          <w:tcPr>
            <w:tcW w:w="2688" w:type="dxa"/>
            <w:vAlign w:val="center"/>
          </w:tcPr>
          <w:p w14:paraId="1D0D0D2C" w14:textId="7493C748" w:rsidR="00E161F7" w:rsidRPr="00AB2F7B" w:rsidRDefault="00E161F7" w:rsidP="00EE21E9">
            <w:pPr>
              <w:pStyle w:val="Default"/>
              <w:jc w:val="center"/>
              <w:rPr>
                <w:sz w:val="22"/>
                <w:lang w:val="et-EE"/>
              </w:rPr>
            </w:pPr>
            <w:r>
              <w:rPr>
                <w:sz w:val="22"/>
                <w:szCs w:val="22"/>
              </w:rPr>
              <w:t>4</w:t>
            </w:r>
            <w:r w:rsidRPr="00E161F7">
              <w:rPr>
                <w:sz w:val="22"/>
                <w:szCs w:val="22"/>
              </w:rPr>
              <w:t> pav.</w:t>
            </w:r>
          </w:p>
        </w:tc>
        <w:tc>
          <w:tcPr>
            <w:tcW w:w="5947" w:type="dxa"/>
          </w:tcPr>
          <w:p w14:paraId="18BF1CAA" w14:textId="77777777" w:rsidR="00E161F7" w:rsidRPr="00AB2F7B" w:rsidRDefault="00E161F7" w:rsidP="00EE21E9">
            <w:pPr>
              <w:pStyle w:val="Default"/>
              <w:jc w:val="both"/>
              <w:rPr>
                <w:sz w:val="22"/>
                <w:lang w:val="et-EE"/>
              </w:rPr>
            </w:pPr>
          </w:p>
        </w:tc>
      </w:tr>
    </w:tbl>
    <w:p w14:paraId="654882C4" w14:textId="77777777" w:rsidR="00D70708" w:rsidRPr="00D70708" w:rsidRDefault="00D70708" w:rsidP="00073D00">
      <w:pPr>
        <w:autoSpaceDE w:val="0"/>
        <w:autoSpaceDN w:val="0"/>
        <w:adjustRightInd w:val="0"/>
        <w:ind w:left="567"/>
        <w:jc w:val="both"/>
        <w:rPr>
          <w:rFonts w:eastAsia="Times New Roman" w:cs="Arial"/>
          <w:noProof/>
          <w:color w:val="000000"/>
          <w:szCs w:val="24"/>
          <w:lang w:eastAsia="de-AT"/>
        </w:rPr>
      </w:pPr>
    </w:p>
    <w:p w14:paraId="29CD8314" w14:textId="4A87DA0C" w:rsidR="00D70708" w:rsidRPr="00073D00" w:rsidRDefault="00D70708" w:rsidP="00073D00">
      <w:pPr>
        <w:pStyle w:val="Sraopastraipa"/>
        <w:keepNext/>
        <w:numPr>
          <w:ilvl w:val="0"/>
          <w:numId w:val="15"/>
        </w:numPr>
        <w:rPr>
          <w:rFonts w:eastAsiaTheme="minorHAnsi" w:cstheme="minorBidi"/>
          <w:color w:val="000000"/>
          <w:kern w:val="2"/>
          <w14:ligatures w14:val="standardContextual"/>
        </w:rPr>
      </w:pPr>
      <w:r w:rsidRPr="00D70708">
        <w:rPr>
          <w:rFonts w:eastAsiaTheme="minorHAnsi" w:cstheme="minorBidi"/>
          <w:color w:val="000000"/>
          <w:kern w:val="2"/>
          <w14:ligatures w14:val="standardContextual"/>
        </w:rPr>
        <w:t xml:space="preserve">Laikydami tirpiklio flakoną pritvirtintą, švelniai pasukiokite </w:t>
      </w:r>
      <w:r w:rsidR="008D2F2F" w:rsidRPr="00073D00">
        <w:rPr>
          <w:rFonts w:eastAsiaTheme="minorHAnsi" w:cstheme="minorBidi"/>
          <w:color w:val="000000"/>
          <w:kern w:val="2"/>
          <w14:ligatures w14:val="standardContextual"/>
        </w:rPr>
        <w:t xml:space="preserve">fibryga </w:t>
      </w:r>
      <w:r w:rsidRPr="00D70708">
        <w:rPr>
          <w:rFonts w:eastAsiaTheme="minorHAnsi" w:cstheme="minorBidi"/>
          <w:color w:val="000000"/>
          <w:kern w:val="2"/>
          <w14:ligatures w14:val="standardContextual"/>
        </w:rPr>
        <w:t>buteliuką, kol milteliai visiškai ištirps. Nekratykite buteliuko, kad neatsirastų putų. Miltelius reikia visiškai ištirpinti per maždaug 5 minutes. Miltelius reikia tirpinti ne ilgiau kaip 20 minučių. Jeigu milteliai neištirpsta per 20 minučių, vaistinį preparatą reikia išmesti.</w:t>
      </w:r>
    </w:p>
    <w:p w14:paraId="4C2A62FE" w14:textId="53F316F2" w:rsidR="00D70708" w:rsidRPr="00073D00" w:rsidRDefault="00D70708" w:rsidP="00073D00">
      <w:pPr>
        <w:pStyle w:val="Sraopastraipa"/>
        <w:keepNext/>
        <w:numPr>
          <w:ilvl w:val="0"/>
          <w:numId w:val="15"/>
        </w:numPr>
        <w:rPr>
          <w:rFonts w:eastAsiaTheme="minorHAnsi" w:cstheme="minorBidi"/>
          <w:color w:val="000000"/>
          <w:kern w:val="2"/>
          <w14:ligatures w14:val="standardContextual"/>
        </w:rPr>
      </w:pPr>
      <w:r w:rsidRPr="00D70708">
        <w:rPr>
          <w:rFonts w:eastAsiaTheme="minorHAnsi" w:cstheme="minorBidi"/>
          <w:color w:val="000000"/>
          <w:kern w:val="2"/>
          <w14:ligatures w14:val="standardContextual"/>
        </w:rPr>
        <w:t>Retais atvejais, kai perkeliant injekcinį vandenį galima pastebėti plaukiojančių neištirpusių miltelių arba ruošimo laikas gali būti neįprastai ilgas, tirpinimo procesą galima paspartinti, intensyviau maišant flakoną horizontaliai.</w:t>
      </w:r>
    </w:p>
    <w:p w14:paraId="1124841E" w14:textId="2FC42798" w:rsidR="00D70708" w:rsidRPr="00073D00" w:rsidRDefault="00D70708" w:rsidP="00073D00">
      <w:pPr>
        <w:pStyle w:val="Sraopastraipa"/>
        <w:keepNext/>
        <w:numPr>
          <w:ilvl w:val="0"/>
          <w:numId w:val="15"/>
        </w:numPr>
        <w:rPr>
          <w:rFonts w:eastAsiaTheme="minorHAnsi" w:cstheme="minorBidi"/>
          <w:color w:val="000000"/>
          <w:kern w:val="2"/>
          <w14:ligatures w14:val="standardContextual"/>
        </w:rPr>
      </w:pPr>
      <w:bookmarkStart w:id="14" w:name="_Hlk148542747"/>
      <w:r w:rsidRPr="00D70708">
        <w:rPr>
          <w:rFonts w:eastAsiaTheme="minorHAnsi" w:cstheme="minorBidi"/>
          <w:color w:val="000000"/>
          <w:kern w:val="2"/>
          <w14:ligatures w14:val="standardContextual"/>
        </w:rPr>
        <w:t xml:space="preserve">Paruošę tirpalą, atjunkite perkėlimo įtaisą (mėlynąją dalį), sukdami prieš laikrodžio rodyklę (5 pav.). Nelieskite </w:t>
      </w:r>
      <w:r w:rsidRPr="00073D00">
        <w:rPr>
          <w:rFonts w:eastAsiaTheme="minorHAnsi" w:cstheme="minorBidi"/>
          <w:color w:val="000000"/>
          <w:kern w:val="2"/>
          <w14:ligatures w14:val="standardContextual"/>
        </w:rPr>
        <w:t>Luer Lock</w:t>
      </w:r>
      <w:r w:rsidRPr="00D70708">
        <w:rPr>
          <w:rFonts w:eastAsiaTheme="minorHAnsi" w:cstheme="minorBidi"/>
          <w:color w:val="000000"/>
          <w:kern w:val="2"/>
          <w14:ligatures w14:val="standardContextual"/>
        </w:rPr>
        <w:t xml:space="preserve"> jungties, esančios ant baltosios perkėlimo įtaiso dalies.</w:t>
      </w:r>
      <w:bookmarkEnd w:id="14"/>
    </w:p>
    <w:p w14:paraId="35E58FEE" w14:textId="25066D4D" w:rsidR="00D70708" w:rsidRPr="00D70708" w:rsidRDefault="00D70708" w:rsidP="00073D00">
      <w:pPr>
        <w:autoSpaceDE w:val="0"/>
        <w:autoSpaceDN w:val="0"/>
        <w:adjustRightInd w:val="0"/>
        <w:ind w:left="567"/>
        <w:jc w:val="both"/>
        <w:rPr>
          <w:rFonts w:eastAsia="Times New Roman" w:cs="Arial"/>
          <w:noProof/>
          <w:color w:val="000000"/>
          <w:szCs w:val="24"/>
        </w:rPr>
      </w:pPr>
    </w:p>
    <w:tbl>
      <w:tblPr>
        <w:tblStyle w:val="Lentelstinklelis"/>
        <w:tblW w:w="8635"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64"/>
        <w:gridCol w:w="5871"/>
      </w:tblGrid>
      <w:tr w:rsidR="00E161F7" w:rsidRPr="00AB2F7B" w14:paraId="250A8271" w14:textId="77777777" w:rsidTr="00073D00">
        <w:trPr>
          <w:cantSplit/>
        </w:trPr>
        <w:tc>
          <w:tcPr>
            <w:tcW w:w="2764" w:type="dxa"/>
          </w:tcPr>
          <w:p w14:paraId="5A2D2C2E" w14:textId="7A20BDF8" w:rsidR="00E161F7" w:rsidRPr="00AB2F7B" w:rsidRDefault="00E161F7" w:rsidP="00EE21E9">
            <w:pPr>
              <w:pStyle w:val="Default"/>
              <w:ind w:left="27"/>
              <w:jc w:val="both"/>
              <w:rPr>
                <w:sz w:val="22"/>
                <w:lang w:val="et-EE"/>
              </w:rPr>
            </w:pPr>
            <w:r w:rsidRPr="00AB2F7B">
              <w:rPr>
                <w:noProof/>
                <w:sz w:val="22"/>
                <w:lang w:val="lt-LT" w:eastAsia="lt-LT"/>
              </w:rPr>
              <w:drawing>
                <wp:inline distT="0" distB="0" distL="0" distR="0" wp14:anchorId="7DEE2ADC" wp14:editId="34EF2944">
                  <wp:extent cx="1590897" cy="1838582"/>
                  <wp:effectExtent l="0" t="0" r="952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717028" name=""/>
                          <pic:cNvPicPr/>
                        </pic:nvPicPr>
                        <pic:blipFill>
                          <a:blip r:embed="rId15"/>
                          <a:stretch>
                            <a:fillRect/>
                          </a:stretch>
                        </pic:blipFill>
                        <pic:spPr>
                          <a:xfrm>
                            <a:off x="0" y="0"/>
                            <a:ext cx="1590897" cy="1838582"/>
                          </a:xfrm>
                          <a:prstGeom prst="rect">
                            <a:avLst/>
                          </a:prstGeom>
                        </pic:spPr>
                      </pic:pic>
                    </a:graphicData>
                  </a:graphic>
                </wp:inline>
              </w:drawing>
            </w:r>
          </w:p>
        </w:tc>
        <w:tc>
          <w:tcPr>
            <w:tcW w:w="5871" w:type="dxa"/>
          </w:tcPr>
          <w:p w14:paraId="6928E434" w14:textId="77777777" w:rsidR="00E161F7" w:rsidRDefault="00E161F7" w:rsidP="00E161F7">
            <w:pPr>
              <w:rPr>
                <w:color w:val="000000"/>
              </w:rPr>
            </w:pPr>
            <w:r w:rsidRPr="00073D00">
              <w:rPr>
                <w:color w:val="000000"/>
              </w:rPr>
              <w:t xml:space="preserve">Tuščias </w:t>
            </w:r>
          </w:p>
          <w:p w14:paraId="00C6EE56" w14:textId="77777777" w:rsidR="00E161F7" w:rsidRDefault="00E161F7" w:rsidP="00E161F7">
            <w:pPr>
              <w:rPr>
                <w:color w:val="000000"/>
              </w:rPr>
            </w:pPr>
            <w:r w:rsidRPr="00073D00">
              <w:rPr>
                <w:color w:val="000000"/>
              </w:rPr>
              <w:t xml:space="preserve">tirpiklio </w:t>
            </w:r>
          </w:p>
          <w:p w14:paraId="2573B3ED" w14:textId="78CD8DD4" w:rsidR="00E161F7" w:rsidRPr="00073D00" w:rsidRDefault="00E161F7" w:rsidP="00E161F7">
            <w:pPr>
              <w:rPr>
                <w:rFonts w:eastAsia="Times New Roman"/>
                <w:color w:val="000000"/>
                <w:kern w:val="24"/>
              </w:rPr>
            </w:pPr>
            <w:r w:rsidRPr="00073D00">
              <w:rPr>
                <w:color w:val="000000"/>
              </w:rPr>
              <w:t>flakonas</w:t>
            </w:r>
          </w:p>
          <w:p w14:paraId="74FF0B98" w14:textId="77777777" w:rsidR="00E161F7" w:rsidRPr="00AB2F7B" w:rsidRDefault="00E161F7" w:rsidP="00EE21E9">
            <w:pPr>
              <w:pStyle w:val="Default"/>
              <w:ind w:left="27"/>
              <w:jc w:val="both"/>
              <w:rPr>
                <w:sz w:val="22"/>
                <w:lang w:val="et-EE"/>
              </w:rPr>
            </w:pPr>
          </w:p>
          <w:p w14:paraId="776CCCB6" w14:textId="77777777" w:rsidR="00E161F7" w:rsidRPr="00AB2F7B" w:rsidRDefault="00E161F7" w:rsidP="00EE21E9">
            <w:pPr>
              <w:pStyle w:val="Default"/>
              <w:ind w:left="27"/>
              <w:jc w:val="both"/>
              <w:rPr>
                <w:sz w:val="22"/>
                <w:lang w:val="et-EE"/>
              </w:rPr>
            </w:pPr>
          </w:p>
          <w:p w14:paraId="23F6641F" w14:textId="77777777" w:rsidR="00E161F7" w:rsidRPr="00AB2F7B" w:rsidRDefault="00E161F7" w:rsidP="00EE21E9">
            <w:pPr>
              <w:pStyle w:val="Default"/>
              <w:ind w:left="27"/>
              <w:jc w:val="both"/>
              <w:rPr>
                <w:sz w:val="22"/>
                <w:lang w:val="et-EE"/>
              </w:rPr>
            </w:pPr>
          </w:p>
          <w:p w14:paraId="3E6BB26F" w14:textId="77777777" w:rsidR="00E161F7" w:rsidRPr="00AB2F7B" w:rsidRDefault="00E161F7" w:rsidP="00EE21E9">
            <w:pPr>
              <w:pStyle w:val="Default"/>
              <w:ind w:left="27"/>
              <w:jc w:val="both"/>
              <w:rPr>
                <w:sz w:val="22"/>
                <w:lang w:val="et-EE"/>
              </w:rPr>
            </w:pPr>
          </w:p>
          <w:p w14:paraId="29A80861" w14:textId="77777777" w:rsidR="00E161F7" w:rsidRDefault="00E161F7" w:rsidP="00E161F7">
            <w:pPr>
              <w:rPr>
                <w:color w:val="000000"/>
              </w:rPr>
            </w:pPr>
            <w:r w:rsidRPr="00073D00">
              <w:rPr>
                <w:color w:val="000000"/>
              </w:rPr>
              <w:t xml:space="preserve">Paruoštas </w:t>
            </w:r>
          </w:p>
          <w:p w14:paraId="00FD6660" w14:textId="41490740" w:rsidR="00E161F7" w:rsidRDefault="00E161F7" w:rsidP="00E161F7">
            <w:pPr>
              <w:rPr>
                <w:color w:val="000000"/>
              </w:rPr>
            </w:pPr>
            <w:r w:rsidRPr="00073D00">
              <w:rPr>
                <w:color w:val="000000"/>
              </w:rPr>
              <w:t xml:space="preserve">fibryga </w:t>
            </w:r>
          </w:p>
          <w:p w14:paraId="3E1A4ECE" w14:textId="240F7B64" w:rsidR="00E161F7" w:rsidRPr="00073D00" w:rsidRDefault="00E161F7" w:rsidP="00E161F7">
            <w:pPr>
              <w:rPr>
                <w:rFonts w:eastAsia="Times New Roman"/>
                <w:color w:val="000000"/>
                <w:kern w:val="24"/>
                <w:sz w:val="20"/>
              </w:rPr>
            </w:pPr>
            <w:r w:rsidRPr="00073D00">
              <w:rPr>
                <w:color w:val="000000"/>
                <w:sz w:val="20"/>
              </w:rPr>
              <w:t>buteliukas</w:t>
            </w:r>
          </w:p>
          <w:p w14:paraId="1DB788DF" w14:textId="77777777" w:rsidR="00E161F7" w:rsidRPr="00AB2F7B" w:rsidRDefault="00E161F7" w:rsidP="00EE21E9">
            <w:pPr>
              <w:pStyle w:val="Default"/>
              <w:ind w:left="27"/>
              <w:jc w:val="both"/>
              <w:rPr>
                <w:sz w:val="22"/>
                <w:lang w:val="et-EE"/>
              </w:rPr>
            </w:pPr>
          </w:p>
        </w:tc>
      </w:tr>
      <w:tr w:rsidR="00E161F7" w:rsidRPr="00AB2F7B" w14:paraId="4B619917" w14:textId="77777777" w:rsidTr="00073D00">
        <w:trPr>
          <w:cantSplit/>
        </w:trPr>
        <w:tc>
          <w:tcPr>
            <w:tcW w:w="2764" w:type="dxa"/>
            <w:vAlign w:val="center"/>
          </w:tcPr>
          <w:p w14:paraId="1F3B0211" w14:textId="30714BD2" w:rsidR="00E161F7" w:rsidRPr="00AB2F7B" w:rsidRDefault="00E161F7" w:rsidP="00EE21E9">
            <w:pPr>
              <w:pStyle w:val="Default"/>
              <w:ind w:left="27"/>
              <w:jc w:val="center"/>
              <w:rPr>
                <w:sz w:val="22"/>
                <w:lang w:val="et-EE"/>
              </w:rPr>
            </w:pPr>
            <w:r>
              <w:rPr>
                <w:sz w:val="22"/>
                <w:szCs w:val="22"/>
              </w:rPr>
              <w:t>5</w:t>
            </w:r>
            <w:r w:rsidRPr="00E161F7">
              <w:rPr>
                <w:sz w:val="22"/>
                <w:szCs w:val="22"/>
              </w:rPr>
              <w:t> pav.</w:t>
            </w:r>
          </w:p>
        </w:tc>
        <w:tc>
          <w:tcPr>
            <w:tcW w:w="5871" w:type="dxa"/>
          </w:tcPr>
          <w:p w14:paraId="35CB17EC" w14:textId="77777777" w:rsidR="00E161F7" w:rsidRPr="00AB2F7B" w:rsidRDefault="00E161F7" w:rsidP="00EE21E9">
            <w:pPr>
              <w:pStyle w:val="Default"/>
              <w:ind w:left="27"/>
              <w:jc w:val="both"/>
              <w:rPr>
                <w:sz w:val="22"/>
                <w:lang w:val="et-EE"/>
              </w:rPr>
            </w:pPr>
          </w:p>
        </w:tc>
      </w:tr>
    </w:tbl>
    <w:p w14:paraId="5A9D065E" w14:textId="77777777" w:rsidR="00E465E3" w:rsidRPr="00D70708" w:rsidRDefault="00E465E3" w:rsidP="00073D00">
      <w:pPr>
        <w:autoSpaceDE w:val="0"/>
        <w:autoSpaceDN w:val="0"/>
        <w:adjustRightInd w:val="0"/>
        <w:ind w:left="567"/>
        <w:jc w:val="both"/>
        <w:rPr>
          <w:rFonts w:eastAsia="Times New Roman" w:cs="Arial"/>
          <w:noProof/>
          <w:color w:val="000000"/>
          <w:szCs w:val="24"/>
          <w:lang w:eastAsia="de-AT"/>
        </w:rPr>
      </w:pPr>
    </w:p>
    <w:p w14:paraId="42BDCD8D" w14:textId="77777777" w:rsidR="00D70708" w:rsidRPr="00073D00" w:rsidRDefault="00D70708" w:rsidP="00977646">
      <w:pPr>
        <w:pStyle w:val="Sraopastraipa"/>
        <w:keepNext/>
        <w:numPr>
          <w:ilvl w:val="0"/>
          <w:numId w:val="15"/>
        </w:numPr>
        <w:rPr>
          <w:rFonts w:eastAsia="Times New Roman" w:cs="Arial"/>
          <w:noProof/>
          <w:color w:val="000000"/>
          <w:szCs w:val="24"/>
        </w:rPr>
      </w:pPr>
      <w:r w:rsidRPr="00D70708">
        <w:rPr>
          <w:rFonts w:eastAsiaTheme="minorHAnsi" w:cstheme="minorBidi"/>
          <w:color w:val="000000"/>
          <w:kern w:val="2"/>
          <w14:ligatures w14:val="standardContextual"/>
        </w:rPr>
        <w:t>Išmeskite tuščią tirpiklio flakoną kartu su mėlynąja perkėlimo įtaiso dalimi.</w:t>
      </w:r>
    </w:p>
    <w:p w14:paraId="1079A66E" w14:textId="77777777" w:rsidR="00E161F7" w:rsidRPr="00073D00" w:rsidRDefault="00E161F7" w:rsidP="00073D00">
      <w:pPr>
        <w:keepNext/>
        <w:rPr>
          <w:rFonts w:eastAsia="Times New Roman" w:cs="Arial"/>
          <w:noProof/>
          <w:color w:val="000000"/>
          <w:szCs w:val="24"/>
        </w:rPr>
      </w:pPr>
    </w:p>
    <w:p w14:paraId="068362AF" w14:textId="77777777" w:rsidR="00D70708" w:rsidRDefault="00D70708" w:rsidP="00E161F7">
      <w:pPr>
        <w:pStyle w:val="Antrat4"/>
      </w:pPr>
      <w:r w:rsidRPr="00D70708">
        <w:t>Vartojimas</w:t>
      </w:r>
    </w:p>
    <w:p w14:paraId="5652F3C6" w14:textId="77777777" w:rsidR="00E161F7" w:rsidRPr="00073D00" w:rsidRDefault="00E161F7" w:rsidP="00073D00">
      <w:pPr>
        <w:keepNext/>
      </w:pPr>
    </w:p>
    <w:p w14:paraId="796D797C" w14:textId="66591661" w:rsidR="00D70708" w:rsidRPr="00D70708" w:rsidRDefault="00D70708" w:rsidP="00073D00">
      <w:pPr>
        <w:numPr>
          <w:ilvl w:val="0"/>
          <w:numId w:val="16"/>
        </w:numPr>
        <w:autoSpaceDE w:val="0"/>
        <w:autoSpaceDN w:val="0"/>
        <w:adjustRightInd w:val="0"/>
        <w:rPr>
          <w:rFonts w:eastAsia="Times New Roman" w:cs="Arial"/>
          <w:noProof/>
          <w:color w:val="000000"/>
          <w:szCs w:val="24"/>
        </w:rPr>
      </w:pPr>
      <w:r w:rsidRPr="00D70708">
        <w:rPr>
          <w:rFonts w:eastAsiaTheme="minorHAnsi" w:cstheme="minorBidi"/>
          <w:color w:val="000000"/>
          <w:kern w:val="2"/>
          <w14:ligatures w14:val="standardContextual"/>
        </w:rPr>
        <w:t xml:space="preserve">Atsargiai prijunkite švirkštą prie </w:t>
      </w:r>
      <w:r w:rsidRPr="00D70708">
        <w:rPr>
          <w:rFonts w:eastAsiaTheme="minorHAnsi" w:cstheme="minorBidi"/>
          <w:i/>
          <w:iCs/>
          <w:color w:val="000000"/>
          <w:kern w:val="2"/>
          <w14:ligatures w14:val="standardContextual"/>
        </w:rPr>
        <w:t>Luer Lock</w:t>
      </w:r>
      <w:r w:rsidRPr="00D70708">
        <w:rPr>
          <w:rFonts w:eastAsiaTheme="minorHAnsi" w:cstheme="minorBidi"/>
          <w:color w:val="000000"/>
          <w:kern w:val="2"/>
          <w14:ligatures w14:val="standardContextual"/>
        </w:rPr>
        <w:t xml:space="preserve"> jungties, esančios ant perkėlimo įtaiso baltosios dalies</w:t>
      </w:r>
      <w:r w:rsidR="0046252A">
        <w:rPr>
          <w:rFonts w:eastAsiaTheme="minorHAnsi" w:cstheme="minorBidi"/>
          <w:color w:val="000000"/>
          <w:kern w:val="2"/>
          <w14:ligatures w14:val="standardContextual"/>
        </w:rPr>
        <w:t xml:space="preserve"> </w:t>
      </w:r>
      <w:r w:rsidRPr="00D70708">
        <w:rPr>
          <w:rFonts w:eastAsiaTheme="minorHAnsi" w:cstheme="minorBidi"/>
          <w:color w:val="000000"/>
          <w:kern w:val="2"/>
          <w14:ligatures w14:val="standardContextual"/>
        </w:rPr>
        <w:t>(6 pav.).</w:t>
      </w:r>
    </w:p>
    <w:p w14:paraId="77DA86CD" w14:textId="31012CC0" w:rsidR="00D70708" w:rsidRPr="00D70708" w:rsidRDefault="00D70708" w:rsidP="00073D00">
      <w:pPr>
        <w:numPr>
          <w:ilvl w:val="0"/>
          <w:numId w:val="16"/>
        </w:numPr>
        <w:autoSpaceDE w:val="0"/>
        <w:autoSpaceDN w:val="0"/>
        <w:adjustRightInd w:val="0"/>
        <w:rPr>
          <w:rFonts w:eastAsia="Times New Roman" w:cs="Arial"/>
          <w:noProof/>
          <w:color w:val="000000"/>
          <w:szCs w:val="24"/>
        </w:rPr>
      </w:pPr>
      <w:r w:rsidRPr="00D70708">
        <w:rPr>
          <w:rFonts w:eastAsiaTheme="minorHAnsi" w:cstheme="minorBidi"/>
          <w:color w:val="000000"/>
          <w:kern w:val="2"/>
          <w14:ligatures w14:val="standardContextual"/>
        </w:rPr>
        <w:t xml:space="preserve">Apverskite </w:t>
      </w:r>
      <w:r w:rsidR="008D2F2F">
        <w:t>fibryga</w:t>
      </w:r>
      <w:r w:rsidR="008D2F2F" w:rsidRPr="008D2F2F">
        <w:t xml:space="preserve"> </w:t>
      </w:r>
      <w:r w:rsidRPr="00D70708">
        <w:rPr>
          <w:rFonts w:eastAsiaTheme="minorHAnsi" w:cstheme="minorBidi"/>
          <w:color w:val="000000"/>
          <w:kern w:val="2"/>
          <w14:ligatures w14:val="standardContextual"/>
        </w:rPr>
        <w:t>buteliuką ir įtraukite tirpalą į švirkštą (7 pav.).</w:t>
      </w:r>
    </w:p>
    <w:p w14:paraId="157250F3" w14:textId="6F738BF2" w:rsidR="00D70708" w:rsidRPr="00D70708" w:rsidRDefault="00D70708" w:rsidP="00073D00">
      <w:pPr>
        <w:keepNext/>
        <w:autoSpaceDE w:val="0"/>
        <w:autoSpaceDN w:val="0"/>
        <w:adjustRightInd w:val="0"/>
        <w:ind w:left="567"/>
        <w:jc w:val="both"/>
        <w:rPr>
          <w:rFonts w:eastAsia="Times New Roman" w:cs="Arial"/>
          <w:noProof/>
          <w:color w:val="000000"/>
          <w:szCs w:val="24"/>
        </w:rPr>
      </w:pPr>
    </w:p>
    <w:tbl>
      <w:tblPr>
        <w:tblStyle w:val="Lentelstinklelis"/>
        <w:tblW w:w="8636"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26"/>
        <w:gridCol w:w="2092"/>
        <w:gridCol w:w="2226"/>
        <w:gridCol w:w="2092"/>
      </w:tblGrid>
      <w:tr w:rsidR="000A4C25" w:rsidRPr="00AB2F7B" w14:paraId="3EB5804F" w14:textId="77777777" w:rsidTr="00073D00">
        <w:trPr>
          <w:cantSplit/>
        </w:trPr>
        <w:tc>
          <w:tcPr>
            <w:tcW w:w="2226" w:type="dxa"/>
          </w:tcPr>
          <w:p w14:paraId="2623EB10" w14:textId="0A492870" w:rsidR="000A4C25" w:rsidRPr="00AB2F7B" w:rsidRDefault="000A4C25" w:rsidP="00EE21E9">
            <w:pPr>
              <w:pStyle w:val="Default"/>
              <w:keepNext/>
              <w:keepLines/>
              <w:ind w:left="27" w:hanging="27"/>
              <w:jc w:val="both"/>
              <w:rPr>
                <w:sz w:val="22"/>
                <w:lang w:val="et-EE"/>
              </w:rPr>
            </w:pPr>
            <w:r w:rsidRPr="00AB2F7B">
              <w:rPr>
                <w:noProof/>
                <w:sz w:val="22"/>
                <w:lang w:val="lt-LT" w:eastAsia="lt-LT"/>
              </w:rPr>
              <w:drawing>
                <wp:inline distT="0" distB="0" distL="0" distR="0" wp14:anchorId="15957E58" wp14:editId="231CB463">
                  <wp:extent cx="1276528" cy="2086266"/>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31336" name=""/>
                          <pic:cNvPicPr/>
                        </pic:nvPicPr>
                        <pic:blipFill>
                          <a:blip r:embed="rId16"/>
                          <a:stretch>
                            <a:fillRect/>
                          </a:stretch>
                        </pic:blipFill>
                        <pic:spPr>
                          <a:xfrm>
                            <a:off x="0" y="0"/>
                            <a:ext cx="1276528" cy="2086266"/>
                          </a:xfrm>
                          <a:prstGeom prst="rect">
                            <a:avLst/>
                          </a:prstGeom>
                        </pic:spPr>
                      </pic:pic>
                    </a:graphicData>
                  </a:graphic>
                </wp:inline>
              </w:drawing>
            </w:r>
          </w:p>
        </w:tc>
        <w:tc>
          <w:tcPr>
            <w:tcW w:w="2092" w:type="dxa"/>
            <w:vAlign w:val="bottom"/>
          </w:tcPr>
          <w:p w14:paraId="3DDB82E6" w14:textId="77777777" w:rsidR="000A4C25" w:rsidRDefault="000A4C25" w:rsidP="000A4C25">
            <w:pPr>
              <w:rPr>
                <w:color w:val="000000"/>
              </w:rPr>
            </w:pPr>
            <w:r w:rsidRPr="00EE21E9">
              <w:rPr>
                <w:color w:val="000000"/>
              </w:rPr>
              <w:t xml:space="preserve">Paruoštas </w:t>
            </w:r>
          </w:p>
          <w:p w14:paraId="2939961C" w14:textId="77777777" w:rsidR="000A4C25" w:rsidRDefault="000A4C25" w:rsidP="000A4C25">
            <w:pPr>
              <w:rPr>
                <w:color w:val="000000"/>
              </w:rPr>
            </w:pPr>
            <w:r w:rsidRPr="00EE21E9">
              <w:rPr>
                <w:color w:val="000000"/>
              </w:rPr>
              <w:t xml:space="preserve">fibryga </w:t>
            </w:r>
          </w:p>
          <w:p w14:paraId="214080DF" w14:textId="77777777" w:rsidR="000A4C25" w:rsidRPr="00EE21E9" w:rsidRDefault="000A4C25" w:rsidP="000A4C25">
            <w:pPr>
              <w:rPr>
                <w:rFonts w:eastAsia="Times New Roman"/>
                <w:color w:val="000000"/>
                <w:kern w:val="24"/>
              </w:rPr>
            </w:pPr>
            <w:r w:rsidRPr="00EE21E9">
              <w:rPr>
                <w:color w:val="000000"/>
              </w:rPr>
              <w:t>buteliukas</w:t>
            </w:r>
          </w:p>
          <w:p w14:paraId="729944C0" w14:textId="77777777" w:rsidR="000A4C25" w:rsidRPr="00AB2F7B" w:rsidRDefault="000A4C25" w:rsidP="00EE21E9">
            <w:pPr>
              <w:pStyle w:val="Default"/>
              <w:ind w:left="27" w:hanging="27"/>
              <w:rPr>
                <w:sz w:val="22"/>
                <w:lang w:val="et-EE"/>
              </w:rPr>
            </w:pPr>
          </w:p>
        </w:tc>
        <w:tc>
          <w:tcPr>
            <w:tcW w:w="2226" w:type="dxa"/>
          </w:tcPr>
          <w:p w14:paraId="7CEF668B" w14:textId="1DB529B9" w:rsidR="000A4C25" w:rsidRPr="00AB2F7B" w:rsidRDefault="000A4C25" w:rsidP="00EE21E9">
            <w:pPr>
              <w:pStyle w:val="Default"/>
              <w:keepNext/>
              <w:keepLines/>
              <w:ind w:left="27" w:hanging="27"/>
              <w:jc w:val="both"/>
              <w:rPr>
                <w:sz w:val="22"/>
                <w:lang w:val="et-EE"/>
              </w:rPr>
            </w:pPr>
            <w:r w:rsidRPr="00AB2F7B">
              <w:rPr>
                <w:noProof/>
                <w:sz w:val="22"/>
                <w:lang w:val="lt-LT" w:eastAsia="lt-LT"/>
              </w:rPr>
              <w:drawing>
                <wp:inline distT="0" distB="0" distL="0" distR="0" wp14:anchorId="1AA5256C" wp14:editId="4C99586E">
                  <wp:extent cx="1267002" cy="2086266"/>
                  <wp:effectExtent l="0" t="0" r="9525" b="95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612611" name=""/>
                          <pic:cNvPicPr/>
                        </pic:nvPicPr>
                        <pic:blipFill>
                          <a:blip r:embed="rId17"/>
                          <a:stretch>
                            <a:fillRect/>
                          </a:stretch>
                        </pic:blipFill>
                        <pic:spPr>
                          <a:xfrm>
                            <a:off x="0" y="0"/>
                            <a:ext cx="1267002" cy="2086266"/>
                          </a:xfrm>
                          <a:prstGeom prst="rect">
                            <a:avLst/>
                          </a:prstGeom>
                        </pic:spPr>
                      </pic:pic>
                    </a:graphicData>
                  </a:graphic>
                </wp:inline>
              </w:drawing>
            </w:r>
          </w:p>
        </w:tc>
        <w:tc>
          <w:tcPr>
            <w:tcW w:w="2092" w:type="dxa"/>
          </w:tcPr>
          <w:p w14:paraId="073DD8D0" w14:textId="77777777" w:rsidR="000A4C25" w:rsidRPr="00AB2F7B" w:rsidRDefault="000A4C25" w:rsidP="00EE21E9">
            <w:pPr>
              <w:pStyle w:val="Default"/>
              <w:ind w:left="27" w:hanging="27"/>
              <w:jc w:val="both"/>
              <w:rPr>
                <w:sz w:val="22"/>
                <w:lang w:val="et-EE"/>
              </w:rPr>
            </w:pPr>
          </w:p>
          <w:p w14:paraId="3685F3B8" w14:textId="77777777" w:rsidR="000A4C25" w:rsidRDefault="000A4C25" w:rsidP="000A4C25">
            <w:pPr>
              <w:rPr>
                <w:color w:val="000000"/>
              </w:rPr>
            </w:pPr>
            <w:r w:rsidRPr="00EE21E9">
              <w:rPr>
                <w:color w:val="000000"/>
              </w:rPr>
              <w:t xml:space="preserve">Paruoštas </w:t>
            </w:r>
          </w:p>
          <w:p w14:paraId="4BE39F14" w14:textId="77777777" w:rsidR="000A4C25" w:rsidRDefault="000A4C25" w:rsidP="000A4C25">
            <w:pPr>
              <w:rPr>
                <w:color w:val="000000"/>
              </w:rPr>
            </w:pPr>
            <w:r w:rsidRPr="00EE21E9">
              <w:rPr>
                <w:color w:val="000000"/>
              </w:rPr>
              <w:t xml:space="preserve">fibryga </w:t>
            </w:r>
          </w:p>
          <w:p w14:paraId="765A95CF" w14:textId="77777777" w:rsidR="000A4C25" w:rsidRPr="00EE21E9" w:rsidRDefault="000A4C25" w:rsidP="000A4C25">
            <w:pPr>
              <w:rPr>
                <w:rFonts w:eastAsia="Times New Roman"/>
                <w:color w:val="000000"/>
                <w:kern w:val="24"/>
              </w:rPr>
            </w:pPr>
            <w:r w:rsidRPr="00EE21E9">
              <w:rPr>
                <w:color w:val="000000"/>
              </w:rPr>
              <w:t>buteliukas</w:t>
            </w:r>
          </w:p>
          <w:p w14:paraId="004DAB69" w14:textId="77777777" w:rsidR="000A4C25" w:rsidRPr="00AB2F7B" w:rsidRDefault="000A4C25" w:rsidP="00EE21E9">
            <w:pPr>
              <w:pStyle w:val="Default"/>
              <w:keepNext/>
              <w:keepLines/>
              <w:ind w:left="27" w:hanging="27"/>
              <w:jc w:val="both"/>
              <w:rPr>
                <w:sz w:val="22"/>
                <w:lang w:val="et-EE"/>
              </w:rPr>
            </w:pPr>
          </w:p>
        </w:tc>
      </w:tr>
      <w:tr w:rsidR="000A4C25" w:rsidRPr="00AB2F7B" w14:paraId="042FFE02" w14:textId="77777777" w:rsidTr="00073D00">
        <w:trPr>
          <w:cantSplit/>
        </w:trPr>
        <w:tc>
          <w:tcPr>
            <w:tcW w:w="2226" w:type="dxa"/>
            <w:vAlign w:val="center"/>
          </w:tcPr>
          <w:p w14:paraId="54083423" w14:textId="26F3FB14" w:rsidR="000A4C25" w:rsidRPr="00AB2F7B" w:rsidRDefault="000A4C25" w:rsidP="00EE21E9">
            <w:pPr>
              <w:pStyle w:val="Default"/>
              <w:keepNext/>
              <w:keepLines/>
              <w:ind w:left="27" w:hanging="27"/>
              <w:jc w:val="center"/>
              <w:rPr>
                <w:sz w:val="22"/>
                <w:lang w:val="et-EE"/>
              </w:rPr>
            </w:pPr>
            <w:r>
              <w:rPr>
                <w:sz w:val="22"/>
                <w:lang w:val="et-EE"/>
              </w:rPr>
              <w:t>6 pav.</w:t>
            </w:r>
          </w:p>
        </w:tc>
        <w:tc>
          <w:tcPr>
            <w:tcW w:w="2092" w:type="dxa"/>
          </w:tcPr>
          <w:p w14:paraId="59C4F7FB" w14:textId="77777777" w:rsidR="000A4C25" w:rsidRPr="00AB2F7B" w:rsidRDefault="000A4C25" w:rsidP="00EE21E9">
            <w:pPr>
              <w:pStyle w:val="Default"/>
              <w:keepNext/>
              <w:keepLines/>
              <w:ind w:left="27" w:hanging="27"/>
              <w:jc w:val="both"/>
              <w:rPr>
                <w:sz w:val="22"/>
                <w:lang w:val="et-EE"/>
              </w:rPr>
            </w:pPr>
          </w:p>
        </w:tc>
        <w:tc>
          <w:tcPr>
            <w:tcW w:w="2226" w:type="dxa"/>
            <w:vAlign w:val="center"/>
          </w:tcPr>
          <w:p w14:paraId="746A4D25" w14:textId="15680607" w:rsidR="000A4C25" w:rsidRPr="00AB2F7B" w:rsidRDefault="000A4C25" w:rsidP="00EE21E9">
            <w:pPr>
              <w:pStyle w:val="Default"/>
              <w:keepNext/>
              <w:keepLines/>
              <w:ind w:left="27" w:hanging="27"/>
              <w:jc w:val="center"/>
              <w:rPr>
                <w:sz w:val="22"/>
                <w:lang w:val="et-EE"/>
              </w:rPr>
            </w:pPr>
            <w:r>
              <w:rPr>
                <w:sz w:val="22"/>
                <w:lang w:val="et-EE"/>
              </w:rPr>
              <w:t>7 pav.</w:t>
            </w:r>
          </w:p>
        </w:tc>
        <w:tc>
          <w:tcPr>
            <w:tcW w:w="2092" w:type="dxa"/>
          </w:tcPr>
          <w:p w14:paraId="2D1E7309" w14:textId="77777777" w:rsidR="000A4C25" w:rsidRPr="00AB2F7B" w:rsidRDefault="000A4C25" w:rsidP="00EE21E9">
            <w:pPr>
              <w:pStyle w:val="Default"/>
              <w:keepNext/>
              <w:keepLines/>
              <w:ind w:left="27" w:hanging="27"/>
              <w:jc w:val="both"/>
              <w:rPr>
                <w:sz w:val="22"/>
                <w:lang w:val="et-EE"/>
              </w:rPr>
            </w:pPr>
          </w:p>
        </w:tc>
      </w:tr>
    </w:tbl>
    <w:p w14:paraId="1D6E977E" w14:textId="77777777" w:rsidR="00D70708" w:rsidRPr="00D70708" w:rsidRDefault="00D70708" w:rsidP="00073D00">
      <w:pPr>
        <w:autoSpaceDE w:val="0"/>
        <w:autoSpaceDN w:val="0"/>
        <w:adjustRightInd w:val="0"/>
        <w:ind w:left="567"/>
        <w:jc w:val="both"/>
        <w:rPr>
          <w:rFonts w:eastAsia="Times New Roman" w:cs="Arial"/>
          <w:noProof/>
          <w:color w:val="000000"/>
          <w:szCs w:val="24"/>
          <w:lang w:eastAsia="de-AT"/>
        </w:rPr>
      </w:pPr>
    </w:p>
    <w:p w14:paraId="36B66C5B" w14:textId="77777777" w:rsidR="00D70708" w:rsidRPr="00D70708" w:rsidRDefault="00D70708" w:rsidP="00073D00">
      <w:pPr>
        <w:numPr>
          <w:ilvl w:val="0"/>
          <w:numId w:val="16"/>
        </w:numPr>
        <w:autoSpaceDE w:val="0"/>
        <w:autoSpaceDN w:val="0"/>
        <w:adjustRightInd w:val="0"/>
        <w:rPr>
          <w:rFonts w:eastAsia="Times New Roman" w:cs="Arial"/>
          <w:noProof/>
          <w:color w:val="000000"/>
          <w:szCs w:val="24"/>
        </w:rPr>
      </w:pPr>
      <w:r w:rsidRPr="00D70708">
        <w:rPr>
          <w:rFonts w:eastAsiaTheme="minorHAnsi" w:cstheme="minorBidi"/>
          <w:color w:val="000000"/>
          <w:kern w:val="2"/>
          <w14:ligatures w14:val="standardContextual"/>
        </w:rPr>
        <w:t>Perkėlę tirpalą, tvirtai laikykite švirkšto korpusą (švirkšto stūmoklį nukreipę žemyn) ir nuimkite švirkštą nuo perkėlimo įtaiso (8 pav.).</w:t>
      </w:r>
    </w:p>
    <w:p w14:paraId="0F679FA6" w14:textId="6B162601" w:rsidR="00D70708" w:rsidRPr="00D70708" w:rsidRDefault="00D70708" w:rsidP="00073D00">
      <w:pPr>
        <w:autoSpaceDE w:val="0"/>
        <w:autoSpaceDN w:val="0"/>
        <w:adjustRightInd w:val="0"/>
        <w:ind w:left="567"/>
        <w:jc w:val="both"/>
        <w:rPr>
          <w:rFonts w:eastAsia="Times New Roman" w:cs="Arial"/>
          <w:noProof/>
          <w:color w:val="000000"/>
          <w:szCs w:val="24"/>
        </w:rPr>
      </w:pPr>
    </w:p>
    <w:tbl>
      <w:tblPr>
        <w:tblStyle w:val="Lentelstinklelis"/>
        <w:tblW w:w="8635"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30"/>
        <w:gridCol w:w="5805"/>
      </w:tblGrid>
      <w:tr w:rsidR="000A4C25" w:rsidRPr="00AB2F7B" w14:paraId="638393E6" w14:textId="77777777" w:rsidTr="00073D00">
        <w:trPr>
          <w:cantSplit/>
        </w:trPr>
        <w:tc>
          <w:tcPr>
            <w:tcW w:w="2830" w:type="dxa"/>
          </w:tcPr>
          <w:p w14:paraId="7C019F8E" w14:textId="534C26A7" w:rsidR="000A4C25" w:rsidRPr="00AB2F7B" w:rsidRDefault="000A4C25" w:rsidP="00EE21E9">
            <w:pPr>
              <w:pStyle w:val="Default"/>
              <w:jc w:val="both"/>
              <w:rPr>
                <w:sz w:val="22"/>
                <w:lang w:val="et-EE"/>
              </w:rPr>
            </w:pPr>
            <w:r w:rsidRPr="00AB2F7B">
              <w:rPr>
                <w:noProof/>
                <w:sz w:val="22"/>
                <w:lang w:val="lt-LT" w:eastAsia="lt-LT"/>
              </w:rPr>
              <w:drawing>
                <wp:inline distT="0" distB="0" distL="0" distR="0" wp14:anchorId="5322B3E2" wp14:editId="755BCAED">
                  <wp:extent cx="1543265" cy="236253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523360" name=""/>
                          <pic:cNvPicPr/>
                        </pic:nvPicPr>
                        <pic:blipFill>
                          <a:blip r:embed="rId18"/>
                          <a:stretch>
                            <a:fillRect/>
                          </a:stretch>
                        </pic:blipFill>
                        <pic:spPr>
                          <a:xfrm>
                            <a:off x="0" y="0"/>
                            <a:ext cx="1543265" cy="2362530"/>
                          </a:xfrm>
                          <a:prstGeom prst="rect">
                            <a:avLst/>
                          </a:prstGeom>
                        </pic:spPr>
                      </pic:pic>
                    </a:graphicData>
                  </a:graphic>
                </wp:inline>
              </w:drawing>
            </w:r>
          </w:p>
        </w:tc>
        <w:tc>
          <w:tcPr>
            <w:tcW w:w="5805" w:type="dxa"/>
          </w:tcPr>
          <w:p w14:paraId="6553162D" w14:textId="772FBFB7" w:rsidR="000A4C25" w:rsidRPr="00AB2F7B" w:rsidRDefault="000A4C25" w:rsidP="00EE21E9">
            <w:pPr>
              <w:pStyle w:val="Default"/>
              <w:jc w:val="both"/>
              <w:rPr>
                <w:sz w:val="22"/>
                <w:lang w:val="et-EE"/>
              </w:rPr>
            </w:pPr>
          </w:p>
          <w:p w14:paraId="6DAC9D10" w14:textId="77777777" w:rsidR="000A4C25" w:rsidRDefault="000A4C25" w:rsidP="000A4C25">
            <w:pPr>
              <w:rPr>
                <w:color w:val="000000"/>
              </w:rPr>
            </w:pPr>
            <w:r w:rsidRPr="00073D00">
              <w:rPr>
                <w:color w:val="000000"/>
              </w:rPr>
              <w:t>Tuščias</w:t>
            </w:r>
            <w:r w:rsidRPr="00A16295">
              <w:rPr>
                <w:color w:val="000000"/>
                <w:sz w:val="20"/>
                <w:szCs w:val="20"/>
              </w:rPr>
              <w:t xml:space="preserve"> </w:t>
            </w:r>
          </w:p>
          <w:p w14:paraId="429409C3" w14:textId="63F29E37" w:rsidR="000A4C25" w:rsidRDefault="000A4C25" w:rsidP="000A4C25">
            <w:pPr>
              <w:rPr>
                <w:color w:val="000000"/>
              </w:rPr>
            </w:pPr>
            <w:r w:rsidRPr="00EE21E9">
              <w:rPr>
                <w:color w:val="000000"/>
              </w:rPr>
              <w:t xml:space="preserve">fibryga </w:t>
            </w:r>
          </w:p>
          <w:p w14:paraId="44475C66" w14:textId="77777777" w:rsidR="000A4C25" w:rsidRPr="00EE21E9" w:rsidRDefault="000A4C25" w:rsidP="000A4C25">
            <w:pPr>
              <w:rPr>
                <w:rFonts w:eastAsia="Times New Roman"/>
                <w:color w:val="000000"/>
                <w:kern w:val="24"/>
              </w:rPr>
            </w:pPr>
            <w:r w:rsidRPr="00EE21E9">
              <w:rPr>
                <w:color w:val="000000"/>
              </w:rPr>
              <w:t>buteliukas</w:t>
            </w:r>
          </w:p>
          <w:p w14:paraId="714E4A41" w14:textId="5677C1FA" w:rsidR="000A4C25" w:rsidRPr="00AB2F7B" w:rsidRDefault="000A4C25" w:rsidP="00EE21E9">
            <w:pPr>
              <w:pStyle w:val="Default"/>
              <w:jc w:val="both"/>
              <w:rPr>
                <w:sz w:val="22"/>
                <w:lang w:val="et-EE"/>
              </w:rPr>
            </w:pPr>
          </w:p>
        </w:tc>
      </w:tr>
      <w:tr w:rsidR="000A4C25" w:rsidRPr="00AB2F7B" w14:paraId="1577D272" w14:textId="77777777" w:rsidTr="00073D00">
        <w:trPr>
          <w:cantSplit/>
        </w:trPr>
        <w:tc>
          <w:tcPr>
            <w:tcW w:w="2830" w:type="dxa"/>
            <w:vAlign w:val="center"/>
          </w:tcPr>
          <w:p w14:paraId="49CDDB29" w14:textId="37C69C6C" w:rsidR="000A4C25" w:rsidRPr="00AB2F7B" w:rsidRDefault="000A4C25" w:rsidP="00EE21E9">
            <w:pPr>
              <w:pStyle w:val="Default"/>
              <w:jc w:val="center"/>
              <w:rPr>
                <w:sz w:val="22"/>
                <w:lang w:val="et-EE"/>
              </w:rPr>
            </w:pPr>
            <w:r>
              <w:rPr>
                <w:sz w:val="22"/>
                <w:lang w:val="et-EE"/>
              </w:rPr>
              <w:t>8 pav.</w:t>
            </w:r>
          </w:p>
        </w:tc>
        <w:tc>
          <w:tcPr>
            <w:tcW w:w="5805" w:type="dxa"/>
          </w:tcPr>
          <w:p w14:paraId="795D905A" w14:textId="77777777" w:rsidR="000A4C25" w:rsidRPr="00AB2F7B" w:rsidRDefault="000A4C25" w:rsidP="00EE21E9">
            <w:pPr>
              <w:pStyle w:val="Default"/>
              <w:jc w:val="both"/>
              <w:rPr>
                <w:sz w:val="22"/>
                <w:lang w:val="et-EE"/>
              </w:rPr>
            </w:pPr>
          </w:p>
        </w:tc>
      </w:tr>
    </w:tbl>
    <w:p w14:paraId="0AD52871" w14:textId="77777777" w:rsidR="00E465E3" w:rsidRPr="00D70708" w:rsidRDefault="00E465E3" w:rsidP="00073D00">
      <w:pPr>
        <w:autoSpaceDE w:val="0"/>
        <w:autoSpaceDN w:val="0"/>
        <w:adjustRightInd w:val="0"/>
        <w:ind w:left="567"/>
        <w:jc w:val="both"/>
        <w:rPr>
          <w:rFonts w:eastAsia="Times New Roman" w:cs="Arial"/>
          <w:noProof/>
          <w:color w:val="000000"/>
          <w:szCs w:val="24"/>
          <w:lang w:eastAsia="de-AT"/>
        </w:rPr>
      </w:pPr>
    </w:p>
    <w:p w14:paraId="2D8A8E63" w14:textId="125F2943" w:rsidR="00D70708" w:rsidRPr="00D70708" w:rsidRDefault="00D70708" w:rsidP="00073D00">
      <w:pPr>
        <w:numPr>
          <w:ilvl w:val="0"/>
          <w:numId w:val="16"/>
        </w:numPr>
        <w:autoSpaceDE w:val="0"/>
        <w:autoSpaceDN w:val="0"/>
        <w:adjustRightInd w:val="0"/>
        <w:rPr>
          <w:rFonts w:eastAsia="Times New Roman" w:cs="Arial"/>
          <w:noProof/>
          <w:color w:val="000000"/>
          <w:szCs w:val="24"/>
        </w:rPr>
      </w:pPr>
      <w:r w:rsidRPr="00D70708">
        <w:rPr>
          <w:rFonts w:eastAsiaTheme="minorHAnsi" w:cstheme="minorBidi"/>
          <w:color w:val="000000"/>
          <w:kern w:val="2"/>
          <w14:ligatures w14:val="standardContextual"/>
        </w:rPr>
        <w:t xml:space="preserve">Išmeskite baltąją perkėlimo įtaiso dalį kartu su tuščiu </w:t>
      </w:r>
      <w:r w:rsidR="008D2F2F">
        <w:t>fibryga</w:t>
      </w:r>
      <w:r w:rsidR="008D2F2F" w:rsidRPr="008D2F2F">
        <w:t xml:space="preserve"> </w:t>
      </w:r>
      <w:r w:rsidRPr="00D70708">
        <w:rPr>
          <w:rFonts w:eastAsiaTheme="minorHAnsi" w:cstheme="minorBidi"/>
          <w:color w:val="000000"/>
          <w:kern w:val="2"/>
          <w14:ligatures w14:val="standardContextual"/>
        </w:rPr>
        <w:t>buteliuku.</w:t>
      </w:r>
    </w:p>
    <w:p w14:paraId="08FC1887" w14:textId="77777777" w:rsidR="008E70E4" w:rsidRPr="00216B78" w:rsidRDefault="008E70E4" w:rsidP="00324E4D">
      <w:pPr>
        <w:pStyle w:val="Pagrindinistekstas2"/>
        <w:spacing w:after="0" w:line="240" w:lineRule="auto"/>
        <w:jc w:val="both"/>
        <w:rPr>
          <w:noProof/>
        </w:rPr>
      </w:pPr>
    </w:p>
    <w:p w14:paraId="4A45B02F" w14:textId="77777777" w:rsidR="008E70E4" w:rsidRPr="00216B78" w:rsidRDefault="008E70E4" w:rsidP="00324E4D">
      <w:pPr>
        <w:pStyle w:val="Default"/>
        <w:jc w:val="both"/>
        <w:rPr>
          <w:color w:val="auto"/>
          <w:sz w:val="22"/>
          <w:szCs w:val="22"/>
          <w:lang w:val="lt-LT"/>
        </w:rPr>
      </w:pPr>
      <w:r w:rsidRPr="00216B78">
        <w:rPr>
          <w:color w:val="auto"/>
          <w:sz w:val="22"/>
          <w:szCs w:val="22"/>
          <w:lang w:val="lt-LT"/>
        </w:rPr>
        <w:t>Paruoštam kambario temperatūros tirpalui į veną leisti rekomenduojama naudoti standartinį infuzijos rinkinį.</w:t>
      </w:r>
    </w:p>
    <w:p w14:paraId="6E84DD4D" w14:textId="77777777" w:rsidR="007718AC" w:rsidRPr="00216B78" w:rsidRDefault="007718AC" w:rsidP="00324E4D">
      <w:pPr>
        <w:pStyle w:val="Default"/>
        <w:jc w:val="both"/>
        <w:rPr>
          <w:color w:val="auto"/>
          <w:sz w:val="22"/>
          <w:szCs w:val="22"/>
          <w:lang w:val="lt-LT"/>
        </w:rPr>
      </w:pPr>
    </w:p>
    <w:p w14:paraId="7A2AD831" w14:textId="77777777" w:rsidR="008E70E4" w:rsidRPr="00216B78" w:rsidRDefault="008E70E4" w:rsidP="00324E4D">
      <w:pPr>
        <w:pStyle w:val="Default"/>
        <w:jc w:val="both"/>
        <w:rPr>
          <w:color w:val="auto"/>
          <w:sz w:val="22"/>
          <w:szCs w:val="22"/>
          <w:lang w:val="lt-LT"/>
        </w:rPr>
      </w:pPr>
      <w:r w:rsidRPr="00216B78">
        <w:rPr>
          <w:color w:val="auto"/>
          <w:sz w:val="22"/>
          <w:szCs w:val="22"/>
          <w:lang w:val="lt-LT"/>
        </w:rPr>
        <w:t>Nesuvartotą vaistinį preparatą ar atliekas reikia tvarkyti laikantis vietinių reikalavimų.</w:t>
      </w:r>
    </w:p>
    <w:p w14:paraId="58B4CE81" w14:textId="77777777" w:rsidR="007718AC" w:rsidRPr="00216B78" w:rsidRDefault="007718AC" w:rsidP="00361769">
      <w:pPr>
        <w:pStyle w:val="Default"/>
        <w:rPr>
          <w:color w:val="auto"/>
          <w:sz w:val="22"/>
          <w:szCs w:val="22"/>
          <w:lang w:val="lt-LT"/>
        </w:rPr>
      </w:pPr>
    </w:p>
    <w:p w14:paraId="2B630AB3" w14:textId="77777777" w:rsidR="007718AC" w:rsidRPr="00216B78" w:rsidRDefault="007718AC" w:rsidP="00361769">
      <w:pPr>
        <w:pStyle w:val="Default"/>
        <w:rPr>
          <w:color w:val="auto"/>
          <w:sz w:val="22"/>
          <w:szCs w:val="22"/>
          <w:lang w:val="lt-LT"/>
        </w:rPr>
      </w:pPr>
    </w:p>
    <w:p w14:paraId="119E34B8" w14:textId="77777777" w:rsidR="008E70E4" w:rsidRPr="00216B78" w:rsidRDefault="007718AC" w:rsidP="00361769">
      <w:pPr>
        <w:pStyle w:val="Default"/>
        <w:outlineLvl w:val="0"/>
        <w:rPr>
          <w:b/>
          <w:bCs/>
          <w:sz w:val="22"/>
          <w:szCs w:val="22"/>
          <w:lang w:val="lt-LT"/>
        </w:rPr>
      </w:pPr>
      <w:r w:rsidRPr="00216B78">
        <w:rPr>
          <w:b/>
          <w:bCs/>
          <w:sz w:val="22"/>
          <w:szCs w:val="22"/>
          <w:lang w:val="lt-LT"/>
        </w:rPr>
        <w:t>7.</w:t>
      </w:r>
      <w:r w:rsidRPr="00216B78">
        <w:rPr>
          <w:b/>
          <w:bCs/>
          <w:sz w:val="22"/>
          <w:szCs w:val="22"/>
          <w:lang w:val="lt-LT"/>
        </w:rPr>
        <w:tab/>
      </w:r>
      <w:r w:rsidR="008E70E4" w:rsidRPr="00216B78">
        <w:rPr>
          <w:b/>
          <w:bCs/>
          <w:sz w:val="22"/>
          <w:szCs w:val="22"/>
          <w:lang w:val="lt-LT"/>
        </w:rPr>
        <w:t>REGISTRUOTOJAS</w:t>
      </w:r>
    </w:p>
    <w:p w14:paraId="7D593974" w14:textId="77777777" w:rsidR="007718AC" w:rsidRPr="00216B78" w:rsidRDefault="007718AC" w:rsidP="007B277D">
      <w:pPr>
        <w:keepNext/>
      </w:pPr>
    </w:p>
    <w:p w14:paraId="62FE0356" w14:textId="77777777" w:rsidR="008E70E4" w:rsidRPr="00216B78" w:rsidRDefault="008E70E4" w:rsidP="00361769">
      <w:pPr>
        <w:pStyle w:val="Default"/>
        <w:rPr>
          <w:sz w:val="22"/>
          <w:szCs w:val="22"/>
          <w:lang w:val="lt-LT"/>
        </w:rPr>
      </w:pPr>
      <w:r w:rsidRPr="00216B78">
        <w:rPr>
          <w:sz w:val="22"/>
          <w:szCs w:val="22"/>
          <w:lang w:val="lt-LT"/>
        </w:rPr>
        <w:t>Octapharma (IP) SPRL</w:t>
      </w:r>
    </w:p>
    <w:p w14:paraId="45D2DF2C" w14:textId="17485385" w:rsidR="008E70E4" w:rsidRPr="00216B78" w:rsidRDefault="00677D28" w:rsidP="00361769">
      <w:pPr>
        <w:pStyle w:val="Default"/>
        <w:rPr>
          <w:sz w:val="22"/>
          <w:szCs w:val="22"/>
          <w:lang w:val="lt-LT"/>
        </w:rPr>
      </w:pPr>
      <w:r>
        <w:rPr>
          <w:sz w:val="22"/>
          <w:szCs w:val="22"/>
          <w:lang w:val="lt-LT"/>
        </w:rPr>
        <w:t>Route de Lennik 451</w:t>
      </w:r>
    </w:p>
    <w:p w14:paraId="45C86829" w14:textId="77777777" w:rsidR="008E70E4" w:rsidRPr="00216B78" w:rsidRDefault="008E70E4" w:rsidP="00361769">
      <w:pPr>
        <w:pStyle w:val="Default"/>
        <w:rPr>
          <w:sz w:val="22"/>
          <w:szCs w:val="22"/>
          <w:lang w:val="lt-LT"/>
        </w:rPr>
      </w:pPr>
      <w:r w:rsidRPr="00216B78">
        <w:rPr>
          <w:sz w:val="22"/>
          <w:szCs w:val="22"/>
          <w:lang w:val="lt-LT"/>
        </w:rPr>
        <w:t>1070 Anderlecht</w:t>
      </w:r>
    </w:p>
    <w:p w14:paraId="3450CA2E" w14:textId="77777777" w:rsidR="008E70E4" w:rsidRPr="00216B78" w:rsidRDefault="008E70E4" w:rsidP="00361769">
      <w:pPr>
        <w:pStyle w:val="Default"/>
        <w:rPr>
          <w:sz w:val="22"/>
          <w:szCs w:val="22"/>
          <w:lang w:val="lt-LT"/>
        </w:rPr>
      </w:pPr>
      <w:r w:rsidRPr="00216B78">
        <w:rPr>
          <w:sz w:val="22"/>
          <w:szCs w:val="22"/>
          <w:lang w:val="lt-LT"/>
        </w:rPr>
        <w:t>Belgija</w:t>
      </w:r>
    </w:p>
    <w:p w14:paraId="1A692606" w14:textId="77777777" w:rsidR="007718AC" w:rsidRPr="00216B78" w:rsidRDefault="007718AC" w:rsidP="00361769">
      <w:pPr>
        <w:pStyle w:val="Default"/>
        <w:rPr>
          <w:sz w:val="22"/>
          <w:szCs w:val="22"/>
          <w:lang w:val="lt-LT"/>
        </w:rPr>
      </w:pPr>
    </w:p>
    <w:p w14:paraId="4EE46974" w14:textId="77777777" w:rsidR="008E70E4" w:rsidRPr="00216B78" w:rsidRDefault="008E70E4" w:rsidP="00361769">
      <w:pPr>
        <w:pStyle w:val="Default"/>
        <w:rPr>
          <w:sz w:val="22"/>
          <w:szCs w:val="22"/>
          <w:lang w:val="lt-LT"/>
        </w:rPr>
      </w:pPr>
    </w:p>
    <w:p w14:paraId="2BAE669A" w14:textId="77777777" w:rsidR="008E70E4" w:rsidRPr="00216B78" w:rsidRDefault="007718AC" w:rsidP="00361769">
      <w:pPr>
        <w:pStyle w:val="Default"/>
        <w:outlineLvl w:val="0"/>
        <w:rPr>
          <w:b/>
          <w:bCs/>
          <w:sz w:val="22"/>
          <w:szCs w:val="22"/>
          <w:lang w:val="lt-LT"/>
        </w:rPr>
      </w:pPr>
      <w:r w:rsidRPr="00216B78">
        <w:rPr>
          <w:b/>
          <w:bCs/>
          <w:sz w:val="22"/>
          <w:szCs w:val="22"/>
          <w:lang w:val="lt-LT"/>
        </w:rPr>
        <w:t>8.</w:t>
      </w:r>
      <w:r w:rsidRPr="00216B78">
        <w:rPr>
          <w:b/>
          <w:bCs/>
          <w:sz w:val="22"/>
          <w:szCs w:val="22"/>
          <w:lang w:val="lt-LT"/>
        </w:rPr>
        <w:tab/>
      </w:r>
      <w:r w:rsidR="008E70E4" w:rsidRPr="00216B78">
        <w:rPr>
          <w:b/>
          <w:bCs/>
          <w:sz w:val="22"/>
          <w:szCs w:val="22"/>
          <w:lang w:val="lt-LT"/>
        </w:rPr>
        <w:t>REGISTRACIJOS PAŽYMĖJIMO NUMERIS (-IAI)</w:t>
      </w:r>
    </w:p>
    <w:p w14:paraId="5CA2E528" w14:textId="77777777" w:rsidR="007718AC" w:rsidRPr="00216B78" w:rsidRDefault="007718AC" w:rsidP="007B277D">
      <w:pPr>
        <w:keepNext/>
      </w:pPr>
    </w:p>
    <w:p w14:paraId="703E06BF" w14:textId="77777777" w:rsidR="00C8026A" w:rsidRPr="00216B78" w:rsidRDefault="00C8026A" w:rsidP="00C8026A">
      <w:pPr>
        <w:pStyle w:val="Default"/>
        <w:rPr>
          <w:i/>
          <w:iCs/>
          <w:sz w:val="22"/>
          <w:szCs w:val="22"/>
          <w:lang w:val="lt-LT"/>
        </w:rPr>
      </w:pPr>
      <w:r w:rsidRPr="00216B78">
        <w:rPr>
          <w:sz w:val="22"/>
          <w:szCs w:val="22"/>
          <w:lang w:val="lt-LT"/>
        </w:rPr>
        <w:t>LT/1/20/4597/001</w:t>
      </w:r>
    </w:p>
    <w:p w14:paraId="1695B7B6" w14:textId="77777777" w:rsidR="007718AC" w:rsidRPr="00216B78" w:rsidRDefault="007718AC" w:rsidP="00361769">
      <w:pPr>
        <w:pStyle w:val="Default"/>
        <w:rPr>
          <w:i/>
          <w:iCs/>
          <w:sz w:val="22"/>
          <w:szCs w:val="22"/>
          <w:lang w:val="lt-LT"/>
        </w:rPr>
      </w:pPr>
    </w:p>
    <w:p w14:paraId="08B5915E" w14:textId="77777777" w:rsidR="007718AC" w:rsidRPr="00216B78" w:rsidRDefault="007718AC" w:rsidP="00361769">
      <w:pPr>
        <w:pStyle w:val="Default"/>
        <w:rPr>
          <w:i/>
          <w:sz w:val="22"/>
          <w:szCs w:val="22"/>
          <w:lang w:val="lt-LT"/>
        </w:rPr>
      </w:pPr>
    </w:p>
    <w:p w14:paraId="38968B3B" w14:textId="77777777" w:rsidR="008E70E4" w:rsidRPr="00216B78" w:rsidRDefault="007718AC" w:rsidP="00361769">
      <w:pPr>
        <w:pStyle w:val="Default"/>
        <w:outlineLvl w:val="0"/>
        <w:rPr>
          <w:b/>
          <w:bCs/>
          <w:sz w:val="22"/>
          <w:szCs w:val="22"/>
          <w:lang w:val="lt-LT"/>
        </w:rPr>
      </w:pPr>
      <w:r w:rsidRPr="00216B78">
        <w:rPr>
          <w:b/>
          <w:bCs/>
          <w:sz w:val="22"/>
          <w:szCs w:val="22"/>
          <w:lang w:val="lt-LT"/>
        </w:rPr>
        <w:lastRenderedPageBreak/>
        <w:t>9.</w:t>
      </w:r>
      <w:r w:rsidRPr="00216B78">
        <w:rPr>
          <w:b/>
          <w:bCs/>
          <w:sz w:val="22"/>
          <w:szCs w:val="22"/>
          <w:lang w:val="lt-LT"/>
        </w:rPr>
        <w:tab/>
      </w:r>
      <w:r w:rsidR="008E70E4" w:rsidRPr="00216B78">
        <w:rPr>
          <w:b/>
          <w:bCs/>
          <w:sz w:val="22"/>
          <w:szCs w:val="22"/>
          <w:lang w:val="lt-LT"/>
        </w:rPr>
        <w:t>REGISTRAVIMO / PERREGISTRAVIMO DATA</w:t>
      </w:r>
    </w:p>
    <w:p w14:paraId="0268263C" w14:textId="77777777" w:rsidR="007718AC" w:rsidRPr="00216B78" w:rsidRDefault="007718AC" w:rsidP="007B277D">
      <w:pPr>
        <w:keepNext/>
      </w:pPr>
    </w:p>
    <w:p w14:paraId="708F906E" w14:textId="77777777" w:rsidR="00C8026A" w:rsidRPr="00216B78" w:rsidRDefault="00C8026A" w:rsidP="00C8026A">
      <w:pPr>
        <w:autoSpaceDE w:val="0"/>
        <w:autoSpaceDN w:val="0"/>
        <w:adjustRightInd w:val="0"/>
        <w:rPr>
          <w:color w:val="000000"/>
        </w:rPr>
      </w:pPr>
      <w:r w:rsidRPr="00216B78">
        <w:t xml:space="preserve">Registravimo </w:t>
      </w:r>
      <w:r w:rsidRPr="00216B78">
        <w:rPr>
          <w:color w:val="000000"/>
        </w:rPr>
        <w:t>data 2020 m. liepos 30 d.</w:t>
      </w:r>
    </w:p>
    <w:p w14:paraId="4EA4B47D" w14:textId="6E7693B6" w:rsidR="00A03CB9" w:rsidRPr="00216B78" w:rsidRDefault="00A03CB9" w:rsidP="00C8026A">
      <w:pPr>
        <w:autoSpaceDE w:val="0"/>
        <w:autoSpaceDN w:val="0"/>
        <w:adjustRightInd w:val="0"/>
      </w:pPr>
      <w:r w:rsidRPr="00216B78">
        <w:t>Paskutinio perregistravimo data</w:t>
      </w:r>
      <w:r w:rsidR="000D7D27" w:rsidRPr="00216B78">
        <w:t xml:space="preserve"> 2021 m. gruodžio 15 d.</w:t>
      </w:r>
    </w:p>
    <w:p w14:paraId="1FACF8CD" w14:textId="77777777" w:rsidR="007718AC" w:rsidRPr="00216B78" w:rsidRDefault="007718AC" w:rsidP="00361769">
      <w:pPr>
        <w:pStyle w:val="Default"/>
        <w:rPr>
          <w:i/>
          <w:iCs/>
          <w:color w:val="auto"/>
          <w:sz w:val="22"/>
          <w:szCs w:val="22"/>
          <w:lang w:val="lt-LT"/>
        </w:rPr>
      </w:pPr>
    </w:p>
    <w:p w14:paraId="49D19EB3" w14:textId="77777777" w:rsidR="007718AC" w:rsidRPr="00216B78" w:rsidRDefault="007718AC" w:rsidP="00361769">
      <w:pPr>
        <w:pStyle w:val="Default"/>
        <w:rPr>
          <w:i/>
          <w:iCs/>
          <w:sz w:val="22"/>
          <w:szCs w:val="22"/>
          <w:lang w:val="lt-LT"/>
        </w:rPr>
      </w:pPr>
    </w:p>
    <w:p w14:paraId="09C204C9" w14:textId="77777777" w:rsidR="007718AC" w:rsidRPr="00216B78" w:rsidRDefault="007718AC" w:rsidP="00361769">
      <w:pPr>
        <w:pStyle w:val="Default"/>
        <w:outlineLvl w:val="0"/>
        <w:rPr>
          <w:b/>
          <w:bCs/>
          <w:sz w:val="22"/>
          <w:szCs w:val="22"/>
          <w:lang w:val="lt-LT"/>
        </w:rPr>
      </w:pPr>
      <w:r w:rsidRPr="00216B78">
        <w:rPr>
          <w:b/>
          <w:bCs/>
          <w:sz w:val="22"/>
          <w:szCs w:val="22"/>
          <w:lang w:val="lt-LT"/>
        </w:rPr>
        <w:t>10.</w:t>
      </w:r>
      <w:r w:rsidRPr="00216B78">
        <w:rPr>
          <w:b/>
          <w:bCs/>
          <w:sz w:val="22"/>
          <w:szCs w:val="22"/>
          <w:lang w:val="lt-LT"/>
        </w:rPr>
        <w:tab/>
      </w:r>
      <w:r w:rsidR="008E70E4" w:rsidRPr="00216B78">
        <w:rPr>
          <w:b/>
          <w:bCs/>
          <w:sz w:val="22"/>
          <w:szCs w:val="22"/>
          <w:lang w:val="lt-LT"/>
        </w:rPr>
        <w:t>TEKSTO PERŽIŪROS DATA</w:t>
      </w:r>
    </w:p>
    <w:p w14:paraId="733E38A1" w14:textId="77777777" w:rsidR="00C74E70" w:rsidRPr="00216B78" w:rsidRDefault="00C74E70" w:rsidP="007B277D">
      <w:pPr>
        <w:keepNext/>
      </w:pPr>
    </w:p>
    <w:p w14:paraId="3CFF4E15" w14:textId="088040B8" w:rsidR="000D7D27" w:rsidRPr="00216B78" w:rsidRDefault="00677D28" w:rsidP="000D7D27">
      <w:pPr>
        <w:keepNext/>
      </w:pPr>
      <w:r w:rsidRPr="00677D28">
        <w:t xml:space="preserve"> 2025 m. kovo </w:t>
      </w:r>
      <w:r w:rsidR="00483076">
        <w:t>25</w:t>
      </w:r>
      <w:r w:rsidRPr="00677D28">
        <w:t xml:space="preserve"> d</w:t>
      </w:r>
      <w:r>
        <w:t>.</w:t>
      </w:r>
    </w:p>
    <w:p w14:paraId="2EA423E4" w14:textId="77777777" w:rsidR="00C74E70" w:rsidRPr="00216B78" w:rsidRDefault="00C74E70" w:rsidP="007B277D">
      <w:pPr>
        <w:keepNext/>
      </w:pPr>
    </w:p>
    <w:p w14:paraId="6A01BE70" w14:textId="77777777" w:rsidR="00C74E70" w:rsidRPr="00216B78" w:rsidRDefault="00C74E70" w:rsidP="007B277D">
      <w:pPr>
        <w:keepNext/>
      </w:pPr>
    </w:p>
    <w:p w14:paraId="5FF3BC02" w14:textId="3B3F772F" w:rsidR="00C74E70" w:rsidRPr="00216B78" w:rsidRDefault="00C74E70" w:rsidP="00324E4D">
      <w:pPr>
        <w:pStyle w:val="Paprastasistekstas"/>
        <w:tabs>
          <w:tab w:val="left" w:pos="5954"/>
          <w:tab w:val="left" w:pos="6237"/>
          <w:tab w:val="left" w:pos="6663"/>
          <w:tab w:val="left" w:pos="6946"/>
        </w:tabs>
        <w:rPr>
          <w:sz w:val="22"/>
          <w:szCs w:val="22"/>
          <w:lang w:val="lt-LT"/>
        </w:rPr>
      </w:pPr>
      <w:r w:rsidRPr="00216B78">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216B78">
        <w:rPr>
          <w:rFonts w:ascii="Times New Roman" w:hAnsi="Times New Roman"/>
          <w:i/>
          <w:sz w:val="22"/>
          <w:szCs w:val="22"/>
          <w:lang w:val="lt-LT"/>
        </w:rPr>
        <w:t xml:space="preserve"> </w:t>
      </w:r>
      <w:hyperlink r:id="rId19" w:history="1">
        <w:r w:rsidRPr="00216B78">
          <w:rPr>
            <w:rStyle w:val="Hipersaitas"/>
            <w:rFonts w:ascii="Times New Roman" w:hAnsi="Times New Roman"/>
            <w:sz w:val="22"/>
            <w:szCs w:val="22"/>
            <w:lang w:val="lt-LT"/>
          </w:rPr>
          <w:t>http://www.vvkt.lt</w:t>
        </w:r>
      </w:hyperlink>
    </w:p>
    <w:p w14:paraId="24807318" w14:textId="77777777" w:rsidR="00897C76" w:rsidRPr="00216B78" w:rsidRDefault="00897C76">
      <w:pPr>
        <w:spacing w:after="200" w:line="276" w:lineRule="auto"/>
        <w:rPr>
          <w:color w:val="000000"/>
        </w:rPr>
      </w:pPr>
      <w:r w:rsidRPr="00216B78">
        <w:br w:type="page"/>
      </w:r>
    </w:p>
    <w:p w14:paraId="6ECC1571" w14:textId="77777777" w:rsidR="00FB1A76" w:rsidRPr="00216B78" w:rsidRDefault="00FB1A76" w:rsidP="00361769">
      <w:pPr>
        <w:pStyle w:val="Default"/>
        <w:rPr>
          <w:sz w:val="22"/>
          <w:szCs w:val="22"/>
          <w:lang w:val="lt-LT"/>
        </w:rPr>
      </w:pPr>
    </w:p>
    <w:p w14:paraId="265F72F5" w14:textId="77777777" w:rsidR="00361769" w:rsidRPr="00216B78" w:rsidRDefault="00361769" w:rsidP="00361769">
      <w:pPr>
        <w:rPr>
          <w:rFonts w:eastAsia="Times New Roman"/>
          <w:snapToGrid w:val="0"/>
        </w:rPr>
      </w:pPr>
    </w:p>
    <w:p w14:paraId="36C9F1DA" w14:textId="77777777" w:rsidR="00361769" w:rsidRPr="00216B78" w:rsidRDefault="00361769" w:rsidP="00361769">
      <w:pPr>
        <w:rPr>
          <w:rFonts w:eastAsia="Times New Roman"/>
          <w:snapToGrid w:val="0"/>
        </w:rPr>
      </w:pPr>
    </w:p>
    <w:p w14:paraId="7C5011A8" w14:textId="77777777" w:rsidR="00361769" w:rsidRPr="00216B78" w:rsidRDefault="00361769" w:rsidP="00361769">
      <w:pPr>
        <w:rPr>
          <w:rFonts w:eastAsia="Times New Roman"/>
          <w:snapToGrid w:val="0"/>
        </w:rPr>
      </w:pPr>
    </w:p>
    <w:p w14:paraId="26C25597" w14:textId="77777777" w:rsidR="009E2E7C" w:rsidRPr="00216B78" w:rsidRDefault="009E2E7C" w:rsidP="009E2E7C">
      <w:pPr>
        <w:rPr>
          <w:rFonts w:eastAsia="Times New Roman"/>
          <w:snapToGrid w:val="0"/>
        </w:rPr>
      </w:pPr>
    </w:p>
    <w:p w14:paraId="085A4991" w14:textId="77777777" w:rsidR="009E2E7C" w:rsidRPr="00216B78" w:rsidRDefault="009E2E7C" w:rsidP="009E2E7C">
      <w:pPr>
        <w:rPr>
          <w:rFonts w:eastAsia="Times New Roman"/>
          <w:snapToGrid w:val="0"/>
        </w:rPr>
      </w:pPr>
    </w:p>
    <w:p w14:paraId="0AC4ECA3" w14:textId="77777777" w:rsidR="009E2E7C" w:rsidRPr="00216B78" w:rsidRDefault="009E2E7C" w:rsidP="009E2E7C">
      <w:pPr>
        <w:rPr>
          <w:rFonts w:eastAsia="Times New Roman"/>
          <w:snapToGrid w:val="0"/>
        </w:rPr>
      </w:pPr>
    </w:p>
    <w:p w14:paraId="3FB6DC17" w14:textId="77777777" w:rsidR="009E2E7C" w:rsidRPr="00216B78" w:rsidRDefault="009E2E7C" w:rsidP="009E2E7C">
      <w:pPr>
        <w:rPr>
          <w:rFonts w:eastAsia="Times New Roman"/>
          <w:snapToGrid w:val="0"/>
        </w:rPr>
      </w:pPr>
    </w:p>
    <w:p w14:paraId="65264501" w14:textId="77777777" w:rsidR="009E2E7C" w:rsidRPr="00216B78" w:rsidRDefault="009E2E7C" w:rsidP="009E2E7C">
      <w:pPr>
        <w:rPr>
          <w:rFonts w:eastAsia="Times New Roman"/>
          <w:snapToGrid w:val="0"/>
        </w:rPr>
      </w:pPr>
    </w:p>
    <w:p w14:paraId="083231BA" w14:textId="77777777" w:rsidR="009E2E7C" w:rsidRPr="00216B78" w:rsidRDefault="009E2E7C" w:rsidP="009E2E7C">
      <w:pPr>
        <w:rPr>
          <w:rFonts w:eastAsia="Times New Roman"/>
          <w:snapToGrid w:val="0"/>
        </w:rPr>
      </w:pPr>
    </w:p>
    <w:p w14:paraId="08AA5170" w14:textId="77777777" w:rsidR="009E2E7C" w:rsidRPr="00216B78" w:rsidRDefault="009E2E7C" w:rsidP="009E2E7C">
      <w:pPr>
        <w:rPr>
          <w:rFonts w:eastAsia="Times New Roman"/>
          <w:snapToGrid w:val="0"/>
        </w:rPr>
      </w:pPr>
    </w:p>
    <w:p w14:paraId="0902F741" w14:textId="77777777" w:rsidR="009E2E7C" w:rsidRPr="00216B78" w:rsidRDefault="009E2E7C" w:rsidP="009E2E7C">
      <w:pPr>
        <w:rPr>
          <w:rFonts w:eastAsia="Times New Roman"/>
          <w:snapToGrid w:val="0"/>
        </w:rPr>
      </w:pPr>
    </w:p>
    <w:p w14:paraId="51D4299E" w14:textId="77777777" w:rsidR="009E2E7C" w:rsidRPr="00216B78" w:rsidRDefault="009E2E7C" w:rsidP="009E2E7C">
      <w:pPr>
        <w:rPr>
          <w:rFonts w:eastAsia="Times New Roman"/>
          <w:snapToGrid w:val="0"/>
        </w:rPr>
      </w:pPr>
    </w:p>
    <w:p w14:paraId="534D644B" w14:textId="77777777" w:rsidR="009E2E7C" w:rsidRPr="00216B78" w:rsidRDefault="009E2E7C" w:rsidP="009E2E7C">
      <w:pPr>
        <w:rPr>
          <w:rFonts w:eastAsia="Times New Roman"/>
          <w:snapToGrid w:val="0"/>
        </w:rPr>
      </w:pPr>
    </w:p>
    <w:p w14:paraId="5B0D7F8A" w14:textId="77777777" w:rsidR="009E2E7C" w:rsidRPr="00216B78" w:rsidRDefault="009E2E7C" w:rsidP="009E2E7C">
      <w:pPr>
        <w:rPr>
          <w:rFonts w:eastAsia="Times New Roman"/>
          <w:snapToGrid w:val="0"/>
        </w:rPr>
      </w:pPr>
    </w:p>
    <w:p w14:paraId="2FE2B95C" w14:textId="77777777" w:rsidR="009E2E7C" w:rsidRPr="00216B78" w:rsidRDefault="009E2E7C" w:rsidP="009E2E7C">
      <w:pPr>
        <w:rPr>
          <w:rFonts w:eastAsia="Times New Roman"/>
          <w:snapToGrid w:val="0"/>
        </w:rPr>
      </w:pPr>
    </w:p>
    <w:p w14:paraId="27EDCB4D" w14:textId="77777777" w:rsidR="009E2E7C" w:rsidRPr="00216B78" w:rsidRDefault="009E2E7C" w:rsidP="009E2E7C">
      <w:pPr>
        <w:rPr>
          <w:rFonts w:eastAsia="Times New Roman"/>
          <w:snapToGrid w:val="0"/>
        </w:rPr>
      </w:pPr>
    </w:p>
    <w:p w14:paraId="689D0A62" w14:textId="77777777" w:rsidR="009E2E7C" w:rsidRPr="00216B78" w:rsidRDefault="009E2E7C" w:rsidP="009E2E7C">
      <w:pPr>
        <w:rPr>
          <w:rFonts w:eastAsia="Times New Roman"/>
          <w:snapToGrid w:val="0"/>
        </w:rPr>
      </w:pPr>
    </w:p>
    <w:p w14:paraId="6BA44164" w14:textId="77777777" w:rsidR="009E2E7C" w:rsidRPr="00216B78" w:rsidRDefault="009E2E7C" w:rsidP="009E2E7C">
      <w:pPr>
        <w:rPr>
          <w:rFonts w:eastAsia="Times New Roman"/>
          <w:snapToGrid w:val="0"/>
        </w:rPr>
      </w:pPr>
    </w:p>
    <w:p w14:paraId="176D99D5" w14:textId="77777777" w:rsidR="009E2E7C" w:rsidRPr="00216B78" w:rsidRDefault="009E2E7C" w:rsidP="009E2E7C">
      <w:pPr>
        <w:rPr>
          <w:rFonts w:eastAsia="Times New Roman"/>
          <w:snapToGrid w:val="0"/>
        </w:rPr>
      </w:pPr>
    </w:p>
    <w:p w14:paraId="62B347A2" w14:textId="77777777" w:rsidR="009E2E7C" w:rsidRPr="00216B78" w:rsidRDefault="009E2E7C" w:rsidP="009E2E7C">
      <w:pPr>
        <w:rPr>
          <w:rFonts w:eastAsia="Times New Roman"/>
          <w:snapToGrid w:val="0"/>
        </w:rPr>
      </w:pPr>
    </w:p>
    <w:p w14:paraId="12D00817" w14:textId="77777777" w:rsidR="009E2E7C" w:rsidRPr="00216B78" w:rsidRDefault="009E2E7C" w:rsidP="009E2E7C">
      <w:pPr>
        <w:rPr>
          <w:rFonts w:eastAsia="Times New Roman"/>
          <w:snapToGrid w:val="0"/>
        </w:rPr>
      </w:pPr>
    </w:p>
    <w:p w14:paraId="51D325F5" w14:textId="77777777" w:rsidR="009E2E7C" w:rsidRPr="00216B78" w:rsidRDefault="009E2E7C" w:rsidP="009E2E7C">
      <w:pPr>
        <w:rPr>
          <w:rFonts w:eastAsia="Times New Roman"/>
          <w:snapToGrid w:val="0"/>
        </w:rPr>
      </w:pPr>
    </w:p>
    <w:p w14:paraId="2C640C69" w14:textId="77777777" w:rsidR="00BA57A9" w:rsidRPr="00216B78" w:rsidRDefault="00BA57A9" w:rsidP="009A5E9B">
      <w:pPr>
        <w:jc w:val="center"/>
        <w:rPr>
          <w:b/>
        </w:rPr>
      </w:pPr>
      <w:r w:rsidRPr="00216B78">
        <w:rPr>
          <w:b/>
        </w:rPr>
        <w:t>II PRIEDAS</w:t>
      </w:r>
    </w:p>
    <w:p w14:paraId="153CDAE9" w14:textId="77777777" w:rsidR="00BA57A9" w:rsidRPr="00216B78" w:rsidRDefault="00BA57A9" w:rsidP="00BA57A9">
      <w:pPr>
        <w:ind w:left="1701" w:right="1416" w:hanging="567"/>
      </w:pPr>
    </w:p>
    <w:p w14:paraId="5AA6CA0D" w14:textId="77777777" w:rsidR="00BA57A9" w:rsidRPr="00216B78" w:rsidRDefault="00BA57A9" w:rsidP="00BA57A9">
      <w:pPr>
        <w:jc w:val="center"/>
        <w:rPr>
          <w:i/>
        </w:rPr>
      </w:pPr>
      <w:r w:rsidRPr="00216B78">
        <w:rPr>
          <w:b/>
        </w:rPr>
        <w:t>REGISTRACIJOS SĄLYGOS</w:t>
      </w:r>
    </w:p>
    <w:p w14:paraId="4BA23169" w14:textId="77777777" w:rsidR="00BA57A9" w:rsidRPr="00216B78" w:rsidRDefault="00BA57A9" w:rsidP="00BA57A9"/>
    <w:p w14:paraId="284E5712" w14:textId="77777777" w:rsidR="00BA57A9" w:rsidRPr="00216B78" w:rsidRDefault="009E2E7C" w:rsidP="00BA57A9">
      <w:pPr>
        <w:tabs>
          <w:tab w:val="left" w:pos="1701"/>
        </w:tabs>
        <w:ind w:left="1701" w:right="567" w:hanging="567"/>
        <w:rPr>
          <w:b/>
          <w:noProof/>
          <w:szCs w:val="24"/>
        </w:rPr>
      </w:pPr>
      <w:r w:rsidRPr="00216B78">
        <w:rPr>
          <w:b/>
          <w:noProof/>
          <w:szCs w:val="24"/>
        </w:rPr>
        <w:t>A.</w:t>
      </w:r>
      <w:r w:rsidRPr="00216B78">
        <w:rPr>
          <w:b/>
          <w:noProof/>
          <w:szCs w:val="24"/>
        </w:rPr>
        <w:tab/>
      </w:r>
      <w:r w:rsidR="00BA57A9" w:rsidRPr="00216B78">
        <w:rPr>
          <w:b/>
          <w:noProof/>
          <w:szCs w:val="24"/>
        </w:rPr>
        <w:t>BIOLOGINĖS (-IŲ) VEIKLIOSIOS (-IŲJŲ) MED</w:t>
      </w:r>
      <w:r w:rsidRPr="00216B78">
        <w:rPr>
          <w:b/>
          <w:noProof/>
          <w:szCs w:val="24"/>
        </w:rPr>
        <w:t xml:space="preserve">ŽIAGOS (-Ų) GAMINTOJAS (-AI) IR </w:t>
      </w:r>
      <w:r w:rsidR="00BA57A9" w:rsidRPr="00216B78">
        <w:rPr>
          <w:b/>
          <w:noProof/>
          <w:szCs w:val="24"/>
        </w:rPr>
        <w:t>GAMINTOJAS (-AI), ATSAKINGAS (-I) UŽ SERIJŲ IŠLEIDIMĄ</w:t>
      </w:r>
    </w:p>
    <w:p w14:paraId="606F23C8" w14:textId="77777777" w:rsidR="00BA57A9" w:rsidRPr="00216B78" w:rsidRDefault="00BA57A9" w:rsidP="00BA57A9">
      <w:pPr>
        <w:tabs>
          <w:tab w:val="left" w:pos="1701"/>
        </w:tabs>
        <w:ind w:left="567" w:right="567" w:hanging="567"/>
        <w:rPr>
          <w:noProof/>
          <w:szCs w:val="24"/>
        </w:rPr>
      </w:pPr>
    </w:p>
    <w:p w14:paraId="22BC8C1F" w14:textId="77777777" w:rsidR="00BA57A9" w:rsidRPr="00216B78" w:rsidRDefault="00BA57A9" w:rsidP="00BA57A9">
      <w:pPr>
        <w:tabs>
          <w:tab w:val="left" w:pos="1701"/>
        </w:tabs>
        <w:ind w:left="1701" w:right="567" w:hanging="567"/>
        <w:rPr>
          <w:b/>
        </w:rPr>
      </w:pPr>
      <w:r w:rsidRPr="00216B78">
        <w:rPr>
          <w:b/>
        </w:rPr>
        <w:t>B.</w:t>
      </w:r>
      <w:r w:rsidRPr="00216B78">
        <w:rPr>
          <w:b/>
        </w:rPr>
        <w:tab/>
        <w:t>TIEKIMO IR VARTOJIMO SĄLYGOS AR APRIBOJIMAI</w:t>
      </w:r>
    </w:p>
    <w:p w14:paraId="36583A48" w14:textId="77777777" w:rsidR="00897C76" w:rsidRPr="00216B78" w:rsidRDefault="00897C76">
      <w:pPr>
        <w:spacing w:after="200" w:line="276" w:lineRule="auto"/>
      </w:pPr>
      <w:r w:rsidRPr="00216B78">
        <w:br w:type="page"/>
      </w:r>
    </w:p>
    <w:p w14:paraId="71C0BEC2" w14:textId="77777777" w:rsidR="003451F2" w:rsidRPr="00216B78" w:rsidRDefault="003451F2" w:rsidP="00BA57A9">
      <w:pPr>
        <w:pStyle w:val="Antrat1"/>
        <w:rPr>
          <w:snapToGrid w:val="0"/>
        </w:rPr>
      </w:pPr>
      <w:r w:rsidRPr="00216B78">
        <w:rPr>
          <w:snapToGrid w:val="0"/>
        </w:rPr>
        <w:lastRenderedPageBreak/>
        <w:t>A.</w:t>
      </w:r>
      <w:r w:rsidRPr="00216B78">
        <w:rPr>
          <w:snapToGrid w:val="0"/>
        </w:rPr>
        <w:tab/>
        <w:t>BIOLOGINĖS (-IŲ) VEIKLIOSIOS (-IŲJŲ) MEDŽIAGOS (-Ų) GAMINTOJAS (-AI) IR GAMINTOJAS (-AI), ATSAKINGAS (-I) UŽ SERIJŲ IŠLEIDIMĄ</w:t>
      </w:r>
    </w:p>
    <w:p w14:paraId="0A631A2E" w14:textId="77777777" w:rsidR="003451F2" w:rsidRPr="00216B78" w:rsidRDefault="003451F2" w:rsidP="00361769">
      <w:pPr>
        <w:tabs>
          <w:tab w:val="left" w:pos="567"/>
        </w:tabs>
        <w:rPr>
          <w:rFonts w:eastAsia="Times New Roman"/>
          <w:snapToGrid w:val="0"/>
        </w:rPr>
      </w:pPr>
    </w:p>
    <w:p w14:paraId="16F01A60" w14:textId="77777777" w:rsidR="003451F2" w:rsidRPr="00216B78" w:rsidRDefault="003451F2" w:rsidP="00361769">
      <w:pPr>
        <w:pStyle w:val="Antrat3"/>
        <w:rPr>
          <w:snapToGrid w:val="0"/>
        </w:rPr>
      </w:pPr>
      <w:r w:rsidRPr="00216B78">
        <w:rPr>
          <w:snapToGrid w:val="0"/>
        </w:rPr>
        <w:t>Biologinės (-ių) veikliosios (-iųjų) medžiagos (-ų) gamintojo (-ų) pavadinimas (-ai) ir adresas (-ai)</w:t>
      </w:r>
    </w:p>
    <w:p w14:paraId="1430892E" w14:textId="77777777" w:rsidR="003451F2" w:rsidRPr="00216B78" w:rsidRDefault="003451F2" w:rsidP="00361769">
      <w:pPr>
        <w:tabs>
          <w:tab w:val="left" w:pos="567"/>
        </w:tabs>
        <w:rPr>
          <w:rFonts w:eastAsia="Times New Roman"/>
          <w:snapToGrid w:val="0"/>
        </w:rPr>
      </w:pPr>
    </w:p>
    <w:p w14:paraId="250B54F2" w14:textId="77777777" w:rsidR="0039551D" w:rsidRPr="00216B78" w:rsidRDefault="00361769" w:rsidP="00361769">
      <w:pPr>
        <w:tabs>
          <w:tab w:val="left" w:pos="567"/>
          <w:tab w:val="left" w:pos="1701"/>
        </w:tabs>
        <w:ind w:hanging="709"/>
        <w:jc w:val="both"/>
        <w:rPr>
          <w:rFonts w:eastAsia="Times New Roman"/>
          <w:snapToGrid w:val="0"/>
        </w:rPr>
      </w:pPr>
      <w:r w:rsidRPr="00216B78">
        <w:rPr>
          <w:rFonts w:eastAsia="Times New Roman"/>
          <w:snapToGrid w:val="0"/>
        </w:rPr>
        <w:tab/>
      </w:r>
      <w:r w:rsidR="0039551D" w:rsidRPr="00216B78">
        <w:rPr>
          <w:rFonts w:eastAsia="Times New Roman"/>
          <w:snapToGrid w:val="0"/>
        </w:rPr>
        <w:t>Octapharma Pharmazeutika Produktionsges.m.b.H.</w:t>
      </w:r>
    </w:p>
    <w:p w14:paraId="3EC69A56" w14:textId="77777777" w:rsidR="0039551D" w:rsidRPr="00216B78" w:rsidRDefault="00361769" w:rsidP="00361769">
      <w:pPr>
        <w:tabs>
          <w:tab w:val="left" w:pos="567"/>
          <w:tab w:val="left" w:pos="708"/>
          <w:tab w:val="left" w:pos="1701"/>
          <w:tab w:val="left" w:pos="2835"/>
        </w:tabs>
        <w:ind w:hanging="709"/>
        <w:jc w:val="both"/>
        <w:rPr>
          <w:rFonts w:eastAsia="Times New Roman"/>
          <w:snapToGrid w:val="0"/>
        </w:rPr>
      </w:pPr>
      <w:r w:rsidRPr="00216B78">
        <w:rPr>
          <w:rFonts w:eastAsia="Times New Roman"/>
          <w:snapToGrid w:val="0"/>
        </w:rPr>
        <w:tab/>
      </w:r>
      <w:r w:rsidR="0039551D" w:rsidRPr="00216B78">
        <w:rPr>
          <w:rFonts w:eastAsia="Times New Roman"/>
          <w:snapToGrid w:val="0"/>
        </w:rPr>
        <w:t>Oberlaaer Straße 235</w:t>
      </w:r>
    </w:p>
    <w:p w14:paraId="641BA796" w14:textId="77777777" w:rsidR="0039551D" w:rsidRPr="00216B78" w:rsidRDefault="00361769" w:rsidP="00361769">
      <w:pPr>
        <w:tabs>
          <w:tab w:val="left" w:pos="567"/>
          <w:tab w:val="left" w:pos="708"/>
          <w:tab w:val="left" w:pos="1701"/>
          <w:tab w:val="left" w:pos="2835"/>
        </w:tabs>
        <w:ind w:hanging="709"/>
        <w:jc w:val="both"/>
        <w:rPr>
          <w:rFonts w:eastAsia="Times New Roman"/>
          <w:snapToGrid w:val="0"/>
        </w:rPr>
      </w:pPr>
      <w:r w:rsidRPr="00216B78">
        <w:rPr>
          <w:rFonts w:eastAsia="Times New Roman"/>
          <w:snapToGrid w:val="0"/>
        </w:rPr>
        <w:tab/>
      </w:r>
      <w:r w:rsidR="0039551D" w:rsidRPr="00216B78">
        <w:rPr>
          <w:rFonts w:eastAsia="Times New Roman"/>
          <w:snapToGrid w:val="0"/>
        </w:rPr>
        <w:t>1100 Vienna</w:t>
      </w:r>
    </w:p>
    <w:p w14:paraId="13F9173D" w14:textId="77777777" w:rsidR="0039551D" w:rsidRPr="00216B78" w:rsidRDefault="00361769" w:rsidP="00361769">
      <w:pPr>
        <w:tabs>
          <w:tab w:val="left" w:pos="567"/>
          <w:tab w:val="left" w:pos="708"/>
          <w:tab w:val="left" w:pos="1701"/>
          <w:tab w:val="left" w:pos="2835"/>
        </w:tabs>
        <w:ind w:hanging="709"/>
        <w:jc w:val="both"/>
        <w:rPr>
          <w:rFonts w:eastAsia="Times New Roman"/>
          <w:snapToGrid w:val="0"/>
        </w:rPr>
      </w:pPr>
      <w:r w:rsidRPr="00216B78">
        <w:rPr>
          <w:rFonts w:eastAsia="Times New Roman"/>
          <w:snapToGrid w:val="0"/>
        </w:rPr>
        <w:tab/>
      </w:r>
      <w:r w:rsidR="0039551D" w:rsidRPr="00216B78">
        <w:rPr>
          <w:rFonts w:eastAsia="Times New Roman"/>
          <w:snapToGrid w:val="0"/>
        </w:rPr>
        <w:t>Austrija</w:t>
      </w:r>
    </w:p>
    <w:p w14:paraId="55FD284B" w14:textId="77777777" w:rsidR="003451F2" w:rsidRPr="00216B78" w:rsidRDefault="003451F2" w:rsidP="00463F94"/>
    <w:p w14:paraId="6BFFBABB" w14:textId="77777777" w:rsidR="0004000C" w:rsidRPr="00216B78" w:rsidRDefault="0004000C" w:rsidP="00463F94"/>
    <w:p w14:paraId="4CAB90F1" w14:textId="77777777" w:rsidR="003451F2" w:rsidRPr="00216B78" w:rsidRDefault="003451F2" w:rsidP="00361769">
      <w:pPr>
        <w:pStyle w:val="Antrat3"/>
        <w:rPr>
          <w:snapToGrid w:val="0"/>
        </w:rPr>
      </w:pPr>
      <w:r w:rsidRPr="00216B78">
        <w:rPr>
          <w:snapToGrid w:val="0"/>
        </w:rPr>
        <w:t>Gamintojo (-ų), atsakingo (-ų) už serijų išleidimą, pavadinimas (-ai) ir adresas (-ai)</w:t>
      </w:r>
    </w:p>
    <w:p w14:paraId="6CE454E0" w14:textId="77777777" w:rsidR="003451F2" w:rsidRPr="00216B78" w:rsidRDefault="003451F2" w:rsidP="00361769">
      <w:pPr>
        <w:tabs>
          <w:tab w:val="left" w:pos="567"/>
        </w:tabs>
        <w:rPr>
          <w:rFonts w:eastAsia="Times New Roman"/>
          <w:snapToGrid w:val="0"/>
        </w:rPr>
      </w:pPr>
    </w:p>
    <w:p w14:paraId="0E9901BA" w14:textId="77777777" w:rsidR="003451F2" w:rsidRPr="00216B78" w:rsidRDefault="00361769" w:rsidP="00361769">
      <w:pPr>
        <w:tabs>
          <w:tab w:val="left" w:pos="567"/>
          <w:tab w:val="left" w:pos="1701"/>
        </w:tabs>
        <w:ind w:hanging="709"/>
        <w:jc w:val="both"/>
        <w:rPr>
          <w:rFonts w:eastAsia="Times New Roman"/>
          <w:snapToGrid w:val="0"/>
        </w:rPr>
      </w:pPr>
      <w:r w:rsidRPr="00216B78">
        <w:rPr>
          <w:rFonts w:eastAsia="Times New Roman"/>
          <w:snapToGrid w:val="0"/>
        </w:rPr>
        <w:tab/>
      </w:r>
      <w:r w:rsidR="003451F2" w:rsidRPr="00216B78">
        <w:rPr>
          <w:rFonts w:eastAsia="Times New Roman"/>
          <w:snapToGrid w:val="0"/>
        </w:rPr>
        <w:t>Octapharma Pharmazeutika Produktionsges.m.b.H.</w:t>
      </w:r>
    </w:p>
    <w:p w14:paraId="1EE3E2DC" w14:textId="77777777" w:rsidR="003451F2" w:rsidRPr="00216B78" w:rsidRDefault="00361769" w:rsidP="00361769">
      <w:pPr>
        <w:tabs>
          <w:tab w:val="left" w:pos="567"/>
          <w:tab w:val="left" w:pos="708"/>
          <w:tab w:val="left" w:pos="1701"/>
          <w:tab w:val="left" w:pos="2835"/>
        </w:tabs>
        <w:ind w:hanging="709"/>
        <w:jc w:val="both"/>
        <w:rPr>
          <w:rFonts w:eastAsia="Times New Roman"/>
          <w:snapToGrid w:val="0"/>
        </w:rPr>
      </w:pPr>
      <w:r w:rsidRPr="00216B78">
        <w:rPr>
          <w:rFonts w:eastAsia="Times New Roman"/>
          <w:snapToGrid w:val="0"/>
        </w:rPr>
        <w:tab/>
      </w:r>
      <w:r w:rsidR="003451F2" w:rsidRPr="00216B78">
        <w:rPr>
          <w:rFonts w:eastAsia="Times New Roman"/>
          <w:snapToGrid w:val="0"/>
        </w:rPr>
        <w:t>Oberlaaer Straße 235</w:t>
      </w:r>
    </w:p>
    <w:p w14:paraId="2782E4CB" w14:textId="77777777" w:rsidR="003451F2" w:rsidRPr="00216B78" w:rsidRDefault="00361769" w:rsidP="00361769">
      <w:pPr>
        <w:tabs>
          <w:tab w:val="left" w:pos="567"/>
          <w:tab w:val="left" w:pos="708"/>
          <w:tab w:val="left" w:pos="1701"/>
          <w:tab w:val="left" w:pos="2835"/>
        </w:tabs>
        <w:ind w:hanging="709"/>
        <w:jc w:val="both"/>
        <w:rPr>
          <w:rFonts w:eastAsia="Times New Roman"/>
          <w:snapToGrid w:val="0"/>
        </w:rPr>
      </w:pPr>
      <w:r w:rsidRPr="00216B78">
        <w:rPr>
          <w:rFonts w:eastAsia="Times New Roman"/>
          <w:snapToGrid w:val="0"/>
        </w:rPr>
        <w:tab/>
      </w:r>
      <w:r w:rsidR="003451F2" w:rsidRPr="00216B78">
        <w:rPr>
          <w:rFonts w:eastAsia="Times New Roman"/>
          <w:snapToGrid w:val="0"/>
        </w:rPr>
        <w:t>1100 Vienna</w:t>
      </w:r>
    </w:p>
    <w:p w14:paraId="6390158A" w14:textId="77777777" w:rsidR="003451F2" w:rsidRPr="00216B78" w:rsidRDefault="00361769" w:rsidP="00361769">
      <w:pPr>
        <w:tabs>
          <w:tab w:val="left" w:pos="567"/>
          <w:tab w:val="left" w:pos="708"/>
          <w:tab w:val="left" w:pos="1701"/>
          <w:tab w:val="left" w:pos="2835"/>
        </w:tabs>
        <w:ind w:hanging="709"/>
        <w:jc w:val="both"/>
        <w:rPr>
          <w:rFonts w:eastAsia="Times New Roman"/>
          <w:snapToGrid w:val="0"/>
        </w:rPr>
      </w:pPr>
      <w:r w:rsidRPr="00216B78">
        <w:rPr>
          <w:rFonts w:eastAsia="Times New Roman"/>
          <w:snapToGrid w:val="0"/>
        </w:rPr>
        <w:tab/>
      </w:r>
      <w:r w:rsidR="003451F2" w:rsidRPr="00216B78">
        <w:rPr>
          <w:rFonts w:eastAsia="Times New Roman"/>
          <w:snapToGrid w:val="0"/>
        </w:rPr>
        <w:t>Austrija</w:t>
      </w:r>
    </w:p>
    <w:p w14:paraId="29972826" w14:textId="77777777" w:rsidR="003451F2" w:rsidRPr="00216B78" w:rsidRDefault="003451F2" w:rsidP="00361769">
      <w:pPr>
        <w:tabs>
          <w:tab w:val="left" w:pos="567"/>
        </w:tabs>
        <w:jc w:val="both"/>
        <w:rPr>
          <w:rFonts w:eastAsia="Times New Roman"/>
          <w:snapToGrid w:val="0"/>
        </w:rPr>
      </w:pPr>
    </w:p>
    <w:p w14:paraId="26EC0B8E" w14:textId="77777777" w:rsidR="00115D50" w:rsidRPr="00216B78" w:rsidRDefault="00115D50" w:rsidP="00361769">
      <w:pPr>
        <w:tabs>
          <w:tab w:val="left" w:pos="567"/>
        </w:tabs>
        <w:jc w:val="both"/>
        <w:rPr>
          <w:rFonts w:eastAsia="Times New Roman"/>
          <w:snapToGrid w:val="0"/>
        </w:rPr>
      </w:pPr>
      <w:r w:rsidRPr="00216B78">
        <w:rPr>
          <w:rFonts w:eastAsia="Times New Roman"/>
          <w:snapToGrid w:val="0"/>
        </w:rPr>
        <w:t>arba</w:t>
      </w:r>
    </w:p>
    <w:p w14:paraId="48840095" w14:textId="77777777" w:rsidR="00115D50" w:rsidRPr="00216B78" w:rsidRDefault="00115D50" w:rsidP="00361769">
      <w:pPr>
        <w:tabs>
          <w:tab w:val="left" w:pos="567"/>
        </w:tabs>
        <w:jc w:val="both"/>
        <w:rPr>
          <w:rFonts w:eastAsia="Times New Roman"/>
          <w:snapToGrid w:val="0"/>
        </w:rPr>
      </w:pPr>
    </w:p>
    <w:p w14:paraId="0B171E3D" w14:textId="77777777" w:rsidR="0004000C" w:rsidRPr="00216B78" w:rsidRDefault="0004000C" w:rsidP="00361769">
      <w:pPr>
        <w:pStyle w:val="Default"/>
        <w:rPr>
          <w:color w:val="auto"/>
          <w:sz w:val="22"/>
          <w:szCs w:val="22"/>
          <w:lang w:val="lt-LT"/>
        </w:rPr>
      </w:pPr>
      <w:r w:rsidRPr="00216B78">
        <w:rPr>
          <w:color w:val="auto"/>
          <w:sz w:val="22"/>
          <w:szCs w:val="22"/>
          <w:lang w:val="lt-LT"/>
        </w:rPr>
        <w:t>Octapharma AB</w:t>
      </w:r>
    </w:p>
    <w:p w14:paraId="10EFAFED" w14:textId="77777777" w:rsidR="0004000C" w:rsidRPr="00216B78" w:rsidRDefault="0004000C" w:rsidP="00361769">
      <w:pPr>
        <w:pStyle w:val="Default"/>
        <w:rPr>
          <w:sz w:val="22"/>
          <w:szCs w:val="22"/>
          <w:lang w:val="lt-LT"/>
        </w:rPr>
      </w:pPr>
      <w:r w:rsidRPr="00216B78">
        <w:rPr>
          <w:sz w:val="22"/>
          <w:szCs w:val="22"/>
          <w:lang w:val="lt-LT"/>
        </w:rPr>
        <w:t>Lars Forssells gata 23</w:t>
      </w:r>
    </w:p>
    <w:p w14:paraId="563CDF8D" w14:textId="77777777" w:rsidR="0004000C" w:rsidRPr="00216B78" w:rsidRDefault="0004000C" w:rsidP="00361769">
      <w:pPr>
        <w:pStyle w:val="Default"/>
        <w:rPr>
          <w:sz w:val="22"/>
          <w:szCs w:val="22"/>
          <w:lang w:val="lt-LT"/>
        </w:rPr>
      </w:pPr>
      <w:r w:rsidRPr="00216B78">
        <w:rPr>
          <w:sz w:val="22"/>
          <w:szCs w:val="22"/>
          <w:lang w:val="lt-LT"/>
        </w:rPr>
        <w:t>112 75 Stockholm</w:t>
      </w:r>
    </w:p>
    <w:p w14:paraId="785916DC" w14:textId="77777777" w:rsidR="0004000C" w:rsidRPr="00216B78" w:rsidRDefault="0004000C" w:rsidP="00361769">
      <w:pPr>
        <w:pStyle w:val="Default"/>
        <w:rPr>
          <w:sz w:val="22"/>
          <w:szCs w:val="22"/>
          <w:lang w:val="lt-LT"/>
        </w:rPr>
      </w:pPr>
      <w:r w:rsidRPr="00216B78">
        <w:rPr>
          <w:sz w:val="22"/>
          <w:szCs w:val="22"/>
          <w:lang w:val="lt-LT"/>
        </w:rPr>
        <w:t>Švedija</w:t>
      </w:r>
    </w:p>
    <w:p w14:paraId="0CCEF2AE" w14:textId="77777777" w:rsidR="00115D50" w:rsidRPr="00216B78" w:rsidRDefault="00115D50" w:rsidP="00361769">
      <w:pPr>
        <w:pStyle w:val="Default"/>
        <w:rPr>
          <w:sz w:val="22"/>
          <w:szCs w:val="22"/>
          <w:lang w:val="lt-LT"/>
        </w:rPr>
      </w:pPr>
    </w:p>
    <w:p w14:paraId="7A40C151" w14:textId="77777777" w:rsidR="00115D50" w:rsidRPr="00216B78" w:rsidRDefault="00115D50" w:rsidP="00361769">
      <w:pPr>
        <w:pStyle w:val="Default"/>
        <w:rPr>
          <w:color w:val="auto"/>
          <w:sz w:val="22"/>
          <w:szCs w:val="22"/>
          <w:lang w:val="lt-LT"/>
        </w:rPr>
      </w:pPr>
      <w:r w:rsidRPr="00216B78">
        <w:rPr>
          <w:color w:val="auto"/>
          <w:sz w:val="22"/>
          <w:szCs w:val="22"/>
          <w:lang w:val="lt-LT"/>
        </w:rPr>
        <w:t xml:space="preserve">Su pakuote pateikiamame lapelyje nurodomas gamintojo, atsakingo už konkrečios serijos išleidimą, pavadinimas ir adresas. </w:t>
      </w:r>
    </w:p>
    <w:p w14:paraId="214544E7" w14:textId="77777777" w:rsidR="0004000C" w:rsidRPr="00216B78" w:rsidRDefault="0004000C" w:rsidP="00361769">
      <w:pPr>
        <w:pStyle w:val="Default"/>
        <w:rPr>
          <w:color w:val="auto"/>
          <w:sz w:val="22"/>
          <w:szCs w:val="22"/>
          <w:lang w:val="lt-LT"/>
        </w:rPr>
      </w:pPr>
    </w:p>
    <w:p w14:paraId="79710AC9" w14:textId="77777777" w:rsidR="0004000C" w:rsidRPr="00216B78" w:rsidRDefault="0004000C" w:rsidP="00361769">
      <w:pPr>
        <w:tabs>
          <w:tab w:val="left" w:pos="567"/>
        </w:tabs>
        <w:rPr>
          <w:rFonts w:eastAsia="Times New Roman"/>
          <w:snapToGrid w:val="0"/>
        </w:rPr>
      </w:pPr>
    </w:p>
    <w:p w14:paraId="00B7BC0E" w14:textId="77777777" w:rsidR="003451F2" w:rsidRPr="00216B78" w:rsidRDefault="003451F2" w:rsidP="00BA57A9">
      <w:pPr>
        <w:pStyle w:val="Antrat1"/>
        <w:rPr>
          <w:snapToGrid w:val="0"/>
        </w:rPr>
      </w:pPr>
      <w:bookmarkStart w:id="15" w:name="_Toc129243129"/>
      <w:bookmarkStart w:id="16" w:name="_Toc129243254"/>
      <w:r w:rsidRPr="00216B78">
        <w:rPr>
          <w:snapToGrid w:val="0"/>
        </w:rPr>
        <w:t>B.</w:t>
      </w:r>
      <w:r w:rsidRPr="00216B78">
        <w:rPr>
          <w:snapToGrid w:val="0"/>
        </w:rPr>
        <w:tab/>
        <w:t xml:space="preserve">TIEKIMO IR VARTOJIMO SĄLYGOS AR APRIBOJIMAI </w:t>
      </w:r>
    </w:p>
    <w:p w14:paraId="23B62274" w14:textId="77777777" w:rsidR="003451F2" w:rsidRPr="00216B78" w:rsidRDefault="003451F2" w:rsidP="00361769">
      <w:pPr>
        <w:tabs>
          <w:tab w:val="left" w:pos="567"/>
        </w:tabs>
        <w:rPr>
          <w:rFonts w:eastAsia="Times New Roman"/>
          <w:snapToGrid w:val="0"/>
        </w:rPr>
      </w:pPr>
    </w:p>
    <w:p w14:paraId="1D548CEB" w14:textId="77777777" w:rsidR="00BA57A9" w:rsidRPr="00216B78" w:rsidRDefault="003451F2" w:rsidP="00BA57A9">
      <w:pPr>
        <w:tabs>
          <w:tab w:val="left" w:pos="567"/>
        </w:tabs>
        <w:rPr>
          <w:rFonts w:eastAsia="Times New Roman"/>
          <w:snapToGrid w:val="0"/>
        </w:rPr>
      </w:pPr>
      <w:r w:rsidRPr="00216B78">
        <w:rPr>
          <w:rFonts w:eastAsia="Times New Roman"/>
          <w:snapToGrid w:val="0"/>
        </w:rPr>
        <w:t>R</w:t>
      </w:r>
      <w:r w:rsidR="00BA57A9" w:rsidRPr="00216B78">
        <w:rPr>
          <w:rFonts w:eastAsia="Times New Roman"/>
          <w:snapToGrid w:val="0"/>
        </w:rPr>
        <w:t>eceptinis vaistinis preparatas.</w:t>
      </w:r>
    </w:p>
    <w:p w14:paraId="4FAECB01" w14:textId="77777777" w:rsidR="00BA57A9" w:rsidRPr="00216B78" w:rsidRDefault="00BA57A9" w:rsidP="00BA57A9">
      <w:pPr>
        <w:tabs>
          <w:tab w:val="left" w:pos="567"/>
        </w:tabs>
        <w:rPr>
          <w:rFonts w:eastAsia="Times New Roman"/>
          <w:snapToGrid w:val="0"/>
        </w:rPr>
      </w:pPr>
    </w:p>
    <w:p w14:paraId="7FAECD53" w14:textId="77777777" w:rsidR="00BA57A9" w:rsidRPr="00216B78" w:rsidRDefault="00BA57A9" w:rsidP="00BA57A9">
      <w:pPr>
        <w:tabs>
          <w:tab w:val="left" w:pos="567"/>
        </w:tabs>
        <w:rPr>
          <w:rFonts w:eastAsia="Times New Roman"/>
          <w:snapToGrid w:val="0"/>
        </w:rPr>
      </w:pPr>
    </w:p>
    <w:p w14:paraId="7007D725" w14:textId="77777777" w:rsidR="003451F2" w:rsidRPr="00216B78" w:rsidRDefault="003451F2" w:rsidP="00B64F51">
      <w:pPr>
        <w:pStyle w:val="Sraopastraipa"/>
        <w:numPr>
          <w:ilvl w:val="0"/>
          <w:numId w:val="12"/>
        </w:numPr>
        <w:tabs>
          <w:tab w:val="left" w:pos="567"/>
        </w:tabs>
        <w:ind w:left="567" w:hanging="567"/>
        <w:rPr>
          <w:rFonts w:eastAsia="Times New Roman"/>
          <w:snapToGrid w:val="0"/>
        </w:rPr>
      </w:pPr>
      <w:r w:rsidRPr="00216B78">
        <w:rPr>
          <w:rFonts w:eastAsia="Times New Roman"/>
          <w:b/>
          <w:snapToGrid w:val="0"/>
        </w:rPr>
        <w:t>Oficialus serijų išleidimas</w:t>
      </w:r>
    </w:p>
    <w:p w14:paraId="77D59927" w14:textId="77777777" w:rsidR="003451F2" w:rsidRPr="00216B78" w:rsidRDefault="003451F2" w:rsidP="00361769">
      <w:pPr>
        <w:tabs>
          <w:tab w:val="left" w:pos="567"/>
        </w:tabs>
        <w:rPr>
          <w:rFonts w:eastAsia="Times New Roman"/>
          <w:snapToGrid w:val="0"/>
        </w:rPr>
      </w:pPr>
    </w:p>
    <w:p w14:paraId="586170F7" w14:textId="77777777" w:rsidR="003451F2" w:rsidRPr="00216B78" w:rsidRDefault="003451F2" w:rsidP="00361769">
      <w:pPr>
        <w:tabs>
          <w:tab w:val="left" w:pos="567"/>
        </w:tabs>
        <w:rPr>
          <w:rFonts w:eastAsia="Times New Roman"/>
          <w:snapToGrid w:val="0"/>
        </w:rPr>
      </w:pPr>
      <w:r w:rsidRPr="00216B78">
        <w:rPr>
          <w:rFonts w:eastAsia="Times New Roman"/>
          <w:snapToGrid w:val="0"/>
        </w:rPr>
        <w:t>Pagal direktyvos 2001/83/EB 114 straipsnio reikalavimus oficialiai serijas išleis valstybinė arba tam skirta laboratorija.</w:t>
      </w:r>
    </w:p>
    <w:bookmarkEnd w:id="15"/>
    <w:bookmarkEnd w:id="16"/>
    <w:p w14:paraId="2D37A10D" w14:textId="77777777" w:rsidR="003451F2" w:rsidRPr="00216B78" w:rsidRDefault="003451F2" w:rsidP="00E457A0">
      <w:pPr>
        <w:rPr>
          <w:rFonts w:eastAsia="Times New Roman"/>
          <w:snapToGrid w:val="0"/>
        </w:rPr>
      </w:pPr>
      <w:r w:rsidRPr="00216B78">
        <w:rPr>
          <w:rFonts w:eastAsia="Times New Roman"/>
          <w:snapToGrid w:val="0"/>
          <w:color w:val="000000"/>
        </w:rPr>
        <w:br w:type="page"/>
      </w:r>
    </w:p>
    <w:p w14:paraId="4A2A4A16" w14:textId="77777777" w:rsidR="003451F2" w:rsidRPr="00216B78" w:rsidRDefault="003451F2" w:rsidP="00CE6E5F"/>
    <w:p w14:paraId="53690A14" w14:textId="77777777" w:rsidR="003451F2" w:rsidRPr="00216B78" w:rsidRDefault="003451F2" w:rsidP="00CE6E5F"/>
    <w:p w14:paraId="7FB4842B" w14:textId="77777777" w:rsidR="003451F2" w:rsidRPr="00216B78" w:rsidRDefault="003451F2" w:rsidP="00CE6E5F"/>
    <w:p w14:paraId="4B3F5CD5" w14:textId="77777777" w:rsidR="003451F2" w:rsidRPr="00216B78" w:rsidRDefault="003451F2" w:rsidP="00CE6E5F"/>
    <w:p w14:paraId="58D930EB" w14:textId="77777777" w:rsidR="003451F2" w:rsidRPr="00216B78" w:rsidRDefault="003451F2" w:rsidP="00CE6E5F"/>
    <w:p w14:paraId="1F368389" w14:textId="77777777" w:rsidR="003451F2" w:rsidRPr="00216B78" w:rsidRDefault="003451F2" w:rsidP="00CE6E5F"/>
    <w:p w14:paraId="0960E249" w14:textId="77777777" w:rsidR="003451F2" w:rsidRPr="00216B78" w:rsidRDefault="003451F2" w:rsidP="00CE6E5F"/>
    <w:p w14:paraId="64D5B0E2" w14:textId="77777777" w:rsidR="003451F2" w:rsidRPr="00216B78" w:rsidRDefault="003451F2" w:rsidP="00CE6E5F"/>
    <w:p w14:paraId="74EFA7F0" w14:textId="77777777" w:rsidR="003451F2" w:rsidRPr="00216B78" w:rsidRDefault="003451F2" w:rsidP="00CE6E5F"/>
    <w:p w14:paraId="290A9A39" w14:textId="77777777" w:rsidR="003451F2" w:rsidRPr="00216B78" w:rsidRDefault="003451F2" w:rsidP="00CE6E5F"/>
    <w:p w14:paraId="16CB5640" w14:textId="77777777" w:rsidR="003451F2" w:rsidRPr="00216B78" w:rsidRDefault="003451F2" w:rsidP="00CE6E5F"/>
    <w:p w14:paraId="11B88B0D" w14:textId="77777777" w:rsidR="003451F2" w:rsidRPr="00216B78" w:rsidRDefault="003451F2" w:rsidP="00CE6E5F"/>
    <w:p w14:paraId="6FBB353B" w14:textId="77777777" w:rsidR="003451F2" w:rsidRPr="00216B78" w:rsidRDefault="003451F2" w:rsidP="00CE6E5F"/>
    <w:p w14:paraId="7BF60B85" w14:textId="77777777" w:rsidR="003451F2" w:rsidRPr="00216B78" w:rsidRDefault="003451F2" w:rsidP="00CE6E5F"/>
    <w:p w14:paraId="2924ED85" w14:textId="77777777" w:rsidR="003451F2" w:rsidRPr="00216B78" w:rsidRDefault="003451F2" w:rsidP="00CE6E5F"/>
    <w:p w14:paraId="08B8D911" w14:textId="77777777" w:rsidR="003451F2" w:rsidRPr="00216B78" w:rsidRDefault="003451F2" w:rsidP="00CE6E5F"/>
    <w:p w14:paraId="366C1B2C" w14:textId="77777777" w:rsidR="00316E67" w:rsidRPr="00216B78" w:rsidRDefault="00316E67" w:rsidP="00CE6E5F"/>
    <w:p w14:paraId="6C5B3116" w14:textId="77777777" w:rsidR="00897C76" w:rsidRPr="00216B78" w:rsidRDefault="00897C76" w:rsidP="00CE6E5F"/>
    <w:p w14:paraId="01770B7D" w14:textId="77777777" w:rsidR="00897C76" w:rsidRPr="00216B78" w:rsidRDefault="00897C76" w:rsidP="00CE6E5F"/>
    <w:p w14:paraId="4F005C80" w14:textId="77777777" w:rsidR="00897C76" w:rsidRPr="00216B78" w:rsidRDefault="00897C76" w:rsidP="00CE6E5F"/>
    <w:p w14:paraId="5BE98D24" w14:textId="77777777" w:rsidR="00897C76" w:rsidRPr="00216B78" w:rsidRDefault="00897C76" w:rsidP="00CE6E5F"/>
    <w:p w14:paraId="29D87FF0" w14:textId="77777777" w:rsidR="00897C76" w:rsidRPr="00216B78" w:rsidRDefault="00897C76" w:rsidP="00CE6E5F"/>
    <w:p w14:paraId="71B0D634" w14:textId="77777777" w:rsidR="00897C76" w:rsidRPr="00216B78" w:rsidRDefault="00897C76" w:rsidP="00CE6E5F"/>
    <w:p w14:paraId="281675B0" w14:textId="77777777" w:rsidR="003451F2" w:rsidRPr="00216B78" w:rsidRDefault="003451F2" w:rsidP="00BA57A9">
      <w:pPr>
        <w:tabs>
          <w:tab w:val="left" w:pos="567"/>
        </w:tabs>
        <w:jc w:val="center"/>
        <w:rPr>
          <w:rFonts w:eastAsia="Times New Roman"/>
          <w:b/>
          <w:snapToGrid w:val="0"/>
        </w:rPr>
      </w:pPr>
      <w:r w:rsidRPr="00216B78">
        <w:rPr>
          <w:rFonts w:eastAsia="Times New Roman"/>
          <w:b/>
          <w:snapToGrid w:val="0"/>
        </w:rPr>
        <w:t>III PRIEDAS</w:t>
      </w:r>
    </w:p>
    <w:p w14:paraId="00ADB0E4" w14:textId="77777777" w:rsidR="003451F2" w:rsidRPr="00216B78" w:rsidRDefault="003451F2" w:rsidP="00BA57A9">
      <w:pPr>
        <w:tabs>
          <w:tab w:val="left" w:pos="567"/>
        </w:tabs>
        <w:jc w:val="center"/>
        <w:rPr>
          <w:rFonts w:eastAsia="Times New Roman"/>
          <w:b/>
          <w:snapToGrid w:val="0"/>
        </w:rPr>
      </w:pPr>
    </w:p>
    <w:p w14:paraId="2267C70A" w14:textId="77777777" w:rsidR="003451F2" w:rsidRPr="00216B78" w:rsidRDefault="003451F2" w:rsidP="00BA57A9">
      <w:pPr>
        <w:tabs>
          <w:tab w:val="left" w:pos="567"/>
        </w:tabs>
        <w:jc w:val="center"/>
        <w:rPr>
          <w:rFonts w:eastAsia="Times New Roman"/>
          <w:b/>
          <w:snapToGrid w:val="0"/>
        </w:rPr>
      </w:pPr>
      <w:r w:rsidRPr="00216B78">
        <w:rPr>
          <w:rFonts w:eastAsia="Times New Roman"/>
          <w:b/>
          <w:snapToGrid w:val="0"/>
        </w:rPr>
        <w:t>ŽENKLINIMAS IR PAKUOTĖS LAPELIS</w:t>
      </w:r>
    </w:p>
    <w:p w14:paraId="024B848F" w14:textId="77777777" w:rsidR="003451F2" w:rsidRPr="00216B78" w:rsidRDefault="003451F2" w:rsidP="00BE3B67">
      <w:pPr>
        <w:tabs>
          <w:tab w:val="left" w:pos="567"/>
        </w:tabs>
        <w:rPr>
          <w:rFonts w:eastAsia="Times New Roman"/>
          <w:snapToGrid w:val="0"/>
        </w:rPr>
      </w:pPr>
      <w:r w:rsidRPr="00216B78">
        <w:rPr>
          <w:rFonts w:eastAsia="Times New Roman"/>
          <w:snapToGrid w:val="0"/>
        </w:rPr>
        <w:br w:type="page"/>
      </w:r>
    </w:p>
    <w:p w14:paraId="26290A3A" w14:textId="77777777" w:rsidR="003451F2" w:rsidRPr="00216B78" w:rsidRDefault="003451F2" w:rsidP="00BE3B67">
      <w:pPr>
        <w:tabs>
          <w:tab w:val="left" w:pos="567"/>
        </w:tabs>
        <w:rPr>
          <w:rFonts w:eastAsia="Times New Roman"/>
          <w:snapToGrid w:val="0"/>
        </w:rPr>
      </w:pPr>
    </w:p>
    <w:p w14:paraId="0F7A0B9C" w14:textId="77777777" w:rsidR="003451F2" w:rsidRPr="00216B78" w:rsidRDefault="003451F2" w:rsidP="00BE3B67">
      <w:pPr>
        <w:tabs>
          <w:tab w:val="left" w:pos="567"/>
        </w:tabs>
        <w:rPr>
          <w:rFonts w:eastAsia="Times New Roman"/>
          <w:snapToGrid w:val="0"/>
        </w:rPr>
      </w:pPr>
    </w:p>
    <w:p w14:paraId="581C18CE" w14:textId="77777777" w:rsidR="003451F2" w:rsidRPr="00216B78" w:rsidRDefault="003451F2" w:rsidP="00BE3B67">
      <w:pPr>
        <w:tabs>
          <w:tab w:val="left" w:pos="567"/>
        </w:tabs>
        <w:rPr>
          <w:rFonts w:eastAsia="Times New Roman"/>
          <w:snapToGrid w:val="0"/>
        </w:rPr>
      </w:pPr>
    </w:p>
    <w:p w14:paraId="48F070B6" w14:textId="77777777" w:rsidR="003451F2" w:rsidRPr="00216B78" w:rsidRDefault="003451F2" w:rsidP="00BE3B67">
      <w:pPr>
        <w:tabs>
          <w:tab w:val="left" w:pos="567"/>
        </w:tabs>
        <w:rPr>
          <w:rFonts w:eastAsia="Times New Roman"/>
          <w:snapToGrid w:val="0"/>
        </w:rPr>
      </w:pPr>
    </w:p>
    <w:p w14:paraId="4B20DE6B" w14:textId="77777777" w:rsidR="003451F2" w:rsidRPr="00216B78" w:rsidRDefault="003451F2" w:rsidP="00BE3B67">
      <w:pPr>
        <w:tabs>
          <w:tab w:val="left" w:pos="567"/>
        </w:tabs>
        <w:rPr>
          <w:rFonts w:eastAsia="Times New Roman"/>
          <w:snapToGrid w:val="0"/>
        </w:rPr>
      </w:pPr>
    </w:p>
    <w:p w14:paraId="470182B7" w14:textId="77777777" w:rsidR="003451F2" w:rsidRPr="00216B78" w:rsidRDefault="003451F2" w:rsidP="00BE3B67">
      <w:pPr>
        <w:tabs>
          <w:tab w:val="left" w:pos="567"/>
        </w:tabs>
        <w:rPr>
          <w:rFonts w:eastAsia="Times New Roman"/>
          <w:snapToGrid w:val="0"/>
        </w:rPr>
      </w:pPr>
    </w:p>
    <w:p w14:paraId="20008A23" w14:textId="77777777" w:rsidR="003451F2" w:rsidRPr="00216B78" w:rsidRDefault="003451F2" w:rsidP="00BE3B67">
      <w:pPr>
        <w:tabs>
          <w:tab w:val="left" w:pos="567"/>
        </w:tabs>
        <w:rPr>
          <w:rFonts w:eastAsia="Times New Roman"/>
          <w:snapToGrid w:val="0"/>
        </w:rPr>
      </w:pPr>
    </w:p>
    <w:p w14:paraId="4FC02A85" w14:textId="77777777" w:rsidR="003451F2" w:rsidRPr="00216B78" w:rsidRDefault="003451F2" w:rsidP="00BE3B67">
      <w:pPr>
        <w:tabs>
          <w:tab w:val="left" w:pos="567"/>
        </w:tabs>
        <w:rPr>
          <w:rFonts w:eastAsia="Times New Roman"/>
          <w:snapToGrid w:val="0"/>
        </w:rPr>
      </w:pPr>
    </w:p>
    <w:p w14:paraId="1A2C06F0" w14:textId="77777777" w:rsidR="003451F2" w:rsidRPr="00216B78" w:rsidRDefault="003451F2" w:rsidP="00DE547B">
      <w:pPr>
        <w:tabs>
          <w:tab w:val="left" w:pos="567"/>
        </w:tabs>
        <w:rPr>
          <w:rFonts w:eastAsia="Times New Roman"/>
          <w:snapToGrid w:val="0"/>
        </w:rPr>
      </w:pPr>
    </w:p>
    <w:p w14:paraId="2612D7C4" w14:textId="77777777" w:rsidR="00897C76" w:rsidRPr="00216B78" w:rsidRDefault="00897C76" w:rsidP="00DE547B">
      <w:pPr>
        <w:tabs>
          <w:tab w:val="left" w:pos="567"/>
        </w:tabs>
        <w:rPr>
          <w:rFonts w:eastAsia="Times New Roman"/>
          <w:snapToGrid w:val="0"/>
        </w:rPr>
      </w:pPr>
    </w:p>
    <w:p w14:paraId="3BEC44FB" w14:textId="77777777" w:rsidR="00897C76" w:rsidRPr="00216B78" w:rsidRDefault="00897C76" w:rsidP="00DE547B">
      <w:pPr>
        <w:tabs>
          <w:tab w:val="left" w:pos="567"/>
        </w:tabs>
        <w:rPr>
          <w:rFonts w:eastAsia="Times New Roman"/>
          <w:snapToGrid w:val="0"/>
        </w:rPr>
      </w:pPr>
    </w:p>
    <w:p w14:paraId="721F35A9" w14:textId="77777777" w:rsidR="00897C76" w:rsidRPr="00216B78" w:rsidRDefault="00897C76" w:rsidP="00DE547B">
      <w:pPr>
        <w:tabs>
          <w:tab w:val="left" w:pos="567"/>
        </w:tabs>
        <w:rPr>
          <w:rFonts w:eastAsia="Times New Roman"/>
          <w:snapToGrid w:val="0"/>
        </w:rPr>
      </w:pPr>
    </w:p>
    <w:p w14:paraId="325A847D" w14:textId="77777777" w:rsidR="00897C76" w:rsidRPr="00216B78" w:rsidRDefault="00897C76" w:rsidP="00DE547B">
      <w:pPr>
        <w:tabs>
          <w:tab w:val="left" w:pos="567"/>
        </w:tabs>
        <w:rPr>
          <w:rFonts w:eastAsia="Times New Roman"/>
          <w:snapToGrid w:val="0"/>
        </w:rPr>
      </w:pPr>
    </w:p>
    <w:p w14:paraId="55997F0F" w14:textId="77777777" w:rsidR="00897C76" w:rsidRPr="00216B78" w:rsidRDefault="00897C76" w:rsidP="00DE547B">
      <w:pPr>
        <w:tabs>
          <w:tab w:val="left" w:pos="567"/>
        </w:tabs>
        <w:rPr>
          <w:rFonts w:eastAsia="Times New Roman"/>
          <w:snapToGrid w:val="0"/>
        </w:rPr>
      </w:pPr>
    </w:p>
    <w:p w14:paraId="7CAC3F82" w14:textId="77777777" w:rsidR="00897C76" w:rsidRPr="00216B78" w:rsidRDefault="00897C76" w:rsidP="00DE547B">
      <w:pPr>
        <w:tabs>
          <w:tab w:val="left" w:pos="567"/>
        </w:tabs>
        <w:rPr>
          <w:rFonts w:eastAsia="Times New Roman"/>
          <w:snapToGrid w:val="0"/>
        </w:rPr>
      </w:pPr>
    </w:p>
    <w:p w14:paraId="770D4EFE" w14:textId="77777777" w:rsidR="00897C76" w:rsidRPr="00216B78" w:rsidRDefault="00897C76" w:rsidP="00DE547B">
      <w:pPr>
        <w:tabs>
          <w:tab w:val="left" w:pos="567"/>
        </w:tabs>
        <w:rPr>
          <w:rFonts w:eastAsia="Times New Roman"/>
          <w:snapToGrid w:val="0"/>
        </w:rPr>
      </w:pPr>
    </w:p>
    <w:p w14:paraId="549C4E59" w14:textId="77777777" w:rsidR="00897C76" w:rsidRPr="00216B78" w:rsidRDefault="00897C76" w:rsidP="00DE547B">
      <w:pPr>
        <w:tabs>
          <w:tab w:val="left" w:pos="567"/>
        </w:tabs>
        <w:rPr>
          <w:rFonts w:eastAsia="Times New Roman"/>
          <w:snapToGrid w:val="0"/>
        </w:rPr>
      </w:pPr>
    </w:p>
    <w:p w14:paraId="0B7691B7" w14:textId="77777777" w:rsidR="00897C76" w:rsidRPr="00216B78" w:rsidRDefault="00897C76" w:rsidP="00DE547B">
      <w:pPr>
        <w:tabs>
          <w:tab w:val="left" w:pos="567"/>
        </w:tabs>
        <w:rPr>
          <w:rFonts w:eastAsia="Times New Roman"/>
          <w:snapToGrid w:val="0"/>
        </w:rPr>
      </w:pPr>
    </w:p>
    <w:p w14:paraId="5EC0C3BD" w14:textId="77777777" w:rsidR="00897C76" w:rsidRPr="00216B78" w:rsidRDefault="00897C76" w:rsidP="00DE547B">
      <w:pPr>
        <w:tabs>
          <w:tab w:val="left" w:pos="567"/>
        </w:tabs>
        <w:rPr>
          <w:rFonts w:eastAsia="Times New Roman"/>
          <w:snapToGrid w:val="0"/>
        </w:rPr>
      </w:pPr>
    </w:p>
    <w:p w14:paraId="24221496" w14:textId="77777777" w:rsidR="00897C76" w:rsidRPr="00216B78" w:rsidRDefault="00897C76" w:rsidP="00DE547B">
      <w:pPr>
        <w:tabs>
          <w:tab w:val="left" w:pos="567"/>
        </w:tabs>
        <w:rPr>
          <w:rFonts w:eastAsia="Times New Roman"/>
          <w:snapToGrid w:val="0"/>
        </w:rPr>
      </w:pPr>
    </w:p>
    <w:p w14:paraId="4A7C79AF" w14:textId="77777777" w:rsidR="00897C76" w:rsidRPr="00216B78" w:rsidRDefault="00897C76" w:rsidP="00DE547B">
      <w:pPr>
        <w:tabs>
          <w:tab w:val="left" w:pos="567"/>
        </w:tabs>
        <w:rPr>
          <w:rFonts w:eastAsia="Times New Roman"/>
          <w:snapToGrid w:val="0"/>
        </w:rPr>
      </w:pPr>
    </w:p>
    <w:p w14:paraId="24551B72" w14:textId="77777777" w:rsidR="00897C76" w:rsidRPr="00216B78" w:rsidRDefault="00897C76" w:rsidP="00DE547B">
      <w:pPr>
        <w:tabs>
          <w:tab w:val="left" w:pos="567"/>
        </w:tabs>
        <w:rPr>
          <w:rFonts w:eastAsia="Times New Roman"/>
          <w:snapToGrid w:val="0"/>
        </w:rPr>
      </w:pPr>
    </w:p>
    <w:p w14:paraId="700ABB54" w14:textId="77777777" w:rsidR="00897C76" w:rsidRPr="00216B78" w:rsidRDefault="00897C76" w:rsidP="00DE547B">
      <w:pPr>
        <w:tabs>
          <w:tab w:val="left" w:pos="567"/>
        </w:tabs>
        <w:rPr>
          <w:rFonts w:eastAsia="Times New Roman"/>
          <w:snapToGrid w:val="0"/>
        </w:rPr>
      </w:pPr>
    </w:p>
    <w:p w14:paraId="66C17A54" w14:textId="77777777" w:rsidR="003451F2" w:rsidRPr="00216B78" w:rsidRDefault="003451F2">
      <w:pPr>
        <w:tabs>
          <w:tab w:val="left" w:pos="567"/>
        </w:tabs>
        <w:jc w:val="center"/>
        <w:rPr>
          <w:rFonts w:eastAsia="Times New Roman"/>
          <w:b/>
          <w:snapToGrid w:val="0"/>
        </w:rPr>
      </w:pPr>
      <w:r w:rsidRPr="00216B78">
        <w:rPr>
          <w:rFonts w:eastAsia="Times New Roman"/>
          <w:b/>
          <w:snapToGrid w:val="0"/>
        </w:rPr>
        <w:t>A. ŽENKLINIMAS</w:t>
      </w:r>
    </w:p>
    <w:p w14:paraId="277EC940" w14:textId="77777777" w:rsidR="003451F2" w:rsidRPr="00216B78" w:rsidRDefault="003451F2">
      <w:pPr>
        <w:tabs>
          <w:tab w:val="left" w:pos="567"/>
        </w:tabs>
        <w:rPr>
          <w:rFonts w:eastAsia="Times New Roman"/>
          <w:snapToGrid w:val="0"/>
          <w:color w:val="000000"/>
        </w:rPr>
      </w:pPr>
      <w:r w:rsidRPr="00216B78">
        <w:rPr>
          <w:rFonts w:eastAsia="Times New Roman"/>
          <w:b/>
          <w:snapToGrid w:val="0"/>
        </w:rPr>
        <w:br w:type="page"/>
      </w:r>
    </w:p>
    <w:p w14:paraId="45FB62D5" w14:textId="77777777" w:rsidR="0004000C" w:rsidRPr="00216B78" w:rsidRDefault="0004000C" w:rsidP="003C7D7C">
      <w:pPr>
        <w:pBdr>
          <w:top w:val="single" w:sz="4" w:space="1" w:color="auto"/>
          <w:left w:val="single" w:sz="4" w:space="4" w:color="auto"/>
          <w:bottom w:val="single" w:sz="4" w:space="1" w:color="auto"/>
          <w:right w:val="single" w:sz="4" w:space="4" w:color="auto"/>
        </w:pBdr>
        <w:rPr>
          <w:b/>
          <w:noProof/>
        </w:rPr>
      </w:pPr>
      <w:r w:rsidRPr="00216B78">
        <w:rPr>
          <w:b/>
          <w:bCs/>
          <w:noProof/>
        </w:rPr>
        <w:lastRenderedPageBreak/>
        <w:t>INFORMACIJA ANT IŠORINĖS PAKUOTĖS</w:t>
      </w:r>
    </w:p>
    <w:p w14:paraId="580B6343" w14:textId="77777777" w:rsidR="0004000C" w:rsidRPr="00216B78" w:rsidRDefault="0004000C" w:rsidP="003C7D7C">
      <w:pPr>
        <w:pBdr>
          <w:top w:val="single" w:sz="4" w:space="1" w:color="auto"/>
          <w:left w:val="single" w:sz="4" w:space="4" w:color="auto"/>
          <w:bottom w:val="single" w:sz="4" w:space="1" w:color="auto"/>
          <w:right w:val="single" w:sz="4" w:space="4" w:color="auto"/>
        </w:pBdr>
        <w:rPr>
          <w:b/>
          <w:noProof/>
        </w:rPr>
      </w:pPr>
    </w:p>
    <w:p w14:paraId="47EBF208" w14:textId="77777777" w:rsidR="0004000C" w:rsidRPr="00216B78" w:rsidRDefault="00FE077A" w:rsidP="003C7D7C">
      <w:pPr>
        <w:pBdr>
          <w:top w:val="single" w:sz="4" w:space="1" w:color="auto"/>
          <w:left w:val="single" w:sz="4" w:space="4" w:color="auto"/>
          <w:bottom w:val="single" w:sz="4" w:space="1" w:color="auto"/>
          <w:right w:val="single" w:sz="4" w:space="4" w:color="auto"/>
        </w:pBdr>
        <w:rPr>
          <w:b/>
          <w:noProof/>
        </w:rPr>
      </w:pPr>
      <w:r w:rsidRPr="00216B78">
        <w:rPr>
          <w:b/>
          <w:bCs/>
          <w:noProof/>
        </w:rPr>
        <w:t xml:space="preserve">KARTONO </w:t>
      </w:r>
      <w:r w:rsidR="0004000C" w:rsidRPr="00216B78">
        <w:rPr>
          <w:b/>
          <w:bCs/>
          <w:noProof/>
        </w:rPr>
        <w:t>DĖŽUTĖ</w:t>
      </w:r>
    </w:p>
    <w:p w14:paraId="41B0FDF0" w14:textId="77777777" w:rsidR="0004000C" w:rsidRPr="00216B78" w:rsidRDefault="0004000C" w:rsidP="003C7D7C">
      <w:pPr>
        <w:rPr>
          <w:noProof/>
        </w:rPr>
      </w:pPr>
    </w:p>
    <w:p w14:paraId="3E0AC2A5" w14:textId="77777777" w:rsidR="003C7D7C" w:rsidRPr="00216B78" w:rsidRDefault="003C7D7C" w:rsidP="003C7D7C">
      <w:pPr>
        <w:rPr>
          <w:noProof/>
        </w:rPr>
      </w:pPr>
    </w:p>
    <w:p w14:paraId="3DDA0158" w14:textId="77777777" w:rsidR="0004000C" w:rsidRPr="00216B78" w:rsidRDefault="0004000C" w:rsidP="003C7D7C">
      <w:pPr>
        <w:pBdr>
          <w:top w:val="single" w:sz="4" w:space="1" w:color="auto"/>
          <w:left w:val="single" w:sz="4" w:space="4" w:color="auto"/>
          <w:bottom w:val="single" w:sz="4" w:space="1" w:color="auto"/>
          <w:right w:val="single" w:sz="4" w:space="4" w:color="auto"/>
        </w:pBdr>
        <w:ind w:left="567" w:hanging="567"/>
        <w:outlineLvl w:val="0"/>
        <w:rPr>
          <w:noProof/>
        </w:rPr>
      </w:pPr>
      <w:r w:rsidRPr="00216B78">
        <w:rPr>
          <w:b/>
          <w:bCs/>
          <w:noProof/>
        </w:rPr>
        <w:t>1.</w:t>
      </w:r>
      <w:r w:rsidRPr="00216B78">
        <w:rPr>
          <w:b/>
          <w:bCs/>
          <w:noProof/>
        </w:rPr>
        <w:tab/>
        <w:t>VAISTINIO PREPARATO PAVADINIMAS</w:t>
      </w:r>
    </w:p>
    <w:p w14:paraId="6F7258CB" w14:textId="77777777" w:rsidR="0004000C" w:rsidRPr="00216B78" w:rsidRDefault="0004000C" w:rsidP="003C7D7C">
      <w:pPr>
        <w:rPr>
          <w:noProof/>
        </w:rPr>
      </w:pPr>
    </w:p>
    <w:p w14:paraId="10C55D0F" w14:textId="77777777" w:rsidR="0004000C" w:rsidRPr="00216B78" w:rsidRDefault="008F18DA" w:rsidP="003C7D7C">
      <w:r w:rsidRPr="00216B78">
        <w:t xml:space="preserve">fibryga </w:t>
      </w:r>
      <w:r w:rsidR="0004000C" w:rsidRPr="00216B78">
        <w:t>1 g</w:t>
      </w:r>
      <w:r w:rsidR="009E2E7C" w:rsidRPr="00216B78">
        <w:t xml:space="preserve"> m</w:t>
      </w:r>
      <w:r w:rsidR="0004000C" w:rsidRPr="00216B78">
        <w:t>ilteliai ir tirpiklis injekciniam ar infuziniam tirpalui</w:t>
      </w:r>
    </w:p>
    <w:p w14:paraId="7E8FBEEB" w14:textId="77777777" w:rsidR="0004000C" w:rsidRPr="00216B78" w:rsidRDefault="0004000C" w:rsidP="003C7D7C">
      <w:r w:rsidRPr="00216B78">
        <w:t>Žmogaus fibrinogenas</w:t>
      </w:r>
    </w:p>
    <w:p w14:paraId="6B9C3F98" w14:textId="77777777" w:rsidR="0004000C" w:rsidRPr="00216B78" w:rsidRDefault="0004000C" w:rsidP="003C7D7C"/>
    <w:p w14:paraId="64409EBB" w14:textId="77777777" w:rsidR="00967B3B" w:rsidRPr="00216B78" w:rsidRDefault="00967B3B" w:rsidP="003C7D7C"/>
    <w:p w14:paraId="1E165729" w14:textId="77777777" w:rsidR="0004000C" w:rsidRPr="00216B78" w:rsidRDefault="0004000C" w:rsidP="003C7D7C">
      <w:pPr>
        <w:pBdr>
          <w:top w:val="single" w:sz="4" w:space="1" w:color="auto"/>
          <w:left w:val="single" w:sz="4" w:space="4" w:color="auto"/>
          <w:bottom w:val="single" w:sz="4" w:space="1" w:color="auto"/>
          <w:right w:val="single" w:sz="4" w:space="4" w:color="auto"/>
        </w:pBdr>
        <w:ind w:left="567" w:hanging="567"/>
        <w:outlineLvl w:val="0"/>
        <w:rPr>
          <w:b/>
          <w:noProof/>
        </w:rPr>
      </w:pPr>
      <w:r w:rsidRPr="00216B78">
        <w:rPr>
          <w:b/>
          <w:bCs/>
          <w:noProof/>
        </w:rPr>
        <w:t>2.</w:t>
      </w:r>
      <w:r w:rsidRPr="00216B78">
        <w:rPr>
          <w:b/>
          <w:bCs/>
          <w:noProof/>
        </w:rPr>
        <w:tab/>
        <w:t>VEIKLIOJI (-IOS) MEDŽIAGA (-OS) IR JOS (-Ų) KIEKIS (-IAI)</w:t>
      </w:r>
    </w:p>
    <w:p w14:paraId="5A1A7099" w14:textId="77777777" w:rsidR="0004000C" w:rsidRPr="00216B78" w:rsidRDefault="0004000C" w:rsidP="003C7D7C">
      <w:pPr>
        <w:rPr>
          <w:noProof/>
        </w:rPr>
      </w:pPr>
    </w:p>
    <w:p w14:paraId="435E79F8" w14:textId="77777777" w:rsidR="0004000C" w:rsidRPr="00216B78" w:rsidRDefault="0004000C" w:rsidP="003C7D7C">
      <w:r w:rsidRPr="00216B78">
        <w:t>1 buteliukas: 1 g žmogaus fibrinogeno</w:t>
      </w:r>
    </w:p>
    <w:p w14:paraId="1A79F783" w14:textId="77777777" w:rsidR="0004000C" w:rsidRPr="00216B78" w:rsidRDefault="0004000C" w:rsidP="003C7D7C">
      <w:r w:rsidRPr="00216B78">
        <w:t>Paruoštame tirpale yra maždaug 20 mg/ml žmogaus fibrinogeno.</w:t>
      </w:r>
    </w:p>
    <w:p w14:paraId="54191CF4" w14:textId="77777777" w:rsidR="0004000C" w:rsidRPr="00216B78" w:rsidRDefault="0004000C" w:rsidP="003C7D7C">
      <w:pPr>
        <w:rPr>
          <w:noProof/>
          <w:highlight w:val="yellow"/>
        </w:rPr>
      </w:pPr>
    </w:p>
    <w:p w14:paraId="6278979A" w14:textId="77777777" w:rsidR="00967B3B" w:rsidRPr="00216B78" w:rsidRDefault="00967B3B" w:rsidP="003C7D7C">
      <w:pPr>
        <w:rPr>
          <w:noProof/>
          <w:highlight w:val="yellow"/>
        </w:rPr>
      </w:pPr>
    </w:p>
    <w:p w14:paraId="475CDC6A" w14:textId="77777777" w:rsidR="0004000C" w:rsidRPr="00216B78" w:rsidRDefault="0004000C" w:rsidP="003C7D7C">
      <w:pPr>
        <w:pBdr>
          <w:top w:val="single" w:sz="4" w:space="1" w:color="auto"/>
          <w:left w:val="single" w:sz="4" w:space="4" w:color="auto"/>
          <w:bottom w:val="single" w:sz="4" w:space="1" w:color="auto"/>
          <w:right w:val="single" w:sz="4" w:space="4" w:color="auto"/>
        </w:pBdr>
        <w:ind w:left="567" w:hanging="567"/>
        <w:outlineLvl w:val="0"/>
        <w:rPr>
          <w:noProof/>
        </w:rPr>
      </w:pPr>
      <w:r w:rsidRPr="00216B78">
        <w:rPr>
          <w:b/>
          <w:bCs/>
          <w:noProof/>
        </w:rPr>
        <w:t>3.</w:t>
      </w:r>
      <w:r w:rsidRPr="00216B78">
        <w:rPr>
          <w:b/>
          <w:bCs/>
          <w:noProof/>
        </w:rPr>
        <w:tab/>
        <w:t>PAGALBINIŲ MEDŽIAGŲ SĄRAŠAS</w:t>
      </w:r>
    </w:p>
    <w:p w14:paraId="5080B6CF" w14:textId="77777777" w:rsidR="0004000C" w:rsidRPr="00216B78" w:rsidRDefault="0004000C" w:rsidP="003C7D7C">
      <w:pPr>
        <w:pStyle w:val="Text"/>
        <w:spacing w:before="0" w:after="0"/>
        <w:rPr>
          <w:noProof/>
          <w:sz w:val="22"/>
          <w:szCs w:val="22"/>
          <w:lang w:val="lt-LT"/>
        </w:rPr>
      </w:pPr>
    </w:p>
    <w:p w14:paraId="74F1F70B" w14:textId="77777777" w:rsidR="0004000C" w:rsidRPr="00216B78" w:rsidRDefault="0004000C" w:rsidP="003C7D7C">
      <w:r w:rsidRPr="00216B78">
        <w:t>Pagalbinės medžiagos: L</w:t>
      </w:r>
      <w:r w:rsidRPr="00216B78">
        <w:noBreakHyphen/>
        <w:t>arginino hidrochloridas, glicinas, natrio chloridas, natrio citrat</w:t>
      </w:r>
      <w:r w:rsidR="00C74E70" w:rsidRPr="00216B78">
        <w:t>as</w:t>
      </w:r>
      <w:r w:rsidRPr="00216B78">
        <w:t xml:space="preserve"> dihidratas.</w:t>
      </w:r>
    </w:p>
    <w:p w14:paraId="019F44A8" w14:textId="77777777" w:rsidR="003C7D7C" w:rsidRPr="00216B78" w:rsidRDefault="003C7D7C" w:rsidP="003C7D7C">
      <w:pPr>
        <w:rPr>
          <w:u w:val="single"/>
        </w:rPr>
      </w:pPr>
    </w:p>
    <w:p w14:paraId="5619849F" w14:textId="77777777" w:rsidR="0004000C" w:rsidRPr="00216B78" w:rsidRDefault="0004000C" w:rsidP="003C7D7C">
      <w:r w:rsidRPr="00216B78">
        <w:rPr>
          <w:u w:val="single"/>
        </w:rPr>
        <w:t>Tirpiklis</w:t>
      </w:r>
      <w:r w:rsidRPr="00216B78">
        <w:t>: injekcinis vanduo</w:t>
      </w:r>
    </w:p>
    <w:p w14:paraId="2C01AC51" w14:textId="77777777" w:rsidR="0004000C" w:rsidRPr="00216B78" w:rsidRDefault="0004000C" w:rsidP="003C7D7C"/>
    <w:p w14:paraId="573C7B96" w14:textId="77777777" w:rsidR="00967B3B" w:rsidRPr="00216B78" w:rsidRDefault="00967B3B" w:rsidP="003C7D7C"/>
    <w:p w14:paraId="465E135E" w14:textId="77777777" w:rsidR="0004000C" w:rsidRPr="00216B78" w:rsidRDefault="0004000C" w:rsidP="003C7D7C">
      <w:pPr>
        <w:pBdr>
          <w:top w:val="single" w:sz="4" w:space="1" w:color="auto"/>
          <w:left w:val="single" w:sz="4" w:space="4" w:color="auto"/>
          <w:bottom w:val="single" w:sz="4" w:space="1" w:color="auto"/>
          <w:right w:val="single" w:sz="4" w:space="4" w:color="auto"/>
        </w:pBdr>
        <w:ind w:left="567" w:hanging="567"/>
        <w:outlineLvl w:val="0"/>
        <w:rPr>
          <w:noProof/>
        </w:rPr>
      </w:pPr>
      <w:r w:rsidRPr="00216B78">
        <w:rPr>
          <w:b/>
          <w:bCs/>
          <w:noProof/>
        </w:rPr>
        <w:t>4.</w:t>
      </w:r>
      <w:r w:rsidRPr="00216B78">
        <w:rPr>
          <w:b/>
          <w:bCs/>
          <w:noProof/>
        </w:rPr>
        <w:tab/>
        <w:t>FARMACINĖ FORMA IR KIEKIS PAKUOTĖJE</w:t>
      </w:r>
    </w:p>
    <w:p w14:paraId="2219C9E1" w14:textId="77777777" w:rsidR="0004000C" w:rsidRPr="00216B78" w:rsidRDefault="0004000C" w:rsidP="003C7D7C">
      <w:pPr>
        <w:rPr>
          <w:noProof/>
        </w:rPr>
      </w:pPr>
    </w:p>
    <w:p w14:paraId="52627037" w14:textId="77777777" w:rsidR="0004000C" w:rsidRPr="00216B78" w:rsidRDefault="0004000C" w:rsidP="003C7D7C">
      <w:r w:rsidRPr="00216B78">
        <w:rPr>
          <w:highlight w:val="lightGray"/>
        </w:rPr>
        <w:t>Milteliai ir tirpiklis injekciniam ar infuziniam tirpalui.</w:t>
      </w:r>
    </w:p>
    <w:p w14:paraId="2577BFA7" w14:textId="77777777" w:rsidR="0004000C" w:rsidRPr="00216B78" w:rsidRDefault="0004000C" w:rsidP="003C7D7C">
      <w:pPr>
        <w:rPr>
          <w:bCs/>
        </w:rPr>
      </w:pPr>
    </w:p>
    <w:p w14:paraId="7E00430E" w14:textId="77777777" w:rsidR="0004000C" w:rsidRPr="00216B78" w:rsidRDefault="0004000C" w:rsidP="003C7D7C">
      <w:pPr>
        <w:rPr>
          <w:bCs/>
        </w:rPr>
      </w:pPr>
      <w:r w:rsidRPr="00216B78">
        <w:t>Šioje pakuotėje yra:</w:t>
      </w:r>
    </w:p>
    <w:p w14:paraId="6B1964AC" w14:textId="77777777" w:rsidR="0004000C" w:rsidRPr="00216B78" w:rsidRDefault="0004000C" w:rsidP="003C7D7C">
      <w:r w:rsidRPr="00216B78">
        <w:t>1 buteliukas su 1 g žmogaus fibrinogeno</w:t>
      </w:r>
    </w:p>
    <w:p w14:paraId="48380C9A" w14:textId="77777777" w:rsidR="0004000C" w:rsidRPr="00216B78" w:rsidRDefault="0004000C" w:rsidP="003C7D7C">
      <w:r w:rsidRPr="00216B78">
        <w:t>1 </w:t>
      </w:r>
      <w:r w:rsidR="006303B5" w:rsidRPr="00216B78">
        <w:t>flakonas</w:t>
      </w:r>
      <w:r w:rsidRPr="00216B78">
        <w:t xml:space="preserve"> su tirpikliu (50 ml injekcinio vandens)</w:t>
      </w:r>
    </w:p>
    <w:p w14:paraId="29483C00" w14:textId="547C3579" w:rsidR="0004000C" w:rsidRPr="00216B78" w:rsidRDefault="0004000C" w:rsidP="003C7D7C">
      <w:pPr>
        <w:rPr>
          <w:bCs/>
        </w:rPr>
      </w:pPr>
      <w:r w:rsidRPr="00216B78">
        <w:t>1  perkėlimo įtaisas</w:t>
      </w:r>
    </w:p>
    <w:p w14:paraId="556AC4CF" w14:textId="77777777" w:rsidR="0004000C" w:rsidRPr="00216B78" w:rsidRDefault="0004000C" w:rsidP="003C7D7C">
      <w:pPr>
        <w:rPr>
          <w:iCs/>
          <w:noProof/>
          <w:highlight w:val="yellow"/>
        </w:rPr>
      </w:pPr>
    </w:p>
    <w:p w14:paraId="7C0D0F37" w14:textId="77777777" w:rsidR="00967B3B" w:rsidRPr="00216B78" w:rsidRDefault="00967B3B" w:rsidP="003C7D7C">
      <w:pPr>
        <w:rPr>
          <w:iCs/>
          <w:noProof/>
          <w:highlight w:val="yellow"/>
        </w:rPr>
      </w:pPr>
    </w:p>
    <w:p w14:paraId="1C0D9EE7" w14:textId="77777777" w:rsidR="0004000C" w:rsidRPr="00216B78" w:rsidRDefault="0004000C" w:rsidP="003C7D7C">
      <w:pPr>
        <w:pBdr>
          <w:top w:val="single" w:sz="4" w:space="1" w:color="auto"/>
          <w:left w:val="single" w:sz="4" w:space="4" w:color="auto"/>
          <w:bottom w:val="single" w:sz="4" w:space="1" w:color="auto"/>
          <w:right w:val="single" w:sz="4" w:space="4" w:color="auto"/>
        </w:pBdr>
        <w:ind w:left="567" w:hanging="567"/>
        <w:outlineLvl w:val="0"/>
        <w:rPr>
          <w:noProof/>
        </w:rPr>
      </w:pPr>
      <w:r w:rsidRPr="00216B78">
        <w:rPr>
          <w:b/>
          <w:bCs/>
          <w:noProof/>
        </w:rPr>
        <w:t>5.</w:t>
      </w:r>
      <w:r w:rsidRPr="00216B78">
        <w:rPr>
          <w:b/>
          <w:bCs/>
          <w:noProof/>
        </w:rPr>
        <w:tab/>
        <w:t>VARTOJIMO METODAS IR BŪDAS (-AI)</w:t>
      </w:r>
    </w:p>
    <w:p w14:paraId="5195C960" w14:textId="77777777" w:rsidR="0004000C" w:rsidRPr="00216B78" w:rsidRDefault="0004000C" w:rsidP="003C7D7C">
      <w:pPr>
        <w:rPr>
          <w:i/>
          <w:noProof/>
        </w:rPr>
      </w:pPr>
    </w:p>
    <w:p w14:paraId="7A5B5052" w14:textId="77777777" w:rsidR="0004000C" w:rsidRPr="00216B78" w:rsidRDefault="0004000C" w:rsidP="003C7D7C">
      <w:pPr>
        <w:rPr>
          <w:noProof/>
        </w:rPr>
      </w:pPr>
      <w:r w:rsidRPr="00216B78">
        <w:rPr>
          <w:noProof/>
        </w:rPr>
        <w:t>Prieš vartojimą perskaitykite pakuotės lapelį.</w:t>
      </w:r>
    </w:p>
    <w:p w14:paraId="1C2561F0" w14:textId="77777777" w:rsidR="0004000C" w:rsidRPr="00216B78" w:rsidRDefault="009E2E7C" w:rsidP="003C7D7C">
      <w:pPr>
        <w:rPr>
          <w:noProof/>
        </w:rPr>
      </w:pPr>
      <w:r w:rsidRPr="00216B78">
        <w:rPr>
          <w:noProof/>
        </w:rPr>
        <w:t>Paruošus l</w:t>
      </w:r>
      <w:r w:rsidR="0004000C" w:rsidRPr="00216B78">
        <w:rPr>
          <w:noProof/>
        </w:rPr>
        <w:t>eisti į veną.</w:t>
      </w:r>
    </w:p>
    <w:p w14:paraId="612AE94F" w14:textId="77777777" w:rsidR="0004000C" w:rsidRPr="00216B78" w:rsidRDefault="0004000C" w:rsidP="003C7D7C">
      <w:pPr>
        <w:rPr>
          <w:noProof/>
        </w:rPr>
      </w:pPr>
    </w:p>
    <w:p w14:paraId="46457396" w14:textId="77777777" w:rsidR="00967B3B" w:rsidRPr="00216B78" w:rsidRDefault="00967B3B" w:rsidP="003C7D7C">
      <w:pPr>
        <w:rPr>
          <w:noProof/>
        </w:rPr>
      </w:pPr>
    </w:p>
    <w:p w14:paraId="71700CF1" w14:textId="77777777" w:rsidR="0004000C" w:rsidRPr="00216B78" w:rsidRDefault="0004000C" w:rsidP="003C7D7C">
      <w:pPr>
        <w:pBdr>
          <w:top w:val="single" w:sz="4" w:space="1" w:color="auto"/>
          <w:left w:val="single" w:sz="4" w:space="4" w:color="auto"/>
          <w:bottom w:val="single" w:sz="4" w:space="1" w:color="auto"/>
          <w:right w:val="single" w:sz="4" w:space="4" w:color="auto"/>
        </w:pBdr>
        <w:ind w:left="567" w:hanging="567"/>
        <w:outlineLvl w:val="0"/>
        <w:rPr>
          <w:noProof/>
        </w:rPr>
      </w:pPr>
      <w:r w:rsidRPr="00216B78">
        <w:rPr>
          <w:b/>
          <w:bCs/>
          <w:noProof/>
        </w:rPr>
        <w:t>6.</w:t>
      </w:r>
      <w:r w:rsidRPr="00216B78">
        <w:rPr>
          <w:b/>
          <w:bCs/>
          <w:noProof/>
        </w:rPr>
        <w:tab/>
        <w:t>SPECIALUS ĮSPĖJIMAS, KAD VAISTINĮ PREPARATĄ BŪTINA LAIKYTI VAIKAMS NEPASTEBIMOJE IR NEPASIEKIAMOJE VIETOJE</w:t>
      </w:r>
    </w:p>
    <w:p w14:paraId="72AD7661" w14:textId="77777777" w:rsidR="0004000C" w:rsidRPr="00216B78" w:rsidRDefault="0004000C" w:rsidP="003C7D7C">
      <w:pPr>
        <w:rPr>
          <w:noProof/>
        </w:rPr>
      </w:pPr>
    </w:p>
    <w:p w14:paraId="03A358C2" w14:textId="77777777" w:rsidR="0004000C" w:rsidRPr="00216B78" w:rsidRDefault="0004000C" w:rsidP="003C7D7C">
      <w:pPr>
        <w:outlineLvl w:val="0"/>
        <w:rPr>
          <w:noProof/>
        </w:rPr>
      </w:pPr>
      <w:r w:rsidRPr="00216B78">
        <w:rPr>
          <w:noProof/>
        </w:rPr>
        <w:t>Laikyti vaikams nepastebimoje ir nepasiekiamoje vietoje.</w:t>
      </w:r>
    </w:p>
    <w:p w14:paraId="2C90C526" w14:textId="77777777" w:rsidR="0004000C" w:rsidRPr="00216B78" w:rsidRDefault="0004000C" w:rsidP="003C7D7C">
      <w:pPr>
        <w:rPr>
          <w:noProof/>
          <w:highlight w:val="yellow"/>
        </w:rPr>
      </w:pPr>
    </w:p>
    <w:p w14:paraId="48E7FEE6" w14:textId="77777777" w:rsidR="00967B3B" w:rsidRPr="00216B78" w:rsidRDefault="00967B3B" w:rsidP="003C7D7C">
      <w:pPr>
        <w:rPr>
          <w:noProof/>
          <w:highlight w:val="yellow"/>
        </w:rPr>
      </w:pPr>
    </w:p>
    <w:p w14:paraId="072A8AF6" w14:textId="77777777" w:rsidR="0004000C" w:rsidRPr="00216B78" w:rsidRDefault="0004000C" w:rsidP="003C7D7C">
      <w:pPr>
        <w:pBdr>
          <w:top w:val="single" w:sz="4" w:space="1" w:color="auto"/>
          <w:left w:val="single" w:sz="4" w:space="4" w:color="auto"/>
          <w:bottom w:val="single" w:sz="4" w:space="1" w:color="auto"/>
          <w:right w:val="single" w:sz="4" w:space="4" w:color="auto"/>
        </w:pBdr>
        <w:ind w:left="567" w:hanging="567"/>
        <w:outlineLvl w:val="0"/>
        <w:rPr>
          <w:noProof/>
        </w:rPr>
      </w:pPr>
      <w:r w:rsidRPr="00216B78">
        <w:rPr>
          <w:b/>
          <w:bCs/>
          <w:noProof/>
        </w:rPr>
        <w:t>7.</w:t>
      </w:r>
      <w:r w:rsidRPr="00216B78">
        <w:rPr>
          <w:b/>
          <w:bCs/>
          <w:noProof/>
        </w:rPr>
        <w:tab/>
        <w:t>KITAS (-I) SPECIALUS (-ŪS) ĮSPĖJIMAS (-AI) (JEI REIKIA)</w:t>
      </w:r>
    </w:p>
    <w:p w14:paraId="0621A4D6" w14:textId="77777777" w:rsidR="0004000C" w:rsidRPr="00216B78" w:rsidRDefault="0004000C" w:rsidP="003C7D7C">
      <w:pPr>
        <w:rPr>
          <w:noProof/>
        </w:rPr>
      </w:pPr>
    </w:p>
    <w:p w14:paraId="53BD5253" w14:textId="77777777" w:rsidR="0004000C" w:rsidRPr="00216B78" w:rsidRDefault="0004000C" w:rsidP="003C7D7C">
      <w:pPr>
        <w:rPr>
          <w:noProof/>
        </w:rPr>
      </w:pPr>
    </w:p>
    <w:p w14:paraId="210C16EA" w14:textId="77777777" w:rsidR="0004000C" w:rsidRPr="00216B78" w:rsidRDefault="0004000C" w:rsidP="003C7D7C">
      <w:pPr>
        <w:rPr>
          <w:noProof/>
        </w:rPr>
      </w:pPr>
    </w:p>
    <w:p w14:paraId="67D7E3E6" w14:textId="77777777" w:rsidR="0004000C" w:rsidRPr="00216B78" w:rsidRDefault="0004000C" w:rsidP="003C7D7C">
      <w:pPr>
        <w:pBdr>
          <w:top w:val="single" w:sz="4" w:space="1" w:color="auto"/>
          <w:left w:val="single" w:sz="4" w:space="4" w:color="auto"/>
          <w:bottom w:val="single" w:sz="4" w:space="1" w:color="auto"/>
          <w:right w:val="single" w:sz="4" w:space="4" w:color="auto"/>
        </w:pBdr>
        <w:ind w:left="567" w:hanging="567"/>
        <w:outlineLvl w:val="0"/>
        <w:rPr>
          <w:noProof/>
        </w:rPr>
      </w:pPr>
      <w:r w:rsidRPr="00216B78">
        <w:rPr>
          <w:b/>
          <w:bCs/>
          <w:noProof/>
        </w:rPr>
        <w:t>8.</w:t>
      </w:r>
      <w:r w:rsidRPr="00216B78">
        <w:rPr>
          <w:b/>
          <w:bCs/>
          <w:noProof/>
        </w:rPr>
        <w:tab/>
        <w:t>TINKAMUMO LAIKAS</w:t>
      </w:r>
    </w:p>
    <w:p w14:paraId="604EE70A" w14:textId="77777777" w:rsidR="0004000C" w:rsidRPr="00216B78" w:rsidRDefault="0004000C" w:rsidP="003C7D7C">
      <w:pPr>
        <w:rPr>
          <w:noProof/>
        </w:rPr>
      </w:pPr>
    </w:p>
    <w:p w14:paraId="4E024778" w14:textId="77777777" w:rsidR="0004000C" w:rsidRPr="00216B78" w:rsidRDefault="00967B3B" w:rsidP="003C7D7C">
      <w:pPr>
        <w:rPr>
          <w:noProof/>
        </w:rPr>
      </w:pPr>
      <w:r w:rsidRPr="00216B78">
        <w:rPr>
          <w:noProof/>
        </w:rPr>
        <w:t>Tinka iki</w:t>
      </w:r>
      <w:r w:rsidR="008F18DA" w:rsidRPr="00216B78">
        <w:rPr>
          <w:noProof/>
        </w:rPr>
        <w:t xml:space="preserve">: </w:t>
      </w:r>
      <w:r w:rsidR="008F18DA" w:rsidRPr="00216B78">
        <w:t>mm/MMMM</w:t>
      </w:r>
    </w:p>
    <w:p w14:paraId="487CA275" w14:textId="77777777" w:rsidR="0004000C" w:rsidRPr="00216B78" w:rsidRDefault="0004000C" w:rsidP="003C7D7C">
      <w:pPr>
        <w:rPr>
          <w:noProof/>
        </w:rPr>
      </w:pPr>
    </w:p>
    <w:p w14:paraId="70713080" w14:textId="77777777" w:rsidR="0004000C" w:rsidRPr="00216B78" w:rsidRDefault="0004000C" w:rsidP="003C7D7C">
      <w:pPr>
        <w:rPr>
          <w:noProof/>
        </w:rPr>
      </w:pPr>
    </w:p>
    <w:p w14:paraId="415EA213" w14:textId="77777777" w:rsidR="0004000C" w:rsidRPr="00216B78" w:rsidRDefault="0004000C" w:rsidP="003C7D7C">
      <w:pPr>
        <w:pBdr>
          <w:top w:val="single" w:sz="4" w:space="1" w:color="auto"/>
          <w:left w:val="single" w:sz="4" w:space="4" w:color="auto"/>
          <w:bottom w:val="single" w:sz="4" w:space="1" w:color="auto"/>
          <w:right w:val="single" w:sz="4" w:space="4" w:color="auto"/>
        </w:pBdr>
        <w:ind w:left="567" w:hanging="567"/>
        <w:outlineLvl w:val="0"/>
        <w:rPr>
          <w:noProof/>
        </w:rPr>
      </w:pPr>
      <w:r w:rsidRPr="00216B78">
        <w:rPr>
          <w:b/>
          <w:bCs/>
          <w:noProof/>
        </w:rPr>
        <w:lastRenderedPageBreak/>
        <w:t>9.</w:t>
      </w:r>
      <w:r w:rsidRPr="00216B78">
        <w:rPr>
          <w:b/>
          <w:bCs/>
          <w:noProof/>
        </w:rPr>
        <w:tab/>
        <w:t>SPECIALIOS LAIKYMO SĄLYGOS</w:t>
      </w:r>
    </w:p>
    <w:p w14:paraId="667C8B3E" w14:textId="77777777" w:rsidR="0004000C" w:rsidRPr="00216B78" w:rsidRDefault="0004000C" w:rsidP="003C7D7C">
      <w:pPr>
        <w:rPr>
          <w:i/>
          <w:noProof/>
        </w:rPr>
      </w:pPr>
    </w:p>
    <w:p w14:paraId="52F6A948" w14:textId="77777777" w:rsidR="0004000C" w:rsidRPr="00216B78" w:rsidRDefault="0004000C" w:rsidP="003C7D7C">
      <w:pPr>
        <w:tabs>
          <w:tab w:val="left" w:pos="1766"/>
        </w:tabs>
        <w:rPr>
          <w:noProof/>
        </w:rPr>
      </w:pPr>
      <w:r w:rsidRPr="00216B78">
        <w:rPr>
          <w:noProof/>
        </w:rPr>
        <w:t>Laikyti ne aukštesnėje kaip 25 °C temperatūroje. Negalima užšaldyti!</w:t>
      </w:r>
    </w:p>
    <w:p w14:paraId="5BC90E3D" w14:textId="77777777" w:rsidR="0004000C" w:rsidRPr="00216B78" w:rsidRDefault="0004000C" w:rsidP="003C7D7C">
      <w:pPr>
        <w:tabs>
          <w:tab w:val="left" w:pos="1766"/>
        </w:tabs>
        <w:rPr>
          <w:noProof/>
        </w:rPr>
      </w:pPr>
      <w:r w:rsidRPr="00216B78">
        <w:t>Laikyti gamintojo pakuotėje, kad vaistas būtų apsaugotas nuo šviesos.</w:t>
      </w:r>
    </w:p>
    <w:p w14:paraId="4B342741" w14:textId="77777777" w:rsidR="0004000C" w:rsidRPr="00216B78" w:rsidRDefault="0004000C" w:rsidP="003C7D7C">
      <w:pPr>
        <w:tabs>
          <w:tab w:val="left" w:pos="1766"/>
        </w:tabs>
      </w:pPr>
      <w:r w:rsidRPr="00216B78">
        <w:t>Paruoštą tirpalą galima 24 valandas laikyti 25 °C temperatūroje.</w:t>
      </w:r>
    </w:p>
    <w:p w14:paraId="2AD2D470" w14:textId="77777777" w:rsidR="0004000C" w:rsidRPr="00216B78" w:rsidRDefault="0004000C" w:rsidP="003C7D7C">
      <w:pPr>
        <w:ind w:left="567" w:hanging="567"/>
        <w:rPr>
          <w:noProof/>
          <w:highlight w:val="yellow"/>
        </w:rPr>
      </w:pPr>
    </w:p>
    <w:p w14:paraId="752C8EC5" w14:textId="77777777" w:rsidR="00967B3B" w:rsidRPr="00216B78" w:rsidRDefault="00967B3B" w:rsidP="003C7D7C">
      <w:pPr>
        <w:ind w:left="567" w:hanging="567"/>
        <w:rPr>
          <w:noProof/>
          <w:highlight w:val="yellow"/>
        </w:rPr>
      </w:pPr>
    </w:p>
    <w:p w14:paraId="496E23B6" w14:textId="77777777" w:rsidR="0004000C" w:rsidRPr="00216B78" w:rsidRDefault="0004000C" w:rsidP="003C7D7C">
      <w:pPr>
        <w:pBdr>
          <w:top w:val="single" w:sz="4" w:space="1" w:color="auto"/>
          <w:left w:val="single" w:sz="4" w:space="4" w:color="auto"/>
          <w:bottom w:val="single" w:sz="4" w:space="1" w:color="auto"/>
          <w:right w:val="single" w:sz="4" w:space="4" w:color="auto"/>
        </w:pBdr>
        <w:outlineLvl w:val="0"/>
        <w:rPr>
          <w:b/>
          <w:noProof/>
          <w:highlight w:val="yellow"/>
        </w:rPr>
      </w:pPr>
      <w:r w:rsidRPr="00216B78">
        <w:rPr>
          <w:b/>
          <w:bCs/>
          <w:noProof/>
        </w:rPr>
        <w:t>10.</w:t>
      </w:r>
      <w:r w:rsidRPr="00216B78">
        <w:rPr>
          <w:b/>
          <w:bCs/>
          <w:noProof/>
        </w:rPr>
        <w:tab/>
        <w:t>SPECIALIOS ATSARGUMO PRIEMONĖS DĖL NESUVARTOTO VAISTINIO PREPARATO AR JO ATLIEKŲ TVARKYMO (JEI REIKIA)</w:t>
      </w:r>
    </w:p>
    <w:p w14:paraId="215CD89B" w14:textId="77777777" w:rsidR="0004000C" w:rsidRPr="00216B78" w:rsidRDefault="0004000C" w:rsidP="003C7D7C"/>
    <w:p w14:paraId="01EE83D6" w14:textId="77777777" w:rsidR="0004000C" w:rsidRPr="00216B78" w:rsidRDefault="0004000C" w:rsidP="003C7D7C">
      <w:pPr>
        <w:rPr>
          <w:noProof/>
        </w:rPr>
      </w:pPr>
    </w:p>
    <w:p w14:paraId="36444DD5" w14:textId="77777777" w:rsidR="0004000C" w:rsidRPr="00216B78" w:rsidRDefault="0004000C" w:rsidP="003C7D7C">
      <w:pPr>
        <w:pBdr>
          <w:top w:val="single" w:sz="4" w:space="1" w:color="auto"/>
          <w:left w:val="single" w:sz="4" w:space="4" w:color="auto"/>
          <w:bottom w:val="single" w:sz="4" w:space="1" w:color="auto"/>
          <w:right w:val="single" w:sz="4" w:space="4" w:color="auto"/>
        </w:pBdr>
        <w:outlineLvl w:val="0"/>
        <w:rPr>
          <w:b/>
          <w:noProof/>
        </w:rPr>
      </w:pPr>
      <w:r w:rsidRPr="00216B78">
        <w:rPr>
          <w:b/>
          <w:bCs/>
          <w:noProof/>
        </w:rPr>
        <w:t>11.</w:t>
      </w:r>
      <w:r w:rsidRPr="00216B78">
        <w:rPr>
          <w:b/>
          <w:bCs/>
          <w:noProof/>
        </w:rPr>
        <w:tab/>
        <w:t>REGISTRUOTOJO PAVADINIMAS IR ADRESAS</w:t>
      </w:r>
    </w:p>
    <w:p w14:paraId="756ABAD8" w14:textId="77777777" w:rsidR="0004000C" w:rsidRPr="00216B78" w:rsidRDefault="0004000C" w:rsidP="003C7D7C">
      <w:pPr>
        <w:rPr>
          <w:b/>
          <w:bCs/>
          <w:color w:val="FFFFFF"/>
        </w:rPr>
      </w:pPr>
    </w:p>
    <w:p w14:paraId="1A8EF8D7" w14:textId="77777777" w:rsidR="00967B3B" w:rsidRPr="00216B78" w:rsidRDefault="00967B3B" w:rsidP="003C7D7C">
      <w:pPr>
        <w:pStyle w:val="Default"/>
        <w:rPr>
          <w:sz w:val="22"/>
          <w:szCs w:val="22"/>
          <w:lang w:val="lt-LT"/>
        </w:rPr>
      </w:pPr>
      <w:r w:rsidRPr="00216B78">
        <w:rPr>
          <w:sz w:val="22"/>
          <w:szCs w:val="22"/>
          <w:lang w:val="lt-LT"/>
        </w:rPr>
        <w:t>Octapharma (IP) SPRL</w:t>
      </w:r>
    </w:p>
    <w:p w14:paraId="79ED1A0E" w14:textId="7692051A" w:rsidR="00967B3B" w:rsidRPr="00216B78" w:rsidRDefault="00677D28" w:rsidP="003C7D7C">
      <w:pPr>
        <w:pStyle w:val="Default"/>
        <w:rPr>
          <w:sz w:val="22"/>
          <w:szCs w:val="22"/>
          <w:lang w:val="lt-LT"/>
        </w:rPr>
      </w:pPr>
      <w:r>
        <w:rPr>
          <w:sz w:val="22"/>
          <w:szCs w:val="22"/>
          <w:lang w:val="lt-LT"/>
        </w:rPr>
        <w:t>Route de Lennik</w:t>
      </w:r>
      <w:r w:rsidR="0096724E">
        <w:rPr>
          <w:sz w:val="22"/>
          <w:szCs w:val="22"/>
          <w:lang w:val="lt-LT"/>
        </w:rPr>
        <w:t xml:space="preserve"> 451</w:t>
      </w:r>
    </w:p>
    <w:p w14:paraId="180D9601" w14:textId="77777777" w:rsidR="00967B3B" w:rsidRPr="00216B78" w:rsidRDefault="00967B3B" w:rsidP="003C7D7C">
      <w:pPr>
        <w:pStyle w:val="Default"/>
        <w:rPr>
          <w:sz w:val="22"/>
          <w:szCs w:val="22"/>
          <w:lang w:val="lt-LT"/>
        </w:rPr>
      </w:pPr>
      <w:r w:rsidRPr="00216B78">
        <w:rPr>
          <w:sz w:val="22"/>
          <w:szCs w:val="22"/>
          <w:lang w:val="lt-LT"/>
        </w:rPr>
        <w:t>1070 Anderlecht</w:t>
      </w:r>
    </w:p>
    <w:p w14:paraId="5C407536" w14:textId="77777777" w:rsidR="00967B3B" w:rsidRPr="00216B78" w:rsidRDefault="00967B3B" w:rsidP="003C7D7C">
      <w:pPr>
        <w:pStyle w:val="Default"/>
        <w:rPr>
          <w:sz w:val="22"/>
          <w:szCs w:val="22"/>
          <w:lang w:val="lt-LT"/>
        </w:rPr>
      </w:pPr>
      <w:r w:rsidRPr="00216B78">
        <w:rPr>
          <w:sz w:val="22"/>
          <w:szCs w:val="22"/>
          <w:lang w:val="lt-LT"/>
        </w:rPr>
        <w:t>Belgija</w:t>
      </w:r>
    </w:p>
    <w:p w14:paraId="2FDD7215" w14:textId="77777777" w:rsidR="0004000C" w:rsidRPr="00162E8D" w:rsidRDefault="0004000C" w:rsidP="003C7D7C">
      <w:pPr>
        <w:rPr>
          <w:noProof/>
        </w:rPr>
      </w:pPr>
    </w:p>
    <w:p w14:paraId="5D6E64D2" w14:textId="77777777" w:rsidR="00967B3B" w:rsidRPr="00162E8D" w:rsidRDefault="00967B3B" w:rsidP="003C7D7C">
      <w:pPr>
        <w:rPr>
          <w:noProof/>
        </w:rPr>
      </w:pPr>
    </w:p>
    <w:p w14:paraId="6F1EBA48" w14:textId="77777777" w:rsidR="0004000C" w:rsidRPr="00216B78" w:rsidRDefault="0004000C" w:rsidP="003C7D7C">
      <w:pPr>
        <w:pBdr>
          <w:top w:val="single" w:sz="4" w:space="1" w:color="auto"/>
          <w:left w:val="single" w:sz="4" w:space="4" w:color="auto"/>
          <w:bottom w:val="single" w:sz="4" w:space="1" w:color="auto"/>
          <w:right w:val="single" w:sz="4" w:space="4" w:color="auto"/>
        </w:pBdr>
        <w:outlineLvl w:val="0"/>
        <w:rPr>
          <w:noProof/>
        </w:rPr>
      </w:pPr>
      <w:r w:rsidRPr="00216B78">
        <w:rPr>
          <w:b/>
          <w:bCs/>
          <w:noProof/>
        </w:rPr>
        <w:t>12.</w:t>
      </w:r>
      <w:r w:rsidRPr="00216B78">
        <w:rPr>
          <w:b/>
          <w:bCs/>
          <w:noProof/>
        </w:rPr>
        <w:tab/>
        <w:t>REGISTRACIJOS PAŽYMĖJIMO NUMERIS (-IAI)</w:t>
      </w:r>
    </w:p>
    <w:p w14:paraId="08DD4EE0" w14:textId="77777777" w:rsidR="0004000C" w:rsidRPr="00216B78" w:rsidRDefault="0004000C" w:rsidP="003C7D7C">
      <w:pPr>
        <w:rPr>
          <w:noProof/>
        </w:rPr>
      </w:pPr>
    </w:p>
    <w:p w14:paraId="2D279E73" w14:textId="77777777" w:rsidR="0004000C" w:rsidRPr="00216B78" w:rsidRDefault="006303B5" w:rsidP="003C7D7C">
      <w:pPr>
        <w:outlineLvl w:val="0"/>
      </w:pPr>
      <w:r w:rsidRPr="00216B78">
        <w:t>LT/1/20/4597/001</w:t>
      </w:r>
    </w:p>
    <w:p w14:paraId="63F668A8" w14:textId="77777777" w:rsidR="006303B5" w:rsidRPr="00216B78" w:rsidRDefault="006303B5" w:rsidP="003C7D7C">
      <w:pPr>
        <w:outlineLvl w:val="0"/>
        <w:rPr>
          <w:noProof/>
        </w:rPr>
      </w:pPr>
    </w:p>
    <w:p w14:paraId="7F19EEC9" w14:textId="77777777" w:rsidR="0004000C" w:rsidRPr="00216B78" w:rsidRDefault="0004000C" w:rsidP="003C7D7C">
      <w:pPr>
        <w:rPr>
          <w:noProof/>
        </w:rPr>
      </w:pPr>
    </w:p>
    <w:p w14:paraId="20EA9B98" w14:textId="77777777" w:rsidR="0004000C" w:rsidRPr="00216B78" w:rsidRDefault="0004000C" w:rsidP="003C7D7C">
      <w:pPr>
        <w:pBdr>
          <w:top w:val="single" w:sz="4" w:space="1" w:color="auto"/>
          <w:left w:val="single" w:sz="4" w:space="4" w:color="auto"/>
          <w:bottom w:val="single" w:sz="4" w:space="1" w:color="auto"/>
          <w:right w:val="single" w:sz="4" w:space="4" w:color="auto"/>
        </w:pBdr>
        <w:outlineLvl w:val="0"/>
        <w:rPr>
          <w:noProof/>
        </w:rPr>
      </w:pPr>
      <w:r w:rsidRPr="00216B78">
        <w:rPr>
          <w:b/>
          <w:bCs/>
          <w:noProof/>
        </w:rPr>
        <w:t>13.</w:t>
      </w:r>
      <w:r w:rsidRPr="00216B78">
        <w:rPr>
          <w:b/>
          <w:bCs/>
          <w:noProof/>
        </w:rPr>
        <w:tab/>
        <w:t>SERIJOS NUMERIS</w:t>
      </w:r>
    </w:p>
    <w:p w14:paraId="635FD262" w14:textId="77777777" w:rsidR="0004000C" w:rsidRPr="00216B78" w:rsidRDefault="0004000C" w:rsidP="003C7D7C">
      <w:pPr>
        <w:rPr>
          <w:noProof/>
        </w:rPr>
      </w:pPr>
    </w:p>
    <w:p w14:paraId="6E16F455" w14:textId="77777777" w:rsidR="0004000C" w:rsidRPr="00216B78" w:rsidRDefault="00967B3B" w:rsidP="003C7D7C">
      <w:pPr>
        <w:rPr>
          <w:noProof/>
        </w:rPr>
      </w:pPr>
      <w:r w:rsidRPr="00216B78">
        <w:rPr>
          <w:noProof/>
        </w:rPr>
        <w:t>Serija</w:t>
      </w:r>
    </w:p>
    <w:p w14:paraId="01A84EF4" w14:textId="77777777" w:rsidR="0004000C" w:rsidRPr="00216B78" w:rsidRDefault="0004000C" w:rsidP="003C7D7C">
      <w:pPr>
        <w:rPr>
          <w:noProof/>
        </w:rPr>
      </w:pPr>
    </w:p>
    <w:p w14:paraId="30E993AC" w14:textId="77777777" w:rsidR="00967B3B" w:rsidRPr="00216B78" w:rsidRDefault="00967B3B" w:rsidP="003C7D7C">
      <w:pPr>
        <w:rPr>
          <w:noProof/>
        </w:rPr>
      </w:pPr>
    </w:p>
    <w:p w14:paraId="0BD30DB2" w14:textId="77777777" w:rsidR="0004000C" w:rsidRPr="00216B78" w:rsidRDefault="0004000C" w:rsidP="003C7D7C">
      <w:pPr>
        <w:pBdr>
          <w:top w:val="single" w:sz="4" w:space="1" w:color="auto"/>
          <w:left w:val="single" w:sz="4" w:space="4" w:color="auto"/>
          <w:bottom w:val="single" w:sz="4" w:space="1" w:color="auto"/>
          <w:right w:val="single" w:sz="4" w:space="4" w:color="auto"/>
        </w:pBdr>
        <w:outlineLvl w:val="0"/>
        <w:rPr>
          <w:noProof/>
        </w:rPr>
      </w:pPr>
      <w:r w:rsidRPr="00216B78">
        <w:rPr>
          <w:b/>
          <w:bCs/>
          <w:noProof/>
        </w:rPr>
        <w:t>14.</w:t>
      </w:r>
      <w:r w:rsidRPr="00216B78">
        <w:rPr>
          <w:b/>
          <w:bCs/>
          <w:noProof/>
        </w:rPr>
        <w:tab/>
        <w:t>PARDAVIMO (IŠDAVIMO) TVARKA</w:t>
      </w:r>
    </w:p>
    <w:p w14:paraId="3AC12D55" w14:textId="77777777" w:rsidR="0004000C" w:rsidRPr="00216B78" w:rsidRDefault="0004000C" w:rsidP="003C7D7C">
      <w:pPr>
        <w:rPr>
          <w:noProof/>
        </w:rPr>
      </w:pPr>
    </w:p>
    <w:p w14:paraId="1FF4F8E6" w14:textId="77777777" w:rsidR="0004000C" w:rsidRPr="00216B78" w:rsidRDefault="009E2E7C" w:rsidP="003C7D7C">
      <w:pPr>
        <w:rPr>
          <w:noProof/>
        </w:rPr>
      </w:pPr>
      <w:r w:rsidRPr="00216B78">
        <w:rPr>
          <w:noProof/>
        </w:rPr>
        <w:t>Receptinis vaistas.</w:t>
      </w:r>
    </w:p>
    <w:p w14:paraId="13FD57A4" w14:textId="77777777" w:rsidR="0004000C" w:rsidRPr="00216B78" w:rsidRDefault="0004000C" w:rsidP="003C7D7C">
      <w:pPr>
        <w:rPr>
          <w:noProof/>
        </w:rPr>
      </w:pPr>
    </w:p>
    <w:p w14:paraId="7917D803" w14:textId="77777777" w:rsidR="00967B3B" w:rsidRPr="00216B78" w:rsidRDefault="00967B3B" w:rsidP="003C7D7C">
      <w:pPr>
        <w:rPr>
          <w:noProof/>
        </w:rPr>
      </w:pPr>
    </w:p>
    <w:p w14:paraId="22C6D617" w14:textId="77777777" w:rsidR="0004000C" w:rsidRPr="00216B78" w:rsidRDefault="0004000C" w:rsidP="003C7D7C">
      <w:pPr>
        <w:pBdr>
          <w:top w:val="single" w:sz="4" w:space="1" w:color="auto"/>
          <w:left w:val="single" w:sz="4" w:space="4" w:color="auto"/>
          <w:bottom w:val="single" w:sz="4" w:space="1" w:color="auto"/>
          <w:right w:val="single" w:sz="4" w:space="4" w:color="auto"/>
        </w:pBdr>
        <w:outlineLvl w:val="0"/>
        <w:rPr>
          <w:noProof/>
        </w:rPr>
      </w:pPr>
      <w:r w:rsidRPr="00216B78">
        <w:rPr>
          <w:b/>
          <w:bCs/>
          <w:noProof/>
        </w:rPr>
        <w:t>15.</w:t>
      </w:r>
      <w:r w:rsidRPr="00216B78">
        <w:rPr>
          <w:b/>
          <w:bCs/>
          <w:noProof/>
        </w:rPr>
        <w:tab/>
        <w:t>VARTOJIMO INSTRUKCIJA</w:t>
      </w:r>
    </w:p>
    <w:p w14:paraId="410FF284" w14:textId="77777777" w:rsidR="0004000C" w:rsidRPr="00216B78" w:rsidRDefault="0004000C" w:rsidP="003C7D7C">
      <w:pPr>
        <w:rPr>
          <w:noProof/>
        </w:rPr>
      </w:pPr>
    </w:p>
    <w:p w14:paraId="1BD79AB5" w14:textId="77777777" w:rsidR="0004000C" w:rsidRPr="00216B78" w:rsidRDefault="0004000C" w:rsidP="003C7D7C">
      <w:pPr>
        <w:rPr>
          <w:noProof/>
        </w:rPr>
      </w:pPr>
    </w:p>
    <w:p w14:paraId="3956C2AF" w14:textId="77777777" w:rsidR="0004000C" w:rsidRPr="00216B78" w:rsidRDefault="0004000C" w:rsidP="003C7D7C">
      <w:pPr>
        <w:pBdr>
          <w:top w:val="single" w:sz="4" w:space="1" w:color="auto"/>
          <w:left w:val="single" w:sz="4" w:space="4" w:color="auto"/>
          <w:bottom w:val="single" w:sz="4" w:space="1" w:color="auto"/>
          <w:right w:val="single" w:sz="4" w:space="4" w:color="auto"/>
        </w:pBdr>
        <w:outlineLvl w:val="0"/>
        <w:rPr>
          <w:noProof/>
        </w:rPr>
      </w:pPr>
      <w:r w:rsidRPr="00216B78">
        <w:rPr>
          <w:b/>
          <w:bCs/>
          <w:noProof/>
        </w:rPr>
        <w:t>16.</w:t>
      </w:r>
      <w:r w:rsidRPr="00216B78">
        <w:rPr>
          <w:b/>
          <w:bCs/>
          <w:noProof/>
        </w:rPr>
        <w:tab/>
        <w:t>INFORMACIJA BRAILIO RAŠTU</w:t>
      </w:r>
    </w:p>
    <w:p w14:paraId="50777E80" w14:textId="77777777" w:rsidR="0004000C" w:rsidRPr="00216B78" w:rsidRDefault="0004000C" w:rsidP="003C7D7C">
      <w:pPr>
        <w:rPr>
          <w:noProof/>
        </w:rPr>
      </w:pPr>
    </w:p>
    <w:p w14:paraId="133CE6EB" w14:textId="77777777" w:rsidR="0004000C" w:rsidRPr="00216B78" w:rsidRDefault="0004000C" w:rsidP="003C7D7C">
      <w:r w:rsidRPr="00216B78">
        <w:rPr>
          <w:iCs/>
          <w:highlight w:val="lightGray"/>
        </w:rPr>
        <w:t>Priimtas pagrindimas informacijos Brailio raštu nepateikti.</w:t>
      </w:r>
    </w:p>
    <w:p w14:paraId="227386DC" w14:textId="77777777" w:rsidR="0004000C" w:rsidRPr="00216B78" w:rsidRDefault="0004000C" w:rsidP="003C7D7C">
      <w:pPr>
        <w:rPr>
          <w:i/>
        </w:rPr>
      </w:pPr>
    </w:p>
    <w:p w14:paraId="45097652" w14:textId="77777777" w:rsidR="003C7D7C" w:rsidRPr="00216B78" w:rsidRDefault="003C7D7C" w:rsidP="003C7D7C">
      <w:pPr>
        <w:rPr>
          <w:i/>
        </w:rPr>
      </w:pPr>
    </w:p>
    <w:p w14:paraId="170CFDCF" w14:textId="77777777" w:rsidR="0004000C" w:rsidRPr="00216B78" w:rsidRDefault="0004000C" w:rsidP="003C7D7C">
      <w:pPr>
        <w:pBdr>
          <w:top w:val="single" w:sz="4" w:space="1" w:color="auto"/>
          <w:left w:val="single" w:sz="4" w:space="4" w:color="auto"/>
          <w:bottom w:val="single" w:sz="4" w:space="1" w:color="auto"/>
          <w:right w:val="single" w:sz="4" w:space="4" w:color="auto"/>
        </w:pBdr>
        <w:outlineLvl w:val="0"/>
        <w:rPr>
          <w:noProof/>
        </w:rPr>
      </w:pPr>
      <w:r w:rsidRPr="00216B78">
        <w:rPr>
          <w:b/>
          <w:bCs/>
          <w:noProof/>
        </w:rPr>
        <w:t>17.</w:t>
      </w:r>
      <w:r w:rsidRPr="00216B78">
        <w:rPr>
          <w:b/>
          <w:bCs/>
          <w:noProof/>
        </w:rPr>
        <w:tab/>
        <w:t>UNIKALUS IDENTIFIKATORIUS – 2D BRŪKŠNINIS KODAS</w:t>
      </w:r>
    </w:p>
    <w:p w14:paraId="6871B5C1" w14:textId="77777777" w:rsidR="0004000C" w:rsidRPr="00216B78" w:rsidRDefault="0004000C" w:rsidP="003C7D7C">
      <w:pPr>
        <w:rPr>
          <w:noProof/>
        </w:rPr>
      </w:pPr>
    </w:p>
    <w:p w14:paraId="6D5698DC" w14:textId="77777777" w:rsidR="0004000C" w:rsidRPr="00216B78" w:rsidRDefault="0004000C" w:rsidP="003C7D7C">
      <w:pPr>
        <w:rPr>
          <w:noProof/>
        </w:rPr>
      </w:pPr>
      <w:r w:rsidRPr="00216B78">
        <w:rPr>
          <w:noProof/>
          <w:highlight w:val="lightGray"/>
        </w:rPr>
        <w:t>2D brūkšninis kodas su nurodytu unikaliu identifikatoriumi.</w:t>
      </w:r>
    </w:p>
    <w:p w14:paraId="2E331168" w14:textId="77777777" w:rsidR="0004000C" w:rsidRPr="00216B78" w:rsidRDefault="0004000C" w:rsidP="003C7D7C">
      <w:pPr>
        <w:rPr>
          <w:noProof/>
        </w:rPr>
      </w:pPr>
    </w:p>
    <w:p w14:paraId="782F8264" w14:textId="77777777" w:rsidR="003C7D7C" w:rsidRPr="00216B78" w:rsidRDefault="003C7D7C" w:rsidP="003C7D7C">
      <w:pPr>
        <w:rPr>
          <w:noProof/>
        </w:rPr>
      </w:pPr>
    </w:p>
    <w:p w14:paraId="51AA3EB2" w14:textId="77777777" w:rsidR="0004000C" w:rsidRPr="00216B78" w:rsidRDefault="0004000C" w:rsidP="003C7D7C">
      <w:pPr>
        <w:pBdr>
          <w:top w:val="single" w:sz="4" w:space="1" w:color="auto"/>
          <w:left w:val="single" w:sz="4" w:space="4" w:color="auto"/>
          <w:bottom w:val="single" w:sz="4" w:space="1" w:color="auto"/>
          <w:right w:val="single" w:sz="4" w:space="4" w:color="auto"/>
        </w:pBdr>
        <w:outlineLvl w:val="0"/>
        <w:rPr>
          <w:noProof/>
        </w:rPr>
      </w:pPr>
      <w:r w:rsidRPr="00216B78">
        <w:rPr>
          <w:b/>
          <w:bCs/>
          <w:noProof/>
        </w:rPr>
        <w:t>18.</w:t>
      </w:r>
      <w:r w:rsidRPr="00216B78">
        <w:rPr>
          <w:b/>
          <w:bCs/>
          <w:noProof/>
        </w:rPr>
        <w:tab/>
        <w:t>UNIKALUS IDENTIFIKATORIUS – ŽMONĖMS SUPRANTAMI DUOMENYS</w:t>
      </w:r>
    </w:p>
    <w:p w14:paraId="0B3422FC" w14:textId="77777777" w:rsidR="0004000C" w:rsidRPr="00216B78" w:rsidRDefault="0004000C" w:rsidP="003C7D7C">
      <w:pPr>
        <w:rPr>
          <w:noProof/>
        </w:rPr>
      </w:pPr>
    </w:p>
    <w:p w14:paraId="6A2EDBBC" w14:textId="77777777" w:rsidR="0004000C" w:rsidRPr="00216B78" w:rsidRDefault="0004000C" w:rsidP="003C7D7C">
      <w:r w:rsidRPr="00216B78">
        <w:t>PC:</w:t>
      </w:r>
    </w:p>
    <w:p w14:paraId="22B0B25C" w14:textId="77777777" w:rsidR="0004000C" w:rsidRPr="00216B78" w:rsidRDefault="0004000C" w:rsidP="003C7D7C">
      <w:r w:rsidRPr="00216B78">
        <w:t>SN:</w:t>
      </w:r>
    </w:p>
    <w:p w14:paraId="6FB73EF2" w14:textId="77777777" w:rsidR="00967B3B" w:rsidRPr="00216B78" w:rsidRDefault="0004000C" w:rsidP="003C7D7C">
      <w:pPr>
        <w:tabs>
          <w:tab w:val="left" w:pos="567"/>
        </w:tabs>
        <w:rPr>
          <w:rFonts w:eastAsia="Times New Roman"/>
        </w:rPr>
      </w:pPr>
      <w:r w:rsidRPr="00216B78">
        <w:rPr>
          <w:highlight w:val="lightGray"/>
        </w:rPr>
        <w:t>NN:</w:t>
      </w:r>
    </w:p>
    <w:p w14:paraId="63F6CDB6" w14:textId="77777777" w:rsidR="00967B3B" w:rsidRPr="00216B78" w:rsidRDefault="00967B3B" w:rsidP="003C7D7C">
      <w:pPr>
        <w:tabs>
          <w:tab w:val="left" w:pos="567"/>
        </w:tabs>
        <w:rPr>
          <w:rFonts w:eastAsia="Times New Roman"/>
        </w:rPr>
      </w:pPr>
      <w:r w:rsidRPr="00216B78">
        <w:rPr>
          <w:rFonts w:eastAsia="Times New Roman"/>
        </w:rPr>
        <w:br w:type="page"/>
      </w:r>
    </w:p>
    <w:p w14:paraId="0E3EAC71" w14:textId="77777777" w:rsidR="00967B3B" w:rsidRPr="00216B78" w:rsidRDefault="00967B3B" w:rsidP="003C7D7C">
      <w:pPr>
        <w:pBdr>
          <w:top w:val="single" w:sz="4" w:space="1" w:color="auto"/>
          <w:left w:val="single" w:sz="4" w:space="4" w:color="auto"/>
          <w:bottom w:val="single" w:sz="4" w:space="1" w:color="auto"/>
          <w:right w:val="single" w:sz="4" w:space="4" w:color="auto"/>
        </w:pBdr>
        <w:rPr>
          <w:b/>
          <w:bCs/>
          <w:noProof/>
        </w:rPr>
      </w:pPr>
      <w:r w:rsidRPr="00216B78">
        <w:rPr>
          <w:b/>
          <w:bCs/>
          <w:noProof/>
        </w:rPr>
        <w:lastRenderedPageBreak/>
        <w:t>INFORMACIJA ANT VIDINĖS PAKUOTĖS</w:t>
      </w:r>
    </w:p>
    <w:p w14:paraId="156A1F0E" w14:textId="77777777" w:rsidR="008A181E" w:rsidRPr="00216B78" w:rsidRDefault="008A181E" w:rsidP="003C7D7C">
      <w:pPr>
        <w:pBdr>
          <w:top w:val="single" w:sz="4" w:space="1" w:color="auto"/>
          <w:left w:val="single" w:sz="4" w:space="4" w:color="auto"/>
          <w:bottom w:val="single" w:sz="4" w:space="1" w:color="auto"/>
          <w:right w:val="single" w:sz="4" w:space="4" w:color="auto"/>
        </w:pBdr>
        <w:rPr>
          <w:b/>
          <w:noProof/>
        </w:rPr>
      </w:pPr>
    </w:p>
    <w:p w14:paraId="233611D0" w14:textId="77777777" w:rsidR="00967B3B" w:rsidRPr="00216B78" w:rsidRDefault="00967B3B" w:rsidP="003C7D7C">
      <w:pPr>
        <w:pBdr>
          <w:top w:val="single" w:sz="4" w:space="1" w:color="auto"/>
          <w:left w:val="single" w:sz="4" w:space="4" w:color="auto"/>
          <w:bottom w:val="single" w:sz="4" w:space="1" w:color="auto"/>
          <w:right w:val="single" w:sz="4" w:space="4" w:color="auto"/>
        </w:pBdr>
        <w:rPr>
          <w:b/>
          <w:noProof/>
        </w:rPr>
      </w:pPr>
      <w:r w:rsidRPr="00216B78">
        <w:rPr>
          <w:b/>
          <w:bCs/>
          <w:noProof/>
        </w:rPr>
        <w:t>MILTELIŲ BUTELIUK</w:t>
      </w:r>
      <w:r w:rsidR="008F39E6" w:rsidRPr="00216B78">
        <w:rPr>
          <w:b/>
          <w:bCs/>
          <w:noProof/>
        </w:rPr>
        <w:t>O ETIKETĖ</w:t>
      </w:r>
    </w:p>
    <w:p w14:paraId="6C56151A" w14:textId="77777777" w:rsidR="00967B3B" w:rsidRPr="00216B78" w:rsidRDefault="00967B3B" w:rsidP="003C7D7C">
      <w:pPr>
        <w:rPr>
          <w:noProof/>
        </w:rPr>
      </w:pPr>
    </w:p>
    <w:p w14:paraId="3D747DA8" w14:textId="77777777" w:rsidR="00967B3B" w:rsidRPr="00216B78" w:rsidRDefault="00967B3B" w:rsidP="003C7D7C">
      <w:pPr>
        <w:rPr>
          <w:noProof/>
        </w:rPr>
      </w:pPr>
    </w:p>
    <w:p w14:paraId="39056F92" w14:textId="77777777" w:rsidR="00967B3B" w:rsidRPr="00216B78" w:rsidRDefault="00967B3B" w:rsidP="003C7D7C">
      <w:pPr>
        <w:pBdr>
          <w:top w:val="single" w:sz="4" w:space="1" w:color="auto"/>
          <w:left w:val="single" w:sz="4" w:space="4" w:color="auto"/>
          <w:bottom w:val="single" w:sz="4" w:space="1" w:color="auto"/>
          <w:right w:val="single" w:sz="4" w:space="4" w:color="auto"/>
        </w:pBdr>
        <w:ind w:left="567" w:hanging="567"/>
        <w:outlineLvl w:val="0"/>
        <w:rPr>
          <w:noProof/>
        </w:rPr>
      </w:pPr>
      <w:r w:rsidRPr="00216B78">
        <w:rPr>
          <w:b/>
          <w:bCs/>
          <w:noProof/>
        </w:rPr>
        <w:t>1.</w:t>
      </w:r>
      <w:r w:rsidRPr="00216B78">
        <w:rPr>
          <w:b/>
          <w:bCs/>
          <w:noProof/>
        </w:rPr>
        <w:tab/>
        <w:t>VAISTINIO PREPARATO PAVADINIMAS</w:t>
      </w:r>
    </w:p>
    <w:p w14:paraId="20961034" w14:textId="77777777" w:rsidR="00967B3B" w:rsidRPr="00216B78" w:rsidRDefault="00967B3B" w:rsidP="003C7D7C"/>
    <w:p w14:paraId="37F85E67" w14:textId="77777777" w:rsidR="00967B3B" w:rsidRPr="00216B78" w:rsidRDefault="008F18DA" w:rsidP="003C7D7C">
      <w:r w:rsidRPr="00216B78">
        <w:t xml:space="preserve">fibryga </w:t>
      </w:r>
      <w:r w:rsidR="00967B3B" w:rsidRPr="00216B78">
        <w:t>1 g</w:t>
      </w:r>
      <w:r w:rsidR="009E2E7C" w:rsidRPr="00216B78">
        <w:t xml:space="preserve"> m</w:t>
      </w:r>
      <w:r w:rsidR="00967B3B" w:rsidRPr="00216B78">
        <w:t>ilteliai injekciniam ar infuziniam tirpalui</w:t>
      </w:r>
    </w:p>
    <w:p w14:paraId="4E4A6225" w14:textId="77777777" w:rsidR="00967B3B" w:rsidRPr="00216B78" w:rsidRDefault="00967B3B" w:rsidP="003C7D7C">
      <w:r w:rsidRPr="00216B78">
        <w:t>Žmogaus fibrinogenas</w:t>
      </w:r>
    </w:p>
    <w:p w14:paraId="16A3FF49" w14:textId="77777777" w:rsidR="00967B3B" w:rsidRPr="00216B78" w:rsidRDefault="00967B3B" w:rsidP="003C7D7C"/>
    <w:p w14:paraId="2C853ED4" w14:textId="77777777" w:rsidR="00967B3B" w:rsidRPr="00216B78" w:rsidRDefault="00967B3B" w:rsidP="003C7D7C"/>
    <w:p w14:paraId="0EC82469" w14:textId="77777777" w:rsidR="00967B3B" w:rsidRPr="00216B78" w:rsidRDefault="00967B3B" w:rsidP="003C7D7C">
      <w:pPr>
        <w:pBdr>
          <w:top w:val="single" w:sz="4" w:space="1" w:color="auto"/>
          <w:left w:val="single" w:sz="4" w:space="4" w:color="auto"/>
          <w:bottom w:val="single" w:sz="4" w:space="1" w:color="auto"/>
          <w:right w:val="single" w:sz="4" w:space="4" w:color="auto"/>
        </w:pBdr>
        <w:ind w:left="567" w:hanging="567"/>
        <w:outlineLvl w:val="0"/>
        <w:rPr>
          <w:b/>
          <w:noProof/>
        </w:rPr>
      </w:pPr>
      <w:r w:rsidRPr="00216B78">
        <w:rPr>
          <w:b/>
          <w:bCs/>
          <w:noProof/>
        </w:rPr>
        <w:t>2.</w:t>
      </w:r>
      <w:r w:rsidRPr="00216B78">
        <w:rPr>
          <w:b/>
          <w:bCs/>
          <w:noProof/>
        </w:rPr>
        <w:tab/>
        <w:t>VEIKLIOJI (-IOS) MEDŽIAGA (-OS) IR JOS (-Ų) KIEKIS (-IAI)</w:t>
      </w:r>
    </w:p>
    <w:p w14:paraId="2F297802" w14:textId="77777777" w:rsidR="00967B3B" w:rsidRPr="00216B78" w:rsidRDefault="00967B3B" w:rsidP="003C7D7C"/>
    <w:p w14:paraId="64EDB07A" w14:textId="77777777" w:rsidR="00967B3B" w:rsidRPr="00216B78" w:rsidRDefault="00967B3B" w:rsidP="003C7D7C">
      <w:r w:rsidRPr="00216B78">
        <w:t>1 buteliukas: 1 g žmogaus fibrinogeno</w:t>
      </w:r>
    </w:p>
    <w:p w14:paraId="0D982AAA" w14:textId="77777777" w:rsidR="00967B3B" w:rsidRPr="00216B78" w:rsidRDefault="00967B3B" w:rsidP="003C7D7C">
      <w:r w:rsidRPr="00216B78">
        <w:t>Paruoštame tirpale yra maždaug 20 mg/ml žmogaus fibrinogeno.</w:t>
      </w:r>
    </w:p>
    <w:p w14:paraId="21A97647" w14:textId="77777777" w:rsidR="00967B3B" w:rsidRPr="00216B78" w:rsidRDefault="00967B3B" w:rsidP="003C7D7C"/>
    <w:p w14:paraId="7D2B564F" w14:textId="77777777" w:rsidR="00967B3B" w:rsidRPr="00216B78" w:rsidRDefault="00967B3B" w:rsidP="003C7D7C"/>
    <w:p w14:paraId="029B10B6" w14:textId="77777777" w:rsidR="00967B3B" w:rsidRPr="00216B78" w:rsidRDefault="00967B3B" w:rsidP="003C7D7C">
      <w:pPr>
        <w:pBdr>
          <w:top w:val="single" w:sz="4" w:space="1" w:color="auto"/>
          <w:left w:val="single" w:sz="4" w:space="4" w:color="auto"/>
          <w:bottom w:val="single" w:sz="4" w:space="1" w:color="auto"/>
          <w:right w:val="single" w:sz="4" w:space="4" w:color="auto"/>
        </w:pBdr>
        <w:ind w:left="567" w:hanging="567"/>
        <w:outlineLvl w:val="0"/>
        <w:rPr>
          <w:noProof/>
        </w:rPr>
      </w:pPr>
      <w:r w:rsidRPr="00216B78">
        <w:rPr>
          <w:b/>
          <w:bCs/>
          <w:noProof/>
        </w:rPr>
        <w:t>3.</w:t>
      </w:r>
      <w:r w:rsidRPr="00216B78">
        <w:rPr>
          <w:b/>
          <w:bCs/>
          <w:noProof/>
        </w:rPr>
        <w:tab/>
        <w:t>PAGALBINIŲ MEDŽIAGŲ SĄRAŠAS</w:t>
      </w:r>
    </w:p>
    <w:p w14:paraId="11DCBAE9" w14:textId="77777777" w:rsidR="00967B3B" w:rsidRPr="00216B78" w:rsidRDefault="00967B3B" w:rsidP="003C7D7C">
      <w:pPr>
        <w:rPr>
          <w:noProof/>
        </w:rPr>
      </w:pPr>
    </w:p>
    <w:p w14:paraId="5BFB373D" w14:textId="77777777" w:rsidR="00967B3B" w:rsidRPr="00216B78" w:rsidRDefault="00967B3B" w:rsidP="003C7D7C">
      <w:r w:rsidRPr="00216B78">
        <w:t>Pagalbinės medžiagos:</w:t>
      </w:r>
    </w:p>
    <w:p w14:paraId="4F8311A6" w14:textId="77777777" w:rsidR="00967B3B" w:rsidRPr="00216B78" w:rsidRDefault="00967B3B" w:rsidP="003C7D7C">
      <w:r w:rsidRPr="00216B78">
        <w:t>L</w:t>
      </w:r>
      <w:r w:rsidRPr="00216B78">
        <w:noBreakHyphen/>
        <w:t>arginino hidrochloridas, glicinas, natrio chloridas, natrio citrat</w:t>
      </w:r>
      <w:r w:rsidR="0051346E" w:rsidRPr="00216B78">
        <w:t>as</w:t>
      </w:r>
      <w:r w:rsidRPr="00216B78">
        <w:t xml:space="preserve"> dihidratas</w:t>
      </w:r>
    </w:p>
    <w:p w14:paraId="7248FC1F" w14:textId="77777777" w:rsidR="00967B3B" w:rsidRPr="00216B78" w:rsidRDefault="00967B3B" w:rsidP="003C7D7C">
      <w:pPr>
        <w:rPr>
          <w:noProof/>
          <w:highlight w:val="yellow"/>
        </w:rPr>
      </w:pPr>
    </w:p>
    <w:p w14:paraId="74FD23E6" w14:textId="77777777" w:rsidR="009E2E7C" w:rsidRPr="00216B78" w:rsidRDefault="009E2E7C" w:rsidP="003C7D7C">
      <w:pPr>
        <w:rPr>
          <w:noProof/>
          <w:highlight w:val="yellow"/>
        </w:rPr>
      </w:pPr>
    </w:p>
    <w:p w14:paraId="2E572B76" w14:textId="77777777" w:rsidR="00967B3B" w:rsidRPr="00216B78" w:rsidRDefault="00967B3B" w:rsidP="003C7D7C">
      <w:pPr>
        <w:pBdr>
          <w:top w:val="single" w:sz="4" w:space="1" w:color="auto"/>
          <w:left w:val="single" w:sz="4" w:space="4" w:color="auto"/>
          <w:bottom w:val="single" w:sz="4" w:space="1" w:color="auto"/>
          <w:right w:val="single" w:sz="4" w:space="4" w:color="auto"/>
        </w:pBdr>
        <w:ind w:left="567" w:hanging="567"/>
        <w:outlineLvl w:val="0"/>
        <w:rPr>
          <w:noProof/>
        </w:rPr>
      </w:pPr>
      <w:r w:rsidRPr="00216B78">
        <w:rPr>
          <w:b/>
          <w:bCs/>
          <w:noProof/>
        </w:rPr>
        <w:t>4.</w:t>
      </w:r>
      <w:r w:rsidRPr="00216B78">
        <w:rPr>
          <w:b/>
          <w:bCs/>
          <w:noProof/>
        </w:rPr>
        <w:tab/>
        <w:t>FARMACINĖ FORMA IR KIEKIS PAKUOTĖJE</w:t>
      </w:r>
    </w:p>
    <w:p w14:paraId="612B1FE9" w14:textId="77777777" w:rsidR="00967B3B" w:rsidRPr="00216B78" w:rsidRDefault="00967B3B" w:rsidP="003C7D7C">
      <w:pPr>
        <w:rPr>
          <w:noProof/>
        </w:rPr>
      </w:pPr>
    </w:p>
    <w:p w14:paraId="4E7429E0" w14:textId="77777777" w:rsidR="00967B3B" w:rsidRPr="00216B78" w:rsidRDefault="00967B3B" w:rsidP="003C7D7C">
      <w:r w:rsidRPr="00216B78">
        <w:rPr>
          <w:highlight w:val="lightGray"/>
        </w:rPr>
        <w:t>Milteliai injekciniam ar infuziniam tirpalui.</w:t>
      </w:r>
    </w:p>
    <w:p w14:paraId="5977565B" w14:textId="77777777" w:rsidR="007718AC" w:rsidRPr="00216B78" w:rsidRDefault="007718AC" w:rsidP="003C7D7C"/>
    <w:p w14:paraId="5238D50C" w14:textId="77777777" w:rsidR="00967B3B" w:rsidRPr="00216B78" w:rsidRDefault="00967B3B" w:rsidP="003C7D7C">
      <w:pPr>
        <w:pStyle w:val="Text"/>
        <w:spacing w:before="0" w:after="0"/>
        <w:rPr>
          <w:sz w:val="22"/>
          <w:szCs w:val="22"/>
          <w:shd w:val="clear" w:color="auto" w:fill="BFBFBF"/>
          <w:lang w:val="lt-LT"/>
        </w:rPr>
      </w:pPr>
    </w:p>
    <w:p w14:paraId="69520E17" w14:textId="77777777" w:rsidR="00967B3B" w:rsidRPr="00216B78" w:rsidRDefault="00967B3B" w:rsidP="003C7D7C">
      <w:pPr>
        <w:pBdr>
          <w:top w:val="single" w:sz="4" w:space="1" w:color="auto"/>
          <w:left w:val="single" w:sz="4" w:space="4" w:color="auto"/>
          <w:bottom w:val="single" w:sz="4" w:space="1" w:color="auto"/>
          <w:right w:val="single" w:sz="4" w:space="4" w:color="auto"/>
        </w:pBdr>
        <w:ind w:left="567" w:hanging="567"/>
        <w:outlineLvl w:val="0"/>
        <w:rPr>
          <w:noProof/>
        </w:rPr>
      </w:pPr>
      <w:r w:rsidRPr="00216B78">
        <w:rPr>
          <w:b/>
          <w:bCs/>
          <w:noProof/>
        </w:rPr>
        <w:t>5.</w:t>
      </w:r>
      <w:r w:rsidRPr="00216B78">
        <w:rPr>
          <w:b/>
          <w:bCs/>
          <w:noProof/>
        </w:rPr>
        <w:tab/>
        <w:t>VARTOJIMO METODAS IR BŪDAS (-AI)</w:t>
      </w:r>
    </w:p>
    <w:p w14:paraId="0BF3754E" w14:textId="77777777" w:rsidR="00967B3B" w:rsidRPr="00216B78" w:rsidRDefault="00967B3B" w:rsidP="003C7D7C">
      <w:pPr>
        <w:rPr>
          <w:i/>
          <w:noProof/>
        </w:rPr>
      </w:pPr>
    </w:p>
    <w:p w14:paraId="15E7E8DC" w14:textId="77777777" w:rsidR="00967B3B" w:rsidRPr="00216B78" w:rsidRDefault="00967B3B" w:rsidP="003C7D7C">
      <w:pPr>
        <w:rPr>
          <w:noProof/>
        </w:rPr>
      </w:pPr>
      <w:r w:rsidRPr="00216B78">
        <w:rPr>
          <w:noProof/>
        </w:rPr>
        <w:t>Prieš vartojimą perskaitykite pakuotės lapelį.</w:t>
      </w:r>
    </w:p>
    <w:p w14:paraId="7CDD0A3F" w14:textId="77777777" w:rsidR="00967B3B" w:rsidRPr="00216B78" w:rsidRDefault="00BF0DE5" w:rsidP="003C7D7C">
      <w:pPr>
        <w:rPr>
          <w:noProof/>
        </w:rPr>
      </w:pPr>
      <w:r w:rsidRPr="00216B78">
        <w:rPr>
          <w:noProof/>
        </w:rPr>
        <w:t>L</w:t>
      </w:r>
      <w:r w:rsidR="00967B3B" w:rsidRPr="00216B78">
        <w:rPr>
          <w:noProof/>
        </w:rPr>
        <w:t xml:space="preserve">eisti į veną </w:t>
      </w:r>
      <w:r w:rsidRPr="00216B78">
        <w:rPr>
          <w:noProof/>
        </w:rPr>
        <w:t>paruošus su</w:t>
      </w:r>
      <w:r w:rsidR="00967B3B" w:rsidRPr="00216B78">
        <w:rPr>
          <w:noProof/>
        </w:rPr>
        <w:t xml:space="preserve"> pateiktu tirpikliu (50 ml injekcinio vandens).</w:t>
      </w:r>
    </w:p>
    <w:p w14:paraId="46DF1A48" w14:textId="77777777" w:rsidR="00967B3B" w:rsidRPr="00216B78" w:rsidRDefault="00967B3B" w:rsidP="003C7D7C">
      <w:pPr>
        <w:rPr>
          <w:noProof/>
          <w:highlight w:val="yellow"/>
        </w:rPr>
      </w:pPr>
    </w:p>
    <w:p w14:paraId="78001EAF" w14:textId="77777777" w:rsidR="00967B3B" w:rsidRPr="00216B78" w:rsidRDefault="00967B3B" w:rsidP="003C7D7C">
      <w:pPr>
        <w:rPr>
          <w:noProof/>
          <w:highlight w:val="yellow"/>
        </w:rPr>
      </w:pPr>
    </w:p>
    <w:p w14:paraId="37A61A4F" w14:textId="77777777" w:rsidR="00967B3B" w:rsidRPr="00216B78" w:rsidRDefault="00967B3B" w:rsidP="003C7D7C">
      <w:pPr>
        <w:pBdr>
          <w:top w:val="single" w:sz="4" w:space="1" w:color="auto"/>
          <w:left w:val="single" w:sz="4" w:space="4" w:color="auto"/>
          <w:bottom w:val="single" w:sz="4" w:space="1" w:color="auto"/>
          <w:right w:val="single" w:sz="4" w:space="4" w:color="auto"/>
        </w:pBdr>
        <w:ind w:left="567" w:hanging="567"/>
        <w:outlineLvl w:val="0"/>
        <w:rPr>
          <w:noProof/>
        </w:rPr>
      </w:pPr>
      <w:r w:rsidRPr="00216B78">
        <w:rPr>
          <w:b/>
          <w:bCs/>
          <w:noProof/>
        </w:rPr>
        <w:t>6.</w:t>
      </w:r>
      <w:r w:rsidRPr="00216B78">
        <w:rPr>
          <w:b/>
          <w:bCs/>
          <w:noProof/>
        </w:rPr>
        <w:tab/>
        <w:t>SPECIALUS ĮSPĖJIMAS, KAD VAISTINĮ PREPARATĄ BŪTINA LAIKYTI VAIKAMS NEPASTEBIMOJE IR NEPASIEKIAMOJE VIETOJE</w:t>
      </w:r>
    </w:p>
    <w:p w14:paraId="7A4C108D" w14:textId="77777777" w:rsidR="00967B3B" w:rsidRPr="00216B78" w:rsidRDefault="00967B3B" w:rsidP="003C7D7C">
      <w:pPr>
        <w:rPr>
          <w:noProof/>
          <w:highlight w:val="yellow"/>
        </w:rPr>
      </w:pPr>
    </w:p>
    <w:p w14:paraId="5323F8D8" w14:textId="77777777" w:rsidR="00967B3B" w:rsidRPr="00216B78" w:rsidRDefault="00967B3B" w:rsidP="003C7D7C">
      <w:pPr>
        <w:rPr>
          <w:noProof/>
        </w:rPr>
      </w:pPr>
      <w:r w:rsidRPr="00216B78">
        <w:rPr>
          <w:noProof/>
        </w:rPr>
        <w:t>Laikyti vaikams nepastebimoje ir nepasiekiamoje vietoje.</w:t>
      </w:r>
    </w:p>
    <w:p w14:paraId="260E479E" w14:textId="77777777" w:rsidR="00967B3B" w:rsidRPr="00216B78" w:rsidRDefault="00967B3B" w:rsidP="003C7D7C">
      <w:pPr>
        <w:rPr>
          <w:noProof/>
          <w:highlight w:val="yellow"/>
        </w:rPr>
      </w:pPr>
    </w:p>
    <w:p w14:paraId="0CDE4760" w14:textId="77777777" w:rsidR="00967B3B" w:rsidRPr="00216B78" w:rsidRDefault="00967B3B" w:rsidP="003C7D7C">
      <w:pPr>
        <w:rPr>
          <w:noProof/>
          <w:highlight w:val="yellow"/>
        </w:rPr>
      </w:pPr>
    </w:p>
    <w:p w14:paraId="4664F296" w14:textId="77777777" w:rsidR="00967B3B" w:rsidRPr="00216B78" w:rsidRDefault="00967B3B" w:rsidP="003C7D7C">
      <w:pPr>
        <w:pBdr>
          <w:top w:val="single" w:sz="4" w:space="1" w:color="auto"/>
          <w:left w:val="single" w:sz="4" w:space="4" w:color="auto"/>
          <w:bottom w:val="single" w:sz="4" w:space="1" w:color="auto"/>
          <w:right w:val="single" w:sz="4" w:space="4" w:color="auto"/>
        </w:pBdr>
        <w:ind w:left="567" w:hanging="567"/>
        <w:outlineLvl w:val="0"/>
        <w:rPr>
          <w:noProof/>
        </w:rPr>
      </w:pPr>
      <w:r w:rsidRPr="00216B78">
        <w:rPr>
          <w:b/>
          <w:bCs/>
          <w:noProof/>
        </w:rPr>
        <w:t>7.</w:t>
      </w:r>
      <w:r w:rsidRPr="00216B78">
        <w:rPr>
          <w:b/>
          <w:bCs/>
          <w:noProof/>
        </w:rPr>
        <w:tab/>
        <w:t>KITAS (-I) SPECIALUS (-ŪS) ĮSPĖJIMAS (-AI) (JEI REIKIA)</w:t>
      </w:r>
    </w:p>
    <w:p w14:paraId="29BB2DA0" w14:textId="77777777" w:rsidR="00967B3B" w:rsidRPr="00216B78" w:rsidRDefault="00967B3B" w:rsidP="003C7D7C">
      <w:pPr>
        <w:rPr>
          <w:noProof/>
        </w:rPr>
      </w:pPr>
    </w:p>
    <w:p w14:paraId="0CD21165" w14:textId="77777777" w:rsidR="00967B3B" w:rsidRPr="00216B78" w:rsidRDefault="00967B3B" w:rsidP="003C7D7C">
      <w:pPr>
        <w:rPr>
          <w:noProof/>
        </w:rPr>
      </w:pPr>
    </w:p>
    <w:p w14:paraId="71F200FE" w14:textId="77777777" w:rsidR="00967B3B" w:rsidRPr="00216B78" w:rsidRDefault="00967B3B" w:rsidP="003C7D7C">
      <w:pPr>
        <w:pBdr>
          <w:top w:val="single" w:sz="4" w:space="1" w:color="auto"/>
          <w:left w:val="single" w:sz="4" w:space="4" w:color="auto"/>
          <w:bottom w:val="single" w:sz="4" w:space="1" w:color="auto"/>
          <w:right w:val="single" w:sz="4" w:space="4" w:color="auto"/>
        </w:pBdr>
        <w:ind w:left="567" w:hanging="567"/>
        <w:outlineLvl w:val="0"/>
        <w:rPr>
          <w:noProof/>
        </w:rPr>
      </w:pPr>
      <w:r w:rsidRPr="00216B78">
        <w:rPr>
          <w:b/>
          <w:bCs/>
          <w:noProof/>
        </w:rPr>
        <w:t>8.</w:t>
      </w:r>
      <w:r w:rsidRPr="00216B78">
        <w:rPr>
          <w:b/>
          <w:bCs/>
          <w:noProof/>
        </w:rPr>
        <w:tab/>
        <w:t>TINKAMUMO LAIKAS</w:t>
      </w:r>
    </w:p>
    <w:p w14:paraId="6C1CFE0B" w14:textId="77777777" w:rsidR="00967B3B" w:rsidRPr="00216B78" w:rsidRDefault="00967B3B" w:rsidP="003C7D7C">
      <w:pPr>
        <w:rPr>
          <w:i/>
          <w:noProof/>
        </w:rPr>
      </w:pPr>
    </w:p>
    <w:p w14:paraId="2F4AC9E2" w14:textId="77777777" w:rsidR="00967B3B" w:rsidRPr="00216B78" w:rsidRDefault="00967B3B" w:rsidP="003C7D7C">
      <w:pPr>
        <w:rPr>
          <w:noProof/>
        </w:rPr>
      </w:pPr>
      <w:r w:rsidRPr="00216B78">
        <w:rPr>
          <w:noProof/>
        </w:rPr>
        <w:t>Tinka iki:</w:t>
      </w:r>
      <w:r w:rsidR="008F18DA" w:rsidRPr="00216B78">
        <w:rPr>
          <w:noProof/>
        </w:rPr>
        <w:t xml:space="preserve"> </w:t>
      </w:r>
      <w:r w:rsidR="008F18DA" w:rsidRPr="00216B78">
        <w:t>mm/MMMM</w:t>
      </w:r>
    </w:p>
    <w:p w14:paraId="632FAD81" w14:textId="77777777" w:rsidR="00967B3B" w:rsidRPr="00216B78" w:rsidRDefault="00967B3B" w:rsidP="003C7D7C">
      <w:pPr>
        <w:rPr>
          <w:noProof/>
          <w:highlight w:val="yellow"/>
        </w:rPr>
      </w:pPr>
    </w:p>
    <w:p w14:paraId="372015DD" w14:textId="77777777" w:rsidR="00967B3B" w:rsidRPr="00216B78" w:rsidRDefault="00967B3B" w:rsidP="003C7D7C">
      <w:pPr>
        <w:rPr>
          <w:noProof/>
          <w:highlight w:val="yellow"/>
        </w:rPr>
      </w:pPr>
    </w:p>
    <w:p w14:paraId="64F39D9E" w14:textId="77777777" w:rsidR="00967B3B" w:rsidRPr="00216B78" w:rsidRDefault="00967B3B" w:rsidP="003C7D7C">
      <w:pPr>
        <w:pBdr>
          <w:top w:val="single" w:sz="4" w:space="1" w:color="auto"/>
          <w:left w:val="single" w:sz="4" w:space="4" w:color="auto"/>
          <w:bottom w:val="single" w:sz="4" w:space="1" w:color="auto"/>
          <w:right w:val="single" w:sz="4" w:space="4" w:color="auto"/>
        </w:pBdr>
        <w:ind w:left="567" w:hanging="567"/>
        <w:outlineLvl w:val="0"/>
        <w:rPr>
          <w:noProof/>
        </w:rPr>
      </w:pPr>
      <w:r w:rsidRPr="00216B78">
        <w:rPr>
          <w:b/>
          <w:bCs/>
          <w:noProof/>
        </w:rPr>
        <w:t>9.</w:t>
      </w:r>
      <w:r w:rsidRPr="00216B78">
        <w:rPr>
          <w:b/>
          <w:bCs/>
          <w:noProof/>
        </w:rPr>
        <w:tab/>
        <w:t>SPECIALIOS LAIKYMO SĄLYGOS</w:t>
      </w:r>
    </w:p>
    <w:p w14:paraId="70F2AA89" w14:textId="77777777" w:rsidR="00967B3B" w:rsidRPr="00216B78" w:rsidRDefault="00967B3B" w:rsidP="003C7D7C">
      <w:pPr>
        <w:rPr>
          <w:i/>
          <w:noProof/>
        </w:rPr>
      </w:pPr>
    </w:p>
    <w:p w14:paraId="28853871" w14:textId="77777777" w:rsidR="00967B3B" w:rsidRPr="00216B78" w:rsidRDefault="00967B3B" w:rsidP="003C7D7C">
      <w:pPr>
        <w:tabs>
          <w:tab w:val="left" w:pos="1766"/>
        </w:tabs>
        <w:rPr>
          <w:noProof/>
        </w:rPr>
      </w:pPr>
      <w:r w:rsidRPr="00216B78">
        <w:rPr>
          <w:noProof/>
        </w:rPr>
        <w:t>Laikyti ne aukštesnėje kaip 25 °C temperatūroje. Negalima užšaldyti!</w:t>
      </w:r>
    </w:p>
    <w:p w14:paraId="19D30578" w14:textId="77777777" w:rsidR="00967B3B" w:rsidRPr="00216B78" w:rsidRDefault="00967B3B" w:rsidP="003C7D7C">
      <w:pPr>
        <w:ind w:left="567" w:hanging="567"/>
      </w:pPr>
      <w:r w:rsidRPr="00216B78">
        <w:t>Buteliuką laikyti išorinėje dėžutėje, kad vaistas būtų apsaugotas nuo šviesos.</w:t>
      </w:r>
    </w:p>
    <w:p w14:paraId="4F858BD5" w14:textId="77777777" w:rsidR="00967B3B" w:rsidRPr="00216B78" w:rsidRDefault="00967B3B" w:rsidP="003C7D7C">
      <w:pPr>
        <w:ind w:left="567" w:hanging="567"/>
      </w:pPr>
      <w:r w:rsidRPr="00216B78">
        <w:t>Paruoštą tirpalą galima 24 valandas laikyti 25 °C temperatūroje.</w:t>
      </w:r>
    </w:p>
    <w:p w14:paraId="51524FE8" w14:textId="77777777" w:rsidR="00967B3B" w:rsidRPr="00216B78" w:rsidRDefault="00967B3B" w:rsidP="003C7D7C">
      <w:pPr>
        <w:ind w:left="567" w:hanging="567"/>
      </w:pPr>
    </w:p>
    <w:p w14:paraId="5DD055D7" w14:textId="77777777" w:rsidR="00967B3B" w:rsidRPr="00216B78" w:rsidRDefault="00967B3B" w:rsidP="003C7D7C">
      <w:pPr>
        <w:ind w:left="567" w:hanging="567"/>
      </w:pPr>
    </w:p>
    <w:p w14:paraId="1C79FBCA" w14:textId="77777777" w:rsidR="00967B3B" w:rsidRPr="00216B78" w:rsidRDefault="00967B3B" w:rsidP="003C7D7C">
      <w:pPr>
        <w:pBdr>
          <w:top w:val="single" w:sz="4" w:space="1" w:color="auto"/>
          <w:left w:val="single" w:sz="4" w:space="4" w:color="auto"/>
          <w:bottom w:val="single" w:sz="4" w:space="1" w:color="auto"/>
          <w:right w:val="single" w:sz="4" w:space="4" w:color="auto"/>
        </w:pBdr>
        <w:ind w:left="567" w:hanging="567"/>
        <w:outlineLvl w:val="0"/>
        <w:rPr>
          <w:b/>
          <w:noProof/>
          <w:highlight w:val="yellow"/>
        </w:rPr>
      </w:pPr>
      <w:r w:rsidRPr="00216B78">
        <w:rPr>
          <w:b/>
          <w:bCs/>
          <w:noProof/>
        </w:rPr>
        <w:lastRenderedPageBreak/>
        <w:t>10.</w:t>
      </w:r>
      <w:r w:rsidRPr="00216B78">
        <w:rPr>
          <w:b/>
          <w:bCs/>
          <w:noProof/>
        </w:rPr>
        <w:tab/>
        <w:t>SPECIALIOS ATSARGUMO PRIEMONĖS DĖL NESUVARTOTO VAISTINIO PREPARATO AR JO ATLIEKŲ TVARKYMO (JEI REIKIA)</w:t>
      </w:r>
    </w:p>
    <w:p w14:paraId="0EBD3054" w14:textId="77777777" w:rsidR="00967B3B" w:rsidRPr="00216B78" w:rsidRDefault="00967B3B" w:rsidP="003C7D7C"/>
    <w:p w14:paraId="0AF3C5FC" w14:textId="77777777" w:rsidR="00967B3B" w:rsidRPr="00216B78" w:rsidRDefault="00967B3B" w:rsidP="003C7D7C">
      <w:pPr>
        <w:rPr>
          <w:noProof/>
        </w:rPr>
      </w:pPr>
    </w:p>
    <w:p w14:paraId="44FF0241" w14:textId="77777777" w:rsidR="00967B3B" w:rsidRPr="00216B78" w:rsidRDefault="00967B3B" w:rsidP="003C7D7C">
      <w:pPr>
        <w:pBdr>
          <w:top w:val="single" w:sz="4" w:space="1" w:color="auto"/>
          <w:left w:val="single" w:sz="4" w:space="4" w:color="auto"/>
          <w:bottom w:val="single" w:sz="4" w:space="1" w:color="auto"/>
          <w:right w:val="single" w:sz="4" w:space="4" w:color="auto"/>
        </w:pBdr>
        <w:rPr>
          <w:b/>
          <w:noProof/>
        </w:rPr>
      </w:pPr>
      <w:r w:rsidRPr="00216B78">
        <w:rPr>
          <w:b/>
          <w:bCs/>
          <w:noProof/>
        </w:rPr>
        <w:t>11.</w:t>
      </w:r>
      <w:r w:rsidRPr="00216B78">
        <w:rPr>
          <w:b/>
          <w:bCs/>
          <w:noProof/>
        </w:rPr>
        <w:tab/>
        <w:t>REGISTRUOTOJO PAVADINIMAS IR ADRESAS</w:t>
      </w:r>
    </w:p>
    <w:p w14:paraId="060649D0" w14:textId="77777777" w:rsidR="00967B3B" w:rsidRPr="00216B78" w:rsidRDefault="00967B3B" w:rsidP="003C7D7C">
      <w:pPr>
        <w:rPr>
          <w:noProof/>
        </w:rPr>
      </w:pPr>
    </w:p>
    <w:p w14:paraId="3A4A6E01" w14:textId="77777777" w:rsidR="00967B3B" w:rsidRPr="00216B78" w:rsidRDefault="00967B3B" w:rsidP="003C7D7C">
      <w:pPr>
        <w:tabs>
          <w:tab w:val="left" w:pos="567"/>
        </w:tabs>
        <w:rPr>
          <w:rFonts w:eastAsia="Times New Roman"/>
        </w:rPr>
      </w:pPr>
      <w:r w:rsidRPr="00216B78">
        <w:rPr>
          <w:rFonts w:eastAsia="Times New Roman"/>
        </w:rPr>
        <w:t>Octapharma (IP) SPRL</w:t>
      </w:r>
    </w:p>
    <w:p w14:paraId="546AF41A" w14:textId="31881AD6" w:rsidR="00967B3B" w:rsidRPr="00216B78" w:rsidRDefault="0096724E" w:rsidP="003C7D7C">
      <w:pPr>
        <w:tabs>
          <w:tab w:val="left" w:pos="567"/>
        </w:tabs>
        <w:rPr>
          <w:rFonts w:eastAsia="Times New Roman"/>
        </w:rPr>
      </w:pPr>
      <w:r>
        <w:rPr>
          <w:rFonts w:eastAsia="Times New Roman"/>
        </w:rPr>
        <w:t>Route de Lennik 451</w:t>
      </w:r>
    </w:p>
    <w:p w14:paraId="26237E2F" w14:textId="665CFD3A" w:rsidR="00967B3B" w:rsidRPr="00216B78" w:rsidRDefault="00967B3B" w:rsidP="003C7D7C">
      <w:pPr>
        <w:tabs>
          <w:tab w:val="left" w:pos="567"/>
        </w:tabs>
        <w:rPr>
          <w:rFonts w:eastAsia="Times New Roman"/>
        </w:rPr>
      </w:pPr>
      <w:r w:rsidRPr="00216B78">
        <w:rPr>
          <w:rFonts w:eastAsia="Times New Roman"/>
        </w:rPr>
        <w:t>1070 Anderlecht</w:t>
      </w:r>
    </w:p>
    <w:p w14:paraId="3AACAAC4" w14:textId="77777777" w:rsidR="00967B3B" w:rsidRPr="00216B78" w:rsidRDefault="00967B3B" w:rsidP="003C7D7C">
      <w:pPr>
        <w:tabs>
          <w:tab w:val="left" w:pos="567"/>
        </w:tabs>
        <w:rPr>
          <w:rFonts w:eastAsia="Times New Roman"/>
        </w:rPr>
      </w:pPr>
      <w:r w:rsidRPr="00216B78">
        <w:rPr>
          <w:rFonts w:eastAsia="Times New Roman"/>
        </w:rPr>
        <w:t>Belgija</w:t>
      </w:r>
    </w:p>
    <w:p w14:paraId="0D1FE4F1" w14:textId="77777777" w:rsidR="00967B3B" w:rsidRPr="00216B78" w:rsidRDefault="00967B3B" w:rsidP="003C7D7C">
      <w:pPr>
        <w:tabs>
          <w:tab w:val="left" w:pos="567"/>
        </w:tabs>
        <w:rPr>
          <w:rFonts w:eastAsia="Times New Roman"/>
        </w:rPr>
      </w:pPr>
    </w:p>
    <w:p w14:paraId="1B9EACD2" w14:textId="77777777" w:rsidR="00967B3B" w:rsidRPr="00216B78" w:rsidRDefault="00967B3B" w:rsidP="003C7D7C">
      <w:pPr>
        <w:tabs>
          <w:tab w:val="left" w:pos="567"/>
        </w:tabs>
        <w:rPr>
          <w:rFonts w:eastAsia="Times New Roman"/>
        </w:rPr>
      </w:pPr>
    </w:p>
    <w:p w14:paraId="3158C1C4" w14:textId="77777777" w:rsidR="00967B3B" w:rsidRPr="00216B78" w:rsidRDefault="00967B3B" w:rsidP="003C7D7C">
      <w:pPr>
        <w:pBdr>
          <w:top w:val="single" w:sz="4" w:space="1" w:color="auto"/>
          <w:left w:val="single" w:sz="4" w:space="4" w:color="auto"/>
          <w:bottom w:val="single" w:sz="4" w:space="1" w:color="auto"/>
          <w:right w:val="single" w:sz="4" w:space="4" w:color="auto"/>
        </w:pBdr>
        <w:outlineLvl w:val="0"/>
        <w:rPr>
          <w:b/>
          <w:bCs/>
          <w:noProof/>
        </w:rPr>
      </w:pPr>
      <w:r w:rsidRPr="00216B78">
        <w:rPr>
          <w:b/>
          <w:bCs/>
          <w:noProof/>
        </w:rPr>
        <w:t>12.</w:t>
      </w:r>
      <w:r w:rsidRPr="00216B78">
        <w:rPr>
          <w:b/>
          <w:bCs/>
          <w:noProof/>
        </w:rPr>
        <w:tab/>
        <w:t>REGISTRACIJOS PAŽYMĖJIMO NUMERIS (-IAI)</w:t>
      </w:r>
    </w:p>
    <w:p w14:paraId="350E4F00" w14:textId="77777777" w:rsidR="00967B3B" w:rsidRPr="00216B78" w:rsidRDefault="00967B3B" w:rsidP="003C7D7C">
      <w:pPr>
        <w:rPr>
          <w:noProof/>
        </w:rPr>
      </w:pPr>
    </w:p>
    <w:p w14:paraId="00F981D4" w14:textId="77777777" w:rsidR="00967B3B" w:rsidRPr="00216B78" w:rsidRDefault="006303B5" w:rsidP="003C7D7C">
      <w:pPr>
        <w:outlineLvl w:val="0"/>
      </w:pPr>
      <w:r w:rsidRPr="00216B78">
        <w:t>LT/1/20/4597/001</w:t>
      </w:r>
    </w:p>
    <w:p w14:paraId="7EF658C9" w14:textId="77777777" w:rsidR="006303B5" w:rsidRPr="00216B78" w:rsidRDefault="006303B5" w:rsidP="003C7D7C">
      <w:pPr>
        <w:outlineLvl w:val="0"/>
        <w:rPr>
          <w:noProof/>
        </w:rPr>
      </w:pPr>
    </w:p>
    <w:p w14:paraId="4BB90EC1" w14:textId="77777777" w:rsidR="00967B3B" w:rsidRPr="00216B78" w:rsidRDefault="00967B3B" w:rsidP="003C7D7C">
      <w:pPr>
        <w:rPr>
          <w:noProof/>
        </w:rPr>
      </w:pPr>
    </w:p>
    <w:p w14:paraId="1577F189" w14:textId="77777777" w:rsidR="00967B3B" w:rsidRPr="00216B78" w:rsidRDefault="00967B3B" w:rsidP="003C7D7C">
      <w:pPr>
        <w:pBdr>
          <w:top w:val="single" w:sz="4" w:space="1" w:color="auto"/>
          <w:left w:val="single" w:sz="4" w:space="4" w:color="auto"/>
          <w:bottom w:val="single" w:sz="4" w:space="1" w:color="auto"/>
          <w:right w:val="single" w:sz="4" w:space="4" w:color="auto"/>
        </w:pBdr>
        <w:outlineLvl w:val="0"/>
        <w:rPr>
          <w:noProof/>
        </w:rPr>
      </w:pPr>
      <w:r w:rsidRPr="00216B78">
        <w:rPr>
          <w:b/>
          <w:bCs/>
          <w:noProof/>
        </w:rPr>
        <w:t>13.</w:t>
      </w:r>
      <w:r w:rsidRPr="00216B78">
        <w:rPr>
          <w:b/>
          <w:bCs/>
          <w:noProof/>
        </w:rPr>
        <w:tab/>
        <w:t>SERIJOS NUMERIS</w:t>
      </w:r>
    </w:p>
    <w:p w14:paraId="3579CC11" w14:textId="77777777" w:rsidR="00967B3B" w:rsidRPr="00216B78" w:rsidRDefault="00967B3B" w:rsidP="003C7D7C">
      <w:pPr>
        <w:rPr>
          <w:noProof/>
        </w:rPr>
      </w:pPr>
    </w:p>
    <w:p w14:paraId="1C9683F7" w14:textId="77777777" w:rsidR="00967B3B" w:rsidRPr="00216B78" w:rsidRDefault="00967B3B" w:rsidP="003C7D7C">
      <w:pPr>
        <w:rPr>
          <w:noProof/>
        </w:rPr>
      </w:pPr>
      <w:r w:rsidRPr="00216B78">
        <w:rPr>
          <w:noProof/>
        </w:rPr>
        <w:t>Serija</w:t>
      </w:r>
    </w:p>
    <w:p w14:paraId="555161C3" w14:textId="77777777" w:rsidR="00967B3B" w:rsidRPr="00216B78" w:rsidRDefault="00967B3B" w:rsidP="003C7D7C">
      <w:pPr>
        <w:rPr>
          <w:noProof/>
        </w:rPr>
      </w:pPr>
    </w:p>
    <w:p w14:paraId="2E20572C" w14:textId="77777777" w:rsidR="00967B3B" w:rsidRPr="00216B78" w:rsidRDefault="00967B3B" w:rsidP="003C7D7C">
      <w:pPr>
        <w:rPr>
          <w:noProof/>
        </w:rPr>
      </w:pPr>
    </w:p>
    <w:p w14:paraId="29BD0AF4" w14:textId="77777777" w:rsidR="00967B3B" w:rsidRPr="00216B78" w:rsidRDefault="00967B3B" w:rsidP="003C7D7C">
      <w:pPr>
        <w:pBdr>
          <w:top w:val="single" w:sz="4" w:space="1" w:color="auto"/>
          <w:left w:val="single" w:sz="4" w:space="4" w:color="auto"/>
          <w:bottom w:val="single" w:sz="4" w:space="1" w:color="auto"/>
          <w:right w:val="single" w:sz="4" w:space="4" w:color="auto"/>
        </w:pBdr>
        <w:outlineLvl w:val="0"/>
        <w:rPr>
          <w:noProof/>
        </w:rPr>
      </w:pPr>
      <w:r w:rsidRPr="00216B78">
        <w:rPr>
          <w:b/>
          <w:bCs/>
          <w:noProof/>
        </w:rPr>
        <w:t>14.</w:t>
      </w:r>
      <w:r w:rsidRPr="00216B78">
        <w:rPr>
          <w:b/>
          <w:bCs/>
          <w:noProof/>
        </w:rPr>
        <w:tab/>
        <w:t>PARDAVIMO (IŠDAVIMO) TVARKA</w:t>
      </w:r>
    </w:p>
    <w:p w14:paraId="5459EF8E" w14:textId="77777777" w:rsidR="00967B3B" w:rsidRPr="00216B78" w:rsidRDefault="00967B3B" w:rsidP="003C7D7C">
      <w:pPr>
        <w:rPr>
          <w:noProof/>
        </w:rPr>
      </w:pPr>
    </w:p>
    <w:p w14:paraId="19480E47" w14:textId="77777777" w:rsidR="00967B3B" w:rsidRPr="00216B78" w:rsidRDefault="00BF0DE5" w:rsidP="003C7D7C">
      <w:pPr>
        <w:rPr>
          <w:noProof/>
        </w:rPr>
      </w:pPr>
      <w:r w:rsidRPr="00216B78">
        <w:rPr>
          <w:noProof/>
        </w:rPr>
        <w:t>Receptinis vaistas.</w:t>
      </w:r>
    </w:p>
    <w:p w14:paraId="7C587EA6" w14:textId="77777777" w:rsidR="00967B3B" w:rsidRPr="00216B78" w:rsidRDefault="00967B3B" w:rsidP="003C7D7C">
      <w:pPr>
        <w:rPr>
          <w:noProof/>
        </w:rPr>
      </w:pPr>
    </w:p>
    <w:p w14:paraId="69FFA3BC" w14:textId="77777777" w:rsidR="00967B3B" w:rsidRPr="00216B78" w:rsidRDefault="00967B3B" w:rsidP="003C7D7C">
      <w:pPr>
        <w:rPr>
          <w:noProof/>
        </w:rPr>
      </w:pPr>
    </w:p>
    <w:p w14:paraId="0F393FD6" w14:textId="77777777" w:rsidR="00967B3B" w:rsidRPr="00216B78" w:rsidRDefault="00967B3B" w:rsidP="003C7D7C">
      <w:pPr>
        <w:pBdr>
          <w:top w:val="single" w:sz="4" w:space="1" w:color="auto"/>
          <w:left w:val="single" w:sz="4" w:space="4" w:color="auto"/>
          <w:bottom w:val="single" w:sz="4" w:space="1" w:color="auto"/>
          <w:right w:val="single" w:sz="4" w:space="4" w:color="auto"/>
        </w:pBdr>
        <w:outlineLvl w:val="0"/>
        <w:rPr>
          <w:noProof/>
        </w:rPr>
      </w:pPr>
      <w:r w:rsidRPr="00216B78">
        <w:rPr>
          <w:b/>
          <w:bCs/>
          <w:noProof/>
        </w:rPr>
        <w:t>15.</w:t>
      </w:r>
      <w:r w:rsidRPr="00216B78">
        <w:rPr>
          <w:b/>
          <w:bCs/>
          <w:noProof/>
        </w:rPr>
        <w:tab/>
        <w:t>VARTOJIMO INSTRUKCIJA</w:t>
      </w:r>
    </w:p>
    <w:p w14:paraId="2252B4BC" w14:textId="77777777" w:rsidR="00967B3B" w:rsidRPr="00216B78" w:rsidRDefault="00967B3B" w:rsidP="003C7D7C">
      <w:pPr>
        <w:rPr>
          <w:noProof/>
        </w:rPr>
      </w:pPr>
    </w:p>
    <w:p w14:paraId="59EC486B" w14:textId="77777777" w:rsidR="00967B3B" w:rsidRPr="00216B78" w:rsidRDefault="00967B3B" w:rsidP="003C7D7C">
      <w:pPr>
        <w:rPr>
          <w:noProof/>
        </w:rPr>
      </w:pPr>
    </w:p>
    <w:p w14:paraId="58A30C95" w14:textId="77777777" w:rsidR="00967B3B" w:rsidRPr="00216B78" w:rsidRDefault="00967B3B" w:rsidP="003C7D7C">
      <w:pPr>
        <w:pBdr>
          <w:top w:val="single" w:sz="4" w:space="1" w:color="auto"/>
          <w:left w:val="single" w:sz="4" w:space="4" w:color="auto"/>
          <w:bottom w:val="single" w:sz="4" w:space="1" w:color="auto"/>
          <w:right w:val="single" w:sz="4" w:space="4" w:color="auto"/>
        </w:pBdr>
        <w:outlineLvl w:val="0"/>
        <w:rPr>
          <w:noProof/>
        </w:rPr>
      </w:pPr>
      <w:r w:rsidRPr="00216B78">
        <w:rPr>
          <w:b/>
          <w:bCs/>
          <w:noProof/>
        </w:rPr>
        <w:t>16.</w:t>
      </w:r>
      <w:r w:rsidRPr="00216B78">
        <w:rPr>
          <w:b/>
          <w:bCs/>
          <w:noProof/>
        </w:rPr>
        <w:tab/>
        <w:t>INFORMACIJA BRAILIO RAŠTU</w:t>
      </w:r>
    </w:p>
    <w:p w14:paraId="0226968F" w14:textId="77777777" w:rsidR="00967B3B" w:rsidRPr="00216B78" w:rsidRDefault="00967B3B" w:rsidP="003C7D7C">
      <w:pPr>
        <w:rPr>
          <w:noProof/>
        </w:rPr>
      </w:pPr>
    </w:p>
    <w:p w14:paraId="1D6AAB0B" w14:textId="77777777" w:rsidR="00967B3B" w:rsidRPr="00216B78" w:rsidRDefault="00967B3B" w:rsidP="003C7D7C">
      <w:pPr>
        <w:rPr>
          <w:iCs/>
        </w:rPr>
      </w:pPr>
      <w:r w:rsidRPr="00216B78">
        <w:rPr>
          <w:iCs/>
          <w:highlight w:val="lightGray"/>
        </w:rPr>
        <w:t>Priimtas pagrindimas informacijos Brailio raštu nepateikti.</w:t>
      </w:r>
    </w:p>
    <w:p w14:paraId="2030763B" w14:textId="77777777" w:rsidR="008A181E" w:rsidRPr="00216B78" w:rsidRDefault="008A181E" w:rsidP="003C7D7C">
      <w:pPr>
        <w:rPr>
          <w:noProof/>
        </w:rPr>
      </w:pPr>
    </w:p>
    <w:p w14:paraId="7E346682" w14:textId="77777777" w:rsidR="00967B3B" w:rsidRPr="00216B78" w:rsidRDefault="00967B3B" w:rsidP="003C7D7C">
      <w:pPr>
        <w:rPr>
          <w:noProof/>
        </w:rPr>
      </w:pPr>
    </w:p>
    <w:p w14:paraId="3B4D8875" w14:textId="77777777" w:rsidR="00967B3B" w:rsidRPr="00216B78" w:rsidRDefault="00967B3B" w:rsidP="003C7D7C">
      <w:pPr>
        <w:pBdr>
          <w:top w:val="single" w:sz="4" w:space="1" w:color="auto"/>
          <w:left w:val="single" w:sz="4" w:space="4" w:color="auto"/>
          <w:bottom w:val="single" w:sz="4" w:space="1" w:color="auto"/>
          <w:right w:val="single" w:sz="4" w:space="4" w:color="auto"/>
        </w:pBdr>
        <w:outlineLvl w:val="0"/>
        <w:rPr>
          <w:noProof/>
        </w:rPr>
      </w:pPr>
      <w:r w:rsidRPr="00216B78">
        <w:rPr>
          <w:b/>
          <w:bCs/>
          <w:noProof/>
        </w:rPr>
        <w:t>17.</w:t>
      </w:r>
      <w:r w:rsidRPr="00216B78">
        <w:rPr>
          <w:b/>
          <w:bCs/>
          <w:noProof/>
        </w:rPr>
        <w:tab/>
        <w:t>UNIKALUS IDENTIFIKATORIUS – 2D BRŪKŠNINIS KODAS</w:t>
      </w:r>
    </w:p>
    <w:p w14:paraId="2878B477" w14:textId="77777777" w:rsidR="00967B3B" w:rsidRPr="00216B78" w:rsidRDefault="00967B3B" w:rsidP="003C7D7C">
      <w:pPr>
        <w:rPr>
          <w:noProof/>
        </w:rPr>
      </w:pPr>
    </w:p>
    <w:p w14:paraId="39B00968" w14:textId="77777777" w:rsidR="00967B3B" w:rsidRPr="00216B78" w:rsidRDefault="00967B3B" w:rsidP="003C7D7C">
      <w:pPr>
        <w:rPr>
          <w:noProof/>
        </w:rPr>
      </w:pPr>
    </w:p>
    <w:p w14:paraId="31659BE5" w14:textId="77777777" w:rsidR="00967B3B" w:rsidRPr="00216B78" w:rsidRDefault="00967B3B" w:rsidP="003C7D7C">
      <w:pPr>
        <w:pBdr>
          <w:top w:val="single" w:sz="4" w:space="1" w:color="auto"/>
          <w:left w:val="single" w:sz="4" w:space="4" w:color="auto"/>
          <w:bottom w:val="single" w:sz="4" w:space="1" w:color="auto"/>
          <w:right w:val="single" w:sz="4" w:space="4" w:color="auto"/>
        </w:pBdr>
        <w:outlineLvl w:val="0"/>
        <w:rPr>
          <w:noProof/>
        </w:rPr>
      </w:pPr>
      <w:r w:rsidRPr="00216B78">
        <w:rPr>
          <w:b/>
          <w:bCs/>
          <w:noProof/>
        </w:rPr>
        <w:t>18.</w:t>
      </w:r>
      <w:r w:rsidRPr="00216B78">
        <w:rPr>
          <w:b/>
          <w:bCs/>
          <w:noProof/>
        </w:rPr>
        <w:tab/>
        <w:t>UNIKALUS IDENTIFIKATORIUS – ŽMONĖMS SUPRANTAMI DUOMENYS</w:t>
      </w:r>
    </w:p>
    <w:p w14:paraId="221A741D" w14:textId="77777777" w:rsidR="00967B3B" w:rsidRPr="00216B78" w:rsidRDefault="00967B3B" w:rsidP="003C7D7C">
      <w:pPr>
        <w:rPr>
          <w:noProof/>
        </w:rPr>
      </w:pPr>
    </w:p>
    <w:p w14:paraId="6BE540CB" w14:textId="77777777" w:rsidR="00967B3B" w:rsidRPr="00216B78" w:rsidRDefault="00967B3B" w:rsidP="003C7D7C">
      <w:pPr>
        <w:pBdr>
          <w:top w:val="single" w:sz="4" w:space="1" w:color="auto"/>
          <w:left w:val="single" w:sz="4" w:space="4" w:color="auto"/>
          <w:bottom w:val="single" w:sz="4" w:space="1" w:color="auto"/>
          <w:right w:val="single" w:sz="4" w:space="4" w:color="auto"/>
        </w:pBdr>
        <w:rPr>
          <w:b/>
          <w:bCs/>
          <w:noProof/>
        </w:rPr>
      </w:pPr>
      <w:r w:rsidRPr="00216B78">
        <w:rPr>
          <w:noProof/>
        </w:rPr>
        <w:br w:type="page"/>
      </w:r>
      <w:r w:rsidRPr="00216B78">
        <w:rPr>
          <w:b/>
          <w:bCs/>
          <w:noProof/>
        </w:rPr>
        <w:lastRenderedPageBreak/>
        <w:t>INFORMACIJA ANT VIDINĖS PAKUOTĖS</w:t>
      </w:r>
    </w:p>
    <w:p w14:paraId="54F397CB" w14:textId="77777777" w:rsidR="008A181E" w:rsidRPr="00216B78" w:rsidRDefault="008A181E" w:rsidP="003C7D7C">
      <w:pPr>
        <w:pBdr>
          <w:top w:val="single" w:sz="4" w:space="1" w:color="auto"/>
          <w:left w:val="single" w:sz="4" w:space="4" w:color="auto"/>
          <w:bottom w:val="single" w:sz="4" w:space="1" w:color="auto"/>
          <w:right w:val="single" w:sz="4" w:space="4" w:color="auto"/>
        </w:pBdr>
        <w:rPr>
          <w:b/>
          <w:noProof/>
        </w:rPr>
      </w:pPr>
    </w:p>
    <w:p w14:paraId="20131DE4" w14:textId="77777777" w:rsidR="00967B3B" w:rsidRPr="00216B78" w:rsidRDefault="00967B3B" w:rsidP="003C7D7C">
      <w:pPr>
        <w:pBdr>
          <w:top w:val="single" w:sz="4" w:space="1" w:color="auto"/>
          <w:left w:val="single" w:sz="4" w:space="4" w:color="auto"/>
          <w:bottom w:val="single" w:sz="4" w:space="1" w:color="auto"/>
          <w:right w:val="single" w:sz="4" w:space="4" w:color="auto"/>
        </w:pBdr>
        <w:rPr>
          <w:b/>
          <w:noProof/>
        </w:rPr>
      </w:pPr>
      <w:r w:rsidRPr="00216B78">
        <w:rPr>
          <w:b/>
          <w:bCs/>
          <w:noProof/>
        </w:rPr>
        <w:t>TIRPIKLIO BUTELIUK</w:t>
      </w:r>
      <w:r w:rsidR="008F39E6" w:rsidRPr="00216B78">
        <w:rPr>
          <w:b/>
          <w:bCs/>
          <w:noProof/>
        </w:rPr>
        <w:t xml:space="preserve">O ETIKETĖ </w:t>
      </w:r>
    </w:p>
    <w:p w14:paraId="186E70D3" w14:textId="77777777" w:rsidR="00967B3B" w:rsidRPr="00216B78" w:rsidRDefault="00967B3B" w:rsidP="003C7D7C">
      <w:pPr>
        <w:rPr>
          <w:noProof/>
        </w:rPr>
      </w:pPr>
    </w:p>
    <w:p w14:paraId="5FEAFC95" w14:textId="77777777" w:rsidR="00967B3B" w:rsidRPr="00216B78" w:rsidRDefault="00967B3B" w:rsidP="003C7D7C">
      <w:pPr>
        <w:rPr>
          <w:noProof/>
        </w:rPr>
      </w:pPr>
    </w:p>
    <w:p w14:paraId="54E8C73B" w14:textId="77777777" w:rsidR="00967B3B" w:rsidRPr="00216B78" w:rsidRDefault="00967B3B" w:rsidP="003C7D7C">
      <w:pPr>
        <w:pBdr>
          <w:top w:val="single" w:sz="4" w:space="1" w:color="auto"/>
          <w:left w:val="single" w:sz="4" w:space="4" w:color="auto"/>
          <w:bottom w:val="single" w:sz="4" w:space="1" w:color="auto"/>
          <w:right w:val="single" w:sz="4" w:space="4" w:color="auto"/>
        </w:pBdr>
        <w:ind w:left="567" w:hanging="567"/>
        <w:outlineLvl w:val="0"/>
        <w:rPr>
          <w:noProof/>
        </w:rPr>
      </w:pPr>
      <w:r w:rsidRPr="00216B78">
        <w:rPr>
          <w:b/>
          <w:bCs/>
          <w:noProof/>
        </w:rPr>
        <w:t>1.</w:t>
      </w:r>
      <w:r w:rsidRPr="00216B78">
        <w:rPr>
          <w:b/>
          <w:bCs/>
          <w:noProof/>
        </w:rPr>
        <w:tab/>
        <w:t>VAISTINIO PREPARATO PAVADINIMAS</w:t>
      </w:r>
    </w:p>
    <w:p w14:paraId="012FF9E1" w14:textId="77777777" w:rsidR="00967B3B" w:rsidRPr="00216B78" w:rsidRDefault="00967B3B" w:rsidP="003C7D7C">
      <w:pPr>
        <w:rPr>
          <w:noProof/>
        </w:rPr>
      </w:pPr>
    </w:p>
    <w:p w14:paraId="2891DF3E" w14:textId="77777777" w:rsidR="00967B3B" w:rsidRPr="00216B78" w:rsidRDefault="00967B3B" w:rsidP="003C7D7C">
      <w:pPr>
        <w:rPr>
          <w:noProof/>
        </w:rPr>
      </w:pPr>
      <w:r w:rsidRPr="00216B78">
        <w:rPr>
          <w:noProof/>
        </w:rPr>
        <w:t>Injekcinis vanduo</w:t>
      </w:r>
    </w:p>
    <w:p w14:paraId="7F2E1155" w14:textId="77777777" w:rsidR="00967B3B" w:rsidRPr="00216B78" w:rsidRDefault="00967B3B" w:rsidP="003C7D7C">
      <w:pPr>
        <w:rPr>
          <w:noProof/>
        </w:rPr>
      </w:pPr>
      <w:r w:rsidRPr="00216B78">
        <w:rPr>
          <w:noProof/>
        </w:rPr>
        <w:t>50 ml</w:t>
      </w:r>
    </w:p>
    <w:p w14:paraId="255BDDFB" w14:textId="77777777" w:rsidR="00967B3B" w:rsidRPr="00216B78" w:rsidRDefault="00967B3B" w:rsidP="003C7D7C">
      <w:pPr>
        <w:rPr>
          <w:noProof/>
        </w:rPr>
      </w:pPr>
      <w:r w:rsidRPr="00216B78">
        <w:rPr>
          <w:noProof/>
        </w:rPr>
        <w:t xml:space="preserve">Tirpiklis, skirtas </w:t>
      </w:r>
      <w:r w:rsidR="008F18DA" w:rsidRPr="00216B78">
        <w:rPr>
          <w:noProof/>
        </w:rPr>
        <w:t>fibryga</w:t>
      </w:r>
      <w:r w:rsidR="008640F2" w:rsidRPr="00216B78">
        <w:rPr>
          <w:noProof/>
        </w:rPr>
        <w:t xml:space="preserve"> </w:t>
      </w:r>
      <w:r w:rsidRPr="00216B78">
        <w:rPr>
          <w:noProof/>
        </w:rPr>
        <w:t>1 g milteliams injekciniam ar infuziniam tirpalui ruošti</w:t>
      </w:r>
    </w:p>
    <w:p w14:paraId="505FBE39" w14:textId="77777777" w:rsidR="00967B3B" w:rsidRPr="00216B78" w:rsidRDefault="00967B3B" w:rsidP="003C7D7C">
      <w:pPr>
        <w:rPr>
          <w:noProof/>
        </w:rPr>
      </w:pPr>
    </w:p>
    <w:p w14:paraId="04117AF6" w14:textId="77777777" w:rsidR="00967B3B" w:rsidRPr="00216B78" w:rsidRDefault="00967B3B" w:rsidP="003C7D7C">
      <w:pPr>
        <w:rPr>
          <w:noProof/>
        </w:rPr>
      </w:pPr>
    </w:p>
    <w:p w14:paraId="2DA6D236" w14:textId="77777777" w:rsidR="00967B3B" w:rsidRPr="00216B78" w:rsidRDefault="00967B3B" w:rsidP="003C7D7C">
      <w:pPr>
        <w:pBdr>
          <w:top w:val="single" w:sz="4" w:space="1" w:color="auto"/>
          <w:left w:val="single" w:sz="4" w:space="4" w:color="auto"/>
          <w:bottom w:val="single" w:sz="4" w:space="1" w:color="auto"/>
          <w:right w:val="single" w:sz="4" w:space="4" w:color="auto"/>
        </w:pBdr>
        <w:ind w:left="567" w:hanging="567"/>
        <w:outlineLvl w:val="0"/>
        <w:rPr>
          <w:b/>
          <w:noProof/>
        </w:rPr>
      </w:pPr>
      <w:r w:rsidRPr="00216B78">
        <w:rPr>
          <w:b/>
          <w:bCs/>
          <w:noProof/>
        </w:rPr>
        <w:t>2.</w:t>
      </w:r>
      <w:r w:rsidRPr="00216B78">
        <w:rPr>
          <w:b/>
          <w:bCs/>
          <w:noProof/>
        </w:rPr>
        <w:tab/>
        <w:t>VEIKLIOJI (-IOS) MEDŽIAGA (-OS) IR JOS (-Ų) KIEKIS (-IAI)</w:t>
      </w:r>
    </w:p>
    <w:p w14:paraId="73DB26D9" w14:textId="77777777" w:rsidR="00967B3B" w:rsidRPr="00216B78" w:rsidRDefault="00967B3B" w:rsidP="003C7D7C">
      <w:pPr>
        <w:rPr>
          <w:noProof/>
        </w:rPr>
      </w:pPr>
    </w:p>
    <w:p w14:paraId="396E4CBE" w14:textId="77777777" w:rsidR="00967B3B" w:rsidRPr="00216B78" w:rsidRDefault="00967B3B" w:rsidP="003C7D7C">
      <w:pPr>
        <w:rPr>
          <w:noProof/>
        </w:rPr>
      </w:pPr>
    </w:p>
    <w:p w14:paraId="5782DCE1" w14:textId="77777777" w:rsidR="00967B3B" w:rsidRPr="00216B78" w:rsidRDefault="00967B3B" w:rsidP="003C7D7C">
      <w:pPr>
        <w:pBdr>
          <w:top w:val="single" w:sz="4" w:space="1" w:color="auto"/>
          <w:left w:val="single" w:sz="4" w:space="4" w:color="auto"/>
          <w:bottom w:val="single" w:sz="4" w:space="1" w:color="auto"/>
          <w:right w:val="single" w:sz="4" w:space="4" w:color="auto"/>
        </w:pBdr>
        <w:ind w:left="567" w:hanging="567"/>
        <w:outlineLvl w:val="0"/>
        <w:rPr>
          <w:noProof/>
        </w:rPr>
      </w:pPr>
      <w:r w:rsidRPr="00216B78">
        <w:rPr>
          <w:b/>
          <w:bCs/>
          <w:noProof/>
        </w:rPr>
        <w:t>3.</w:t>
      </w:r>
      <w:r w:rsidRPr="00216B78">
        <w:rPr>
          <w:b/>
          <w:bCs/>
          <w:noProof/>
        </w:rPr>
        <w:tab/>
        <w:t>PAGALBINIŲ MEDŽIAGŲ SĄRAŠAS</w:t>
      </w:r>
    </w:p>
    <w:p w14:paraId="526084FF" w14:textId="77777777" w:rsidR="00967B3B" w:rsidRPr="00216B78" w:rsidRDefault="00967B3B" w:rsidP="003C7D7C">
      <w:pPr>
        <w:rPr>
          <w:noProof/>
        </w:rPr>
      </w:pPr>
    </w:p>
    <w:p w14:paraId="5BDAFBA2" w14:textId="77777777" w:rsidR="00967B3B" w:rsidRPr="00216B78" w:rsidRDefault="00967B3B" w:rsidP="003C7D7C">
      <w:pPr>
        <w:rPr>
          <w:noProof/>
          <w:highlight w:val="yellow"/>
        </w:rPr>
      </w:pPr>
    </w:p>
    <w:p w14:paraId="7AF45D40" w14:textId="77777777" w:rsidR="00967B3B" w:rsidRPr="00216B78" w:rsidRDefault="00967B3B" w:rsidP="003C7D7C">
      <w:pPr>
        <w:pBdr>
          <w:top w:val="single" w:sz="4" w:space="1" w:color="auto"/>
          <w:left w:val="single" w:sz="4" w:space="4" w:color="auto"/>
          <w:bottom w:val="single" w:sz="4" w:space="1" w:color="auto"/>
          <w:right w:val="single" w:sz="4" w:space="4" w:color="auto"/>
        </w:pBdr>
        <w:ind w:left="567" w:hanging="567"/>
        <w:outlineLvl w:val="0"/>
        <w:rPr>
          <w:noProof/>
        </w:rPr>
      </w:pPr>
      <w:r w:rsidRPr="00216B78">
        <w:rPr>
          <w:b/>
          <w:bCs/>
          <w:noProof/>
        </w:rPr>
        <w:t>4.</w:t>
      </w:r>
      <w:r w:rsidRPr="00216B78">
        <w:rPr>
          <w:b/>
          <w:bCs/>
          <w:noProof/>
        </w:rPr>
        <w:tab/>
        <w:t>FARMACINĖ FORMA IR KIEKIS PAKUOTĖJE</w:t>
      </w:r>
    </w:p>
    <w:p w14:paraId="0BAA5391" w14:textId="77777777" w:rsidR="00967B3B" w:rsidRPr="00216B78" w:rsidRDefault="00967B3B" w:rsidP="003C7D7C">
      <w:pPr>
        <w:rPr>
          <w:noProof/>
        </w:rPr>
      </w:pPr>
    </w:p>
    <w:p w14:paraId="2054AA22" w14:textId="77777777" w:rsidR="00967B3B" w:rsidRPr="00216B78" w:rsidRDefault="00967B3B" w:rsidP="003C7D7C">
      <w:pPr>
        <w:rPr>
          <w:noProof/>
        </w:rPr>
      </w:pPr>
      <w:r w:rsidRPr="00216B78">
        <w:rPr>
          <w:noProof/>
          <w:highlight w:val="lightGray"/>
        </w:rPr>
        <w:t xml:space="preserve">Tirpiklis, skirtas </w:t>
      </w:r>
      <w:r w:rsidR="008F18DA" w:rsidRPr="00216B78">
        <w:rPr>
          <w:noProof/>
          <w:highlight w:val="lightGray"/>
        </w:rPr>
        <w:t>fibryga</w:t>
      </w:r>
      <w:r w:rsidR="008640F2" w:rsidRPr="00216B78">
        <w:rPr>
          <w:noProof/>
          <w:highlight w:val="lightGray"/>
        </w:rPr>
        <w:t xml:space="preserve"> </w:t>
      </w:r>
      <w:r w:rsidRPr="00216B78">
        <w:rPr>
          <w:noProof/>
          <w:highlight w:val="lightGray"/>
        </w:rPr>
        <w:t>1 g milteliams injekciniam ar infuziniam tirpalui ruošti</w:t>
      </w:r>
    </w:p>
    <w:p w14:paraId="6B0FA6A0" w14:textId="77777777" w:rsidR="00967B3B" w:rsidRPr="00216B78" w:rsidRDefault="00967B3B" w:rsidP="003C7D7C">
      <w:pPr>
        <w:rPr>
          <w:noProof/>
        </w:rPr>
      </w:pPr>
      <w:r w:rsidRPr="00216B78">
        <w:rPr>
          <w:noProof/>
          <w:highlight w:val="lightGray"/>
        </w:rPr>
        <w:t>50 ml</w:t>
      </w:r>
    </w:p>
    <w:p w14:paraId="527844E1" w14:textId="77777777" w:rsidR="007718AC" w:rsidRPr="00216B78" w:rsidRDefault="007718AC" w:rsidP="003C7D7C">
      <w:pPr>
        <w:rPr>
          <w:noProof/>
        </w:rPr>
      </w:pPr>
    </w:p>
    <w:p w14:paraId="6AF75636" w14:textId="77777777" w:rsidR="00967B3B" w:rsidRPr="00216B78" w:rsidRDefault="00967B3B" w:rsidP="003C7D7C">
      <w:pPr>
        <w:pStyle w:val="Text"/>
        <w:spacing w:before="0" w:after="0"/>
        <w:rPr>
          <w:sz w:val="22"/>
          <w:szCs w:val="22"/>
          <w:shd w:val="clear" w:color="auto" w:fill="BFBFBF"/>
          <w:lang w:val="lt-LT"/>
        </w:rPr>
      </w:pPr>
    </w:p>
    <w:p w14:paraId="2DB333BB" w14:textId="77777777" w:rsidR="00967B3B" w:rsidRPr="00216B78" w:rsidRDefault="00967B3B" w:rsidP="003C7D7C">
      <w:pPr>
        <w:pBdr>
          <w:top w:val="single" w:sz="4" w:space="1" w:color="auto"/>
          <w:left w:val="single" w:sz="4" w:space="4" w:color="auto"/>
          <w:bottom w:val="single" w:sz="4" w:space="1" w:color="auto"/>
          <w:right w:val="single" w:sz="4" w:space="4" w:color="auto"/>
        </w:pBdr>
        <w:ind w:left="567" w:hanging="567"/>
        <w:outlineLvl w:val="0"/>
        <w:rPr>
          <w:noProof/>
        </w:rPr>
      </w:pPr>
      <w:r w:rsidRPr="00216B78">
        <w:rPr>
          <w:b/>
          <w:bCs/>
          <w:noProof/>
        </w:rPr>
        <w:t>5.</w:t>
      </w:r>
      <w:r w:rsidRPr="00216B78">
        <w:rPr>
          <w:b/>
          <w:bCs/>
          <w:noProof/>
        </w:rPr>
        <w:tab/>
        <w:t>VARTOJIMO METODAS IR BŪDAS (-AI)</w:t>
      </w:r>
    </w:p>
    <w:p w14:paraId="4ED445CE" w14:textId="77777777" w:rsidR="00967B3B" w:rsidRPr="00216B78" w:rsidRDefault="00967B3B" w:rsidP="003C7D7C">
      <w:pPr>
        <w:rPr>
          <w:i/>
          <w:noProof/>
        </w:rPr>
      </w:pPr>
    </w:p>
    <w:p w14:paraId="4086C481" w14:textId="77777777" w:rsidR="00967B3B" w:rsidRPr="00216B78" w:rsidRDefault="00967B3B" w:rsidP="003C7D7C">
      <w:pPr>
        <w:rPr>
          <w:noProof/>
        </w:rPr>
      </w:pPr>
      <w:r w:rsidRPr="00216B78">
        <w:rPr>
          <w:noProof/>
        </w:rPr>
        <w:t>Prieš vartojimą perskaitykite pakuotės lapelį.</w:t>
      </w:r>
    </w:p>
    <w:p w14:paraId="0D2D6C72" w14:textId="77777777" w:rsidR="00967B3B" w:rsidRPr="00216B78" w:rsidRDefault="00967B3B" w:rsidP="003C7D7C">
      <w:pPr>
        <w:rPr>
          <w:noProof/>
        </w:rPr>
      </w:pPr>
      <w:r w:rsidRPr="00216B78">
        <w:rPr>
          <w:noProof/>
        </w:rPr>
        <w:t>Leisti į veną.</w:t>
      </w:r>
    </w:p>
    <w:p w14:paraId="22A61441" w14:textId="77777777" w:rsidR="00967B3B" w:rsidRPr="00216B78" w:rsidRDefault="00967B3B" w:rsidP="003C7D7C">
      <w:pPr>
        <w:rPr>
          <w:noProof/>
          <w:highlight w:val="yellow"/>
        </w:rPr>
      </w:pPr>
    </w:p>
    <w:p w14:paraId="5863B5FD" w14:textId="77777777" w:rsidR="00967B3B" w:rsidRPr="00216B78" w:rsidRDefault="00967B3B" w:rsidP="003C7D7C">
      <w:pPr>
        <w:rPr>
          <w:noProof/>
          <w:highlight w:val="yellow"/>
        </w:rPr>
      </w:pPr>
    </w:p>
    <w:p w14:paraId="0449837B" w14:textId="77777777" w:rsidR="00967B3B" w:rsidRPr="00216B78" w:rsidRDefault="00967B3B" w:rsidP="003C7D7C">
      <w:pPr>
        <w:pBdr>
          <w:top w:val="single" w:sz="4" w:space="1" w:color="auto"/>
          <w:left w:val="single" w:sz="4" w:space="4" w:color="auto"/>
          <w:bottom w:val="single" w:sz="4" w:space="1" w:color="auto"/>
          <w:right w:val="single" w:sz="4" w:space="4" w:color="auto"/>
        </w:pBdr>
        <w:ind w:left="567" w:hanging="567"/>
        <w:outlineLvl w:val="0"/>
        <w:rPr>
          <w:noProof/>
        </w:rPr>
      </w:pPr>
      <w:r w:rsidRPr="00216B78">
        <w:rPr>
          <w:b/>
          <w:bCs/>
          <w:noProof/>
        </w:rPr>
        <w:t>6.</w:t>
      </w:r>
      <w:r w:rsidRPr="00216B78">
        <w:rPr>
          <w:b/>
          <w:bCs/>
          <w:noProof/>
        </w:rPr>
        <w:tab/>
        <w:t>SPECIALUS ĮSPĖJIMAS, KAD VAISTINĮ PREPARATĄ BŪTINA LAIKYTI VAIKAMS NEPASTEBIMOJE IR NEPASIEKIAMOJE VIETOJE</w:t>
      </w:r>
    </w:p>
    <w:p w14:paraId="1345ADA0" w14:textId="77777777" w:rsidR="00967B3B" w:rsidRPr="00216B78" w:rsidRDefault="00967B3B" w:rsidP="003C7D7C">
      <w:pPr>
        <w:rPr>
          <w:noProof/>
          <w:highlight w:val="yellow"/>
        </w:rPr>
      </w:pPr>
    </w:p>
    <w:p w14:paraId="73227F7B" w14:textId="77777777" w:rsidR="00967B3B" w:rsidRPr="00216B78" w:rsidRDefault="00967B3B" w:rsidP="003C7D7C">
      <w:pPr>
        <w:rPr>
          <w:noProof/>
        </w:rPr>
      </w:pPr>
      <w:r w:rsidRPr="00216B78">
        <w:rPr>
          <w:noProof/>
        </w:rPr>
        <w:t>Laikyti vaikams nepastebimoje ir nepasiekiamoje vietoje.</w:t>
      </w:r>
    </w:p>
    <w:p w14:paraId="0D817FE8" w14:textId="77777777" w:rsidR="00967B3B" w:rsidRPr="00216B78" w:rsidRDefault="00967B3B" w:rsidP="003C7D7C">
      <w:pPr>
        <w:rPr>
          <w:noProof/>
          <w:highlight w:val="yellow"/>
        </w:rPr>
      </w:pPr>
    </w:p>
    <w:p w14:paraId="3C14A240" w14:textId="77777777" w:rsidR="00967B3B" w:rsidRPr="00216B78" w:rsidRDefault="00967B3B" w:rsidP="003C7D7C">
      <w:pPr>
        <w:rPr>
          <w:noProof/>
          <w:highlight w:val="yellow"/>
        </w:rPr>
      </w:pPr>
    </w:p>
    <w:p w14:paraId="7EA14936" w14:textId="77777777" w:rsidR="00967B3B" w:rsidRPr="00216B78" w:rsidRDefault="00967B3B" w:rsidP="003C7D7C">
      <w:pPr>
        <w:pBdr>
          <w:top w:val="single" w:sz="4" w:space="1" w:color="auto"/>
          <w:left w:val="single" w:sz="4" w:space="4" w:color="auto"/>
          <w:bottom w:val="single" w:sz="4" w:space="1" w:color="auto"/>
          <w:right w:val="single" w:sz="4" w:space="4" w:color="auto"/>
        </w:pBdr>
        <w:ind w:left="567" w:hanging="567"/>
        <w:outlineLvl w:val="0"/>
        <w:rPr>
          <w:noProof/>
        </w:rPr>
      </w:pPr>
      <w:r w:rsidRPr="00216B78">
        <w:rPr>
          <w:b/>
          <w:bCs/>
          <w:noProof/>
        </w:rPr>
        <w:t>7.</w:t>
      </w:r>
      <w:r w:rsidRPr="00216B78">
        <w:rPr>
          <w:b/>
          <w:bCs/>
          <w:noProof/>
        </w:rPr>
        <w:tab/>
        <w:t>KITAS (-I) SPECIALUS (-ŪS) ĮSPĖJIMAS (-AI) (JEI REIKIA)</w:t>
      </w:r>
    </w:p>
    <w:p w14:paraId="0C82A644" w14:textId="77777777" w:rsidR="00967B3B" w:rsidRPr="00216B78" w:rsidRDefault="00967B3B" w:rsidP="003C7D7C">
      <w:pPr>
        <w:rPr>
          <w:noProof/>
        </w:rPr>
      </w:pPr>
    </w:p>
    <w:p w14:paraId="0B3125BF" w14:textId="77777777" w:rsidR="00967B3B" w:rsidRPr="00216B78" w:rsidRDefault="00967B3B" w:rsidP="003C7D7C">
      <w:pPr>
        <w:tabs>
          <w:tab w:val="left" w:pos="1766"/>
        </w:tabs>
        <w:rPr>
          <w:noProof/>
        </w:rPr>
      </w:pPr>
      <w:r w:rsidRPr="00216B78">
        <w:rPr>
          <w:noProof/>
        </w:rPr>
        <w:t>Vartoti visą turinį.</w:t>
      </w:r>
    </w:p>
    <w:p w14:paraId="7781B5D9" w14:textId="77777777" w:rsidR="00967B3B" w:rsidRPr="00216B78" w:rsidRDefault="00967B3B" w:rsidP="003C7D7C">
      <w:pPr>
        <w:tabs>
          <w:tab w:val="left" w:pos="1766"/>
        </w:tabs>
        <w:rPr>
          <w:noProof/>
        </w:rPr>
      </w:pPr>
      <w:r w:rsidRPr="00216B78">
        <w:rPr>
          <w:noProof/>
        </w:rPr>
        <w:t>Sterilu, kol neatidaryta.</w:t>
      </w:r>
    </w:p>
    <w:p w14:paraId="462A3F24" w14:textId="77777777" w:rsidR="00967B3B" w:rsidRPr="00216B78" w:rsidRDefault="00967B3B" w:rsidP="003C7D7C">
      <w:pPr>
        <w:rPr>
          <w:noProof/>
        </w:rPr>
      </w:pPr>
    </w:p>
    <w:p w14:paraId="5DC524EA" w14:textId="77777777" w:rsidR="00967B3B" w:rsidRPr="00216B78" w:rsidRDefault="00967B3B" w:rsidP="003C7D7C">
      <w:pPr>
        <w:rPr>
          <w:noProof/>
        </w:rPr>
      </w:pPr>
    </w:p>
    <w:p w14:paraId="6F2600DE" w14:textId="77777777" w:rsidR="00967B3B" w:rsidRPr="00216B78" w:rsidRDefault="00967B3B" w:rsidP="003C7D7C">
      <w:pPr>
        <w:pBdr>
          <w:top w:val="single" w:sz="4" w:space="1" w:color="auto"/>
          <w:left w:val="single" w:sz="4" w:space="4" w:color="auto"/>
          <w:bottom w:val="single" w:sz="4" w:space="1" w:color="auto"/>
          <w:right w:val="single" w:sz="4" w:space="4" w:color="auto"/>
        </w:pBdr>
        <w:ind w:left="567" w:hanging="567"/>
        <w:outlineLvl w:val="0"/>
        <w:rPr>
          <w:noProof/>
        </w:rPr>
      </w:pPr>
      <w:r w:rsidRPr="00216B78">
        <w:rPr>
          <w:b/>
          <w:bCs/>
          <w:noProof/>
        </w:rPr>
        <w:t>8.</w:t>
      </w:r>
      <w:r w:rsidRPr="00216B78">
        <w:rPr>
          <w:b/>
          <w:bCs/>
          <w:noProof/>
        </w:rPr>
        <w:tab/>
        <w:t>TINKAMUMO LAIKAS</w:t>
      </w:r>
    </w:p>
    <w:p w14:paraId="1FFC3904" w14:textId="77777777" w:rsidR="00967B3B" w:rsidRPr="00216B78" w:rsidRDefault="00967B3B" w:rsidP="003C7D7C">
      <w:pPr>
        <w:rPr>
          <w:i/>
          <w:noProof/>
        </w:rPr>
      </w:pPr>
    </w:p>
    <w:p w14:paraId="2A240561" w14:textId="77777777" w:rsidR="00967B3B" w:rsidRPr="00216B78" w:rsidRDefault="00967B3B" w:rsidP="003C7D7C">
      <w:pPr>
        <w:rPr>
          <w:noProof/>
        </w:rPr>
      </w:pPr>
      <w:r w:rsidRPr="00216B78">
        <w:rPr>
          <w:noProof/>
        </w:rPr>
        <w:t>Tinka iki</w:t>
      </w:r>
      <w:r w:rsidR="008F18DA" w:rsidRPr="00216B78">
        <w:rPr>
          <w:noProof/>
        </w:rPr>
        <w:t xml:space="preserve">: </w:t>
      </w:r>
      <w:r w:rsidR="008F18DA" w:rsidRPr="00216B78">
        <w:t>mm/MMMM</w:t>
      </w:r>
    </w:p>
    <w:p w14:paraId="42EF132F" w14:textId="77777777" w:rsidR="00967B3B" w:rsidRPr="00216B78" w:rsidRDefault="00967B3B" w:rsidP="003C7D7C">
      <w:pPr>
        <w:rPr>
          <w:noProof/>
          <w:highlight w:val="yellow"/>
        </w:rPr>
      </w:pPr>
    </w:p>
    <w:p w14:paraId="68BFCDB6" w14:textId="77777777" w:rsidR="00967B3B" w:rsidRPr="00216B78" w:rsidRDefault="00967B3B" w:rsidP="003C7D7C">
      <w:pPr>
        <w:rPr>
          <w:noProof/>
          <w:highlight w:val="yellow"/>
        </w:rPr>
      </w:pPr>
    </w:p>
    <w:p w14:paraId="21439E94" w14:textId="77777777" w:rsidR="00967B3B" w:rsidRPr="00216B78" w:rsidRDefault="00967B3B" w:rsidP="003C7D7C">
      <w:pPr>
        <w:pBdr>
          <w:top w:val="single" w:sz="4" w:space="1" w:color="auto"/>
          <w:left w:val="single" w:sz="4" w:space="4" w:color="auto"/>
          <w:bottom w:val="single" w:sz="4" w:space="1" w:color="auto"/>
          <w:right w:val="single" w:sz="4" w:space="4" w:color="auto"/>
        </w:pBdr>
        <w:ind w:left="567" w:hanging="567"/>
        <w:outlineLvl w:val="0"/>
        <w:rPr>
          <w:noProof/>
        </w:rPr>
      </w:pPr>
      <w:r w:rsidRPr="00216B78">
        <w:rPr>
          <w:b/>
          <w:bCs/>
          <w:noProof/>
        </w:rPr>
        <w:t>9.</w:t>
      </w:r>
      <w:r w:rsidRPr="00216B78">
        <w:rPr>
          <w:b/>
          <w:bCs/>
          <w:noProof/>
        </w:rPr>
        <w:tab/>
        <w:t>SPECIALIOS LAIKYMO SĄLYGOS</w:t>
      </w:r>
    </w:p>
    <w:p w14:paraId="3A2756FA" w14:textId="77777777" w:rsidR="00967B3B" w:rsidRPr="00216B78" w:rsidRDefault="00967B3B" w:rsidP="003C7D7C">
      <w:pPr>
        <w:rPr>
          <w:i/>
          <w:noProof/>
        </w:rPr>
      </w:pPr>
    </w:p>
    <w:p w14:paraId="12408C0A" w14:textId="77777777" w:rsidR="00967B3B" w:rsidRPr="00216B78" w:rsidRDefault="00967B3B" w:rsidP="003C7D7C">
      <w:pPr>
        <w:ind w:left="567" w:hanging="567"/>
      </w:pPr>
    </w:p>
    <w:p w14:paraId="51491F98" w14:textId="77777777" w:rsidR="00967B3B" w:rsidRPr="00216B78" w:rsidRDefault="00967B3B" w:rsidP="003C7D7C">
      <w:pPr>
        <w:pBdr>
          <w:top w:val="single" w:sz="4" w:space="1" w:color="auto"/>
          <w:left w:val="single" w:sz="4" w:space="4" w:color="auto"/>
          <w:bottom w:val="single" w:sz="4" w:space="1" w:color="auto"/>
          <w:right w:val="single" w:sz="4" w:space="4" w:color="auto"/>
        </w:pBdr>
        <w:outlineLvl w:val="0"/>
        <w:rPr>
          <w:b/>
          <w:noProof/>
          <w:highlight w:val="yellow"/>
        </w:rPr>
      </w:pPr>
      <w:r w:rsidRPr="00216B78">
        <w:rPr>
          <w:b/>
          <w:bCs/>
          <w:noProof/>
        </w:rPr>
        <w:t>10.</w:t>
      </w:r>
      <w:r w:rsidRPr="00216B78">
        <w:rPr>
          <w:b/>
          <w:bCs/>
          <w:noProof/>
        </w:rPr>
        <w:tab/>
        <w:t>SPECIALIOS ATSARGUMO PRIEMONĖS DĖL NESUVARTOTO VAISTINIO PREPARATO AR JO ATLIEKŲ TVARKYMO (JEI REIKIA)</w:t>
      </w:r>
    </w:p>
    <w:p w14:paraId="7D4DDA63" w14:textId="77777777" w:rsidR="00967B3B" w:rsidRPr="00216B78" w:rsidRDefault="00967B3B" w:rsidP="003C7D7C"/>
    <w:p w14:paraId="2EC015CE" w14:textId="77777777" w:rsidR="00967B3B" w:rsidRPr="00216B78" w:rsidRDefault="00967B3B" w:rsidP="003C7D7C">
      <w:pPr>
        <w:rPr>
          <w:noProof/>
        </w:rPr>
      </w:pPr>
    </w:p>
    <w:p w14:paraId="1A1153D5" w14:textId="77777777" w:rsidR="00967B3B" w:rsidRPr="00216B78" w:rsidRDefault="00967B3B" w:rsidP="003C7D7C">
      <w:pPr>
        <w:pBdr>
          <w:top w:val="single" w:sz="4" w:space="1" w:color="auto"/>
          <w:left w:val="single" w:sz="4" w:space="4" w:color="auto"/>
          <w:bottom w:val="single" w:sz="4" w:space="1" w:color="auto"/>
          <w:right w:val="single" w:sz="4" w:space="4" w:color="auto"/>
        </w:pBdr>
        <w:outlineLvl w:val="0"/>
        <w:rPr>
          <w:b/>
          <w:noProof/>
        </w:rPr>
      </w:pPr>
      <w:r w:rsidRPr="00216B78">
        <w:rPr>
          <w:b/>
          <w:bCs/>
          <w:noProof/>
        </w:rPr>
        <w:lastRenderedPageBreak/>
        <w:t>11.</w:t>
      </w:r>
      <w:r w:rsidRPr="00216B78">
        <w:rPr>
          <w:b/>
          <w:bCs/>
          <w:noProof/>
        </w:rPr>
        <w:tab/>
        <w:t>REGISTRUOTOJO PAVADINIMAS IR ADRESAS</w:t>
      </w:r>
    </w:p>
    <w:p w14:paraId="25C9DD9C" w14:textId="77777777" w:rsidR="00967B3B" w:rsidRPr="00216B78" w:rsidRDefault="00967B3B" w:rsidP="003C7D7C">
      <w:pPr>
        <w:rPr>
          <w:noProof/>
        </w:rPr>
      </w:pPr>
    </w:p>
    <w:p w14:paraId="4C476B3C" w14:textId="77777777" w:rsidR="00967B3B" w:rsidRPr="00216B78" w:rsidRDefault="00967B3B" w:rsidP="003C7D7C">
      <w:pPr>
        <w:tabs>
          <w:tab w:val="left" w:pos="567"/>
        </w:tabs>
        <w:rPr>
          <w:rFonts w:eastAsia="Times New Roman"/>
        </w:rPr>
      </w:pPr>
      <w:r w:rsidRPr="00216B78">
        <w:rPr>
          <w:rFonts w:eastAsia="Times New Roman"/>
        </w:rPr>
        <w:t>Octapharma (IP) SPRL</w:t>
      </w:r>
    </w:p>
    <w:p w14:paraId="4D952FC1" w14:textId="5D3C3088" w:rsidR="0036273F" w:rsidRPr="00216B78" w:rsidRDefault="0096724E" w:rsidP="003C7D7C">
      <w:pPr>
        <w:tabs>
          <w:tab w:val="left" w:pos="567"/>
        </w:tabs>
        <w:rPr>
          <w:rFonts w:eastAsia="Times New Roman"/>
        </w:rPr>
      </w:pPr>
      <w:r>
        <w:rPr>
          <w:rFonts w:eastAsia="Times New Roman"/>
        </w:rPr>
        <w:t>Route de Lennik 451</w:t>
      </w:r>
    </w:p>
    <w:p w14:paraId="22B18128" w14:textId="5C5F563C" w:rsidR="00967B3B" w:rsidRPr="00216B78" w:rsidRDefault="00967B3B" w:rsidP="003C7D7C">
      <w:pPr>
        <w:tabs>
          <w:tab w:val="left" w:pos="567"/>
        </w:tabs>
        <w:rPr>
          <w:rFonts w:eastAsia="Times New Roman"/>
        </w:rPr>
      </w:pPr>
      <w:r w:rsidRPr="00216B78">
        <w:rPr>
          <w:rFonts w:eastAsia="Times New Roman"/>
        </w:rPr>
        <w:t>1070 Anderlecht</w:t>
      </w:r>
    </w:p>
    <w:p w14:paraId="0EB4A38A" w14:textId="77777777" w:rsidR="00967B3B" w:rsidRPr="00216B78" w:rsidRDefault="00967B3B" w:rsidP="003C7D7C">
      <w:pPr>
        <w:tabs>
          <w:tab w:val="left" w:pos="567"/>
        </w:tabs>
        <w:rPr>
          <w:rFonts w:eastAsia="Times New Roman"/>
        </w:rPr>
      </w:pPr>
      <w:r w:rsidRPr="00216B78">
        <w:rPr>
          <w:rFonts w:eastAsia="Times New Roman"/>
        </w:rPr>
        <w:t>Belgija</w:t>
      </w:r>
    </w:p>
    <w:p w14:paraId="42F2ADF7" w14:textId="77777777" w:rsidR="00967B3B" w:rsidRPr="00216B78" w:rsidRDefault="00967B3B" w:rsidP="003C7D7C">
      <w:pPr>
        <w:rPr>
          <w:b/>
          <w:bCs/>
        </w:rPr>
      </w:pPr>
    </w:p>
    <w:p w14:paraId="7308A57C" w14:textId="77777777" w:rsidR="00967B3B" w:rsidRPr="00216B78" w:rsidRDefault="00967B3B" w:rsidP="003C7D7C">
      <w:pPr>
        <w:rPr>
          <w:noProof/>
        </w:rPr>
      </w:pPr>
    </w:p>
    <w:p w14:paraId="2DC16E33" w14:textId="77777777" w:rsidR="00967B3B" w:rsidRPr="00216B78" w:rsidRDefault="00967B3B" w:rsidP="003C7D7C">
      <w:pPr>
        <w:pBdr>
          <w:top w:val="single" w:sz="4" w:space="1" w:color="auto"/>
          <w:left w:val="single" w:sz="4" w:space="4" w:color="auto"/>
          <w:bottom w:val="single" w:sz="4" w:space="1" w:color="auto"/>
          <w:right w:val="single" w:sz="4" w:space="4" w:color="auto"/>
        </w:pBdr>
        <w:outlineLvl w:val="0"/>
        <w:rPr>
          <w:b/>
          <w:bCs/>
          <w:noProof/>
        </w:rPr>
      </w:pPr>
      <w:r w:rsidRPr="00216B78">
        <w:rPr>
          <w:b/>
          <w:bCs/>
          <w:noProof/>
        </w:rPr>
        <w:t>12.</w:t>
      </w:r>
      <w:r w:rsidRPr="00216B78">
        <w:rPr>
          <w:b/>
          <w:bCs/>
          <w:noProof/>
        </w:rPr>
        <w:tab/>
        <w:t>REGISTRACIJOS PAŽYMĖJIMO NUMERIS (-IAI)</w:t>
      </w:r>
    </w:p>
    <w:p w14:paraId="70AD6095" w14:textId="77777777" w:rsidR="00967B3B" w:rsidRPr="00216B78" w:rsidRDefault="00967B3B" w:rsidP="003C7D7C">
      <w:pPr>
        <w:rPr>
          <w:noProof/>
        </w:rPr>
      </w:pPr>
    </w:p>
    <w:p w14:paraId="465F2DF6" w14:textId="77777777" w:rsidR="00967B3B" w:rsidRPr="00216B78" w:rsidRDefault="006303B5" w:rsidP="003C7D7C">
      <w:r w:rsidRPr="00216B78">
        <w:t>LT/1/20/4597/001</w:t>
      </w:r>
    </w:p>
    <w:p w14:paraId="4C731DB1" w14:textId="77777777" w:rsidR="006303B5" w:rsidRPr="00216B78" w:rsidRDefault="006303B5" w:rsidP="003C7D7C"/>
    <w:p w14:paraId="7746FBA5" w14:textId="77777777" w:rsidR="006303B5" w:rsidRPr="00216B78" w:rsidRDefault="006303B5" w:rsidP="003C7D7C">
      <w:pPr>
        <w:rPr>
          <w:noProof/>
        </w:rPr>
      </w:pPr>
    </w:p>
    <w:p w14:paraId="7930DBCE" w14:textId="77777777" w:rsidR="00967B3B" w:rsidRPr="00216B78" w:rsidRDefault="00967B3B" w:rsidP="003C7D7C">
      <w:pPr>
        <w:pBdr>
          <w:top w:val="single" w:sz="4" w:space="1" w:color="auto"/>
          <w:left w:val="single" w:sz="4" w:space="4" w:color="auto"/>
          <w:bottom w:val="single" w:sz="4" w:space="1" w:color="auto"/>
          <w:right w:val="single" w:sz="4" w:space="4" w:color="auto"/>
        </w:pBdr>
        <w:outlineLvl w:val="0"/>
        <w:rPr>
          <w:noProof/>
        </w:rPr>
      </w:pPr>
      <w:r w:rsidRPr="00216B78">
        <w:rPr>
          <w:b/>
          <w:bCs/>
          <w:noProof/>
        </w:rPr>
        <w:t>13.</w:t>
      </w:r>
      <w:r w:rsidRPr="00216B78">
        <w:rPr>
          <w:b/>
          <w:bCs/>
          <w:noProof/>
        </w:rPr>
        <w:tab/>
        <w:t>SERIJOS NUMERIS</w:t>
      </w:r>
    </w:p>
    <w:p w14:paraId="626D5935" w14:textId="77777777" w:rsidR="00967B3B" w:rsidRPr="00216B78" w:rsidRDefault="00967B3B" w:rsidP="003C7D7C">
      <w:pPr>
        <w:rPr>
          <w:noProof/>
        </w:rPr>
      </w:pPr>
    </w:p>
    <w:p w14:paraId="18042B56" w14:textId="77777777" w:rsidR="00967B3B" w:rsidRPr="00216B78" w:rsidRDefault="00967B3B" w:rsidP="003C7D7C">
      <w:pPr>
        <w:rPr>
          <w:noProof/>
        </w:rPr>
      </w:pPr>
      <w:r w:rsidRPr="00216B78">
        <w:rPr>
          <w:noProof/>
        </w:rPr>
        <w:t>Serija</w:t>
      </w:r>
    </w:p>
    <w:p w14:paraId="72FF36FD" w14:textId="77777777" w:rsidR="00967B3B" w:rsidRPr="00216B78" w:rsidRDefault="00967B3B" w:rsidP="003C7D7C">
      <w:pPr>
        <w:rPr>
          <w:noProof/>
        </w:rPr>
      </w:pPr>
    </w:p>
    <w:p w14:paraId="43ED8351" w14:textId="77777777" w:rsidR="00967B3B" w:rsidRPr="00216B78" w:rsidRDefault="00967B3B" w:rsidP="003C7D7C">
      <w:pPr>
        <w:rPr>
          <w:noProof/>
        </w:rPr>
      </w:pPr>
    </w:p>
    <w:p w14:paraId="09D39A90" w14:textId="77777777" w:rsidR="00967B3B" w:rsidRPr="00216B78" w:rsidRDefault="00967B3B" w:rsidP="003C7D7C">
      <w:pPr>
        <w:pBdr>
          <w:top w:val="single" w:sz="4" w:space="1" w:color="auto"/>
          <w:left w:val="single" w:sz="4" w:space="4" w:color="auto"/>
          <w:bottom w:val="single" w:sz="4" w:space="1" w:color="auto"/>
          <w:right w:val="single" w:sz="4" w:space="4" w:color="auto"/>
        </w:pBdr>
        <w:outlineLvl w:val="0"/>
        <w:rPr>
          <w:noProof/>
        </w:rPr>
      </w:pPr>
      <w:r w:rsidRPr="00216B78">
        <w:rPr>
          <w:b/>
          <w:bCs/>
          <w:noProof/>
        </w:rPr>
        <w:t>14.</w:t>
      </w:r>
      <w:r w:rsidRPr="00216B78">
        <w:rPr>
          <w:b/>
          <w:bCs/>
          <w:noProof/>
        </w:rPr>
        <w:tab/>
        <w:t>PARDAVIMO (IŠDAVIMO) TVARKA</w:t>
      </w:r>
    </w:p>
    <w:p w14:paraId="15DD3B84" w14:textId="77777777" w:rsidR="00967B3B" w:rsidRPr="00216B78" w:rsidRDefault="00967B3B" w:rsidP="003C7D7C">
      <w:pPr>
        <w:rPr>
          <w:noProof/>
        </w:rPr>
      </w:pPr>
    </w:p>
    <w:p w14:paraId="6340E914" w14:textId="77777777" w:rsidR="00967B3B" w:rsidRPr="00216B78" w:rsidRDefault="00BF0DE5" w:rsidP="003C7D7C">
      <w:pPr>
        <w:rPr>
          <w:noProof/>
        </w:rPr>
      </w:pPr>
      <w:r w:rsidRPr="00216B78">
        <w:rPr>
          <w:noProof/>
        </w:rPr>
        <w:t>Receptinis vaistas.</w:t>
      </w:r>
    </w:p>
    <w:p w14:paraId="4C3A91F6" w14:textId="77777777" w:rsidR="00967B3B" w:rsidRPr="00216B78" w:rsidRDefault="00967B3B" w:rsidP="003C7D7C">
      <w:pPr>
        <w:rPr>
          <w:noProof/>
        </w:rPr>
      </w:pPr>
    </w:p>
    <w:p w14:paraId="7DFE6135" w14:textId="77777777" w:rsidR="00967B3B" w:rsidRPr="00216B78" w:rsidRDefault="00967B3B" w:rsidP="003C7D7C">
      <w:pPr>
        <w:rPr>
          <w:noProof/>
        </w:rPr>
      </w:pPr>
    </w:p>
    <w:p w14:paraId="22E41C1A" w14:textId="77777777" w:rsidR="00967B3B" w:rsidRPr="00216B78" w:rsidRDefault="00967B3B" w:rsidP="003C7D7C">
      <w:pPr>
        <w:pBdr>
          <w:top w:val="single" w:sz="4" w:space="1" w:color="auto"/>
          <w:left w:val="single" w:sz="4" w:space="4" w:color="auto"/>
          <w:bottom w:val="single" w:sz="4" w:space="1" w:color="auto"/>
          <w:right w:val="single" w:sz="4" w:space="4" w:color="auto"/>
        </w:pBdr>
        <w:outlineLvl w:val="0"/>
        <w:rPr>
          <w:noProof/>
        </w:rPr>
      </w:pPr>
      <w:r w:rsidRPr="00216B78">
        <w:rPr>
          <w:b/>
          <w:bCs/>
          <w:noProof/>
        </w:rPr>
        <w:t>15.</w:t>
      </w:r>
      <w:r w:rsidRPr="00216B78">
        <w:rPr>
          <w:b/>
          <w:bCs/>
          <w:noProof/>
        </w:rPr>
        <w:tab/>
        <w:t>VARTOJIMO INSTRUKCIJA</w:t>
      </w:r>
    </w:p>
    <w:p w14:paraId="2416D003" w14:textId="77777777" w:rsidR="00967B3B" w:rsidRPr="00216B78" w:rsidRDefault="00967B3B" w:rsidP="003C7D7C">
      <w:pPr>
        <w:rPr>
          <w:noProof/>
        </w:rPr>
      </w:pPr>
    </w:p>
    <w:p w14:paraId="1A36D045" w14:textId="77777777" w:rsidR="00967B3B" w:rsidRPr="00216B78" w:rsidRDefault="00967B3B" w:rsidP="003C7D7C">
      <w:pPr>
        <w:rPr>
          <w:noProof/>
        </w:rPr>
      </w:pPr>
    </w:p>
    <w:p w14:paraId="43E09DFD" w14:textId="77777777" w:rsidR="00967B3B" w:rsidRPr="00216B78" w:rsidRDefault="00967B3B" w:rsidP="003C7D7C">
      <w:pPr>
        <w:pBdr>
          <w:top w:val="single" w:sz="4" w:space="1" w:color="auto"/>
          <w:left w:val="single" w:sz="4" w:space="4" w:color="auto"/>
          <w:bottom w:val="single" w:sz="4" w:space="1" w:color="auto"/>
          <w:right w:val="single" w:sz="4" w:space="4" w:color="auto"/>
        </w:pBdr>
        <w:outlineLvl w:val="0"/>
        <w:rPr>
          <w:noProof/>
        </w:rPr>
      </w:pPr>
      <w:r w:rsidRPr="00216B78">
        <w:rPr>
          <w:b/>
          <w:bCs/>
          <w:noProof/>
        </w:rPr>
        <w:t>16.</w:t>
      </w:r>
      <w:r w:rsidRPr="00216B78">
        <w:rPr>
          <w:b/>
          <w:bCs/>
          <w:noProof/>
        </w:rPr>
        <w:tab/>
        <w:t>INFORMACIJA BRAILIO RAŠTU</w:t>
      </w:r>
    </w:p>
    <w:p w14:paraId="1B19D239" w14:textId="77777777" w:rsidR="00967B3B" w:rsidRPr="00216B78" w:rsidRDefault="00967B3B" w:rsidP="003C7D7C">
      <w:pPr>
        <w:rPr>
          <w:noProof/>
        </w:rPr>
      </w:pPr>
    </w:p>
    <w:p w14:paraId="48A289FB" w14:textId="77777777" w:rsidR="00967B3B" w:rsidRPr="00216B78" w:rsidRDefault="00967B3B" w:rsidP="003C7D7C">
      <w:pPr>
        <w:rPr>
          <w:noProof/>
        </w:rPr>
      </w:pPr>
      <w:r w:rsidRPr="00216B78">
        <w:rPr>
          <w:iCs/>
          <w:highlight w:val="lightGray"/>
        </w:rPr>
        <w:t>Priimtas pagrindimas informacijos Brailio raštu nepateikti.</w:t>
      </w:r>
    </w:p>
    <w:p w14:paraId="1E9441A5" w14:textId="77777777" w:rsidR="00967B3B" w:rsidRPr="00216B78" w:rsidRDefault="00967B3B" w:rsidP="003C7D7C">
      <w:pPr>
        <w:rPr>
          <w:noProof/>
        </w:rPr>
      </w:pPr>
    </w:p>
    <w:p w14:paraId="38A71A27" w14:textId="77777777" w:rsidR="00BF0DE5" w:rsidRPr="00216B78" w:rsidRDefault="00BF0DE5" w:rsidP="003C7D7C">
      <w:pPr>
        <w:rPr>
          <w:noProof/>
        </w:rPr>
      </w:pPr>
    </w:p>
    <w:p w14:paraId="7DA32162" w14:textId="77777777" w:rsidR="00967B3B" w:rsidRPr="00216B78" w:rsidRDefault="00967B3B" w:rsidP="003C7D7C">
      <w:pPr>
        <w:pBdr>
          <w:top w:val="single" w:sz="4" w:space="1" w:color="auto"/>
          <w:left w:val="single" w:sz="4" w:space="4" w:color="auto"/>
          <w:bottom w:val="single" w:sz="4" w:space="1" w:color="auto"/>
          <w:right w:val="single" w:sz="4" w:space="4" w:color="auto"/>
        </w:pBdr>
        <w:outlineLvl w:val="0"/>
        <w:rPr>
          <w:noProof/>
        </w:rPr>
      </w:pPr>
      <w:r w:rsidRPr="00216B78">
        <w:rPr>
          <w:b/>
          <w:bCs/>
          <w:noProof/>
        </w:rPr>
        <w:t>17.</w:t>
      </w:r>
      <w:r w:rsidRPr="00216B78">
        <w:rPr>
          <w:b/>
          <w:bCs/>
          <w:noProof/>
        </w:rPr>
        <w:tab/>
        <w:t>UNIKALUS IDENTIFIKATORIUS – 2D BRŪKŠNINIS KODAS</w:t>
      </w:r>
    </w:p>
    <w:p w14:paraId="764496EC" w14:textId="77777777" w:rsidR="00967B3B" w:rsidRPr="00216B78" w:rsidRDefault="00967B3B" w:rsidP="003C7D7C">
      <w:pPr>
        <w:rPr>
          <w:noProof/>
        </w:rPr>
      </w:pPr>
    </w:p>
    <w:p w14:paraId="405ED259" w14:textId="77777777" w:rsidR="00967B3B" w:rsidRPr="00216B78" w:rsidRDefault="00967B3B" w:rsidP="003C7D7C">
      <w:pPr>
        <w:rPr>
          <w:noProof/>
        </w:rPr>
      </w:pPr>
    </w:p>
    <w:p w14:paraId="10B8687E" w14:textId="77777777" w:rsidR="00967B3B" w:rsidRPr="00216B78" w:rsidRDefault="00967B3B" w:rsidP="003C7D7C">
      <w:pPr>
        <w:pBdr>
          <w:top w:val="single" w:sz="4" w:space="1" w:color="auto"/>
          <w:left w:val="single" w:sz="4" w:space="4" w:color="auto"/>
          <w:bottom w:val="single" w:sz="4" w:space="1" w:color="auto"/>
          <w:right w:val="single" w:sz="4" w:space="4" w:color="auto"/>
        </w:pBdr>
        <w:outlineLvl w:val="0"/>
        <w:rPr>
          <w:noProof/>
        </w:rPr>
      </w:pPr>
      <w:r w:rsidRPr="00216B78">
        <w:rPr>
          <w:b/>
          <w:bCs/>
          <w:noProof/>
        </w:rPr>
        <w:t>18.</w:t>
      </w:r>
      <w:r w:rsidRPr="00216B78">
        <w:rPr>
          <w:b/>
          <w:bCs/>
          <w:noProof/>
        </w:rPr>
        <w:tab/>
        <w:t>UNIKALUS IDENTIFIKATORIUS – ŽMONĖMS SUPRANTAMI DUOMENYS</w:t>
      </w:r>
    </w:p>
    <w:p w14:paraId="0D8D5A2E" w14:textId="77777777" w:rsidR="00967B3B" w:rsidRPr="00216B78" w:rsidRDefault="00967B3B" w:rsidP="003C7D7C">
      <w:pPr>
        <w:rPr>
          <w:noProof/>
        </w:rPr>
      </w:pPr>
    </w:p>
    <w:p w14:paraId="02C9573A" w14:textId="77777777" w:rsidR="00967B3B" w:rsidRPr="00216B78" w:rsidRDefault="00967B3B" w:rsidP="003C7D7C">
      <w:pPr>
        <w:rPr>
          <w:noProof/>
        </w:rPr>
      </w:pPr>
    </w:p>
    <w:p w14:paraId="01240E9C" w14:textId="77777777" w:rsidR="003451F2" w:rsidRPr="00216B78" w:rsidRDefault="003451F2" w:rsidP="003C7D7C">
      <w:pPr>
        <w:rPr>
          <w:rFonts w:eastAsia="Times New Roman"/>
          <w:snapToGrid w:val="0"/>
        </w:rPr>
      </w:pPr>
      <w:r w:rsidRPr="00216B78">
        <w:br w:type="page"/>
      </w:r>
    </w:p>
    <w:p w14:paraId="5F51358A" w14:textId="77777777" w:rsidR="003451F2" w:rsidRPr="00216B78" w:rsidRDefault="003451F2" w:rsidP="00E457A0">
      <w:pPr>
        <w:tabs>
          <w:tab w:val="left" w:pos="567"/>
          <w:tab w:val="left" w:pos="7980"/>
        </w:tabs>
        <w:rPr>
          <w:rFonts w:eastAsia="Times New Roman"/>
          <w:snapToGrid w:val="0"/>
        </w:rPr>
      </w:pPr>
    </w:p>
    <w:p w14:paraId="497FC8D1" w14:textId="77777777" w:rsidR="003451F2" w:rsidRPr="00216B78" w:rsidRDefault="003451F2" w:rsidP="00E457A0">
      <w:pPr>
        <w:tabs>
          <w:tab w:val="left" w:pos="567"/>
        </w:tabs>
        <w:rPr>
          <w:rFonts w:eastAsia="Times New Roman"/>
          <w:snapToGrid w:val="0"/>
        </w:rPr>
      </w:pPr>
    </w:p>
    <w:p w14:paraId="4647D0EB" w14:textId="77777777" w:rsidR="003451F2" w:rsidRPr="00216B78" w:rsidRDefault="003451F2" w:rsidP="00E457A0">
      <w:pPr>
        <w:tabs>
          <w:tab w:val="left" w:pos="567"/>
        </w:tabs>
        <w:rPr>
          <w:rFonts w:eastAsia="Times New Roman"/>
          <w:snapToGrid w:val="0"/>
        </w:rPr>
      </w:pPr>
    </w:p>
    <w:p w14:paraId="4C269CCA" w14:textId="77777777" w:rsidR="003451F2" w:rsidRPr="00216B78" w:rsidRDefault="003451F2" w:rsidP="00E457A0">
      <w:pPr>
        <w:tabs>
          <w:tab w:val="left" w:pos="567"/>
        </w:tabs>
        <w:rPr>
          <w:rFonts w:eastAsia="Times New Roman"/>
          <w:snapToGrid w:val="0"/>
        </w:rPr>
      </w:pPr>
    </w:p>
    <w:p w14:paraId="0059CDEC" w14:textId="77777777" w:rsidR="003451F2" w:rsidRPr="00216B78" w:rsidRDefault="003451F2" w:rsidP="00E457A0">
      <w:pPr>
        <w:tabs>
          <w:tab w:val="left" w:pos="567"/>
        </w:tabs>
        <w:rPr>
          <w:rFonts w:eastAsia="Times New Roman"/>
          <w:snapToGrid w:val="0"/>
        </w:rPr>
      </w:pPr>
    </w:p>
    <w:p w14:paraId="103D96BA" w14:textId="77777777" w:rsidR="003451F2" w:rsidRPr="00216B78" w:rsidRDefault="003451F2" w:rsidP="00E457A0">
      <w:pPr>
        <w:tabs>
          <w:tab w:val="left" w:pos="567"/>
        </w:tabs>
        <w:rPr>
          <w:rFonts w:eastAsia="Times New Roman"/>
          <w:snapToGrid w:val="0"/>
        </w:rPr>
      </w:pPr>
    </w:p>
    <w:p w14:paraId="25CC15B2" w14:textId="77777777" w:rsidR="003451F2" w:rsidRPr="00216B78" w:rsidRDefault="003451F2" w:rsidP="00E457A0">
      <w:pPr>
        <w:tabs>
          <w:tab w:val="left" w:pos="567"/>
        </w:tabs>
        <w:rPr>
          <w:rFonts w:eastAsia="Times New Roman"/>
          <w:snapToGrid w:val="0"/>
        </w:rPr>
      </w:pPr>
    </w:p>
    <w:p w14:paraId="21691162" w14:textId="77777777" w:rsidR="003451F2" w:rsidRPr="00216B78" w:rsidRDefault="003451F2" w:rsidP="00BE3B67">
      <w:pPr>
        <w:tabs>
          <w:tab w:val="left" w:pos="567"/>
        </w:tabs>
        <w:rPr>
          <w:rFonts w:eastAsia="Times New Roman"/>
          <w:snapToGrid w:val="0"/>
        </w:rPr>
      </w:pPr>
    </w:p>
    <w:p w14:paraId="56CC9FBC" w14:textId="77777777" w:rsidR="003451F2" w:rsidRPr="00216B78" w:rsidRDefault="003451F2" w:rsidP="00BE3B67">
      <w:pPr>
        <w:tabs>
          <w:tab w:val="left" w:pos="567"/>
        </w:tabs>
        <w:rPr>
          <w:rFonts w:eastAsia="Times New Roman"/>
          <w:snapToGrid w:val="0"/>
        </w:rPr>
      </w:pPr>
    </w:p>
    <w:p w14:paraId="0318E5EA" w14:textId="77777777" w:rsidR="003451F2" w:rsidRPr="00216B78" w:rsidRDefault="003451F2" w:rsidP="00BE3B67">
      <w:pPr>
        <w:tabs>
          <w:tab w:val="left" w:pos="567"/>
        </w:tabs>
        <w:rPr>
          <w:rFonts w:eastAsia="Times New Roman"/>
          <w:snapToGrid w:val="0"/>
        </w:rPr>
      </w:pPr>
    </w:p>
    <w:p w14:paraId="6D38E3B9" w14:textId="77777777" w:rsidR="00000B72" w:rsidRPr="00216B78" w:rsidRDefault="00000B72" w:rsidP="00897C76"/>
    <w:p w14:paraId="3A85265F" w14:textId="77777777" w:rsidR="00897C76" w:rsidRPr="00216B78" w:rsidRDefault="00897C76" w:rsidP="00897C76"/>
    <w:p w14:paraId="211DE627" w14:textId="77777777" w:rsidR="00897C76" w:rsidRPr="00216B78" w:rsidRDefault="00897C76" w:rsidP="00897C76"/>
    <w:p w14:paraId="13131F44" w14:textId="77777777" w:rsidR="00897C76" w:rsidRPr="00216B78" w:rsidRDefault="00897C76" w:rsidP="00897C76"/>
    <w:p w14:paraId="5FA336EA" w14:textId="77777777" w:rsidR="00897C76" w:rsidRPr="00216B78" w:rsidRDefault="00897C76" w:rsidP="00897C76"/>
    <w:p w14:paraId="137E863A" w14:textId="77777777" w:rsidR="00897C76" w:rsidRPr="00216B78" w:rsidRDefault="00897C76" w:rsidP="00897C76"/>
    <w:p w14:paraId="77F02307" w14:textId="77777777" w:rsidR="00897C76" w:rsidRPr="00216B78" w:rsidRDefault="00897C76" w:rsidP="00897C76"/>
    <w:p w14:paraId="527CBA14" w14:textId="77777777" w:rsidR="00897C76" w:rsidRPr="00216B78" w:rsidRDefault="00897C76" w:rsidP="00897C76"/>
    <w:p w14:paraId="15FB78E5" w14:textId="77777777" w:rsidR="00897C76" w:rsidRPr="00216B78" w:rsidRDefault="00897C76" w:rsidP="00897C76"/>
    <w:p w14:paraId="6B59A4AF" w14:textId="77777777" w:rsidR="00897C76" w:rsidRPr="00216B78" w:rsidRDefault="00897C76" w:rsidP="00897C76"/>
    <w:p w14:paraId="690FAFF4" w14:textId="77777777" w:rsidR="00897C76" w:rsidRPr="00216B78" w:rsidRDefault="00897C76" w:rsidP="00897C76"/>
    <w:p w14:paraId="19DE1084" w14:textId="77777777" w:rsidR="00897C76" w:rsidRPr="00216B78" w:rsidRDefault="00897C76" w:rsidP="00897C76"/>
    <w:p w14:paraId="772C4881" w14:textId="77777777" w:rsidR="00897C76" w:rsidRPr="00216B78" w:rsidRDefault="00897C76" w:rsidP="00463F94"/>
    <w:p w14:paraId="78E671AC" w14:textId="77777777" w:rsidR="003451F2" w:rsidRPr="00216B78" w:rsidRDefault="003451F2" w:rsidP="00463F94">
      <w:pPr>
        <w:tabs>
          <w:tab w:val="left" w:pos="567"/>
        </w:tabs>
        <w:jc w:val="center"/>
        <w:rPr>
          <w:rFonts w:eastAsia="Times New Roman"/>
          <w:snapToGrid w:val="0"/>
        </w:rPr>
      </w:pPr>
      <w:r w:rsidRPr="00216B78">
        <w:rPr>
          <w:rFonts w:eastAsia="Times New Roman"/>
          <w:b/>
          <w:snapToGrid w:val="0"/>
        </w:rPr>
        <w:t>B. PAKUOTĖS LAPELIS</w:t>
      </w:r>
    </w:p>
    <w:p w14:paraId="3BA3DA95" w14:textId="77777777" w:rsidR="003451F2" w:rsidRPr="00216B78" w:rsidRDefault="003451F2" w:rsidP="00BE3B67">
      <w:pPr>
        <w:rPr>
          <w:b/>
        </w:rPr>
      </w:pPr>
      <w:r w:rsidRPr="00216B78">
        <w:rPr>
          <w:rFonts w:eastAsia="Times New Roman"/>
          <w:b/>
          <w:snapToGrid w:val="0"/>
        </w:rPr>
        <w:br w:type="page"/>
      </w:r>
    </w:p>
    <w:p w14:paraId="18054CCA" w14:textId="77777777" w:rsidR="00967B3B" w:rsidRPr="00216B78" w:rsidRDefault="006A317E" w:rsidP="006A317E">
      <w:pPr>
        <w:pStyle w:val="Default"/>
        <w:jc w:val="center"/>
        <w:rPr>
          <w:b/>
          <w:color w:val="auto"/>
          <w:sz w:val="22"/>
          <w:szCs w:val="22"/>
          <w:lang w:val="lt-LT"/>
        </w:rPr>
      </w:pPr>
      <w:r w:rsidRPr="00216B78">
        <w:rPr>
          <w:b/>
          <w:color w:val="auto"/>
          <w:sz w:val="22"/>
          <w:szCs w:val="22"/>
          <w:lang w:val="lt-LT"/>
        </w:rPr>
        <w:lastRenderedPageBreak/>
        <w:t>Pakuotės lapelis: informacija vartotojui</w:t>
      </w:r>
    </w:p>
    <w:p w14:paraId="1E5F9FE0" w14:textId="77777777" w:rsidR="006A317E" w:rsidRPr="00216B78" w:rsidRDefault="006A317E" w:rsidP="006A317E">
      <w:pPr>
        <w:pStyle w:val="Default"/>
        <w:jc w:val="center"/>
        <w:rPr>
          <w:color w:val="auto"/>
          <w:sz w:val="22"/>
          <w:szCs w:val="22"/>
          <w:lang w:val="lt-LT"/>
        </w:rPr>
      </w:pPr>
    </w:p>
    <w:p w14:paraId="55851A95" w14:textId="77777777" w:rsidR="00967B3B" w:rsidRPr="00216B78" w:rsidRDefault="008F18DA">
      <w:pPr>
        <w:pStyle w:val="Default"/>
        <w:jc w:val="center"/>
        <w:rPr>
          <w:sz w:val="22"/>
          <w:szCs w:val="22"/>
          <w:lang w:val="lt-LT"/>
        </w:rPr>
      </w:pPr>
      <w:r w:rsidRPr="00216B78">
        <w:rPr>
          <w:b/>
          <w:bCs/>
          <w:sz w:val="22"/>
          <w:szCs w:val="22"/>
          <w:lang w:val="lt-LT"/>
        </w:rPr>
        <w:t xml:space="preserve">fibryga </w:t>
      </w:r>
      <w:r w:rsidR="00967B3B" w:rsidRPr="00216B78">
        <w:rPr>
          <w:b/>
          <w:bCs/>
          <w:sz w:val="22"/>
          <w:szCs w:val="22"/>
          <w:lang w:val="lt-LT"/>
        </w:rPr>
        <w:t>1 g</w:t>
      </w:r>
      <w:r w:rsidR="00BF0DE5" w:rsidRPr="00216B78">
        <w:rPr>
          <w:b/>
          <w:bCs/>
          <w:sz w:val="22"/>
          <w:szCs w:val="22"/>
          <w:lang w:val="lt-LT"/>
        </w:rPr>
        <w:t xml:space="preserve"> m</w:t>
      </w:r>
      <w:r w:rsidR="00967B3B" w:rsidRPr="00216B78">
        <w:rPr>
          <w:b/>
          <w:bCs/>
          <w:sz w:val="22"/>
          <w:szCs w:val="22"/>
          <w:lang w:val="lt-LT"/>
        </w:rPr>
        <w:t>ilteliai ir tirpiklis injekciniam ar infuziniam tirpalui</w:t>
      </w:r>
    </w:p>
    <w:p w14:paraId="6E59A788" w14:textId="77777777" w:rsidR="00967B3B" w:rsidRPr="00216B78" w:rsidRDefault="00967B3B" w:rsidP="00967B3B">
      <w:pPr>
        <w:pStyle w:val="Default"/>
        <w:jc w:val="center"/>
        <w:rPr>
          <w:sz w:val="22"/>
          <w:szCs w:val="22"/>
          <w:lang w:val="lt-LT"/>
        </w:rPr>
      </w:pPr>
      <w:r w:rsidRPr="00216B78">
        <w:rPr>
          <w:sz w:val="22"/>
          <w:szCs w:val="22"/>
          <w:lang w:val="lt-LT"/>
        </w:rPr>
        <w:t>Žmogaus fibrinogenas</w:t>
      </w:r>
    </w:p>
    <w:p w14:paraId="007D11B5" w14:textId="77777777" w:rsidR="00967B3B" w:rsidRPr="00216B78" w:rsidRDefault="00967B3B" w:rsidP="00967B3B">
      <w:pPr>
        <w:pStyle w:val="Default"/>
        <w:jc w:val="center"/>
        <w:rPr>
          <w:sz w:val="22"/>
          <w:szCs w:val="22"/>
          <w:lang w:val="lt-LT"/>
        </w:rPr>
      </w:pPr>
    </w:p>
    <w:p w14:paraId="0D981DCB" w14:textId="77777777" w:rsidR="007718AC" w:rsidRPr="00216B78" w:rsidRDefault="00967B3B" w:rsidP="00A86931">
      <w:pPr>
        <w:pStyle w:val="Default"/>
        <w:rPr>
          <w:sz w:val="22"/>
          <w:szCs w:val="22"/>
          <w:lang w:val="lt-LT"/>
        </w:rPr>
      </w:pPr>
      <w:r w:rsidRPr="00216B78">
        <w:rPr>
          <w:b/>
          <w:bCs/>
          <w:sz w:val="22"/>
          <w:szCs w:val="22"/>
          <w:lang w:val="lt-LT"/>
        </w:rPr>
        <w:t>Atidžiai perskaitykite visą šį lapelį, prieš pradėdami vartoti vaistą, nes jame pateikiama Jums svarbi informacija.</w:t>
      </w:r>
    </w:p>
    <w:p w14:paraId="1FBBAF91" w14:textId="77777777" w:rsidR="003C7D7C" w:rsidRPr="00216B78" w:rsidRDefault="00967B3B" w:rsidP="00B64F51">
      <w:pPr>
        <w:pStyle w:val="Default"/>
        <w:numPr>
          <w:ilvl w:val="0"/>
          <w:numId w:val="2"/>
        </w:numPr>
        <w:ind w:left="567" w:hanging="567"/>
        <w:rPr>
          <w:sz w:val="22"/>
          <w:szCs w:val="22"/>
          <w:lang w:val="lt-LT"/>
        </w:rPr>
      </w:pPr>
      <w:r w:rsidRPr="00216B78">
        <w:rPr>
          <w:sz w:val="22"/>
          <w:szCs w:val="22"/>
          <w:lang w:val="lt-LT"/>
        </w:rPr>
        <w:t>Neišmeskite šio lapelio, nes vėl gali prireikti jį perskaityti.</w:t>
      </w:r>
    </w:p>
    <w:p w14:paraId="7E4B17B4" w14:textId="77777777" w:rsidR="003C7D7C" w:rsidRPr="00216B78" w:rsidRDefault="00967B3B" w:rsidP="00B64F51">
      <w:pPr>
        <w:pStyle w:val="Default"/>
        <w:numPr>
          <w:ilvl w:val="0"/>
          <w:numId w:val="2"/>
        </w:numPr>
        <w:ind w:left="567" w:hanging="567"/>
        <w:rPr>
          <w:sz w:val="22"/>
          <w:szCs w:val="22"/>
          <w:lang w:val="lt-LT"/>
        </w:rPr>
      </w:pPr>
      <w:r w:rsidRPr="00216B78">
        <w:rPr>
          <w:color w:val="auto"/>
          <w:sz w:val="22"/>
          <w:szCs w:val="22"/>
          <w:lang w:val="lt-LT"/>
        </w:rPr>
        <w:t>Jeigu kiltų daugiau klausimų, kreipkitės į gydytoją arba vaistininką.</w:t>
      </w:r>
    </w:p>
    <w:p w14:paraId="21D93FEA" w14:textId="77777777" w:rsidR="003C7D7C" w:rsidRPr="00216B78" w:rsidRDefault="00967B3B" w:rsidP="00B64F51">
      <w:pPr>
        <w:pStyle w:val="Default"/>
        <w:numPr>
          <w:ilvl w:val="0"/>
          <w:numId w:val="2"/>
        </w:numPr>
        <w:ind w:left="567" w:hanging="567"/>
        <w:rPr>
          <w:sz w:val="22"/>
          <w:szCs w:val="22"/>
          <w:lang w:val="lt-LT"/>
        </w:rPr>
      </w:pPr>
      <w:r w:rsidRPr="00216B78">
        <w:rPr>
          <w:color w:val="auto"/>
          <w:sz w:val="22"/>
          <w:szCs w:val="22"/>
          <w:lang w:val="lt-LT" w:eastAsia="de-CH"/>
        </w:rPr>
        <w:t>Šis vaistas skirtas tik Jums, todėl kitiems žmonėms jo duoti negalima. Vaistas gali jiems pakenkti (net tiems, kurių ligos požymiai yra tokie patys kaip Jūsų).</w:t>
      </w:r>
    </w:p>
    <w:p w14:paraId="2675C0A9" w14:textId="77777777" w:rsidR="00967B3B" w:rsidRPr="00216B78" w:rsidRDefault="00967B3B" w:rsidP="00B64F51">
      <w:pPr>
        <w:pStyle w:val="Default"/>
        <w:numPr>
          <w:ilvl w:val="0"/>
          <w:numId w:val="2"/>
        </w:numPr>
        <w:ind w:left="567" w:hanging="567"/>
        <w:rPr>
          <w:sz w:val="22"/>
          <w:szCs w:val="22"/>
          <w:lang w:val="lt-LT"/>
        </w:rPr>
      </w:pPr>
      <w:r w:rsidRPr="00216B78">
        <w:rPr>
          <w:color w:val="auto"/>
          <w:sz w:val="22"/>
          <w:szCs w:val="22"/>
          <w:lang w:val="lt-LT"/>
        </w:rPr>
        <w:t>Jeigu pasireiškė šalutinis poveikis (net jeigu jis šiame lapelyje nenurodytas), kreipkitės į gydytoją arba vaistininką. Žr. 4 skyrių.</w:t>
      </w:r>
    </w:p>
    <w:p w14:paraId="0E6CE645" w14:textId="77777777" w:rsidR="00967B3B" w:rsidRPr="00216B78" w:rsidRDefault="00967B3B" w:rsidP="00A86931">
      <w:pPr>
        <w:pStyle w:val="Default"/>
        <w:rPr>
          <w:sz w:val="22"/>
          <w:szCs w:val="22"/>
          <w:lang w:val="lt-LT"/>
        </w:rPr>
      </w:pPr>
    </w:p>
    <w:p w14:paraId="02CA9480" w14:textId="77777777" w:rsidR="003C7D7C" w:rsidRPr="00216B78" w:rsidRDefault="00967B3B" w:rsidP="00A86931">
      <w:pPr>
        <w:pStyle w:val="Default"/>
        <w:rPr>
          <w:b/>
          <w:bCs/>
          <w:sz w:val="22"/>
          <w:szCs w:val="22"/>
          <w:lang w:val="lt-LT"/>
        </w:rPr>
      </w:pPr>
      <w:r w:rsidRPr="00216B78">
        <w:rPr>
          <w:b/>
          <w:bCs/>
          <w:sz w:val="22"/>
          <w:szCs w:val="22"/>
          <w:lang w:val="lt-LT"/>
        </w:rPr>
        <w:t>Apie ką rašoma šiame lapelyje?</w:t>
      </w:r>
    </w:p>
    <w:p w14:paraId="30AFA527" w14:textId="77777777" w:rsidR="00967B3B" w:rsidRPr="00216B78" w:rsidRDefault="007718AC" w:rsidP="00A86931">
      <w:pPr>
        <w:pStyle w:val="Default"/>
        <w:ind w:left="567" w:hanging="567"/>
        <w:rPr>
          <w:sz w:val="22"/>
          <w:szCs w:val="22"/>
          <w:lang w:val="lt-LT"/>
        </w:rPr>
      </w:pPr>
      <w:r w:rsidRPr="00216B78">
        <w:rPr>
          <w:sz w:val="22"/>
          <w:szCs w:val="22"/>
          <w:lang w:val="lt-LT"/>
        </w:rPr>
        <w:t>1.</w:t>
      </w:r>
      <w:r w:rsidRPr="00216B78">
        <w:rPr>
          <w:sz w:val="22"/>
          <w:szCs w:val="22"/>
          <w:lang w:val="lt-LT"/>
        </w:rPr>
        <w:tab/>
      </w:r>
      <w:r w:rsidR="00967B3B" w:rsidRPr="00216B78">
        <w:rPr>
          <w:sz w:val="22"/>
          <w:szCs w:val="22"/>
          <w:lang w:val="lt-LT"/>
        </w:rPr>
        <w:t xml:space="preserve">Kas yra </w:t>
      </w:r>
      <w:r w:rsidR="008F18DA" w:rsidRPr="00216B78">
        <w:rPr>
          <w:bCs/>
          <w:sz w:val="22"/>
          <w:szCs w:val="22"/>
          <w:lang w:val="lt-LT"/>
        </w:rPr>
        <w:t>fibryga</w:t>
      </w:r>
      <w:r w:rsidR="008F18DA" w:rsidRPr="00216B78" w:rsidDel="008F18DA">
        <w:rPr>
          <w:sz w:val="22"/>
          <w:szCs w:val="22"/>
          <w:lang w:val="lt-LT"/>
        </w:rPr>
        <w:t xml:space="preserve"> </w:t>
      </w:r>
      <w:r w:rsidR="00967B3B" w:rsidRPr="00216B78">
        <w:rPr>
          <w:sz w:val="22"/>
          <w:szCs w:val="22"/>
          <w:lang w:val="lt-LT"/>
        </w:rPr>
        <w:t>ir kam jis vartojamas</w:t>
      </w:r>
    </w:p>
    <w:p w14:paraId="5D5F9AEA" w14:textId="77777777" w:rsidR="00967B3B" w:rsidRPr="00216B78" w:rsidRDefault="007718AC" w:rsidP="00A86931">
      <w:pPr>
        <w:pStyle w:val="Default"/>
        <w:ind w:left="567" w:hanging="567"/>
        <w:rPr>
          <w:sz w:val="22"/>
          <w:szCs w:val="22"/>
          <w:lang w:val="lt-LT"/>
        </w:rPr>
      </w:pPr>
      <w:r w:rsidRPr="00216B78">
        <w:rPr>
          <w:sz w:val="22"/>
          <w:szCs w:val="22"/>
          <w:lang w:val="lt-LT"/>
        </w:rPr>
        <w:t>2.</w:t>
      </w:r>
      <w:r w:rsidRPr="00216B78">
        <w:rPr>
          <w:sz w:val="22"/>
          <w:szCs w:val="22"/>
          <w:lang w:val="lt-LT"/>
        </w:rPr>
        <w:tab/>
      </w:r>
      <w:r w:rsidR="00967B3B" w:rsidRPr="00216B78">
        <w:rPr>
          <w:sz w:val="22"/>
          <w:szCs w:val="22"/>
          <w:lang w:val="lt-LT"/>
        </w:rPr>
        <w:t xml:space="preserve">Kas žinotina prieš vartojant </w:t>
      </w:r>
      <w:r w:rsidR="008F18DA" w:rsidRPr="00216B78">
        <w:rPr>
          <w:bCs/>
          <w:sz w:val="22"/>
          <w:szCs w:val="22"/>
          <w:lang w:val="lt-LT"/>
        </w:rPr>
        <w:t>fibryga</w:t>
      </w:r>
    </w:p>
    <w:p w14:paraId="37C6FA5F" w14:textId="77777777" w:rsidR="00967B3B" w:rsidRPr="00216B78" w:rsidRDefault="007718AC" w:rsidP="00A86931">
      <w:pPr>
        <w:pStyle w:val="Default"/>
        <w:ind w:left="567" w:hanging="567"/>
        <w:rPr>
          <w:sz w:val="22"/>
          <w:szCs w:val="22"/>
          <w:lang w:val="lt-LT"/>
        </w:rPr>
      </w:pPr>
      <w:r w:rsidRPr="00216B78">
        <w:rPr>
          <w:sz w:val="22"/>
          <w:szCs w:val="22"/>
          <w:lang w:val="lt-LT"/>
        </w:rPr>
        <w:t>3.</w:t>
      </w:r>
      <w:r w:rsidRPr="00216B78">
        <w:rPr>
          <w:sz w:val="22"/>
          <w:szCs w:val="22"/>
          <w:lang w:val="lt-LT"/>
        </w:rPr>
        <w:tab/>
      </w:r>
      <w:r w:rsidR="00967B3B" w:rsidRPr="00216B78">
        <w:rPr>
          <w:sz w:val="22"/>
          <w:szCs w:val="22"/>
          <w:lang w:val="lt-LT"/>
        </w:rPr>
        <w:t xml:space="preserve">Kaip vartoti </w:t>
      </w:r>
      <w:r w:rsidR="008F18DA" w:rsidRPr="00216B78">
        <w:rPr>
          <w:bCs/>
          <w:sz w:val="22"/>
          <w:szCs w:val="22"/>
          <w:lang w:val="lt-LT"/>
        </w:rPr>
        <w:t>fibryga</w:t>
      </w:r>
    </w:p>
    <w:p w14:paraId="677FCF8C" w14:textId="77777777" w:rsidR="00967B3B" w:rsidRPr="00216B78" w:rsidRDefault="007718AC" w:rsidP="00A86931">
      <w:pPr>
        <w:pStyle w:val="Default"/>
        <w:ind w:left="567" w:hanging="567"/>
        <w:rPr>
          <w:sz w:val="22"/>
          <w:szCs w:val="22"/>
          <w:lang w:val="lt-LT"/>
        </w:rPr>
      </w:pPr>
      <w:r w:rsidRPr="00216B78">
        <w:rPr>
          <w:sz w:val="22"/>
          <w:szCs w:val="22"/>
          <w:lang w:val="lt-LT"/>
        </w:rPr>
        <w:t>4.</w:t>
      </w:r>
      <w:r w:rsidRPr="00216B78">
        <w:rPr>
          <w:sz w:val="22"/>
          <w:szCs w:val="22"/>
          <w:lang w:val="lt-LT"/>
        </w:rPr>
        <w:tab/>
      </w:r>
      <w:r w:rsidR="00967B3B" w:rsidRPr="00216B78">
        <w:rPr>
          <w:sz w:val="22"/>
          <w:szCs w:val="22"/>
          <w:lang w:val="lt-LT"/>
        </w:rPr>
        <w:t>Galimas šalutinis poveikis</w:t>
      </w:r>
    </w:p>
    <w:p w14:paraId="2D4A212D" w14:textId="77777777" w:rsidR="00967B3B" w:rsidRPr="00216B78" w:rsidRDefault="00967B3B" w:rsidP="00A86931">
      <w:pPr>
        <w:pStyle w:val="Default"/>
        <w:ind w:left="567" w:hanging="567"/>
        <w:rPr>
          <w:sz w:val="22"/>
          <w:szCs w:val="22"/>
          <w:lang w:val="lt-LT"/>
        </w:rPr>
      </w:pPr>
      <w:r w:rsidRPr="00216B78">
        <w:rPr>
          <w:sz w:val="22"/>
          <w:szCs w:val="22"/>
          <w:lang w:val="lt-LT"/>
        </w:rPr>
        <w:t>5.</w:t>
      </w:r>
      <w:r w:rsidR="007718AC" w:rsidRPr="00216B78">
        <w:rPr>
          <w:sz w:val="22"/>
          <w:szCs w:val="22"/>
          <w:lang w:val="lt-LT"/>
        </w:rPr>
        <w:tab/>
      </w:r>
      <w:r w:rsidRPr="00216B78">
        <w:rPr>
          <w:sz w:val="22"/>
          <w:szCs w:val="22"/>
          <w:lang w:val="lt-LT"/>
        </w:rPr>
        <w:t xml:space="preserve">Kaip laikyti </w:t>
      </w:r>
      <w:r w:rsidR="008F18DA" w:rsidRPr="00216B78">
        <w:rPr>
          <w:bCs/>
          <w:sz w:val="22"/>
          <w:szCs w:val="22"/>
          <w:lang w:val="lt-LT"/>
        </w:rPr>
        <w:t>fibryga</w:t>
      </w:r>
    </w:p>
    <w:p w14:paraId="0FE783BB" w14:textId="77777777" w:rsidR="00967B3B" w:rsidRPr="00216B78" w:rsidRDefault="007718AC" w:rsidP="00A86931">
      <w:pPr>
        <w:pStyle w:val="Default"/>
        <w:ind w:left="567" w:hanging="567"/>
        <w:rPr>
          <w:sz w:val="22"/>
          <w:szCs w:val="22"/>
          <w:lang w:val="lt-LT"/>
        </w:rPr>
      </w:pPr>
      <w:r w:rsidRPr="00216B78">
        <w:rPr>
          <w:sz w:val="22"/>
          <w:szCs w:val="22"/>
          <w:lang w:val="lt-LT"/>
        </w:rPr>
        <w:t>6.</w:t>
      </w:r>
      <w:r w:rsidRPr="00216B78">
        <w:rPr>
          <w:sz w:val="22"/>
          <w:szCs w:val="22"/>
          <w:lang w:val="lt-LT"/>
        </w:rPr>
        <w:tab/>
      </w:r>
      <w:r w:rsidR="00967B3B" w:rsidRPr="00216B78">
        <w:rPr>
          <w:sz w:val="22"/>
          <w:szCs w:val="22"/>
          <w:lang w:val="lt-LT"/>
        </w:rPr>
        <w:t>Pakuotės turinys ir kita informacija</w:t>
      </w:r>
    </w:p>
    <w:p w14:paraId="3FB5623E" w14:textId="77777777" w:rsidR="00967B3B" w:rsidRPr="00216B78" w:rsidRDefault="00967B3B" w:rsidP="00A86931">
      <w:pPr>
        <w:pStyle w:val="Default"/>
        <w:ind w:left="567" w:hanging="567"/>
        <w:rPr>
          <w:sz w:val="22"/>
          <w:szCs w:val="22"/>
          <w:lang w:val="lt-LT"/>
        </w:rPr>
      </w:pPr>
    </w:p>
    <w:p w14:paraId="2C86BF0A" w14:textId="77777777" w:rsidR="00967B3B" w:rsidRPr="00216B78" w:rsidRDefault="00967B3B" w:rsidP="00A86931">
      <w:pPr>
        <w:pStyle w:val="Default"/>
        <w:rPr>
          <w:sz w:val="22"/>
          <w:szCs w:val="22"/>
          <w:lang w:val="lt-LT"/>
        </w:rPr>
      </w:pPr>
    </w:p>
    <w:p w14:paraId="485BA64B" w14:textId="77777777" w:rsidR="00967B3B" w:rsidRPr="00216B78" w:rsidRDefault="00361769" w:rsidP="00A86931">
      <w:pPr>
        <w:pStyle w:val="Default"/>
        <w:ind w:left="567" w:hanging="567"/>
        <w:outlineLvl w:val="0"/>
        <w:rPr>
          <w:b/>
          <w:bCs/>
          <w:sz w:val="22"/>
          <w:szCs w:val="22"/>
          <w:lang w:val="lt-LT"/>
        </w:rPr>
      </w:pPr>
      <w:r w:rsidRPr="00216B78">
        <w:rPr>
          <w:b/>
          <w:bCs/>
          <w:sz w:val="22"/>
          <w:szCs w:val="22"/>
          <w:lang w:val="lt-LT"/>
        </w:rPr>
        <w:t>1.</w:t>
      </w:r>
      <w:r w:rsidR="003C7D7C" w:rsidRPr="00216B78">
        <w:rPr>
          <w:b/>
          <w:bCs/>
          <w:sz w:val="22"/>
          <w:szCs w:val="22"/>
          <w:lang w:val="lt-LT"/>
        </w:rPr>
        <w:tab/>
      </w:r>
      <w:r w:rsidR="00967B3B" w:rsidRPr="00216B78">
        <w:rPr>
          <w:b/>
          <w:bCs/>
          <w:sz w:val="22"/>
          <w:szCs w:val="22"/>
          <w:lang w:val="lt-LT"/>
        </w:rPr>
        <w:t xml:space="preserve">Kas yra </w:t>
      </w:r>
      <w:r w:rsidR="008F18DA" w:rsidRPr="00216B78">
        <w:rPr>
          <w:b/>
          <w:bCs/>
          <w:sz w:val="22"/>
          <w:szCs w:val="22"/>
          <w:lang w:val="lt-LT"/>
        </w:rPr>
        <w:t xml:space="preserve">fibryga </w:t>
      </w:r>
      <w:r w:rsidR="00967B3B" w:rsidRPr="00216B78">
        <w:rPr>
          <w:b/>
          <w:bCs/>
          <w:sz w:val="22"/>
          <w:szCs w:val="22"/>
          <w:lang w:val="lt-LT"/>
        </w:rPr>
        <w:t>ir kam jis vartojamas</w:t>
      </w:r>
    </w:p>
    <w:p w14:paraId="7F0765E8" w14:textId="77777777" w:rsidR="00967B3B" w:rsidRPr="00216B78" w:rsidRDefault="00967B3B" w:rsidP="00A86931">
      <w:pPr>
        <w:pStyle w:val="Default"/>
        <w:rPr>
          <w:sz w:val="22"/>
          <w:szCs w:val="22"/>
          <w:lang w:val="lt-LT"/>
        </w:rPr>
      </w:pPr>
    </w:p>
    <w:p w14:paraId="59DD6D3D" w14:textId="77777777" w:rsidR="00967B3B" w:rsidRPr="00216B78" w:rsidRDefault="00967B3B" w:rsidP="00A86931">
      <w:pPr>
        <w:numPr>
          <w:ilvl w:val="12"/>
          <w:numId w:val="0"/>
        </w:numPr>
        <w:outlineLvl w:val="1"/>
        <w:rPr>
          <w:noProof/>
        </w:rPr>
      </w:pPr>
      <w:r w:rsidRPr="00216B78">
        <w:rPr>
          <w:b/>
          <w:bCs/>
        </w:rPr>
        <w:t xml:space="preserve">Kas yra </w:t>
      </w:r>
      <w:r w:rsidR="008F18DA" w:rsidRPr="00216B78">
        <w:rPr>
          <w:b/>
          <w:bCs/>
        </w:rPr>
        <w:t>fibryga</w:t>
      </w:r>
    </w:p>
    <w:p w14:paraId="1EB4B606" w14:textId="77777777" w:rsidR="003C7D7C" w:rsidRPr="00216B78" w:rsidRDefault="003C7D7C" w:rsidP="00A86931">
      <w:pPr>
        <w:autoSpaceDE w:val="0"/>
        <w:autoSpaceDN w:val="0"/>
        <w:adjustRightInd w:val="0"/>
      </w:pPr>
    </w:p>
    <w:p w14:paraId="15B7B722" w14:textId="77777777" w:rsidR="00967B3B" w:rsidRPr="00216B78" w:rsidRDefault="00BE7183" w:rsidP="00A86931">
      <w:pPr>
        <w:autoSpaceDE w:val="0"/>
        <w:autoSpaceDN w:val="0"/>
        <w:adjustRightInd w:val="0"/>
      </w:pPr>
      <w:r w:rsidRPr="00216B78">
        <w:t>f</w:t>
      </w:r>
      <w:r w:rsidR="008F18DA" w:rsidRPr="00216B78">
        <w:t xml:space="preserve">ibryga </w:t>
      </w:r>
      <w:r w:rsidR="00967B3B" w:rsidRPr="00216B78">
        <w:t xml:space="preserve">sudėtyje yra žmogaus fibrinogeno – kraujo krešėjimui (koaguliacijai) svarbaus baltymo. Fibrinogeno stoka reiškia, kad kraujas nekreša taip gerai kaip turėtų, dėl to padidėja polinkis į kraujavimą. Žmogaus fibrinogeno pakeitimas </w:t>
      </w:r>
      <w:r w:rsidR="008F18DA" w:rsidRPr="00216B78">
        <w:rPr>
          <w:bCs/>
        </w:rPr>
        <w:t>fibryga</w:t>
      </w:r>
      <w:r w:rsidRPr="00216B78">
        <w:rPr>
          <w:bCs/>
        </w:rPr>
        <w:t xml:space="preserve"> </w:t>
      </w:r>
      <w:r w:rsidR="00967B3B" w:rsidRPr="00216B78">
        <w:t>pakoreguos koaguliacjos defektą.</w:t>
      </w:r>
    </w:p>
    <w:p w14:paraId="43F95A9C" w14:textId="77777777" w:rsidR="003C7D7C" w:rsidRPr="00216B78" w:rsidRDefault="003C7D7C" w:rsidP="00A86931">
      <w:pPr>
        <w:numPr>
          <w:ilvl w:val="12"/>
          <w:numId w:val="0"/>
        </w:numPr>
        <w:outlineLvl w:val="1"/>
        <w:rPr>
          <w:b/>
          <w:bCs/>
        </w:rPr>
      </w:pPr>
    </w:p>
    <w:p w14:paraId="5015E28B" w14:textId="77777777" w:rsidR="00967B3B" w:rsidRPr="00216B78" w:rsidRDefault="00967B3B" w:rsidP="00A86931">
      <w:pPr>
        <w:numPr>
          <w:ilvl w:val="12"/>
          <w:numId w:val="0"/>
        </w:numPr>
        <w:outlineLvl w:val="1"/>
        <w:rPr>
          <w:b/>
          <w:bCs/>
        </w:rPr>
      </w:pPr>
      <w:r w:rsidRPr="00216B78">
        <w:rPr>
          <w:b/>
          <w:bCs/>
        </w:rPr>
        <w:t xml:space="preserve">Kam </w:t>
      </w:r>
      <w:r w:rsidR="008F18DA" w:rsidRPr="00216B78">
        <w:rPr>
          <w:b/>
          <w:bCs/>
        </w:rPr>
        <w:t xml:space="preserve">fibryga </w:t>
      </w:r>
      <w:r w:rsidRPr="00216B78">
        <w:rPr>
          <w:b/>
          <w:bCs/>
        </w:rPr>
        <w:t>vartojamas</w:t>
      </w:r>
    </w:p>
    <w:p w14:paraId="72A0E076" w14:textId="77777777" w:rsidR="003C7D7C" w:rsidRPr="00216B78" w:rsidRDefault="003C7D7C" w:rsidP="00A86931">
      <w:pPr>
        <w:pStyle w:val="Text"/>
        <w:spacing w:before="0" w:after="120"/>
        <w:jc w:val="left"/>
        <w:rPr>
          <w:color w:val="auto"/>
          <w:sz w:val="22"/>
          <w:szCs w:val="22"/>
          <w:lang w:val="lt-LT"/>
        </w:rPr>
      </w:pPr>
    </w:p>
    <w:p w14:paraId="20CFF346" w14:textId="77777777" w:rsidR="00967B3B" w:rsidRPr="00216B78" w:rsidRDefault="00BE7183" w:rsidP="00A86931">
      <w:pPr>
        <w:pStyle w:val="Text"/>
        <w:spacing w:before="0" w:after="120"/>
        <w:jc w:val="left"/>
        <w:rPr>
          <w:color w:val="auto"/>
          <w:sz w:val="22"/>
          <w:szCs w:val="22"/>
          <w:lang w:val="lt-LT"/>
        </w:rPr>
      </w:pPr>
      <w:r w:rsidRPr="00216B78">
        <w:rPr>
          <w:color w:val="auto"/>
          <w:sz w:val="22"/>
          <w:szCs w:val="22"/>
          <w:lang w:val="lt-LT"/>
        </w:rPr>
        <w:t>f</w:t>
      </w:r>
      <w:r w:rsidR="008F18DA" w:rsidRPr="00216B78">
        <w:rPr>
          <w:color w:val="auto"/>
          <w:sz w:val="22"/>
          <w:szCs w:val="22"/>
          <w:lang w:val="lt-LT"/>
        </w:rPr>
        <w:t xml:space="preserve">ibryga </w:t>
      </w:r>
      <w:r w:rsidR="00967B3B" w:rsidRPr="00216B78">
        <w:rPr>
          <w:color w:val="auto"/>
          <w:sz w:val="22"/>
          <w:szCs w:val="22"/>
          <w:lang w:val="lt-LT"/>
        </w:rPr>
        <w:t>vartojamas:</w:t>
      </w:r>
    </w:p>
    <w:p w14:paraId="64B48730" w14:textId="77777777" w:rsidR="00967B3B" w:rsidRPr="00216B78" w:rsidRDefault="004E5C0C" w:rsidP="00B64F51">
      <w:pPr>
        <w:pStyle w:val="Default"/>
        <w:widowControl w:val="0"/>
        <w:numPr>
          <w:ilvl w:val="0"/>
          <w:numId w:val="4"/>
        </w:numPr>
        <w:ind w:left="1134" w:hanging="567"/>
        <w:rPr>
          <w:color w:val="auto"/>
          <w:sz w:val="22"/>
          <w:szCs w:val="22"/>
          <w:lang w:val="lt-LT"/>
        </w:rPr>
      </w:pPr>
      <w:r w:rsidRPr="00216B78">
        <w:rPr>
          <w:color w:val="auto"/>
          <w:sz w:val="22"/>
          <w:szCs w:val="22"/>
          <w:lang w:val="lt-LT"/>
        </w:rPr>
        <w:t>k</w:t>
      </w:r>
      <w:r w:rsidR="00967B3B" w:rsidRPr="00216B78">
        <w:rPr>
          <w:color w:val="auto"/>
          <w:sz w:val="22"/>
          <w:szCs w:val="22"/>
          <w:lang w:val="lt-LT"/>
        </w:rPr>
        <w:t>raujavim</w:t>
      </w:r>
      <w:r w:rsidR="00F60200" w:rsidRPr="00216B78">
        <w:rPr>
          <w:color w:val="auto"/>
          <w:sz w:val="22"/>
          <w:szCs w:val="22"/>
          <w:lang w:val="lt-LT"/>
        </w:rPr>
        <w:t>o epizodams</w:t>
      </w:r>
      <w:r w:rsidR="00967B3B" w:rsidRPr="00216B78">
        <w:rPr>
          <w:color w:val="auto"/>
          <w:sz w:val="22"/>
          <w:szCs w:val="22"/>
          <w:lang w:val="lt-LT"/>
        </w:rPr>
        <w:t xml:space="preserve"> gydyti </w:t>
      </w:r>
      <w:r w:rsidR="008A7E0A" w:rsidRPr="00216B78">
        <w:rPr>
          <w:color w:val="auto"/>
          <w:sz w:val="22"/>
          <w:szCs w:val="22"/>
          <w:lang w:val="lt-LT"/>
        </w:rPr>
        <w:t xml:space="preserve">ir profilaktikai chirurginės operacijos metu </w:t>
      </w:r>
      <w:r w:rsidR="00967B3B" w:rsidRPr="00216B78">
        <w:rPr>
          <w:color w:val="auto"/>
          <w:sz w:val="22"/>
          <w:szCs w:val="22"/>
          <w:lang w:val="lt-LT"/>
        </w:rPr>
        <w:t>įgimta fibrinogeno stoka (hipofibrinogenemija arba afibrinogenemija) sergantiems pacientams, linkusiems į kraujavimą;</w:t>
      </w:r>
    </w:p>
    <w:p w14:paraId="7CB33691" w14:textId="77777777" w:rsidR="00967B3B" w:rsidRPr="00216B78" w:rsidRDefault="00967B3B" w:rsidP="00B64F51">
      <w:pPr>
        <w:pStyle w:val="Default"/>
        <w:widowControl w:val="0"/>
        <w:numPr>
          <w:ilvl w:val="0"/>
          <w:numId w:val="4"/>
        </w:numPr>
        <w:ind w:left="1134" w:hanging="567"/>
        <w:rPr>
          <w:color w:val="auto"/>
          <w:sz w:val="22"/>
          <w:szCs w:val="22"/>
          <w:lang w:val="lt-LT"/>
        </w:rPr>
      </w:pPr>
      <w:r w:rsidRPr="00216B78">
        <w:rPr>
          <w:color w:val="auto"/>
          <w:sz w:val="22"/>
          <w:szCs w:val="22"/>
          <w:lang w:val="lt-LT" w:eastAsia="de-CH"/>
        </w:rPr>
        <w:t>fibrinogenui papildyti pacientams, kuriems yra nekontroliuojamas sunkus kraujavimas, lydimas įgytos fibrinogeno stokos, chirurginės</w:t>
      </w:r>
      <w:r w:rsidR="008A7E0A" w:rsidRPr="00216B78">
        <w:rPr>
          <w:color w:val="auto"/>
          <w:sz w:val="22"/>
          <w:szCs w:val="22"/>
          <w:lang w:val="lt-LT" w:eastAsia="de-CH"/>
        </w:rPr>
        <w:t xml:space="preserve"> operacijos</w:t>
      </w:r>
      <w:r w:rsidRPr="00216B78">
        <w:rPr>
          <w:color w:val="auto"/>
          <w:sz w:val="22"/>
          <w:szCs w:val="22"/>
          <w:lang w:val="lt-LT" w:eastAsia="de-CH"/>
        </w:rPr>
        <w:t xml:space="preserve"> metu.</w:t>
      </w:r>
    </w:p>
    <w:p w14:paraId="02415BBB" w14:textId="77777777" w:rsidR="00967B3B" w:rsidRPr="00216B78" w:rsidRDefault="00967B3B" w:rsidP="007B277D">
      <w:pPr>
        <w:pStyle w:val="Default"/>
        <w:rPr>
          <w:sz w:val="22"/>
          <w:szCs w:val="22"/>
          <w:lang w:val="lt-LT"/>
        </w:rPr>
      </w:pPr>
    </w:p>
    <w:p w14:paraId="2068BC93" w14:textId="77777777" w:rsidR="00967B3B" w:rsidRPr="00216B78" w:rsidRDefault="00967B3B" w:rsidP="00A86931">
      <w:pPr>
        <w:pStyle w:val="Default"/>
        <w:rPr>
          <w:sz w:val="22"/>
          <w:szCs w:val="22"/>
          <w:lang w:val="lt-LT"/>
        </w:rPr>
      </w:pPr>
    </w:p>
    <w:p w14:paraId="6D170A40" w14:textId="77777777" w:rsidR="00967B3B" w:rsidRPr="00216B78" w:rsidRDefault="00684509" w:rsidP="00A86931">
      <w:pPr>
        <w:pStyle w:val="Default"/>
        <w:ind w:left="567" w:hanging="567"/>
        <w:outlineLvl w:val="0"/>
        <w:rPr>
          <w:b/>
          <w:bCs/>
          <w:sz w:val="22"/>
          <w:szCs w:val="22"/>
          <w:lang w:val="lt-LT"/>
        </w:rPr>
      </w:pPr>
      <w:r w:rsidRPr="00216B78">
        <w:rPr>
          <w:b/>
          <w:bCs/>
          <w:sz w:val="22"/>
          <w:szCs w:val="22"/>
          <w:lang w:val="lt-LT"/>
        </w:rPr>
        <w:t>2.</w:t>
      </w:r>
      <w:r w:rsidRPr="00216B78">
        <w:rPr>
          <w:b/>
          <w:bCs/>
          <w:sz w:val="22"/>
          <w:szCs w:val="22"/>
          <w:lang w:val="lt-LT"/>
        </w:rPr>
        <w:tab/>
      </w:r>
      <w:r w:rsidR="00967B3B" w:rsidRPr="00216B78">
        <w:rPr>
          <w:b/>
          <w:bCs/>
          <w:sz w:val="22"/>
          <w:szCs w:val="22"/>
          <w:lang w:val="lt-LT"/>
        </w:rPr>
        <w:t xml:space="preserve">Kas žinotina prieš vartojant </w:t>
      </w:r>
      <w:r w:rsidR="008F18DA" w:rsidRPr="00216B78">
        <w:rPr>
          <w:b/>
          <w:bCs/>
          <w:sz w:val="22"/>
          <w:szCs w:val="22"/>
          <w:lang w:val="lt-LT"/>
        </w:rPr>
        <w:t>fibryga</w:t>
      </w:r>
    </w:p>
    <w:p w14:paraId="27F12898" w14:textId="77777777" w:rsidR="00967B3B" w:rsidRPr="00216B78" w:rsidRDefault="00967B3B" w:rsidP="00A86931">
      <w:pPr>
        <w:pStyle w:val="Default"/>
        <w:rPr>
          <w:sz w:val="22"/>
          <w:szCs w:val="22"/>
          <w:lang w:val="lt-LT"/>
        </w:rPr>
      </w:pPr>
    </w:p>
    <w:p w14:paraId="69AF260F" w14:textId="734B8EF8" w:rsidR="00967B3B" w:rsidRPr="00216B78" w:rsidRDefault="00BE7183" w:rsidP="00A86931">
      <w:pPr>
        <w:numPr>
          <w:ilvl w:val="12"/>
          <w:numId w:val="0"/>
        </w:numPr>
        <w:outlineLvl w:val="1"/>
        <w:rPr>
          <w:b/>
          <w:bCs/>
        </w:rPr>
      </w:pPr>
      <w:r w:rsidRPr="00216B78">
        <w:rPr>
          <w:b/>
          <w:bCs/>
        </w:rPr>
        <w:t>f</w:t>
      </w:r>
      <w:r w:rsidR="008F18DA" w:rsidRPr="00216B78">
        <w:rPr>
          <w:b/>
          <w:bCs/>
        </w:rPr>
        <w:t xml:space="preserve">ibryga </w:t>
      </w:r>
      <w:r w:rsidR="00967B3B" w:rsidRPr="00216B78">
        <w:rPr>
          <w:b/>
          <w:bCs/>
        </w:rPr>
        <w:t xml:space="preserve">vartoti </w:t>
      </w:r>
      <w:r w:rsidR="006D4310" w:rsidRPr="00216B78">
        <w:rPr>
          <w:b/>
          <w:bCs/>
        </w:rPr>
        <w:t>draudžiama</w:t>
      </w:r>
      <w:r w:rsidR="00967B3B" w:rsidRPr="00216B78">
        <w:rPr>
          <w:b/>
          <w:bCs/>
        </w:rPr>
        <w:t>:</w:t>
      </w:r>
    </w:p>
    <w:p w14:paraId="7F53FB4A" w14:textId="77777777" w:rsidR="00967B3B" w:rsidRPr="00216B78" w:rsidRDefault="00967B3B" w:rsidP="00B64F51">
      <w:pPr>
        <w:pStyle w:val="Text"/>
        <w:numPr>
          <w:ilvl w:val="0"/>
          <w:numId w:val="3"/>
        </w:numPr>
        <w:spacing w:before="0"/>
        <w:ind w:left="714" w:hanging="357"/>
        <w:jc w:val="left"/>
        <w:rPr>
          <w:color w:val="auto"/>
          <w:sz w:val="22"/>
          <w:szCs w:val="22"/>
          <w:lang w:val="lt-LT"/>
        </w:rPr>
      </w:pPr>
      <w:r w:rsidRPr="00216B78">
        <w:rPr>
          <w:color w:val="auto"/>
          <w:sz w:val="22"/>
          <w:szCs w:val="22"/>
          <w:lang w:val="lt-LT"/>
        </w:rPr>
        <w:t xml:space="preserve">jeigu yra alergija žmogaus fibrinogenui arba bet kuriai pagalbinei šio vaisto medžiagai </w:t>
      </w:r>
      <w:r w:rsidRPr="00216B78">
        <w:rPr>
          <w:sz w:val="22"/>
          <w:szCs w:val="22"/>
          <w:lang w:val="lt-LT"/>
        </w:rPr>
        <w:t>(jos išvardytos 6 skyriuje);</w:t>
      </w:r>
    </w:p>
    <w:p w14:paraId="53DC5106" w14:textId="77777777" w:rsidR="00967B3B" w:rsidRPr="00216B78" w:rsidRDefault="00967B3B" w:rsidP="00B64F51">
      <w:pPr>
        <w:pStyle w:val="Text"/>
        <w:numPr>
          <w:ilvl w:val="0"/>
          <w:numId w:val="3"/>
        </w:numPr>
        <w:spacing w:before="0"/>
        <w:ind w:left="714" w:hanging="357"/>
        <w:jc w:val="left"/>
        <w:rPr>
          <w:color w:val="auto"/>
          <w:sz w:val="22"/>
          <w:szCs w:val="22"/>
          <w:lang w:val="lt-LT"/>
        </w:rPr>
      </w:pPr>
      <w:r w:rsidRPr="00216B78">
        <w:rPr>
          <w:color w:val="auto"/>
          <w:sz w:val="22"/>
          <w:szCs w:val="22"/>
          <w:lang w:val="lt-LT"/>
        </w:rPr>
        <w:t xml:space="preserve">jeigu anksčiau yra pasireiškę alerginių reakcijų į </w:t>
      </w:r>
      <w:r w:rsidR="008F18DA" w:rsidRPr="00216B78">
        <w:rPr>
          <w:bCs/>
          <w:sz w:val="22"/>
          <w:szCs w:val="22"/>
          <w:lang w:val="lt-LT"/>
        </w:rPr>
        <w:t>fibryga</w:t>
      </w:r>
      <w:r w:rsidRPr="00216B78">
        <w:rPr>
          <w:color w:val="auto"/>
          <w:sz w:val="22"/>
          <w:szCs w:val="22"/>
          <w:lang w:val="lt-LT"/>
        </w:rPr>
        <w:t>.</w:t>
      </w:r>
    </w:p>
    <w:p w14:paraId="461D38DB" w14:textId="77777777" w:rsidR="00967B3B" w:rsidRPr="00216B78" w:rsidRDefault="00967B3B" w:rsidP="00A86931">
      <w:pPr>
        <w:pStyle w:val="Default"/>
        <w:rPr>
          <w:b/>
          <w:bCs/>
          <w:sz w:val="22"/>
          <w:szCs w:val="22"/>
          <w:lang w:val="lt-LT"/>
        </w:rPr>
      </w:pPr>
      <w:r w:rsidRPr="00216B78">
        <w:rPr>
          <w:b/>
          <w:bCs/>
          <w:sz w:val="22"/>
          <w:szCs w:val="22"/>
          <w:lang w:val="lt-LT"/>
        </w:rPr>
        <w:t>Jeigu yra alergija kuriam nors vaistui, informuokite gydytoją.</w:t>
      </w:r>
    </w:p>
    <w:p w14:paraId="6A1B160D" w14:textId="77777777" w:rsidR="00967B3B" w:rsidRPr="00216B78" w:rsidRDefault="00967B3B" w:rsidP="00A86931">
      <w:pPr>
        <w:pStyle w:val="Default"/>
        <w:rPr>
          <w:sz w:val="22"/>
          <w:szCs w:val="22"/>
          <w:lang w:val="lt-LT"/>
        </w:rPr>
      </w:pPr>
    </w:p>
    <w:p w14:paraId="2C29F187" w14:textId="77777777" w:rsidR="00967B3B" w:rsidRPr="00216B78" w:rsidRDefault="00967B3B" w:rsidP="00A86931">
      <w:pPr>
        <w:numPr>
          <w:ilvl w:val="12"/>
          <w:numId w:val="0"/>
        </w:numPr>
        <w:outlineLvl w:val="1"/>
        <w:rPr>
          <w:b/>
          <w:bCs/>
        </w:rPr>
      </w:pPr>
      <w:r w:rsidRPr="00216B78">
        <w:rPr>
          <w:b/>
          <w:bCs/>
        </w:rPr>
        <w:t>Įspėjimai ir atsargumo priemonės</w:t>
      </w:r>
    </w:p>
    <w:p w14:paraId="602384BC" w14:textId="77777777" w:rsidR="00967B3B" w:rsidRPr="00216B78" w:rsidRDefault="00967B3B" w:rsidP="00A86931">
      <w:pPr>
        <w:pStyle w:val="Text"/>
        <w:spacing w:before="0" w:after="0"/>
        <w:jc w:val="left"/>
        <w:rPr>
          <w:color w:val="auto"/>
          <w:sz w:val="22"/>
          <w:szCs w:val="22"/>
          <w:lang w:val="lt-LT"/>
        </w:rPr>
      </w:pPr>
      <w:r w:rsidRPr="00216B78">
        <w:rPr>
          <w:color w:val="auto"/>
          <w:sz w:val="22"/>
          <w:szCs w:val="22"/>
          <w:lang w:val="lt-LT"/>
        </w:rPr>
        <w:t xml:space="preserve">Pasitarkite su gydytoju arba vaistininku, prieš pradėdami vartoti </w:t>
      </w:r>
      <w:r w:rsidR="008F18DA" w:rsidRPr="00216B78">
        <w:rPr>
          <w:bCs/>
          <w:sz w:val="22"/>
          <w:szCs w:val="22"/>
          <w:lang w:val="lt-LT"/>
        </w:rPr>
        <w:t>fibryga</w:t>
      </w:r>
      <w:r w:rsidRPr="00216B78">
        <w:rPr>
          <w:color w:val="auto"/>
          <w:sz w:val="22"/>
          <w:szCs w:val="22"/>
          <w:lang w:val="lt-LT"/>
        </w:rPr>
        <w:t>.</w:t>
      </w:r>
    </w:p>
    <w:p w14:paraId="4DA7FF15" w14:textId="77777777" w:rsidR="00967B3B" w:rsidRPr="00216B78" w:rsidRDefault="00967B3B" w:rsidP="00A86931">
      <w:pPr>
        <w:pStyle w:val="Default"/>
        <w:rPr>
          <w:i/>
          <w:color w:val="auto"/>
          <w:sz w:val="22"/>
          <w:szCs w:val="22"/>
          <w:lang w:val="lt-LT"/>
        </w:rPr>
      </w:pPr>
    </w:p>
    <w:p w14:paraId="40F199DA" w14:textId="77777777" w:rsidR="00967B3B" w:rsidRPr="00216B78" w:rsidRDefault="00967B3B" w:rsidP="00A86931">
      <w:pPr>
        <w:pStyle w:val="Default"/>
        <w:keepNext/>
        <w:rPr>
          <w:color w:val="auto"/>
          <w:sz w:val="22"/>
          <w:szCs w:val="22"/>
          <w:lang w:val="lt-LT"/>
        </w:rPr>
      </w:pPr>
      <w:r w:rsidRPr="00216B78">
        <w:rPr>
          <w:i/>
          <w:iCs/>
          <w:color w:val="auto"/>
          <w:sz w:val="22"/>
          <w:szCs w:val="22"/>
          <w:lang w:val="lt-LT"/>
        </w:rPr>
        <w:t>Krešulių kraujagyslėse rizika</w:t>
      </w:r>
    </w:p>
    <w:p w14:paraId="0FA81624" w14:textId="77777777" w:rsidR="00684509" w:rsidRPr="00216B78" w:rsidRDefault="00684509" w:rsidP="00A86931">
      <w:pPr>
        <w:pStyle w:val="Default"/>
        <w:rPr>
          <w:color w:val="auto"/>
          <w:sz w:val="22"/>
          <w:szCs w:val="22"/>
          <w:lang w:val="lt-LT"/>
        </w:rPr>
      </w:pPr>
    </w:p>
    <w:p w14:paraId="3E6623AB" w14:textId="77777777" w:rsidR="00967B3B" w:rsidRPr="00216B78" w:rsidRDefault="00967B3B" w:rsidP="00A86931">
      <w:pPr>
        <w:pStyle w:val="Default"/>
        <w:rPr>
          <w:color w:val="auto"/>
          <w:sz w:val="22"/>
          <w:szCs w:val="22"/>
          <w:lang w:val="lt-LT"/>
        </w:rPr>
      </w:pPr>
      <w:r w:rsidRPr="00216B78">
        <w:rPr>
          <w:color w:val="auto"/>
          <w:sz w:val="22"/>
          <w:szCs w:val="22"/>
          <w:lang w:val="lt-LT"/>
        </w:rPr>
        <w:t>Gydytojas turi įvertinti šio vaisto riziką, palyginti su krešulių kraujagyslėse rizika, ypač jeigu:</w:t>
      </w:r>
    </w:p>
    <w:p w14:paraId="6F7320A0" w14:textId="77777777" w:rsidR="00967B3B" w:rsidRPr="00216B78" w:rsidRDefault="00967B3B" w:rsidP="00B64F51">
      <w:pPr>
        <w:pStyle w:val="Default"/>
        <w:widowControl w:val="0"/>
        <w:numPr>
          <w:ilvl w:val="0"/>
          <w:numId w:val="7"/>
        </w:numPr>
        <w:ind w:left="1134" w:hanging="567"/>
        <w:rPr>
          <w:color w:val="auto"/>
          <w:sz w:val="22"/>
          <w:szCs w:val="22"/>
          <w:lang w:val="lt-LT"/>
        </w:rPr>
      </w:pPr>
      <w:r w:rsidRPr="00216B78">
        <w:rPr>
          <w:color w:val="auto"/>
          <w:sz w:val="22"/>
          <w:szCs w:val="22"/>
          <w:lang w:val="lt-LT"/>
        </w:rPr>
        <w:lastRenderedPageBreak/>
        <w:t>Jums buvo skirta didelė arba kartotinė šio vaisto dozė;</w:t>
      </w:r>
    </w:p>
    <w:p w14:paraId="2EB77B3C" w14:textId="77777777" w:rsidR="00967B3B" w:rsidRPr="00216B78" w:rsidRDefault="00967B3B" w:rsidP="00B64F51">
      <w:pPr>
        <w:pStyle w:val="Default"/>
        <w:widowControl w:val="0"/>
        <w:numPr>
          <w:ilvl w:val="0"/>
          <w:numId w:val="7"/>
        </w:numPr>
        <w:ind w:left="1134" w:hanging="567"/>
        <w:rPr>
          <w:color w:val="auto"/>
          <w:sz w:val="22"/>
          <w:szCs w:val="22"/>
          <w:lang w:val="lt-LT"/>
        </w:rPr>
      </w:pPr>
      <w:r w:rsidRPr="00216B78">
        <w:rPr>
          <w:color w:val="auto"/>
          <w:sz w:val="22"/>
          <w:szCs w:val="22"/>
          <w:lang w:val="lt-LT"/>
        </w:rPr>
        <w:t>esate patyrę širdies priepuolį (anksčiau sirgote vainikin</w:t>
      </w:r>
      <w:r w:rsidR="00B324C9" w:rsidRPr="00216B78">
        <w:rPr>
          <w:color w:val="auto"/>
          <w:sz w:val="22"/>
          <w:szCs w:val="22"/>
          <w:lang w:val="lt-LT"/>
        </w:rPr>
        <w:t>ių</w:t>
      </w:r>
      <w:r w:rsidRPr="00216B78">
        <w:rPr>
          <w:color w:val="auto"/>
          <w:sz w:val="22"/>
          <w:szCs w:val="22"/>
          <w:lang w:val="lt-LT"/>
        </w:rPr>
        <w:t xml:space="preserve"> širdies</w:t>
      </w:r>
      <w:r w:rsidR="00B324C9" w:rsidRPr="00216B78">
        <w:rPr>
          <w:color w:val="auto"/>
          <w:sz w:val="22"/>
          <w:szCs w:val="22"/>
          <w:lang w:val="lt-LT"/>
        </w:rPr>
        <w:t xml:space="preserve"> kraujagyslių</w:t>
      </w:r>
      <w:r w:rsidRPr="00216B78">
        <w:rPr>
          <w:color w:val="auto"/>
          <w:sz w:val="22"/>
          <w:szCs w:val="22"/>
          <w:lang w:val="lt-LT"/>
        </w:rPr>
        <w:t xml:space="preserve"> liga arba patyrėte miokardo infarktą);</w:t>
      </w:r>
    </w:p>
    <w:p w14:paraId="4FFF6FDB" w14:textId="77777777" w:rsidR="00967B3B" w:rsidRPr="00216B78" w:rsidRDefault="00967B3B" w:rsidP="00B64F51">
      <w:pPr>
        <w:pStyle w:val="Default"/>
        <w:widowControl w:val="0"/>
        <w:numPr>
          <w:ilvl w:val="0"/>
          <w:numId w:val="7"/>
        </w:numPr>
        <w:ind w:left="1134" w:hanging="567"/>
        <w:rPr>
          <w:color w:val="auto"/>
          <w:sz w:val="22"/>
          <w:szCs w:val="22"/>
          <w:lang w:val="lt-LT"/>
        </w:rPr>
      </w:pPr>
      <w:r w:rsidRPr="00216B78">
        <w:rPr>
          <w:color w:val="auto"/>
          <w:sz w:val="22"/>
          <w:szCs w:val="22"/>
          <w:lang w:val="lt-LT"/>
        </w:rPr>
        <w:t xml:space="preserve">sergate </w:t>
      </w:r>
      <w:r w:rsidR="00B324C9" w:rsidRPr="00216B78">
        <w:rPr>
          <w:color w:val="auto"/>
          <w:sz w:val="22"/>
          <w:szCs w:val="22"/>
          <w:lang w:val="lt-LT"/>
        </w:rPr>
        <w:t>kepenų</w:t>
      </w:r>
      <w:r w:rsidRPr="00216B78">
        <w:rPr>
          <w:color w:val="auto"/>
          <w:sz w:val="22"/>
          <w:szCs w:val="22"/>
          <w:lang w:val="lt-LT"/>
        </w:rPr>
        <w:t xml:space="preserve"> liga;</w:t>
      </w:r>
    </w:p>
    <w:p w14:paraId="15731434" w14:textId="77777777" w:rsidR="00967B3B" w:rsidRPr="00216B78" w:rsidRDefault="00967B3B" w:rsidP="00B64F51">
      <w:pPr>
        <w:pStyle w:val="Default"/>
        <w:widowControl w:val="0"/>
        <w:numPr>
          <w:ilvl w:val="0"/>
          <w:numId w:val="7"/>
        </w:numPr>
        <w:ind w:left="1134" w:hanging="567"/>
        <w:rPr>
          <w:color w:val="auto"/>
          <w:sz w:val="22"/>
          <w:szCs w:val="22"/>
          <w:lang w:val="lt-LT"/>
        </w:rPr>
      </w:pPr>
      <w:r w:rsidRPr="00216B78">
        <w:rPr>
          <w:color w:val="auto"/>
          <w:sz w:val="22"/>
          <w:szCs w:val="22"/>
          <w:lang w:val="lt-LT"/>
        </w:rPr>
        <w:t>Jums ką tik atlikta operacija (pacientai po operacijos);</w:t>
      </w:r>
    </w:p>
    <w:p w14:paraId="7ADADB17" w14:textId="77777777" w:rsidR="00967B3B" w:rsidRPr="00216B78" w:rsidRDefault="00967B3B" w:rsidP="00B64F51">
      <w:pPr>
        <w:pStyle w:val="Default"/>
        <w:widowControl w:val="0"/>
        <w:numPr>
          <w:ilvl w:val="0"/>
          <w:numId w:val="7"/>
        </w:numPr>
        <w:ind w:left="1134" w:hanging="567"/>
        <w:rPr>
          <w:color w:val="auto"/>
          <w:sz w:val="22"/>
          <w:szCs w:val="22"/>
          <w:lang w:val="lt-LT"/>
        </w:rPr>
      </w:pPr>
      <w:r w:rsidRPr="00216B78">
        <w:rPr>
          <w:color w:val="auto"/>
          <w:sz w:val="22"/>
          <w:szCs w:val="22"/>
          <w:lang w:val="lt-LT"/>
        </w:rPr>
        <w:t xml:space="preserve">Jums atliekama operacija (pacientai </w:t>
      </w:r>
      <w:r w:rsidR="00B324C9" w:rsidRPr="00216B78">
        <w:rPr>
          <w:color w:val="auto"/>
          <w:sz w:val="22"/>
          <w:szCs w:val="22"/>
          <w:lang w:val="lt-LT"/>
        </w:rPr>
        <w:t>operacijos</w:t>
      </w:r>
      <w:r w:rsidRPr="00216B78">
        <w:rPr>
          <w:color w:val="auto"/>
          <w:sz w:val="22"/>
          <w:szCs w:val="22"/>
          <w:lang w:val="lt-LT"/>
        </w:rPr>
        <w:t xml:space="preserve"> </w:t>
      </w:r>
      <w:r w:rsidR="00B324C9" w:rsidRPr="00216B78">
        <w:rPr>
          <w:color w:val="auto"/>
          <w:sz w:val="22"/>
          <w:szCs w:val="22"/>
          <w:lang w:val="lt-LT"/>
        </w:rPr>
        <w:t>metu</w:t>
      </w:r>
      <w:r w:rsidRPr="00216B78">
        <w:rPr>
          <w:color w:val="auto"/>
          <w:sz w:val="22"/>
          <w:szCs w:val="22"/>
          <w:lang w:val="lt-LT"/>
        </w:rPr>
        <w:t>);</w:t>
      </w:r>
    </w:p>
    <w:p w14:paraId="3913F725" w14:textId="77777777" w:rsidR="00967B3B" w:rsidRPr="00216B78" w:rsidRDefault="00967B3B" w:rsidP="00B64F51">
      <w:pPr>
        <w:pStyle w:val="Default"/>
        <w:widowControl w:val="0"/>
        <w:numPr>
          <w:ilvl w:val="0"/>
          <w:numId w:val="7"/>
        </w:numPr>
        <w:ind w:left="1134" w:hanging="567"/>
        <w:rPr>
          <w:color w:val="auto"/>
          <w:sz w:val="22"/>
          <w:szCs w:val="22"/>
          <w:lang w:val="lt-LT"/>
        </w:rPr>
      </w:pPr>
      <w:r w:rsidRPr="00216B78">
        <w:rPr>
          <w:color w:val="auto"/>
          <w:sz w:val="22"/>
          <w:szCs w:val="22"/>
          <w:lang w:val="lt-LT"/>
        </w:rPr>
        <w:t>naujai gimusiems kūdikiams (naujagimiams);</w:t>
      </w:r>
    </w:p>
    <w:p w14:paraId="4DFD0E99" w14:textId="77777777" w:rsidR="00967B3B" w:rsidRPr="00216B78" w:rsidRDefault="00967B3B" w:rsidP="00B64F51">
      <w:pPr>
        <w:pStyle w:val="Default"/>
        <w:widowControl w:val="0"/>
        <w:numPr>
          <w:ilvl w:val="0"/>
          <w:numId w:val="7"/>
        </w:numPr>
        <w:ind w:left="1134" w:hanging="567"/>
        <w:rPr>
          <w:color w:val="auto"/>
          <w:sz w:val="22"/>
          <w:szCs w:val="22"/>
          <w:lang w:val="lt-LT"/>
        </w:rPr>
      </w:pPr>
      <w:r w:rsidRPr="00216B78">
        <w:rPr>
          <w:color w:val="auto"/>
          <w:sz w:val="22"/>
          <w:szCs w:val="22"/>
          <w:lang w:val="lt-LT"/>
        </w:rPr>
        <w:t>tikėtina, kad Jums bus krešulių arba krešėjimo sutrikimų kraujagyslėse (pacientai, kuriems yra tromboembolijos reiškinių arba diseminuotos intravaskulinės koaguliacijos rizika).</w:t>
      </w:r>
    </w:p>
    <w:p w14:paraId="0025DA5A" w14:textId="77777777" w:rsidR="00684509" w:rsidRPr="00216B78" w:rsidRDefault="00684509" w:rsidP="00A86931">
      <w:pPr>
        <w:pStyle w:val="Default"/>
        <w:rPr>
          <w:color w:val="auto"/>
          <w:sz w:val="22"/>
          <w:szCs w:val="22"/>
          <w:lang w:val="lt-LT"/>
        </w:rPr>
      </w:pPr>
    </w:p>
    <w:p w14:paraId="47366F35" w14:textId="77777777" w:rsidR="00967B3B" w:rsidRPr="00216B78" w:rsidRDefault="00967B3B" w:rsidP="00A86931">
      <w:pPr>
        <w:pStyle w:val="Default"/>
        <w:rPr>
          <w:color w:val="auto"/>
          <w:sz w:val="22"/>
          <w:szCs w:val="22"/>
          <w:lang w:val="lt-LT"/>
        </w:rPr>
      </w:pPr>
      <w:r w:rsidRPr="00216B78">
        <w:rPr>
          <w:color w:val="auto"/>
          <w:sz w:val="22"/>
          <w:szCs w:val="22"/>
          <w:lang w:val="lt-LT"/>
        </w:rPr>
        <w:t>Gydytojas gali paprašyti atlikti papildomus krešėjimo tyrimus, kad stebėtų riziką.</w:t>
      </w:r>
    </w:p>
    <w:p w14:paraId="0E552D29" w14:textId="77777777" w:rsidR="00967B3B" w:rsidRPr="00216B78" w:rsidRDefault="00967B3B" w:rsidP="00A86931">
      <w:pPr>
        <w:pStyle w:val="Default"/>
        <w:rPr>
          <w:color w:val="auto"/>
          <w:sz w:val="22"/>
          <w:szCs w:val="22"/>
          <w:lang w:val="lt-LT"/>
        </w:rPr>
      </w:pPr>
    </w:p>
    <w:p w14:paraId="74B224C8" w14:textId="77777777" w:rsidR="00967B3B" w:rsidRPr="00216B78" w:rsidRDefault="00967B3B" w:rsidP="00A86931">
      <w:pPr>
        <w:pStyle w:val="Default"/>
        <w:rPr>
          <w:i/>
          <w:color w:val="auto"/>
          <w:sz w:val="22"/>
          <w:szCs w:val="22"/>
          <w:lang w:val="lt-LT"/>
        </w:rPr>
      </w:pPr>
      <w:r w:rsidRPr="00216B78">
        <w:rPr>
          <w:i/>
          <w:iCs/>
          <w:color w:val="auto"/>
          <w:sz w:val="22"/>
          <w:szCs w:val="22"/>
          <w:lang w:val="lt-LT"/>
        </w:rPr>
        <w:t>Alerginės arba anafilaksinės reakcijos</w:t>
      </w:r>
    </w:p>
    <w:p w14:paraId="7139F0E8" w14:textId="77777777" w:rsidR="00684509" w:rsidRPr="00216B78" w:rsidRDefault="00684509" w:rsidP="00A86931">
      <w:pPr>
        <w:pStyle w:val="Default"/>
        <w:rPr>
          <w:color w:val="auto"/>
          <w:sz w:val="22"/>
          <w:szCs w:val="22"/>
          <w:lang w:val="lt-LT"/>
        </w:rPr>
      </w:pPr>
    </w:p>
    <w:p w14:paraId="56DBF5FB" w14:textId="77777777" w:rsidR="00967B3B" w:rsidRPr="00216B78" w:rsidRDefault="00967B3B" w:rsidP="00A86931">
      <w:pPr>
        <w:pStyle w:val="Default"/>
        <w:rPr>
          <w:color w:val="auto"/>
          <w:sz w:val="22"/>
          <w:szCs w:val="22"/>
          <w:lang w:val="lt-LT"/>
        </w:rPr>
      </w:pPr>
      <w:r w:rsidRPr="00216B78">
        <w:rPr>
          <w:color w:val="auto"/>
          <w:sz w:val="22"/>
          <w:szCs w:val="22"/>
          <w:lang w:val="lt-LT"/>
        </w:rPr>
        <w:t xml:space="preserve">Bet kuris vaistas, pvz., </w:t>
      </w:r>
      <w:r w:rsidR="008F18DA" w:rsidRPr="00216B78">
        <w:rPr>
          <w:bCs/>
          <w:sz w:val="22"/>
          <w:szCs w:val="22"/>
          <w:lang w:val="lt-LT"/>
        </w:rPr>
        <w:t>fibryga</w:t>
      </w:r>
      <w:r w:rsidRPr="00216B78">
        <w:rPr>
          <w:color w:val="auto"/>
          <w:sz w:val="22"/>
          <w:szCs w:val="22"/>
          <w:lang w:val="lt-LT"/>
        </w:rPr>
        <w:t xml:space="preserve">, kuris ruošiamas iš žmogaus kraujo (kurio sudėtyje yra baltymų) ir kuris leidžiamas į veną, gali sukelti alerginių reakcijų. Jeigu Jums anksčiau yra pasireiškę alerginių reakcijų į </w:t>
      </w:r>
      <w:r w:rsidR="008F18DA" w:rsidRPr="00216B78">
        <w:rPr>
          <w:bCs/>
          <w:sz w:val="22"/>
          <w:szCs w:val="22"/>
          <w:lang w:val="lt-LT"/>
        </w:rPr>
        <w:t>fibryga</w:t>
      </w:r>
      <w:r w:rsidRPr="00216B78">
        <w:rPr>
          <w:color w:val="auto"/>
          <w:sz w:val="22"/>
          <w:szCs w:val="22"/>
          <w:lang w:val="lt-LT"/>
        </w:rPr>
        <w:t>, gydytojas Jums patars, ar reikia vartoti vaist</w:t>
      </w:r>
      <w:r w:rsidR="00B324C9" w:rsidRPr="00216B78">
        <w:rPr>
          <w:color w:val="auto"/>
          <w:sz w:val="22"/>
          <w:szCs w:val="22"/>
          <w:lang w:val="lt-LT"/>
        </w:rPr>
        <w:t>us</w:t>
      </w:r>
      <w:r w:rsidRPr="00216B78">
        <w:rPr>
          <w:color w:val="auto"/>
          <w:sz w:val="22"/>
          <w:szCs w:val="22"/>
          <w:lang w:val="lt-LT"/>
        </w:rPr>
        <w:t xml:space="preserve"> nuo alergijos.</w:t>
      </w:r>
    </w:p>
    <w:p w14:paraId="4F788835" w14:textId="77777777" w:rsidR="00967B3B" w:rsidRPr="00216B78" w:rsidRDefault="00967B3B" w:rsidP="00A86931">
      <w:pPr>
        <w:pStyle w:val="Default"/>
        <w:rPr>
          <w:color w:val="auto"/>
          <w:sz w:val="22"/>
          <w:szCs w:val="22"/>
          <w:lang w:val="lt-LT"/>
        </w:rPr>
      </w:pPr>
      <w:r w:rsidRPr="00216B78">
        <w:rPr>
          <w:color w:val="auto"/>
          <w:sz w:val="22"/>
          <w:szCs w:val="22"/>
          <w:lang w:val="lt-LT"/>
        </w:rPr>
        <w:t>Gydytojas Jums paaiškins įspėjamuosius alerginių arba anafilaksinių reakcijų požymius.</w:t>
      </w:r>
    </w:p>
    <w:p w14:paraId="5E0E33EA" w14:textId="77777777" w:rsidR="00967B3B" w:rsidRPr="00216B78" w:rsidRDefault="00967B3B" w:rsidP="00A86931">
      <w:pPr>
        <w:pStyle w:val="Default"/>
        <w:rPr>
          <w:color w:val="auto"/>
          <w:sz w:val="22"/>
          <w:szCs w:val="22"/>
          <w:lang w:val="lt-LT"/>
        </w:rPr>
      </w:pPr>
    </w:p>
    <w:p w14:paraId="61EA8FF7" w14:textId="77777777" w:rsidR="00967B3B" w:rsidRPr="00216B78" w:rsidRDefault="00967B3B" w:rsidP="00A86931">
      <w:pPr>
        <w:pStyle w:val="Default"/>
        <w:outlineLvl w:val="1"/>
        <w:rPr>
          <w:color w:val="auto"/>
          <w:sz w:val="22"/>
          <w:szCs w:val="22"/>
          <w:lang w:val="lt-LT"/>
        </w:rPr>
      </w:pPr>
      <w:r w:rsidRPr="00216B78">
        <w:rPr>
          <w:b/>
          <w:bCs/>
          <w:color w:val="auto"/>
          <w:sz w:val="22"/>
          <w:szCs w:val="22"/>
          <w:lang w:val="lt-LT"/>
        </w:rPr>
        <w:t>Atkreipkite dėmesį į ankstyvuosius alerginių reakcijų (padidėjusio jautrumo) požymius, pvz.:</w:t>
      </w:r>
    </w:p>
    <w:p w14:paraId="7EA1EF83" w14:textId="77777777" w:rsidR="00967B3B" w:rsidRPr="00216B78" w:rsidRDefault="00967B3B" w:rsidP="00B64F51">
      <w:pPr>
        <w:pStyle w:val="Default"/>
        <w:widowControl w:val="0"/>
        <w:numPr>
          <w:ilvl w:val="0"/>
          <w:numId w:val="6"/>
        </w:numPr>
        <w:ind w:left="1134" w:hanging="567"/>
        <w:rPr>
          <w:color w:val="auto"/>
          <w:sz w:val="22"/>
          <w:szCs w:val="22"/>
          <w:lang w:val="lt-LT"/>
        </w:rPr>
      </w:pPr>
      <w:r w:rsidRPr="00216B78">
        <w:rPr>
          <w:color w:val="auto"/>
          <w:sz w:val="22"/>
          <w:szCs w:val="22"/>
          <w:lang w:val="lt-LT"/>
        </w:rPr>
        <w:t>dilgėlinė;</w:t>
      </w:r>
    </w:p>
    <w:p w14:paraId="256E6D4D" w14:textId="77777777" w:rsidR="00967B3B" w:rsidRPr="00216B78" w:rsidRDefault="00967B3B" w:rsidP="00B64F51">
      <w:pPr>
        <w:pStyle w:val="Default"/>
        <w:widowControl w:val="0"/>
        <w:numPr>
          <w:ilvl w:val="0"/>
          <w:numId w:val="6"/>
        </w:numPr>
        <w:ind w:left="1134" w:hanging="567"/>
        <w:rPr>
          <w:color w:val="auto"/>
          <w:sz w:val="22"/>
          <w:szCs w:val="22"/>
          <w:lang w:val="lt-LT"/>
        </w:rPr>
      </w:pPr>
      <w:r w:rsidRPr="00216B78">
        <w:rPr>
          <w:color w:val="auto"/>
          <w:sz w:val="22"/>
          <w:szCs w:val="22"/>
          <w:lang w:val="lt-LT"/>
        </w:rPr>
        <w:t>odos išbėrimas;</w:t>
      </w:r>
    </w:p>
    <w:p w14:paraId="1863EE6E" w14:textId="77777777" w:rsidR="00967B3B" w:rsidRPr="00216B78" w:rsidRDefault="00967B3B" w:rsidP="00B64F51">
      <w:pPr>
        <w:pStyle w:val="Default"/>
        <w:widowControl w:val="0"/>
        <w:numPr>
          <w:ilvl w:val="0"/>
          <w:numId w:val="6"/>
        </w:numPr>
        <w:ind w:left="1134" w:hanging="567"/>
        <w:rPr>
          <w:color w:val="auto"/>
          <w:sz w:val="22"/>
          <w:szCs w:val="22"/>
          <w:lang w:val="lt-LT"/>
        </w:rPr>
      </w:pPr>
      <w:r w:rsidRPr="00216B78">
        <w:rPr>
          <w:color w:val="auto"/>
          <w:sz w:val="22"/>
          <w:szCs w:val="22"/>
          <w:lang w:val="lt-LT"/>
        </w:rPr>
        <w:t>krūtinės spaudimas;</w:t>
      </w:r>
    </w:p>
    <w:p w14:paraId="4CBEA211" w14:textId="77777777" w:rsidR="00967B3B" w:rsidRPr="00216B78" w:rsidRDefault="00967B3B" w:rsidP="00B64F51">
      <w:pPr>
        <w:pStyle w:val="Default"/>
        <w:widowControl w:val="0"/>
        <w:numPr>
          <w:ilvl w:val="0"/>
          <w:numId w:val="6"/>
        </w:numPr>
        <w:ind w:left="1134" w:hanging="567"/>
        <w:rPr>
          <w:color w:val="auto"/>
          <w:sz w:val="22"/>
          <w:szCs w:val="22"/>
          <w:lang w:val="lt-LT"/>
        </w:rPr>
      </w:pPr>
      <w:r w:rsidRPr="00216B78">
        <w:rPr>
          <w:color w:val="auto"/>
          <w:sz w:val="22"/>
          <w:szCs w:val="22"/>
          <w:lang w:val="lt-LT"/>
        </w:rPr>
        <w:t>švokštimas;</w:t>
      </w:r>
    </w:p>
    <w:p w14:paraId="485C312E" w14:textId="77777777" w:rsidR="00967B3B" w:rsidRPr="00216B78" w:rsidRDefault="00967B3B" w:rsidP="00B64F51">
      <w:pPr>
        <w:pStyle w:val="Default"/>
        <w:widowControl w:val="0"/>
        <w:numPr>
          <w:ilvl w:val="0"/>
          <w:numId w:val="6"/>
        </w:numPr>
        <w:ind w:left="1134" w:hanging="567"/>
        <w:rPr>
          <w:color w:val="auto"/>
          <w:sz w:val="22"/>
          <w:szCs w:val="22"/>
          <w:lang w:val="lt-LT"/>
        </w:rPr>
      </w:pPr>
      <w:r w:rsidRPr="00216B78">
        <w:rPr>
          <w:color w:val="auto"/>
          <w:sz w:val="22"/>
          <w:szCs w:val="22"/>
          <w:lang w:val="lt-LT"/>
        </w:rPr>
        <w:t>mažas kraujospūdis;</w:t>
      </w:r>
    </w:p>
    <w:p w14:paraId="13D784BC" w14:textId="77777777" w:rsidR="00967B3B" w:rsidRPr="00216B78" w:rsidRDefault="00967B3B" w:rsidP="00B64F51">
      <w:pPr>
        <w:pStyle w:val="Default"/>
        <w:widowControl w:val="0"/>
        <w:numPr>
          <w:ilvl w:val="0"/>
          <w:numId w:val="6"/>
        </w:numPr>
        <w:ind w:left="1134" w:hanging="567"/>
        <w:rPr>
          <w:color w:val="auto"/>
          <w:sz w:val="22"/>
          <w:szCs w:val="22"/>
          <w:lang w:val="lt-LT"/>
        </w:rPr>
      </w:pPr>
      <w:r w:rsidRPr="00216B78">
        <w:rPr>
          <w:color w:val="auto"/>
          <w:sz w:val="22"/>
          <w:szCs w:val="22"/>
          <w:lang w:val="lt-LT"/>
        </w:rPr>
        <w:t>anafilaksija (kai bet kuris arba visi iš pirmiau išvardytų simptomų pasireiškia greitai ir yra intensyvūs).</w:t>
      </w:r>
    </w:p>
    <w:p w14:paraId="4E0BDDAA" w14:textId="77777777" w:rsidR="00684509" w:rsidRPr="00216B78" w:rsidRDefault="00684509" w:rsidP="00A86931">
      <w:pPr>
        <w:pStyle w:val="Default"/>
        <w:rPr>
          <w:color w:val="auto"/>
          <w:sz w:val="22"/>
          <w:szCs w:val="22"/>
          <w:lang w:val="lt-LT"/>
        </w:rPr>
      </w:pPr>
    </w:p>
    <w:p w14:paraId="38439388" w14:textId="77777777" w:rsidR="00967B3B" w:rsidRPr="00216B78" w:rsidRDefault="00967B3B" w:rsidP="00A86931">
      <w:pPr>
        <w:pStyle w:val="Default"/>
        <w:rPr>
          <w:color w:val="auto"/>
          <w:sz w:val="22"/>
          <w:szCs w:val="22"/>
          <w:lang w:val="lt-LT"/>
        </w:rPr>
      </w:pPr>
      <w:r w:rsidRPr="00216B78">
        <w:rPr>
          <w:color w:val="auto"/>
          <w:sz w:val="22"/>
          <w:szCs w:val="22"/>
          <w:lang w:val="lt-LT"/>
        </w:rPr>
        <w:t xml:space="preserve">Jeigu jie pasireiškė, </w:t>
      </w:r>
      <w:r w:rsidR="008F18DA" w:rsidRPr="00216B78">
        <w:rPr>
          <w:bCs/>
          <w:sz w:val="22"/>
          <w:szCs w:val="22"/>
          <w:lang w:val="lt-LT"/>
        </w:rPr>
        <w:t>fibryga</w:t>
      </w:r>
      <w:r w:rsidR="008F18DA" w:rsidRPr="00216B78" w:rsidDel="008F18DA">
        <w:rPr>
          <w:color w:val="auto"/>
          <w:sz w:val="22"/>
          <w:szCs w:val="22"/>
          <w:lang w:val="lt-LT"/>
        </w:rPr>
        <w:t xml:space="preserve"> </w:t>
      </w:r>
      <w:r w:rsidRPr="00216B78">
        <w:rPr>
          <w:color w:val="auto"/>
          <w:sz w:val="22"/>
          <w:szCs w:val="22"/>
          <w:lang w:val="lt-LT"/>
        </w:rPr>
        <w:t>injekciją ar infuziją reikia nedelsiant nutraukti (t. y., re</w:t>
      </w:r>
      <w:r w:rsidR="00684509" w:rsidRPr="00216B78">
        <w:rPr>
          <w:color w:val="auto"/>
          <w:sz w:val="22"/>
          <w:szCs w:val="22"/>
          <w:lang w:val="lt-LT"/>
        </w:rPr>
        <w:t>ikia nutraukti vaisto leidimą).</w:t>
      </w:r>
    </w:p>
    <w:p w14:paraId="137F9AE8" w14:textId="77777777" w:rsidR="00684509" w:rsidRPr="00216B78" w:rsidRDefault="00684509" w:rsidP="00A86931">
      <w:pPr>
        <w:pStyle w:val="Text"/>
        <w:spacing w:before="0" w:after="0"/>
        <w:jc w:val="left"/>
        <w:rPr>
          <w:i/>
          <w:iCs/>
          <w:color w:val="auto"/>
          <w:sz w:val="22"/>
          <w:szCs w:val="22"/>
          <w:lang w:val="lt-LT"/>
        </w:rPr>
      </w:pPr>
    </w:p>
    <w:p w14:paraId="2166693C" w14:textId="77777777" w:rsidR="00967B3B" w:rsidRPr="00216B78" w:rsidRDefault="00967B3B" w:rsidP="00A86931">
      <w:pPr>
        <w:pStyle w:val="Text"/>
        <w:spacing w:before="0" w:after="0"/>
        <w:jc w:val="left"/>
        <w:rPr>
          <w:i/>
          <w:iCs/>
          <w:color w:val="auto"/>
          <w:sz w:val="22"/>
          <w:szCs w:val="22"/>
          <w:lang w:val="lt-LT"/>
        </w:rPr>
      </w:pPr>
      <w:r w:rsidRPr="00216B78">
        <w:rPr>
          <w:i/>
          <w:iCs/>
          <w:color w:val="auto"/>
          <w:sz w:val="22"/>
          <w:szCs w:val="22"/>
          <w:lang w:val="lt-LT"/>
        </w:rPr>
        <w:t>Apsauga nuo virusų</w:t>
      </w:r>
    </w:p>
    <w:p w14:paraId="70DFEA0D" w14:textId="77777777" w:rsidR="00684509" w:rsidRPr="00216B78" w:rsidRDefault="00684509" w:rsidP="00A86931">
      <w:pPr>
        <w:pStyle w:val="Text"/>
        <w:spacing w:before="0" w:after="0"/>
        <w:jc w:val="left"/>
        <w:rPr>
          <w:i/>
          <w:color w:val="auto"/>
          <w:sz w:val="22"/>
          <w:szCs w:val="22"/>
          <w:lang w:val="lt-LT"/>
        </w:rPr>
      </w:pPr>
    </w:p>
    <w:p w14:paraId="5922EAF5" w14:textId="77777777" w:rsidR="00967B3B" w:rsidRPr="00216B78" w:rsidRDefault="00967B3B" w:rsidP="00A86931">
      <w:pPr>
        <w:pStyle w:val="Text"/>
        <w:spacing w:before="0" w:after="0"/>
        <w:jc w:val="left"/>
        <w:rPr>
          <w:color w:val="auto"/>
          <w:sz w:val="22"/>
          <w:szCs w:val="22"/>
          <w:lang w:val="lt-LT"/>
        </w:rPr>
      </w:pPr>
      <w:r w:rsidRPr="00216B78">
        <w:rPr>
          <w:color w:val="auto"/>
          <w:sz w:val="22"/>
          <w:szCs w:val="22"/>
          <w:lang w:val="lt-LT"/>
        </w:rPr>
        <w:t>Kai vaistai yra pagaminti iš žmogaus kraujo arba plazmos, taikomos tam tikros priemonės, kad būtų išvengta infekcijų perdavimo pacientams. Tarp jų:</w:t>
      </w:r>
    </w:p>
    <w:p w14:paraId="2B9CAB1F" w14:textId="77777777" w:rsidR="00967B3B" w:rsidRPr="00216B78" w:rsidRDefault="00967B3B" w:rsidP="00B64F51">
      <w:pPr>
        <w:pStyle w:val="Default"/>
        <w:widowControl w:val="0"/>
        <w:numPr>
          <w:ilvl w:val="0"/>
          <w:numId w:val="8"/>
        </w:numPr>
        <w:ind w:left="567" w:hanging="567"/>
        <w:rPr>
          <w:color w:val="auto"/>
          <w:sz w:val="22"/>
          <w:szCs w:val="22"/>
          <w:lang w:val="lt-LT"/>
        </w:rPr>
      </w:pPr>
      <w:r w:rsidRPr="00216B78">
        <w:rPr>
          <w:color w:val="auto"/>
          <w:sz w:val="22"/>
          <w:szCs w:val="22"/>
          <w:lang w:val="lt-LT"/>
        </w:rPr>
        <w:t>atidi kraujo ir plazmos donorų atranka, siekiant užtikrinti, kad nebūtų įtraukti pacientai, kuriems yra infekcijų perdavimo rizika;</w:t>
      </w:r>
    </w:p>
    <w:p w14:paraId="345D903D" w14:textId="77777777" w:rsidR="00967B3B" w:rsidRPr="00216B78" w:rsidRDefault="00967B3B" w:rsidP="00B64F51">
      <w:pPr>
        <w:pStyle w:val="Default"/>
        <w:widowControl w:val="0"/>
        <w:numPr>
          <w:ilvl w:val="0"/>
          <w:numId w:val="8"/>
        </w:numPr>
        <w:ind w:left="567" w:hanging="567"/>
        <w:rPr>
          <w:color w:val="auto"/>
          <w:sz w:val="22"/>
          <w:szCs w:val="22"/>
          <w:lang w:val="lt-LT"/>
        </w:rPr>
      </w:pPr>
      <w:r w:rsidRPr="00216B78">
        <w:rPr>
          <w:color w:val="auto"/>
          <w:sz w:val="22"/>
          <w:szCs w:val="22"/>
          <w:lang w:val="lt-LT"/>
        </w:rPr>
        <w:t xml:space="preserve">kiekvienos donacijos ir plazmos </w:t>
      </w:r>
      <w:r w:rsidR="00B324C9" w:rsidRPr="00216B78">
        <w:rPr>
          <w:color w:val="auto"/>
          <w:sz w:val="22"/>
          <w:szCs w:val="22"/>
          <w:lang w:val="lt-LT"/>
        </w:rPr>
        <w:t>kaupinių</w:t>
      </w:r>
      <w:r w:rsidRPr="00216B78">
        <w:rPr>
          <w:color w:val="auto"/>
          <w:sz w:val="22"/>
          <w:szCs w:val="22"/>
          <w:lang w:val="lt-LT"/>
        </w:rPr>
        <w:t xml:space="preserve"> tyrimai, ieškant virusų ir (arba) infekcijų požymių;</w:t>
      </w:r>
    </w:p>
    <w:p w14:paraId="0473550C" w14:textId="77777777" w:rsidR="00967B3B" w:rsidRPr="00216B78" w:rsidRDefault="00967B3B" w:rsidP="00B64F51">
      <w:pPr>
        <w:pStyle w:val="Default"/>
        <w:widowControl w:val="0"/>
        <w:numPr>
          <w:ilvl w:val="0"/>
          <w:numId w:val="8"/>
        </w:numPr>
        <w:ind w:left="567" w:hanging="567"/>
        <w:rPr>
          <w:color w:val="auto"/>
          <w:sz w:val="22"/>
          <w:szCs w:val="22"/>
          <w:lang w:val="lt-LT"/>
        </w:rPr>
      </w:pPr>
      <w:r w:rsidRPr="00216B78">
        <w:rPr>
          <w:color w:val="auto"/>
          <w:sz w:val="22"/>
          <w:szCs w:val="22"/>
          <w:lang w:val="lt-LT"/>
        </w:rPr>
        <w:t xml:space="preserve">etapų, kuriais galima </w:t>
      </w:r>
      <w:r w:rsidR="00B324C9" w:rsidRPr="00216B78">
        <w:rPr>
          <w:color w:val="auto"/>
          <w:sz w:val="22"/>
          <w:szCs w:val="22"/>
          <w:lang w:val="lt-LT"/>
        </w:rPr>
        <w:t>sunaikinti</w:t>
      </w:r>
      <w:r w:rsidRPr="00216B78">
        <w:rPr>
          <w:color w:val="auto"/>
          <w:sz w:val="22"/>
          <w:szCs w:val="22"/>
          <w:lang w:val="lt-LT"/>
        </w:rPr>
        <w:t xml:space="preserve"> arba pašalinti virusus, įtraukimas į kraujo arba plazmos apdorojimą.</w:t>
      </w:r>
    </w:p>
    <w:p w14:paraId="57925B84" w14:textId="77777777" w:rsidR="00684509" w:rsidRPr="00216B78" w:rsidRDefault="00684509" w:rsidP="00A86931">
      <w:pPr>
        <w:pStyle w:val="Text"/>
        <w:spacing w:before="0" w:after="0"/>
        <w:jc w:val="left"/>
        <w:rPr>
          <w:color w:val="auto"/>
          <w:sz w:val="22"/>
          <w:szCs w:val="22"/>
          <w:lang w:val="lt-LT"/>
        </w:rPr>
      </w:pPr>
    </w:p>
    <w:p w14:paraId="24CDAC99" w14:textId="77777777" w:rsidR="00967B3B" w:rsidRPr="00216B78" w:rsidRDefault="00967B3B" w:rsidP="00A86931">
      <w:pPr>
        <w:pStyle w:val="Text"/>
        <w:spacing w:before="0" w:after="0"/>
        <w:jc w:val="left"/>
        <w:rPr>
          <w:color w:val="auto"/>
          <w:sz w:val="22"/>
          <w:szCs w:val="22"/>
          <w:lang w:val="lt-LT"/>
        </w:rPr>
      </w:pPr>
      <w:r w:rsidRPr="00216B78">
        <w:rPr>
          <w:color w:val="auto"/>
          <w:sz w:val="22"/>
          <w:szCs w:val="22"/>
          <w:lang w:val="lt-LT"/>
        </w:rPr>
        <w:t xml:space="preserve">Nepaisant šių priemonių, kai skiriami iš žmogaus kraujo arba plazmos pagaminti vaistai, infekcijos perdavimo galimybės visiškai atmesti negalima. Tai taip pat taikoma nežinomiems arba </w:t>
      </w:r>
      <w:r w:rsidR="00B324C9" w:rsidRPr="00216B78">
        <w:rPr>
          <w:color w:val="auto"/>
          <w:sz w:val="22"/>
          <w:szCs w:val="22"/>
          <w:lang w:val="lt-LT"/>
        </w:rPr>
        <w:t xml:space="preserve">naujai </w:t>
      </w:r>
      <w:r w:rsidRPr="00216B78">
        <w:rPr>
          <w:color w:val="auto"/>
          <w:sz w:val="22"/>
          <w:szCs w:val="22"/>
          <w:lang w:val="lt-LT"/>
        </w:rPr>
        <w:t>atsiran</w:t>
      </w:r>
      <w:r w:rsidR="00B324C9" w:rsidRPr="00216B78">
        <w:rPr>
          <w:color w:val="auto"/>
          <w:sz w:val="22"/>
          <w:szCs w:val="22"/>
          <w:lang w:val="lt-LT"/>
        </w:rPr>
        <w:t>dusiems</w:t>
      </w:r>
      <w:r w:rsidRPr="00216B78">
        <w:rPr>
          <w:color w:val="auto"/>
          <w:sz w:val="22"/>
          <w:szCs w:val="22"/>
          <w:lang w:val="lt-LT"/>
        </w:rPr>
        <w:t xml:space="preserve"> virusams ar kitų tipų infekcijoms.</w:t>
      </w:r>
    </w:p>
    <w:p w14:paraId="016334AA" w14:textId="77777777" w:rsidR="00684509" w:rsidRPr="00216B78" w:rsidRDefault="00684509" w:rsidP="00A86931">
      <w:pPr>
        <w:pStyle w:val="Text"/>
        <w:spacing w:before="0" w:after="0"/>
        <w:jc w:val="left"/>
        <w:rPr>
          <w:color w:val="auto"/>
          <w:sz w:val="22"/>
          <w:szCs w:val="22"/>
          <w:lang w:val="lt-LT"/>
        </w:rPr>
      </w:pPr>
    </w:p>
    <w:p w14:paraId="55E81162" w14:textId="77777777" w:rsidR="00967B3B" w:rsidRPr="00216B78" w:rsidRDefault="00967B3B" w:rsidP="00A86931">
      <w:pPr>
        <w:pStyle w:val="Text"/>
        <w:spacing w:before="0" w:after="0"/>
        <w:jc w:val="left"/>
        <w:rPr>
          <w:color w:val="auto"/>
          <w:sz w:val="22"/>
          <w:szCs w:val="22"/>
          <w:lang w:val="lt-LT"/>
        </w:rPr>
      </w:pPr>
      <w:r w:rsidRPr="00216B78">
        <w:rPr>
          <w:color w:val="auto"/>
          <w:sz w:val="22"/>
          <w:szCs w:val="22"/>
          <w:lang w:val="lt-LT"/>
        </w:rPr>
        <w:t>Taikomos priemonės laikomos veiksmingomis tokiems virusams su apvalkalu, kaip žmogaus imunodeficito virusas (ŽIV), hepatito B virusas ir hepatito C virusas, bei hepatito A virus</w:t>
      </w:r>
      <w:r w:rsidR="00B324C9" w:rsidRPr="00216B78">
        <w:rPr>
          <w:color w:val="auto"/>
          <w:sz w:val="22"/>
          <w:szCs w:val="22"/>
          <w:lang w:val="lt-LT"/>
        </w:rPr>
        <w:t>as</w:t>
      </w:r>
      <w:r w:rsidRPr="00216B78">
        <w:rPr>
          <w:color w:val="auto"/>
          <w:sz w:val="22"/>
          <w:szCs w:val="22"/>
          <w:lang w:val="lt-LT"/>
        </w:rPr>
        <w:t xml:space="preserve"> be apvalkalo. Taikomos priemonės gali būti nepakankamai veiksmingos prieš tokius virusus </w:t>
      </w:r>
      <w:r w:rsidR="007751CF" w:rsidRPr="00216B78">
        <w:rPr>
          <w:color w:val="auto"/>
          <w:sz w:val="22"/>
          <w:szCs w:val="22"/>
          <w:lang w:val="lt-LT"/>
        </w:rPr>
        <w:t xml:space="preserve">be apvalkalo </w:t>
      </w:r>
      <w:r w:rsidRPr="00216B78">
        <w:rPr>
          <w:color w:val="auto"/>
          <w:sz w:val="22"/>
          <w:szCs w:val="22"/>
          <w:lang w:val="lt-LT"/>
        </w:rPr>
        <w:t>kaip parvovirusas B19.</w:t>
      </w:r>
    </w:p>
    <w:p w14:paraId="42EFBC36" w14:textId="77777777" w:rsidR="00684509" w:rsidRPr="00216B78" w:rsidRDefault="00684509" w:rsidP="00A86931">
      <w:pPr>
        <w:pStyle w:val="Text"/>
        <w:spacing w:before="0" w:after="0"/>
        <w:jc w:val="left"/>
        <w:rPr>
          <w:color w:val="auto"/>
          <w:sz w:val="22"/>
          <w:szCs w:val="22"/>
          <w:lang w:val="lt-LT"/>
        </w:rPr>
      </w:pPr>
    </w:p>
    <w:p w14:paraId="0214403C" w14:textId="77777777" w:rsidR="00967B3B" w:rsidRPr="00216B78" w:rsidRDefault="00967B3B" w:rsidP="00A86931">
      <w:pPr>
        <w:pStyle w:val="Text"/>
        <w:spacing w:before="0" w:after="0"/>
        <w:jc w:val="left"/>
        <w:rPr>
          <w:color w:val="auto"/>
          <w:sz w:val="22"/>
          <w:szCs w:val="22"/>
          <w:lang w:val="lt-LT"/>
        </w:rPr>
      </w:pPr>
      <w:r w:rsidRPr="00216B78">
        <w:rPr>
          <w:color w:val="auto"/>
          <w:sz w:val="22"/>
          <w:szCs w:val="22"/>
          <w:lang w:val="lt-LT"/>
        </w:rPr>
        <w:t>Parvoviruso B19 infekcija gali būti sunki nėščioms moterims (negimusio kūdikio infekcija) ir asmenims, kurių imuninė sistema yra nusilpusi arba kuriems yra kai kurių tipų anemija (pvz., pjautuv</w:t>
      </w:r>
      <w:r w:rsidR="00B324C9" w:rsidRPr="00216B78">
        <w:rPr>
          <w:color w:val="auto"/>
          <w:sz w:val="22"/>
          <w:szCs w:val="22"/>
          <w:lang w:val="lt-LT"/>
        </w:rPr>
        <w:t>o pavidalo ląstelių anemija</w:t>
      </w:r>
      <w:r w:rsidRPr="00216B78">
        <w:rPr>
          <w:color w:val="auto"/>
          <w:sz w:val="22"/>
          <w:szCs w:val="22"/>
          <w:lang w:val="lt-LT"/>
        </w:rPr>
        <w:t xml:space="preserve"> arba nenormalus raudonųjų kraujo ląstelių irimas).</w:t>
      </w:r>
    </w:p>
    <w:p w14:paraId="5DF0DE64" w14:textId="77777777" w:rsidR="00684509" w:rsidRPr="00216B78" w:rsidRDefault="00684509" w:rsidP="00A86931">
      <w:pPr>
        <w:pStyle w:val="Text"/>
        <w:spacing w:before="0" w:after="0"/>
        <w:jc w:val="left"/>
        <w:rPr>
          <w:color w:val="auto"/>
          <w:sz w:val="22"/>
          <w:szCs w:val="22"/>
          <w:lang w:val="lt-LT"/>
        </w:rPr>
      </w:pPr>
    </w:p>
    <w:p w14:paraId="7C907CB1" w14:textId="77777777" w:rsidR="00967B3B" w:rsidRPr="00216B78" w:rsidRDefault="00967B3B" w:rsidP="00A86931">
      <w:pPr>
        <w:pStyle w:val="Text"/>
        <w:spacing w:before="0" w:after="0"/>
        <w:jc w:val="left"/>
        <w:rPr>
          <w:color w:val="auto"/>
          <w:sz w:val="22"/>
          <w:szCs w:val="22"/>
          <w:lang w:val="lt-LT"/>
        </w:rPr>
      </w:pPr>
      <w:r w:rsidRPr="00216B78">
        <w:rPr>
          <w:color w:val="auto"/>
          <w:sz w:val="22"/>
          <w:szCs w:val="22"/>
          <w:lang w:val="lt-LT"/>
        </w:rPr>
        <w:lastRenderedPageBreak/>
        <w:t xml:space="preserve">Primygtinai rekomenduojama, kiekvieną kartą, kai Jums skiriama </w:t>
      </w:r>
      <w:r w:rsidR="00D734DB" w:rsidRPr="00216B78">
        <w:rPr>
          <w:bCs/>
          <w:sz w:val="22"/>
          <w:szCs w:val="22"/>
          <w:lang w:val="lt-LT"/>
        </w:rPr>
        <w:t>fibryga</w:t>
      </w:r>
      <w:r w:rsidR="00D734DB" w:rsidRPr="00216B78" w:rsidDel="00D734DB">
        <w:rPr>
          <w:color w:val="auto"/>
          <w:sz w:val="22"/>
          <w:szCs w:val="22"/>
          <w:lang w:val="lt-LT"/>
        </w:rPr>
        <w:t xml:space="preserve"> </w:t>
      </w:r>
      <w:r w:rsidRPr="00216B78">
        <w:rPr>
          <w:color w:val="auto"/>
          <w:sz w:val="22"/>
          <w:szCs w:val="22"/>
          <w:lang w:val="lt-LT"/>
        </w:rPr>
        <w:t xml:space="preserve">dozė, užrašyti vaisto pavadinimą ir </w:t>
      </w:r>
      <w:r w:rsidR="00B324C9" w:rsidRPr="00216B78">
        <w:rPr>
          <w:color w:val="auto"/>
          <w:sz w:val="22"/>
          <w:szCs w:val="22"/>
          <w:lang w:val="lt-LT"/>
        </w:rPr>
        <w:t>serijos</w:t>
      </w:r>
      <w:r w:rsidRPr="00216B78">
        <w:rPr>
          <w:color w:val="auto"/>
          <w:sz w:val="22"/>
          <w:szCs w:val="22"/>
          <w:lang w:val="lt-LT"/>
        </w:rPr>
        <w:t xml:space="preserve"> numerį, kad būtų vykdoma vartotų vaist</w:t>
      </w:r>
      <w:r w:rsidR="00FD3FFD" w:rsidRPr="00216B78">
        <w:rPr>
          <w:color w:val="auto"/>
          <w:sz w:val="22"/>
          <w:szCs w:val="22"/>
          <w:lang w:val="lt-LT"/>
        </w:rPr>
        <w:t xml:space="preserve">o serijų </w:t>
      </w:r>
      <w:r w:rsidRPr="00216B78">
        <w:rPr>
          <w:color w:val="auto"/>
          <w:sz w:val="22"/>
          <w:szCs w:val="22"/>
          <w:lang w:val="lt-LT"/>
        </w:rPr>
        <w:t>apskaita.</w:t>
      </w:r>
    </w:p>
    <w:p w14:paraId="4E0C8564" w14:textId="77777777" w:rsidR="00FD3FFD" w:rsidRPr="00216B78" w:rsidRDefault="00FD3FFD" w:rsidP="00A86931">
      <w:pPr>
        <w:pStyle w:val="Text"/>
        <w:spacing w:before="0" w:after="0"/>
        <w:jc w:val="left"/>
        <w:rPr>
          <w:color w:val="auto"/>
          <w:sz w:val="22"/>
          <w:szCs w:val="22"/>
          <w:lang w:val="lt-LT"/>
        </w:rPr>
      </w:pPr>
    </w:p>
    <w:p w14:paraId="5166272B" w14:textId="77777777" w:rsidR="00967B3B" w:rsidRPr="00216B78" w:rsidRDefault="00967B3B" w:rsidP="00A86931">
      <w:pPr>
        <w:pStyle w:val="Text"/>
        <w:spacing w:before="0" w:after="0"/>
        <w:jc w:val="left"/>
        <w:rPr>
          <w:color w:val="auto"/>
          <w:sz w:val="22"/>
          <w:szCs w:val="22"/>
          <w:lang w:val="lt-LT"/>
        </w:rPr>
      </w:pPr>
      <w:r w:rsidRPr="00216B78">
        <w:rPr>
          <w:color w:val="auto"/>
          <w:sz w:val="22"/>
          <w:szCs w:val="22"/>
          <w:lang w:val="lt-LT"/>
        </w:rPr>
        <w:t>Gydytojas gali rekomenduoti Jums apsvarstyti galimybę pasiskiepyti nuo hepatito A ir B, jeigu Jums reguliariai / kartotinai skiriami iš žmogaus plazmo</w:t>
      </w:r>
      <w:r w:rsidR="00684509" w:rsidRPr="00216B78">
        <w:rPr>
          <w:color w:val="auto"/>
          <w:sz w:val="22"/>
          <w:szCs w:val="22"/>
          <w:lang w:val="lt-LT"/>
        </w:rPr>
        <w:t>s</w:t>
      </w:r>
      <w:r w:rsidR="00FD3FFD" w:rsidRPr="00216B78">
        <w:rPr>
          <w:color w:val="auto"/>
          <w:sz w:val="22"/>
          <w:szCs w:val="22"/>
          <w:lang w:val="lt-LT"/>
        </w:rPr>
        <w:t xml:space="preserve"> pagaminti</w:t>
      </w:r>
      <w:r w:rsidR="00684509" w:rsidRPr="00216B78">
        <w:rPr>
          <w:color w:val="auto"/>
          <w:sz w:val="22"/>
          <w:szCs w:val="22"/>
          <w:lang w:val="lt-LT"/>
        </w:rPr>
        <w:t xml:space="preserve"> fibrinogeno preparatai.</w:t>
      </w:r>
    </w:p>
    <w:p w14:paraId="56F96E4B" w14:textId="77777777" w:rsidR="00684509" w:rsidRPr="00216B78" w:rsidRDefault="00684509" w:rsidP="00A86931">
      <w:pPr>
        <w:numPr>
          <w:ilvl w:val="12"/>
          <w:numId w:val="0"/>
        </w:numPr>
        <w:outlineLvl w:val="1"/>
        <w:rPr>
          <w:rFonts w:eastAsia="Times New Roman"/>
        </w:rPr>
      </w:pPr>
    </w:p>
    <w:p w14:paraId="3A090CA3" w14:textId="77777777" w:rsidR="00967B3B" w:rsidRPr="00216B78" w:rsidRDefault="00967B3B" w:rsidP="00A86931">
      <w:pPr>
        <w:numPr>
          <w:ilvl w:val="12"/>
          <w:numId w:val="0"/>
        </w:numPr>
        <w:outlineLvl w:val="1"/>
        <w:rPr>
          <w:b/>
          <w:bCs/>
        </w:rPr>
      </w:pPr>
      <w:r w:rsidRPr="00216B78">
        <w:rPr>
          <w:b/>
          <w:bCs/>
        </w:rPr>
        <w:t>Vaikai ir paaugliai</w:t>
      </w:r>
    </w:p>
    <w:p w14:paraId="08369772" w14:textId="77777777" w:rsidR="00684509" w:rsidRPr="00216B78" w:rsidRDefault="00684509" w:rsidP="00A86931">
      <w:pPr>
        <w:pStyle w:val="Text"/>
        <w:spacing w:before="0" w:after="0"/>
        <w:jc w:val="left"/>
        <w:rPr>
          <w:color w:val="auto"/>
          <w:sz w:val="22"/>
          <w:szCs w:val="22"/>
          <w:lang w:val="lt-LT"/>
        </w:rPr>
      </w:pPr>
    </w:p>
    <w:p w14:paraId="315C95CE" w14:textId="77777777" w:rsidR="00967B3B" w:rsidRPr="00216B78" w:rsidRDefault="00967B3B" w:rsidP="00A86931">
      <w:pPr>
        <w:pStyle w:val="Text"/>
        <w:spacing w:before="0" w:after="0"/>
        <w:jc w:val="left"/>
        <w:rPr>
          <w:color w:val="auto"/>
          <w:sz w:val="22"/>
          <w:szCs w:val="22"/>
          <w:lang w:val="lt-LT"/>
        </w:rPr>
      </w:pPr>
      <w:r w:rsidRPr="00216B78">
        <w:rPr>
          <w:color w:val="auto"/>
          <w:sz w:val="22"/>
          <w:szCs w:val="22"/>
          <w:lang w:val="lt-LT"/>
        </w:rPr>
        <w:t>Vaikams ir paaugliams ypatingų arba papildomų įspėjimų ar atsargumo priemonių netaikoma.</w:t>
      </w:r>
    </w:p>
    <w:p w14:paraId="47EBCBD0" w14:textId="77777777" w:rsidR="00967B3B" w:rsidRPr="00216B78" w:rsidRDefault="00967B3B" w:rsidP="00A86931">
      <w:pPr>
        <w:pStyle w:val="Default"/>
        <w:rPr>
          <w:sz w:val="22"/>
          <w:szCs w:val="22"/>
          <w:lang w:val="lt-LT"/>
        </w:rPr>
      </w:pPr>
    </w:p>
    <w:p w14:paraId="3BF6CB72" w14:textId="77777777" w:rsidR="00967B3B" w:rsidRPr="00216B78" w:rsidRDefault="00967B3B" w:rsidP="00A86931">
      <w:pPr>
        <w:pStyle w:val="Default"/>
        <w:outlineLvl w:val="1"/>
        <w:rPr>
          <w:b/>
          <w:bCs/>
          <w:sz w:val="22"/>
          <w:szCs w:val="22"/>
          <w:lang w:val="lt-LT"/>
        </w:rPr>
      </w:pPr>
      <w:r w:rsidRPr="00216B78">
        <w:rPr>
          <w:b/>
          <w:bCs/>
          <w:sz w:val="22"/>
          <w:szCs w:val="22"/>
          <w:lang w:val="lt-LT"/>
        </w:rPr>
        <w:t xml:space="preserve">Kiti vaistai ir </w:t>
      </w:r>
      <w:r w:rsidR="00D734DB" w:rsidRPr="00216B78">
        <w:rPr>
          <w:b/>
          <w:bCs/>
          <w:sz w:val="22"/>
          <w:szCs w:val="22"/>
          <w:lang w:val="lt-LT"/>
        </w:rPr>
        <w:t>fibryga</w:t>
      </w:r>
    </w:p>
    <w:p w14:paraId="05E7A8F0" w14:textId="77777777" w:rsidR="00684509" w:rsidRPr="00216B78" w:rsidRDefault="00684509" w:rsidP="00A86931">
      <w:pPr>
        <w:pStyle w:val="Default"/>
        <w:outlineLvl w:val="1"/>
        <w:rPr>
          <w:sz w:val="22"/>
          <w:szCs w:val="22"/>
          <w:lang w:val="lt-LT"/>
        </w:rPr>
      </w:pPr>
    </w:p>
    <w:p w14:paraId="2348AE78" w14:textId="77777777" w:rsidR="00967B3B" w:rsidRPr="00216B78" w:rsidRDefault="00967B3B" w:rsidP="00A86931">
      <w:pPr>
        <w:pStyle w:val="Default"/>
        <w:rPr>
          <w:sz w:val="22"/>
          <w:szCs w:val="22"/>
          <w:lang w:val="lt-LT"/>
        </w:rPr>
      </w:pPr>
      <w:r w:rsidRPr="00216B78">
        <w:rPr>
          <w:sz w:val="22"/>
          <w:szCs w:val="22"/>
          <w:lang w:val="lt-LT"/>
        </w:rPr>
        <w:t>Jeigu vartojate ar neseniai vartojote kitų vaistų arba dėl to nesate tikri, apie tai pasakykite gydytojui arba vaistininkui.</w:t>
      </w:r>
    </w:p>
    <w:p w14:paraId="3659FCAC" w14:textId="77777777" w:rsidR="00967B3B" w:rsidRPr="00216B78" w:rsidRDefault="00BE7183" w:rsidP="00A86931">
      <w:pPr>
        <w:pStyle w:val="Default"/>
        <w:rPr>
          <w:sz w:val="22"/>
          <w:szCs w:val="22"/>
          <w:lang w:val="lt-LT"/>
        </w:rPr>
      </w:pPr>
      <w:r w:rsidRPr="00216B78">
        <w:rPr>
          <w:color w:val="auto"/>
          <w:sz w:val="22"/>
          <w:szCs w:val="22"/>
          <w:lang w:val="lt-LT"/>
        </w:rPr>
        <w:t>f</w:t>
      </w:r>
      <w:r w:rsidR="00D734DB" w:rsidRPr="00216B78">
        <w:rPr>
          <w:color w:val="auto"/>
          <w:sz w:val="22"/>
          <w:szCs w:val="22"/>
          <w:lang w:val="lt-LT"/>
        </w:rPr>
        <w:t>ibryga</w:t>
      </w:r>
      <w:r w:rsidR="00967B3B" w:rsidRPr="00216B78">
        <w:rPr>
          <w:color w:val="auto"/>
          <w:sz w:val="22"/>
          <w:szCs w:val="22"/>
          <w:lang w:val="lt-LT"/>
        </w:rPr>
        <w:t xml:space="preserve"> </w:t>
      </w:r>
      <w:r w:rsidR="00967B3B" w:rsidRPr="00216B78">
        <w:rPr>
          <w:sz w:val="22"/>
          <w:szCs w:val="22"/>
          <w:lang w:val="lt-LT"/>
        </w:rPr>
        <w:t>negalima maišyti su kitais vaistais, išskyrus nurodytus skyriuje „</w:t>
      </w:r>
      <w:r w:rsidR="00967B3B" w:rsidRPr="00216B78">
        <w:rPr>
          <w:i/>
          <w:iCs/>
          <w:sz w:val="22"/>
          <w:szCs w:val="22"/>
          <w:lang w:val="lt-LT"/>
        </w:rPr>
        <w:t>Toliau pateikta informacija skirta tik sveikatos priežiūros specialistams / Ruošimas</w:t>
      </w:r>
      <w:r w:rsidR="00967B3B" w:rsidRPr="00216B78">
        <w:rPr>
          <w:sz w:val="22"/>
          <w:szCs w:val="22"/>
          <w:lang w:val="lt-LT"/>
        </w:rPr>
        <w:t>“.</w:t>
      </w:r>
    </w:p>
    <w:p w14:paraId="353F2C79" w14:textId="77777777" w:rsidR="00967B3B" w:rsidRPr="00216B78" w:rsidRDefault="00967B3B" w:rsidP="00A86931">
      <w:pPr>
        <w:pStyle w:val="Default"/>
        <w:rPr>
          <w:sz w:val="22"/>
          <w:szCs w:val="22"/>
          <w:lang w:val="lt-LT"/>
        </w:rPr>
      </w:pPr>
    </w:p>
    <w:p w14:paraId="5399FD91" w14:textId="77777777" w:rsidR="00967B3B" w:rsidRPr="00216B78" w:rsidRDefault="00967B3B" w:rsidP="00A86931">
      <w:pPr>
        <w:pStyle w:val="Default"/>
        <w:outlineLvl w:val="1"/>
        <w:rPr>
          <w:b/>
          <w:bCs/>
          <w:sz w:val="22"/>
          <w:szCs w:val="22"/>
          <w:lang w:val="lt-LT"/>
        </w:rPr>
      </w:pPr>
      <w:r w:rsidRPr="00216B78">
        <w:rPr>
          <w:b/>
          <w:bCs/>
          <w:sz w:val="22"/>
          <w:szCs w:val="22"/>
          <w:lang w:val="lt-LT"/>
        </w:rPr>
        <w:t>Nėštumas, žindymo laikotarpis ir vaisingumas</w:t>
      </w:r>
    </w:p>
    <w:p w14:paraId="55A174D2" w14:textId="77777777" w:rsidR="00967B3B" w:rsidRPr="00216B78" w:rsidRDefault="00967B3B" w:rsidP="00A86931">
      <w:pPr>
        <w:pStyle w:val="Text"/>
        <w:spacing w:before="0" w:after="0"/>
        <w:jc w:val="left"/>
        <w:rPr>
          <w:color w:val="auto"/>
          <w:sz w:val="22"/>
          <w:szCs w:val="22"/>
          <w:lang w:val="lt-LT"/>
        </w:rPr>
      </w:pPr>
      <w:r w:rsidRPr="00216B78">
        <w:rPr>
          <w:color w:val="auto"/>
          <w:sz w:val="22"/>
          <w:szCs w:val="22"/>
          <w:lang w:val="lt-LT"/>
        </w:rPr>
        <w:t>Jeigu esate nėščia, žindote kūdikį, manote, kad galbūt esate nėščia arba planuojate pastoti, tai prieš vartodama šį vaistą pasitarkite su gydytoju arba vaistininku. Šį vaistą nėštumo arba žindymo metu galima naudoti tik pasitarus su gydytoju arba vaistininku.</w:t>
      </w:r>
    </w:p>
    <w:p w14:paraId="2E0B91A1" w14:textId="77777777" w:rsidR="00967B3B" w:rsidRPr="00216B78" w:rsidRDefault="00967B3B" w:rsidP="00A86931">
      <w:pPr>
        <w:pStyle w:val="Default"/>
        <w:rPr>
          <w:sz w:val="22"/>
          <w:szCs w:val="22"/>
          <w:lang w:val="lt-LT"/>
        </w:rPr>
      </w:pPr>
    </w:p>
    <w:p w14:paraId="0CDE9233" w14:textId="77777777" w:rsidR="00967B3B" w:rsidRPr="00216B78" w:rsidRDefault="00967B3B" w:rsidP="00A86931">
      <w:pPr>
        <w:pStyle w:val="Default"/>
        <w:outlineLvl w:val="1"/>
        <w:rPr>
          <w:b/>
          <w:bCs/>
          <w:sz w:val="22"/>
          <w:szCs w:val="22"/>
          <w:lang w:val="lt-LT"/>
        </w:rPr>
      </w:pPr>
      <w:r w:rsidRPr="00216B78">
        <w:rPr>
          <w:b/>
          <w:bCs/>
          <w:sz w:val="22"/>
          <w:szCs w:val="22"/>
          <w:lang w:val="lt-LT"/>
        </w:rPr>
        <w:t>Vairavimas ir mechanizmų valdymas</w:t>
      </w:r>
    </w:p>
    <w:p w14:paraId="519B77A8" w14:textId="77777777" w:rsidR="00967B3B" w:rsidRPr="00216B78" w:rsidRDefault="00BE7183" w:rsidP="00A86931">
      <w:pPr>
        <w:pStyle w:val="Default"/>
        <w:rPr>
          <w:sz w:val="22"/>
          <w:szCs w:val="22"/>
          <w:lang w:val="lt-LT"/>
        </w:rPr>
      </w:pPr>
      <w:r w:rsidRPr="00216B78">
        <w:rPr>
          <w:sz w:val="22"/>
          <w:szCs w:val="22"/>
          <w:lang w:val="lt-LT"/>
        </w:rPr>
        <w:t>f</w:t>
      </w:r>
      <w:r w:rsidR="00D734DB" w:rsidRPr="00216B78">
        <w:rPr>
          <w:color w:val="auto"/>
          <w:sz w:val="22"/>
          <w:szCs w:val="22"/>
          <w:lang w:val="lt-LT"/>
        </w:rPr>
        <w:t>ibryga</w:t>
      </w:r>
      <w:r w:rsidR="00967B3B" w:rsidRPr="00216B78">
        <w:rPr>
          <w:sz w:val="22"/>
          <w:szCs w:val="22"/>
          <w:lang w:val="lt-LT"/>
        </w:rPr>
        <w:t xml:space="preserve"> gebėjimo vairuoti ir valdyti mechanizmus neveikia.</w:t>
      </w:r>
    </w:p>
    <w:p w14:paraId="544A4CA9" w14:textId="77777777" w:rsidR="00967B3B" w:rsidRPr="00216B78" w:rsidRDefault="00967B3B" w:rsidP="00A86931">
      <w:pPr>
        <w:pStyle w:val="Default"/>
        <w:rPr>
          <w:bCs/>
          <w:sz w:val="22"/>
          <w:szCs w:val="22"/>
          <w:lang w:val="lt-LT"/>
        </w:rPr>
      </w:pPr>
    </w:p>
    <w:p w14:paraId="416BC710" w14:textId="77777777" w:rsidR="00967B3B" w:rsidRPr="00216B78" w:rsidRDefault="00BE7183" w:rsidP="00A86931">
      <w:pPr>
        <w:pStyle w:val="Default"/>
        <w:rPr>
          <w:bCs/>
          <w:sz w:val="22"/>
          <w:szCs w:val="22"/>
          <w:lang w:val="lt-LT"/>
        </w:rPr>
      </w:pPr>
      <w:r w:rsidRPr="00216B78">
        <w:rPr>
          <w:sz w:val="22"/>
          <w:szCs w:val="22"/>
          <w:lang w:val="lt-LT"/>
        </w:rPr>
        <w:t>f</w:t>
      </w:r>
      <w:r w:rsidR="00D734DB" w:rsidRPr="00216B78">
        <w:rPr>
          <w:color w:val="auto"/>
          <w:sz w:val="22"/>
          <w:szCs w:val="22"/>
          <w:lang w:val="lt-LT"/>
        </w:rPr>
        <w:t>ibryga</w:t>
      </w:r>
      <w:r w:rsidR="00967B3B" w:rsidRPr="00216B78">
        <w:rPr>
          <w:sz w:val="22"/>
          <w:szCs w:val="22"/>
          <w:lang w:val="lt-LT"/>
        </w:rPr>
        <w:t xml:space="preserve"> sudėtyje yra natrio</w:t>
      </w:r>
    </w:p>
    <w:p w14:paraId="5EC07838" w14:textId="77777777" w:rsidR="00967B3B" w:rsidRPr="00216B78" w:rsidRDefault="00967B3B" w:rsidP="00A86931">
      <w:pPr>
        <w:pStyle w:val="Default"/>
        <w:rPr>
          <w:sz w:val="22"/>
          <w:szCs w:val="22"/>
          <w:lang w:val="lt-LT"/>
        </w:rPr>
      </w:pPr>
      <w:r w:rsidRPr="00216B78">
        <w:rPr>
          <w:color w:val="auto"/>
          <w:sz w:val="22"/>
          <w:szCs w:val="22"/>
          <w:lang w:val="lt-LT"/>
        </w:rPr>
        <w:t xml:space="preserve">Kiekviename šio vaisto buteliuke yra iki 132 mg natrio (valgomosios druskos sudedamosios dalies). Tai atitinka 6,6 % didžiausios rekomenduojamos natrio paros normos suaugusiesiems. </w:t>
      </w:r>
      <w:r w:rsidRPr="00216B78">
        <w:rPr>
          <w:sz w:val="22"/>
          <w:szCs w:val="22"/>
          <w:lang w:val="lt-LT"/>
        </w:rPr>
        <w:t>Būtina atsižvelgti, jei Jums kontroliuojamas natrio kiekis maiste.</w:t>
      </w:r>
    </w:p>
    <w:p w14:paraId="18D0DA28" w14:textId="77777777" w:rsidR="00967B3B" w:rsidRPr="00216B78" w:rsidRDefault="00967B3B" w:rsidP="00A86931">
      <w:pPr>
        <w:pStyle w:val="Default"/>
        <w:rPr>
          <w:bCs/>
          <w:sz w:val="22"/>
          <w:szCs w:val="22"/>
          <w:lang w:val="lt-LT"/>
        </w:rPr>
      </w:pPr>
    </w:p>
    <w:p w14:paraId="1F4DF3E5" w14:textId="77777777" w:rsidR="00967B3B" w:rsidRPr="00216B78" w:rsidRDefault="00967B3B" w:rsidP="00A86931">
      <w:pPr>
        <w:pStyle w:val="Default"/>
        <w:rPr>
          <w:sz w:val="22"/>
          <w:szCs w:val="22"/>
          <w:lang w:val="lt-LT"/>
        </w:rPr>
      </w:pPr>
    </w:p>
    <w:p w14:paraId="0C9256FC" w14:textId="77777777" w:rsidR="00967B3B" w:rsidRPr="00216B78" w:rsidRDefault="00684509" w:rsidP="00A86931">
      <w:pPr>
        <w:pStyle w:val="Default"/>
        <w:outlineLvl w:val="0"/>
        <w:rPr>
          <w:b/>
          <w:bCs/>
          <w:sz w:val="22"/>
          <w:szCs w:val="22"/>
          <w:lang w:val="lt-LT"/>
        </w:rPr>
      </w:pPr>
      <w:r w:rsidRPr="00216B78">
        <w:rPr>
          <w:b/>
          <w:bCs/>
          <w:sz w:val="22"/>
          <w:szCs w:val="22"/>
          <w:lang w:val="lt-LT"/>
        </w:rPr>
        <w:t>3.</w:t>
      </w:r>
      <w:r w:rsidRPr="00216B78">
        <w:rPr>
          <w:b/>
          <w:bCs/>
          <w:sz w:val="22"/>
          <w:szCs w:val="22"/>
          <w:lang w:val="lt-LT"/>
        </w:rPr>
        <w:tab/>
      </w:r>
      <w:r w:rsidR="00967B3B" w:rsidRPr="00216B78">
        <w:rPr>
          <w:b/>
          <w:bCs/>
          <w:sz w:val="22"/>
          <w:szCs w:val="22"/>
          <w:lang w:val="lt-LT"/>
        </w:rPr>
        <w:t xml:space="preserve">Kaip vartoti </w:t>
      </w:r>
      <w:r w:rsidR="00D734DB" w:rsidRPr="00216B78">
        <w:rPr>
          <w:b/>
          <w:bCs/>
          <w:sz w:val="22"/>
          <w:szCs w:val="22"/>
          <w:lang w:val="lt-LT"/>
        </w:rPr>
        <w:t>fibryga</w:t>
      </w:r>
    </w:p>
    <w:p w14:paraId="651FBD43" w14:textId="77777777" w:rsidR="00967B3B" w:rsidRPr="00216B78" w:rsidRDefault="00967B3B" w:rsidP="00A86931">
      <w:pPr>
        <w:pStyle w:val="Default"/>
        <w:rPr>
          <w:sz w:val="22"/>
          <w:szCs w:val="22"/>
          <w:lang w:val="lt-LT"/>
        </w:rPr>
      </w:pPr>
    </w:p>
    <w:p w14:paraId="0DACAAA1" w14:textId="77777777" w:rsidR="00967B3B" w:rsidRPr="00216B78" w:rsidRDefault="00967B3B" w:rsidP="00A86931">
      <w:pPr>
        <w:pStyle w:val="Text"/>
        <w:spacing w:before="0" w:after="0"/>
        <w:jc w:val="left"/>
        <w:rPr>
          <w:color w:val="auto"/>
          <w:sz w:val="22"/>
          <w:szCs w:val="22"/>
          <w:lang w:val="lt-LT"/>
        </w:rPr>
      </w:pPr>
      <w:r w:rsidRPr="00216B78">
        <w:rPr>
          <w:color w:val="auto"/>
          <w:sz w:val="22"/>
          <w:szCs w:val="22"/>
          <w:lang w:val="lt-LT"/>
        </w:rPr>
        <w:t>Visada vartokite šį vaistą tiksliai, kaip nurodė gydytojas. Jeigu abejojate, kreipkitės į gydytoją.</w:t>
      </w:r>
    </w:p>
    <w:p w14:paraId="341A9C8F" w14:textId="77777777" w:rsidR="00FD3FFD" w:rsidRPr="00216B78" w:rsidRDefault="00FD3FFD" w:rsidP="00A86931">
      <w:pPr>
        <w:pStyle w:val="Text"/>
        <w:spacing w:before="0" w:after="0"/>
        <w:jc w:val="left"/>
        <w:rPr>
          <w:color w:val="auto"/>
          <w:sz w:val="22"/>
          <w:szCs w:val="22"/>
          <w:lang w:val="lt-LT"/>
        </w:rPr>
      </w:pPr>
    </w:p>
    <w:p w14:paraId="7BF4EB05" w14:textId="77777777" w:rsidR="00967B3B" w:rsidRPr="00216B78" w:rsidRDefault="00BE7183" w:rsidP="00A86931">
      <w:pPr>
        <w:pStyle w:val="Text"/>
        <w:spacing w:before="0" w:after="0"/>
        <w:jc w:val="left"/>
        <w:rPr>
          <w:color w:val="auto"/>
          <w:sz w:val="22"/>
          <w:szCs w:val="22"/>
          <w:lang w:val="lt-LT"/>
        </w:rPr>
      </w:pPr>
      <w:r w:rsidRPr="00216B78">
        <w:rPr>
          <w:color w:val="auto"/>
          <w:sz w:val="22"/>
          <w:szCs w:val="22"/>
          <w:lang w:val="lt-LT"/>
        </w:rPr>
        <w:t>f</w:t>
      </w:r>
      <w:r w:rsidR="00D734DB" w:rsidRPr="00216B78">
        <w:rPr>
          <w:color w:val="auto"/>
          <w:sz w:val="22"/>
          <w:szCs w:val="22"/>
          <w:lang w:val="lt-LT"/>
        </w:rPr>
        <w:t xml:space="preserve">ibryga </w:t>
      </w:r>
      <w:r w:rsidR="00967B3B" w:rsidRPr="00216B78">
        <w:rPr>
          <w:color w:val="auto"/>
          <w:sz w:val="22"/>
          <w:szCs w:val="22"/>
          <w:lang w:val="lt-LT"/>
        </w:rPr>
        <w:t>intravenine infuzija (infuzija į veną) suleidžia sveikatos priežiūros specialistas.</w:t>
      </w:r>
    </w:p>
    <w:p w14:paraId="7DE90D2F" w14:textId="77777777" w:rsidR="00FD3FFD" w:rsidRPr="00216B78" w:rsidRDefault="00FD3FFD" w:rsidP="00A86931">
      <w:pPr>
        <w:pStyle w:val="Text"/>
        <w:spacing w:before="0" w:after="0"/>
        <w:jc w:val="left"/>
        <w:rPr>
          <w:color w:val="auto"/>
          <w:sz w:val="22"/>
          <w:szCs w:val="22"/>
          <w:lang w:val="lt-LT"/>
        </w:rPr>
      </w:pPr>
    </w:p>
    <w:p w14:paraId="70ABB357" w14:textId="77777777" w:rsidR="00967B3B" w:rsidRPr="00216B78" w:rsidRDefault="00967B3B" w:rsidP="00A86931">
      <w:pPr>
        <w:pStyle w:val="Text"/>
        <w:spacing w:before="0" w:after="0"/>
        <w:jc w:val="left"/>
        <w:rPr>
          <w:color w:val="auto"/>
          <w:sz w:val="22"/>
          <w:szCs w:val="22"/>
          <w:lang w:val="lt-LT"/>
        </w:rPr>
      </w:pPr>
      <w:r w:rsidRPr="00216B78">
        <w:rPr>
          <w:color w:val="auto"/>
          <w:sz w:val="22"/>
          <w:szCs w:val="22"/>
          <w:lang w:val="lt-LT"/>
        </w:rPr>
        <w:t>Dozė ir dozavimo režimas priklauso nuo:</w:t>
      </w:r>
    </w:p>
    <w:p w14:paraId="060C06C5" w14:textId="77777777" w:rsidR="00967B3B" w:rsidRPr="00216B78" w:rsidRDefault="00967B3B" w:rsidP="00B64F51">
      <w:pPr>
        <w:pStyle w:val="Default"/>
        <w:widowControl w:val="0"/>
        <w:numPr>
          <w:ilvl w:val="0"/>
          <w:numId w:val="8"/>
        </w:numPr>
        <w:ind w:left="714" w:hanging="357"/>
        <w:rPr>
          <w:color w:val="auto"/>
          <w:sz w:val="22"/>
          <w:szCs w:val="22"/>
          <w:lang w:val="lt-LT"/>
        </w:rPr>
      </w:pPr>
      <w:r w:rsidRPr="00216B78">
        <w:rPr>
          <w:color w:val="auto"/>
          <w:sz w:val="22"/>
          <w:szCs w:val="22"/>
          <w:lang w:val="lt-LT"/>
        </w:rPr>
        <w:t>Jūsų svorio;</w:t>
      </w:r>
    </w:p>
    <w:p w14:paraId="166C7847" w14:textId="77777777" w:rsidR="00967B3B" w:rsidRPr="00216B78" w:rsidRDefault="00967B3B" w:rsidP="00B64F51">
      <w:pPr>
        <w:pStyle w:val="Default"/>
        <w:widowControl w:val="0"/>
        <w:numPr>
          <w:ilvl w:val="0"/>
          <w:numId w:val="8"/>
        </w:numPr>
        <w:ind w:left="714" w:hanging="357"/>
        <w:rPr>
          <w:color w:val="auto"/>
          <w:sz w:val="22"/>
          <w:szCs w:val="22"/>
          <w:lang w:val="lt-LT"/>
        </w:rPr>
      </w:pPr>
      <w:r w:rsidRPr="00216B78">
        <w:rPr>
          <w:color w:val="auto"/>
          <w:sz w:val="22"/>
          <w:szCs w:val="22"/>
          <w:lang w:val="lt-LT"/>
        </w:rPr>
        <w:t>ligos sunkumo;</w:t>
      </w:r>
    </w:p>
    <w:p w14:paraId="5A4F04EC" w14:textId="77777777" w:rsidR="00967B3B" w:rsidRPr="00216B78" w:rsidRDefault="00967B3B" w:rsidP="00B64F51">
      <w:pPr>
        <w:pStyle w:val="Default"/>
        <w:widowControl w:val="0"/>
        <w:numPr>
          <w:ilvl w:val="0"/>
          <w:numId w:val="8"/>
        </w:numPr>
        <w:ind w:left="714" w:hanging="357"/>
        <w:rPr>
          <w:color w:val="auto"/>
          <w:sz w:val="22"/>
          <w:szCs w:val="22"/>
          <w:lang w:val="lt-LT"/>
        </w:rPr>
      </w:pPr>
      <w:r w:rsidRPr="00216B78">
        <w:rPr>
          <w:color w:val="auto"/>
          <w:sz w:val="22"/>
          <w:szCs w:val="22"/>
          <w:lang w:val="lt-LT"/>
        </w:rPr>
        <w:t>kraujavimo vietos arba</w:t>
      </w:r>
    </w:p>
    <w:p w14:paraId="247CB65D" w14:textId="77777777" w:rsidR="00967B3B" w:rsidRPr="00216B78" w:rsidRDefault="00967B3B" w:rsidP="00B64F51">
      <w:pPr>
        <w:pStyle w:val="Default"/>
        <w:widowControl w:val="0"/>
        <w:numPr>
          <w:ilvl w:val="0"/>
          <w:numId w:val="8"/>
        </w:numPr>
        <w:ind w:left="714" w:hanging="357"/>
        <w:rPr>
          <w:color w:val="auto"/>
          <w:sz w:val="22"/>
          <w:szCs w:val="22"/>
          <w:lang w:val="lt-LT"/>
        </w:rPr>
      </w:pPr>
      <w:r w:rsidRPr="00216B78">
        <w:rPr>
          <w:color w:val="auto"/>
          <w:sz w:val="22"/>
          <w:szCs w:val="22"/>
          <w:lang w:val="lt-LT"/>
        </w:rPr>
        <w:t>Jūsų operacijos pobūdžio ir</w:t>
      </w:r>
    </w:p>
    <w:p w14:paraId="5F6CE573" w14:textId="77777777" w:rsidR="00967B3B" w:rsidRPr="00216B78" w:rsidRDefault="00967B3B" w:rsidP="00B64F51">
      <w:pPr>
        <w:pStyle w:val="Default"/>
        <w:widowControl w:val="0"/>
        <w:numPr>
          <w:ilvl w:val="0"/>
          <w:numId w:val="8"/>
        </w:numPr>
        <w:ind w:left="714" w:hanging="357"/>
        <w:rPr>
          <w:color w:val="auto"/>
          <w:sz w:val="22"/>
          <w:szCs w:val="22"/>
          <w:lang w:val="lt-LT"/>
        </w:rPr>
      </w:pPr>
      <w:r w:rsidRPr="00216B78">
        <w:rPr>
          <w:color w:val="auto"/>
          <w:sz w:val="22"/>
          <w:szCs w:val="22"/>
          <w:lang w:val="lt-LT"/>
        </w:rPr>
        <w:t>Jūsų sveikatos būklės.</w:t>
      </w:r>
    </w:p>
    <w:p w14:paraId="6FAB5A8B" w14:textId="77777777" w:rsidR="00684509" w:rsidRPr="00216B78" w:rsidRDefault="00684509" w:rsidP="00A86931">
      <w:pPr>
        <w:pStyle w:val="Text"/>
        <w:spacing w:before="0" w:after="0"/>
        <w:jc w:val="left"/>
        <w:outlineLvl w:val="1"/>
        <w:rPr>
          <w:b/>
          <w:bCs/>
          <w:color w:val="auto"/>
          <w:sz w:val="22"/>
          <w:szCs w:val="22"/>
          <w:lang w:val="lt-LT"/>
        </w:rPr>
      </w:pPr>
    </w:p>
    <w:p w14:paraId="1BBD8AAC" w14:textId="77777777" w:rsidR="00967B3B" w:rsidRPr="00216B78" w:rsidRDefault="00967B3B" w:rsidP="00A86931">
      <w:pPr>
        <w:pStyle w:val="Text"/>
        <w:spacing w:before="0" w:after="0"/>
        <w:jc w:val="left"/>
        <w:outlineLvl w:val="1"/>
        <w:rPr>
          <w:b/>
          <w:color w:val="auto"/>
          <w:sz w:val="22"/>
          <w:szCs w:val="22"/>
          <w:lang w:val="lt-LT"/>
        </w:rPr>
      </w:pPr>
      <w:r w:rsidRPr="00216B78">
        <w:rPr>
          <w:b/>
          <w:bCs/>
          <w:color w:val="auto"/>
          <w:sz w:val="22"/>
          <w:szCs w:val="22"/>
          <w:lang w:val="lt-LT"/>
        </w:rPr>
        <w:t>Vartojimas vaikams ir paaugliams</w:t>
      </w:r>
    </w:p>
    <w:p w14:paraId="517DABD8" w14:textId="77777777" w:rsidR="00684509" w:rsidRPr="00216B78" w:rsidRDefault="00684509" w:rsidP="00A86931">
      <w:pPr>
        <w:pStyle w:val="Text"/>
        <w:spacing w:before="0" w:after="0"/>
        <w:jc w:val="left"/>
        <w:rPr>
          <w:color w:val="auto"/>
          <w:sz w:val="22"/>
          <w:szCs w:val="22"/>
          <w:lang w:val="lt-LT"/>
        </w:rPr>
      </w:pPr>
    </w:p>
    <w:p w14:paraId="5D36629F" w14:textId="77777777" w:rsidR="00967B3B" w:rsidRPr="00216B78" w:rsidRDefault="00BE7183" w:rsidP="00A86931">
      <w:pPr>
        <w:pStyle w:val="Text"/>
        <w:spacing w:before="0" w:after="0"/>
        <w:jc w:val="left"/>
        <w:rPr>
          <w:color w:val="auto"/>
          <w:sz w:val="22"/>
          <w:szCs w:val="22"/>
          <w:lang w:val="lt-LT"/>
        </w:rPr>
      </w:pPr>
      <w:r w:rsidRPr="00216B78">
        <w:rPr>
          <w:color w:val="auto"/>
          <w:sz w:val="22"/>
          <w:szCs w:val="22"/>
          <w:lang w:val="lt-LT"/>
        </w:rPr>
        <w:t>f</w:t>
      </w:r>
      <w:r w:rsidR="00D734DB" w:rsidRPr="00216B78">
        <w:rPr>
          <w:color w:val="auto"/>
          <w:sz w:val="22"/>
          <w:szCs w:val="22"/>
          <w:lang w:val="lt-LT"/>
        </w:rPr>
        <w:t xml:space="preserve">ibryga </w:t>
      </w:r>
      <w:r w:rsidR="00967B3B" w:rsidRPr="00216B78">
        <w:rPr>
          <w:color w:val="auto"/>
          <w:sz w:val="22"/>
          <w:szCs w:val="22"/>
          <w:lang w:val="lt-LT"/>
        </w:rPr>
        <w:t>vartojimas vaikams ir paaugliams (į veną) nesiskiria nuo vartojimo suaugusiesiems.</w:t>
      </w:r>
    </w:p>
    <w:p w14:paraId="0A724FD9" w14:textId="77777777" w:rsidR="00967B3B" w:rsidRPr="00216B78" w:rsidRDefault="00967B3B" w:rsidP="00A86931">
      <w:pPr>
        <w:pStyle w:val="Text"/>
        <w:spacing w:before="0" w:after="0"/>
        <w:jc w:val="left"/>
        <w:rPr>
          <w:color w:val="auto"/>
          <w:sz w:val="22"/>
          <w:szCs w:val="22"/>
          <w:lang w:val="lt-LT"/>
        </w:rPr>
      </w:pPr>
    </w:p>
    <w:p w14:paraId="5E6DE264" w14:textId="77777777" w:rsidR="00967B3B" w:rsidRPr="00216B78" w:rsidRDefault="00967B3B" w:rsidP="00A86931">
      <w:pPr>
        <w:pStyle w:val="Text"/>
        <w:spacing w:before="0" w:after="0"/>
        <w:jc w:val="left"/>
        <w:outlineLvl w:val="1"/>
        <w:rPr>
          <w:b/>
          <w:color w:val="auto"/>
          <w:sz w:val="22"/>
          <w:szCs w:val="22"/>
          <w:lang w:val="lt-LT"/>
        </w:rPr>
      </w:pPr>
      <w:r w:rsidRPr="00216B78">
        <w:rPr>
          <w:b/>
          <w:bCs/>
          <w:color w:val="auto"/>
          <w:sz w:val="22"/>
          <w:szCs w:val="22"/>
          <w:lang w:val="lt-LT"/>
        </w:rPr>
        <w:t xml:space="preserve">Ką daryti pavartojus per didelę </w:t>
      </w:r>
      <w:r w:rsidR="00D734DB" w:rsidRPr="00216B78">
        <w:rPr>
          <w:b/>
          <w:bCs/>
          <w:sz w:val="22"/>
          <w:szCs w:val="22"/>
          <w:lang w:val="lt-LT"/>
        </w:rPr>
        <w:t>fibryga</w:t>
      </w:r>
      <w:r w:rsidR="00BE7183" w:rsidRPr="00216B78">
        <w:rPr>
          <w:b/>
          <w:bCs/>
          <w:sz w:val="22"/>
          <w:szCs w:val="22"/>
          <w:lang w:val="lt-LT"/>
        </w:rPr>
        <w:t xml:space="preserve"> </w:t>
      </w:r>
      <w:r w:rsidRPr="00216B78">
        <w:rPr>
          <w:b/>
          <w:bCs/>
          <w:color w:val="auto"/>
          <w:sz w:val="22"/>
          <w:szCs w:val="22"/>
          <w:lang w:val="lt-LT"/>
        </w:rPr>
        <w:t>dozę?</w:t>
      </w:r>
    </w:p>
    <w:p w14:paraId="3892F6C3" w14:textId="77777777" w:rsidR="00FD3FFD" w:rsidRPr="00216B78" w:rsidRDefault="00FD3FFD" w:rsidP="00A86931">
      <w:pPr>
        <w:pStyle w:val="Text"/>
        <w:spacing w:before="0" w:after="0"/>
        <w:jc w:val="left"/>
        <w:rPr>
          <w:color w:val="auto"/>
          <w:sz w:val="22"/>
          <w:szCs w:val="22"/>
          <w:lang w:val="lt-LT"/>
        </w:rPr>
      </w:pPr>
    </w:p>
    <w:p w14:paraId="791167E9" w14:textId="77777777" w:rsidR="00967B3B" w:rsidRPr="00216B78" w:rsidRDefault="00967B3B" w:rsidP="00A86931">
      <w:pPr>
        <w:pStyle w:val="Text"/>
        <w:spacing w:before="0" w:after="0"/>
        <w:jc w:val="left"/>
        <w:rPr>
          <w:color w:val="auto"/>
          <w:sz w:val="22"/>
          <w:szCs w:val="22"/>
          <w:lang w:val="lt-LT"/>
        </w:rPr>
      </w:pPr>
      <w:r w:rsidRPr="00216B78">
        <w:rPr>
          <w:color w:val="auto"/>
          <w:sz w:val="22"/>
          <w:szCs w:val="22"/>
          <w:lang w:val="lt-LT"/>
        </w:rPr>
        <w:t>Kad būtų išvengta perdozavimo rizikos, gydytojas reguliariai atliks kraujo tyrimus, kad būtų matuojama fibrinogeno koncentracija.</w:t>
      </w:r>
    </w:p>
    <w:p w14:paraId="2BCC4404" w14:textId="77777777" w:rsidR="00967B3B" w:rsidRPr="00216B78" w:rsidRDefault="00967B3B" w:rsidP="00A86931">
      <w:pPr>
        <w:pStyle w:val="Text"/>
        <w:spacing w:before="0" w:after="0"/>
        <w:jc w:val="left"/>
        <w:rPr>
          <w:color w:val="auto"/>
          <w:sz w:val="22"/>
          <w:szCs w:val="22"/>
          <w:lang w:val="lt-LT"/>
        </w:rPr>
      </w:pPr>
      <w:r w:rsidRPr="00216B78">
        <w:rPr>
          <w:color w:val="auto"/>
          <w:sz w:val="22"/>
          <w:szCs w:val="22"/>
          <w:lang w:val="lt-LT"/>
        </w:rPr>
        <w:t>Perdozavimo atveju gali padidėti nenormalių krešulių kraujagyslėse rizika.</w:t>
      </w:r>
    </w:p>
    <w:p w14:paraId="565A165B" w14:textId="77777777" w:rsidR="00967B3B" w:rsidRPr="00216B78" w:rsidRDefault="00967B3B" w:rsidP="00A86931">
      <w:pPr>
        <w:pStyle w:val="Text"/>
        <w:spacing w:before="0" w:after="0"/>
        <w:jc w:val="left"/>
        <w:rPr>
          <w:color w:val="auto"/>
          <w:sz w:val="22"/>
          <w:szCs w:val="22"/>
          <w:lang w:val="lt-LT"/>
        </w:rPr>
      </w:pPr>
      <w:r w:rsidRPr="00216B78">
        <w:rPr>
          <w:sz w:val="22"/>
          <w:szCs w:val="22"/>
          <w:lang w:val="lt-LT"/>
        </w:rPr>
        <w:t>Jeigu kiltų daugiau klausimų dėl šio vaisto vartojimo, kreipkitės į gydytoją arba vaistininką.</w:t>
      </w:r>
    </w:p>
    <w:p w14:paraId="59189725" w14:textId="77777777" w:rsidR="00967B3B" w:rsidRPr="00216B78" w:rsidRDefault="00967B3B" w:rsidP="00A86931">
      <w:pPr>
        <w:pStyle w:val="Default"/>
        <w:rPr>
          <w:sz w:val="22"/>
          <w:szCs w:val="22"/>
          <w:lang w:val="lt-LT"/>
        </w:rPr>
      </w:pPr>
    </w:p>
    <w:p w14:paraId="1F6B4A79" w14:textId="77777777" w:rsidR="00967B3B" w:rsidRPr="00216B78" w:rsidRDefault="00967B3B" w:rsidP="00A86931">
      <w:pPr>
        <w:pStyle w:val="Default"/>
        <w:outlineLvl w:val="1"/>
        <w:rPr>
          <w:b/>
          <w:sz w:val="22"/>
          <w:szCs w:val="22"/>
          <w:lang w:val="lt-LT"/>
        </w:rPr>
      </w:pPr>
      <w:r w:rsidRPr="00216B78">
        <w:rPr>
          <w:b/>
          <w:bCs/>
          <w:sz w:val="22"/>
          <w:szCs w:val="22"/>
          <w:lang w:val="lt-LT"/>
        </w:rPr>
        <w:t>Vartojimo metodas</w:t>
      </w:r>
    </w:p>
    <w:p w14:paraId="7214CA3D" w14:textId="77777777" w:rsidR="00684509" w:rsidRPr="00216B78" w:rsidRDefault="00684509" w:rsidP="00A86931">
      <w:pPr>
        <w:pStyle w:val="Text"/>
        <w:spacing w:before="0" w:after="0"/>
        <w:jc w:val="left"/>
        <w:rPr>
          <w:color w:val="auto"/>
          <w:sz w:val="22"/>
          <w:szCs w:val="22"/>
          <w:lang w:val="lt-LT"/>
        </w:rPr>
      </w:pPr>
    </w:p>
    <w:p w14:paraId="229F6E8A" w14:textId="77777777" w:rsidR="00967B3B" w:rsidRPr="00216B78" w:rsidRDefault="00967B3B" w:rsidP="00A86931">
      <w:pPr>
        <w:pStyle w:val="Text"/>
        <w:spacing w:before="0" w:after="0"/>
        <w:jc w:val="left"/>
        <w:rPr>
          <w:color w:val="auto"/>
          <w:sz w:val="22"/>
          <w:szCs w:val="22"/>
          <w:lang w:val="lt-LT"/>
        </w:rPr>
      </w:pPr>
      <w:r w:rsidRPr="00216B78">
        <w:rPr>
          <w:color w:val="auto"/>
          <w:sz w:val="22"/>
          <w:szCs w:val="22"/>
          <w:lang w:val="lt-LT"/>
        </w:rPr>
        <w:lastRenderedPageBreak/>
        <w:t>Šį vaistą reikia leisti injekcija arba infuzija į ven</w:t>
      </w:r>
      <w:r w:rsidR="00FD3FFD" w:rsidRPr="00216B78">
        <w:rPr>
          <w:color w:val="auto"/>
          <w:sz w:val="22"/>
          <w:szCs w:val="22"/>
          <w:lang w:val="lt-LT"/>
        </w:rPr>
        <w:t>ą</w:t>
      </w:r>
      <w:r w:rsidRPr="00216B78">
        <w:rPr>
          <w:color w:val="auto"/>
          <w:sz w:val="22"/>
          <w:szCs w:val="22"/>
          <w:lang w:val="lt-LT"/>
        </w:rPr>
        <w:t>, paruošus naudojant pateiktą tirpiklį. Jeigu kiltų daugiau klausimų dėl šio vaisto vartojimo, kreipkitės į gydytoją arba vaistininką.</w:t>
      </w:r>
    </w:p>
    <w:p w14:paraId="596058A8" w14:textId="77777777" w:rsidR="00967B3B" w:rsidRPr="00216B78" w:rsidRDefault="00967B3B" w:rsidP="00A86931">
      <w:pPr>
        <w:pStyle w:val="Text"/>
        <w:spacing w:before="0" w:after="0"/>
        <w:jc w:val="left"/>
        <w:rPr>
          <w:color w:val="auto"/>
          <w:sz w:val="22"/>
          <w:szCs w:val="22"/>
          <w:lang w:val="lt-LT"/>
        </w:rPr>
      </w:pPr>
    </w:p>
    <w:p w14:paraId="60360B88" w14:textId="77777777" w:rsidR="00684509" w:rsidRPr="00216B78" w:rsidRDefault="00684509" w:rsidP="00A86931">
      <w:pPr>
        <w:pStyle w:val="Text"/>
        <w:spacing w:before="0" w:after="0"/>
        <w:jc w:val="left"/>
        <w:rPr>
          <w:color w:val="auto"/>
          <w:sz w:val="22"/>
          <w:szCs w:val="22"/>
          <w:lang w:val="lt-LT"/>
        </w:rPr>
      </w:pPr>
    </w:p>
    <w:p w14:paraId="14654CD5" w14:textId="77777777" w:rsidR="00967B3B" w:rsidRPr="00216B78" w:rsidRDefault="00684509" w:rsidP="00A86931">
      <w:pPr>
        <w:pStyle w:val="Default"/>
        <w:outlineLvl w:val="0"/>
        <w:rPr>
          <w:sz w:val="22"/>
          <w:szCs w:val="22"/>
          <w:lang w:val="lt-LT"/>
        </w:rPr>
      </w:pPr>
      <w:r w:rsidRPr="00216B78">
        <w:rPr>
          <w:b/>
          <w:bCs/>
          <w:sz w:val="22"/>
          <w:szCs w:val="22"/>
          <w:lang w:val="lt-LT"/>
        </w:rPr>
        <w:t>4.</w:t>
      </w:r>
      <w:r w:rsidRPr="00216B78">
        <w:rPr>
          <w:b/>
          <w:bCs/>
          <w:sz w:val="22"/>
          <w:szCs w:val="22"/>
          <w:lang w:val="lt-LT"/>
        </w:rPr>
        <w:tab/>
      </w:r>
      <w:r w:rsidR="00967B3B" w:rsidRPr="00216B78">
        <w:rPr>
          <w:b/>
          <w:bCs/>
          <w:sz w:val="22"/>
          <w:szCs w:val="22"/>
          <w:lang w:val="lt-LT"/>
        </w:rPr>
        <w:t>Galimas šalutinis poveikis</w:t>
      </w:r>
    </w:p>
    <w:p w14:paraId="0D41347D" w14:textId="77777777" w:rsidR="00967B3B" w:rsidRPr="00216B78" w:rsidRDefault="00967B3B" w:rsidP="00A86931">
      <w:pPr>
        <w:pStyle w:val="Default"/>
        <w:rPr>
          <w:color w:val="auto"/>
          <w:sz w:val="22"/>
          <w:szCs w:val="22"/>
          <w:lang w:val="lt-LT"/>
        </w:rPr>
      </w:pPr>
    </w:p>
    <w:p w14:paraId="1987603A" w14:textId="77777777" w:rsidR="00967B3B" w:rsidRPr="00216B78" w:rsidRDefault="00967B3B" w:rsidP="00A86931">
      <w:pPr>
        <w:pStyle w:val="Default"/>
        <w:rPr>
          <w:sz w:val="22"/>
          <w:szCs w:val="22"/>
          <w:lang w:val="lt-LT"/>
        </w:rPr>
      </w:pPr>
      <w:r w:rsidRPr="00216B78">
        <w:rPr>
          <w:sz w:val="22"/>
          <w:szCs w:val="22"/>
          <w:lang w:val="lt-LT"/>
        </w:rPr>
        <w:t xml:space="preserve">Šis vaistas, </w:t>
      </w:r>
      <w:r w:rsidRPr="00216B78">
        <w:rPr>
          <w:sz w:val="22"/>
          <w:szCs w:val="22"/>
          <w:u w:val="single"/>
          <w:lang w:val="lt-LT"/>
        </w:rPr>
        <w:t>kaip ir visi kiti</w:t>
      </w:r>
      <w:r w:rsidRPr="00216B78">
        <w:rPr>
          <w:sz w:val="22"/>
          <w:szCs w:val="22"/>
          <w:lang w:val="lt-LT"/>
        </w:rPr>
        <w:t>, gali sukelti šalutinį poveikį, nors jis pasireiškia ne visiems žmonėms.</w:t>
      </w:r>
    </w:p>
    <w:p w14:paraId="7983491D" w14:textId="77777777" w:rsidR="00967B3B" w:rsidRPr="00216B78" w:rsidRDefault="00967B3B" w:rsidP="00A86931">
      <w:pPr>
        <w:pStyle w:val="Default"/>
        <w:rPr>
          <w:sz w:val="22"/>
          <w:szCs w:val="22"/>
          <w:lang w:val="lt-LT"/>
        </w:rPr>
      </w:pPr>
    </w:p>
    <w:p w14:paraId="3C98D8A5" w14:textId="77777777" w:rsidR="00967B3B" w:rsidRPr="00216B78" w:rsidRDefault="00967B3B" w:rsidP="00A86931">
      <w:pPr>
        <w:pStyle w:val="Text"/>
        <w:spacing w:before="0" w:after="0"/>
        <w:jc w:val="left"/>
        <w:outlineLvl w:val="1"/>
        <w:rPr>
          <w:b/>
          <w:bCs/>
          <w:color w:val="auto"/>
          <w:sz w:val="22"/>
          <w:szCs w:val="22"/>
          <w:lang w:val="lt-LT"/>
        </w:rPr>
      </w:pPr>
      <w:r w:rsidRPr="00216B78">
        <w:rPr>
          <w:b/>
          <w:bCs/>
          <w:color w:val="auto"/>
          <w:sz w:val="22"/>
          <w:szCs w:val="22"/>
          <w:lang w:val="lt-LT"/>
        </w:rPr>
        <w:t>Nedelsdami kreipkitės į gydytoją:</w:t>
      </w:r>
    </w:p>
    <w:p w14:paraId="4EBBF633" w14:textId="77777777" w:rsidR="00967B3B" w:rsidRPr="00216B78" w:rsidRDefault="00967B3B" w:rsidP="00B64F51">
      <w:pPr>
        <w:pStyle w:val="Text"/>
        <w:numPr>
          <w:ilvl w:val="0"/>
          <w:numId w:val="9"/>
        </w:numPr>
        <w:spacing w:before="0" w:after="0"/>
        <w:ind w:left="924" w:hanging="567"/>
        <w:jc w:val="left"/>
        <w:rPr>
          <w:b/>
          <w:bCs/>
          <w:color w:val="auto"/>
          <w:sz w:val="22"/>
          <w:szCs w:val="22"/>
          <w:lang w:val="lt-LT"/>
        </w:rPr>
      </w:pPr>
      <w:r w:rsidRPr="00216B78">
        <w:rPr>
          <w:b/>
          <w:bCs/>
          <w:color w:val="auto"/>
          <w:sz w:val="22"/>
          <w:szCs w:val="22"/>
          <w:lang w:val="lt-LT"/>
        </w:rPr>
        <w:t>jeigu pasireiškia bet koks šalutinis poveikis;</w:t>
      </w:r>
    </w:p>
    <w:p w14:paraId="1BE0EE94" w14:textId="77777777" w:rsidR="00967B3B" w:rsidRPr="00216B78" w:rsidRDefault="00967B3B" w:rsidP="00B64F51">
      <w:pPr>
        <w:pStyle w:val="Text"/>
        <w:numPr>
          <w:ilvl w:val="0"/>
          <w:numId w:val="9"/>
        </w:numPr>
        <w:spacing w:before="0" w:after="0"/>
        <w:ind w:left="924" w:hanging="567"/>
        <w:jc w:val="left"/>
        <w:rPr>
          <w:b/>
          <w:color w:val="auto"/>
          <w:sz w:val="22"/>
          <w:szCs w:val="22"/>
          <w:lang w:val="lt-LT"/>
        </w:rPr>
      </w:pPr>
      <w:r w:rsidRPr="00216B78">
        <w:rPr>
          <w:b/>
          <w:bCs/>
          <w:color w:val="auto"/>
          <w:sz w:val="22"/>
          <w:szCs w:val="22"/>
          <w:lang w:val="lt-LT"/>
        </w:rPr>
        <w:t>jeigu pastebėjote šalutinį poveikį, nenurodytą šiame lapelyje.</w:t>
      </w:r>
    </w:p>
    <w:p w14:paraId="1F2D5465" w14:textId="77777777" w:rsidR="00967B3B" w:rsidRPr="00216B78" w:rsidRDefault="00967B3B" w:rsidP="00A86931">
      <w:pPr>
        <w:pStyle w:val="Default"/>
        <w:rPr>
          <w:sz w:val="22"/>
          <w:szCs w:val="22"/>
          <w:lang w:val="lt-LT"/>
        </w:rPr>
      </w:pPr>
    </w:p>
    <w:p w14:paraId="290B7C1D" w14:textId="77777777" w:rsidR="00967B3B" w:rsidRPr="00216B78" w:rsidRDefault="00967B3B" w:rsidP="00A86931">
      <w:pPr>
        <w:pStyle w:val="Default"/>
        <w:rPr>
          <w:sz w:val="22"/>
          <w:szCs w:val="22"/>
          <w:lang w:val="lt-LT"/>
        </w:rPr>
      </w:pPr>
      <w:r w:rsidRPr="00216B78">
        <w:rPr>
          <w:sz w:val="22"/>
          <w:szCs w:val="22"/>
          <w:lang w:val="lt-LT"/>
        </w:rPr>
        <w:t xml:space="preserve">Vartojant </w:t>
      </w:r>
      <w:r w:rsidR="00D734DB" w:rsidRPr="00216B78">
        <w:rPr>
          <w:sz w:val="22"/>
          <w:szCs w:val="22"/>
          <w:lang w:val="lt-LT"/>
        </w:rPr>
        <w:t xml:space="preserve">fibryga </w:t>
      </w:r>
      <w:r w:rsidRPr="00216B78">
        <w:rPr>
          <w:sz w:val="22"/>
          <w:szCs w:val="22"/>
          <w:lang w:val="lt-LT"/>
        </w:rPr>
        <w:t>ir kitus fibrinogeno preparatus, nustatytas šis šalutinis poveikis (išvardyto šalutinio poveikio dažnis nežinomas):</w:t>
      </w:r>
    </w:p>
    <w:p w14:paraId="38A51AB6" w14:textId="77777777" w:rsidR="00967B3B" w:rsidRPr="00216B78" w:rsidRDefault="00967B3B" w:rsidP="00B64F51">
      <w:pPr>
        <w:pStyle w:val="Default"/>
        <w:widowControl w:val="0"/>
        <w:numPr>
          <w:ilvl w:val="0"/>
          <w:numId w:val="5"/>
        </w:numPr>
        <w:ind w:left="1134" w:hanging="567"/>
        <w:rPr>
          <w:sz w:val="22"/>
          <w:szCs w:val="22"/>
          <w:lang w:val="lt-LT"/>
        </w:rPr>
      </w:pPr>
      <w:r w:rsidRPr="00216B78">
        <w:rPr>
          <w:sz w:val="22"/>
          <w:szCs w:val="22"/>
          <w:lang w:val="lt-LT"/>
        </w:rPr>
        <w:t>alerginės arba anafilaksinės reakcijos: odos reakcijos</w:t>
      </w:r>
      <w:r w:rsidR="009A4E90" w:rsidRPr="00216B78">
        <w:rPr>
          <w:sz w:val="22"/>
          <w:szCs w:val="22"/>
          <w:lang w:val="lt-LT"/>
        </w:rPr>
        <w:t>, tokios kaip odos išbėrimas arba odos paraudimas</w:t>
      </w:r>
      <w:r w:rsidRPr="00216B78">
        <w:rPr>
          <w:sz w:val="22"/>
          <w:szCs w:val="22"/>
          <w:lang w:val="lt-LT"/>
        </w:rPr>
        <w:t xml:space="preserve"> (žr. 2 skyrių „Įspėjimai ir atsarginės priemonės“);</w:t>
      </w:r>
    </w:p>
    <w:p w14:paraId="30FE781B" w14:textId="77777777" w:rsidR="00FD3FFD" w:rsidRPr="00216B78" w:rsidRDefault="00967B3B" w:rsidP="00B64F51">
      <w:pPr>
        <w:pStyle w:val="Default"/>
        <w:widowControl w:val="0"/>
        <w:numPr>
          <w:ilvl w:val="0"/>
          <w:numId w:val="5"/>
        </w:numPr>
        <w:ind w:left="1134" w:hanging="567"/>
        <w:rPr>
          <w:sz w:val="22"/>
          <w:szCs w:val="22"/>
          <w:lang w:val="lt-LT"/>
        </w:rPr>
      </w:pPr>
      <w:r w:rsidRPr="00216B78">
        <w:rPr>
          <w:sz w:val="22"/>
          <w:szCs w:val="22"/>
          <w:lang w:val="lt-LT"/>
        </w:rPr>
        <w:t xml:space="preserve">širdies ir kraujagyslių: </w:t>
      </w:r>
      <w:r w:rsidR="009A4E90" w:rsidRPr="00216B78">
        <w:rPr>
          <w:sz w:val="22"/>
          <w:szCs w:val="22"/>
          <w:lang w:val="lt-LT"/>
        </w:rPr>
        <w:t xml:space="preserve">venų uždegimas ir kraujo krešulių susidarymas </w:t>
      </w:r>
      <w:r w:rsidRPr="00216B78">
        <w:rPr>
          <w:sz w:val="22"/>
          <w:szCs w:val="22"/>
          <w:lang w:val="lt-LT"/>
        </w:rPr>
        <w:t>(žr. 2 skyrių „Įspėjimai ir atsarginės priemonės“);</w:t>
      </w:r>
    </w:p>
    <w:p w14:paraId="2D52824B" w14:textId="77777777" w:rsidR="00967B3B" w:rsidRPr="00216B78" w:rsidRDefault="00967B3B" w:rsidP="00B64F51">
      <w:pPr>
        <w:pStyle w:val="Default"/>
        <w:widowControl w:val="0"/>
        <w:numPr>
          <w:ilvl w:val="0"/>
          <w:numId w:val="5"/>
        </w:numPr>
        <w:ind w:left="1134" w:hanging="567"/>
        <w:rPr>
          <w:sz w:val="22"/>
          <w:szCs w:val="22"/>
          <w:lang w:val="lt-LT"/>
        </w:rPr>
      </w:pPr>
      <w:r w:rsidRPr="00216B78">
        <w:rPr>
          <w:color w:val="auto"/>
          <w:sz w:val="22"/>
          <w:szCs w:val="22"/>
          <w:lang w:val="lt-LT"/>
        </w:rPr>
        <w:t>padidėjusi</w:t>
      </w:r>
      <w:r w:rsidRPr="00216B78">
        <w:rPr>
          <w:sz w:val="22"/>
          <w:szCs w:val="22"/>
          <w:lang w:val="lt-LT"/>
        </w:rPr>
        <w:t xml:space="preserve"> kūno temperatūra.</w:t>
      </w:r>
    </w:p>
    <w:p w14:paraId="515D52F5" w14:textId="77777777" w:rsidR="00F60200" w:rsidRPr="00216B78" w:rsidRDefault="00F60200" w:rsidP="00A86931">
      <w:pPr>
        <w:rPr>
          <w:color w:val="000000"/>
        </w:rPr>
      </w:pPr>
    </w:p>
    <w:p w14:paraId="0444676F" w14:textId="77777777" w:rsidR="00967B3B" w:rsidRPr="00216B78" w:rsidRDefault="00967B3B" w:rsidP="00A86931">
      <w:pPr>
        <w:rPr>
          <w:color w:val="000000"/>
        </w:rPr>
      </w:pPr>
      <w:r w:rsidRPr="00216B78">
        <w:rPr>
          <w:color w:val="000000"/>
        </w:rPr>
        <w:t>Jeigu pasireiškė bet kurie iš pirmiau nurodytų simptomų, kiek galima greičiau kreipkitės į gydytoją.</w:t>
      </w:r>
    </w:p>
    <w:p w14:paraId="4F40CC6A" w14:textId="77777777" w:rsidR="00967B3B" w:rsidRPr="00216B78" w:rsidRDefault="00967B3B" w:rsidP="00A86931">
      <w:pPr>
        <w:pStyle w:val="Default"/>
        <w:rPr>
          <w:color w:val="auto"/>
          <w:sz w:val="22"/>
          <w:szCs w:val="22"/>
          <w:lang w:val="lt-LT"/>
        </w:rPr>
      </w:pPr>
    </w:p>
    <w:p w14:paraId="03EED61A" w14:textId="77777777" w:rsidR="003451F2" w:rsidRPr="00216B78" w:rsidRDefault="003451F2" w:rsidP="00A86931">
      <w:pPr>
        <w:tabs>
          <w:tab w:val="left" w:pos="567"/>
        </w:tabs>
        <w:rPr>
          <w:rFonts w:eastAsia="Times New Roman"/>
          <w:b/>
        </w:rPr>
      </w:pPr>
      <w:r w:rsidRPr="00216B78">
        <w:rPr>
          <w:rFonts w:eastAsia="Times New Roman"/>
          <w:b/>
          <w:bCs/>
        </w:rPr>
        <w:t>Pranešimas apie šalutinį poveikį</w:t>
      </w:r>
    </w:p>
    <w:p w14:paraId="0787EA63" w14:textId="4359BFC2" w:rsidR="006D4310" w:rsidRPr="00216B78" w:rsidRDefault="00A650CB" w:rsidP="006D4310">
      <w:pPr>
        <w:tabs>
          <w:tab w:val="left" w:pos="567"/>
        </w:tabs>
        <w:spacing w:line="260" w:lineRule="exact"/>
        <w:ind w:right="-1"/>
        <w:rPr>
          <w:rFonts w:eastAsia="Times New Roman"/>
          <w:snapToGrid w:val="0"/>
          <w:szCs w:val="20"/>
        </w:rPr>
      </w:pPr>
      <w:r w:rsidRPr="00216B78">
        <w:rPr>
          <w:rFonts w:eastAsia="Verdana"/>
          <w:lang w:eastAsia="x-none"/>
        </w:rPr>
        <w:t xml:space="preserve">Jeigu pasireiškė šalutinis poveikis, įskaitant šiame lapelyje nenurodytą, pasakykite gydytojui, vaistininkui arba slaugytojui. </w:t>
      </w:r>
      <w:bookmarkStart w:id="17" w:name="_Hlk88725557"/>
      <w:r w:rsidR="006D4310" w:rsidRPr="00216B78">
        <w:rPr>
          <w:rFonts w:eastAsia="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20" w:history="1">
        <w:r w:rsidR="006D4310" w:rsidRPr="00216B78">
          <w:rPr>
            <w:rFonts w:eastAsia="Times New Roman"/>
            <w:snapToGrid w:val="0"/>
            <w:color w:val="0000FF"/>
            <w:szCs w:val="20"/>
            <w:u w:val="single"/>
          </w:rPr>
          <w:t>https://vapris.vvkt.lt/vvkt-web/public/nrv</w:t>
        </w:r>
      </w:hyperlink>
      <w:r w:rsidR="006D4310" w:rsidRPr="00216B78">
        <w:rPr>
          <w:rFonts w:eastAsia="Times New Roman"/>
          <w:snapToGrid w:val="0"/>
          <w:szCs w:val="20"/>
        </w:rPr>
        <w:t xml:space="preserve"> arba užpildant Paciento pranešimo apie įtariamą nepageidaujamą reakciją (ĮNR) formą, kuri skelbiama </w:t>
      </w:r>
      <w:hyperlink r:id="rId21" w:history="1">
        <w:r w:rsidR="006D4310" w:rsidRPr="00216B78">
          <w:rPr>
            <w:rFonts w:eastAsia="Times New Roman"/>
            <w:snapToGrid w:val="0"/>
            <w:color w:val="0000FF"/>
            <w:szCs w:val="20"/>
            <w:u w:val="single"/>
          </w:rPr>
          <w:t>https://www.vvkt.lt/index.php?4004286486</w:t>
        </w:r>
      </w:hyperlink>
      <w:r w:rsidR="006D4310" w:rsidRPr="00216B78">
        <w:rPr>
          <w:rFonts w:eastAsia="Times New Roman"/>
          <w:snapToGrid w:val="0"/>
          <w:szCs w:val="20"/>
        </w:rPr>
        <w:t xml:space="preserve">, ir atsiunčiant elektroniniu paštu (adresu </w:t>
      </w:r>
      <w:hyperlink r:id="rId22" w:history="1">
        <w:r w:rsidR="006D4310" w:rsidRPr="00216B78">
          <w:rPr>
            <w:rFonts w:eastAsia="Times New Roman"/>
            <w:snapToGrid w:val="0"/>
            <w:color w:val="0000FF"/>
            <w:szCs w:val="20"/>
            <w:u w:val="single"/>
          </w:rPr>
          <w:t>NepageidaujamaR@vvkt.lt</w:t>
        </w:r>
      </w:hyperlink>
      <w:r w:rsidR="006D4310" w:rsidRPr="00216B78">
        <w:rPr>
          <w:rFonts w:eastAsia="Times New Roman"/>
          <w:snapToGrid w:val="0"/>
          <w:szCs w:val="20"/>
        </w:rPr>
        <w:t>) arba nemokamu telefonu 8 800 73 568. Pranešdami apie šalutinį poveikį galite mums padėti gauti daugiau informacijos apie šio vaisto saugumą</w:t>
      </w:r>
      <w:bookmarkEnd w:id="17"/>
      <w:r w:rsidR="006D4310" w:rsidRPr="00216B78">
        <w:rPr>
          <w:rFonts w:eastAsia="Times New Roman"/>
          <w:snapToGrid w:val="0"/>
          <w:szCs w:val="20"/>
        </w:rPr>
        <w:t>.</w:t>
      </w:r>
    </w:p>
    <w:p w14:paraId="7D3CB708" w14:textId="77777777" w:rsidR="003451F2" w:rsidRPr="00216B78" w:rsidRDefault="003451F2" w:rsidP="006D4310">
      <w:pPr>
        <w:numPr>
          <w:ilvl w:val="12"/>
          <w:numId w:val="0"/>
        </w:numPr>
        <w:rPr>
          <w:rFonts w:eastAsia="Times New Roman"/>
        </w:rPr>
      </w:pPr>
    </w:p>
    <w:p w14:paraId="1D469755" w14:textId="77777777" w:rsidR="00B551F6" w:rsidRPr="00216B78" w:rsidRDefault="00B551F6" w:rsidP="00A86931">
      <w:pPr>
        <w:numPr>
          <w:ilvl w:val="12"/>
          <w:numId w:val="0"/>
        </w:numPr>
        <w:ind w:right="-2"/>
        <w:rPr>
          <w:rFonts w:eastAsia="Times New Roman"/>
        </w:rPr>
      </w:pPr>
    </w:p>
    <w:p w14:paraId="3828613C" w14:textId="77777777" w:rsidR="002A2B7D" w:rsidRPr="00216B78" w:rsidRDefault="00684509" w:rsidP="00A86931">
      <w:pPr>
        <w:pStyle w:val="Default"/>
        <w:outlineLvl w:val="0"/>
        <w:rPr>
          <w:b/>
          <w:bCs/>
          <w:color w:val="auto"/>
          <w:sz w:val="22"/>
          <w:szCs w:val="22"/>
          <w:lang w:val="lt-LT"/>
        </w:rPr>
      </w:pPr>
      <w:r w:rsidRPr="00216B78">
        <w:rPr>
          <w:b/>
          <w:bCs/>
          <w:color w:val="auto"/>
          <w:sz w:val="22"/>
          <w:szCs w:val="22"/>
          <w:lang w:val="lt-LT"/>
        </w:rPr>
        <w:t>5.</w:t>
      </w:r>
      <w:r w:rsidRPr="00216B78">
        <w:rPr>
          <w:b/>
          <w:bCs/>
          <w:color w:val="auto"/>
          <w:sz w:val="22"/>
          <w:szCs w:val="22"/>
          <w:lang w:val="lt-LT"/>
        </w:rPr>
        <w:tab/>
      </w:r>
      <w:r w:rsidR="002A2B7D" w:rsidRPr="00216B78">
        <w:rPr>
          <w:b/>
          <w:bCs/>
          <w:color w:val="auto"/>
          <w:sz w:val="22"/>
          <w:szCs w:val="22"/>
          <w:lang w:val="lt-LT"/>
        </w:rPr>
        <w:t xml:space="preserve">Kaip laikyti </w:t>
      </w:r>
      <w:r w:rsidR="00D734DB" w:rsidRPr="00216B78">
        <w:rPr>
          <w:b/>
          <w:bCs/>
          <w:color w:val="auto"/>
          <w:sz w:val="22"/>
          <w:szCs w:val="22"/>
          <w:lang w:val="lt-LT"/>
        </w:rPr>
        <w:t>fibryga</w:t>
      </w:r>
    </w:p>
    <w:p w14:paraId="00270DF9" w14:textId="77777777" w:rsidR="00684509" w:rsidRPr="00216B78" w:rsidRDefault="00684509" w:rsidP="00A86931">
      <w:pPr>
        <w:pStyle w:val="Default"/>
        <w:outlineLvl w:val="0"/>
        <w:rPr>
          <w:color w:val="auto"/>
          <w:sz w:val="22"/>
          <w:szCs w:val="22"/>
          <w:lang w:val="lt-LT"/>
        </w:rPr>
      </w:pPr>
    </w:p>
    <w:p w14:paraId="754FAE65" w14:textId="77777777" w:rsidR="002A2B7D" w:rsidRPr="00216B78" w:rsidRDefault="002A2B7D" w:rsidP="00A86931">
      <w:pPr>
        <w:pStyle w:val="Default"/>
        <w:rPr>
          <w:sz w:val="22"/>
          <w:szCs w:val="22"/>
          <w:lang w:val="lt-LT"/>
        </w:rPr>
      </w:pPr>
      <w:r w:rsidRPr="00216B78">
        <w:rPr>
          <w:sz w:val="22"/>
          <w:szCs w:val="22"/>
          <w:lang w:val="lt-LT"/>
        </w:rPr>
        <w:t>Šį vaistą laikykite vaikams nepastebimoje ir nepasiekiamoje vietoje.</w:t>
      </w:r>
    </w:p>
    <w:p w14:paraId="0CE24797" w14:textId="77777777" w:rsidR="00FD3FFD" w:rsidRPr="00216B78" w:rsidRDefault="00FD3FFD" w:rsidP="00A86931">
      <w:pPr>
        <w:pStyle w:val="Default"/>
        <w:rPr>
          <w:sz w:val="22"/>
          <w:szCs w:val="22"/>
          <w:lang w:val="lt-LT"/>
        </w:rPr>
      </w:pPr>
    </w:p>
    <w:p w14:paraId="5FE1271F" w14:textId="77777777" w:rsidR="002A2B7D" w:rsidRPr="00216B78" w:rsidRDefault="002A2B7D" w:rsidP="00A86931">
      <w:pPr>
        <w:pStyle w:val="Default"/>
        <w:rPr>
          <w:sz w:val="22"/>
          <w:szCs w:val="22"/>
          <w:lang w:val="lt-LT"/>
        </w:rPr>
      </w:pPr>
      <w:r w:rsidRPr="00216B78">
        <w:rPr>
          <w:sz w:val="22"/>
          <w:szCs w:val="22"/>
          <w:lang w:val="lt-LT"/>
        </w:rPr>
        <w:t xml:space="preserve">Ant etiketės ir dėžutės </w:t>
      </w:r>
      <w:r w:rsidR="008F39E6" w:rsidRPr="00216B78">
        <w:rPr>
          <w:sz w:val="22"/>
          <w:szCs w:val="22"/>
          <w:lang w:val="lt-LT"/>
        </w:rPr>
        <w:t xml:space="preserve">po „Tinka iki“ </w:t>
      </w:r>
      <w:r w:rsidRPr="00216B78">
        <w:rPr>
          <w:sz w:val="22"/>
          <w:szCs w:val="22"/>
          <w:lang w:val="lt-LT"/>
        </w:rPr>
        <w:t>nurodytam tinkamumo laikui pasibaigus, šio vaisto vartoti negalima. Vaistas tinkamas vartoti iki paskutinės nurodyto mėnesio dienos.</w:t>
      </w:r>
    </w:p>
    <w:p w14:paraId="5BA6C419" w14:textId="77777777" w:rsidR="00684509" w:rsidRPr="00216B78" w:rsidRDefault="00684509" w:rsidP="00A86931">
      <w:pPr>
        <w:pStyle w:val="Default"/>
        <w:rPr>
          <w:color w:val="auto"/>
          <w:sz w:val="22"/>
          <w:szCs w:val="22"/>
          <w:lang w:val="lt-LT"/>
        </w:rPr>
      </w:pPr>
    </w:p>
    <w:p w14:paraId="27BDEC3E" w14:textId="77777777" w:rsidR="002A2B7D" w:rsidRPr="00216B78" w:rsidRDefault="002A2B7D" w:rsidP="00A86931">
      <w:pPr>
        <w:pStyle w:val="Default"/>
        <w:rPr>
          <w:color w:val="auto"/>
          <w:sz w:val="22"/>
          <w:szCs w:val="22"/>
          <w:lang w:val="lt-LT"/>
        </w:rPr>
      </w:pPr>
      <w:r w:rsidRPr="00216B78">
        <w:rPr>
          <w:color w:val="auto"/>
          <w:sz w:val="22"/>
          <w:szCs w:val="22"/>
          <w:lang w:val="lt-LT"/>
        </w:rPr>
        <w:t xml:space="preserve">Laikyti ne aukštesnėje kaip 25 °C temperatūroje. Negalima užšaldyti. Buteliuką laikyti išorinėje dėžutėje, kad </w:t>
      </w:r>
      <w:r w:rsidR="008F39E6" w:rsidRPr="00216B78">
        <w:rPr>
          <w:color w:val="auto"/>
          <w:sz w:val="22"/>
          <w:szCs w:val="22"/>
          <w:lang w:val="lt-LT"/>
        </w:rPr>
        <w:t xml:space="preserve">vaistas </w:t>
      </w:r>
      <w:r w:rsidRPr="00216B78">
        <w:rPr>
          <w:color w:val="auto"/>
          <w:sz w:val="22"/>
          <w:szCs w:val="22"/>
          <w:lang w:val="lt-LT"/>
        </w:rPr>
        <w:t>būtų apsaugotas nuo šviesos.</w:t>
      </w:r>
    </w:p>
    <w:p w14:paraId="3C1CD559" w14:textId="77777777" w:rsidR="00684509" w:rsidRPr="00216B78" w:rsidRDefault="00684509" w:rsidP="00A86931">
      <w:pPr>
        <w:pStyle w:val="Default"/>
        <w:rPr>
          <w:sz w:val="22"/>
          <w:szCs w:val="22"/>
          <w:lang w:val="lt-LT"/>
        </w:rPr>
      </w:pPr>
    </w:p>
    <w:p w14:paraId="39319478" w14:textId="77777777" w:rsidR="002A2B7D" w:rsidRPr="00216B78" w:rsidRDefault="002A2B7D" w:rsidP="00A86931">
      <w:pPr>
        <w:pStyle w:val="Default"/>
        <w:rPr>
          <w:color w:val="auto"/>
          <w:sz w:val="22"/>
          <w:szCs w:val="22"/>
          <w:lang w:val="lt-LT"/>
        </w:rPr>
      </w:pPr>
      <w:r w:rsidRPr="00216B78">
        <w:rPr>
          <w:sz w:val="22"/>
          <w:szCs w:val="22"/>
          <w:lang w:val="lt-LT"/>
        </w:rPr>
        <w:t xml:space="preserve">Miltelius reikia ištirpinti tik prieš pat injekciją ar infuziją. </w:t>
      </w:r>
      <w:r w:rsidR="00503267" w:rsidRPr="00216B78">
        <w:rPr>
          <w:sz w:val="22"/>
          <w:szCs w:val="22"/>
          <w:lang w:val="lt-LT"/>
        </w:rPr>
        <w:t>Paruošto t</w:t>
      </w:r>
      <w:r w:rsidRPr="00216B78">
        <w:rPr>
          <w:sz w:val="22"/>
          <w:szCs w:val="22"/>
          <w:lang w:val="lt-LT"/>
        </w:rPr>
        <w:t>irpalo stabilumas išlieka 24 valandas, laikant kambario temperatūroje</w:t>
      </w:r>
      <w:r w:rsidR="00503267" w:rsidRPr="00216B78">
        <w:rPr>
          <w:sz w:val="22"/>
          <w:szCs w:val="22"/>
          <w:lang w:val="lt-LT"/>
        </w:rPr>
        <w:t xml:space="preserve"> (ne didesnėje nei 25°C) </w:t>
      </w:r>
      <w:r w:rsidRPr="00216B78">
        <w:rPr>
          <w:sz w:val="22"/>
          <w:szCs w:val="22"/>
          <w:lang w:val="lt-LT"/>
        </w:rPr>
        <w:t xml:space="preserve">. Tačiau, kad būtų išvengta užteršimo, tirpalą reikia vartoti nedelsiant ir </w:t>
      </w:r>
      <w:r w:rsidR="00FD3FFD" w:rsidRPr="00216B78">
        <w:rPr>
          <w:sz w:val="22"/>
          <w:szCs w:val="22"/>
          <w:lang w:val="lt-LT"/>
        </w:rPr>
        <w:t>vienu kartu</w:t>
      </w:r>
      <w:r w:rsidRPr="00216B78">
        <w:rPr>
          <w:sz w:val="22"/>
          <w:szCs w:val="22"/>
          <w:lang w:val="lt-LT"/>
        </w:rPr>
        <w:t>.</w:t>
      </w:r>
      <w:r w:rsidRPr="00216B78">
        <w:rPr>
          <w:color w:val="auto"/>
          <w:sz w:val="22"/>
          <w:szCs w:val="22"/>
          <w:lang w:val="lt-LT"/>
        </w:rPr>
        <w:t xml:space="preserve"> Paruošt</w:t>
      </w:r>
      <w:r w:rsidR="00FD3FFD" w:rsidRPr="00216B78">
        <w:rPr>
          <w:color w:val="auto"/>
          <w:sz w:val="22"/>
          <w:szCs w:val="22"/>
          <w:lang w:val="lt-LT"/>
        </w:rPr>
        <w:t>o</w:t>
      </w:r>
      <w:r w:rsidRPr="00216B78">
        <w:rPr>
          <w:color w:val="auto"/>
          <w:sz w:val="22"/>
          <w:szCs w:val="22"/>
          <w:lang w:val="lt-LT"/>
        </w:rPr>
        <w:t xml:space="preserve"> tirpal</w:t>
      </w:r>
      <w:r w:rsidR="00FD3FFD" w:rsidRPr="00216B78">
        <w:rPr>
          <w:color w:val="auto"/>
          <w:sz w:val="22"/>
          <w:szCs w:val="22"/>
          <w:lang w:val="lt-LT"/>
        </w:rPr>
        <w:t xml:space="preserve">o negalima </w:t>
      </w:r>
      <w:r w:rsidRPr="00216B78">
        <w:rPr>
          <w:color w:val="auto"/>
          <w:sz w:val="22"/>
          <w:szCs w:val="22"/>
          <w:lang w:val="lt-LT"/>
        </w:rPr>
        <w:t>laikyti šaldytuve arba šaldiklyje.</w:t>
      </w:r>
    </w:p>
    <w:p w14:paraId="3E1990F7" w14:textId="77777777" w:rsidR="002A2B7D" w:rsidRPr="00216B78" w:rsidRDefault="002A2B7D" w:rsidP="00A86931">
      <w:pPr>
        <w:pStyle w:val="Default"/>
        <w:rPr>
          <w:sz w:val="22"/>
          <w:szCs w:val="22"/>
          <w:lang w:val="lt-LT"/>
        </w:rPr>
      </w:pPr>
    </w:p>
    <w:p w14:paraId="75DB379B" w14:textId="77777777" w:rsidR="002A2B7D" w:rsidRPr="00216B78" w:rsidRDefault="002A2B7D" w:rsidP="00A86931">
      <w:pPr>
        <w:pStyle w:val="Default"/>
        <w:rPr>
          <w:sz w:val="22"/>
          <w:szCs w:val="22"/>
          <w:lang w:val="lt-LT"/>
        </w:rPr>
      </w:pPr>
      <w:r w:rsidRPr="00216B78">
        <w:rPr>
          <w:sz w:val="22"/>
          <w:szCs w:val="22"/>
          <w:lang w:val="lt-LT"/>
        </w:rPr>
        <w:t>Vaistų negalima išmesti į kanalizaciją arba su buitinėmis atliekomis. Kaip išmesti nereikalingus vaistus, klauskite vaistininko. Šios priemonės padės apsaugoti aplinką.</w:t>
      </w:r>
    </w:p>
    <w:p w14:paraId="75F13A61" w14:textId="77777777" w:rsidR="002A2B7D" w:rsidRPr="00216B78" w:rsidRDefault="002A2B7D" w:rsidP="00A86931">
      <w:pPr>
        <w:pStyle w:val="Default"/>
        <w:rPr>
          <w:sz w:val="22"/>
          <w:szCs w:val="22"/>
          <w:lang w:val="lt-LT"/>
        </w:rPr>
      </w:pPr>
    </w:p>
    <w:p w14:paraId="42598BDB" w14:textId="77777777" w:rsidR="00684509" w:rsidRPr="00216B78" w:rsidRDefault="00684509" w:rsidP="00A86931">
      <w:pPr>
        <w:pStyle w:val="Default"/>
        <w:rPr>
          <w:sz w:val="22"/>
          <w:szCs w:val="22"/>
          <w:lang w:val="lt-LT"/>
        </w:rPr>
      </w:pPr>
    </w:p>
    <w:p w14:paraId="00572AB4" w14:textId="77777777" w:rsidR="002A2B7D" w:rsidRPr="00216B78" w:rsidRDefault="00684509" w:rsidP="00A86931">
      <w:pPr>
        <w:pStyle w:val="Default"/>
        <w:keepNext/>
        <w:outlineLvl w:val="0"/>
        <w:rPr>
          <w:b/>
          <w:bCs/>
          <w:sz w:val="22"/>
          <w:szCs w:val="22"/>
          <w:lang w:val="lt-LT"/>
        </w:rPr>
      </w:pPr>
      <w:r w:rsidRPr="00216B78">
        <w:rPr>
          <w:b/>
          <w:bCs/>
          <w:sz w:val="22"/>
          <w:szCs w:val="22"/>
          <w:lang w:val="lt-LT"/>
        </w:rPr>
        <w:t>6.</w:t>
      </w:r>
      <w:r w:rsidRPr="00216B78">
        <w:rPr>
          <w:b/>
          <w:bCs/>
          <w:sz w:val="22"/>
          <w:szCs w:val="22"/>
          <w:lang w:val="lt-LT"/>
        </w:rPr>
        <w:tab/>
      </w:r>
      <w:r w:rsidR="002A2B7D" w:rsidRPr="00216B78">
        <w:rPr>
          <w:b/>
          <w:bCs/>
          <w:sz w:val="22"/>
          <w:szCs w:val="22"/>
          <w:lang w:val="lt-LT"/>
        </w:rPr>
        <w:t>Pakuotės turinys ir kita informacija</w:t>
      </w:r>
    </w:p>
    <w:p w14:paraId="2B0DDC36" w14:textId="77777777" w:rsidR="002A2B7D" w:rsidRPr="00216B78" w:rsidRDefault="002A2B7D" w:rsidP="00A86931">
      <w:pPr>
        <w:pStyle w:val="Default"/>
        <w:keepNext/>
        <w:rPr>
          <w:sz w:val="22"/>
          <w:szCs w:val="22"/>
          <w:lang w:val="lt-LT"/>
        </w:rPr>
      </w:pPr>
    </w:p>
    <w:p w14:paraId="4DC5CC86" w14:textId="77777777" w:rsidR="002A2B7D" w:rsidRPr="00216B78" w:rsidRDefault="00BE7183" w:rsidP="00A86931">
      <w:pPr>
        <w:pStyle w:val="Default"/>
        <w:keepNext/>
        <w:outlineLvl w:val="1"/>
        <w:rPr>
          <w:b/>
          <w:bCs/>
          <w:sz w:val="22"/>
          <w:szCs w:val="22"/>
          <w:lang w:val="lt-LT"/>
        </w:rPr>
      </w:pPr>
      <w:r w:rsidRPr="00216B78">
        <w:rPr>
          <w:b/>
          <w:bCs/>
          <w:sz w:val="22"/>
          <w:szCs w:val="22"/>
          <w:lang w:val="lt-LT"/>
        </w:rPr>
        <w:t>f</w:t>
      </w:r>
      <w:r w:rsidR="00D734DB" w:rsidRPr="00216B78">
        <w:rPr>
          <w:b/>
          <w:bCs/>
          <w:sz w:val="22"/>
          <w:szCs w:val="22"/>
          <w:lang w:val="lt-LT"/>
        </w:rPr>
        <w:t xml:space="preserve">ibryga </w:t>
      </w:r>
      <w:r w:rsidR="002A2B7D" w:rsidRPr="00216B78">
        <w:rPr>
          <w:b/>
          <w:bCs/>
          <w:sz w:val="22"/>
          <w:szCs w:val="22"/>
          <w:lang w:val="lt-LT"/>
        </w:rPr>
        <w:t>sudėtis</w:t>
      </w:r>
    </w:p>
    <w:p w14:paraId="38440ECA" w14:textId="77777777" w:rsidR="002A2B7D" w:rsidRPr="00216B78" w:rsidRDefault="002A2B7D" w:rsidP="00B64F51">
      <w:pPr>
        <w:pStyle w:val="Pagrindinistekstas"/>
        <w:numPr>
          <w:ilvl w:val="0"/>
          <w:numId w:val="10"/>
        </w:numPr>
        <w:ind w:left="714" w:hanging="357"/>
        <w:contextualSpacing/>
        <w:rPr>
          <w:b w:val="0"/>
          <w:sz w:val="22"/>
          <w:szCs w:val="22"/>
          <w:u w:val="none"/>
          <w:lang w:val="lt-LT"/>
        </w:rPr>
      </w:pPr>
      <w:r w:rsidRPr="00216B78">
        <w:rPr>
          <w:b w:val="0"/>
          <w:sz w:val="22"/>
          <w:szCs w:val="22"/>
          <w:u w:val="none"/>
          <w:lang w:val="lt-LT"/>
        </w:rPr>
        <w:t>Veiklioji medžiaga yra žmogaus fibrinogenas.</w:t>
      </w:r>
    </w:p>
    <w:p w14:paraId="25F83A9E" w14:textId="77777777" w:rsidR="002A2B7D" w:rsidRPr="00216B78" w:rsidRDefault="00A21881" w:rsidP="00B64F51">
      <w:pPr>
        <w:pStyle w:val="Pagrindinistekstas"/>
        <w:numPr>
          <w:ilvl w:val="0"/>
          <w:numId w:val="10"/>
        </w:numPr>
        <w:ind w:left="714" w:hanging="357"/>
        <w:contextualSpacing/>
        <w:rPr>
          <w:b w:val="0"/>
          <w:sz w:val="22"/>
          <w:szCs w:val="22"/>
          <w:u w:val="none"/>
          <w:lang w:val="lt-LT"/>
        </w:rPr>
      </w:pPr>
      <w:r w:rsidRPr="00216B78">
        <w:rPr>
          <w:b w:val="0"/>
          <w:sz w:val="22"/>
          <w:szCs w:val="22"/>
          <w:u w:val="none"/>
          <w:lang w:val="lt-LT"/>
        </w:rPr>
        <w:lastRenderedPageBreak/>
        <w:t xml:space="preserve">Ištirpinus </w:t>
      </w:r>
      <w:r w:rsidR="002A2B7D" w:rsidRPr="00216B78">
        <w:rPr>
          <w:b w:val="0"/>
          <w:sz w:val="22"/>
          <w:szCs w:val="22"/>
          <w:u w:val="none"/>
          <w:lang w:val="lt-LT"/>
        </w:rPr>
        <w:t>pateikt</w:t>
      </w:r>
      <w:r w:rsidRPr="00216B78">
        <w:rPr>
          <w:b w:val="0"/>
          <w:sz w:val="22"/>
          <w:szCs w:val="22"/>
          <w:u w:val="none"/>
          <w:lang w:val="lt-LT"/>
        </w:rPr>
        <w:t>ame</w:t>
      </w:r>
      <w:r w:rsidR="002A2B7D" w:rsidRPr="00216B78">
        <w:rPr>
          <w:b w:val="0"/>
          <w:sz w:val="22"/>
          <w:szCs w:val="22"/>
          <w:u w:val="none"/>
          <w:lang w:val="lt-LT"/>
        </w:rPr>
        <w:t xml:space="preserve"> tirpikl</w:t>
      </w:r>
      <w:r w:rsidRPr="00216B78">
        <w:rPr>
          <w:b w:val="0"/>
          <w:sz w:val="22"/>
          <w:szCs w:val="22"/>
          <w:u w:val="none"/>
          <w:lang w:val="lt-LT"/>
        </w:rPr>
        <w:t>yje</w:t>
      </w:r>
      <w:r w:rsidR="002A2B7D" w:rsidRPr="00216B78">
        <w:rPr>
          <w:b w:val="0"/>
          <w:sz w:val="22"/>
          <w:szCs w:val="22"/>
          <w:u w:val="none"/>
          <w:lang w:val="lt-LT"/>
        </w:rPr>
        <w:t xml:space="preserve"> (50 ml injekcinio vandens), </w:t>
      </w:r>
      <w:r w:rsidR="008F39E6" w:rsidRPr="00216B78">
        <w:rPr>
          <w:b w:val="0"/>
          <w:sz w:val="22"/>
          <w:szCs w:val="22"/>
          <w:u w:val="none"/>
          <w:lang w:val="lt-LT"/>
        </w:rPr>
        <w:t>kiek</w:t>
      </w:r>
      <w:r w:rsidR="002A2B7D" w:rsidRPr="00216B78">
        <w:rPr>
          <w:b w:val="0"/>
          <w:sz w:val="22"/>
          <w:szCs w:val="22"/>
          <w:u w:val="none"/>
          <w:lang w:val="lt-LT"/>
        </w:rPr>
        <w:t xml:space="preserve">viename </w:t>
      </w:r>
      <w:r w:rsidR="00D734DB" w:rsidRPr="00216B78">
        <w:rPr>
          <w:b w:val="0"/>
          <w:sz w:val="22"/>
          <w:szCs w:val="22"/>
          <w:u w:val="none"/>
          <w:lang w:val="lt-LT"/>
        </w:rPr>
        <w:t>fibryga</w:t>
      </w:r>
      <w:r w:rsidR="00BE7183" w:rsidRPr="00216B78">
        <w:rPr>
          <w:b w:val="0"/>
          <w:sz w:val="22"/>
          <w:szCs w:val="22"/>
          <w:u w:val="none"/>
          <w:lang w:val="lt-LT"/>
        </w:rPr>
        <w:t xml:space="preserve"> </w:t>
      </w:r>
      <w:r w:rsidR="002A2B7D" w:rsidRPr="00216B78">
        <w:rPr>
          <w:b w:val="0"/>
          <w:sz w:val="22"/>
          <w:szCs w:val="22"/>
          <w:u w:val="none"/>
          <w:lang w:val="lt-LT"/>
        </w:rPr>
        <w:t>buteliuke yra 1 g žmogaus fibrinogeno arba 20 mg/ml žmogaus fibrinogeno.</w:t>
      </w:r>
    </w:p>
    <w:p w14:paraId="3EED9411" w14:textId="77777777" w:rsidR="002A2B7D" w:rsidRPr="00216B78" w:rsidRDefault="002A2B7D" w:rsidP="00B64F51">
      <w:pPr>
        <w:pStyle w:val="Pagrindinistekstas"/>
        <w:numPr>
          <w:ilvl w:val="0"/>
          <w:numId w:val="10"/>
        </w:numPr>
        <w:ind w:left="714" w:hanging="357"/>
        <w:contextualSpacing/>
        <w:rPr>
          <w:b w:val="0"/>
          <w:sz w:val="22"/>
          <w:szCs w:val="22"/>
          <w:u w:val="none"/>
          <w:lang w:val="lt-LT"/>
        </w:rPr>
      </w:pPr>
      <w:r w:rsidRPr="00216B78">
        <w:rPr>
          <w:b w:val="0"/>
          <w:sz w:val="22"/>
          <w:szCs w:val="22"/>
          <w:u w:val="none"/>
          <w:lang w:val="lt-LT"/>
        </w:rPr>
        <w:t>Pagalbinės medžiagos yra L</w:t>
      </w:r>
      <w:r w:rsidRPr="00216B78">
        <w:rPr>
          <w:b w:val="0"/>
          <w:sz w:val="22"/>
          <w:szCs w:val="22"/>
          <w:u w:val="none"/>
          <w:lang w:val="lt-LT"/>
        </w:rPr>
        <w:noBreakHyphen/>
        <w:t>arginino hidrochloridas, glicinas, natrio chloridas ir natrio citrat</w:t>
      </w:r>
      <w:r w:rsidR="00EE19A5" w:rsidRPr="00216B78">
        <w:rPr>
          <w:b w:val="0"/>
          <w:sz w:val="22"/>
          <w:szCs w:val="22"/>
          <w:u w:val="none"/>
          <w:lang w:val="lt-LT"/>
        </w:rPr>
        <w:t>as</w:t>
      </w:r>
      <w:r w:rsidRPr="00216B78">
        <w:rPr>
          <w:b w:val="0"/>
          <w:sz w:val="22"/>
          <w:szCs w:val="22"/>
          <w:u w:val="none"/>
          <w:lang w:val="lt-LT"/>
        </w:rPr>
        <w:t xml:space="preserve"> dihidratas.</w:t>
      </w:r>
    </w:p>
    <w:p w14:paraId="3B5633C2" w14:textId="77777777" w:rsidR="002A2B7D" w:rsidRPr="00216B78" w:rsidRDefault="002A2B7D" w:rsidP="00A86931">
      <w:pPr>
        <w:pStyle w:val="Default"/>
        <w:rPr>
          <w:sz w:val="22"/>
          <w:szCs w:val="22"/>
          <w:lang w:val="lt-LT"/>
        </w:rPr>
      </w:pPr>
    </w:p>
    <w:p w14:paraId="750C5C4F" w14:textId="77777777" w:rsidR="002A2B7D" w:rsidRPr="00216B78" w:rsidRDefault="00BE7183" w:rsidP="00A86931">
      <w:pPr>
        <w:pStyle w:val="Default"/>
        <w:outlineLvl w:val="1"/>
        <w:rPr>
          <w:sz w:val="22"/>
          <w:szCs w:val="22"/>
          <w:lang w:val="lt-LT"/>
        </w:rPr>
      </w:pPr>
      <w:r w:rsidRPr="00216B78">
        <w:rPr>
          <w:b/>
          <w:bCs/>
          <w:sz w:val="22"/>
          <w:szCs w:val="22"/>
          <w:lang w:val="lt-LT"/>
        </w:rPr>
        <w:t>f</w:t>
      </w:r>
      <w:r w:rsidR="00D734DB" w:rsidRPr="00216B78">
        <w:rPr>
          <w:b/>
          <w:bCs/>
          <w:sz w:val="22"/>
          <w:szCs w:val="22"/>
          <w:lang w:val="lt-LT"/>
        </w:rPr>
        <w:t xml:space="preserve">ibryga </w:t>
      </w:r>
      <w:r w:rsidR="002A2B7D" w:rsidRPr="00216B78">
        <w:rPr>
          <w:b/>
          <w:bCs/>
          <w:sz w:val="22"/>
          <w:szCs w:val="22"/>
          <w:lang w:val="lt-LT"/>
        </w:rPr>
        <w:t>išvaizda ir kiekis pakuotėje</w:t>
      </w:r>
    </w:p>
    <w:p w14:paraId="763E43CC" w14:textId="77777777" w:rsidR="00684509" w:rsidRPr="00216B78" w:rsidRDefault="00684509" w:rsidP="00A86931">
      <w:pPr>
        <w:pStyle w:val="Default"/>
        <w:rPr>
          <w:sz w:val="22"/>
          <w:szCs w:val="22"/>
          <w:lang w:val="lt-LT"/>
        </w:rPr>
      </w:pPr>
    </w:p>
    <w:p w14:paraId="4DBBE81D" w14:textId="77777777" w:rsidR="002A2B7D" w:rsidRPr="00216B78" w:rsidRDefault="00BE7183" w:rsidP="00A86931">
      <w:pPr>
        <w:pStyle w:val="Default"/>
        <w:rPr>
          <w:sz w:val="22"/>
          <w:szCs w:val="22"/>
          <w:lang w:val="lt-LT"/>
        </w:rPr>
      </w:pPr>
      <w:r w:rsidRPr="00216B78">
        <w:rPr>
          <w:sz w:val="22"/>
          <w:szCs w:val="22"/>
          <w:lang w:val="lt-LT"/>
        </w:rPr>
        <w:t>f</w:t>
      </w:r>
      <w:r w:rsidR="00D734DB" w:rsidRPr="00216B78">
        <w:rPr>
          <w:sz w:val="22"/>
          <w:szCs w:val="22"/>
          <w:lang w:val="lt-LT"/>
        </w:rPr>
        <w:t xml:space="preserve">ibryga </w:t>
      </w:r>
      <w:r w:rsidR="002A2B7D" w:rsidRPr="00216B78">
        <w:rPr>
          <w:sz w:val="22"/>
          <w:szCs w:val="22"/>
          <w:lang w:val="lt-LT"/>
        </w:rPr>
        <w:t>tiekiamas miltelių ir tirpiklio injekciniam ar infuziniam tirpalui forma, stikliniuose buteliukuose.</w:t>
      </w:r>
    </w:p>
    <w:p w14:paraId="3CC475E1" w14:textId="77777777" w:rsidR="00EE19A5" w:rsidRPr="00216B78" w:rsidRDefault="00EE19A5" w:rsidP="00A86931">
      <w:pPr>
        <w:pStyle w:val="Default"/>
        <w:rPr>
          <w:sz w:val="22"/>
          <w:szCs w:val="22"/>
          <w:lang w:val="lt-LT"/>
        </w:rPr>
      </w:pPr>
    </w:p>
    <w:p w14:paraId="57EB0E4E" w14:textId="7DAC2FA2" w:rsidR="002A2B7D" w:rsidRPr="00216B78" w:rsidRDefault="002A2B7D" w:rsidP="00A86931">
      <w:pPr>
        <w:pStyle w:val="Default"/>
        <w:rPr>
          <w:sz w:val="22"/>
          <w:szCs w:val="22"/>
          <w:lang w:val="lt-LT"/>
        </w:rPr>
      </w:pPr>
      <w:r w:rsidRPr="00216B78">
        <w:rPr>
          <w:sz w:val="22"/>
          <w:szCs w:val="22"/>
          <w:lang w:val="lt-LT"/>
        </w:rPr>
        <w:t xml:space="preserve">Milteliai yra balti arba </w:t>
      </w:r>
      <w:r w:rsidR="008F39E6" w:rsidRPr="00216B78">
        <w:rPr>
          <w:sz w:val="22"/>
          <w:szCs w:val="22"/>
          <w:lang w:val="lt-LT"/>
        </w:rPr>
        <w:t>gelsvi</w:t>
      </w:r>
      <w:r w:rsidRPr="00216B78">
        <w:rPr>
          <w:sz w:val="22"/>
          <w:szCs w:val="22"/>
          <w:lang w:val="lt-LT"/>
        </w:rPr>
        <w:t xml:space="preserve"> ir higroskopiniai, jie atrodo kaip puri </w:t>
      </w:r>
      <w:r w:rsidR="0075228B" w:rsidRPr="00216B78">
        <w:rPr>
          <w:sz w:val="22"/>
          <w:szCs w:val="22"/>
          <w:lang w:val="lt-LT"/>
        </w:rPr>
        <w:t>masė</w:t>
      </w:r>
      <w:r w:rsidRPr="00216B78">
        <w:rPr>
          <w:sz w:val="22"/>
          <w:szCs w:val="22"/>
          <w:lang w:val="lt-LT"/>
        </w:rPr>
        <w:t>.</w:t>
      </w:r>
    </w:p>
    <w:p w14:paraId="6F90B0CE" w14:textId="77777777" w:rsidR="00EE19A5" w:rsidRPr="00216B78" w:rsidRDefault="00EE19A5" w:rsidP="00A86931">
      <w:pPr>
        <w:pStyle w:val="Default"/>
        <w:rPr>
          <w:color w:val="auto"/>
          <w:sz w:val="22"/>
          <w:szCs w:val="22"/>
          <w:lang w:val="lt-LT"/>
        </w:rPr>
      </w:pPr>
    </w:p>
    <w:p w14:paraId="1CDBD350" w14:textId="77777777" w:rsidR="002A2B7D" w:rsidRPr="00216B78" w:rsidRDefault="002A2B7D" w:rsidP="00A86931">
      <w:pPr>
        <w:pStyle w:val="Default"/>
        <w:rPr>
          <w:sz w:val="22"/>
          <w:szCs w:val="22"/>
          <w:lang w:val="lt-LT"/>
        </w:rPr>
      </w:pPr>
      <w:r w:rsidRPr="00216B78">
        <w:rPr>
          <w:color w:val="auto"/>
          <w:sz w:val="22"/>
          <w:szCs w:val="22"/>
          <w:lang w:val="lt-LT"/>
        </w:rPr>
        <w:t>Tirpiklis yra skaidrus ir bespalvis skystis.</w:t>
      </w:r>
    </w:p>
    <w:p w14:paraId="38465CEF" w14:textId="77777777" w:rsidR="00EE19A5" w:rsidRPr="00216B78" w:rsidRDefault="00EE19A5" w:rsidP="00A86931">
      <w:pPr>
        <w:pStyle w:val="Default"/>
        <w:rPr>
          <w:sz w:val="22"/>
          <w:szCs w:val="22"/>
          <w:lang w:val="lt-LT"/>
        </w:rPr>
      </w:pPr>
    </w:p>
    <w:p w14:paraId="7E68117D" w14:textId="77777777" w:rsidR="002A2B7D" w:rsidRPr="00216B78" w:rsidRDefault="002A2B7D" w:rsidP="00A86931">
      <w:pPr>
        <w:pStyle w:val="Default"/>
        <w:rPr>
          <w:sz w:val="22"/>
          <w:szCs w:val="22"/>
          <w:lang w:val="lt-LT"/>
        </w:rPr>
      </w:pPr>
      <w:r w:rsidRPr="00216B78">
        <w:rPr>
          <w:sz w:val="22"/>
          <w:szCs w:val="22"/>
          <w:lang w:val="lt-LT"/>
        </w:rPr>
        <w:t>Paruoštas tirpalas yra beveik bespalvis ir šiek tiek opalinis.</w:t>
      </w:r>
    </w:p>
    <w:p w14:paraId="7973F25A" w14:textId="77777777" w:rsidR="00684509" w:rsidRPr="00216B78" w:rsidRDefault="00684509" w:rsidP="00A86931">
      <w:pPr>
        <w:pStyle w:val="Default"/>
        <w:rPr>
          <w:sz w:val="22"/>
          <w:szCs w:val="22"/>
          <w:lang w:val="lt-LT"/>
        </w:rPr>
      </w:pPr>
    </w:p>
    <w:p w14:paraId="70254FF8" w14:textId="77777777" w:rsidR="002A2B7D" w:rsidRPr="00216B78" w:rsidRDefault="00BE7183" w:rsidP="00A86931">
      <w:pPr>
        <w:pStyle w:val="Default"/>
        <w:rPr>
          <w:sz w:val="22"/>
          <w:szCs w:val="22"/>
          <w:lang w:val="lt-LT"/>
        </w:rPr>
      </w:pPr>
      <w:r w:rsidRPr="00216B78">
        <w:rPr>
          <w:sz w:val="22"/>
          <w:szCs w:val="22"/>
          <w:lang w:val="lt-LT"/>
        </w:rPr>
        <w:t>f</w:t>
      </w:r>
      <w:r w:rsidR="00D734DB" w:rsidRPr="00216B78">
        <w:rPr>
          <w:sz w:val="22"/>
          <w:szCs w:val="22"/>
          <w:lang w:val="lt-LT"/>
        </w:rPr>
        <w:t>ibryga</w:t>
      </w:r>
      <w:r w:rsidR="00D734DB" w:rsidRPr="00216B78" w:rsidDel="00D734DB">
        <w:rPr>
          <w:sz w:val="22"/>
          <w:szCs w:val="22"/>
          <w:lang w:val="lt-LT"/>
        </w:rPr>
        <w:t xml:space="preserve"> </w:t>
      </w:r>
      <w:r w:rsidR="002A2B7D" w:rsidRPr="00216B78">
        <w:rPr>
          <w:sz w:val="22"/>
          <w:szCs w:val="22"/>
          <w:lang w:val="lt-LT"/>
        </w:rPr>
        <w:t>parduodamas vienoje dėžutėje, kurioje yra:</w:t>
      </w:r>
    </w:p>
    <w:p w14:paraId="6279BEE0" w14:textId="77777777" w:rsidR="002A2B7D" w:rsidRPr="00216B78" w:rsidRDefault="002A2B7D" w:rsidP="00C67268">
      <w:pPr>
        <w:pStyle w:val="Default"/>
        <w:widowControl w:val="0"/>
        <w:numPr>
          <w:ilvl w:val="0"/>
          <w:numId w:val="11"/>
        </w:numPr>
        <w:rPr>
          <w:sz w:val="22"/>
          <w:szCs w:val="22"/>
          <w:lang w:val="lt-LT"/>
        </w:rPr>
      </w:pPr>
      <w:r w:rsidRPr="00216B78">
        <w:rPr>
          <w:sz w:val="22"/>
          <w:szCs w:val="22"/>
          <w:lang w:val="lt-LT"/>
        </w:rPr>
        <w:t>1 buteliukas su milteliais injekciniam ar infuziniam tirpalui;</w:t>
      </w:r>
    </w:p>
    <w:p w14:paraId="739C72DC" w14:textId="77777777" w:rsidR="002A2B7D" w:rsidRPr="00216B78" w:rsidRDefault="002A2B7D" w:rsidP="00C67268">
      <w:pPr>
        <w:pStyle w:val="Default"/>
        <w:widowControl w:val="0"/>
        <w:numPr>
          <w:ilvl w:val="0"/>
          <w:numId w:val="11"/>
        </w:numPr>
        <w:rPr>
          <w:sz w:val="22"/>
          <w:szCs w:val="22"/>
          <w:lang w:val="lt-LT"/>
        </w:rPr>
      </w:pPr>
      <w:r w:rsidRPr="00216B78">
        <w:rPr>
          <w:sz w:val="22"/>
          <w:szCs w:val="22"/>
          <w:lang w:val="lt-LT"/>
        </w:rPr>
        <w:t>1</w:t>
      </w:r>
      <w:r w:rsidR="00503267" w:rsidRPr="00216B78">
        <w:rPr>
          <w:sz w:val="22"/>
          <w:szCs w:val="22"/>
          <w:lang w:val="lt-LT"/>
        </w:rPr>
        <w:t xml:space="preserve"> f</w:t>
      </w:r>
      <w:r w:rsidR="007D4616" w:rsidRPr="00216B78">
        <w:rPr>
          <w:sz w:val="22"/>
          <w:szCs w:val="22"/>
          <w:lang w:val="lt-LT"/>
        </w:rPr>
        <w:t>la</w:t>
      </w:r>
      <w:r w:rsidR="00503267" w:rsidRPr="00216B78">
        <w:rPr>
          <w:sz w:val="22"/>
          <w:szCs w:val="22"/>
          <w:lang w:val="lt-LT"/>
        </w:rPr>
        <w:t>konas</w:t>
      </w:r>
      <w:r w:rsidRPr="00216B78">
        <w:rPr>
          <w:sz w:val="22"/>
          <w:szCs w:val="22"/>
          <w:lang w:val="lt-LT"/>
        </w:rPr>
        <w:t xml:space="preserve"> su tirpikliu (injekciniu vandeniu)</w:t>
      </w:r>
    </w:p>
    <w:p w14:paraId="53EF59CE" w14:textId="1F386F60" w:rsidR="002A2B7D" w:rsidRPr="00216B78" w:rsidRDefault="002A2B7D" w:rsidP="00C67268">
      <w:pPr>
        <w:pStyle w:val="Default"/>
        <w:widowControl w:val="0"/>
        <w:numPr>
          <w:ilvl w:val="0"/>
          <w:numId w:val="11"/>
        </w:numPr>
        <w:rPr>
          <w:sz w:val="22"/>
          <w:szCs w:val="22"/>
          <w:lang w:val="lt-LT"/>
        </w:rPr>
      </w:pPr>
      <w:r w:rsidRPr="00216B78">
        <w:rPr>
          <w:sz w:val="22"/>
          <w:szCs w:val="22"/>
          <w:lang w:val="lt-LT"/>
        </w:rPr>
        <w:t>1 </w:t>
      </w:r>
      <w:r w:rsidR="00943B4A" w:rsidRPr="00C67268">
        <w:rPr>
          <w:i/>
          <w:iCs/>
          <w:sz w:val="22"/>
          <w:szCs w:val="22"/>
          <w:lang w:val="en-US"/>
        </w:rPr>
        <w:t>nextaro</w:t>
      </w:r>
      <w:r w:rsidRPr="00216B78">
        <w:rPr>
          <w:sz w:val="22"/>
          <w:szCs w:val="22"/>
          <w:lang w:val="lt-LT"/>
        </w:rPr>
        <w:t xml:space="preserve"> perkėlimo įtaisas</w:t>
      </w:r>
    </w:p>
    <w:p w14:paraId="7D924E22" w14:textId="77777777" w:rsidR="002A2B7D" w:rsidRPr="00216B78" w:rsidRDefault="002A2B7D" w:rsidP="00A86931">
      <w:pPr>
        <w:pStyle w:val="Default"/>
        <w:rPr>
          <w:b/>
          <w:bCs/>
          <w:sz w:val="22"/>
          <w:szCs w:val="22"/>
          <w:lang w:val="lt-LT"/>
        </w:rPr>
      </w:pPr>
    </w:p>
    <w:p w14:paraId="70CC5FB7" w14:textId="77777777" w:rsidR="002A2B7D" w:rsidRPr="00216B78" w:rsidRDefault="002A2B7D" w:rsidP="00A86931">
      <w:pPr>
        <w:pStyle w:val="Default"/>
        <w:outlineLvl w:val="1"/>
        <w:rPr>
          <w:b/>
          <w:bCs/>
          <w:sz w:val="22"/>
          <w:szCs w:val="22"/>
          <w:lang w:val="lt-LT"/>
        </w:rPr>
      </w:pPr>
      <w:r w:rsidRPr="00216B78">
        <w:rPr>
          <w:b/>
          <w:bCs/>
          <w:sz w:val="22"/>
          <w:szCs w:val="22"/>
          <w:lang w:val="lt-LT"/>
        </w:rPr>
        <w:t>Registruotojas ir gamintojas</w:t>
      </w:r>
    </w:p>
    <w:p w14:paraId="6B80E8F0" w14:textId="77777777" w:rsidR="002A2B7D" w:rsidRPr="00216B78" w:rsidRDefault="002A2B7D" w:rsidP="00A86931">
      <w:pPr>
        <w:pStyle w:val="Default"/>
        <w:rPr>
          <w:sz w:val="22"/>
          <w:szCs w:val="22"/>
          <w:lang w:val="lt-LT"/>
        </w:rPr>
      </w:pPr>
    </w:p>
    <w:p w14:paraId="4B7529F6" w14:textId="77777777" w:rsidR="002A2B7D" w:rsidRPr="00216B78" w:rsidRDefault="002A2B7D" w:rsidP="00A86931">
      <w:pPr>
        <w:pStyle w:val="Default"/>
        <w:rPr>
          <w:b/>
          <w:bCs/>
          <w:color w:val="auto"/>
          <w:sz w:val="22"/>
          <w:szCs w:val="22"/>
          <w:lang w:val="lt-LT"/>
        </w:rPr>
      </w:pPr>
      <w:r w:rsidRPr="00216B78">
        <w:rPr>
          <w:b/>
          <w:bCs/>
          <w:color w:val="auto"/>
          <w:sz w:val="22"/>
          <w:szCs w:val="22"/>
          <w:lang w:val="lt-LT"/>
        </w:rPr>
        <w:t>Registruotojas</w:t>
      </w:r>
    </w:p>
    <w:p w14:paraId="68D7960F" w14:textId="77777777" w:rsidR="002A2B7D" w:rsidRPr="00216B78" w:rsidRDefault="002A2B7D" w:rsidP="00A86931">
      <w:pPr>
        <w:pStyle w:val="Default"/>
        <w:rPr>
          <w:sz w:val="22"/>
          <w:szCs w:val="22"/>
          <w:lang w:val="lt-LT"/>
        </w:rPr>
      </w:pPr>
      <w:r w:rsidRPr="00216B78">
        <w:rPr>
          <w:sz w:val="22"/>
          <w:szCs w:val="22"/>
          <w:lang w:val="lt-LT"/>
        </w:rPr>
        <w:t>Octapharma (IP) SPRL</w:t>
      </w:r>
    </w:p>
    <w:p w14:paraId="39FF1296" w14:textId="3EAD59B0" w:rsidR="0036273F" w:rsidRPr="00216B78" w:rsidRDefault="0096724E" w:rsidP="00A86931">
      <w:pPr>
        <w:pStyle w:val="Default"/>
        <w:rPr>
          <w:sz w:val="22"/>
          <w:szCs w:val="22"/>
          <w:lang w:val="lt-LT"/>
        </w:rPr>
      </w:pPr>
      <w:r>
        <w:rPr>
          <w:sz w:val="22"/>
          <w:szCs w:val="22"/>
          <w:lang w:val="lt-LT"/>
        </w:rPr>
        <w:t>Route de Lennik 451</w:t>
      </w:r>
    </w:p>
    <w:p w14:paraId="176E6875" w14:textId="77777777" w:rsidR="002A2B7D" w:rsidRPr="00216B78" w:rsidRDefault="002A2B7D" w:rsidP="00A86931">
      <w:pPr>
        <w:pStyle w:val="Default"/>
        <w:rPr>
          <w:sz w:val="22"/>
          <w:szCs w:val="22"/>
          <w:lang w:val="lt-LT"/>
        </w:rPr>
      </w:pPr>
      <w:r w:rsidRPr="00216B78">
        <w:rPr>
          <w:sz w:val="22"/>
          <w:szCs w:val="22"/>
          <w:lang w:val="lt-LT"/>
        </w:rPr>
        <w:t>1070 Anderlecht</w:t>
      </w:r>
    </w:p>
    <w:p w14:paraId="01AA0003" w14:textId="77777777" w:rsidR="002A2B7D" w:rsidRPr="00216B78" w:rsidRDefault="002A2B7D" w:rsidP="00A86931">
      <w:pPr>
        <w:pStyle w:val="Default"/>
        <w:rPr>
          <w:sz w:val="22"/>
          <w:szCs w:val="22"/>
          <w:lang w:val="lt-LT"/>
        </w:rPr>
      </w:pPr>
      <w:r w:rsidRPr="00216B78">
        <w:rPr>
          <w:sz w:val="22"/>
          <w:szCs w:val="22"/>
          <w:lang w:val="lt-LT"/>
        </w:rPr>
        <w:t>Belgija</w:t>
      </w:r>
    </w:p>
    <w:p w14:paraId="71CF2CB5" w14:textId="77777777" w:rsidR="002A2B7D" w:rsidRPr="00216B78" w:rsidRDefault="002A2B7D" w:rsidP="00A86931">
      <w:pPr>
        <w:pStyle w:val="Default"/>
        <w:rPr>
          <w:color w:val="auto"/>
          <w:sz w:val="22"/>
          <w:szCs w:val="22"/>
          <w:lang w:val="lt-LT"/>
        </w:rPr>
      </w:pPr>
    </w:p>
    <w:p w14:paraId="33F30FBF" w14:textId="77777777" w:rsidR="002A2B7D" w:rsidRPr="00216B78" w:rsidRDefault="002A2B7D" w:rsidP="00A86931">
      <w:pPr>
        <w:pStyle w:val="Default"/>
        <w:rPr>
          <w:b/>
          <w:bCs/>
          <w:color w:val="auto"/>
          <w:sz w:val="22"/>
          <w:szCs w:val="22"/>
          <w:lang w:val="lt-LT"/>
        </w:rPr>
      </w:pPr>
      <w:r w:rsidRPr="00216B78">
        <w:rPr>
          <w:b/>
          <w:bCs/>
          <w:color w:val="auto"/>
          <w:sz w:val="22"/>
          <w:szCs w:val="22"/>
          <w:lang w:val="lt-LT"/>
        </w:rPr>
        <w:t>Gamintojai</w:t>
      </w:r>
    </w:p>
    <w:p w14:paraId="0EAFD84C" w14:textId="77777777" w:rsidR="002A2B7D" w:rsidRPr="00216B78" w:rsidRDefault="002A2B7D" w:rsidP="00A86931">
      <w:pPr>
        <w:pStyle w:val="Default"/>
        <w:rPr>
          <w:color w:val="auto"/>
          <w:sz w:val="22"/>
          <w:szCs w:val="22"/>
          <w:lang w:val="lt-LT"/>
        </w:rPr>
      </w:pPr>
      <w:r w:rsidRPr="00216B78">
        <w:rPr>
          <w:color w:val="auto"/>
          <w:sz w:val="22"/>
          <w:szCs w:val="22"/>
          <w:lang w:val="lt-LT"/>
        </w:rPr>
        <w:t>Octapharma Pharmazeutika Produktionsges.m.b.H.</w:t>
      </w:r>
    </w:p>
    <w:p w14:paraId="0B09A125" w14:textId="77777777" w:rsidR="00A21881" w:rsidRPr="00216B78" w:rsidRDefault="002A2B7D" w:rsidP="00A86931">
      <w:pPr>
        <w:pStyle w:val="Default"/>
        <w:rPr>
          <w:color w:val="auto"/>
          <w:sz w:val="22"/>
          <w:szCs w:val="22"/>
          <w:lang w:val="lt-LT"/>
        </w:rPr>
      </w:pPr>
      <w:r w:rsidRPr="00216B78">
        <w:rPr>
          <w:color w:val="auto"/>
          <w:sz w:val="22"/>
          <w:szCs w:val="22"/>
          <w:lang w:val="lt-LT"/>
        </w:rPr>
        <w:t>Oberlaaer Strasse 235</w:t>
      </w:r>
    </w:p>
    <w:p w14:paraId="0B77D180" w14:textId="77777777" w:rsidR="00A21881" w:rsidRPr="00216B78" w:rsidRDefault="002A2B7D" w:rsidP="00A86931">
      <w:pPr>
        <w:pStyle w:val="Default"/>
        <w:rPr>
          <w:color w:val="auto"/>
          <w:sz w:val="22"/>
          <w:szCs w:val="22"/>
          <w:lang w:val="lt-LT"/>
        </w:rPr>
      </w:pPr>
      <w:r w:rsidRPr="00216B78">
        <w:rPr>
          <w:color w:val="auto"/>
          <w:sz w:val="22"/>
          <w:szCs w:val="22"/>
          <w:lang w:val="lt-LT"/>
        </w:rPr>
        <w:t>1100 Vienna</w:t>
      </w:r>
    </w:p>
    <w:p w14:paraId="0EACD2CD" w14:textId="77777777" w:rsidR="002A2B7D" w:rsidRPr="00216B78" w:rsidRDefault="002A2B7D" w:rsidP="00A86931">
      <w:pPr>
        <w:pStyle w:val="Default"/>
        <w:rPr>
          <w:color w:val="auto"/>
          <w:sz w:val="22"/>
          <w:szCs w:val="22"/>
          <w:lang w:val="lt-LT"/>
        </w:rPr>
      </w:pPr>
      <w:r w:rsidRPr="00216B78">
        <w:rPr>
          <w:color w:val="auto"/>
          <w:sz w:val="22"/>
          <w:szCs w:val="22"/>
          <w:lang w:val="lt-LT"/>
        </w:rPr>
        <w:t>Austrija</w:t>
      </w:r>
    </w:p>
    <w:p w14:paraId="171FB7E6" w14:textId="77777777" w:rsidR="008A181E" w:rsidRPr="00216B78" w:rsidRDefault="008A181E" w:rsidP="00A86931">
      <w:pPr>
        <w:pStyle w:val="Default"/>
        <w:rPr>
          <w:color w:val="auto"/>
          <w:sz w:val="22"/>
          <w:szCs w:val="22"/>
          <w:lang w:val="lt-LT"/>
        </w:rPr>
      </w:pPr>
    </w:p>
    <w:p w14:paraId="36DEB996" w14:textId="77777777" w:rsidR="002A2B7D" w:rsidRPr="00216B78" w:rsidRDefault="008F39E6" w:rsidP="00A86931">
      <w:pPr>
        <w:pStyle w:val="Default"/>
        <w:rPr>
          <w:color w:val="auto"/>
          <w:sz w:val="22"/>
          <w:szCs w:val="22"/>
          <w:lang w:val="lt-LT"/>
        </w:rPr>
      </w:pPr>
      <w:r w:rsidRPr="00216B78">
        <w:rPr>
          <w:color w:val="auto"/>
          <w:sz w:val="22"/>
          <w:szCs w:val="22"/>
          <w:lang w:val="lt-LT"/>
        </w:rPr>
        <w:t>arba</w:t>
      </w:r>
    </w:p>
    <w:p w14:paraId="198290D4" w14:textId="77777777" w:rsidR="008A181E" w:rsidRPr="00216B78" w:rsidRDefault="008A181E" w:rsidP="00A86931">
      <w:pPr>
        <w:pStyle w:val="Default"/>
        <w:rPr>
          <w:color w:val="auto"/>
          <w:sz w:val="22"/>
          <w:szCs w:val="22"/>
          <w:lang w:val="lt-LT"/>
        </w:rPr>
      </w:pPr>
    </w:p>
    <w:p w14:paraId="40FAC69E" w14:textId="77777777" w:rsidR="002A2B7D" w:rsidRPr="00216B78" w:rsidRDefault="002A2B7D" w:rsidP="00A86931">
      <w:pPr>
        <w:pStyle w:val="Default"/>
        <w:rPr>
          <w:color w:val="auto"/>
          <w:sz w:val="22"/>
          <w:szCs w:val="22"/>
          <w:lang w:val="lt-LT"/>
        </w:rPr>
      </w:pPr>
      <w:r w:rsidRPr="00216B78">
        <w:rPr>
          <w:color w:val="auto"/>
          <w:sz w:val="22"/>
          <w:szCs w:val="22"/>
          <w:lang w:val="lt-LT"/>
        </w:rPr>
        <w:t>Octapharma AB</w:t>
      </w:r>
    </w:p>
    <w:p w14:paraId="6FA27EAD" w14:textId="77777777" w:rsidR="00A21881" w:rsidRPr="00216B78" w:rsidRDefault="002A2B7D" w:rsidP="00A86931">
      <w:pPr>
        <w:pStyle w:val="Default"/>
        <w:rPr>
          <w:sz w:val="22"/>
          <w:szCs w:val="22"/>
          <w:lang w:val="lt-LT"/>
        </w:rPr>
      </w:pPr>
      <w:r w:rsidRPr="00216B78">
        <w:rPr>
          <w:sz w:val="22"/>
          <w:szCs w:val="22"/>
          <w:lang w:val="lt-LT"/>
        </w:rPr>
        <w:t>Lars Forssells gata 23</w:t>
      </w:r>
    </w:p>
    <w:p w14:paraId="47E2A689" w14:textId="77777777" w:rsidR="00A21881" w:rsidRPr="00216B78" w:rsidRDefault="002A2B7D" w:rsidP="00A86931">
      <w:pPr>
        <w:pStyle w:val="Default"/>
        <w:rPr>
          <w:sz w:val="22"/>
          <w:szCs w:val="22"/>
          <w:lang w:val="lt-LT"/>
        </w:rPr>
      </w:pPr>
      <w:r w:rsidRPr="00216B78">
        <w:rPr>
          <w:sz w:val="22"/>
          <w:szCs w:val="22"/>
          <w:lang w:val="lt-LT"/>
        </w:rPr>
        <w:t>112 75 Stockholm</w:t>
      </w:r>
    </w:p>
    <w:p w14:paraId="5D1BC0FE" w14:textId="77777777" w:rsidR="002A2B7D" w:rsidRPr="00216B78" w:rsidRDefault="002A2B7D" w:rsidP="00A86931">
      <w:pPr>
        <w:pStyle w:val="Default"/>
        <w:rPr>
          <w:sz w:val="22"/>
          <w:szCs w:val="22"/>
          <w:lang w:val="lt-LT"/>
        </w:rPr>
      </w:pPr>
      <w:r w:rsidRPr="00216B78">
        <w:rPr>
          <w:sz w:val="22"/>
          <w:szCs w:val="22"/>
          <w:lang w:val="lt-LT"/>
        </w:rPr>
        <w:t>Švedija</w:t>
      </w:r>
    </w:p>
    <w:p w14:paraId="0CC7A758" w14:textId="77777777" w:rsidR="002A2B7D" w:rsidRPr="00216B78" w:rsidRDefault="002A2B7D" w:rsidP="00A86931">
      <w:pPr>
        <w:pStyle w:val="Default"/>
        <w:rPr>
          <w:color w:val="auto"/>
          <w:sz w:val="22"/>
          <w:szCs w:val="22"/>
          <w:lang w:val="lt-LT"/>
        </w:rPr>
      </w:pPr>
    </w:p>
    <w:p w14:paraId="626B90FE" w14:textId="002D1FCF" w:rsidR="002A2B7D" w:rsidRPr="00216B78" w:rsidRDefault="002A2B7D" w:rsidP="00A86931">
      <w:pPr>
        <w:pStyle w:val="Default"/>
        <w:rPr>
          <w:b/>
          <w:bCs/>
          <w:sz w:val="22"/>
          <w:szCs w:val="22"/>
          <w:lang w:val="lt-LT"/>
        </w:rPr>
      </w:pPr>
      <w:r w:rsidRPr="00216B78">
        <w:rPr>
          <w:b/>
          <w:bCs/>
          <w:sz w:val="22"/>
          <w:szCs w:val="22"/>
          <w:lang w:val="lt-LT"/>
        </w:rPr>
        <w:t xml:space="preserve">Šis </w:t>
      </w:r>
      <w:r w:rsidR="008F39E6" w:rsidRPr="00216B78">
        <w:rPr>
          <w:b/>
          <w:bCs/>
          <w:sz w:val="22"/>
          <w:szCs w:val="22"/>
          <w:lang w:val="lt-LT"/>
        </w:rPr>
        <w:t>vaistas</w:t>
      </w:r>
      <w:r w:rsidRPr="00216B78">
        <w:rPr>
          <w:b/>
          <w:bCs/>
          <w:sz w:val="22"/>
          <w:szCs w:val="22"/>
          <w:lang w:val="lt-LT"/>
        </w:rPr>
        <w:t xml:space="preserve"> </w:t>
      </w:r>
      <w:r w:rsidR="00A03CB9" w:rsidRPr="00216B78">
        <w:rPr>
          <w:b/>
          <w:bCs/>
          <w:sz w:val="22"/>
          <w:szCs w:val="22"/>
          <w:lang w:val="lt-LT"/>
        </w:rPr>
        <w:t>Europos ekonominės erdvės</w:t>
      </w:r>
      <w:r w:rsidRPr="00216B78">
        <w:rPr>
          <w:b/>
          <w:bCs/>
          <w:sz w:val="22"/>
          <w:szCs w:val="22"/>
          <w:lang w:val="lt-LT"/>
        </w:rPr>
        <w:t xml:space="preserve"> valstybėse narėse </w:t>
      </w:r>
      <w:r w:rsidR="00A03CB9" w:rsidRPr="00216B78">
        <w:rPr>
          <w:b/>
          <w:bCs/>
          <w:sz w:val="22"/>
          <w:szCs w:val="22"/>
          <w:lang w:val="lt-LT"/>
        </w:rPr>
        <w:t xml:space="preserve">ir Jungtinėje Karalystėje (Šiaurės Airijoje) </w:t>
      </w:r>
      <w:r w:rsidRPr="00216B78">
        <w:rPr>
          <w:b/>
          <w:bCs/>
          <w:sz w:val="22"/>
          <w:szCs w:val="22"/>
          <w:lang w:val="lt-LT"/>
        </w:rPr>
        <w:t>registruotas tokiais pavadinimais:</w:t>
      </w:r>
    </w:p>
    <w:p w14:paraId="53A638B0" w14:textId="77777777" w:rsidR="007D4616" w:rsidRPr="00216B78" w:rsidRDefault="007D4616" w:rsidP="00A86931">
      <w:pPr>
        <w:pStyle w:val="Default"/>
        <w:rPr>
          <w:iCs/>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390"/>
      </w:tblGrid>
      <w:tr w:rsidR="00F44205" w:rsidRPr="00216B78" w14:paraId="59101250" w14:textId="77777777" w:rsidTr="007B277D">
        <w:tc>
          <w:tcPr>
            <w:tcW w:w="7479" w:type="dxa"/>
            <w:shd w:val="clear" w:color="auto" w:fill="auto"/>
          </w:tcPr>
          <w:p w14:paraId="2AD99EAA" w14:textId="186300CE" w:rsidR="00F44205" w:rsidRPr="00216B78" w:rsidRDefault="00F44205" w:rsidP="00F44205">
            <w:pPr>
              <w:pStyle w:val="Default"/>
              <w:rPr>
                <w:sz w:val="22"/>
                <w:szCs w:val="22"/>
                <w:lang w:val="lt-LT"/>
              </w:rPr>
            </w:pPr>
            <w:r w:rsidRPr="00216B78">
              <w:rPr>
                <w:color w:val="222222"/>
                <w:sz w:val="22"/>
                <w:szCs w:val="22"/>
                <w:lang w:val="lt-LT"/>
              </w:rPr>
              <w:t xml:space="preserve">Austrija, Belgija, Bulgarija, Kroatija, </w:t>
            </w:r>
            <w:r w:rsidRPr="00216B78">
              <w:rPr>
                <w:sz w:val="22"/>
                <w:szCs w:val="22"/>
                <w:lang w:val="lt-LT"/>
              </w:rPr>
              <w:t>Čekija</w:t>
            </w:r>
            <w:r w:rsidRPr="00216B78">
              <w:rPr>
                <w:color w:val="222222"/>
                <w:sz w:val="22"/>
                <w:szCs w:val="22"/>
                <w:lang w:val="lt-LT"/>
              </w:rPr>
              <w:t xml:space="preserve">, Kipras, Danija, Estija, Suomija, Prancūzija, Vokietija, Vengrija, Islandija, Airija, Italija, Latvija, Liuksemburgas, </w:t>
            </w:r>
            <w:r w:rsidR="0075228B" w:rsidRPr="00216B78">
              <w:rPr>
                <w:color w:val="222222"/>
                <w:sz w:val="22"/>
                <w:szCs w:val="22"/>
                <w:lang w:val="lt-LT"/>
              </w:rPr>
              <w:t xml:space="preserve">Malta, </w:t>
            </w:r>
            <w:r w:rsidRPr="00216B78">
              <w:rPr>
                <w:color w:val="222222"/>
                <w:sz w:val="22"/>
                <w:szCs w:val="22"/>
                <w:lang w:val="lt-LT"/>
              </w:rPr>
              <w:t>Nyderlandai, Norvegija, Lenkija, Portugalija, Rumunija, Slovakija, Ispanija, Švedija, Jungtinė Karalystė</w:t>
            </w:r>
            <w:r w:rsidR="00A03CB9" w:rsidRPr="00216B78">
              <w:rPr>
                <w:color w:val="222222"/>
                <w:sz w:val="22"/>
                <w:szCs w:val="22"/>
                <w:lang w:val="lt-LT"/>
              </w:rPr>
              <w:t xml:space="preserve"> (Šiaurės Airija)</w:t>
            </w:r>
          </w:p>
        </w:tc>
        <w:tc>
          <w:tcPr>
            <w:tcW w:w="1390" w:type="dxa"/>
            <w:shd w:val="clear" w:color="auto" w:fill="auto"/>
          </w:tcPr>
          <w:p w14:paraId="79A8BAB8" w14:textId="77777777" w:rsidR="00F44205" w:rsidRPr="00216B78" w:rsidRDefault="00F44205" w:rsidP="00A86931">
            <w:pPr>
              <w:pStyle w:val="Default"/>
              <w:rPr>
                <w:i/>
                <w:iCs/>
                <w:sz w:val="22"/>
                <w:szCs w:val="22"/>
                <w:lang w:val="lt-LT"/>
              </w:rPr>
            </w:pPr>
            <w:r w:rsidRPr="00216B78">
              <w:rPr>
                <w:sz w:val="22"/>
                <w:szCs w:val="22"/>
                <w:lang w:val="lt-LT"/>
              </w:rPr>
              <w:t>Fibryga</w:t>
            </w:r>
          </w:p>
        </w:tc>
      </w:tr>
      <w:tr w:rsidR="00F44205" w:rsidRPr="00216B78" w14:paraId="7F136C08" w14:textId="77777777" w:rsidTr="007B277D">
        <w:tc>
          <w:tcPr>
            <w:tcW w:w="7479" w:type="dxa"/>
            <w:shd w:val="clear" w:color="auto" w:fill="auto"/>
          </w:tcPr>
          <w:p w14:paraId="589B6F70" w14:textId="77777777" w:rsidR="00F44205" w:rsidRPr="00216B78" w:rsidRDefault="00F44205" w:rsidP="00A86931">
            <w:pPr>
              <w:pStyle w:val="Default"/>
              <w:rPr>
                <w:i/>
                <w:iCs/>
                <w:sz w:val="22"/>
                <w:szCs w:val="22"/>
                <w:lang w:val="lt-LT"/>
              </w:rPr>
            </w:pPr>
            <w:r w:rsidRPr="00216B78">
              <w:rPr>
                <w:sz w:val="22"/>
                <w:szCs w:val="22"/>
                <w:lang w:val="lt-LT"/>
              </w:rPr>
              <w:t>Slovėnija</w:t>
            </w:r>
          </w:p>
        </w:tc>
        <w:tc>
          <w:tcPr>
            <w:tcW w:w="1390" w:type="dxa"/>
            <w:shd w:val="clear" w:color="auto" w:fill="auto"/>
          </w:tcPr>
          <w:p w14:paraId="5E0EF680" w14:textId="77777777" w:rsidR="00F44205" w:rsidRPr="00216B78" w:rsidRDefault="00F44205" w:rsidP="00A86931">
            <w:pPr>
              <w:pStyle w:val="Default"/>
              <w:rPr>
                <w:i/>
                <w:iCs/>
                <w:sz w:val="22"/>
                <w:szCs w:val="22"/>
                <w:lang w:val="lt-LT"/>
              </w:rPr>
            </w:pPr>
            <w:r w:rsidRPr="00216B78">
              <w:rPr>
                <w:sz w:val="22"/>
                <w:szCs w:val="22"/>
                <w:lang w:val="lt-LT"/>
              </w:rPr>
              <w:t>Fibrema</w:t>
            </w:r>
          </w:p>
        </w:tc>
      </w:tr>
      <w:tr w:rsidR="00F44205" w:rsidRPr="00216B78" w14:paraId="61E4C273" w14:textId="77777777" w:rsidTr="007B277D">
        <w:tc>
          <w:tcPr>
            <w:tcW w:w="7479" w:type="dxa"/>
            <w:shd w:val="clear" w:color="auto" w:fill="auto"/>
          </w:tcPr>
          <w:p w14:paraId="27245F73" w14:textId="77777777" w:rsidR="00F44205" w:rsidRPr="00216B78" w:rsidRDefault="00F44205" w:rsidP="00A86931">
            <w:pPr>
              <w:pStyle w:val="Default"/>
              <w:rPr>
                <w:sz w:val="22"/>
                <w:szCs w:val="22"/>
                <w:lang w:val="lt-LT"/>
              </w:rPr>
            </w:pPr>
            <w:r w:rsidRPr="00216B78">
              <w:rPr>
                <w:sz w:val="22"/>
                <w:szCs w:val="22"/>
                <w:lang w:val="lt-LT"/>
              </w:rPr>
              <w:t>Lietuva</w:t>
            </w:r>
          </w:p>
        </w:tc>
        <w:tc>
          <w:tcPr>
            <w:tcW w:w="1390" w:type="dxa"/>
            <w:shd w:val="clear" w:color="auto" w:fill="auto"/>
          </w:tcPr>
          <w:p w14:paraId="396E9206" w14:textId="77777777" w:rsidR="00F44205" w:rsidRPr="00216B78" w:rsidRDefault="00D734DB" w:rsidP="00A86931">
            <w:pPr>
              <w:pStyle w:val="Default"/>
              <w:rPr>
                <w:sz w:val="22"/>
                <w:szCs w:val="22"/>
                <w:lang w:val="lt-LT"/>
              </w:rPr>
            </w:pPr>
            <w:r w:rsidRPr="00216B78">
              <w:rPr>
                <w:color w:val="auto"/>
                <w:sz w:val="22"/>
                <w:szCs w:val="22"/>
                <w:lang w:val="lt-LT"/>
              </w:rPr>
              <w:t>fibryga</w:t>
            </w:r>
          </w:p>
        </w:tc>
      </w:tr>
    </w:tbl>
    <w:p w14:paraId="2004A08D" w14:textId="77777777" w:rsidR="002A2B7D" w:rsidRPr="00216B78" w:rsidRDefault="002A2B7D" w:rsidP="00A86931">
      <w:pPr>
        <w:pStyle w:val="Default"/>
        <w:rPr>
          <w:sz w:val="22"/>
          <w:szCs w:val="22"/>
          <w:lang w:val="lt-LT"/>
        </w:rPr>
      </w:pPr>
    </w:p>
    <w:p w14:paraId="6C9014D7" w14:textId="77777777" w:rsidR="002A2B7D" w:rsidRPr="00216B78" w:rsidRDefault="002A2B7D" w:rsidP="00A86931">
      <w:pPr>
        <w:pStyle w:val="Default"/>
        <w:rPr>
          <w:sz w:val="22"/>
          <w:szCs w:val="22"/>
          <w:lang w:val="lt-LT"/>
        </w:rPr>
      </w:pPr>
    </w:p>
    <w:p w14:paraId="6E7C7137" w14:textId="4A138E34" w:rsidR="002A2B7D" w:rsidRPr="00216B78" w:rsidRDefault="002A2B7D" w:rsidP="00A86931">
      <w:pPr>
        <w:pStyle w:val="Default"/>
        <w:outlineLvl w:val="1"/>
        <w:rPr>
          <w:sz w:val="22"/>
          <w:szCs w:val="22"/>
          <w:lang w:val="lt-LT"/>
        </w:rPr>
      </w:pPr>
      <w:r w:rsidRPr="00216B78">
        <w:rPr>
          <w:b/>
          <w:bCs/>
          <w:sz w:val="22"/>
          <w:szCs w:val="22"/>
          <w:lang w:val="lt-LT"/>
        </w:rPr>
        <w:t xml:space="preserve">Šis pakuotės lapelis paskutinį kartą peržiūrėtas </w:t>
      </w:r>
      <w:r w:rsidR="0096724E">
        <w:rPr>
          <w:b/>
          <w:bCs/>
          <w:sz w:val="22"/>
          <w:szCs w:val="22"/>
          <w:lang w:val="lt-LT"/>
        </w:rPr>
        <w:t>2025-03-</w:t>
      </w:r>
      <w:r w:rsidR="00483076">
        <w:rPr>
          <w:b/>
          <w:bCs/>
          <w:sz w:val="22"/>
          <w:szCs w:val="22"/>
          <w:lang w:val="lt-LT"/>
        </w:rPr>
        <w:t>25</w:t>
      </w:r>
      <w:r w:rsidR="00A741B9">
        <w:rPr>
          <w:b/>
          <w:bCs/>
          <w:sz w:val="22"/>
          <w:szCs w:val="22"/>
          <w:lang w:val="lt-LT"/>
        </w:rPr>
        <w:t>.</w:t>
      </w:r>
    </w:p>
    <w:p w14:paraId="37104796" w14:textId="77777777" w:rsidR="00F44205" w:rsidRPr="00216B78" w:rsidRDefault="00F44205" w:rsidP="00F44205">
      <w:pPr>
        <w:numPr>
          <w:ilvl w:val="12"/>
          <w:numId w:val="0"/>
        </w:numPr>
        <w:ind w:right="424"/>
      </w:pPr>
    </w:p>
    <w:p w14:paraId="06972208" w14:textId="77777777" w:rsidR="00F44205" w:rsidRPr="00216B78" w:rsidRDefault="00F44205" w:rsidP="00F44205">
      <w:pPr>
        <w:numPr>
          <w:ilvl w:val="12"/>
          <w:numId w:val="0"/>
        </w:numPr>
        <w:ind w:right="424"/>
      </w:pPr>
    </w:p>
    <w:p w14:paraId="6F014CE4" w14:textId="77777777" w:rsidR="00F44205" w:rsidRPr="00216B78" w:rsidRDefault="00F44205" w:rsidP="00F44205">
      <w:pPr>
        <w:numPr>
          <w:ilvl w:val="12"/>
          <w:numId w:val="0"/>
        </w:numPr>
        <w:ind w:right="424"/>
      </w:pPr>
      <w:r w:rsidRPr="00216B78">
        <w:lastRenderedPageBreak/>
        <w:t>Išsami informacija apie šį vaistą pateikiama Valstybinės vaistų kontrolės tarnybos prie Lietuvos Respublikos sveikatos apsaugos ministerijos tinklalapyje</w:t>
      </w:r>
      <w:r w:rsidRPr="00216B78">
        <w:rPr>
          <w:i/>
        </w:rPr>
        <w:t xml:space="preserve"> </w:t>
      </w:r>
      <w:hyperlink r:id="rId23" w:history="1">
        <w:r w:rsidRPr="00216B78">
          <w:rPr>
            <w:rStyle w:val="Hipersaitas"/>
            <w:rFonts w:eastAsia="SimSun"/>
          </w:rPr>
          <w:t>http://www.vvkt.lt/</w:t>
        </w:r>
      </w:hyperlink>
      <w:r w:rsidRPr="00216B78">
        <w:t>.</w:t>
      </w:r>
    </w:p>
    <w:p w14:paraId="1FEFCBAE" w14:textId="77777777" w:rsidR="00F44205" w:rsidRPr="00216B78" w:rsidRDefault="00F44205" w:rsidP="00A86931">
      <w:pPr>
        <w:pStyle w:val="Default"/>
        <w:pBdr>
          <w:bottom w:val="single" w:sz="6" w:space="1" w:color="auto"/>
        </w:pBdr>
        <w:rPr>
          <w:color w:val="auto"/>
          <w:sz w:val="22"/>
          <w:szCs w:val="22"/>
          <w:lang w:val="lt-LT"/>
        </w:rPr>
      </w:pPr>
    </w:p>
    <w:p w14:paraId="4D6587A2" w14:textId="77777777" w:rsidR="002A2B7D" w:rsidRPr="00216B78" w:rsidRDefault="002A2B7D" w:rsidP="007B277D"/>
    <w:p w14:paraId="4B113F3F" w14:textId="77777777" w:rsidR="002A2B7D" w:rsidRPr="00216B78" w:rsidRDefault="002A2B7D" w:rsidP="00A86931">
      <w:pPr>
        <w:pStyle w:val="Default"/>
        <w:keepNext/>
        <w:keepLines/>
        <w:outlineLvl w:val="0"/>
        <w:rPr>
          <w:b/>
          <w:bCs/>
          <w:i/>
          <w:iCs/>
          <w:color w:val="auto"/>
          <w:sz w:val="22"/>
          <w:szCs w:val="22"/>
          <w:lang w:val="lt-LT"/>
        </w:rPr>
      </w:pPr>
      <w:r w:rsidRPr="00216B78">
        <w:rPr>
          <w:b/>
          <w:bCs/>
          <w:color w:val="auto"/>
          <w:sz w:val="22"/>
          <w:szCs w:val="22"/>
          <w:lang w:val="lt-LT"/>
        </w:rPr>
        <w:t>Toliau pateikta informacija skirta tik sveikatos priežiūros specialistams.</w:t>
      </w:r>
    </w:p>
    <w:p w14:paraId="6FB43537" w14:textId="77777777" w:rsidR="002A2B7D" w:rsidRPr="00216B78" w:rsidRDefault="002A2B7D" w:rsidP="00A86931">
      <w:pPr>
        <w:pStyle w:val="Default"/>
        <w:keepNext/>
        <w:keepLines/>
        <w:rPr>
          <w:color w:val="auto"/>
          <w:sz w:val="22"/>
          <w:szCs w:val="22"/>
          <w:lang w:val="lt-LT"/>
        </w:rPr>
      </w:pPr>
    </w:p>
    <w:p w14:paraId="6F6A7D4F" w14:textId="77777777" w:rsidR="002A2B7D" w:rsidRPr="00216B78" w:rsidRDefault="002A2B7D" w:rsidP="00A86931">
      <w:pPr>
        <w:pStyle w:val="Default"/>
        <w:keepNext/>
        <w:keepLines/>
        <w:rPr>
          <w:b/>
          <w:bCs/>
          <w:i/>
          <w:iCs/>
          <w:sz w:val="22"/>
          <w:szCs w:val="22"/>
          <w:lang w:val="lt-LT"/>
        </w:rPr>
      </w:pPr>
      <w:r w:rsidRPr="00216B78">
        <w:rPr>
          <w:b/>
          <w:bCs/>
          <w:i/>
          <w:iCs/>
          <w:sz w:val="22"/>
          <w:szCs w:val="22"/>
          <w:lang w:val="lt-LT"/>
        </w:rPr>
        <w:t>Dozavimas</w:t>
      </w:r>
    </w:p>
    <w:p w14:paraId="63562321" w14:textId="77777777" w:rsidR="00684509" w:rsidRPr="00216B78" w:rsidRDefault="00684509" w:rsidP="007B277D">
      <w:pPr>
        <w:keepNext/>
      </w:pPr>
    </w:p>
    <w:p w14:paraId="7A8E8453" w14:textId="77777777" w:rsidR="002A2B7D" w:rsidRPr="00216B78" w:rsidRDefault="002A2B7D" w:rsidP="00A86931">
      <w:pPr>
        <w:pStyle w:val="Default"/>
        <w:rPr>
          <w:color w:val="auto"/>
          <w:sz w:val="22"/>
          <w:szCs w:val="22"/>
          <w:lang w:val="lt-LT"/>
        </w:rPr>
      </w:pPr>
      <w:r w:rsidRPr="00216B78">
        <w:rPr>
          <w:color w:val="auto"/>
          <w:sz w:val="22"/>
          <w:szCs w:val="22"/>
          <w:lang w:val="lt-LT"/>
        </w:rPr>
        <w:t>Pakaitinio gydymo dozavimas ir trukmė priklauso nuo sutrikimo sunkumo, kraujavimo vietos ir laipsnio bei paciento klinikinės būklės.</w:t>
      </w:r>
    </w:p>
    <w:p w14:paraId="48774E1A" w14:textId="77777777" w:rsidR="00EE19A5" w:rsidRPr="00216B78" w:rsidRDefault="00EE19A5" w:rsidP="00A86931">
      <w:pPr>
        <w:pStyle w:val="Default"/>
        <w:rPr>
          <w:color w:val="auto"/>
          <w:sz w:val="22"/>
          <w:szCs w:val="22"/>
          <w:lang w:val="lt-LT"/>
        </w:rPr>
      </w:pPr>
    </w:p>
    <w:p w14:paraId="23FC0F4B" w14:textId="77777777" w:rsidR="002A2B7D" w:rsidRPr="00216B78" w:rsidRDefault="002A2B7D" w:rsidP="00A86931">
      <w:pPr>
        <w:pStyle w:val="Default"/>
        <w:rPr>
          <w:color w:val="auto"/>
          <w:sz w:val="22"/>
          <w:szCs w:val="22"/>
          <w:lang w:val="lt-LT"/>
        </w:rPr>
      </w:pPr>
      <w:r w:rsidRPr="00216B78">
        <w:rPr>
          <w:color w:val="auto"/>
          <w:sz w:val="22"/>
          <w:szCs w:val="22"/>
          <w:lang w:val="lt-LT"/>
        </w:rPr>
        <w:t>Siekiant apskaičiuoti individualias dozes ir vartojamą kiekį bei vartojimo dažnį, (funkcinio) fibrinogeno kiekį reikia nustatyti kiekvienam pacientui individualiai, reguliariai matuojant fibrinogeno koncentraciją plazmoje ir nuolat stebint klinikinę paciento būklę bei kitus taikomus pakaitinio gydymo metodus.</w:t>
      </w:r>
    </w:p>
    <w:p w14:paraId="17E36D8A" w14:textId="77777777" w:rsidR="00EE19A5" w:rsidRPr="00216B78" w:rsidRDefault="00EE19A5" w:rsidP="00A86931">
      <w:pPr>
        <w:pStyle w:val="Default"/>
        <w:rPr>
          <w:color w:val="auto"/>
          <w:sz w:val="22"/>
          <w:szCs w:val="22"/>
          <w:lang w:val="lt-LT"/>
        </w:rPr>
      </w:pPr>
    </w:p>
    <w:p w14:paraId="0AEE10F1" w14:textId="77777777" w:rsidR="002A2B7D" w:rsidRPr="00216B78" w:rsidRDefault="002A2B7D" w:rsidP="00A86931">
      <w:pPr>
        <w:pStyle w:val="Default"/>
        <w:rPr>
          <w:color w:val="auto"/>
          <w:sz w:val="22"/>
          <w:szCs w:val="22"/>
          <w:lang w:val="lt-LT"/>
        </w:rPr>
      </w:pPr>
      <w:r w:rsidRPr="00216B78">
        <w:rPr>
          <w:color w:val="auto"/>
          <w:sz w:val="22"/>
          <w:szCs w:val="22"/>
          <w:lang w:val="lt-LT"/>
        </w:rPr>
        <w:t>Didesnės chirurginės intervencijos atveju labai svarbu tiksliai stebėti pakaitinį gydymą atliekant krešėjimo tyrimus.</w:t>
      </w:r>
    </w:p>
    <w:p w14:paraId="6A0C9DCD" w14:textId="77777777" w:rsidR="002A2B7D" w:rsidRPr="00216B78" w:rsidRDefault="002A2B7D" w:rsidP="00A86931">
      <w:pPr>
        <w:pStyle w:val="Default"/>
        <w:rPr>
          <w:color w:val="auto"/>
          <w:sz w:val="22"/>
          <w:szCs w:val="22"/>
          <w:lang w:val="lt-LT"/>
        </w:rPr>
      </w:pPr>
    </w:p>
    <w:p w14:paraId="010EC0C8" w14:textId="77777777" w:rsidR="002A2B7D" w:rsidRPr="00216B78" w:rsidRDefault="002A2B7D" w:rsidP="00A86931">
      <w:pPr>
        <w:pStyle w:val="Default"/>
        <w:outlineLvl w:val="1"/>
        <w:rPr>
          <w:color w:val="auto"/>
          <w:sz w:val="22"/>
          <w:szCs w:val="22"/>
          <w:u w:val="single"/>
          <w:lang w:val="lt-LT"/>
        </w:rPr>
      </w:pPr>
      <w:r w:rsidRPr="00216B78">
        <w:rPr>
          <w:color w:val="auto"/>
          <w:sz w:val="22"/>
          <w:szCs w:val="22"/>
          <w:u w:val="single"/>
          <w:lang w:val="lt-LT"/>
        </w:rPr>
        <w:t>1. Profilaktika įgimta hipofibrinogenemija arba afibrinogenemija sergantiems pacientams, linkusiems į kraujavimą.</w:t>
      </w:r>
    </w:p>
    <w:p w14:paraId="2E065D13" w14:textId="77777777" w:rsidR="00684509" w:rsidRPr="00216B78" w:rsidRDefault="00684509" w:rsidP="00A86931">
      <w:pPr>
        <w:pStyle w:val="Default"/>
        <w:rPr>
          <w:color w:val="auto"/>
          <w:sz w:val="22"/>
          <w:szCs w:val="22"/>
          <w:lang w:val="lt-LT"/>
        </w:rPr>
      </w:pPr>
    </w:p>
    <w:p w14:paraId="452D6005" w14:textId="77777777" w:rsidR="002A2B7D" w:rsidRPr="00216B78" w:rsidRDefault="002A2B7D" w:rsidP="00A86931">
      <w:pPr>
        <w:pStyle w:val="Default"/>
        <w:rPr>
          <w:color w:val="auto"/>
          <w:sz w:val="22"/>
          <w:szCs w:val="22"/>
          <w:lang w:val="lt-LT"/>
        </w:rPr>
      </w:pPr>
      <w:r w:rsidRPr="00216B78">
        <w:rPr>
          <w:color w:val="auto"/>
          <w:sz w:val="22"/>
          <w:szCs w:val="22"/>
          <w:lang w:val="lt-LT"/>
        </w:rPr>
        <w:t>Siekiant išvengti per didelio kraujavimo chirurginių procedūrų metu, rekomenduojama taikyti profilaktinį gydymą, kad fibrinogeno kiekis būtų padidintas iki 1 g/l ir fibrinogeno kiekis išlaikomas, kol bus užtikrinta hemostazė, bei didesnį už 0,5 g/l kiekį, kol užgis žaizda.</w:t>
      </w:r>
    </w:p>
    <w:p w14:paraId="78C9750B" w14:textId="77777777" w:rsidR="002A2B7D" w:rsidRPr="00216B78" w:rsidRDefault="002A2B7D" w:rsidP="00A86931">
      <w:pPr>
        <w:pStyle w:val="Default"/>
        <w:rPr>
          <w:color w:val="auto"/>
          <w:sz w:val="22"/>
          <w:szCs w:val="22"/>
          <w:lang w:val="lt-LT"/>
        </w:rPr>
      </w:pPr>
      <w:r w:rsidRPr="00216B78">
        <w:rPr>
          <w:color w:val="auto"/>
          <w:sz w:val="22"/>
          <w:szCs w:val="22"/>
          <w:lang w:val="lt-LT"/>
        </w:rPr>
        <w:t>Chirurginės procedūros arba kraujavimo epizodo gydymo atveju dozę reikia apskaičiuoti taip:</w:t>
      </w:r>
    </w:p>
    <w:p w14:paraId="639C2B9E" w14:textId="77777777" w:rsidR="00684509" w:rsidRPr="00216B78" w:rsidRDefault="00684509" w:rsidP="00A86931">
      <w:pPr>
        <w:pStyle w:val="Default"/>
        <w:rPr>
          <w:sz w:val="22"/>
          <w:szCs w:val="22"/>
          <w:lang w:val="lt-LT"/>
        </w:rPr>
      </w:pPr>
    </w:p>
    <w:p w14:paraId="794239B7" w14:textId="77777777" w:rsidR="002A2B7D" w:rsidRPr="00216B78" w:rsidRDefault="002A2B7D" w:rsidP="00A86931">
      <w:pPr>
        <w:pStyle w:val="Default"/>
        <w:rPr>
          <w:sz w:val="22"/>
          <w:szCs w:val="22"/>
          <w:lang w:val="lt-LT"/>
        </w:rPr>
      </w:pPr>
      <w:r w:rsidRPr="00216B78">
        <w:rPr>
          <w:sz w:val="22"/>
          <w:szCs w:val="22"/>
          <w:lang w:val="lt-LT"/>
        </w:rPr>
        <w:t xml:space="preserve">Dozė (mg/kg kūno svorio) = </w:t>
      </w:r>
      <w:r w:rsidRPr="00216B78">
        <w:rPr>
          <w:sz w:val="22"/>
          <w:szCs w:val="22"/>
          <w:u w:val="single"/>
          <w:lang w:val="lt-LT"/>
        </w:rPr>
        <w:t>[Tikslinis kiekis (g/l) - išmatuotas kiekis (g/l)]</w:t>
      </w:r>
    </w:p>
    <w:p w14:paraId="7CAD2234" w14:textId="77777777" w:rsidR="002A2B7D" w:rsidRPr="00216B78" w:rsidRDefault="002A2B7D" w:rsidP="00A86931">
      <w:pPr>
        <w:pStyle w:val="Default"/>
        <w:rPr>
          <w:sz w:val="22"/>
          <w:szCs w:val="22"/>
          <w:lang w:val="lt-LT"/>
        </w:rPr>
      </w:pPr>
      <w:r w:rsidRPr="00216B78">
        <w:rPr>
          <w:sz w:val="22"/>
          <w:szCs w:val="22"/>
          <w:lang w:val="lt-LT"/>
        </w:rPr>
        <w:tab/>
      </w:r>
      <w:r w:rsidRPr="00216B78">
        <w:rPr>
          <w:sz w:val="22"/>
          <w:szCs w:val="22"/>
          <w:lang w:val="lt-LT"/>
        </w:rPr>
        <w:tab/>
      </w:r>
      <w:r w:rsidRPr="00216B78">
        <w:rPr>
          <w:sz w:val="22"/>
          <w:szCs w:val="22"/>
          <w:lang w:val="lt-LT"/>
        </w:rPr>
        <w:tab/>
      </w:r>
      <w:r w:rsidRPr="00216B78">
        <w:rPr>
          <w:sz w:val="22"/>
          <w:szCs w:val="22"/>
          <w:lang w:val="lt-LT"/>
        </w:rPr>
        <w:tab/>
        <w:t xml:space="preserve"> </w:t>
      </w:r>
      <w:r w:rsidR="00A86931" w:rsidRPr="00216B78">
        <w:rPr>
          <w:sz w:val="22"/>
          <w:szCs w:val="22"/>
          <w:lang w:val="lt-LT"/>
        </w:rPr>
        <w:tab/>
      </w:r>
      <w:r w:rsidRPr="00216B78">
        <w:rPr>
          <w:sz w:val="22"/>
          <w:szCs w:val="22"/>
          <w:lang w:val="lt-LT"/>
        </w:rPr>
        <w:t>0,018 (g/l vienam mg/kg kūno svorio)</w:t>
      </w:r>
    </w:p>
    <w:p w14:paraId="1906277E" w14:textId="77777777" w:rsidR="00684509" w:rsidRPr="00216B78" w:rsidRDefault="00684509" w:rsidP="00A86931">
      <w:pPr>
        <w:pStyle w:val="Default"/>
        <w:rPr>
          <w:color w:val="auto"/>
          <w:sz w:val="22"/>
          <w:szCs w:val="22"/>
          <w:lang w:val="lt-LT"/>
        </w:rPr>
      </w:pPr>
    </w:p>
    <w:p w14:paraId="1C25D754" w14:textId="77777777" w:rsidR="002A2B7D" w:rsidRPr="00216B78" w:rsidRDefault="002A2B7D" w:rsidP="00A86931">
      <w:pPr>
        <w:pStyle w:val="Default"/>
        <w:rPr>
          <w:color w:val="auto"/>
          <w:sz w:val="22"/>
          <w:szCs w:val="22"/>
          <w:lang w:val="lt-LT"/>
        </w:rPr>
      </w:pPr>
      <w:r w:rsidRPr="00216B78">
        <w:rPr>
          <w:color w:val="auto"/>
          <w:sz w:val="22"/>
          <w:szCs w:val="22"/>
          <w:lang w:val="lt-LT"/>
        </w:rPr>
        <w:t>Tolesnį dozavimą (injekcijų dozes ir dažnį) reikia pritaikyti pagal paciento klinikinę būklę ir laboratorinių tyrimų rezultatus.</w:t>
      </w:r>
    </w:p>
    <w:p w14:paraId="72C28116" w14:textId="77777777" w:rsidR="00684509" w:rsidRPr="00216B78" w:rsidRDefault="00684509" w:rsidP="00A86931">
      <w:pPr>
        <w:pStyle w:val="Default"/>
        <w:rPr>
          <w:color w:val="auto"/>
          <w:sz w:val="22"/>
          <w:szCs w:val="22"/>
          <w:lang w:val="lt-LT"/>
        </w:rPr>
      </w:pPr>
    </w:p>
    <w:p w14:paraId="2ADF2573" w14:textId="77777777" w:rsidR="002A2B7D" w:rsidRPr="00216B78" w:rsidRDefault="002A2B7D" w:rsidP="00A86931">
      <w:pPr>
        <w:pStyle w:val="Default"/>
        <w:rPr>
          <w:color w:val="auto"/>
          <w:sz w:val="22"/>
          <w:szCs w:val="22"/>
          <w:lang w:val="lt-LT"/>
        </w:rPr>
      </w:pPr>
      <w:r w:rsidRPr="00216B78">
        <w:rPr>
          <w:color w:val="auto"/>
          <w:sz w:val="22"/>
          <w:szCs w:val="22"/>
          <w:lang w:val="lt-LT"/>
        </w:rPr>
        <w:t>Fibrinogeno biologini</w:t>
      </w:r>
      <w:r w:rsidR="00933048" w:rsidRPr="00216B78">
        <w:rPr>
          <w:color w:val="auto"/>
          <w:sz w:val="22"/>
          <w:szCs w:val="22"/>
          <w:lang w:val="lt-LT"/>
        </w:rPr>
        <w:t xml:space="preserve">s pusinės eliminacijos laikas </w:t>
      </w:r>
      <w:r w:rsidRPr="00216B78">
        <w:rPr>
          <w:color w:val="auto"/>
          <w:sz w:val="22"/>
          <w:szCs w:val="22"/>
          <w:lang w:val="lt-LT"/>
        </w:rPr>
        <w:t>yra 3</w:t>
      </w:r>
      <w:r w:rsidRPr="00216B78">
        <w:rPr>
          <w:color w:val="auto"/>
          <w:sz w:val="22"/>
          <w:szCs w:val="22"/>
          <w:lang w:val="lt-LT"/>
        </w:rPr>
        <w:noBreakHyphen/>
        <w:t>4 dienos. Todėl, jei nevartojama, kartotinio gydymo žmogaus fibrinogenu paprastai nereikia. Atsižvelgiant į kaupimąsi, kuris vyksta kartotinio vartojimo profilaktikos tikslais atveju, dozę ir dažnį reikia nustatyti pagal konkrečiam pacientui gydytojo numatytus gydymo tikslus.</w:t>
      </w:r>
    </w:p>
    <w:p w14:paraId="4DAC7B60" w14:textId="77777777" w:rsidR="00684509" w:rsidRPr="00216B78" w:rsidRDefault="00684509" w:rsidP="00A86931">
      <w:pPr>
        <w:pStyle w:val="Default"/>
        <w:rPr>
          <w:b/>
          <w:bCs/>
          <w:color w:val="auto"/>
          <w:sz w:val="22"/>
          <w:szCs w:val="22"/>
          <w:lang w:val="lt-LT"/>
        </w:rPr>
      </w:pPr>
    </w:p>
    <w:p w14:paraId="6D060077" w14:textId="77777777" w:rsidR="002A2B7D" w:rsidRPr="00216B78" w:rsidRDefault="00F60200" w:rsidP="00A86931">
      <w:pPr>
        <w:pStyle w:val="Default"/>
        <w:rPr>
          <w:i/>
          <w:iCs/>
          <w:color w:val="auto"/>
          <w:sz w:val="22"/>
          <w:szCs w:val="22"/>
          <w:lang w:val="lt-LT"/>
        </w:rPr>
      </w:pPr>
      <w:r w:rsidRPr="00216B78">
        <w:rPr>
          <w:i/>
          <w:iCs/>
          <w:color w:val="auto"/>
          <w:sz w:val="22"/>
          <w:szCs w:val="22"/>
          <w:lang w:val="lt-LT"/>
        </w:rPr>
        <w:t>Vaikų populiacija</w:t>
      </w:r>
    </w:p>
    <w:p w14:paraId="1A4CD955" w14:textId="77777777" w:rsidR="00684509" w:rsidRPr="00216B78" w:rsidRDefault="00684509" w:rsidP="00A86931">
      <w:pPr>
        <w:pStyle w:val="Default"/>
        <w:rPr>
          <w:color w:val="auto"/>
          <w:sz w:val="22"/>
          <w:szCs w:val="22"/>
          <w:lang w:val="lt-LT"/>
        </w:rPr>
      </w:pPr>
    </w:p>
    <w:p w14:paraId="113A4E59" w14:textId="77777777" w:rsidR="00F60200" w:rsidRPr="00216B78" w:rsidRDefault="00F60200" w:rsidP="00F60200">
      <w:pPr>
        <w:pStyle w:val="Default"/>
        <w:rPr>
          <w:color w:val="auto"/>
          <w:sz w:val="22"/>
          <w:szCs w:val="22"/>
          <w:lang w:val="lt-LT"/>
        </w:rPr>
      </w:pPr>
      <w:r w:rsidRPr="00216B78">
        <w:rPr>
          <w:color w:val="auto"/>
          <w:sz w:val="22"/>
          <w:szCs w:val="22"/>
          <w:lang w:val="lt-LT"/>
        </w:rPr>
        <w:t>Chirurginės procedūros arba kraujavimo epizodo gydymo atveju dozė paaugliams apskaičiuojama pagal aukščiau aprašytą formulę suaugusiesiems, o dozę vaikams, jaunesniems nei 12 metų reikia apskaičiuoti taip:</w:t>
      </w:r>
    </w:p>
    <w:p w14:paraId="04DC7637" w14:textId="77777777" w:rsidR="00F60200" w:rsidRPr="00216B78" w:rsidRDefault="00F60200" w:rsidP="00F60200">
      <w:pPr>
        <w:pStyle w:val="Default"/>
        <w:rPr>
          <w:color w:val="auto"/>
          <w:sz w:val="22"/>
          <w:szCs w:val="22"/>
          <w:lang w:val="lt-LT"/>
        </w:rPr>
      </w:pPr>
    </w:p>
    <w:p w14:paraId="18AFD335" w14:textId="77777777" w:rsidR="00F60200" w:rsidRPr="00216B78" w:rsidRDefault="00F60200" w:rsidP="00F60200">
      <w:pPr>
        <w:pStyle w:val="Default"/>
        <w:rPr>
          <w:sz w:val="22"/>
          <w:szCs w:val="22"/>
          <w:lang w:val="lt-LT"/>
        </w:rPr>
      </w:pPr>
      <w:r w:rsidRPr="00216B78">
        <w:rPr>
          <w:sz w:val="22"/>
          <w:szCs w:val="22"/>
          <w:lang w:val="lt-LT"/>
        </w:rPr>
        <w:t xml:space="preserve">Dozė (mg/kg kūno svorio) = </w:t>
      </w:r>
      <w:r w:rsidRPr="00216B78">
        <w:rPr>
          <w:sz w:val="22"/>
          <w:szCs w:val="22"/>
          <w:u w:val="single"/>
          <w:lang w:val="lt-LT"/>
        </w:rPr>
        <w:t>[Tikslinis kiekis (g/l) - išmatuotas kiekis (g/l)]</w:t>
      </w:r>
    </w:p>
    <w:p w14:paraId="2C4646B6" w14:textId="77777777" w:rsidR="00F60200" w:rsidRPr="00216B78" w:rsidRDefault="00F60200" w:rsidP="00F60200">
      <w:pPr>
        <w:pStyle w:val="Default"/>
        <w:rPr>
          <w:sz w:val="22"/>
          <w:szCs w:val="22"/>
          <w:lang w:val="lt-LT"/>
        </w:rPr>
      </w:pPr>
      <w:r w:rsidRPr="00216B78">
        <w:rPr>
          <w:sz w:val="22"/>
          <w:szCs w:val="22"/>
          <w:lang w:val="lt-LT"/>
        </w:rPr>
        <w:tab/>
      </w:r>
      <w:r w:rsidRPr="00216B78">
        <w:rPr>
          <w:sz w:val="22"/>
          <w:szCs w:val="22"/>
          <w:lang w:val="lt-LT"/>
        </w:rPr>
        <w:tab/>
      </w:r>
      <w:r w:rsidRPr="00216B78">
        <w:rPr>
          <w:sz w:val="22"/>
          <w:szCs w:val="22"/>
          <w:lang w:val="lt-LT"/>
        </w:rPr>
        <w:tab/>
      </w:r>
      <w:r w:rsidRPr="00216B78">
        <w:rPr>
          <w:sz w:val="22"/>
          <w:szCs w:val="22"/>
          <w:lang w:val="lt-LT"/>
        </w:rPr>
        <w:tab/>
        <w:t xml:space="preserve">         0,014 (g/l vienam mg/kg kūno svorio)</w:t>
      </w:r>
    </w:p>
    <w:p w14:paraId="1F137F46" w14:textId="77777777" w:rsidR="00F60200" w:rsidRPr="00216B78" w:rsidRDefault="00F60200" w:rsidP="00F60200">
      <w:pPr>
        <w:pStyle w:val="Default"/>
        <w:rPr>
          <w:color w:val="auto"/>
          <w:sz w:val="22"/>
          <w:szCs w:val="22"/>
          <w:lang w:val="lt-LT"/>
        </w:rPr>
      </w:pPr>
    </w:p>
    <w:p w14:paraId="4A065B06" w14:textId="77777777" w:rsidR="00F60200" w:rsidRPr="00216B78" w:rsidRDefault="00F60200" w:rsidP="00F60200">
      <w:pPr>
        <w:pStyle w:val="Default"/>
        <w:rPr>
          <w:color w:val="auto"/>
          <w:sz w:val="22"/>
          <w:szCs w:val="22"/>
          <w:lang w:val="lt-LT"/>
        </w:rPr>
      </w:pPr>
      <w:r w:rsidRPr="00216B78">
        <w:rPr>
          <w:color w:val="auto"/>
          <w:sz w:val="22"/>
          <w:szCs w:val="22"/>
          <w:lang w:val="lt-LT"/>
        </w:rPr>
        <w:t>Tolesnį dozavimą reikia pritaikyti pagal paciento klinikinę būklę ir laboratorinių tyrimų rezultatus.</w:t>
      </w:r>
    </w:p>
    <w:p w14:paraId="70DED0AA" w14:textId="77777777" w:rsidR="00684509" w:rsidRPr="00216B78" w:rsidRDefault="00684509" w:rsidP="007B277D"/>
    <w:p w14:paraId="2EF801A5" w14:textId="77777777" w:rsidR="002A2B7D" w:rsidRPr="00216B78" w:rsidRDefault="002A2B7D" w:rsidP="007B277D">
      <w:pPr>
        <w:pStyle w:val="Default"/>
        <w:keepNext/>
        <w:rPr>
          <w:i/>
          <w:iCs/>
          <w:color w:val="auto"/>
          <w:sz w:val="22"/>
          <w:szCs w:val="22"/>
          <w:lang w:val="lt-LT"/>
        </w:rPr>
      </w:pPr>
      <w:r w:rsidRPr="00216B78">
        <w:rPr>
          <w:i/>
          <w:iCs/>
          <w:color w:val="auto"/>
          <w:sz w:val="22"/>
          <w:szCs w:val="22"/>
          <w:lang w:val="lt-LT"/>
        </w:rPr>
        <w:t>Senyvi pacientai</w:t>
      </w:r>
    </w:p>
    <w:p w14:paraId="7B63E264" w14:textId="77777777" w:rsidR="00684509" w:rsidRPr="00216B78" w:rsidRDefault="00684509" w:rsidP="007B277D">
      <w:pPr>
        <w:pStyle w:val="Default"/>
        <w:keepNext/>
        <w:rPr>
          <w:color w:val="auto"/>
          <w:sz w:val="22"/>
          <w:szCs w:val="22"/>
          <w:lang w:val="lt-LT"/>
        </w:rPr>
      </w:pPr>
    </w:p>
    <w:p w14:paraId="41F11329" w14:textId="77777777" w:rsidR="002A2B7D" w:rsidRPr="00216B78" w:rsidRDefault="002A2B7D" w:rsidP="00A86931">
      <w:pPr>
        <w:pStyle w:val="Default"/>
        <w:rPr>
          <w:color w:val="auto"/>
          <w:sz w:val="22"/>
          <w:szCs w:val="22"/>
          <w:lang w:val="lt-LT"/>
        </w:rPr>
      </w:pPr>
      <w:r w:rsidRPr="00216B78">
        <w:rPr>
          <w:color w:val="auto"/>
          <w:sz w:val="22"/>
          <w:szCs w:val="22"/>
          <w:lang w:val="lt-LT"/>
        </w:rPr>
        <w:t xml:space="preserve">Į </w:t>
      </w:r>
      <w:r w:rsidR="00D734DB" w:rsidRPr="00216B78">
        <w:rPr>
          <w:color w:val="auto"/>
          <w:sz w:val="22"/>
          <w:szCs w:val="22"/>
          <w:lang w:val="lt-LT"/>
        </w:rPr>
        <w:t>fibryga</w:t>
      </w:r>
      <w:r w:rsidR="00DF40D6" w:rsidRPr="00216B78">
        <w:rPr>
          <w:color w:val="auto"/>
          <w:sz w:val="22"/>
          <w:szCs w:val="22"/>
          <w:lang w:val="lt-LT"/>
        </w:rPr>
        <w:t xml:space="preserve"> </w:t>
      </w:r>
      <w:r w:rsidRPr="00216B78">
        <w:rPr>
          <w:color w:val="auto"/>
          <w:sz w:val="22"/>
          <w:szCs w:val="22"/>
          <w:lang w:val="lt-LT"/>
        </w:rPr>
        <w:t>klinikinius tyrimus nebuvo įtraukti 65 metų ir vyresni pacientai, todėl nėra patikimų duomenų, ar jie reaguoja kitaip nei jaunesni pacientai.</w:t>
      </w:r>
    </w:p>
    <w:p w14:paraId="5878D70C" w14:textId="77777777" w:rsidR="002A2B7D" w:rsidRPr="00216B78" w:rsidRDefault="002A2B7D" w:rsidP="00A86931">
      <w:pPr>
        <w:pStyle w:val="Default"/>
        <w:rPr>
          <w:color w:val="auto"/>
          <w:sz w:val="22"/>
          <w:szCs w:val="22"/>
          <w:lang w:val="lt-LT"/>
        </w:rPr>
      </w:pPr>
    </w:p>
    <w:p w14:paraId="2EDEC851" w14:textId="77777777" w:rsidR="002A2B7D" w:rsidRPr="00216B78" w:rsidRDefault="002A2B7D" w:rsidP="00A86931">
      <w:pPr>
        <w:pStyle w:val="Default"/>
        <w:outlineLvl w:val="1"/>
        <w:rPr>
          <w:color w:val="auto"/>
          <w:sz w:val="22"/>
          <w:szCs w:val="22"/>
          <w:u w:val="single"/>
          <w:lang w:val="lt-LT"/>
        </w:rPr>
      </w:pPr>
      <w:r w:rsidRPr="00216B78">
        <w:rPr>
          <w:color w:val="auto"/>
          <w:sz w:val="22"/>
          <w:szCs w:val="22"/>
          <w:u w:val="single"/>
          <w:lang w:val="lt-LT"/>
        </w:rPr>
        <w:t>2. Kraujavimo gydymas</w:t>
      </w:r>
    </w:p>
    <w:p w14:paraId="33B7A6EA" w14:textId="77777777" w:rsidR="00684509" w:rsidRPr="00216B78" w:rsidRDefault="00684509" w:rsidP="00A86931">
      <w:pPr>
        <w:pStyle w:val="Default"/>
        <w:outlineLvl w:val="1"/>
        <w:rPr>
          <w:color w:val="auto"/>
          <w:sz w:val="22"/>
          <w:szCs w:val="22"/>
          <w:u w:val="single"/>
          <w:lang w:val="lt-LT"/>
        </w:rPr>
      </w:pPr>
    </w:p>
    <w:p w14:paraId="278B3088" w14:textId="77777777" w:rsidR="002A2B7D" w:rsidRPr="00216B78" w:rsidRDefault="002A2B7D" w:rsidP="00A86931">
      <w:pPr>
        <w:pStyle w:val="ATextBericht"/>
        <w:spacing w:before="0" w:after="0"/>
        <w:jc w:val="left"/>
        <w:rPr>
          <w:b/>
          <w:sz w:val="22"/>
          <w:szCs w:val="22"/>
          <w:lang w:val="lt-LT"/>
        </w:rPr>
      </w:pPr>
      <w:r w:rsidRPr="00216B78">
        <w:rPr>
          <w:b/>
          <w:bCs/>
          <w:sz w:val="22"/>
          <w:szCs w:val="22"/>
          <w:lang w:val="lt-LT"/>
        </w:rPr>
        <w:t>Kraujavimas pacientams, sergantiems įgimta hipofibrinogenemija arba afibrinogenemija</w:t>
      </w:r>
    </w:p>
    <w:p w14:paraId="21D19CDC" w14:textId="77777777" w:rsidR="002A2B7D" w:rsidRPr="00216B78" w:rsidRDefault="002A2B7D" w:rsidP="00A86931">
      <w:pPr>
        <w:autoSpaceDE w:val="0"/>
        <w:autoSpaceDN w:val="0"/>
        <w:adjustRightInd w:val="0"/>
        <w:rPr>
          <w:color w:val="000000"/>
          <w:lang w:eastAsia="de-CH"/>
        </w:rPr>
      </w:pPr>
      <w:r w:rsidRPr="00216B78">
        <w:rPr>
          <w:color w:val="000000"/>
          <w:lang w:eastAsia="de-CH"/>
        </w:rPr>
        <w:lastRenderedPageBreak/>
        <w:t>Kraujavim</w:t>
      </w:r>
      <w:r w:rsidR="00F60200" w:rsidRPr="00216B78">
        <w:rPr>
          <w:color w:val="000000"/>
          <w:lang w:eastAsia="de-CH"/>
        </w:rPr>
        <w:t>o epizodus</w:t>
      </w:r>
      <w:r w:rsidRPr="00216B78">
        <w:rPr>
          <w:color w:val="000000"/>
          <w:lang w:eastAsia="de-CH"/>
        </w:rPr>
        <w:t xml:space="preserve"> reikia gydyti</w:t>
      </w:r>
      <w:r w:rsidR="005B002B" w:rsidRPr="00216B78">
        <w:t xml:space="preserve"> remiantis aukščiau aprašytomis atitinkamomis formulėmis suaugusiesiems ir (arba) paaugliams ir vaikams,</w:t>
      </w:r>
      <w:r w:rsidRPr="00216B78">
        <w:rPr>
          <w:color w:val="000000"/>
          <w:lang w:eastAsia="de-CH"/>
        </w:rPr>
        <w:t xml:space="preserve"> kad būtų pasiekta rekomenduojama tikslinė 1 g/l fibrinogeno koncentracija plazmoje. Šią koncentraciją reikia išlaikyti, kol bus užtikrinta hemostazė.</w:t>
      </w:r>
    </w:p>
    <w:p w14:paraId="017B7A65" w14:textId="77777777" w:rsidR="00684509" w:rsidRPr="00216B78" w:rsidRDefault="00684509" w:rsidP="007B277D"/>
    <w:p w14:paraId="79131954" w14:textId="77777777" w:rsidR="002A2B7D" w:rsidRPr="00216B78" w:rsidRDefault="002A2B7D" w:rsidP="00A86931">
      <w:pPr>
        <w:pStyle w:val="ATextBericht"/>
        <w:keepNext/>
        <w:spacing w:before="0" w:after="0"/>
        <w:jc w:val="left"/>
        <w:rPr>
          <w:b/>
          <w:sz w:val="22"/>
          <w:szCs w:val="22"/>
          <w:lang w:val="lt-LT"/>
        </w:rPr>
      </w:pPr>
      <w:r w:rsidRPr="00216B78">
        <w:rPr>
          <w:b/>
          <w:bCs/>
          <w:sz w:val="22"/>
          <w:szCs w:val="22"/>
          <w:lang w:val="lt-LT"/>
        </w:rPr>
        <w:t>Kraujavimas pacientams, sergantiems įgyta fibrinogeno stoka</w:t>
      </w:r>
    </w:p>
    <w:p w14:paraId="6CBFA4E6" w14:textId="77777777" w:rsidR="00684509" w:rsidRPr="00216B78" w:rsidRDefault="00684509" w:rsidP="00A86931">
      <w:pPr>
        <w:keepNext/>
        <w:autoSpaceDE w:val="0"/>
        <w:autoSpaceDN w:val="0"/>
        <w:adjustRightInd w:val="0"/>
        <w:rPr>
          <w:color w:val="000000"/>
          <w:lang w:eastAsia="de-CH"/>
        </w:rPr>
      </w:pPr>
    </w:p>
    <w:p w14:paraId="0F25FAD4" w14:textId="77777777" w:rsidR="002A2B7D" w:rsidRPr="00216B78" w:rsidRDefault="002A2B7D" w:rsidP="00A86931">
      <w:pPr>
        <w:keepNext/>
        <w:autoSpaceDE w:val="0"/>
        <w:autoSpaceDN w:val="0"/>
        <w:adjustRightInd w:val="0"/>
        <w:rPr>
          <w:i/>
          <w:iCs/>
          <w:color w:val="000000"/>
          <w:lang w:eastAsia="de-CH"/>
        </w:rPr>
      </w:pPr>
      <w:r w:rsidRPr="00216B78">
        <w:rPr>
          <w:i/>
          <w:iCs/>
          <w:color w:val="000000"/>
          <w:lang w:eastAsia="de-CH"/>
        </w:rPr>
        <w:t>Suaugusieji</w:t>
      </w:r>
    </w:p>
    <w:p w14:paraId="3F144074" w14:textId="77777777" w:rsidR="00684509" w:rsidRPr="00216B78" w:rsidRDefault="00684509" w:rsidP="00A86931">
      <w:pPr>
        <w:autoSpaceDE w:val="0"/>
        <w:autoSpaceDN w:val="0"/>
        <w:adjustRightInd w:val="0"/>
        <w:rPr>
          <w:color w:val="000000"/>
          <w:lang w:eastAsia="de-CH"/>
        </w:rPr>
      </w:pPr>
    </w:p>
    <w:p w14:paraId="06F966C7" w14:textId="77777777" w:rsidR="002A2B7D" w:rsidRPr="00216B78" w:rsidRDefault="002A2B7D" w:rsidP="00A86931">
      <w:pPr>
        <w:autoSpaceDE w:val="0"/>
        <w:autoSpaceDN w:val="0"/>
        <w:adjustRightInd w:val="0"/>
        <w:rPr>
          <w:color w:val="000000"/>
          <w:lang w:eastAsia="de-CH"/>
        </w:rPr>
      </w:pPr>
      <w:r w:rsidRPr="00216B78">
        <w:rPr>
          <w:color w:val="000000"/>
          <w:lang w:eastAsia="de-CH"/>
        </w:rPr>
        <w:t>Paprastai iš pradžių skiriama 1</w:t>
      </w:r>
      <w:r w:rsidR="00080514" w:rsidRPr="00216B78">
        <w:rPr>
          <w:color w:val="000000"/>
          <w:lang w:eastAsia="de-CH"/>
        </w:rPr>
        <w:t> – </w:t>
      </w:r>
      <w:r w:rsidRPr="00216B78">
        <w:rPr>
          <w:color w:val="000000"/>
          <w:lang w:eastAsia="de-CH"/>
        </w:rPr>
        <w:t>2 g, po to skiriamos infuzijos pagal poreikį. Sunkaus kraujavimo, pvz., didelės apimties operacijos, atveju gali reikėti didesnių fibrinogeno kiekių (4</w:t>
      </w:r>
      <w:r w:rsidR="00080514" w:rsidRPr="00216B78">
        <w:rPr>
          <w:color w:val="000000"/>
          <w:lang w:eastAsia="de-CH"/>
        </w:rPr>
        <w:t> – </w:t>
      </w:r>
      <w:r w:rsidRPr="00216B78">
        <w:rPr>
          <w:color w:val="000000"/>
          <w:lang w:eastAsia="de-CH"/>
        </w:rPr>
        <w:t>8 g).</w:t>
      </w:r>
    </w:p>
    <w:p w14:paraId="28E8A275" w14:textId="77777777" w:rsidR="00684509" w:rsidRPr="00216B78" w:rsidRDefault="00684509" w:rsidP="00A86931">
      <w:pPr>
        <w:autoSpaceDE w:val="0"/>
        <w:autoSpaceDN w:val="0"/>
        <w:adjustRightInd w:val="0"/>
        <w:rPr>
          <w:color w:val="000000"/>
          <w:lang w:eastAsia="de-CH"/>
        </w:rPr>
      </w:pPr>
    </w:p>
    <w:p w14:paraId="7FAD24E3" w14:textId="77777777" w:rsidR="002A2B7D" w:rsidRPr="00216B78" w:rsidRDefault="002A2B7D" w:rsidP="00A86931">
      <w:pPr>
        <w:autoSpaceDE w:val="0"/>
        <w:autoSpaceDN w:val="0"/>
        <w:adjustRightInd w:val="0"/>
        <w:rPr>
          <w:i/>
          <w:iCs/>
          <w:color w:val="000000"/>
          <w:lang w:eastAsia="de-CH"/>
        </w:rPr>
      </w:pPr>
      <w:r w:rsidRPr="00216B78">
        <w:rPr>
          <w:i/>
          <w:iCs/>
          <w:color w:val="000000"/>
          <w:lang w:eastAsia="de-CH"/>
        </w:rPr>
        <w:t>Vaik</w:t>
      </w:r>
      <w:r w:rsidR="005B002B" w:rsidRPr="00216B78">
        <w:rPr>
          <w:i/>
          <w:iCs/>
          <w:color w:val="000000"/>
          <w:lang w:eastAsia="de-CH"/>
        </w:rPr>
        <w:t>ų populiacija</w:t>
      </w:r>
    </w:p>
    <w:p w14:paraId="306D161F" w14:textId="77777777" w:rsidR="00684509" w:rsidRPr="00216B78" w:rsidRDefault="00684509" w:rsidP="00A86931">
      <w:pPr>
        <w:autoSpaceDE w:val="0"/>
        <w:autoSpaceDN w:val="0"/>
        <w:adjustRightInd w:val="0"/>
        <w:rPr>
          <w:color w:val="000000"/>
          <w:lang w:eastAsia="de-CH"/>
        </w:rPr>
      </w:pPr>
    </w:p>
    <w:p w14:paraId="63F66E43" w14:textId="77777777" w:rsidR="002A2B7D" w:rsidRPr="00216B78" w:rsidRDefault="002A2B7D" w:rsidP="00A86931">
      <w:pPr>
        <w:autoSpaceDE w:val="0"/>
        <w:autoSpaceDN w:val="0"/>
        <w:adjustRightInd w:val="0"/>
        <w:rPr>
          <w:color w:val="000000"/>
          <w:lang w:eastAsia="de-CH"/>
        </w:rPr>
      </w:pPr>
      <w:r w:rsidRPr="00216B78">
        <w:rPr>
          <w:color w:val="000000"/>
          <w:lang w:eastAsia="de-CH"/>
        </w:rPr>
        <w:t>Dozę galima nustatyti pagal kūno svorį ir klinikinį poreikį, tačiau paprastai skiriama 20</w:t>
      </w:r>
      <w:r w:rsidR="00080514" w:rsidRPr="00216B78">
        <w:rPr>
          <w:color w:val="000000"/>
          <w:lang w:eastAsia="de-CH"/>
        </w:rPr>
        <w:t> – </w:t>
      </w:r>
      <w:r w:rsidRPr="00216B78">
        <w:rPr>
          <w:color w:val="000000"/>
          <w:lang w:eastAsia="de-CH"/>
        </w:rPr>
        <w:t>30 mg/kg dozė.</w:t>
      </w:r>
    </w:p>
    <w:p w14:paraId="7FF0F9B8" w14:textId="77777777" w:rsidR="002A2B7D" w:rsidRPr="00216B78" w:rsidRDefault="002A2B7D" w:rsidP="00A86931">
      <w:pPr>
        <w:pStyle w:val="Default"/>
        <w:rPr>
          <w:color w:val="auto"/>
          <w:sz w:val="22"/>
          <w:szCs w:val="22"/>
          <w:lang w:val="lt-LT"/>
        </w:rPr>
      </w:pPr>
    </w:p>
    <w:p w14:paraId="5AA911EF" w14:textId="77777777" w:rsidR="005B002B" w:rsidRPr="00216B78" w:rsidRDefault="005B002B" w:rsidP="00A86931">
      <w:pPr>
        <w:pStyle w:val="Default"/>
        <w:rPr>
          <w:b/>
          <w:bCs/>
          <w:color w:val="auto"/>
          <w:sz w:val="22"/>
          <w:szCs w:val="22"/>
          <w:lang w:val="lt-LT"/>
        </w:rPr>
      </w:pPr>
      <w:r w:rsidRPr="00216B78">
        <w:rPr>
          <w:b/>
          <w:bCs/>
          <w:color w:val="auto"/>
          <w:sz w:val="22"/>
          <w:szCs w:val="22"/>
          <w:lang w:val="lt-LT"/>
        </w:rPr>
        <w:t>Ruošimo ir vartojimo instrukcijos</w:t>
      </w:r>
    </w:p>
    <w:p w14:paraId="2321F50A" w14:textId="77777777" w:rsidR="00684509" w:rsidRPr="00216B78" w:rsidRDefault="00684509" w:rsidP="00A86931"/>
    <w:p w14:paraId="163C0CD0" w14:textId="77777777" w:rsidR="002E14B2" w:rsidRPr="002458C0" w:rsidRDefault="002E14B2" w:rsidP="00FE53A3">
      <w:pPr>
        <w:pStyle w:val="Antrat4"/>
        <w:rPr>
          <w:b w:val="0"/>
          <w:i w:val="0"/>
        </w:rPr>
      </w:pPr>
      <w:r w:rsidRPr="00FE53A3">
        <w:t>Bendros instrukcijos</w:t>
      </w:r>
    </w:p>
    <w:p w14:paraId="18C4442F" w14:textId="77777777" w:rsidR="002E14B2" w:rsidRPr="00216B78" w:rsidRDefault="002E14B2" w:rsidP="00FE53A3">
      <w:pPr>
        <w:keepNext/>
      </w:pPr>
    </w:p>
    <w:p w14:paraId="3C787087" w14:textId="77777777" w:rsidR="002E14B2" w:rsidRPr="00C67268" w:rsidRDefault="002E14B2" w:rsidP="00FE53A3">
      <w:pPr>
        <w:pStyle w:val="Sraopastraipa"/>
        <w:numPr>
          <w:ilvl w:val="0"/>
          <w:numId w:val="37"/>
        </w:numPr>
      </w:pPr>
      <w:r w:rsidRPr="00C67268">
        <w:t>Paruoštas tirpalas turi būti beveik bespalvis ir šiek tiek opalinis. Negalima vartoti tirpalų, kurie yra drumsti arba su nuosėdomis.</w:t>
      </w:r>
    </w:p>
    <w:p w14:paraId="7381C062" w14:textId="77777777" w:rsidR="002E14B2" w:rsidRPr="00977646" w:rsidRDefault="002E14B2" w:rsidP="002E14B2">
      <w:pPr>
        <w:pStyle w:val="Sraopastraipa"/>
        <w:numPr>
          <w:ilvl w:val="0"/>
          <w:numId w:val="37"/>
        </w:numPr>
      </w:pPr>
      <w:r w:rsidRPr="00977646">
        <w:t>fibryga skirtas tik vienkartiniam vartojimui. Negalima pakartotinai naudoti jokių komponentų.</w:t>
      </w:r>
    </w:p>
    <w:p w14:paraId="53BE6B88" w14:textId="77777777" w:rsidR="002E14B2" w:rsidRPr="00977646" w:rsidRDefault="002E14B2" w:rsidP="002E14B2">
      <w:pPr>
        <w:pStyle w:val="Sraopastraipa"/>
        <w:numPr>
          <w:ilvl w:val="0"/>
          <w:numId w:val="37"/>
        </w:numPr>
      </w:pPr>
      <w:r w:rsidRPr="00977646">
        <w:t>Mikrobiologiniu požiūriu paruoštą tirpalą reikia vartoti nedelsiant. Paruošto tirpalo cheminis ir fizinis stabilumas išlieka 24 valandas, laikant kambario temperatūroje (ne aukštesnėje kaip 25 °C). Paruošto fibryga tirpalo negalima užšaldyti arba laikyti šaldytuve.</w:t>
      </w:r>
    </w:p>
    <w:p w14:paraId="4B302B07" w14:textId="77777777" w:rsidR="002E14B2" w:rsidRPr="00C67268" w:rsidRDefault="002E14B2" w:rsidP="00FE53A3"/>
    <w:p w14:paraId="11EF9798" w14:textId="77777777" w:rsidR="002E14B2" w:rsidRPr="002458C0" w:rsidRDefault="002E14B2" w:rsidP="00FE53A3">
      <w:pPr>
        <w:pStyle w:val="Antrat4"/>
        <w:rPr>
          <w:b w:val="0"/>
          <w:i w:val="0"/>
        </w:rPr>
      </w:pPr>
      <w:r w:rsidRPr="00FE53A3">
        <w:t>Ruošimas</w:t>
      </w:r>
    </w:p>
    <w:p w14:paraId="2F9752D9" w14:textId="77777777" w:rsidR="002E14B2" w:rsidRPr="00977646" w:rsidRDefault="002E14B2" w:rsidP="002E14B2"/>
    <w:p w14:paraId="5B522440" w14:textId="77777777" w:rsidR="002E14B2" w:rsidRPr="00D70708" w:rsidRDefault="002E14B2" w:rsidP="002E14B2">
      <w:pPr>
        <w:numPr>
          <w:ilvl w:val="0"/>
          <w:numId w:val="39"/>
        </w:numPr>
        <w:autoSpaceDE w:val="0"/>
        <w:autoSpaceDN w:val="0"/>
        <w:adjustRightInd w:val="0"/>
        <w:rPr>
          <w:rFonts w:eastAsia="Times New Roman"/>
          <w:bCs/>
          <w:iCs/>
        </w:rPr>
      </w:pPr>
      <w:r w:rsidRPr="00D70708">
        <w:rPr>
          <w:rFonts w:eastAsiaTheme="minorHAnsi" w:cstheme="minorBidi"/>
          <w:color w:val="000000"/>
          <w:kern w:val="2"/>
          <w14:ligatures w14:val="standardContextual"/>
        </w:rPr>
        <w:t>Užtikrinkite, kad miltelių (</w:t>
      </w:r>
      <w:r>
        <w:t>fibryga</w:t>
      </w:r>
      <w:r w:rsidRPr="00D70708">
        <w:rPr>
          <w:rFonts w:eastAsiaTheme="minorHAnsi" w:cstheme="minorBidi"/>
          <w:color w:val="000000"/>
          <w:kern w:val="2"/>
          <w14:ligatures w14:val="standardContextual"/>
        </w:rPr>
        <w:t xml:space="preserve">) buteliukas ir tirpiklio flakonas būtų kambario temperatūros. </w:t>
      </w:r>
      <w:r w:rsidRPr="00FE53A3">
        <w:rPr>
          <w:color w:val="000000"/>
          <w:kern w:val="2"/>
          <w14:ligatures w14:val="standardContextual"/>
        </w:rPr>
        <w:t xml:space="preserve">Ši temperatūra turi būti palaikoma viso ruošimo metu. Jei šildymui naudojama vandens vonelė, reikia saugoti, kad ant talpyklių guminių kamščių arba </w:t>
      </w:r>
      <w:r>
        <w:rPr>
          <w:rFonts w:eastAsiaTheme="minorHAnsi" w:cstheme="minorBidi"/>
          <w:color w:val="000000"/>
          <w:kern w:val="2"/>
          <w14:ligatures w14:val="standardContextual"/>
        </w:rPr>
        <w:t>nuimamųjų dangtelių</w:t>
      </w:r>
      <w:r w:rsidRPr="00D70708">
        <w:rPr>
          <w:rFonts w:eastAsiaTheme="minorHAnsi" w:cstheme="minorBidi"/>
          <w:color w:val="000000"/>
          <w:kern w:val="2"/>
          <w14:ligatures w14:val="standardContextual"/>
        </w:rPr>
        <w:t xml:space="preserve"> nepatektų vandens. </w:t>
      </w:r>
      <w:r w:rsidRPr="00FE53A3">
        <w:rPr>
          <w:color w:val="000000"/>
          <w:kern w:val="2"/>
          <w14:ligatures w14:val="standardContextual"/>
        </w:rPr>
        <w:t>Vandens vonelės temperatūra neturi viršyti +37 °C.</w:t>
      </w:r>
    </w:p>
    <w:p w14:paraId="794587C9" w14:textId="77777777" w:rsidR="002E14B2" w:rsidRPr="00073D00" w:rsidRDefault="002E14B2" w:rsidP="002E14B2">
      <w:pPr>
        <w:pStyle w:val="Sraopastraipa"/>
        <w:keepNext/>
        <w:numPr>
          <w:ilvl w:val="0"/>
          <w:numId w:val="39"/>
        </w:numPr>
        <w:rPr>
          <w:rFonts w:eastAsia="Times New Roman" w:cs="Arial"/>
          <w:noProof/>
          <w:color w:val="000000"/>
          <w:szCs w:val="24"/>
        </w:rPr>
      </w:pPr>
      <w:r w:rsidRPr="00073D00">
        <w:rPr>
          <w:rFonts w:eastAsiaTheme="minorHAnsi" w:cstheme="minorBidi"/>
          <w:color w:val="000000"/>
          <w:kern w:val="2"/>
          <w14:ligatures w14:val="standardContextual"/>
        </w:rPr>
        <w:t>Nuimkite nuo miltelių (</w:t>
      </w:r>
      <w:r>
        <w:t>fibryga</w:t>
      </w:r>
      <w:r w:rsidRPr="00073D00">
        <w:rPr>
          <w:rFonts w:eastAsiaTheme="minorHAnsi" w:cstheme="minorBidi"/>
          <w:color w:val="000000"/>
          <w:kern w:val="2"/>
          <w14:ligatures w14:val="standardContextual"/>
        </w:rPr>
        <w:t xml:space="preserve">) buteliuko ir tirpiklio flakono nuimamuosius dangtelius, kad </w:t>
      </w:r>
      <w:r w:rsidRPr="00073D00">
        <w:t>atsidengtų</w:t>
      </w:r>
      <w:r w:rsidRPr="00073D00">
        <w:rPr>
          <w:rFonts w:eastAsiaTheme="minorHAnsi" w:cstheme="minorBidi"/>
          <w:color w:val="000000"/>
          <w:kern w:val="2"/>
          <w14:ligatures w14:val="standardContextual"/>
        </w:rPr>
        <w:t xml:space="preserve"> vidurinė infuzinio kamščio dalis. Nuvalykite guminius kamščius spiritiniu tamponu ir palaukite, kol guminiai kamščiai nudžius.</w:t>
      </w:r>
    </w:p>
    <w:p w14:paraId="7B77105E" w14:textId="77777777" w:rsidR="002E14B2" w:rsidRPr="00D70708" w:rsidRDefault="002E14B2" w:rsidP="002E14B2">
      <w:pPr>
        <w:pStyle w:val="Sraopastraipa"/>
        <w:keepNext/>
        <w:numPr>
          <w:ilvl w:val="0"/>
          <w:numId w:val="39"/>
        </w:numPr>
        <w:rPr>
          <w:rFonts w:eastAsia="Times New Roman" w:cs="Arial"/>
          <w:noProof/>
          <w:color w:val="000000"/>
          <w:szCs w:val="24"/>
        </w:rPr>
      </w:pPr>
      <w:r w:rsidRPr="00D70708">
        <w:rPr>
          <w:rFonts w:eastAsiaTheme="minorHAnsi" w:cstheme="minorBidi"/>
          <w:color w:val="000000"/>
          <w:kern w:val="2"/>
          <w14:ligatures w14:val="standardContextual"/>
        </w:rPr>
        <w:t>Atidarykite perkėlimo įtaiso (</w:t>
      </w:r>
      <w:r w:rsidRPr="00D70708">
        <w:rPr>
          <w:rFonts w:eastAsiaTheme="minorHAnsi" w:cstheme="minorBidi"/>
          <w:i/>
          <w:iCs/>
          <w:color w:val="000000"/>
          <w:kern w:val="2"/>
          <w14:ligatures w14:val="standardContextual"/>
        </w:rPr>
        <w:t>nextaro</w:t>
      </w:r>
      <w:r w:rsidRPr="00D70708">
        <w:rPr>
          <w:rFonts w:eastAsiaTheme="minorHAnsi" w:cstheme="minorBidi"/>
          <w:color w:val="000000"/>
          <w:kern w:val="2"/>
          <w14:ligatures w14:val="standardContextual"/>
        </w:rPr>
        <w:t>) pakuotę nulupdami dangtelį (1 pav.). Sterilumui išlaikyti neišimkite perkėlimo įtaiso iš skaidrios lizdinės pakuotės. Nelieskite smaigalio.</w:t>
      </w:r>
    </w:p>
    <w:p w14:paraId="21BBEB26" w14:textId="77777777" w:rsidR="002E14B2" w:rsidRPr="00D70708" w:rsidRDefault="002E14B2" w:rsidP="002E14B2">
      <w:pPr>
        <w:autoSpaceDE w:val="0"/>
        <w:autoSpaceDN w:val="0"/>
        <w:adjustRightInd w:val="0"/>
        <w:ind w:left="567"/>
        <w:jc w:val="both"/>
        <w:rPr>
          <w:rFonts w:eastAsia="Times New Roman" w:cs="Arial"/>
          <w:noProof/>
          <w:color w:val="000000"/>
          <w:szCs w:val="24"/>
          <w:lang w:eastAsia="de-AT"/>
        </w:rPr>
      </w:pPr>
    </w:p>
    <w:tbl>
      <w:tblPr>
        <w:tblStyle w:val="Lentelstinklelis"/>
        <w:tblW w:w="8701"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754"/>
        <w:gridCol w:w="5947"/>
      </w:tblGrid>
      <w:tr w:rsidR="002E14B2" w:rsidRPr="00AB2F7B" w14:paraId="2057823A" w14:textId="77777777" w:rsidTr="002458C0">
        <w:trPr>
          <w:cantSplit/>
        </w:trPr>
        <w:tc>
          <w:tcPr>
            <w:tcW w:w="2754" w:type="dxa"/>
            <w:vAlign w:val="center"/>
          </w:tcPr>
          <w:p w14:paraId="4138D42A" w14:textId="1E1141D2" w:rsidR="002E14B2" w:rsidRPr="002458C0" w:rsidRDefault="002E14B2" w:rsidP="00FE53A3">
            <w:pPr>
              <w:pStyle w:val="Default"/>
              <w:rPr>
                <w:lang w:val="et-EE"/>
              </w:rPr>
            </w:pPr>
            <w:r w:rsidRPr="002458C0">
              <w:rPr>
                <w:noProof/>
                <w:lang w:val="lt-LT" w:eastAsia="lt-LT"/>
              </w:rPr>
              <w:drawing>
                <wp:inline distT="0" distB="0" distL="0" distR="0" wp14:anchorId="512A8059" wp14:editId="668AAFCB">
                  <wp:extent cx="1592769" cy="1420385"/>
                  <wp:effectExtent l="0" t="0" r="7620" b="8890"/>
                  <wp:docPr id="2116297149" name="Picture 2116297149" descr="A close-up of a hand holding a blue and black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close-up of a hand holding a blue and black device&#10;&#10;Description automatically generated"/>
                          <pic:cNvPicPr>
                            <a:picLocks noChangeAspect="1"/>
                          </pic:cNvPicPr>
                        </pic:nvPicPr>
                        <pic:blipFill rotWithShape="1">
                          <a:blip r:embed="rId11" cstate="print">
                            <a:extLst>
                              <a:ext uri="{28A0092B-C50C-407E-A947-70E740481C1C}">
                                <a14:useLocalDpi xmlns:a14="http://schemas.microsoft.com/office/drawing/2010/main" val="0"/>
                              </a:ext>
                            </a:extLst>
                          </a:blip>
                          <a:srcRect t="17121" r="16" b="25150"/>
                          <a:stretch/>
                        </pic:blipFill>
                        <pic:spPr>
                          <a:xfrm>
                            <a:off x="0" y="0"/>
                            <a:ext cx="1592769" cy="1420385"/>
                          </a:xfrm>
                          <a:prstGeom prst="rect">
                            <a:avLst/>
                          </a:prstGeom>
                        </pic:spPr>
                      </pic:pic>
                    </a:graphicData>
                  </a:graphic>
                </wp:inline>
              </w:drawing>
            </w:r>
          </w:p>
        </w:tc>
        <w:tc>
          <w:tcPr>
            <w:tcW w:w="5947" w:type="dxa"/>
            <w:vAlign w:val="center"/>
          </w:tcPr>
          <w:p w14:paraId="3C303469" w14:textId="77777777" w:rsidR="002E14B2" w:rsidRPr="00977646" w:rsidRDefault="002E14B2" w:rsidP="00EE21E9">
            <w:pPr>
              <w:pStyle w:val="Default"/>
              <w:rPr>
                <w:sz w:val="22"/>
                <w:szCs w:val="22"/>
                <w:lang w:val="et-EE"/>
              </w:rPr>
            </w:pPr>
            <w:r w:rsidRPr="00977646">
              <w:rPr>
                <w:sz w:val="22"/>
                <w:szCs w:val="22"/>
              </w:rPr>
              <w:t>Perkėlimo įtaisas</w:t>
            </w:r>
          </w:p>
        </w:tc>
      </w:tr>
      <w:tr w:rsidR="00FE53A3" w:rsidRPr="00AB2F7B" w14:paraId="018C8970" w14:textId="77777777" w:rsidTr="002458C0">
        <w:trPr>
          <w:cantSplit/>
          <w:trHeight w:val="160"/>
        </w:trPr>
        <w:tc>
          <w:tcPr>
            <w:tcW w:w="2754" w:type="dxa"/>
            <w:vAlign w:val="center"/>
          </w:tcPr>
          <w:p w14:paraId="4741E936" w14:textId="77777777" w:rsidR="00FE53A3" w:rsidRPr="00FE53A3" w:rsidRDefault="00FE53A3" w:rsidP="00FE53A3">
            <w:pPr>
              <w:jc w:val="center"/>
              <w:rPr>
                <w:color w:val="000000"/>
                <w:kern w:val="24"/>
              </w:rPr>
            </w:pPr>
            <w:r w:rsidRPr="00E161F7">
              <w:rPr>
                <w:color w:val="000000"/>
              </w:rPr>
              <w:t>1</w:t>
            </w:r>
            <w:r w:rsidRPr="00FE53A3">
              <w:rPr>
                <w:color w:val="000000"/>
              </w:rPr>
              <w:t> pav.</w:t>
            </w:r>
          </w:p>
        </w:tc>
        <w:tc>
          <w:tcPr>
            <w:tcW w:w="5947" w:type="dxa"/>
            <w:vAlign w:val="center"/>
          </w:tcPr>
          <w:p w14:paraId="469C9EFF" w14:textId="77777777" w:rsidR="00FE53A3" w:rsidRPr="002458C0" w:rsidRDefault="00FE53A3" w:rsidP="00FE53A3">
            <w:pPr>
              <w:pStyle w:val="Default"/>
              <w:rPr>
                <w:lang w:val="et-EE"/>
              </w:rPr>
            </w:pPr>
          </w:p>
        </w:tc>
      </w:tr>
    </w:tbl>
    <w:p w14:paraId="706FD405" w14:textId="77777777" w:rsidR="002E14B2" w:rsidRPr="00D70708" w:rsidRDefault="002E14B2" w:rsidP="002E14B2">
      <w:pPr>
        <w:autoSpaceDE w:val="0"/>
        <w:autoSpaceDN w:val="0"/>
        <w:adjustRightInd w:val="0"/>
        <w:ind w:left="567"/>
        <w:jc w:val="both"/>
        <w:rPr>
          <w:rFonts w:eastAsia="Times New Roman" w:cs="Arial"/>
          <w:noProof/>
          <w:color w:val="000000"/>
          <w:szCs w:val="24"/>
          <w:lang w:eastAsia="de-AT"/>
        </w:rPr>
      </w:pPr>
    </w:p>
    <w:p w14:paraId="0D25B303" w14:textId="77777777" w:rsidR="002E14B2" w:rsidRPr="00D70708" w:rsidRDefault="002E14B2" w:rsidP="002E14B2">
      <w:pPr>
        <w:numPr>
          <w:ilvl w:val="0"/>
          <w:numId w:val="39"/>
        </w:numPr>
        <w:autoSpaceDE w:val="0"/>
        <w:autoSpaceDN w:val="0"/>
        <w:adjustRightInd w:val="0"/>
        <w:spacing w:before="120" w:after="120" w:line="259" w:lineRule="auto"/>
        <w:ind w:left="426" w:hanging="426"/>
        <w:rPr>
          <w:rFonts w:eastAsia="Times New Roman" w:cs="Arial"/>
          <w:noProof/>
          <w:color w:val="000000"/>
          <w:szCs w:val="24"/>
        </w:rPr>
      </w:pPr>
      <w:r w:rsidRPr="00D70708">
        <w:rPr>
          <w:rFonts w:eastAsiaTheme="minorHAnsi" w:cstheme="minorBidi"/>
          <w:color w:val="000000"/>
          <w:kern w:val="2"/>
          <w14:ligatures w14:val="standardContextual"/>
        </w:rPr>
        <w:t>Padėkite tirpiklio flakoną ant lygaus, švaraus paviršiaus ir tvirtai laikykite. Neišėmę iš lizdinės pakuotės, uždėkite mėlynąją perkėlimo įtaiso dalį ant tirpiklio flakono viršaus. Laikydami tiesiai, tvirtai spauskite žemyn, kol užsifiksuos (2 pav.). Tvirtinimo metu nesukite.</w:t>
      </w:r>
    </w:p>
    <w:p w14:paraId="7A5142D8" w14:textId="77777777" w:rsidR="002E14B2" w:rsidRPr="00D70708" w:rsidRDefault="002E14B2" w:rsidP="002E14B2">
      <w:pPr>
        <w:ind w:left="567" w:right="28"/>
        <w:rPr>
          <w:rFonts w:eastAsia="SimSun"/>
          <w:i/>
          <w:iCs/>
          <w:noProof/>
          <w:szCs w:val="20"/>
        </w:rPr>
      </w:pPr>
      <w:r w:rsidRPr="00D70708">
        <w:rPr>
          <w:rFonts w:eastAsiaTheme="minorHAnsi" w:cstheme="minorBidi"/>
          <w:b/>
          <w:i/>
          <w:kern w:val="2"/>
          <w14:ligatures w14:val="standardContextual"/>
        </w:rPr>
        <w:t>Pastaba:</w:t>
      </w:r>
      <w:r w:rsidRPr="00D70708">
        <w:rPr>
          <w:rFonts w:eastAsiaTheme="minorHAnsi" w:cstheme="minorBidi"/>
          <w:b/>
          <w:i/>
          <w:kern w:val="2"/>
          <w14:ligatures w14:val="standardContextual"/>
        </w:rPr>
        <w:br/>
      </w:r>
      <w:r w:rsidRPr="00D70708">
        <w:rPr>
          <w:rFonts w:eastAsiaTheme="minorHAnsi" w:cstheme="minorBidi"/>
          <w:i/>
          <w:kern w:val="2"/>
          <w14:ligatures w14:val="standardContextual"/>
        </w:rPr>
        <w:t>Pirma reikia pritvirtinti perkėlimo įtaisą prie tirpiklio flakono ir tada prie liofilizuotų miltelių buteliuko. Kitaip neliks vakuumo ir tirpiklio perkėlimas neįvyks.</w:t>
      </w:r>
    </w:p>
    <w:p w14:paraId="1A7E409F" w14:textId="77777777" w:rsidR="002E14B2" w:rsidRPr="00D70708" w:rsidRDefault="002E14B2" w:rsidP="002E14B2">
      <w:pPr>
        <w:autoSpaceDE w:val="0"/>
        <w:autoSpaceDN w:val="0"/>
        <w:adjustRightInd w:val="0"/>
        <w:ind w:left="567"/>
        <w:jc w:val="both"/>
        <w:rPr>
          <w:rFonts w:eastAsia="Times New Roman" w:cs="Arial"/>
          <w:noProof/>
          <w:color w:val="000000"/>
          <w:szCs w:val="24"/>
          <w:lang w:eastAsia="de-AT"/>
        </w:rPr>
      </w:pPr>
    </w:p>
    <w:tbl>
      <w:tblPr>
        <w:tblStyle w:val="Lentelstinklelis"/>
        <w:tblW w:w="8635"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66"/>
        <w:gridCol w:w="5869"/>
      </w:tblGrid>
      <w:tr w:rsidR="002E14B2" w:rsidRPr="00AB2F7B" w14:paraId="26FAB607" w14:textId="77777777" w:rsidTr="00EE21E9">
        <w:tc>
          <w:tcPr>
            <w:tcW w:w="2766" w:type="dxa"/>
          </w:tcPr>
          <w:p w14:paraId="7881D9D1" w14:textId="77777777" w:rsidR="002E14B2" w:rsidRPr="00AB2F7B" w:rsidRDefault="002E14B2" w:rsidP="00EE21E9">
            <w:pPr>
              <w:pStyle w:val="Default"/>
              <w:jc w:val="both"/>
              <w:rPr>
                <w:sz w:val="22"/>
                <w:lang w:val="et-EE"/>
              </w:rPr>
            </w:pPr>
            <w:r w:rsidRPr="002458C0">
              <w:rPr>
                <w:noProof/>
                <w:sz w:val="22"/>
                <w:lang w:val="lt-LT" w:eastAsia="lt-LT"/>
              </w:rPr>
              <w:drawing>
                <wp:inline distT="0" distB="0" distL="0" distR="0" wp14:anchorId="7186FA4D" wp14:editId="623D49F7">
                  <wp:extent cx="1609950" cy="1457528"/>
                  <wp:effectExtent l="0" t="0" r="9525" b="0"/>
                  <wp:docPr id="1809618716" name="Picture 1809618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793226" name=""/>
                          <pic:cNvPicPr/>
                        </pic:nvPicPr>
                        <pic:blipFill>
                          <a:blip r:embed="rId12"/>
                          <a:stretch>
                            <a:fillRect/>
                          </a:stretch>
                        </pic:blipFill>
                        <pic:spPr>
                          <a:xfrm>
                            <a:off x="0" y="0"/>
                            <a:ext cx="1609950" cy="1457528"/>
                          </a:xfrm>
                          <a:prstGeom prst="rect">
                            <a:avLst/>
                          </a:prstGeom>
                        </pic:spPr>
                      </pic:pic>
                    </a:graphicData>
                  </a:graphic>
                </wp:inline>
              </w:drawing>
            </w:r>
          </w:p>
        </w:tc>
        <w:tc>
          <w:tcPr>
            <w:tcW w:w="5869" w:type="dxa"/>
            <w:vAlign w:val="center"/>
          </w:tcPr>
          <w:p w14:paraId="288E20C3" w14:textId="77777777" w:rsidR="002E14B2" w:rsidRPr="00AB2F7B" w:rsidRDefault="002E14B2" w:rsidP="00EE21E9">
            <w:pPr>
              <w:pStyle w:val="Default"/>
              <w:rPr>
                <w:sz w:val="22"/>
                <w:lang w:val="et-EE"/>
              </w:rPr>
            </w:pPr>
          </w:p>
          <w:p w14:paraId="6F8B99CD" w14:textId="77777777" w:rsidR="002E14B2" w:rsidRPr="00AB2F7B" w:rsidRDefault="002E14B2" w:rsidP="00EE21E9">
            <w:pPr>
              <w:pStyle w:val="Default"/>
              <w:rPr>
                <w:sz w:val="22"/>
                <w:lang w:val="et-EE"/>
              </w:rPr>
            </w:pPr>
          </w:p>
          <w:p w14:paraId="599839D1" w14:textId="77777777" w:rsidR="002E14B2" w:rsidRPr="00AB2F7B" w:rsidRDefault="002E14B2" w:rsidP="00EE21E9">
            <w:pPr>
              <w:pStyle w:val="Default"/>
              <w:rPr>
                <w:sz w:val="22"/>
                <w:lang w:val="et-EE"/>
              </w:rPr>
            </w:pPr>
          </w:p>
          <w:p w14:paraId="3FEEF9F1" w14:textId="77777777" w:rsidR="002E14B2" w:rsidRPr="00AB2F7B" w:rsidRDefault="002E14B2" w:rsidP="00EE21E9">
            <w:pPr>
              <w:pStyle w:val="Default"/>
              <w:rPr>
                <w:sz w:val="22"/>
                <w:lang w:val="et-EE"/>
              </w:rPr>
            </w:pPr>
          </w:p>
          <w:p w14:paraId="4DF7656C" w14:textId="77777777" w:rsidR="002E14B2" w:rsidRPr="00E161F7" w:rsidRDefault="002E14B2" w:rsidP="00EE21E9">
            <w:pPr>
              <w:pStyle w:val="Default"/>
              <w:rPr>
                <w:sz w:val="22"/>
                <w:szCs w:val="22"/>
                <w:lang w:val="et-EE"/>
              </w:rPr>
            </w:pPr>
            <w:r w:rsidRPr="00E161F7">
              <w:rPr>
                <w:sz w:val="22"/>
                <w:szCs w:val="22"/>
              </w:rPr>
              <w:t>Tirpiklio flakonas</w:t>
            </w:r>
          </w:p>
        </w:tc>
      </w:tr>
      <w:tr w:rsidR="002E14B2" w:rsidRPr="00AB2F7B" w14:paraId="0A01CB1A" w14:textId="77777777" w:rsidTr="00EE21E9">
        <w:tc>
          <w:tcPr>
            <w:tcW w:w="2766" w:type="dxa"/>
            <w:vAlign w:val="center"/>
          </w:tcPr>
          <w:p w14:paraId="7B26038E" w14:textId="77777777" w:rsidR="002E14B2" w:rsidRPr="00AB2F7B" w:rsidRDefault="002E14B2" w:rsidP="00EE21E9">
            <w:pPr>
              <w:pStyle w:val="Default"/>
              <w:jc w:val="center"/>
              <w:rPr>
                <w:sz w:val="22"/>
                <w:lang w:val="et-EE"/>
              </w:rPr>
            </w:pPr>
            <w:r>
              <w:rPr>
                <w:sz w:val="22"/>
                <w:szCs w:val="22"/>
              </w:rPr>
              <w:t>2</w:t>
            </w:r>
            <w:r w:rsidRPr="00E161F7">
              <w:rPr>
                <w:sz w:val="22"/>
                <w:szCs w:val="22"/>
              </w:rPr>
              <w:t> pav.</w:t>
            </w:r>
          </w:p>
        </w:tc>
        <w:tc>
          <w:tcPr>
            <w:tcW w:w="5869" w:type="dxa"/>
          </w:tcPr>
          <w:p w14:paraId="7C6356B1" w14:textId="77777777" w:rsidR="002E14B2" w:rsidRPr="00AB2F7B" w:rsidRDefault="002E14B2" w:rsidP="00EE21E9">
            <w:pPr>
              <w:pStyle w:val="Default"/>
              <w:jc w:val="both"/>
              <w:rPr>
                <w:sz w:val="22"/>
                <w:lang w:val="et-EE"/>
              </w:rPr>
            </w:pPr>
          </w:p>
        </w:tc>
      </w:tr>
    </w:tbl>
    <w:p w14:paraId="01D94F3C" w14:textId="77777777" w:rsidR="002E14B2" w:rsidRPr="00D70708" w:rsidRDefault="002E14B2" w:rsidP="002E14B2">
      <w:pPr>
        <w:autoSpaceDE w:val="0"/>
        <w:autoSpaceDN w:val="0"/>
        <w:adjustRightInd w:val="0"/>
        <w:ind w:left="567"/>
        <w:jc w:val="both"/>
        <w:rPr>
          <w:rFonts w:eastAsia="Times New Roman" w:cs="Arial"/>
          <w:noProof/>
          <w:color w:val="000000"/>
          <w:szCs w:val="24"/>
          <w:lang w:eastAsia="de-AT"/>
        </w:rPr>
      </w:pPr>
    </w:p>
    <w:p w14:paraId="08C15969" w14:textId="77777777" w:rsidR="002E14B2" w:rsidRPr="00D70708" w:rsidRDefault="002E14B2" w:rsidP="002E14B2">
      <w:pPr>
        <w:pStyle w:val="Sraopastraipa"/>
        <w:keepNext/>
        <w:numPr>
          <w:ilvl w:val="0"/>
          <w:numId w:val="39"/>
        </w:numPr>
        <w:rPr>
          <w:rFonts w:eastAsia="Times New Roman" w:cs="Arial"/>
          <w:noProof/>
          <w:color w:val="000000"/>
          <w:szCs w:val="24"/>
        </w:rPr>
      </w:pPr>
      <w:r w:rsidRPr="00D70708">
        <w:rPr>
          <w:rFonts w:eastAsiaTheme="minorHAnsi" w:cstheme="minorBidi"/>
          <w:color w:val="000000"/>
          <w:kern w:val="2"/>
          <w14:ligatures w14:val="standardContextual"/>
        </w:rPr>
        <w:t>Laikydami tirpiklio flakoną, atsargiai nuimkite lizdinę pakuotę nuo perkėlimo įtaiso (</w:t>
      </w:r>
      <w:r w:rsidRPr="00D70708">
        <w:rPr>
          <w:rFonts w:eastAsiaTheme="minorHAnsi" w:cstheme="minorBidi"/>
          <w:i/>
          <w:iCs/>
          <w:color w:val="000000"/>
          <w:kern w:val="2"/>
          <w14:ligatures w14:val="standardContextual"/>
        </w:rPr>
        <w:t>nextaro</w:t>
      </w:r>
      <w:r w:rsidRPr="00D70708">
        <w:rPr>
          <w:rFonts w:eastAsiaTheme="minorHAnsi" w:cstheme="minorBidi"/>
          <w:color w:val="000000"/>
          <w:kern w:val="2"/>
          <w14:ligatures w14:val="standardContextual"/>
        </w:rPr>
        <w:t>), vertikaliai traukdami į viršų. Būtinai palikite perkėlimo įtaisą tvirtai pritvirtintą prie tirpiklio flakono (3 pav.).</w:t>
      </w:r>
    </w:p>
    <w:p w14:paraId="7C8FD5DA" w14:textId="77777777" w:rsidR="002E14B2" w:rsidRPr="00D70708" w:rsidRDefault="002E14B2" w:rsidP="002E14B2">
      <w:pPr>
        <w:autoSpaceDE w:val="0"/>
        <w:autoSpaceDN w:val="0"/>
        <w:adjustRightInd w:val="0"/>
        <w:ind w:left="567"/>
        <w:jc w:val="both"/>
        <w:rPr>
          <w:rFonts w:eastAsia="Times New Roman" w:cs="Arial"/>
          <w:noProof/>
          <w:color w:val="000000"/>
          <w:szCs w:val="24"/>
        </w:rPr>
      </w:pPr>
    </w:p>
    <w:tbl>
      <w:tblPr>
        <w:tblStyle w:val="Lentelstinklelis"/>
        <w:tblW w:w="8635"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88"/>
        <w:gridCol w:w="5947"/>
      </w:tblGrid>
      <w:tr w:rsidR="002E14B2" w:rsidRPr="00AB2F7B" w14:paraId="3DBD7D0E" w14:textId="77777777" w:rsidTr="00EE21E9">
        <w:trPr>
          <w:cantSplit/>
        </w:trPr>
        <w:tc>
          <w:tcPr>
            <w:tcW w:w="2688" w:type="dxa"/>
          </w:tcPr>
          <w:p w14:paraId="350C12AF" w14:textId="77777777" w:rsidR="002E14B2" w:rsidRPr="00AB2F7B" w:rsidRDefault="002E14B2" w:rsidP="00EE21E9">
            <w:pPr>
              <w:pStyle w:val="Default"/>
              <w:jc w:val="both"/>
              <w:rPr>
                <w:sz w:val="22"/>
                <w:lang w:val="et-EE"/>
              </w:rPr>
            </w:pPr>
            <w:r w:rsidRPr="002458C0">
              <w:rPr>
                <w:noProof/>
                <w:sz w:val="22"/>
                <w:lang w:val="lt-LT" w:eastAsia="lt-LT"/>
              </w:rPr>
              <w:drawing>
                <wp:inline distT="0" distB="0" distL="0" distR="0" wp14:anchorId="644B7B72" wp14:editId="3ECBA1C6">
                  <wp:extent cx="1514686" cy="1619476"/>
                  <wp:effectExtent l="0" t="0" r="9525" b="0"/>
                  <wp:docPr id="933961473" name="Picture 93396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134582" name=""/>
                          <pic:cNvPicPr/>
                        </pic:nvPicPr>
                        <pic:blipFill>
                          <a:blip r:embed="rId13"/>
                          <a:stretch>
                            <a:fillRect/>
                          </a:stretch>
                        </pic:blipFill>
                        <pic:spPr>
                          <a:xfrm>
                            <a:off x="0" y="0"/>
                            <a:ext cx="1514686" cy="1619476"/>
                          </a:xfrm>
                          <a:prstGeom prst="rect">
                            <a:avLst/>
                          </a:prstGeom>
                        </pic:spPr>
                      </pic:pic>
                    </a:graphicData>
                  </a:graphic>
                </wp:inline>
              </w:drawing>
            </w:r>
          </w:p>
        </w:tc>
        <w:tc>
          <w:tcPr>
            <w:tcW w:w="5947" w:type="dxa"/>
            <w:vAlign w:val="center"/>
          </w:tcPr>
          <w:p w14:paraId="2B358FEE" w14:textId="77777777" w:rsidR="002E14B2" w:rsidRPr="00AB2F7B" w:rsidRDefault="002E14B2" w:rsidP="00EE21E9">
            <w:pPr>
              <w:pStyle w:val="Default"/>
              <w:rPr>
                <w:sz w:val="22"/>
                <w:lang w:val="et-EE"/>
              </w:rPr>
            </w:pPr>
          </w:p>
          <w:p w14:paraId="40DF5475" w14:textId="77777777" w:rsidR="002E14B2" w:rsidRPr="00AB2F7B" w:rsidRDefault="002E14B2" w:rsidP="00EE21E9">
            <w:pPr>
              <w:pStyle w:val="Default"/>
              <w:rPr>
                <w:sz w:val="22"/>
                <w:lang w:val="et-EE"/>
              </w:rPr>
            </w:pPr>
          </w:p>
          <w:p w14:paraId="52B7F2C8" w14:textId="77777777" w:rsidR="002E14B2" w:rsidRPr="00AB2F7B" w:rsidRDefault="002E14B2" w:rsidP="00EE21E9">
            <w:pPr>
              <w:pStyle w:val="Default"/>
              <w:rPr>
                <w:sz w:val="22"/>
                <w:lang w:val="et-EE"/>
              </w:rPr>
            </w:pPr>
          </w:p>
          <w:p w14:paraId="75E9BA2B" w14:textId="77777777" w:rsidR="002E14B2" w:rsidRPr="00AB2F7B" w:rsidRDefault="002E14B2" w:rsidP="00EE21E9">
            <w:pPr>
              <w:pStyle w:val="Default"/>
              <w:rPr>
                <w:sz w:val="22"/>
                <w:lang w:val="et-EE"/>
              </w:rPr>
            </w:pPr>
          </w:p>
          <w:p w14:paraId="229809D2" w14:textId="77777777" w:rsidR="002E14B2" w:rsidRPr="00AB2F7B" w:rsidRDefault="002E14B2" w:rsidP="00EE21E9">
            <w:pPr>
              <w:pStyle w:val="Default"/>
              <w:rPr>
                <w:sz w:val="22"/>
                <w:lang w:val="et-EE"/>
              </w:rPr>
            </w:pPr>
            <w:r w:rsidRPr="00E161F7">
              <w:rPr>
                <w:sz w:val="22"/>
                <w:szCs w:val="22"/>
              </w:rPr>
              <w:t>Tirpiklio flakonas</w:t>
            </w:r>
          </w:p>
        </w:tc>
      </w:tr>
      <w:tr w:rsidR="002E14B2" w:rsidRPr="00AB2F7B" w14:paraId="4968F0AF" w14:textId="77777777" w:rsidTr="00EE21E9">
        <w:trPr>
          <w:cantSplit/>
        </w:trPr>
        <w:tc>
          <w:tcPr>
            <w:tcW w:w="2688" w:type="dxa"/>
          </w:tcPr>
          <w:p w14:paraId="29734BAB" w14:textId="77777777" w:rsidR="002E14B2" w:rsidRPr="00AB2F7B" w:rsidRDefault="002E14B2" w:rsidP="00EE21E9">
            <w:pPr>
              <w:pStyle w:val="Default"/>
              <w:jc w:val="center"/>
              <w:rPr>
                <w:sz w:val="22"/>
                <w:lang w:val="et-EE"/>
              </w:rPr>
            </w:pPr>
            <w:r>
              <w:rPr>
                <w:sz w:val="22"/>
                <w:szCs w:val="22"/>
              </w:rPr>
              <w:t>3</w:t>
            </w:r>
            <w:r w:rsidRPr="00E161F7">
              <w:rPr>
                <w:sz w:val="22"/>
                <w:szCs w:val="22"/>
              </w:rPr>
              <w:t> pav.</w:t>
            </w:r>
          </w:p>
        </w:tc>
        <w:tc>
          <w:tcPr>
            <w:tcW w:w="5947" w:type="dxa"/>
          </w:tcPr>
          <w:p w14:paraId="472AA0D5" w14:textId="77777777" w:rsidR="002E14B2" w:rsidRPr="00AB2F7B" w:rsidRDefault="002E14B2" w:rsidP="00EE21E9">
            <w:pPr>
              <w:pStyle w:val="Default"/>
              <w:jc w:val="both"/>
              <w:rPr>
                <w:sz w:val="22"/>
                <w:lang w:val="et-EE"/>
              </w:rPr>
            </w:pPr>
          </w:p>
        </w:tc>
      </w:tr>
    </w:tbl>
    <w:p w14:paraId="59E6333A" w14:textId="77777777" w:rsidR="002E14B2" w:rsidRPr="00D70708" w:rsidRDefault="002E14B2" w:rsidP="002E14B2">
      <w:pPr>
        <w:autoSpaceDE w:val="0"/>
        <w:autoSpaceDN w:val="0"/>
        <w:adjustRightInd w:val="0"/>
        <w:ind w:left="567"/>
        <w:jc w:val="both"/>
        <w:rPr>
          <w:rFonts w:eastAsia="Times New Roman" w:cs="Arial"/>
          <w:noProof/>
          <w:color w:val="000000"/>
          <w:szCs w:val="24"/>
          <w:lang w:eastAsia="de-AT"/>
        </w:rPr>
      </w:pPr>
    </w:p>
    <w:p w14:paraId="6F48271D" w14:textId="77777777" w:rsidR="002E14B2" w:rsidRPr="00D70708" w:rsidRDefault="002E14B2" w:rsidP="002E14B2">
      <w:pPr>
        <w:pStyle w:val="Sraopastraipa"/>
        <w:keepNext/>
        <w:numPr>
          <w:ilvl w:val="0"/>
          <w:numId w:val="39"/>
        </w:numPr>
        <w:rPr>
          <w:rFonts w:eastAsia="Times New Roman" w:cs="Arial"/>
          <w:noProof/>
          <w:color w:val="000000"/>
          <w:szCs w:val="24"/>
        </w:rPr>
      </w:pPr>
      <w:r w:rsidRPr="00D70708">
        <w:rPr>
          <w:rFonts w:eastAsiaTheme="minorHAnsi" w:cstheme="minorBidi"/>
          <w:color w:val="000000"/>
          <w:kern w:val="2"/>
          <w14:ligatures w14:val="standardContextual"/>
        </w:rPr>
        <w:t>Padėkite miltelių (</w:t>
      </w:r>
      <w:r>
        <w:t>fibryga</w:t>
      </w:r>
      <w:r w:rsidRPr="00D70708">
        <w:rPr>
          <w:rFonts w:eastAsiaTheme="minorHAnsi" w:cstheme="minorBidi"/>
          <w:color w:val="000000"/>
          <w:kern w:val="2"/>
          <w14:ligatures w14:val="standardContextual"/>
        </w:rPr>
        <w:t>) buteliuką ant lygaus, švaraus paviršiaus ir tvirtai laikykite. Paimkite tirpiklio flakoną su pritvirtintu perkėlimo įtaisu ir apverskite jį. Uždėkite baltąją perkėlimo įtaiso jungties dalį ant miltelių (</w:t>
      </w:r>
      <w:r>
        <w:t>fibryga</w:t>
      </w:r>
      <w:r w:rsidRPr="00D70708">
        <w:rPr>
          <w:rFonts w:eastAsiaTheme="minorHAnsi" w:cstheme="minorBidi"/>
          <w:color w:val="000000"/>
          <w:kern w:val="2"/>
          <w14:ligatures w14:val="standardContextual"/>
        </w:rPr>
        <w:t>) buteliuko ir tvirtai spauskite žemyn, kol užsifiksuos (4 pav.). Tvirtinimo metu nesukite. Tirpiklis automatiškai tekės į miltelių (</w:t>
      </w:r>
      <w:r>
        <w:t>fibryga</w:t>
      </w:r>
      <w:r w:rsidRPr="00D70708">
        <w:rPr>
          <w:rFonts w:eastAsiaTheme="minorHAnsi" w:cstheme="minorBidi"/>
          <w:color w:val="000000"/>
          <w:kern w:val="2"/>
          <w14:ligatures w14:val="standardContextual"/>
        </w:rPr>
        <w:t>) buteliuką.</w:t>
      </w:r>
    </w:p>
    <w:p w14:paraId="3E1164B8" w14:textId="77777777" w:rsidR="002E14B2" w:rsidRPr="00D70708" w:rsidRDefault="002E14B2" w:rsidP="002E14B2">
      <w:pPr>
        <w:autoSpaceDE w:val="0"/>
        <w:autoSpaceDN w:val="0"/>
        <w:adjustRightInd w:val="0"/>
        <w:ind w:left="567"/>
        <w:jc w:val="both"/>
        <w:rPr>
          <w:rFonts w:eastAsia="Times New Roman" w:cs="Arial"/>
          <w:noProof/>
          <w:color w:val="000000"/>
          <w:szCs w:val="24"/>
          <w:lang w:eastAsia="de-AT"/>
        </w:rPr>
      </w:pPr>
    </w:p>
    <w:tbl>
      <w:tblPr>
        <w:tblStyle w:val="Lentelstinklelis"/>
        <w:tblW w:w="8635"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88"/>
        <w:gridCol w:w="5947"/>
      </w:tblGrid>
      <w:tr w:rsidR="002E14B2" w:rsidRPr="00AB2F7B" w14:paraId="0CDA6C54" w14:textId="77777777" w:rsidTr="00EE21E9">
        <w:trPr>
          <w:cantSplit/>
        </w:trPr>
        <w:tc>
          <w:tcPr>
            <w:tcW w:w="2688" w:type="dxa"/>
          </w:tcPr>
          <w:p w14:paraId="3C51B0F3" w14:textId="77777777" w:rsidR="002E14B2" w:rsidRPr="00AB2F7B" w:rsidRDefault="002E14B2" w:rsidP="00EE21E9">
            <w:pPr>
              <w:pStyle w:val="Default"/>
              <w:jc w:val="both"/>
              <w:rPr>
                <w:sz w:val="22"/>
                <w:lang w:val="et-EE"/>
              </w:rPr>
            </w:pPr>
            <w:r w:rsidRPr="002458C0">
              <w:rPr>
                <w:noProof/>
                <w:sz w:val="22"/>
                <w:lang w:val="lt-LT" w:eastAsia="lt-LT"/>
              </w:rPr>
              <w:drawing>
                <wp:inline distT="0" distB="0" distL="0" distR="0" wp14:anchorId="250A0F35" wp14:editId="0DF63BC6">
                  <wp:extent cx="1419423" cy="1924319"/>
                  <wp:effectExtent l="0" t="0" r="9525" b="0"/>
                  <wp:docPr id="966338151" name="Picture 966338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311520" name=""/>
                          <pic:cNvPicPr/>
                        </pic:nvPicPr>
                        <pic:blipFill>
                          <a:blip r:embed="rId14"/>
                          <a:stretch>
                            <a:fillRect/>
                          </a:stretch>
                        </pic:blipFill>
                        <pic:spPr>
                          <a:xfrm>
                            <a:off x="0" y="0"/>
                            <a:ext cx="1419423" cy="1924319"/>
                          </a:xfrm>
                          <a:prstGeom prst="rect">
                            <a:avLst/>
                          </a:prstGeom>
                        </pic:spPr>
                      </pic:pic>
                    </a:graphicData>
                  </a:graphic>
                </wp:inline>
              </w:drawing>
            </w:r>
          </w:p>
        </w:tc>
        <w:tc>
          <w:tcPr>
            <w:tcW w:w="5947" w:type="dxa"/>
          </w:tcPr>
          <w:p w14:paraId="24FE2668" w14:textId="77777777" w:rsidR="002E14B2" w:rsidRPr="00AB2F7B" w:rsidRDefault="002E14B2" w:rsidP="00EE21E9">
            <w:pPr>
              <w:pStyle w:val="Default"/>
              <w:jc w:val="both"/>
              <w:rPr>
                <w:sz w:val="22"/>
                <w:lang w:val="et-EE"/>
              </w:rPr>
            </w:pPr>
          </w:p>
          <w:p w14:paraId="45142C3D" w14:textId="77777777" w:rsidR="002E14B2" w:rsidRPr="00AB2F7B" w:rsidRDefault="002E14B2" w:rsidP="00EE21E9">
            <w:pPr>
              <w:pStyle w:val="Default"/>
              <w:jc w:val="both"/>
              <w:rPr>
                <w:sz w:val="22"/>
                <w:lang w:val="et-EE"/>
              </w:rPr>
            </w:pPr>
            <w:r w:rsidRPr="00E161F7">
              <w:rPr>
                <w:sz w:val="22"/>
                <w:szCs w:val="22"/>
              </w:rPr>
              <w:t>Tirpiklio flakonas</w:t>
            </w:r>
          </w:p>
          <w:p w14:paraId="31F1EC70" w14:textId="77777777" w:rsidR="002E14B2" w:rsidRPr="00AB2F7B" w:rsidRDefault="002E14B2" w:rsidP="00EE21E9">
            <w:pPr>
              <w:pStyle w:val="Default"/>
              <w:jc w:val="both"/>
              <w:rPr>
                <w:sz w:val="22"/>
                <w:lang w:val="et-EE"/>
              </w:rPr>
            </w:pPr>
          </w:p>
          <w:p w14:paraId="29085B15" w14:textId="77777777" w:rsidR="002E14B2" w:rsidRPr="00AB2F7B" w:rsidRDefault="002E14B2" w:rsidP="00EE21E9">
            <w:pPr>
              <w:pStyle w:val="Default"/>
              <w:jc w:val="both"/>
              <w:rPr>
                <w:sz w:val="22"/>
                <w:lang w:val="et-EE"/>
              </w:rPr>
            </w:pPr>
          </w:p>
          <w:p w14:paraId="409AF8AA" w14:textId="77777777" w:rsidR="002E14B2" w:rsidRPr="00AB2F7B" w:rsidRDefault="002E14B2" w:rsidP="00EE21E9">
            <w:pPr>
              <w:pStyle w:val="Default"/>
              <w:jc w:val="both"/>
              <w:rPr>
                <w:sz w:val="22"/>
                <w:lang w:val="et-EE"/>
              </w:rPr>
            </w:pPr>
          </w:p>
          <w:p w14:paraId="144268E7" w14:textId="77777777" w:rsidR="002E14B2" w:rsidRPr="00AB2F7B" w:rsidRDefault="002E14B2" w:rsidP="00EE21E9">
            <w:pPr>
              <w:pStyle w:val="Default"/>
              <w:jc w:val="both"/>
              <w:rPr>
                <w:sz w:val="22"/>
                <w:lang w:val="et-EE"/>
              </w:rPr>
            </w:pPr>
          </w:p>
          <w:p w14:paraId="52BF22E9" w14:textId="77777777" w:rsidR="002E14B2" w:rsidRPr="00AB2F7B" w:rsidRDefault="002E14B2" w:rsidP="00EE21E9">
            <w:pPr>
              <w:pStyle w:val="Default"/>
              <w:jc w:val="both"/>
              <w:rPr>
                <w:sz w:val="22"/>
                <w:lang w:val="et-EE"/>
              </w:rPr>
            </w:pPr>
          </w:p>
          <w:p w14:paraId="09AB18F1" w14:textId="77777777" w:rsidR="002E14B2" w:rsidRDefault="002E14B2" w:rsidP="00EE21E9">
            <w:pPr>
              <w:pStyle w:val="Default"/>
              <w:jc w:val="both"/>
              <w:rPr>
                <w:sz w:val="22"/>
                <w:lang w:val="et-EE"/>
              </w:rPr>
            </w:pPr>
          </w:p>
          <w:p w14:paraId="03E8964B" w14:textId="77777777" w:rsidR="002E14B2" w:rsidRPr="00AB2F7B" w:rsidRDefault="002E14B2" w:rsidP="00EE21E9">
            <w:pPr>
              <w:pStyle w:val="Default"/>
              <w:jc w:val="both"/>
              <w:rPr>
                <w:sz w:val="22"/>
                <w:lang w:val="et-EE"/>
              </w:rPr>
            </w:pPr>
            <w:r>
              <w:rPr>
                <w:sz w:val="22"/>
                <w:lang w:val="et-EE"/>
              </w:rPr>
              <w:t>fibryga buteliukas</w:t>
            </w:r>
          </w:p>
        </w:tc>
      </w:tr>
      <w:tr w:rsidR="002E14B2" w:rsidRPr="00AB2F7B" w14:paraId="41E2E6BA" w14:textId="77777777" w:rsidTr="00EE21E9">
        <w:trPr>
          <w:cantSplit/>
        </w:trPr>
        <w:tc>
          <w:tcPr>
            <w:tcW w:w="2688" w:type="dxa"/>
            <w:vAlign w:val="center"/>
          </w:tcPr>
          <w:p w14:paraId="327A8505" w14:textId="77777777" w:rsidR="002E14B2" w:rsidRPr="00AB2F7B" w:rsidRDefault="002E14B2" w:rsidP="00EE21E9">
            <w:pPr>
              <w:pStyle w:val="Default"/>
              <w:jc w:val="center"/>
              <w:rPr>
                <w:sz w:val="22"/>
                <w:lang w:val="et-EE"/>
              </w:rPr>
            </w:pPr>
            <w:r>
              <w:rPr>
                <w:sz w:val="22"/>
                <w:szCs w:val="22"/>
              </w:rPr>
              <w:t>4</w:t>
            </w:r>
            <w:r w:rsidRPr="00E161F7">
              <w:rPr>
                <w:sz w:val="22"/>
                <w:szCs w:val="22"/>
              </w:rPr>
              <w:t> pav.</w:t>
            </w:r>
          </w:p>
        </w:tc>
        <w:tc>
          <w:tcPr>
            <w:tcW w:w="5947" w:type="dxa"/>
          </w:tcPr>
          <w:p w14:paraId="214DD4A1" w14:textId="77777777" w:rsidR="002E14B2" w:rsidRPr="00AB2F7B" w:rsidRDefault="002E14B2" w:rsidP="00EE21E9">
            <w:pPr>
              <w:pStyle w:val="Default"/>
              <w:jc w:val="both"/>
              <w:rPr>
                <w:sz w:val="22"/>
                <w:lang w:val="et-EE"/>
              </w:rPr>
            </w:pPr>
          </w:p>
        </w:tc>
      </w:tr>
    </w:tbl>
    <w:p w14:paraId="38BA36ED" w14:textId="77777777" w:rsidR="002E14B2" w:rsidRPr="00D70708" w:rsidRDefault="002E14B2" w:rsidP="002E14B2">
      <w:pPr>
        <w:autoSpaceDE w:val="0"/>
        <w:autoSpaceDN w:val="0"/>
        <w:adjustRightInd w:val="0"/>
        <w:ind w:left="567"/>
        <w:jc w:val="both"/>
        <w:rPr>
          <w:rFonts w:eastAsia="Times New Roman" w:cs="Arial"/>
          <w:noProof/>
          <w:color w:val="000000"/>
          <w:szCs w:val="24"/>
          <w:lang w:eastAsia="de-AT"/>
        </w:rPr>
      </w:pPr>
    </w:p>
    <w:p w14:paraId="5AD9F544" w14:textId="77777777" w:rsidR="002E14B2" w:rsidRPr="00073D00" w:rsidRDefault="002E14B2" w:rsidP="002E14B2">
      <w:pPr>
        <w:pStyle w:val="Sraopastraipa"/>
        <w:keepNext/>
        <w:numPr>
          <w:ilvl w:val="0"/>
          <w:numId w:val="39"/>
        </w:numPr>
        <w:rPr>
          <w:rFonts w:eastAsiaTheme="minorHAnsi" w:cstheme="minorBidi"/>
          <w:color w:val="000000"/>
          <w:kern w:val="2"/>
          <w14:ligatures w14:val="standardContextual"/>
        </w:rPr>
      </w:pPr>
      <w:r w:rsidRPr="00D70708">
        <w:rPr>
          <w:rFonts w:eastAsiaTheme="minorHAnsi" w:cstheme="minorBidi"/>
          <w:color w:val="000000"/>
          <w:kern w:val="2"/>
          <w14:ligatures w14:val="standardContextual"/>
        </w:rPr>
        <w:t xml:space="preserve">Laikydami tirpiklio flakoną pritvirtintą, švelniai pasukiokite </w:t>
      </w:r>
      <w:r w:rsidRPr="00073D00">
        <w:rPr>
          <w:rFonts w:eastAsiaTheme="minorHAnsi" w:cstheme="minorBidi"/>
          <w:color w:val="000000"/>
          <w:kern w:val="2"/>
          <w14:ligatures w14:val="standardContextual"/>
        </w:rPr>
        <w:t xml:space="preserve">fibryga </w:t>
      </w:r>
      <w:r w:rsidRPr="00D70708">
        <w:rPr>
          <w:rFonts w:eastAsiaTheme="minorHAnsi" w:cstheme="minorBidi"/>
          <w:color w:val="000000"/>
          <w:kern w:val="2"/>
          <w14:ligatures w14:val="standardContextual"/>
        </w:rPr>
        <w:t>buteliuką, kol milteliai visiškai ištirps. Nekratykite buteliuko, kad neatsirastų putų. Miltelius reikia visiškai ištirpinti per maždaug 5 minutes. Miltelius reikia tirpinti ne ilgiau kaip 20 minučių. Jeigu milteliai neištirpsta per 20 minučių, vaistinį preparatą reikia išmesti.</w:t>
      </w:r>
    </w:p>
    <w:p w14:paraId="76A3235E" w14:textId="77777777" w:rsidR="002E14B2" w:rsidRPr="00073D00" w:rsidRDefault="002E14B2" w:rsidP="002E14B2">
      <w:pPr>
        <w:pStyle w:val="Sraopastraipa"/>
        <w:keepNext/>
        <w:numPr>
          <w:ilvl w:val="0"/>
          <w:numId w:val="39"/>
        </w:numPr>
        <w:rPr>
          <w:rFonts w:eastAsiaTheme="minorHAnsi" w:cstheme="minorBidi"/>
          <w:color w:val="000000"/>
          <w:kern w:val="2"/>
          <w14:ligatures w14:val="standardContextual"/>
        </w:rPr>
      </w:pPr>
      <w:r w:rsidRPr="00D70708">
        <w:rPr>
          <w:rFonts w:eastAsiaTheme="minorHAnsi" w:cstheme="minorBidi"/>
          <w:color w:val="000000"/>
          <w:kern w:val="2"/>
          <w14:ligatures w14:val="standardContextual"/>
        </w:rPr>
        <w:t>Retais atvejais, kai perkeliant injekcinį vandenį galima pastebėti plaukiojančių neištirpusių miltelių arba ruošimo laikas gali būti neįprastai ilgas, tirpinimo procesą galima paspartinti, intensyviau maišant flakoną horizontaliai.</w:t>
      </w:r>
    </w:p>
    <w:p w14:paraId="6B90BC0A" w14:textId="77777777" w:rsidR="002E14B2" w:rsidRPr="00073D00" w:rsidRDefault="002E14B2" w:rsidP="002E14B2">
      <w:pPr>
        <w:pStyle w:val="Sraopastraipa"/>
        <w:keepNext/>
        <w:numPr>
          <w:ilvl w:val="0"/>
          <w:numId w:val="39"/>
        </w:numPr>
        <w:rPr>
          <w:rFonts w:eastAsiaTheme="minorHAnsi" w:cstheme="minorBidi"/>
          <w:color w:val="000000"/>
          <w:kern w:val="2"/>
          <w14:ligatures w14:val="standardContextual"/>
        </w:rPr>
      </w:pPr>
      <w:r w:rsidRPr="00D70708">
        <w:rPr>
          <w:rFonts w:eastAsiaTheme="minorHAnsi" w:cstheme="minorBidi"/>
          <w:color w:val="000000"/>
          <w:kern w:val="2"/>
          <w14:ligatures w14:val="standardContextual"/>
        </w:rPr>
        <w:t xml:space="preserve">Paruošę tirpalą, atjunkite perkėlimo įtaisą (mėlynąją dalį), sukdami prieš laikrodžio rodyklę (5 pav.). Nelieskite </w:t>
      </w:r>
      <w:r w:rsidRPr="00073D00">
        <w:rPr>
          <w:rFonts w:eastAsiaTheme="minorHAnsi" w:cstheme="minorBidi"/>
          <w:color w:val="000000"/>
          <w:kern w:val="2"/>
          <w14:ligatures w14:val="standardContextual"/>
        </w:rPr>
        <w:t>Luer Lock</w:t>
      </w:r>
      <w:r w:rsidRPr="00D70708">
        <w:rPr>
          <w:rFonts w:eastAsiaTheme="minorHAnsi" w:cstheme="minorBidi"/>
          <w:color w:val="000000"/>
          <w:kern w:val="2"/>
          <w14:ligatures w14:val="standardContextual"/>
        </w:rPr>
        <w:t xml:space="preserve"> jungties, esančios ant baltosios perkėlimo įtaiso dalies.</w:t>
      </w:r>
    </w:p>
    <w:p w14:paraId="2A8AC53E" w14:textId="77777777" w:rsidR="002E14B2" w:rsidRPr="00D70708" w:rsidRDefault="002E14B2" w:rsidP="002E14B2">
      <w:pPr>
        <w:autoSpaceDE w:val="0"/>
        <w:autoSpaceDN w:val="0"/>
        <w:adjustRightInd w:val="0"/>
        <w:ind w:left="567"/>
        <w:jc w:val="both"/>
        <w:rPr>
          <w:rFonts w:eastAsia="Times New Roman" w:cs="Arial"/>
          <w:noProof/>
          <w:color w:val="000000"/>
          <w:szCs w:val="24"/>
        </w:rPr>
      </w:pPr>
    </w:p>
    <w:tbl>
      <w:tblPr>
        <w:tblStyle w:val="Lentelstinklelis"/>
        <w:tblW w:w="8635"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64"/>
        <w:gridCol w:w="5871"/>
      </w:tblGrid>
      <w:tr w:rsidR="002E14B2" w:rsidRPr="00AB2F7B" w14:paraId="6C19BF11" w14:textId="77777777" w:rsidTr="00EE21E9">
        <w:trPr>
          <w:cantSplit/>
        </w:trPr>
        <w:tc>
          <w:tcPr>
            <w:tcW w:w="2764" w:type="dxa"/>
          </w:tcPr>
          <w:p w14:paraId="28BDADDF" w14:textId="77777777" w:rsidR="002E14B2" w:rsidRPr="00AB2F7B" w:rsidRDefault="002E14B2" w:rsidP="00EE21E9">
            <w:pPr>
              <w:pStyle w:val="Default"/>
              <w:ind w:left="27"/>
              <w:jc w:val="both"/>
              <w:rPr>
                <w:sz w:val="22"/>
                <w:lang w:val="et-EE"/>
              </w:rPr>
            </w:pPr>
            <w:r w:rsidRPr="002458C0">
              <w:rPr>
                <w:noProof/>
                <w:sz w:val="22"/>
                <w:lang w:val="lt-LT" w:eastAsia="lt-LT"/>
              </w:rPr>
              <w:lastRenderedPageBreak/>
              <w:drawing>
                <wp:inline distT="0" distB="0" distL="0" distR="0" wp14:anchorId="3A5FD466" wp14:editId="0964331C">
                  <wp:extent cx="1590897" cy="1838582"/>
                  <wp:effectExtent l="0" t="0" r="9525" b="9525"/>
                  <wp:docPr id="289535200" name="Picture 289535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717028" name=""/>
                          <pic:cNvPicPr/>
                        </pic:nvPicPr>
                        <pic:blipFill>
                          <a:blip r:embed="rId15"/>
                          <a:stretch>
                            <a:fillRect/>
                          </a:stretch>
                        </pic:blipFill>
                        <pic:spPr>
                          <a:xfrm>
                            <a:off x="0" y="0"/>
                            <a:ext cx="1590897" cy="1838582"/>
                          </a:xfrm>
                          <a:prstGeom prst="rect">
                            <a:avLst/>
                          </a:prstGeom>
                        </pic:spPr>
                      </pic:pic>
                    </a:graphicData>
                  </a:graphic>
                </wp:inline>
              </w:drawing>
            </w:r>
          </w:p>
        </w:tc>
        <w:tc>
          <w:tcPr>
            <w:tcW w:w="5871" w:type="dxa"/>
          </w:tcPr>
          <w:p w14:paraId="0FC40F65" w14:textId="77777777" w:rsidR="002E14B2" w:rsidRDefault="002E14B2" w:rsidP="00EE21E9">
            <w:pPr>
              <w:rPr>
                <w:color w:val="000000"/>
              </w:rPr>
            </w:pPr>
            <w:r w:rsidRPr="00073D00">
              <w:rPr>
                <w:color w:val="000000"/>
              </w:rPr>
              <w:t xml:space="preserve">Tuščias </w:t>
            </w:r>
          </w:p>
          <w:p w14:paraId="6F8F3ED3" w14:textId="77777777" w:rsidR="002E14B2" w:rsidRDefault="002E14B2" w:rsidP="00EE21E9">
            <w:pPr>
              <w:rPr>
                <w:color w:val="000000"/>
              </w:rPr>
            </w:pPr>
            <w:r w:rsidRPr="00073D00">
              <w:rPr>
                <w:color w:val="000000"/>
              </w:rPr>
              <w:t xml:space="preserve">tirpiklio </w:t>
            </w:r>
          </w:p>
          <w:p w14:paraId="656A1A23" w14:textId="77777777" w:rsidR="002E14B2" w:rsidRPr="00073D00" w:rsidRDefault="002E14B2" w:rsidP="00EE21E9">
            <w:pPr>
              <w:rPr>
                <w:rFonts w:eastAsia="Times New Roman"/>
                <w:color w:val="000000"/>
                <w:kern w:val="24"/>
              </w:rPr>
            </w:pPr>
            <w:r w:rsidRPr="00073D00">
              <w:rPr>
                <w:color w:val="000000"/>
              </w:rPr>
              <w:t>flakonas</w:t>
            </w:r>
          </w:p>
          <w:p w14:paraId="3279A9BA" w14:textId="77777777" w:rsidR="002E14B2" w:rsidRPr="00AB2F7B" w:rsidRDefault="002E14B2" w:rsidP="00EE21E9">
            <w:pPr>
              <w:pStyle w:val="Default"/>
              <w:ind w:left="27"/>
              <w:jc w:val="both"/>
              <w:rPr>
                <w:sz w:val="22"/>
                <w:lang w:val="et-EE"/>
              </w:rPr>
            </w:pPr>
          </w:p>
          <w:p w14:paraId="00710576" w14:textId="77777777" w:rsidR="002E14B2" w:rsidRPr="00AB2F7B" w:rsidRDefault="002E14B2" w:rsidP="00EE21E9">
            <w:pPr>
              <w:pStyle w:val="Default"/>
              <w:ind w:left="27"/>
              <w:jc w:val="both"/>
              <w:rPr>
                <w:sz w:val="22"/>
                <w:lang w:val="et-EE"/>
              </w:rPr>
            </w:pPr>
          </w:p>
          <w:p w14:paraId="0AEB3EE3" w14:textId="77777777" w:rsidR="002E14B2" w:rsidRPr="00AB2F7B" w:rsidRDefault="002E14B2" w:rsidP="00EE21E9">
            <w:pPr>
              <w:pStyle w:val="Default"/>
              <w:ind w:left="27"/>
              <w:jc w:val="both"/>
              <w:rPr>
                <w:sz w:val="22"/>
                <w:lang w:val="et-EE"/>
              </w:rPr>
            </w:pPr>
          </w:p>
          <w:p w14:paraId="7DD834B9" w14:textId="77777777" w:rsidR="002E14B2" w:rsidRPr="00AB2F7B" w:rsidRDefault="002E14B2" w:rsidP="00EE21E9">
            <w:pPr>
              <w:pStyle w:val="Default"/>
              <w:ind w:left="27"/>
              <w:jc w:val="both"/>
              <w:rPr>
                <w:sz w:val="22"/>
                <w:lang w:val="et-EE"/>
              </w:rPr>
            </w:pPr>
          </w:p>
          <w:p w14:paraId="6A6B93A1" w14:textId="77777777" w:rsidR="002E14B2" w:rsidRDefault="002E14B2" w:rsidP="00EE21E9">
            <w:pPr>
              <w:rPr>
                <w:color w:val="000000"/>
              </w:rPr>
            </w:pPr>
            <w:r w:rsidRPr="00073D00">
              <w:rPr>
                <w:color w:val="000000"/>
              </w:rPr>
              <w:t xml:space="preserve">Paruoštas </w:t>
            </w:r>
          </w:p>
          <w:p w14:paraId="3C0B77CE" w14:textId="77777777" w:rsidR="002E14B2" w:rsidRDefault="002E14B2" w:rsidP="00EE21E9">
            <w:pPr>
              <w:rPr>
                <w:color w:val="000000"/>
              </w:rPr>
            </w:pPr>
            <w:r w:rsidRPr="00073D00">
              <w:rPr>
                <w:color w:val="000000"/>
              </w:rPr>
              <w:t xml:space="preserve">fibryga </w:t>
            </w:r>
          </w:p>
          <w:p w14:paraId="1EFFFE64" w14:textId="77777777" w:rsidR="002E14B2" w:rsidRPr="00073D00" w:rsidRDefault="002E14B2" w:rsidP="00EE21E9">
            <w:pPr>
              <w:rPr>
                <w:rFonts w:eastAsia="Times New Roman"/>
                <w:color w:val="000000"/>
                <w:kern w:val="24"/>
                <w:sz w:val="20"/>
              </w:rPr>
            </w:pPr>
            <w:r w:rsidRPr="00073D00">
              <w:rPr>
                <w:color w:val="000000"/>
                <w:sz w:val="20"/>
              </w:rPr>
              <w:t>buteliukas</w:t>
            </w:r>
          </w:p>
          <w:p w14:paraId="5DCF1306" w14:textId="77777777" w:rsidR="002E14B2" w:rsidRPr="00AB2F7B" w:rsidRDefault="002E14B2" w:rsidP="00EE21E9">
            <w:pPr>
              <w:pStyle w:val="Default"/>
              <w:ind w:left="27"/>
              <w:jc w:val="both"/>
              <w:rPr>
                <w:sz w:val="22"/>
                <w:lang w:val="et-EE"/>
              </w:rPr>
            </w:pPr>
          </w:p>
        </w:tc>
      </w:tr>
      <w:tr w:rsidR="002E14B2" w:rsidRPr="00AB2F7B" w14:paraId="04FBD7A9" w14:textId="77777777" w:rsidTr="00EE21E9">
        <w:trPr>
          <w:cantSplit/>
        </w:trPr>
        <w:tc>
          <w:tcPr>
            <w:tcW w:w="2764" w:type="dxa"/>
            <w:vAlign w:val="center"/>
          </w:tcPr>
          <w:p w14:paraId="32C3F2FA" w14:textId="77777777" w:rsidR="002E14B2" w:rsidRPr="00AB2F7B" w:rsidRDefault="002E14B2" w:rsidP="00EE21E9">
            <w:pPr>
              <w:pStyle w:val="Default"/>
              <w:ind w:left="27"/>
              <w:jc w:val="center"/>
              <w:rPr>
                <w:sz w:val="22"/>
                <w:lang w:val="et-EE"/>
              </w:rPr>
            </w:pPr>
            <w:r>
              <w:rPr>
                <w:sz w:val="22"/>
                <w:szCs w:val="22"/>
              </w:rPr>
              <w:t>5</w:t>
            </w:r>
            <w:r w:rsidRPr="00E161F7">
              <w:rPr>
                <w:sz w:val="22"/>
                <w:szCs w:val="22"/>
              </w:rPr>
              <w:t> pav.</w:t>
            </w:r>
          </w:p>
        </w:tc>
        <w:tc>
          <w:tcPr>
            <w:tcW w:w="5871" w:type="dxa"/>
          </w:tcPr>
          <w:p w14:paraId="224D27C8" w14:textId="77777777" w:rsidR="002E14B2" w:rsidRPr="00AB2F7B" w:rsidRDefault="002E14B2" w:rsidP="00EE21E9">
            <w:pPr>
              <w:pStyle w:val="Default"/>
              <w:ind w:left="27"/>
              <w:jc w:val="both"/>
              <w:rPr>
                <w:sz w:val="22"/>
                <w:lang w:val="et-EE"/>
              </w:rPr>
            </w:pPr>
          </w:p>
        </w:tc>
      </w:tr>
    </w:tbl>
    <w:p w14:paraId="4C8D241E" w14:textId="77777777" w:rsidR="002E14B2" w:rsidRPr="00D70708" w:rsidRDefault="002E14B2" w:rsidP="002E14B2">
      <w:pPr>
        <w:autoSpaceDE w:val="0"/>
        <w:autoSpaceDN w:val="0"/>
        <w:adjustRightInd w:val="0"/>
        <w:ind w:left="567"/>
        <w:jc w:val="both"/>
        <w:rPr>
          <w:rFonts w:eastAsia="Times New Roman" w:cs="Arial"/>
          <w:noProof/>
          <w:color w:val="000000"/>
          <w:szCs w:val="24"/>
          <w:lang w:eastAsia="de-AT"/>
        </w:rPr>
      </w:pPr>
    </w:p>
    <w:p w14:paraId="5DAF75CD" w14:textId="77777777" w:rsidR="002E14B2" w:rsidRPr="00073D00" w:rsidRDefault="002E14B2" w:rsidP="002E14B2">
      <w:pPr>
        <w:pStyle w:val="Sraopastraipa"/>
        <w:keepNext/>
        <w:numPr>
          <w:ilvl w:val="0"/>
          <w:numId w:val="39"/>
        </w:numPr>
        <w:rPr>
          <w:rFonts w:eastAsia="Times New Roman" w:cs="Arial"/>
          <w:noProof/>
          <w:color w:val="000000"/>
          <w:szCs w:val="24"/>
        </w:rPr>
      </w:pPr>
      <w:r w:rsidRPr="00D70708">
        <w:rPr>
          <w:rFonts w:eastAsiaTheme="minorHAnsi" w:cstheme="minorBidi"/>
          <w:color w:val="000000"/>
          <w:kern w:val="2"/>
          <w14:ligatures w14:val="standardContextual"/>
        </w:rPr>
        <w:t>Išmeskite tuščią tirpiklio flakoną kartu su mėlynąja perkėlimo įtaiso dalimi.</w:t>
      </w:r>
    </w:p>
    <w:p w14:paraId="2F4730AF" w14:textId="77777777" w:rsidR="002E14B2" w:rsidRPr="00073D00" w:rsidRDefault="002E14B2" w:rsidP="002E14B2">
      <w:pPr>
        <w:keepNext/>
        <w:rPr>
          <w:rFonts w:eastAsia="Times New Roman" w:cs="Arial"/>
          <w:noProof/>
          <w:color w:val="000000"/>
          <w:szCs w:val="24"/>
        </w:rPr>
      </w:pPr>
    </w:p>
    <w:p w14:paraId="5923830A" w14:textId="77777777" w:rsidR="002E14B2" w:rsidRDefault="002E14B2" w:rsidP="002E14B2">
      <w:pPr>
        <w:pStyle w:val="Antrat4"/>
      </w:pPr>
      <w:r w:rsidRPr="00D70708">
        <w:t>Vartojimas</w:t>
      </w:r>
    </w:p>
    <w:p w14:paraId="4266EBD4" w14:textId="77777777" w:rsidR="002E14B2" w:rsidRPr="00073D00" w:rsidRDefault="002E14B2" w:rsidP="002E14B2">
      <w:pPr>
        <w:keepNext/>
      </w:pPr>
    </w:p>
    <w:p w14:paraId="0171EBA7" w14:textId="77777777" w:rsidR="002E14B2" w:rsidRPr="00D70708" w:rsidRDefault="002E14B2" w:rsidP="002E14B2">
      <w:pPr>
        <w:numPr>
          <w:ilvl w:val="0"/>
          <w:numId w:val="38"/>
        </w:numPr>
        <w:autoSpaceDE w:val="0"/>
        <w:autoSpaceDN w:val="0"/>
        <w:adjustRightInd w:val="0"/>
        <w:rPr>
          <w:rFonts w:eastAsia="Times New Roman" w:cs="Arial"/>
          <w:noProof/>
          <w:color w:val="000000"/>
          <w:szCs w:val="24"/>
        </w:rPr>
      </w:pPr>
      <w:r w:rsidRPr="00D70708">
        <w:rPr>
          <w:rFonts w:eastAsiaTheme="minorHAnsi" w:cstheme="minorBidi"/>
          <w:color w:val="000000"/>
          <w:kern w:val="2"/>
          <w14:ligatures w14:val="standardContextual"/>
        </w:rPr>
        <w:t xml:space="preserve">Atsargiai prijunkite švirkštą prie </w:t>
      </w:r>
      <w:r w:rsidRPr="00D70708">
        <w:rPr>
          <w:rFonts w:eastAsiaTheme="minorHAnsi" w:cstheme="minorBidi"/>
          <w:i/>
          <w:iCs/>
          <w:color w:val="000000"/>
          <w:kern w:val="2"/>
          <w14:ligatures w14:val="standardContextual"/>
        </w:rPr>
        <w:t>Luer Lock</w:t>
      </w:r>
      <w:r w:rsidRPr="00D70708">
        <w:rPr>
          <w:rFonts w:eastAsiaTheme="minorHAnsi" w:cstheme="minorBidi"/>
          <w:color w:val="000000"/>
          <w:kern w:val="2"/>
          <w14:ligatures w14:val="standardContextual"/>
        </w:rPr>
        <w:t xml:space="preserve"> jungties, esančios ant perkėlimo įtaiso baltosios dalies</w:t>
      </w:r>
      <w:r>
        <w:rPr>
          <w:rFonts w:eastAsiaTheme="minorHAnsi" w:cstheme="minorBidi"/>
          <w:color w:val="000000"/>
          <w:kern w:val="2"/>
          <w14:ligatures w14:val="standardContextual"/>
        </w:rPr>
        <w:t xml:space="preserve"> </w:t>
      </w:r>
      <w:r w:rsidRPr="00D70708">
        <w:rPr>
          <w:rFonts w:eastAsiaTheme="minorHAnsi" w:cstheme="minorBidi"/>
          <w:color w:val="000000"/>
          <w:kern w:val="2"/>
          <w14:ligatures w14:val="standardContextual"/>
        </w:rPr>
        <w:t>(6 pav.).</w:t>
      </w:r>
    </w:p>
    <w:p w14:paraId="0A6A0BA9" w14:textId="77777777" w:rsidR="002E14B2" w:rsidRPr="00D70708" w:rsidRDefault="002E14B2" w:rsidP="002E14B2">
      <w:pPr>
        <w:numPr>
          <w:ilvl w:val="0"/>
          <w:numId w:val="38"/>
        </w:numPr>
        <w:autoSpaceDE w:val="0"/>
        <w:autoSpaceDN w:val="0"/>
        <w:adjustRightInd w:val="0"/>
        <w:rPr>
          <w:rFonts w:eastAsia="Times New Roman" w:cs="Arial"/>
          <w:noProof/>
          <w:color w:val="000000"/>
          <w:szCs w:val="24"/>
        </w:rPr>
      </w:pPr>
      <w:r w:rsidRPr="00D70708">
        <w:rPr>
          <w:rFonts w:eastAsiaTheme="minorHAnsi" w:cstheme="minorBidi"/>
          <w:color w:val="000000"/>
          <w:kern w:val="2"/>
          <w14:ligatures w14:val="standardContextual"/>
        </w:rPr>
        <w:t xml:space="preserve">Apverskite </w:t>
      </w:r>
      <w:r>
        <w:t>fibryga</w:t>
      </w:r>
      <w:r w:rsidRPr="008D2F2F">
        <w:t xml:space="preserve"> </w:t>
      </w:r>
      <w:r w:rsidRPr="00D70708">
        <w:rPr>
          <w:rFonts w:eastAsiaTheme="minorHAnsi" w:cstheme="minorBidi"/>
          <w:color w:val="000000"/>
          <w:kern w:val="2"/>
          <w14:ligatures w14:val="standardContextual"/>
        </w:rPr>
        <w:t>buteliuką ir įtraukite tirpalą į švirkštą (7 pav.).</w:t>
      </w:r>
    </w:p>
    <w:p w14:paraId="214E0965" w14:textId="77777777" w:rsidR="002E14B2" w:rsidRPr="00D70708" w:rsidRDefault="002E14B2" w:rsidP="002E14B2">
      <w:pPr>
        <w:keepNext/>
        <w:autoSpaceDE w:val="0"/>
        <w:autoSpaceDN w:val="0"/>
        <w:adjustRightInd w:val="0"/>
        <w:ind w:left="567"/>
        <w:jc w:val="both"/>
        <w:rPr>
          <w:rFonts w:eastAsia="Times New Roman" w:cs="Arial"/>
          <w:noProof/>
          <w:color w:val="000000"/>
          <w:szCs w:val="24"/>
        </w:rPr>
      </w:pPr>
    </w:p>
    <w:tbl>
      <w:tblPr>
        <w:tblStyle w:val="Lentelstinklelis"/>
        <w:tblW w:w="8636"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26"/>
        <w:gridCol w:w="2092"/>
        <w:gridCol w:w="2226"/>
        <w:gridCol w:w="2092"/>
      </w:tblGrid>
      <w:tr w:rsidR="002E14B2" w:rsidRPr="00AB2F7B" w14:paraId="30B5E51F" w14:textId="77777777" w:rsidTr="00EE21E9">
        <w:trPr>
          <w:cantSplit/>
        </w:trPr>
        <w:tc>
          <w:tcPr>
            <w:tcW w:w="2226" w:type="dxa"/>
          </w:tcPr>
          <w:p w14:paraId="49CB331B" w14:textId="77777777" w:rsidR="002E14B2" w:rsidRPr="00AB2F7B" w:rsidRDefault="002E14B2" w:rsidP="00EE21E9">
            <w:pPr>
              <w:pStyle w:val="Default"/>
              <w:keepNext/>
              <w:keepLines/>
              <w:ind w:left="27" w:hanging="27"/>
              <w:jc w:val="both"/>
              <w:rPr>
                <w:sz w:val="22"/>
                <w:lang w:val="et-EE"/>
              </w:rPr>
            </w:pPr>
            <w:r w:rsidRPr="002458C0">
              <w:rPr>
                <w:noProof/>
                <w:sz w:val="22"/>
                <w:lang w:val="lt-LT" w:eastAsia="lt-LT"/>
              </w:rPr>
              <w:drawing>
                <wp:inline distT="0" distB="0" distL="0" distR="0" wp14:anchorId="64097BC8" wp14:editId="5ADE93DA">
                  <wp:extent cx="1276528" cy="2086266"/>
                  <wp:effectExtent l="0" t="0" r="0" b="9525"/>
                  <wp:docPr id="1827039229" name="Picture 182703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31336" name=""/>
                          <pic:cNvPicPr/>
                        </pic:nvPicPr>
                        <pic:blipFill>
                          <a:blip r:embed="rId16"/>
                          <a:stretch>
                            <a:fillRect/>
                          </a:stretch>
                        </pic:blipFill>
                        <pic:spPr>
                          <a:xfrm>
                            <a:off x="0" y="0"/>
                            <a:ext cx="1276528" cy="2086266"/>
                          </a:xfrm>
                          <a:prstGeom prst="rect">
                            <a:avLst/>
                          </a:prstGeom>
                        </pic:spPr>
                      </pic:pic>
                    </a:graphicData>
                  </a:graphic>
                </wp:inline>
              </w:drawing>
            </w:r>
          </w:p>
        </w:tc>
        <w:tc>
          <w:tcPr>
            <w:tcW w:w="2092" w:type="dxa"/>
            <w:vAlign w:val="bottom"/>
          </w:tcPr>
          <w:p w14:paraId="137478FA" w14:textId="77777777" w:rsidR="002E14B2" w:rsidRDefault="002E14B2" w:rsidP="00EE21E9">
            <w:pPr>
              <w:rPr>
                <w:color w:val="000000"/>
              </w:rPr>
            </w:pPr>
            <w:r w:rsidRPr="00EE21E9">
              <w:rPr>
                <w:color w:val="000000"/>
              </w:rPr>
              <w:t xml:space="preserve">Paruoštas </w:t>
            </w:r>
          </w:p>
          <w:p w14:paraId="7651C8A9" w14:textId="77777777" w:rsidR="002E14B2" w:rsidRDefault="002E14B2" w:rsidP="00EE21E9">
            <w:pPr>
              <w:rPr>
                <w:color w:val="000000"/>
              </w:rPr>
            </w:pPr>
            <w:r w:rsidRPr="00EE21E9">
              <w:rPr>
                <w:color w:val="000000"/>
              </w:rPr>
              <w:t xml:space="preserve">fibryga </w:t>
            </w:r>
          </w:p>
          <w:p w14:paraId="3A8C044A" w14:textId="77777777" w:rsidR="002E14B2" w:rsidRPr="00EE21E9" w:rsidRDefault="002E14B2" w:rsidP="00EE21E9">
            <w:pPr>
              <w:rPr>
                <w:rFonts w:eastAsia="Times New Roman"/>
                <w:color w:val="000000"/>
                <w:kern w:val="24"/>
              </w:rPr>
            </w:pPr>
            <w:r w:rsidRPr="00EE21E9">
              <w:rPr>
                <w:color w:val="000000"/>
              </w:rPr>
              <w:t>buteliukas</w:t>
            </w:r>
          </w:p>
          <w:p w14:paraId="288D5F54" w14:textId="77777777" w:rsidR="002E14B2" w:rsidRPr="00AB2F7B" w:rsidRDefault="002E14B2" w:rsidP="00EE21E9">
            <w:pPr>
              <w:pStyle w:val="Default"/>
              <w:ind w:left="27" w:hanging="27"/>
              <w:rPr>
                <w:sz w:val="22"/>
                <w:lang w:val="et-EE"/>
              </w:rPr>
            </w:pPr>
          </w:p>
        </w:tc>
        <w:tc>
          <w:tcPr>
            <w:tcW w:w="2226" w:type="dxa"/>
          </w:tcPr>
          <w:p w14:paraId="528EE831" w14:textId="77777777" w:rsidR="002E14B2" w:rsidRPr="00AB2F7B" w:rsidRDefault="002E14B2" w:rsidP="00EE21E9">
            <w:pPr>
              <w:pStyle w:val="Default"/>
              <w:keepNext/>
              <w:keepLines/>
              <w:ind w:left="27" w:hanging="27"/>
              <w:jc w:val="both"/>
              <w:rPr>
                <w:sz w:val="22"/>
                <w:lang w:val="et-EE"/>
              </w:rPr>
            </w:pPr>
            <w:r w:rsidRPr="002458C0">
              <w:rPr>
                <w:noProof/>
                <w:sz w:val="22"/>
                <w:lang w:val="lt-LT" w:eastAsia="lt-LT"/>
              </w:rPr>
              <w:drawing>
                <wp:inline distT="0" distB="0" distL="0" distR="0" wp14:anchorId="27DAF720" wp14:editId="164753CE">
                  <wp:extent cx="1267002" cy="2086266"/>
                  <wp:effectExtent l="0" t="0" r="9525" b="9525"/>
                  <wp:docPr id="1232830700" name="Picture 1232830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612611" name=""/>
                          <pic:cNvPicPr/>
                        </pic:nvPicPr>
                        <pic:blipFill>
                          <a:blip r:embed="rId17"/>
                          <a:stretch>
                            <a:fillRect/>
                          </a:stretch>
                        </pic:blipFill>
                        <pic:spPr>
                          <a:xfrm>
                            <a:off x="0" y="0"/>
                            <a:ext cx="1267002" cy="2086266"/>
                          </a:xfrm>
                          <a:prstGeom prst="rect">
                            <a:avLst/>
                          </a:prstGeom>
                        </pic:spPr>
                      </pic:pic>
                    </a:graphicData>
                  </a:graphic>
                </wp:inline>
              </w:drawing>
            </w:r>
          </w:p>
        </w:tc>
        <w:tc>
          <w:tcPr>
            <w:tcW w:w="2092" w:type="dxa"/>
          </w:tcPr>
          <w:p w14:paraId="4F6E6F00" w14:textId="77777777" w:rsidR="002E14B2" w:rsidRPr="00AB2F7B" w:rsidRDefault="002E14B2" w:rsidP="00EE21E9">
            <w:pPr>
              <w:pStyle w:val="Default"/>
              <w:ind w:left="27" w:hanging="27"/>
              <w:jc w:val="both"/>
              <w:rPr>
                <w:sz w:val="22"/>
                <w:lang w:val="et-EE"/>
              </w:rPr>
            </w:pPr>
          </w:p>
          <w:p w14:paraId="5AA52C9D" w14:textId="77777777" w:rsidR="002E14B2" w:rsidRDefault="002E14B2" w:rsidP="00EE21E9">
            <w:pPr>
              <w:rPr>
                <w:color w:val="000000"/>
              </w:rPr>
            </w:pPr>
            <w:r w:rsidRPr="00EE21E9">
              <w:rPr>
                <w:color w:val="000000"/>
              </w:rPr>
              <w:t xml:space="preserve">Paruoštas </w:t>
            </w:r>
          </w:p>
          <w:p w14:paraId="0DAD662B" w14:textId="77777777" w:rsidR="002E14B2" w:rsidRDefault="002E14B2" w:rsidP="00EE21E9">
            <w:pPr>
              <w:rPr>
                <w:color w:val="000000"/>
              </w:rPr>
            </w:pPr>
            <w:r w:rsidRPr="00EE21E9">
              <w:rPr>
                <w:color w:val="000000"/>
              </w:rPr>
              <w:t xml:space="preserve">fibryga </w:t>
            </w:r>
          </w:p>
          <w:p w14:paraId="50353F03" w14:textId="77777777" w:rsidR="002E14B2" w:rsidRPr="00EE21E9" w:rsidRDefault="002E14B2" w:rsidP="00EE21E9">
            <w:pPr>
              <w:rPr>
                <w:rFonts w:eastAsia="Times New Roman"/>
                <w:color w:val="000000"/>
                <w:kern w:val="24"/>
              </w:rPr>
            </w:pPr>
            <w:r w:rsidRPr="00EE21E9">
              <w:rPr>
                <w:color w:val="000000"/>
              </w:rPr>
              <w:t>buteliukas</w:t>
            </w:r>
          </w:p>
          <w:p w14:paraId="25BF2331" w14:textId="77777777" w:rsidR="002E14B2" w:rsidRPr="00AB2F7B" w:rsidRDefault="002E14B2" w:rsidP="00EE21E9">
            <w:pPr>
              <w:pStyle w:val="Default"/>
              <w:keepNext/>
              <w:keepLines/>
              <w:ind w:left="27" w:hanging="27"/>
              <w:jc w:val="both"/>
              <w:rPr>
                <w:sz w:val="22"/>
                <w:lang w:val="et-EE"/>
              </w:rPr>
            </w:pPr>
          </w:p>
        </w:tc>
      </w:tr>
      <w:tr w:rsidR="002E14B2" w:rsidRPr="00AB2F7B" w14:paraId="054E7C3C" w14:textId="77777777" w:rsidTr="00EE21E9">
        <w:trPr>
          <w:cantSplit/>
        </w:trPr>
        <w:tc>
          <w:tcPr>
            <w:tcW w:w="2226" w:type="dxa"/>
            <w:vAlign w:val="center"/>
          </w:tcPr>
          <w:p w14:paraId="4D239354" w14:textId="77777777" w:rsidR="002E14B2" w:rsidRPr="00AB2F7B" w:rsidRDefault="002E14B2" w:rsidP="00EE21E9">
            <w:pPr>
              <w:pStyle w:val="Default"/>
              <w:keepNext/>
              <w:keepLines/>
              <w:ind w:left="27" w:hanging="27"/>
              <w:jc w:val="center"/>
              <w:rPr>
                <w:sz w:val="22"/>
                <w:lang w:val="et-EE"/>
              </w:rPr>
            </w:pPr>
            <w:r>
              <w:rPr>
                <w:sz w:val="22"/>
                <w:lang w:val="et-EE"/>
              </w:rPr>
              <w:t>6 pav.</w:t>
            </w:r>
          </w:p>
        </w:tc>
        <w:tc>
          <w:tcPr>
            <w:tcW w:w="2092" w:type="dxa"/>
          </w:tcPr>
          <w:p w14:paraId="68D7D8C7" w14:textId="77777777" w:rsidR="002E14B2" w:rsidRPr="00AB2F7B" w:rsidRDefault="002E14B2" w:rsidP="00EE21E9">
            <w:pPr>
              <w:pStyle w:val="Default"/>
              <w:keepNext/>
              <w:keepLines/>
              <w:ind w:left="27" w:hanging="27"/>
              <w:jc w:val="both"/>
              <w:rPr>
                <w:sz w:val="22"/>
                <w:lang w:val="et-EE"/>
              </w:rPr>
            </w:pPr>
          </w:p>
        </w:tc>
        <w:tc>
          <w:tcPr>
            <w:tcW w:w="2226" w:type="dxa"/>
            <w:vAlign w:val="center"/>
          </w:tcPr>
          <w:p w14:paraId="3BA42D46" w14:textId="77777777" w:rsidR="002E14B2" w:rsidRPr="00AB2F7B" w:rsidRDefault="002E14B2" w:rsidP="00EE21E9">
            <w:pPr>
              <w:pStyle w:val="Default"/>
              <w:keepNext/>
              <w:keepLines/>
              <w:ind w:left="27" w:hanging="27"/>
              <w:jc w:val="center"/>
              <w:rPr>
                <w:sz w:val="22"/>
                <w:lang w:val="et-EE"/>
              </w:rPr>
            </w:pPr>
            <w:r>
              <w:rPr>
                <w:sz w:val="22"/>
                <w:lang w:val="et-EE"/>
              </w:rPr>
              <w:t>7 pav.</w:t>
            </w:r>
          </w:p>
        </w:tc>
        <w:tc>
          <w:tcPr>
            <w:tcW w:w="2092" w:type="dxa"/>
          </w:tcPr>
          <w:p w14:paraId="2469AE3F" w14:textId="77777777" w:rsidR="002E14B2" w:rsidRPr="00AB2F7B" w:rsidRDefault="002E14B2" w:rsidP="00EE21E9">
            <w:pPr>
              <w:pStyle w:val="Default"/>
              <w:keepNext/>
              <w:keepLines/>
              <w:ind w:left="27" w:hanging="27"/>
              <w:jc w:val="both"/>
              <w:rPr>
                <w:sz w:val="22"/>
                <w:lang w:val="et-EE"/>
              </w:rPr>
            </w:pPr>
          </w:p>
        </w:tc>
      </w:tr>
    </w:tbl>
    <w:p w14:paraId="2F00B901" w14:textId="77777777" w:rsidR="002E14B2" w:rsidRPr="00D70708" w:rsidRDefault="002E14B2" w:rsidP="002E14B2">
      <w:pPr>
        <w:autoSpaceDE w:val="0"/>
        <w:autoSpaceDN w:val="0"/>
        <w:adjustRightInd w:val="0"/>
        <w:ind w:left="567"/>
        <w:jc w:val="both"/>
        <w:rPr>
          <w:rFonts w:eastAsia="Times New Roman" w:cs="Arial"/>
          <w:noProof/>
          <w:color w:val="000000"/>
          <w:szCs w:val="24"/>
          <w:lang w:eastAsia="de-AT"/>
        </w:rPr>
      </w:pPr>
    </w:p>
    <w:p w14:paraId="49C61F79" w14:textId="77777777" w:rsidR="002E14B2" w:rsidRPr="00D70708" w:rsidRDefault="002E14B2" w:rsidP="002E14B2">
      <w:pPr>
        <w:numPr>
          <w:ilvl w:val="0"/>
          <w:numId w:val="38"/>
        </w:numPr>
        <w:autoSpaceDE w:val="0"/>
        <w:autoSpaceDN w:val="0"/>
        <w:adjustRightInd w:val="0"/>
        <w:rPr>
          <w:rFonts w:eastAsia="Times New Roman" w:cs="Arial"/>
          <w:noProof/>
          <w:color w:val="000000"/>
          <w:szCs w:val="24"/>
        </w:rPr>
      </w:pPr>
      <w:r w:rsidRPr="00D70708">
        <w:rPr>
          <w:rFonts w:eastAsiaTheme="minorHAnsi" w:cstheme="minorBidi"/>
          <w:color w:val="000000"/>
          <w:kern w:val="2"/>
          <w14:ligatures w14:val="standardContextual"/>
        </w:rPr>
        <w:t>Perkėlę tirpalą, tvirtai laikykite švirkšto korpusą (švirkšto stūmoklį nukreipę žemyn) ir nuimkite švirkštą nuo perkėlimo įtaiso (8 pav.).</w:t>
      </w:r>
    </w:p>
    <w:p w14:paraId="50B24311" w14:textId="77777777" w:rsidR="002E14B2" w:rsidRPr="00D70708" w:rsidRDefault="002E14B2" w:rsidP="002E14B2">
      <w:pPr>
        <w:autoSpaceDE w:val="0"/>
        <w:autoSpaceDN w:val="0"/>
        <w:adjustRightInd w:val="0"/>
        <w:ind w:left="567"/>
        <w:jc w:val="both"/>
        <w:rPr>
          <w:rFonts w:eastAsia="Times New Roman" w:cs="Arial"/>
          <w:noProof/>
          <w:color w:val="000000"/>
          <w:szCs w:val="24"/>
        </w:rPr>
      </w:pPr>
    </w:p>
    <w:tbl>
      <w:tblPr>
        <w:tblStyle w:val="Lentelstinklelis"/>
        <w:tblW w:w="8635"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30"/>
        <w:gridCol w:w="5805"/>
      </w:tblGrid>
      <w:tr w:rsidR="002E14B2" w:rsidRPr="00AB2F7B" w14:paraId="426DC8C2" w14:textId="77777777" w:rsidTr="00EE21E9">
        <w:trPr>
          <w:cantSplit/>
        </w:trPr>
        <w:tc>
          <w:tcPr>
            <w:tcW w:w="2830" w:type="dxa"/>
          </w:tcPr>
          <w:p w14:paraId="61C3C268" w14:textId="77777777" w:rsidR="002E14B2" w:rsidRPr="00AB2F7B" w:rsidRDefault="002E14B2" w:rsidP="00EE21E9">
            <w:pPr>
              <w:pStyle w:val="Default"/>
              <w:jc w:val="both"/>
              <w:rPr>
                <w:sz w:val="22"/>
                <w:lang w:val="et-EE"/>
              </w:rPr>
            </w:pPr>
            <w:r w:rsidRPr="002458C0">
              <w:rPr>
                <w:noProof/>
                <w:sz w:val="22"/>
                <w:lang w:val="lt-LT" w:eastAsia="lt-LT"/>
              </w:rPr>
              <w:drawing>
                <wp:inline distT="0" distB="0" distL="0" distR="0" wp14:anchorId="4966BCC2" wp14:editId="05643DCA">
                  <wp:extent cx="1543265" cy="2362530"/>
                  <wp:effectExtent l="0" t="0" r="0" b="0"/>
                  <wp:docPr id="69904796" name="Picture 69904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523360" name=""/>
                          <pic:cNvPicPr/>
                        </pic:nvPicPr>
                        <pic:blipFill>
                          <a:blip r:embed="rId18"/>
                          <a:stretch>
                            <a:fillRect/>
                          </a:stretch>
                        </pic:blipFill>
                        <pic:spPr>
                          <a:xfrm>
                            <a:off x="0" y="0"/>
                            <a:ext cx="1543265" cy="2362530"/>
                          </a:xfrm>
                          <a:prstGeom prst="rect">
                            <a:avLst/>
                          </a:prstGeom>
                        </pic:spPr>
                      </pic:pic>
                    </a:graphicData>
                  </a:graphic>
                </wp:inline>
              </w:drawing>
            </w:r>
          </w:p>
        </w:tc>
        <w:tc>
          <w:tcPr>
            <w:tcW w:w="5805" w:type="dxa"/>
          </w:tcPr>
          <w:p w14:paraId="2E060AD1" w14:textId="77777777" w:rsidR="002E14B2" w:rsidRPr="00AB2F7B" w:rsidRDefault="002E14B2" w:rsidP="00EE21E9">
            <w:pPr>
              <w:pStyle w:val="Default"/>
              <w:jc w:val="both"/>
              <w:rPr>
                <w:sz w:val="22"/>
                <w:lang w:val="et-EE"/>
              </w:rPr>
            </w:pPr>
          </w:p>
          <w:p w14:paraId="38D9B125" w14:textId="77777777" w:rsidR="002E14B2" w:rsidRDefault="002E14B2" w:rsidP="00EE21E9">
            <w:pPr>
              <w:rPr>
                <w:color w:val="000000"/>
              </w:rPr>
            </w:pPr>
            <w:r w:rsidRPr="00073D00">
              <w:rPr>
                <w:color w:val="000000"/>
              </w:rPr>
              <w:t>Tuščias</w:t>
            </w:r>
            <w:r w:rsidRPr="00A16295">
              <w:rPr>
                <w:color w:val="000000"/>
                <w:sz w:val="20"/>
                <w:szCs w:val="20"/>
              </w:rPr>
              <w:t xml:space="preserve"> </w:t>
            </w:r>
          </w:p>
          <w:p w14:paraId="126D9B48" w14:textId="77777777" w:rsidR="002E14B2" w:rsidRDefault="002E14B2" w:rsidP="00EE21E9">
            <w:pPr>
              <w:rPr>
                <w:color w:val="000000"/>
              </w:rPr>
            </w:pPr>
            <w:r w:rsidRPr="00EE21E9">
              <w:rPr>
                <w:color w:val="000000"/>
              </w:rPr>
              <w:t xml:space="preserve">fibryga </w:t>
            </w:r>
          </w:p>
          <w:p w14:paraId="11EACD89" w14:textId="77777777" w:rsidR="002E14B2" w:rsidRPr="00EE21E9" w:rsidRDefault="002E14B2" w:rsidP="00EE21E9">
            <w:pPr>
              <w:rPr>
                <w:rFonts w:eastAsia="Times New Roman"/>
                <w:color w:val="000000"/>
                <w:kern w:val="24"/>
              </w:rPr>
            </w:pPr>
            <w:r w:rsidRPr="00EE21E9">
              <w:rPr>
                <w:color w:val="000000"/>
              </w:rPr>
              <w:t>buteliukas</w:t>
            </w:r>
          </w:p>
          <w:p w14:paraId="77DBB2F8" w14:textId="77777777" w:rsidR="002E14B2" w:rsidRPr="00AB2F7B" w:rsidRDefault="002E14B2" w:rsidP="00EE21E9">
            <w:pPr>
              <w:pStyle w:val="Default"/>
              <w:jc w:val="both"/>
              <w:rPr>
                <w:sz w:val="22"/>
                <w:lang w:val="et-EE"/>
              </w:rPr>
            </w:pPr>
          </w:p>
        </w:tc>
      </w:tr>
      <w:tr w:rsidR="002E14B2" w:rsidRPr="00AB2F7B" w14:paraId="6D2FEBBF" w14:textId="77777777" w:rsidTr="00EE21E9">
        <w:trPr>
          <w:cantSplit/>
        </w:trPr>
        <w:tc>
          <w:tcPr>
            <w:tcW w:w="2830" w:type="dxa"/>
            <w:vAlign w:val="center"/>
          </w:tcPr>
          <w:p w14:paraId="08BB8D47" w14:textId="77777777" w:rsidR="002E14B2" w:rsidRPr="00AB2F7B" w:rsidRDefault="002E14B2" w:rsidP="00EE21E9">
            <w:pPr>
              <w:pStyle w:val="Default"/>
              <w:jc w:val="center"/>
              <w:rPr>
                <w:sz w:val="22"/>
                <w:lang w:val="et-EE"/>
              </w:rPr>
            </w:pPr>
            <w:r>
              <w:rPr>
                <w:sz w:val="22"/>
                <w:lang w:val="et-EE"/>
              </w:rPr>
              <w:t>8 pav.</w:t>
            </w:r>
          </w:p>
        </w:tc>
        <w:tc>
          <w:tcPr>
            <w:tcW w:w="5805" w:type="dxa"/>
          </w:tcPr>
          <w:p w14:paraId="1E278542" w14:textId="77777777" w:rsidR="002E14B2" w:rsidRPr="00AB2F7B" w:rsidRDefault="002E14B2" w:rsidP="00EE21E9">
            <w:pPr>
              <w:pStyle w:val="Default"/>
              <w:jc w:val="both"/>
              <w:rPr>
                <w:sz w:val="22"/>
                <w:lang w:val="et-EE"/>
              </w:rPr>
            </w:pPr>
          </w:p>
        </w:tc>
      </w:tr>
    </w:tbl>
    <w:p w14:paraId="6273F61F" w14:textId="77777777" w:rsidR="002E14B2" w:rsidRPr="00D70708" w:rsidRDefault="002E14B2" w:rsidP="002E14B2">
      <w:pPr>
        <w:autoSpaceDE w:val="0"/>
        <w:autoSpaceDN w:val="0"/>
        <w:adjustRightInd w:val="0"/>
        <w:ind w:left="567"/>
        <w:jc w:val="both"/>
        <w:rPr>
          <w:rFonts w:eastAsia="Times New Roman" w:cs="Arial"/>
          <w:noProof/>
          <w:color w:val="000000"/>
          <w:szCs w:val="24"/>
          <w:lang w:eastAsia="de-AT"/>
        </w:rPr>
      </w:pPr>
    </w:p>
    <w:p w14:paraId="15B5E74B" w14:textId="77777777" w:rsidR="002E14B2" w:rsidRPr="00D70708" w:rsidRDefault="002E14B2" w:rsidP="002E14B2">
      <w:pPr>
        <w:numPr>
          <w:ilvl w:val="0"/>
          <w:numId w:val="38"/>
        </w:numPr>
        <w:autoSpaceDE w:val="0"/>
        <w:autoSpaceDN w:val="0"/>
        <w:adjustRightInd w:val="0"/>
        <w:rPr>
          <w:rFonts w:eastAsia="Times New Roman" w:cs="Arial"/>
          <w:noProof/>
          <w:color w:val="000000"/>
          <w:szCs w:val="24"/>
        </w:rPr>
      </w:pPr>
      <w:r w:rsidRPr="00D70708">
        <w:rPr>
          <w:rFonts w:eastAsiaTheme="minorHAnsi" w:cstheme="minorBidi"/>
          <w:color w:val="000000"/>
          <w:kern w:val="2"/>
          <w14:ligatures w14:val="standardContextual"/>
        </w:rPr>
        <w:lastRenderedPageBreak/>
        <w:t xml:space="preserve">Išmeskite baltąją perkėlimo įtaiso dalį kartu su tuščiu </w:t>
      </w:r>
      <w:r>
        <w:t>fibryga</w:t>
      </w:r>
      <w:r w:rsidRPr="008D2F2F">
        <w:t xml:space="preserve"> </w:t>
      </w:r>
      <w:r w:rsidRPr="00D70708">
        <w:rPr>
          <w:rFonts w:eastAsiaTheme="minorHAnsi" w:cstheme="minorBidi"/>
          <w:color w:val="000000"/>
          <w:kern w:val="2"/>
          <w14:ligatures w14:val="standardContextual"/>
        </w:rPr>
        <w:t>buteliuku.</w:t>
      </w:r>
    </w:p>
    <w:p w14:paraId="2A6A7580" w14:textId="77777777" w:rsidR="002E14B2" w:rsidRPr="00216B78" w:rsidRDefault="002E14B2" w:rsidP="00FE53A3">
      <w:pPr>
        <w:pStyle w:val="Pagrindinistekstas2"/>
        <w:spacing w:after="0" w:line="240" w:lineRule="auto"/>
        <w:jc w:val="both"/>
        <w:rPr>
          <w:noProof/>
        </w:rPr>
      </w:pPr>
    </w:p>
    <w:p w14:paraId="5D30EE67" w14:textId="77777777" w:rsidR="002A2B7D" w:rsidRPr="00216B78" w:rsidRDefault="002A2B7D" w:rsidP="00463F94">
      <w:pPr>
        <w:pStyle w:val="Default"/>
        <w:rPr>
          <w:color w:val="auto"/>
          <w:sz w:val="22"/>
          <w:szCs w:val="22"/>
          <w:lang w:val="lt-LT"/>
        </w:rPr>
      </w:pPr>
      <w:r w:rsidRPr="00216B78">
        <w:rPr>
          <w:color w:val="auto"/>
          <w:sz w:val="22"/>
          <w:szCs w:val="22"/>
          <w:lang w:val="lt-LT"/>
        </w:rPr>
        <w:t>Paruoštam kambario temperatūros tirpalui į veną leisti rekomenduojama naudoti standartinį infuzijos rinkinį.</w:t>
      </w:r>
    </w:p>
    <w:p w14:paraId="3936BBF6" w14:textId="77777777" w:rsidR="00F879D5" w:rsidRPr="00216B78" w:rsidRDefault="00F879D5" w:rsidP="00463F94">
      <w:pPr>
        <w:pStyle w:val="Default"/>
        <w:rPr>
          <w:color w:val="auto"/>
          <w:sz w:val="22"/>
          <w:szCs w:val="22"/>
          <w:lang w:val="lt-LT"/>
        </w:rPr>
      </w:pPr>
    </w:p>
    <w:p w14:paraId="03D59E58" w14:textId="77777777" w:rsidR="002A2B7D" w:rsidRPr="00216B78" w:rsidRDefault="002A2B7D" w:rsidP="00463F94">
      <w:pPr>
        <w:pStyle w:val="Default"/>
        <w:rPr>
          <w:color w:val="auto"/>
          <w:sz w:val="22"/>
          <w:szCs w:val="22"/>
          <w:lang w:val="lt-LT"/>
        </w:rPr>
      </w:pPr>
      <w:r w:rsidRPr="00216B78">
        <w:rPr>
          <w:color w:val="auto"/>
          <w:sz w:val="22"/>
          <w:szCs w:val="22"/>
          <w:lang w:val="lt-LT"/>
        </w:rPr>
        <w:t>Nesuvartotą vaistinį preparatą ar atliekas reikia tvarkyti laikantis vietinių reikalavimų.</w:t>
      </w:r>
    </w:p>
    <w:p w14:paraId="35283E82" w14:textId="77777777" w:rsidR="002A2B7D" w:rsidRPr="00216B78" w:rsidRDefault="002A2B7D" w:rsidP="00A86931">
      <w:pPr>
        <w:pStyle w:val="Default"/>
        <w:rPr>
          <w:i/>
          <w:color w:val="auto"/>
          <w:sz w:val="22"/>
          <w:szCs w:val="22"/>
          <w:u w:val="single"/>
          <w:lang w:val="lt-LT"/>
        </w:rPr>
      </w:pPr>
    </w:p>
    <w:p w14:paraId="63F2BEF7" w14:textId="77777777" w:rsidR="002A2B7D" w:rsidRPr="00216B78" w:rsidRDefault="002A2B7D" w:rsidP="00A86931">
      <w:pPr>
        <w:pStyle w:val="Default"/>
        <w:spacing w:after="120"/>
        <w:rPr>
          <w:b/>
          <w:color w:val="auto"/>
          <w:sz w:val="22"/>
          <w:szCs w:val="22"/>
          <w:lang w:val="lt-LT"/>
        </w:rPr>
      </w:pPr>
      <w:r w:rsidRPr="00216B78">
        <w:rPr>
          <w:b/>
          <w:bCs/>
          <w:color w:val="auto"/>
          <w:sz w:val="22"/>
          <w:szCs w:val="22"/>
          <w:lang w:val="lt-LT"/>
        </w:rPr>
        <w:t>Vartojimo metodas</w:t>
      </w:r>
    </w:p>
    <w:p w14:paraId="7294FD58" w14:textId="77777777" w:rsidR="002A2B7D" w:rsidRPr="00216B78" w:rsidRDefault="002A2B7D" w:rsidP="00463F94">
      <w:pPr>
        <w:pStyle w:val="Default"/>
        <w:rPr>
          <w:color w:val="auto"/>
          <w:sz w:val="22"/>
          <w:szCs w:val="22"/>
          <w:lang w:val="lt-LT"/>
        </w:rPr>
      </w:pPr>
      <w:r w:rsidRPr="00216B78">
        <w:rPr>
          <w:color w:val="auto"/>
          <w:sz w:val="22"/>
          <w:szCs w:val="22"/>
          <w:lang w:val="lt-LT"/>
        </w:rPr>
        <w:t>Intraveninė infuzija arba injekcija.</w:t>
      </w:r>
    </w:p>
    <w:p w14:paraId="58C7FD39" w14:textId="77777777" w:rsidR="00F879D5" w:rsidRPr="00216B78" w:rsidRDefault="00F879D5" w:rsidP="00463F94">
      <w:pPr>
        <w:pStyle w:val="Default"/>
        <w:rPr>
          <w:color w:val="auto"/>
          <w:sz w:val="22"/>
          <w:szCs w:val="22"/>
          <w:lang w:val="lt-LT"/>
        </w:rPr>
      </w:pPr>
    </w:p>
    <w:p w14:paraId="0B4A4F0C" w14:textId="77777777" w:rsidR="002A2B7D" w:rsidRPr="00216B78" w:rsidRDefault="00DF40D6" w:rsidP="00463F94">
      <w:pPr>
        <w:pStyle w:val="Default"/>
        <w:rPr>
          <w:color w:val="auto"/>
          <w:sz w:val="22"/>
          <w:szCs w:val="22"/>
          <w:lang w:val="lt-LT"/>
        </w:rPr>
      </w:pPr>
      <w:r w:rsidRPr="00216B78">
        <w:rPr>
          <w:color w:val="auto"/>
          <w:sz w:val="22"/>
          <w:szCs w:val="22"/>
          <w:lang w:val="lt-LT"/>
        </w:rPr>
        <w:t>f</w:t>
      </w:r>
      <w:r w:rsidR="00D734DB" w:rsidRPr="00216B78">
        <w:rPr>
          <w:color w:val="auto"/>
          <w:sz w:val="22"/>
          <w:szCs w:val="22"/>
          <w:lang w:val="lt-LT"/>
        </w:rPr>
        <w:t xml:space="preserve">ibryga </w:t>
      </w:r>
      <w:r w:rsidR="002A2B7D" w:rsidRPr="00216B78">
        <w:rPr>
          <w:color w:val="auto"/>
          <w:sz w:val="22"/>
          <w:szCs w:val="22"/>
          <w:lang w:val="lt-LT"/>
        </w:rPr>
        <w:t>reikia lėtai leisti į veną rekomenduojamu ne didesniu kaip 5 ml per minutę greičiu pacientams, sergantiems įgimta hipofibrinogenemija arba afibrinogenemija, ir rekomenduojamu ne didesniu kaip 10 ml per minutę greičiu pacientams, sergantiems įgyta fibrinogeno stoka.</w:t>
      </w:r>
    </w:p>
    <w:p w14:paraId="3CC742F2" w14:textId="77777777" w:rsidR="00F879D5" w:rsidRPr="00216B78" w:rsidRDefault="00F879D5" w:rsidP="00463F94">
      <w:pPr>
        <w:pStyle w:val="Default"/>
        <w:keepNext/>
        <w:rPr>
          <w:b/>
          <w:bCs/>
          <w:color w:val="auto"/>
          <w:sz w:val="22"/>
          <w:szCs w:val="22"/>
          <w:lang w:val="lt-LT"/>
        </w:rPr>
      </w:pPr>
    </w:p>
    <w:p w14:paraId="4360119C" w14:textId="77777777" w:rsidR="002A2B7D" w:rsidRPr="00216B78" w:rsidRDefault="002A2B7D" w:rsidP="00463F94">
      <w:pPr>
        <w:pStyle w:val="Default"/>
        <w:keepNext/>
        <w:rPr>
          <w:b/>
          <w:bCs/>
          <w:color w:val="auto"/>
          <w:sz w:val="22"/>
          <w:szCs w:val="22"/>
          <w:lang w:val="lt-LT"/>
        </w:rPr>
      </w:pPr>
      <w:r w:rsidRPr="00216B78">
        <w:rPr>
          <w:b/>
          <w:bCs/>
          <w:color w:val="auto"/>
          <w:sz w:val="22"/>
          <w:szCs w:val="22"/>
          <w:lang w:val="lt-LT"/>
        </w:rPr>
        <w:t>Nesuderinamumas</w:t>
      </w:r>
    </w:p>
    <w:p w14:paraId="57906364" w14:textId="77777777" w:rsidR="00F879D5" w:rsidRPr="00216B78" w:rsidRDefault="00F879D5" w:rsidP="00463F94">
      <w:pPr>
        <w:pStyle w:val="Default"/>
        <w:rPr>
          <w:color w:val="auto"/>
          <w:sz w:val="22"/>
          <w:szCs w:val="22"/>
          <w:lang w:val="lt-LT"/>
        </w:rPr>
      </w:pPr>
    </w:p>
    <w:p w14:paraId="5941C560" w14:textId="77777777" w:rsidR="002A2B7D" w:rsidRPr="00216B78" w:rsidRDefault="002A2B7D" w:rsidP="00463F94">
      <w:pPr>
        <w:pStyle w:val="Default"/>
        <w:rPr>
          <w:color w:val="auto"/>
          <w:sz w:val="22"/>
          <w:szCs w:val="22"/>
          <w:lang w:val="lt-LT"/>
        </w:rPr>
      </w:pPr>
      <w:r w:rsidRPr="00216B78">
        <w:rPr>
          <w:color w:val="auto"/>
          <w:sz w:val="22"/>
          <w:szCs w:val="22"/>
          <w:lang w:val="lt-LT"/>
        </w:rPr>
        <w:t>Šio vaistinio preparato maišyti su kitais negalima.</w:t>
      </w:r>
    </w:p>
    <w:p w14:paraId="4B3DC9BE" w14:textId="77777777" w:rsidR="002A2B7D" w:rsidRPr="00216B78" w:rsidRDefault="002A2B7D" w:rsidP="00F879D5">
      <w:pPr>
        <w:pStyle w:val="Default"/>
        <w:jc w:val="both"/>
        <w:rPr>
          <w:color w:val="auto"/>
          <w:sz w:val="22"/>
          <w:szCs w:val="22"/>
          <w:lang w:val="lt-LT"/>
        </w:rPr>
      </w:pPr>
    </w:p>
    <w:sectPr w:rsidR="002A2B7D" w:rsidRPr="00216B78" w:rsidSect="007B277D">
      <w:headerReference w:type="default" r:id="rId24"/>
      <w:footerReference w:type="default" r:id="rId25"/>
      <w:pgSz w:w="11907" w:h="16839" w:code="9"/>
      <w:pgMar w:top="1134" w:right="1418" w:bottom="1134" w:left="1418" w:header="680"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15580" w14:textId="77777777" w:rsidR="00464DC3" w:rsidRDefault="00464DC3" w:rsidP="008C55F3">
      <w:r>
        <w:separator/>
      </w:r>
    </w:p>
  </w:endnote>
  <w:endnote w:type="continuationSeparator" w:id="0">
    <w:p w14:paraId="513FB825" w14:textId="77777777" w:rsidR="00464DC3" w:rsidRDefault="00464DC3" w:rsidP="008C55F3">
      <w:r>
        <w:continuationSeparator/>
      </w:r>
    </w:p>
  </w:endnote>
  <w:endnote w:type="continuationNotice" w:id="1">
    <w:p w14:paraId="4BE86AB4" w14:textId="77777777" w:rsidR="00464DC3" w:rsidRDefault="00464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F19B0" w14:textId="3168538A" w:rsidR="00043706" w:rsidRPr="007B277D" w:rsidRDefault="00043706" w:rsidP="007B277D">
    <w:pPr>
      <w:pStyle w:val="Porat"/>
      <w:tabs>
        <w:tab w:val="left" w:pos="5524"/>
      </w:tabs>
      <w:jc w:val="center"/>
      <w:rPr>
        <w:rFonts w:ascii="Arial" w:hAnsi="Arial" w:cs="Arial"/>
        <w:i/>
        <w:sz w:val="16"/>
        <w:szCs w:val="16"/>
      </w:rPr>
    </w:pPr>
    <w:r w:rsidRPr="007B277D">
      <w:rPr>
        <w:rFonts w:ascii="Arial" w:hAnsi="Arial" w:cs="Arial"/>
        <w:sz w:val="16"/>
        <w:szCs w:val="16"/>
        <w:lang w:val="lt"/>
      </w:rPr>
      <w:fldChar w:fldCharType="begin"/>
    </w:r>
    <w:r w:rsidRPr="007B277D">
      <w:rPr>
        <w:rFonts w:ascii="Arial" w:hAnsi="Arial" w:cs="Arial"/>
        <w:sz w:val="16"/>
        <w:szCs w:val="16"/>
        <w:lang w:val="lt"/>
      </w:rPr>
      <w:instrText xml:space="preserve"> PAGE  \* Arabic  \* MERGEFORMAT </w:instrText>
    </w:r>
    <w:r w:rsidRPr="007B277D">
      <w:rPr>
        <w:rFonts w:ascii="Arial" w:hAnsi="Arial" w:cs="Arial"/>
        <w:sz w:val="16"/>
        <w:szCs w:val="16"/>
        <w:lang w:val="lt"/>
      </w:rPr>
      <w:fldChar w:fldCharType="separate"/>
    </w:r>
    <w:r w:rsidR="00BC6E7E">
      <w:rPr>
        <w:rFonts w:ascii="Arial" w:hAnsi="Arial" w:cs="Arial"/>
        <w:noProof/>
        <w:sz w:val="16"/>
        <w:szCs w:val="16"/>
        <w:lang w:val="lt"/>
      </w:rPr>
      <w:t>2</w:t>
    </w:r>
    <w:r w:rsidRPr="007B277D">
      <w:rPr>
        <w:rFonts w:ascii="Arial" w:hAnsi="Arial" w:cs="Arial"/>
        <w:sz w:val="16"/>
        <w:szCs w:val="16"/>
        <w:lang w:val="lt"/>
      </w:rPr>
      <w:fldChar w:fldCharType="end"/>
    </w:r>
    <w:r w:rsidRPr="007B277D">
      <w:rPr>
        <w:rFonts w:ascii="Arial" w:hAnsi="Arial" w:cs="Arial"/>
        <w:sz w:val="16"/>
        <w:szCs w:val="16"/>
        <w:lang w:val="lt"/>
      </w:rPr>
      <w:fldChar w:fldCharType="begin"/>
    </w:r>
    <w:r w:rsidRPr="007B277D">
      <w:rPr>
        <w:rFonts w:ascii="Arial" w:hAnsi="Arial" w:cs="Arial"/>
        <w:sz w:val="16"/>
        <w:szCs w:val="16"/>
        <w:lang w:val="lt"/>
      </w:rPr>
      <w:instrText xml:space="preserve"> FILENAME   \* MERGEFORMAT </w:instrText>
    </w:r>
    <w:r w:rsidRPr="007B277D">
      <w:rPr>
        <w:rFonts w:ascii="Arial" w:hAnsi="Arial" w:cs="Arial"/>
        <w:sz w:val="16"/>
        <w:szCs w:val="16"/>
        <w:lang w:val="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B04EC" w14:textId="77777777" w:rsidR="00464DC3" w:rsidRDefault="00464DC3" w:rsidP="008C55F3">
      <w:r>
        <w:separator/>
      </w:r>
    </w:p>
  </w:footnote>
  <w:footnote w:type="continuationSeparator" w:id="0">
    <w:p w14:paraId="06AB831C" w14:textId="77777777" w:rsidR="00464DC3" w:rsidRDefault="00464DC3" w:rsidP="008C55F3">
      <w:r>
        <w:continuationSeparator/>
      </w:r>
    </w:p>
  </w:footnote>
  <w:footnote w:type="continuationNotice" w:id="1">
    <w:p w14:paraId="0E0642B1" w14:textId="77777777" w:rsidR="00464DC3" w:rsidRDefault="00464DC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D8C72" w14:textId="77777777" w:rsidR="00C67268" w:rsidRDefault="00C672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7E71FC"/>
    <w:multiLevelType w:val="singleLevel"/>
    <w:tmpl w:val="BAD8620A"/>
    <w:lvl w:ilvl="0">
      <w:start w:val="1"/>
      <w:numFmt w:val="bullet"/>
      <w:lvlText w:val="-"/>
      <w:lvlJc w:val="left"/>
      <w:pPr>
        <w:tabs>
          <w:tab w:val="num" w:pos="567"/>
        </w:tabs>
        <w:ind w:left="567" w:hanging="567"/>
      </w:pPr>
      <w:rPr>
        <w:rFonts w:hint="default"/>
      </w:rPr>
    </w:lvl>
  </w:abstractNum>
  <w:abstractNum w:abstractNumId="2" w15:restartNumberingAfterBreak="0">
    <w:nsid w:val="064115A7"/>
    <w:multiLevelType w:val="hybridMultilevel"/>
    <w:tmpl w:val="9782F0FE"/>
    <w:lvl w:ilvl="0" w:tplc="0C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7A9043E"/>
    <w:multiLevelType w:val="hybridMultilevel"/>
    <w:tmpl w:val="E94474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96E63BC"/>
    <w:multiLevelType w:val="hybridMultilevel"/>
    <w:tmpl w:val="451A79C8"/>
    <w:lvl w:ilvl="0" w:tplc="CFB4C5C2">
      <w:start w:val="12"/>
      <w:numFmt w:val="bullet"/>
      <w:lvlText w:val="-"/>
      <w:lvlJc w:val="left"/>
      <w:pPr>
        <w:ind w:left="720" w:hanging="360"/>
      </w:pPr>
      <w:rPr>
        <w:rFonts w:ascii="Arial" w:eastAsia="Calibri" w:hAnsi="Arial" w:cs="Arial" w:hint="default"/>
      </w:rPr>
    </w:lvl>
    <w:lvl w:ilvl="1" w:tplc="CFB4C5C2">
      <w:start w:val="12"/>
      <w:numFmt w:val="bullet"/>
      <w:lvlText w:val="-"/>
      <w:lvlJc w:val="left"/>
      <w:pPr>
        <w:ind w:left="1440" w:hanging="360"/>
      </w:pPr>
      <w:rPr>
        <w:rFonts w:ascii="Arial" w:eastAsia="Calibri" w:hAnsi="Arial" w:cs="Arial" w:hint="default"/>
      </w:rPr>
    </w:lvl>
    <w:lvl w:ilvl="2" w:tplc="EBCECEE2">
      <w:start w:val="1"/>
      <w:numFmt w:val="bullet"/>
      <w:lvlText w:val=""/>
      <w:lvlJc w:val="left"/>
      <w:pPr>
        <w:tabs>
          <w:tab w:val="num" w:pos="1701"/>
        </w:tabs>
        <w:ind w:left="1701" w:hanging="567"/>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2502F"/>
    <w:multiLevelType w:val="multilevel"/>
    <w:tmpl w:val="E8441E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C1D53C8"/>
    <w:multiLevelType w:val="hybridMultilevel"/>
    <w:tmpl w:val="DB167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553857"/>
    <w:multiLevelType w:val="hybridMultilevel"/>
    <w:tmpl w:val="2C7CDB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0F572A75"/>
    <w:multiLevelType w:val="hybridMultilevel"/>
    <w:tmpl w:val="0254CC0E"/>
    <w:lvl w:ilvl="0" w:tplc="CFB4C5C2">
      <w:start w:val="12"/>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0694AAF"/>
    <w:multiLevelType w:val="hybridMultilevel"/>
    <w:tmpl w:val="E06AEFEC"/>
    <w:lvl w:ilvl="0" w:tplc="B282C400">
      <w:start w:val="1"/>
      <w:numFmt w:val="bullet"/>
      <w:lvlText w:val=""/>
      <w:lvlJc w:val="left"/>
      <w:pPr>
        <w:tabs>
          <w:tab w:val="num" w:pos="567"/>
        </w:tabs>
        <w:ind w:left="567" w:hanging="567"/>
      </w:pPr>
      <w:rPr>
        <w:rFonts w:ascii="Symbol" w:hAnsi="Symbol" w:hint="default"/>
      </w:rPr>
    </w:lvl>
    <w:lvl w:ilvl="1" w:tplc="A6B8505A">
      <w:start w:val="1"/>
      <w:numFmt w:val="bullet"/>
      <w:lvlText w:val="­"/>
      <w:lvlJc w:val="left"/>
      <w:pPr>
        <w:tabs>
          <w:tab w:val="num" w:pos="1134"/>
        </w:tabs>
        <w:ind w:left="1134" w:hanging="567"/>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77C1C61"/>
    <w:multiLevelType w:val="hybridMultilevel"/>
    <w:tmpl w:val="1846A0BC"/>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8DE2A41"/>
    <w:multiLevelType w:val="hybridMultilevel"/>
    <w:tmpl w:val="8E12CC68"/>
    <w:lvl w:ilvl="0" w:tplc="FFFFFFFF">
      <w:start w:val="1"/>
      <w:numFmt w:val="bullet"/>
      <w:lvlText w:val="-"/>
      <w:lvlJc w:val="left"/>
      <w:pPr>
        <w:ind w:left="1440" w:hanging="360"/>
      </w:p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2" w15:restartNumberingAfterBreak="0">
    <w:nsid w:val="19602B9B"/>
    <w:multiLevelType w:val="hybridMultilevel"/>
    <w:tmpl w:val="12EE704E"/>
    <w:lvl w:ilvl="0" w:tplc="84E24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1B1815"/>
    <w:multiLevelType w:val="hybridMultilevel"/>
    <w:tmpl w:val="236AE5FE"/>
    <w:lvl w:ilvl="0" w:tplc="4CD4DB4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1FF5436A"/>
    <w:multiLevelType w:val="hybridMultilevel"/>
    <w:tmpl w:val="FBDA97A2"/>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5" w15:restartNumberingAfterBreak="0">
    <w:nsid w:val="20023418"/>
    <w:multiLevelType w:val="hybridMultilevel"/>
    <w:tmpl w:val="3CFAD2AC"/>
    <w:lvl w:ilvl="0" w:tplc="612E90A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1706D14"/>
    <w:multiLevelType w:val="hybridMultilevel"/>
    <w:tmpl w:val="5840EC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277742C"/>
    <w:multiLevelType w:val="hybridMultilevel"/>
    <w:tmpl w:val="26C84C6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25CB18CF"/>
    <w:multiLevelType w:val="hybridMultilevel"/>
    <w:tmpl w:val="C83057EC"/>
    <w:lvl w:ilvl="0" w:tplc="95A67B9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6E14439"/>
    <w:multiLevelType w:val="hybridMultilevel"/>
    <w:tmpl w:val="D388A684"/>
    <w:lvl w:ilvl="0" w:tplc="B282C400">
      <w:start w:val="1"/>
      <w:numFmt w:val="bullet"/>
      <w:lvlText w:val=""/>
      <w:lvlJc w:val="left"/>
      <w:pPr>
        <w:tabs>
          <w:tab w:val="num" w:pos="567"/>
        </w:tabs>
        <w:ind w:left="567" w:hanging="567"/>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272C055C"/>
    <w:multiLevelType w:val="hybridMultilevel"/>
    <w:tmpl w:val="8188A536"/>
    <w:lvl w:ilvl="0" w:tplc="0C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7E82DDF"/>
    <w:multiLevelType w:val="hybridMultilevel"/>
    <w:tmpl w:val="1E2CC338"/>
    <w:lvl w:ilvl="0" w:tplc="9E06F8B2">
      <w:start w:val="1"/>
      <w:numFmt w:val="decimal"/>
      <w:lvlText w:val="%1."/>
      <w:lvlJc w:val="left"/>
      <w:pPr>
        <w:tabs>
          <w:tab w:val="num" w:pos="567"/>
        </w:tabs>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8CE20D1"/>
    <w:multiLevelType w:val="hybridMultilevel"/>
    <w:tmpl w:val="36FCE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B006781"/>
    <w:multiLevelType w:val="hybridMultilevel"/>
    <w:tmpl w:val="0CE4E1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2B06350F"/>
    <w:multiLevelType w:val="multilevel"/>
    <w:tmpl w:val="8BBC3D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2C9A5A24"/>
    <w:multiLevelType w:val="hybridMultilevel"/>
    <w:tmpl w:val="C0700BA2"/>
    <w:lvl w:ilvl="0" w:tplc="0C070001">
      <w:start w:val="1"/>
      <w:numFmt w:val="bullet"/>
      <w:lvlText w:val=""/>
      <w:lvlJc w:val="left"/>
      <w:pPr>
        <w:ind w:left="861" w:hanging="360"/>
      </w:pPr>
      <w:rPr>
        <w:rFonts w:ascii="Symbol" w:hAnsi="Symbol" w:hint="default"/>
      </w:rPr>
    </w:lvl>
    <w:lvl w:ilvl="1" w:tplc="0C070003" w:tentative="1">
      <w:start w:val="1"/>
      <w:numFmt w:val="bullet"/>
      <w:lvlText w:val="o"/>
      <w:lvlJc w:val="left"/>
      <w:pPr>
        <w:ind w:left="1581" w:hanging="360"/>
      </w:pPr>
      <w:rPr>
        <w:rFonts w:ascii="Courier New" w:hAnsi="Courier New" w:cs="Courier New" w:hint="default"/>
      </w:rPr>
    </w:lvl>
    <w:lvl w:ilvl="2" w:tplc="0C070005" w:tentative="1">
      <w:start w:val="1"/>
      <w:numFmt w:val="bullet"/>
      <w:lvlText w:val=""/>
      <w:lvlJc w:val="left"/>
      <w:pPr>
        <w:ind w:left="2301" w:hanging="360"/>
      </w:pPr>
      <w:rPr>
        <w:rFonts w:ascii="Wingdings" w:hAnsi="Wingdings" w:hint="default"/>
      </w:rPr>
    </w:lvl>
    <w:lvl w:ilvl="3" w:tplc="0C070001" w:tentative="1">
      <w:start w:val="1"/>
      <w:numFmt w:val="bullet"/>
      <w:lvlText w:val=""/>
      <w:lvlJc w:val="left"/>
      <w:pPr>
        <w:ind w:left="3021" w:hanging="360"/>
      </w:pPr>
      <w:rPr>
        <w:rFonts w:ascii="Symbol" w:hAnsi="Symbol" w:hint="default"/>
      </w:rPr>
    </w:lvl>
    <w:lvl w:ilvl="4" w:tplc="0C070003" w:tentative="1">
      <w:start w:val="1"/>
      <w:numFmt w:val="bullet"/>
      <w:lvlText w:val="o"/>
      <w:lvlJc w:val="left"/>
      <w:pPr>
        <w:ind w:left="3741" w:hanging="360"/>
      </w:pPr>
      <w:rPr>
        <w:rFonts w:ascii="Courier New" w:hAnsi="Courier New" w:cs="Courier New" w:hint="default"/>
      </w:rPr>
    </w:lvl>
    <w:lvl w:ilvl="5" w:tplc="0C070005" w:tentative="1">
      <w:start w:val="1"/>
      <w:numFmt w:val="bullet"/>
      <w:lvlText w:val=""/>
      <w:lvlJc w:val="left"/>
      <w:pPr>
        <w:ind w:left="4461" w:hanging="360"/>
      </w:pPr>
      <w:rPr>
        <w:rFonts w:ascii="Wingdings" w:hAnsi="Wingdings" w:hint="default"/>
      </w:rPr>
    </w:lvl>
    <w:lvl w:ilvl="6" w:tplc="0C070001" w:tentative="1">
      <w:start w:val="1"/>
      <w:numFmt w:val="bullet"/>
      <w:lvlText w:val=""/>
      <w:lvlJc w:val="left"/>
      <w:pPr>
        <w:ind w:left="5181" w:hanging="360"/>
      </w:pPr>
      <w:rPr>
        <w:rFonts w:ascii="Symbol" w:hAnsi="Symbol" w:hint="default"/>
      </w:rPr>
    </w:lvl>
    <w:lvl w:ilvl="7" w:tplc="0C070003" w:tentative="1">
      <w:start w:val="1"/>
      <w:numFmt w:val="bullet"/>
      <w:lvlText w:val="o"/>
      <w:lvlJc w:val="left"/>
      <w:pPr>
        <w:ind w:left="5901" w:hanging="360"/>
      </w:pPr>
      <w:rPr>
        <w:rFonts w:ascii="Courier New" w:hAnsi="Courier New" w:cs="Courier New" w:hint="default"/>
      </w:rPr>
    </w:lvl>
    <w:lvl w:ilvl="8" w:tplc="0C070005" w:tentative="1">
      <w:start w:val="1"/>
      <w:numFmt w:val="bullet"/>
      <w:lvlText w:val=""/>
      <w:lvlJc w:val="left"/>
      <w:pPr>
        <w:ind w:left="6621" w:hanging="360"/>
      </w:pPr>
      <w:rPr>
        <w:rFonts w:ascii="Wingdings" w:hAnsi="Wingdings" w:hint="default"/>
      </w:rPr>
    </w:lvl>
  </w:abstractNum>
  <w:abstractNum w:abstractNumId="26" w15:restartNumberingAfterBreak="0">
    <w:nsid w:val="2CF85D07"/>
    <w:multiLevelType w:val="hybridMultilevel"/>
    <w:tmpl w:val="4D6826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2D9556AC"/>
    <w:multiLevelType w:val="hybridMultilevel"/>
    <w:tmpl w:val="C226CDFC"/>
    <w:lvl w:ilvl="0" w:tplc="4CD4DB4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B946C7"/>
    <w:multiLevelType w:val="hybridMultilevel"/>
    <w:tmpl w:val="0756F0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2DD33EDA"/>
    <w:multiLevelType w:val="hybridMultilevel"/>
    <w:tmpl w:val="D766E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EC73CE5"/>
    <w:multiLevelType w:val="hybridMultilevel"/>
    <w:tmpl w:val="B2E0D20E"/>
    <w:lvl w:ilvl="0" w:tplc="0C070001">
      <w:start w:val="1"/>
      <w:numFmt w:val="bullet"/>
      <w:lvlText w:val=""/>
      <w:lvlJc w:val="left"/>
      <w:pPr>
        <w:ind w:left="729" w:hanging="360"/>
      </w:pPr>
      <w:rPr>
        <w:rFonts w:ascii="Symbol" w:hAnsi="Symbol" w:hint="default"/>
      </w:rPr>
    </w:lvl>
    <w:lvl w:ilvl="1" w:tplc="0C070003" w:tentative="1">
      <w:start w:val="1"/>
      <w:numFmt w:val="bullet"/>
      <w:lvlText w:val="o"/>
      <w:lvlJc w:val="left"/>
      <w:pPr>
        <w:ind w:left="1449" w:hanging="360"/>
      </w:pPr>
      <w:rPr>
        <w:rFonts w:ascii="Courier New" w:hAnsi="Courier New" w:cs="Courier New" w:hint="default"/>
      </w:rPr>
    </w:lvl>
    <w:lvl w:ilvl="2" w:tplc="0C070005" w:tentative="1">
      <w:start w:val="1"/>
      <w:numFmt w:val="bullet"/>
      <w:lvlText w:val=""/>
      <w:lvlJc w:val="left"/>
      <w:pPr>
        <w:ind w:left="2169" w:hanging="360"/>
      </w:pPr>
      <w:rPr>
        <w:rFonts w:ascii="Wingdings" w:hAnsi="Wingdings" w:hint="default"/>
      </w:rPr>
    </w:lvl>
    <w:lvl w:ilvl="3" w:tplc="0C070001" w:tentative="1">
      <w:start w:val="1"/>
      <w:numFmt w:val="bullet"/>
      <w:lvlText w:val=""/>
      <w:lvlJc w:val="left"/>
      <w:pPr>
        <w:ind w:left="2889" w:hanging="360"/>
      </w:pPr>
      <w:rPr>
        <w:rFonts w:ascii="Symbol" w:hAnsi="Symbol" w:hint="default"/>
      </w:rPr>
    </w:lvl>
    <w:lvl w:ilvl="4" w:tplc="0C070003" w:tentative="1">
      <w:start w:val="1"/>
      <w:numFmt w:val="bullet"/>
      <w:lvlText w:val="o"/>
      <w:lvlJc w:val="left"/>
      <w:pPr>
        <w:ind w:left="3609" w:hanging="360"/>
      </w:pPr>
      <w:rPr>
        <w:rFonts w:ascii="Courier New" w:hAnsi="Courier New" w:cs="Courier New" w:hint="default"/>
      </w:rPr>
    </w:lvl>
    <w:lvl w:ilvl="5" w:tplc="0C070005" w:tentative="1">
      <w:start w:val="1"/>
      <w:numFmt w:val="bullet"/>
      <w:lvlText w:val=""/>
      <w:lvlJc w:val="left"/>
      <w:pPr>
        <w:ind w:left="4329" w:hanging="360"/>
      </w:pPr>
      <w:rPr>
        <w:rFonts w:ascii="Wingdings" w:hAnsi="Wingdings" w:hint="default"/>
      </w:rPr>
    </w:lvl>
    <w:lvl w:ilvl="6" w:tplc="0C070001" w:tentative="1">
      <w:start w:val="1"/>
      <w:numFmt w:val="bullet"/>
      <w:lvlText w:val=""/>
      <w:lvlJc w:val="left"/>
      <w:pPr>
        <w:ind w:left="5049" w:hanging="360"/>
      </w:pPr>
      <w:rPr>
        <w:rFonts w:ascii="Symbol" w:hAnsi="Symbol" w:hint="default"/>
      </w:rPr>
    </w:lvl>
    <w:lvl w:ilvl="7" w:tplc="0C070003" w:tentative="1">
      <w:start w:val="1"/>
      <w:numFmt w:val="bullet"/>
      <w:lvlText w:val="o"/>
      <w:lvlJc w:val="left"/>
      <w:pPr>
        <w:ind w:left="5769" w:hanging="360"/>
      </w:pPr>
      <w:rPr>
        <w:rFonts w:ascii="Courier New" w:hAnsi="Courier New" w:cs="Courier New" w:hint="default"/>
      </w:rPr>
    </w:lvl>
    <w:lvl w:ilvl="8" w:tplc="0C070005" w:tentative="1">
      <w:start w:val="1"/>
      <w:numFmt w:val="bullet"/>
      <w:lvlText w:val=""/>
      <w:lvlJc w:val="left"/>
      <w:pPr>
        <w:ind w:left="6489" w:hanging="360"/>
      </w:pPr>
      <w:rPr>
        <w:rFonts w:ascii="Wingdings" w:hAnsi="Wingdings" w:hint="default"/>
      </w:rPr>
    </w:lvl>
  </w:abstractNum>
  <w:abstractNum w:abstractNumId="32" w15:restartNumberingAfterBreak="0">
    <w:nsid w:val="30E16D59"/>
    <w:multiLevelType w:val="hybridMultilevel"/>
    <w:tmpl w:val="D50A56DA"/>
    <w:lvl w:ilvl="0" w:tplc="719C0E46">
      <w:start w:val="1"/>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32EE18BE"/>
    <w:multiLevelType w:val="hybridMultilevel"/>
    <w:tmpl w:val="D5B870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70A2CED"/>
    <w:multiLevelType w:val="hybridMultilevel"/>
    <w:tmpl w:val="2B8ACB62"/>
    <w:lvl w:ilvl="0" w:tplc="EB826AD6">
      <w:start w:val="1"/>
      <w:numFmt w:val="bullet"/>
      <w:lvlText w:val=""/>
      <w:lvlJc w:val="left"/>
      <w:pPr>
        <w:tabs>
          <w:tab w:val="num" w:pos="567"/>
        </w:tabs>
        <w:ind w:left="567" w:hanging="567"/>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38B7749E"/>
    <w:multiLevelType w:val="hybridMultilevel"/>
    <w:tmpl w:val="6082DF26"/>
    <w:lvl w:ilvl="0" w:tplc="6AE8AA7A">
      <w:start w:val="1"/>
      <w:numFmt w:val="decimal"/>
      <w:lvlText w:val="%1."/>
      <w:lvlJc w:val="left"/>
      <w:pPr>
        <w:tabs>
          <w:tab w:val="num" w:pos="567"/>
        </w:tabs>
        <w:ind w:left="567" w:hanging="567"/>
      </w:pPr>
      <w:rPr>
        <w:rFonts w:ascii="Times New Roman" w:hAnsi="Times New Roman" w:cs="Times New Roman" w:hint="default"/>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3A7B37C6"/>
    <w:multiLevelType w:val="hybridMultilevel"/>
    <w:tmpl w:val="86029262"/>
    <w:lvl w:ilvl="0" w:tplc="1AB60906">
      <w:start w:val="1"/>
      <w:numFmt w:val="decimal"/>
      <w:lvlText w:val="%1."/>
      <w:lvlJc w:val="left"/>
      <w:pPr>
        <w:tabs>
          <w:tab w:val="num" w:pos="567"/>
        </w:tabs>
        <w:ind w:left="567" w:hanging="567"/>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172EA4"/>
    <w:multiLevelType w:val="hybridMultilevel"/>
    <w:tmpl w:val="F29E3792"/>
    <w:lvl w:ilvl="0" w:tplc="4CD4DB4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3BAF5AAF"/>
    <w:multiLevelType w:val="multilevel"/>
    <w:tmpl w:val="D9EA7624"/>
    <w:lvl w:ilvl="0">
      <w:start w:val="1"/>
      <w:numFmt w:val="decimal"/>
      <w:lvlText w:val="%1"/>
      <w:lvlJc w:val="left"/>
      <w:pPr>
        <w:tabs>
          <w:tab w:val="num" w:pos="432"/>
        </w:tabs>
        <w:ind w:left="432" w:hanging="432"/>
      </w:pPr>
      <w:rPr>
        <w:rFonts w:hint="default"/>
        <w:caps/>
      </w:rPr>
    </w:lvl>
    <w:lvl w:ilvl="1">
      <w:start w:val="1"/>
      <w:numFmt w:val="decimal"/>
      <w:lvlText w:val="%1.%2"/>
      <w:lvlJc w:val="left"/>
      <w:pPr>
        <w:tabs>
          <w:tab w:val="num" w:pos="1116"/>
        </w:tabs>
        <w:ind w:left="1116" w:hanging="1116"/>
      </w:pPr>
      <w:rPr>
        <w:rFonts w:hint="default"/>
        <w:caps/>
      </w:rPr>
    </w:lvl>
    <w:lvl w:ilvl="2">
      <w:start w:val="1"/>
      <w:numFmt w:val="decimal"/>
      <w:lvlText w:val="%1.%2.%3"/>
      <w:lvlJc w:val="left"/>
      <w:pPr>
        <w:tabs>
          <w:tab w:val="num" w:pos="720"/>
        </w:tabs>
        <w:ind w:left="720" w:hanging="720"/>
      </w:pPr>
      <w:rPr>
        <w:rFonts w:hint="default"/>
        <w:caps/>
      </w:rPr>
    </w:lvl>
    <w:lvl w:ilvl="3">
      <w:start w:val="1"/>
      <w:numFmt w:val="decimal"/>
      <w:lvlText w:val="%1.%2.%3.%4"/>
      <w:lvlJc w:val="left"/>
      <w:pPr>
        <w:tabs>
          <w:tab w:val="num" w:pos="1104"/>
        </w:tabs>
        <w:ind w:left="1104" w:hanging="1104"/>
      </w:pPr>
      <w:rPr>
        <w:rFonts w:hint="default"/>
      </w:rPr>
    </w:lvl>
    <w:lvl w:ilvl="4">
      <w:start w:val="1"/>
      <w:numFmt w:val="decimal"/>
      <w:lvlText w:val="%1.%2.%3.%4.%5"/>
      <w:lvlJc w:val="left"/>
      <w:pPr>
        <w:tabs>
          <w:tab w:val="num" w:pos="2088"/>
        </w:tabs>
        <w:ind w:left="2088" w:hanging="208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3D470500"/>
    <w:multiLevelType w:val="hybridMultilevel"/>
    <w:tmpl w:val="F8324414"/>
    <w:lvl w:ilvl="0" w:tplc="6AE8AA7A">
      <w:start w:val="1"/>
      <w:numFmt w:val="decimal"/>
      <w:lvlText w:val="%1."/>
      <w:lvlJc w:val="left"/>
      <w:pPr>
        <w:tabs>
          <w:tab w:val="num" w:pos="567"/>
        </w:tabs>
        <w:ind w:left="567" w:hanging="567"/>
      </w:pPr>
      <w:rPr>
        <w:rFonts w:ascii="Times New Roman" w:hAnsi="Times New Roman" w:cs="Times New Roman" w:hint="default"/>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3E7D05D5"/>
    <w:multiLevelType w:val="hybridMultilevel"/>
    <w:tmpl w:val="99FAB5DA"/>
    <w:lvl w:ilvl="0" w:tplc="DC984E18">
      <w:start w:val="1"/>
      <w:numFmt w:val="bullet"/>
      <w:lvlText w:val=""/>
      <w:lvlJc w:val="left"/>
      <w:pPr>
        <w:tabs>
          <w:tab w:val="num" w:pos="567"/>
        </w:tabs>
        <w:ind w:left="567" w:hanging="567"/>
      </w:pPr>
      <w:rPr>
        <w:rFonts w:ascii="Symbol" w:hAnsi="Symbol" w:hint="default"/>
      </w:rPr>
    </w:lvl>
    <w:lvl w:ilvl="1" w:tplc="A6B8505A">
      <w:start w:val="1"/>
      <w:numFmt w:val="bullet"/>
      <w:lvlText w:val="­"/>
      <w:lvlJc w:val="left"/>
      <w:pPr>
        <w:tabs>
          <w:tab w:val="num" w:pos="1134"/>
        </w:tabs>
        <w:ind w:left="1134" w:hanging="567"/>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41314333"/>
    <w:multiLevelType w:val="hybridMultilevel"/>
    <w:tmpl w:val="7A9065EA"/>
    <w:lvl w:ilvl="0" w:tplc="44B0A538">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2" w15:restartNumberingAfterBreak="0">
    <w:nsid w:val="43D87DFB"/>
    <w:multiLevelType w:val="hybridMultilevel"/>
    <w:tmpl w:val="9490FCC2"/>
    <w:lvl w:ilvl="0" w:tplc="CFB4C5C2">
      <w:start w:val="12"/>
      <w:numFmt w:val="bullet"/>
      <w:lvlText w:val="-"/>
      <w:lvlJc w:val="left"/>
      <w:pPr>
        <w:ind w:left="720" w:hanging="360"/>
      </w:pPr>
      <w:rPr>
        <w:rFonts w:ascii="Arial" w:eastAsia="Calibri" w:hAnsi="Arial" w:cs="Arial" w:hint="default"/>
      </w:rPr>
    </w:lvl>
    <w:lvl w:ilvl="1" w:tplc="03CAD4F0">
      <w:start w:val="12"/>
      <w:numFmt w:val="bullet"/>
      <w:lvlText w:val="-"/>
      <w:lvlJc w:val="left"/>
      <w:pPr>
        <w:tabs>
          <w:tab w:val="num" w:pos="1134"/>
        </w:tabs>
        <w:ind w:left="1134" w:hanging="567"/>
      </w:pPr>
      <w:rPr>
        <w:rFonts w:ascii="Arial" w:eastAsia="Calibri" w:hAnsi="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497136"/>
    <w:multiLevelType w:val="hybridMultilevel"/>
    <w:tmpl w:val="D9C63F34"/>
    <w:lvl w:ilvl="0" w:tplc="34C24EF0">
      <w:start w:val="1"/>
      <w:numFmt w:val="bullet"/>
      <w:lvlText w:val="•"/>
      <w:lvlJc w:val="left"/>
      <w:pPr>
        <w:tabs>
          <w:tab w:val="num" w:pos="720"/>
        </w:tabs>
        <w:ind w:left="720" w:hanging="360"/>
      </w:pPr>
      <w:rPr>
        <w:rFonts w:ascii="Arial" w:hAnsi="Arial" w:hint="default"/>
      </w:rPr>
    </w:lvl>
    <w:lvl w:ilvl="1" w:tplc="BCD841AA" w:tentative="1">
      <w:start w:val="1"/>
      <w:numFmt w:val="bullet"/>
      <w:lvlText w:val="•"/>
      <w:lvlJc w:val="left"/>
      <w:pPr>
        <w:tabs>
          <w:tab w:val="num" w:pos="1440"/>
        </w:tabs>
        <w:ind w:left="1440" w:hanging="360"/>
      </w:pPr>
      <w:rPr>
        <w:rFonts w:ascii="Arial" w:hAnsi="Arial" w:hint="default"/>
      </w:rPr>
    </w:lvl>
    <w:lvl w:ilvl="2" w:tplc="9B324116" w:tentative="1">
      <w:start w:val="1"/>
      <w:numFmt w:val="bullet"/>
      <w:lvlText w:val="•"/>
      <w:lvlJc w:val="left"/>
      <w:pPr>
        <w:tabs>
          <w:tab w:val="num" w:pos="2160"/>
        </w:tabs>
        <w:ind w:left="2160" w:hanging="360"/>
      </w:pPr>
      <w:rPr>
        <w:rFonts w:ascii="Arial" w:hAnsi="Arial" w:hint="default"/>
      </w:rPr>
    </w:lvl>
    <w:lvl w:ilvl="3" w:tplc="3F18D5A4" w:tentative="1">
      <w:start w:val="1"/>
      <w:numFmt w:val="bullet"/>
      <w:lvlText w:val="•"/>
      <w:lvlJc w:val="left"/>
      <w:pPr>
        <w:tabs>
          <w:tab w:val="num" w:pos="2880"/>
        </w:tabs>
        <w:ind w:left="2880" w:hanging="360"/>
      </w:pPr>
      <w:rPr>
        <w:rFonts w:ascii="Arial" w:hAnsi="Arial" w:hint="default"/>
      </w:rPr>
    </w:lvl>
    <w:lvl w:ilvl="4" w:tplc="A7BC6C3A" w:tentative="1">
      <w:start w:val="1"/>
      <w:numFmt w:val="bullet"/>
      <w:lvlText w:val="•"/>
      <w:lvlJc w:val="left"/>
      <w:pPr>
        <w:tabs>
          <w:tab w:val="num" w:pos="3600"/>
        </w:tabs>
        <w:ind w:left="3600" w:hanging="360"/>
      </w:pPr>
      <w:rPr>
        <w:rFonts w:ascii="Arial" w:hAnsi="Arial" w:hint="default"/>
      </w:rPr>
    </w:lvl>
    <w:lvl w:ilvl="5" w:tplc="5AA02DBA" w:tentative="1">
      <w:start w:val="1"/>
      <w:numFmt w:val="bullet"/>
      <w:lvlText w:val="•"/>
      <w:lvlJc w:val="left"/>
      <w:pPr>
        <w:tabs>
          <w:tab w:val="num" w:pos="4320"/>
        </w:tabs>
        <w:ind w:left="4320" w:hanging="360"/>
      </w:pPr>
      <w:rPr>
        <w:rFonts w:ascii="Arial" w:hAnsi="Arial" w:hint="default"/>
      </w:rPr>
    </w:lvl>
    <w:lvl w:ilvl="6" w:tplc="C8C8289E" w:tentative="1">
      <w:start w:val="1"/>
      <w:numFmt w:val="bullet"/>
      <w:lvlText w:val="•"/>
      <w:lvlJc w:val="left"/>
      <w:pPr>
        <w:tabs>
          <w:tab w:val="num" w:pos="5040"/>
        </w:tabs>
        <w:ind w:left="5040" w:hanging="360"/>
      </w:pPr>
      <w:rPr>
        <w:rFonts w:ascii="Arial" w:hAnsi="Arial" w:hint="default"/>
      </w:rPr>
    </w:lvl>
    <w:lvl w:ilvl="7" w:tplc="7FEE70D4" w:tentative="1">
      <w:start w:val="1"/>
      <w:numFmt w:val="bullet"/>
      <w:lvlText w:val="•"/>
      <w:lvlJc w:val="left"/>
      <w:pPr>
        <w:tabs>
          <w:tab w:val="num" w:pos="5760"/>
        </w:tabs>
        <w:ind w:left="5760" w:hanging="360"/>
      </w:pPr>
      <w:rPr>
        <w:rFonts w:ascii="Arial" w:hAnsi="Arial" w:hint="default"/>
      </w:rPr>
    </w:lvl>
    <w:lvl w:ilvl="8" w:tplc="D578D6F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310517D"/>
    <w:multiLevelType w:val="hybridMultilevel"/>
    <w:tmpl w:val="C96A89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5" w15:restartNumberingAfterBreak="0">
    <w:nsid w:val="553B0BBD"/>
    <w:multiLevelType w:val="hybridMultilevel"/>
    <w:tmpl w:val="2FB4613A"/>
    <w:lvl w:ilvl="0" w:tplc="0C070001">
      <w:start w:val="1"/>
      <w:numFmt w:val="bullet"/>
      <w:lvlText w:val=""/>
      <w:lvlJc w:val="left"/>
      <w:pPr>
        <w:tabs>
          <w:tab w:val="num" w:pos="720"/>
        </w:tabs>
        <w:ind w:left="720" w:hanging="360"/>
      </w:pPr>
      <w:rPr>
        <w:rFonts w:ascii="Symbol" w:hAnsi="Symbol" w:hint="default"/>
      </w:rPr>
    </w:lvl>
    <w:lvl w:ilvl="1" w:tplc="FF308BB2">
      <w:numFmt w:val="bullet"/>
      <w:lvlText w:val="-"/>
      <w:lvlJc w:val="left"/>
      <w:pPr>
        <w:ind w:left="1440" w:hanging="360"/>
      </w:pPr>
      <w:rPr>
        <w:rFonts w:ascii="Times New Roman" w:eastAsia="Times New Roman" w:hAnsi="Times New Roman" w:cs="Times New Roman" w:hint="default"/>
      </w:rPr>
    </w:lvl>
    <w:lvl w:ilvl="2" w:tplc="48A8C2DC">
      <w:numFmt w:val="bullet"/>
      <w:lvlText w:val="•"/>
      <w:lvlJc w:val="left"/>
      <w:pPr>
        <w:ind w:left="2160" w:hanging="360"/>
      </w:pPr>
      <w:rPr>
        <w:rFonts w:ascii="Times New Roman" w:eastAsia="Times New Roman" w:hAnsi="Times New Roman" w:cs="Times New Roman"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5724F9F"/>
    <w:multiLevelType w:val="hybridMultilevel"/>
    <w:tmpl w:val="F2FE9A40"/>
    <w:lvl w:ilvl="0" w:tplc="A40CF1A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7" w15:restartNumberingAfterBreak="0">
    <w:nsid w:val="57ED6513"/>
    <w:multiLevelType w:val="hybridMultilevel"/>
    <w:tmpl w:val="BA26C6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8" w15:restartNumberingAfterBreak="0">
    <w:nsid w:val="58307F76"/>
    <w:multiLevelType w:val="hybridMultilevel"/>
    <w:tmpl w:val="8086F4DA"/>
    <w:lvl w:ilvl="0" w:tplc="6AE8AA7A">
      <w:start w:val="1"/>
      <w:numFmt w:val="decimal"/>
      <w:lvlText w:val="%1."/>
      <w:lvlJc w:val="left"/>
      <w:pPr>
        <w:tabs>
          <w:tab w:val="num" w:pos="567"/>
        </w:tabs>
        <w:ind w:left="567" w:hanging="567"/>
      </w:pPr>
      <w:rPr>
        <w:rFonts w:ascii="Times New Roman" w:hAnsi="Times New Roman" w:cs="Times New Roman" w:hint="default"/>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9" w15:restartNumberingAfterBreak="0">
    <w:nsid w:val="5964259E"/>
    <w:multiLevelType w:val="hybridMultilevel"/>
    <w:tmpl w:val="341A15B2"/>
    <w:lvl w:ilvl="0" w:tplc="95A67B96">
      <w:start w:val="1"/>
      <w:numFmt w:val="bullet"/>
      <w:lvlText w:val=""/>
      <w:lvlJc w:val="left"/>
      <w:pPr>
        <w:tabs>
          <w:tab w:val="num" w:pos="567"/>
        </w:tabs>
        <w:ind w:left="567" w:hanging="567"/>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0" w15:restartNumberingAfterBreak="0">
    <w:nsid w:val="59EF66A9"/>
    <w:multiLevelType w:val="hybridMultilevel"/>
    <w:tmpl w:val="17E2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DF41B7F"/>
    <w:multiLevelType w:val="hybridMultilevel"/>
    <w:tmpl w:val="1E2CC338"/>
    <w:lvl w:ilvl="0" w:tplc="FFFFFFFF">
      <w:start w:val="1"/>
      <w:numFmt w:val="decimal"/>
      <w:lvlText w:val="%1."/>
      <w:lvlJc w:val="left"/>
      <w:pPr>
        <w:tabs>
          <w:tab w:val="num" w:pos="567"/>
        </w:tabs>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63540A7"/>
    <w:multiLevelType w:val="hybridMultilevel"/>
    <w:tmpl w:val="F998DF84"/>
    <w:lvl w:ilvl="0" w:tplc="6AE8AA7A">
      <w:start w:val="1"/>
      <w:numFmt w:val="decimal"/>
      <w:lvlText w:val="%1."/>
      <w:lvlJc w:val="left"/>
      <w:pPr>
        <w:tabs>
          <w:tab w:val="num" w:pos="567"/>
        </w:tabs>
        <w:ind w:left="567" w:hanging="567"/>
      </w:pPr>
      <w:rPr>
        <w:rFonts w:ascii="Times New Roman" w:hAnsi="Times New Roman" w:cs="Times New Roman" w:hint="default"/>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3" w15:restartNumberingAfterBreak="0">
    <w:nsid w:val="69187E3B"/>
    <w:multiLevelType w:val="hybridMultilevel"/>
    <w:tmpl w:val="39F83A58"/>
    <w:lvl w:ilvl="0" w:tplc="6AE8AA7A">
      <w:start w:val="1"/>
      <w:numFmt w:val="decimal"/>
      <w:lvlText w:val="%1."/>
      <w:lvlJc w:val="left"/>
      <w:pPr>
        <w:tabs>
          <w:tab w:val="num" w:pos="567"/>
        </w:tabs>
        <w:ind w:left="567" w:hanging="567"/>
      </w:pPr>
      <w:rPr>
        <w:rFonts w:ascii="Times New Roman" w:hAnsi="Times New Roman" w:cs="Times New Roman" w:hint="default"/>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4" w15:restartNumberingAfterBreak="0">
    <w:nsid w:val="6BC54449"/>
    <w:multiLevelType w:val="hybridMultilevel"/>
    <w:tmpl w:val="A864A4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5" w15:restartNumberingAfterBreak="0">
    <w:nsid w:val="6EF629B9"/>
    <w:multiLevelType w:val="hybridMultilevel"/>
    <w:tmpl w:val="AAE0FF2E"/>
    <w:lvl w:ilvl="0" w:tplc="2DEA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341F83"/>
    <w:multiLevelType w:val="hybridMultilevel"/>
    <w:tmpl w:val="28581A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1476E18"/>
    <w:multiLevelType w:val="hybridMultilevel"/>
    <w:tmpl w:val="58202768"/>
    <w:lvl w:ilvl="0" w:tplc="DC984E18">
      <w:start w:val="1"/>
      <w:numFmt w:val="bullet"/>
      <w:lvlText w:val=""/>
      <w:lvlJc w:val="left"/>
      <w:pPr>
        <w:tabs>
          <w:tab w:val="num" w:pos="567"/>
        </w:tabs>
        <w:ind w:left="567" w:hanging="567"/>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8" w15:restartNumberingAfterBreak="0">
    <w:nsid w:val="74936FED"/>
    <w:multiLevelType w:val="hybridMultilevel"/>
    <w:tmpl w:val="664A8F9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9" w15:restartNumberingAfterBreak="0">
    <w:nsid w:val="7651432B"/>
    <w:multiLevelType w:val="hybridMultilevel"/>
    <w:tmpl w:val="0A14FE64"/>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60" w15:restartNumberingAfterBreak="0">
    <w:nsid w:val="77942A4B"/>
    <w:multiLevelType w:val="hybridMultilevel"/>
    <w:tmpl w:val="70DE7BE4"/>
    <w:lvl w:ilvl="0" w:tplc="CE94A06A">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9FE5B71"/>
    <w:multiLevelType w:val="hybridMultilevel"/>
    <w:tmpl w:val="7A9065EA"/>
    <w:lvl w:ilvl="0" w:tplc="FFFFFFFF">
      <w:start w:val="1"/>
      <w:numFmt w:val="decimal"/>
      <w:lvlText w:val="%1."/>
      <w:lvlJc w:val="left"/>
      <w:pPr>
        <w:tabs>
          <w:tab w:val="num" w:pos="567"/>
        </w:tabs>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AD05691"/>
    <w:multiLevelType w:val="hybridMultilevel"/>
    <w:tmpl w:val="2C1219F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3" w15:restartNumberingAfterBreak="0">
    <w:nsid w:val="7CDF45E7"/>
    <w:multiLevelType w:val="hybridMultilevel"/>
    <w:tmpl w:val="F9943A1A"/>
    <w:lvl w:ilvl="0" w:tplc="78745B96">
      <w:start w:val="1"/>
      <w:numFmt w:val="bullet"/>
      <w:lvlText w:val="•"/>
      <w:lvlJc w:val="left"/>
      <w:pPr>
        <w:tabs>
          <w:tab w:val="num" w:pos="720"/>
        </w:tabs>
        <w:ind w:left="720" w:hanging="360"/>
      </w:pPr>
      <w:rPr>
        <w:rFonts w:ascii="Arial" w:hAnsi="Arial" w:hint="default"/>
      </w:rPr>
    </w:lvl>
    <w:lvl w:ilvl="1" w:tplc="22EAD564" w:tentative="1">
      <w:start w:val="1"/>
      <w:numFmt w:val="bullet"/>
      <w:lvlText w:val="•"/>
      <w:lvlJc w:val="left"/>
      <w:pPr>
        <w:tabs>
          <w:tab w:val="num" w:pos="1440"/>
        </w:tabs>
        <w:ind w:left="1440" w:hanging="360"/>
      </w:pPr>
      <w:rPr>
        <w:rFonts w:ascii="Arial" w:hAnsi="Arial" w:hint="default"/>
      </w:rPr>
    </w:lvl>
    <w:lvl w:ilvl="2" w:tplc="E872F0B2" w:tentative="1">
      <w:start w:val="1"/>
      <w:numFmt w:val="bullet"/>
      <w:lvlText w:val="•"/>
      <w:lvlJc w:val="left"/>
      <w:pPr>
        <w:tabs>
          <w:tab w:val="num" w:pos="2160"/>
        </w:tabs>
        <w:ind w:left="2160" w:hanging="360"/>
      </w:pPr>
      <w:rPr>
        <w:rFonts w:ascii="Arial" w:hAnsi="Arial" w:hint="default"/>
      </w:rPr>
    </w:lvl>
    <w:lvl w:ilvl="3" w:tplc="718EE39E" w:tentative="1">
      <w:start w:val="1"/>
      <w:numFmt w:val="bullet"/>
      <w:lvlText w:val="•"/>
      <w:lvlJc w:val="left"/>
      <w:pPr>
        <w:tabs>
          <w:tab w:val="num" w:pos="2880"/>
        </w:tabs>
        <w:ind w:left="2880" w:hanging="360"/>
      </w:pPr>
      <w:rPr>
        <w:rFonts w:ascii="Arial" w:hAnsi="Arial" w:hint="default"/>
      </w:rPr>
    </w:lvl>
    <w:lvl w:ilvl="4" w:tplc="E94A7042" w:tentative="1">
      <w:start w:val="1"/>
      <w:numFmt w:val="bullet"/>
      <w:lvlText w:val="•"/>
      <w:lvlJc w:val="left"/>
      <w:pPr>
        <w:tabs>
          <w:tab w:val="num" w:pos="3600"/>
        </w:tabs>
        <w:ind w:left="3600" w:hanging="360"/>
      </w:pPr>
      <w:rPr>
        <w:rFonts w:ascii="Arial" w:hAnsi="Arial" w:hint="default"/>
      </w:rPr>
    </w:lvl>
    <w:lvl w:ilvl="5" w:tplc="FA786486" w:tentative="1">
      <w:start w:val="1"/>
      <w:numFmt w:val="bullet"/>
      <w:lvlText w:val="•"/>
      <w:lvlJc w:val="left"/>
      <w:pPr>
        <w:tabs>
          <w:tab w:val="num" w:pos="4320"/>
        </w:tabs>
        <w:ind w:left="4320" w:hanging="360"/>
      </w:pPr>
      <w:rPr>
        <w:rFonts w:ascii="Arial" w:hAnsi="Arial" w:hint="default"/>
      </w:rPr>
    </w:lvl>
    <w:lvl w:ilvl="6" w:tplc="F4AADF76" w:tentative="1">
      <w:start w:val="1"/>
      <w:numFmt w:val="bullet"/>
      <w:lvlText w:val="•"/>
      <w:lvlJc w:val="left"/>
      <w:pPr>
        <w:tabs>
          <w:tab w:val="num" w:pos="5040"/>
        </w:tabs>
        <w:ind w:left="5040" w:hanging="360"/>
      </w:pPr>
      <w:rPr>
        <w:rFonts w:ascii="Arial" w:hAnsi="Arial" w:hint="default"/>
      </w:rPr>
    </w:lvl>
    <w:lvl w:ilvl="7" w:tplc="7658687C" w:tentative="1">
      <w:start w:val="1"/>
      <w:numFmt w:val="bullet"/>
      <w:lvlText w:val="•"/>
      <w:lvlJc w:val="left"/>
      <w:pPr>
        <w:tabs>
          <w:tab w:val="num" w:pos="5760"/>
        </w:tabs>
        <w:ind w:left="5760" w:hanging="360"/>
      </w:pPr>
      <w:rPr>
        <w:rFonts w:ascii="Arial" w:hAnsi="Arial" w:hint="default"/>
      </w:rPr>
    </w:lvl>
    <w:lvl w:ilvl="8" w:tplc="F372E58C"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7D2E126F"/>
    <w:multiLevelType w:val="hybridMultilevel"/>
    <w:tmpl w:val="C62038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9"/>
  </w:num>
  <w:num w:numId="2">
    <w:abstractNumId w:val="32"/>
  </w:num>
  <w:num w:numId="3">
    <w:abstractNumId w:val="45"/>
  </w:num>
  <w:num w:numId="4">
    <w:abstractNumId w:val="31"/>
  </w:num>
  <w:num w:numId="5">
    <w:abstractNumId w:val="23"/>
  </w:num>
  <w:num w:numId="6">
    <w:abstractNumId w:val="28"/>
  </w:num>
  <w:num w:numId="7">
    <w:abstractNumId w:val="20"/>
  </w:num>
  <w:num w:numId="8">
    <w:abstractNumId w:val="2"/>
  </w:num>
  <w:num w:numId="9">
    <w:abstractNumId w:val="58"/>
  </w:num>
  <w:num w:numId="10">
    <w:abstractNumId w:val="64"/>
  </w:num>
  <w:num w:numId="11">
    <w:abstractNumId w:val="3"/>
  </w:num>
  <w:num w:numId="12">
    <w:abstractNumId w:val="29"/>
  </w:num>
  <w:num w:numId="13">
    <w:abstractNumId w:val="53"/>
  </w:num>
  <w:num w:numId="14">
    <w:abstractNumId w:val="15"/>
  </w:num>
  <w:num w:numId="15">
    <w:abstractNumId w:val="41"/>
  </w:num>
  <w:num w:numId="16">
    <w:abstractNumId w:val="21"/>
  </w:num>
  <w:num w:numId="17">
    <w:abstractNumId w:val="12"/>
  </w:num>
  <w:num w:numId="18">
    <w:abstractNumId w:val="55"/>
  </w:num>
  <w:num w:numId="19">
    <w:abstractNumId w:val="24"/>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51"/>
  </w:num>
  <w:num w:numId="39">
    <w:abstractNumId w:val="61"/>
  </w:num>
  <w:num w:numId="40">
    <w:abstractNumId w:val="38"/>
  </w:num>
  <w:num w:numId="41">
    <w:abstractNumId w:val="5"/>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34"/>
  </w:num>
  <w:num w:numId="45">
    <w:abstractNumId w:val="27"/>
  </w:num>
  <w:num w:numId="46">
    <w:abstractNumId w:val="43"/>
  </w:num>
  <w:num w:numId="47">
    <w:abstractNumId w:val="63"/>
  </w:num>
  <w:num w:numId="48">
    <w:abstractNumId w:val="59"/>
  </w:num>
  <w:num w:numId="49">
    <w:abstractNumId w:val="6"/>
  </w:num>
  <w:num w:numId="50">
    <w:abstractNumId w:val="22"/>
  </w:num>
  <w:num w:numId="51">
    <w:abstractNumId w:val="62"/>
  </w:num>
  <w:num w:numId="52">
    <w:abstractNumId w:val="0"/>
    <w:lvlOverride w:ilvl="0">
      <w:lvl w:ilvl="0">
        <w:start w:val="1"/>
        <w:numFmt w:val="bullet"/>
        <w:lvlText w:val=""/>
        <w:lvlJc w:val="left"/>
        <w:pPr>
          <w:ind w:left="360" w:hanging="360"/>
        </w:pPr>
        <w:rPr>
          <w:rFonts w:ascii="Symbol" w:hAnsi="Symbol" w:hint="default"/>
        </w:rPr>
      </w:lvl>
    </w:lvlOverride>
  </w:num>
  <w:num w:numId="53">
    <w:abstractNumId w:val="0"/>
    <w:lvlOverride w:ilvl="0">
      <w:lvl w:ilvl="0">
        <w:start w:val="1"/>
        <w:numFmt w:val="bullet"/>
        <w:lvlText w:val="-"/>
        <w:lvlJc w:val="left"/>
        <w:pPr>
          <w:ind w:left="720" w:hanging="360"/>
        </w:pPr>
      </w:lvl>
    </w:lvlOverride>
  </w:num>
  <w:num w:numId="54">
    <w:abstractNumId w:val="30"/>
  </w:num>
  <w:num w:numId="55">
    <w:abstractNumId w:val="1"/>
  </w:num>
  <w:num w:numId="56">
    <w:abstractNumId w:val="4"/>
  </w:num>
  <w:num w:numId="57">
    <w:abstractNumId w:val="42"/>
  </w:num>
  <w:num w:numId="58">
    <w:abstractNumId w:val="36"/>
  </w:num>
  <w:num w:numId="59">
    <w:abstractNumId w:val="8"/>
  </w:num>
  <w:num w:numId="60">
    <w:abstractNumId w:val="25"/>
  </w:num>
  <w:num w:numId="61">
    <w:abstractNumId w:val="50"/>
  </w:num>
  <w:num w:numId="62">
    <w:abstractNumId w:val="54"/>
  </w:num>
  <w:num w:numId="63">
    <w:abstractNumId w:val="19"/>
  </w:num>
  <w:num w:numId="64">
    <w:abstractNumId w:val="11"/>
  </w:num>
  <w:num w:numId="65">
    <w:abstractNumId w:val="57"/>
  </w:num>
  <w:num w:numId="66">
    <w:abstractNumId w:val="26"/>
  </w:num>
  <w:num w:numId="67">
    <w:abstractNumId w:val="16"/>
  </w:num>
  <w:num w:numId="68">
    <w:abstractNumId w:val="17"/>
  </w:num>
  <w:num w:numId="69">
    <w:abstractNumId w:val="7"/>
  </w:num>
  <w:num w:numId="70">
    <w:abstractNumId w:val="33"/>
  </w:num>
  <w:num w:numId="71">
    <w:abstractNumId w:val="37"/>
  </w:num>
  <w:num w:numId="72">
    <w:abstractNumId w:val="13"/>
  </w:num>
  <w:num w:numId="73">
    <w:abstractNumId w:val="9"/>
  </w:num>
  <w:num w:numId="74">
    <w:abstractNumId w:val="40"/>
  </w:num>
  <w:num w:numId="75">
    <w:abstractNumId w:val="48"/>
  </w:num>
  <w:num w:numId="76">
    <w:abstractNumId w:val="47"/>
  </w:num>
  <w:num w:numId="77">
    <w:abstractNumId w:val="56"/>
  </w:num>
  <w:num w:numId="78">
    <w:abstractNumId w:val="14"/>
  </w:num>
  <w:num w:numId="79">
    <w:abstractNumId w:val="10"/>
  </w:num>
  <w:num w:numId="80">
    <w:abstractNumId w:val="35"/>
  </w:num>
  <w:num w:numId="81">
    <w:abstractNumId w:val="52"/>
  </w:num>
  <w:num w:numId="82">
    <w:abstractNumId w:val="39"/>
  </w:num>
  <w:num w:numId="83">
    <w:abstractNumId w:val="46"/>
  </w:num>
  <w:num w:numId="84">
    <w:abstractNumId w:val="6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562"/>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C97"/>
    <w:rsid w:val="0000062C"/>
    <w:rsid w:val="00000B72"/>
    <w:rsid w:val="00001F2A"/>
    <w:rsid w:val="00010618"/>
    <w:rsid w:val="00021F81"/>
    <w:rsid w:val="000263DF"/>
    <w:rsid w:val="00033E58"/>
    <w:rsid w:val="0003461C"/>
    <w:rsid w:val="0004000C"/>
    <w:rsid w:val="00040BEA"/>
    <w:rsid w:val="00043706"/>
    <w:rsid w:val="000451A3"/>
    <w:rsid w:val="000522CD"/>
    <w:rsid w:val="00054B19"/>
    <w:rsid w:val="00057F5F"/>
    <w:rsid w:val="00062297"/>
    <w:rsid w:val="00065046"/>
    <w:rsid w:val="00070F19"/>
    <w:rsid w:val="00073D00"/>
    <w:rsid w:val="00074792"/>
    <w:rsid w:val="00075FCD"/>
    <w:rsid w:val="000767E6"/>
    <w:rsid w:val="00080514"/>
    <w:rsid w:val="00082EC7"/>
    <w:rsid w:val="0008373B"/>
    <w:rsid w:val="00084133"/>
    <w:rsid w:val="00087F71"/>
    <w:rsid w:val="00091F91"/>
    <w:rsid w:val="00096EF2"/>
    <w:rsid w:val="00097045"/>
    <w:rsid w:val="000A45AE"/>
    <w:rsid w:val="000A4C25"/>
    <w:rsid w:val="000A78FB"/>
    <w:rsid w:val="000B34F0"/>
    <w:rsid w:val="000B4213"/>
    <w:rsid w:val="000B5746"/>
    <w:rsid w:val="000B5F39"/>
    <w:rsid w:val="000C0319"/>
    <w:rsid w:val="000C63A5"/>
    <w:rsid w:val="000D0EC7"/>
    <w:rsid w:val="000D103B"/>
    <w:rsid w:val="000D7D27"/>
    <w:rsid w:val="000E0D6D"/>
    <w:rsid w:val="000E2889"/>
    <w:rsid w:val="000E34B7"/>
    <w:rsid w:val="000F092F"/>
    <w:rsid w:val="000F0DC6"/>
    <w:rsid w:val="000F150C"/>
    <w:rsid w:val="000F2C9C"/>
    <w:rsid w:val="000F4147"/>
    <w:rsid w:val="000F6B96"/>
    <w:rsid w:val="000F6F5C"/>
    <w:rsid w:val="00101198"/>
    <w:rsid w:val="0010769F"/>
    <w:rsid w:val="00110837"/>
    <w:rsid w:val="00111BD7"/>
    <w:rsid w:val="00111DCA"/>
    <w:rsid w:val="00115D50"/>
    <w:rsid w:val="001174E0"/>
    <w:rsid w:val="001252C3"/>
    <w:rsid w:val="001300B3"/>
    <w:rsid w:val="00135030"/>
    <w:rsid w:val="001352E6"/>
    <w:rsid w:val="00141D6E"/>
    <w:rsid w:val="0014333F"/>
    <w:rsid w:val="001446F8"/>
    <w:rsid w:val="0015126C"/>
    <w:rsid w:val="00157898"/>
    <w:rsid w:val="00162E8D"/>
    <w:rsid w:val="00165ACD"/>
    <w:rsid w:val="00183CA0"/>
    <w:rsid w:val="00190017"/>
    <w:rsid w:val="00194E33"/>
    <w:rsid w:val="00195B3A"/>
    <w:rsid w:val="001A22EB"/>
    <w:rsid w:val="001A6F01"/>
    <w:rsid w:val="001B04A2"/>
    <w:rsid w:val="001B0C59"/>
    <w:rsid w:val="001B0D4C"/>
    <w:rsid w:val="001B52CD"/>
    <w:rsid w:val="001C4564"/>
    <w:rsid w:val="001E0B85"/>
    <w:rsid w:val="001F21F7"/>
    <w:rsid w:val="001F2ABA"/>
    <w:rsid w:val="001F3675"/>
    <w:rsid w:val="001F6145"/>
    <w:rsid w:val="001F6371"/>
    <w:rsid w:val="001F6B44"/>
    <w:rsid w:val="0020029A"/>
    <w:rsid w:val="00205517"/>
    <w:rsid w:val="00213A7E"/>
    <w:rsid w:val="00216B78"/>
    <w:rsid w:val="00217774"/>
    <w:rsid w:val="0022284D"/>
    <w:rsid w:val="002244F4"/>
    <w:rsid w:val="00233065"/>
    <w:rsid w:val="00233BC6"/>
    <w:rsid w:val="00234BDC"/>
    <w:rsid w:val="00235B9B"/>
    <w:rsid w:val="00236C01"/>
    <w:rsid w:val="00242227"/>
    <w:rsid w:val="002458C0"/>
    <w:rsid w:val="00246F8F"/>
    <w:rsid w:val="00247DA9"/>
    <w:rsid w:val="002510BB"/>
    <w:rsid w:val="00254662"/>
    <w:rsid w:val="00254E0F"/>
    <w:rsid w:val="00254EA0"/>
    <w:rsid w:val="0026240B"/>
    <w:rsid w:val="00265115"/>
    <w:rsid w:val="00266CA2"/>
    <w:rsid w:val="002705D5"/>
    <w:rsid w:val="00275D53"/>
    <w:rsid w:val="00275DF0"/>
    <w:rsid w:val="00276C14"/>
    <w:rsid w:val="0028173A"/>
    <w:rsid w:val="0029752E"/>
    <w:rsid w:val="002A2B7D"/>
    <w:rsid w:val="002A7E8A"/>
    <w:rsid w:val="002B0177"/>
    <w:rsid w:val="002B2AB9"/>
    <w:rsid w:val="002B63BE"/>
    <w:rsid w:val="002B7053"/>
    <w:rsid w:val="002C03DA"/>
    <w:rsid w:val="002C1E17"/>
    <w:rsid w:val="002C57D5"/>
    <w:rsid w:val="002C7F73"/>
    <w:rsid w:val="002D1CE4"/>
    <w:rsid w:val="002D2DD3"/>
    <w:rsid w:val="002D6844"/>
    <w:rsid w:val="002E14B2"/>
    <w:rsid w:val="002E3295"/>
    <w:rsid w:val="002E3711"/>
    <w:rsid w:val="002E4960"/>
    <w:rsid w:val="002E5293"/>
    <w:rsid w:val="002F33AE"/>
    <w:rsid w:val="002F34C1"/>
    <w:rsid w:val="003005C4"/>
    <w:rsid w:val="00302389"/>
    <w:rsid w:val="003042D9"/>
    <w:rsid w:val="00304DFE"/>
    <w:rsid w:val="00305801"/>
    <w:rsid w:val="00310F0E"/>
    <w:rsid w:val="003169D1"/>
    <w:rsid w:val="00316E67"/>
    <w:rsid w:val="00317268"/>
    <w:rsid w:val="0032340C"/>
    <w:rsid w:val="00324E4D"/>
    <w:rsid w:val="003256C4"/>
    <w:rsid w:val="003308CB"/>
    <w:rsid w:val="00331F1F"/>
    <w:rsid w:val="00332979"/>
    <w:rsid w:val="00334F39"/>
    <w:rsid w:val="003451F2"/>
    <w:rsid w:val="00347112"/>
    <w:rsid w:val="00347362"/>
    <w:rsid w:val="00356C29"/>
    <w:rsid w:val="00361769"/>
    <w:rsid w:val="003625B0"/>
    <w:rsid w:val="0036273F"/>
    <w:rsid w:val="00362904"/>
    <w:rsid w:val="003649CB"/>
    <w:rsid w:val="00367CB7"/>
    <w:rsid w:val="00370FBD"/>
    <w:rsid w:val="0037383C"/>
    <w:rsid w:val="003764AA"/>
    <w:rsid w:val="00380868"/>
    <w:rsid w:val="003826B7"/>
    <w:rsid w:val="0038444F"/>
    <w:rsid w:val="00384C56"/>
    <w:rsid w:val="00391636"/>
    <w:rsid w:val="0039346D"/>
    <w:rsid w:val="0039551D"/>
    <w:rsid w:val="00395AAA"/>
    <w:rsid w:val="003A0D34"/>
    <w:rsid w:val="003A73CF"/>
    <w:rsid w:val="003B5CDA"/>
    <w:rsid w:val="003C6AAA"/>
    <w:rsid w:val="003C7D7C"/>
    <w:rsid w:val="003D485C"/>
    <w:rsid w:val="003D66E0"/>
    <w:rsid w:val="003E7CF2"/>
    <w:rsid w:val="003F1C12"/>
    <w:rsid w:val="00412346"/>
    <w:rsid w:val="00413E7E"/>
    <w:rsid w:val="00414FF9"/>
    <w:rsid w:val="004157F8"/>
    <w:rsid w:val="00422315"/>
    <w:rsid w:val="0043224F"/>
    <w:rsid w:val="00435D62"/>
    <w:rsid w:val="00436FA0"/>
    <w:rsid w:val="00437F05"/>
    <w:rsid w:val="004447AF"/>
    <w:rsid w:val="004478F4"/>
    <w:rsid w:val="00451251"/>
    <w:rsid w:val="00451F4B"/>
    <w:rsid w:val="0045372C"/>
    <w:rsid w:val="00453CB6"/>
    <w:rsid w:val="00456F34"/>
    <w:rsid w:val="004607E3"/>
    <w:rsid w:val="0046252A"/>
    <w:rsid w:val="00463F94"/>
    <w:rsid w:val="00464DC3"/>
    <w:rsid w:val="00465FAB"/>
    <w:rsid w:val="004675E9"/>
    <w:rsid w:val="00471709"/>
    <w:rsid w:val="00483076"/>
    <w:rsid w:val="004852DE"/>
    <w:rsid w:val="00487457"/>
    <w:rsid w:val="00491FCB"/>
    <w:rsid w:val="004935A6"/>
    <w:rsid w:val="004A0403"/>
    <w:rsid w:val="004A087A"/>
    <w:rsid w:val="004A101A"/>
    <w:rsid w:val="004A3B48"/>
    <w:rsid w:val="004B422D"/>
    <w:rsid w:val="004B5BB1"/>
    <w:rsid w:val="004B679B"/>
    <w:rsid w:val="004C15E6"/>
    <w:rsid w:val="004C213F"/>
    <w:rsid w:val="004C2963"/>
    <w:rsid w:val="004C2F63"/>
    <w:rsid w:val="004C7129"/>
    <w:rsid w:val="004D68E0"/>
    <w:rsid w:val="004D6F65"/>
    <w:rsid w:val="004E2E4A"/>
    <w:rsid w:val="004E5C0C"/>
    <w:rsid w:val="004F1D76"/>
    <w:rsid w:val="00500560"/>
    <w:rsid w:val="00502762"/>
    <w:rsid w:val="00503267"/>
    <w:rsid w:val="005065A9"/>
    <w:rsid w:val="0051125E"/>
    <w:rsid w:val="0051346E"/>
    <w:rsid w:val="00517E1B"/>
    <w:rsid w:val="00522960"/>
    <w:rsid w:val="005238DF"/>
    <w:rsid w:val="0053046B"/>
    <w:rsid w:val="00532B14"/>
    <w:rsid w:val="0053450E"/>
    <w:rsid w:val="005411F5"/>
    <w:rsid w:val="00541E05"/>
    <w:rsid w:val="00547059"/>
    <w:rsid w:val="00547434"/>
    <w:rsid w:val="005504FE"/>
    <w:rsid w:val="00552194"/>
    <w:rsid w:val="00554070"/>
    <w:rsid w:val="00556314"/>
    <w:rsid w:val="00556595"/>
    <w:rsid w:val="00561969"/>
    <w:rsid w:val="00565C58"/>
    <w:rsid w:val="00570783"/>
    <w:rsid w:val="00570F61"/>
    <w:rsid w:val="00571E35"/>
    <w:rsid w:val="00572B37"/>
    <w:rsid w:val="00574DA9"/>
    <w:rsid w:val="00587566"/>
    <w:rsid w:val="005A2D83"/>
    <w:rsid w:val="005A3437"/>
    <w:rsid w:val="005A7389"/>
    <w:rsid w:val="005B002B"/>
    <w:rsid w:val="005B0D71"/>
    <w:rsid w:val="005B1689"/>
    <w:rsid w:val="005B3358"/>
    <w:rsid w:val="005B79D7"/>
    <w:rsid w:val="005C294B"/>
    <w:rsid w:val="005C2A16"/>
    <w:rsid w:val="005D150D"/>
    <w:rsid w:val="005D6EC7"/>
    <w:rsid w:val="005E3732"/>
    <w:rsid w:val="005F06AA"/>
    <w:rsid w:val="005F37A4"/>
    <w:rsid w:val="006017A7"/>
    <w:rsid w:val="00605822"/>
    <w:rsid w:val="00613E9E"/>
    <w:rsid w:val="00622B45"/>
    <w:rsid w:val="00624B8C"/>
    <w:rsid w:val="006303B5"/>
    <w:rsid w:val="00630DD1"/>
    <w:rsid w:val="006329FC"/>
    <w:rsid w:val="00632B9E"/>
    <w:rsid w:val="00637600"/>
    <w:rsid w:val="006507DA"/>
    <w:rsid w:val="00650B19"/>
    <w:rsid w:val="00654A22"/>
    <w:rsid w:val="00663C46"/>
    <w:rsid w:val="006660BB"/>
    <w:rsid w:val="0066708E"/>
    <w:rsid w:val="00674AD5"/>
    <w:rsid w:val="00677D28"/>
    <w:rsid w:val="006806DB"/>
    <w:rsid w:val="00684509"/>
    <w:rsid w:val="0069062E"/>
    <w:rsid w:val="00692E5A"/>
    <w:rsid w:val="0069300E"/>
    <w:rsid w:val="00694FD5"/>
    <w:rsid w:val="0069577D"/>
    <w:rsid w:val="0069621A"/>
    <w:rsid w:val="006A317E"/>
    <w:rsid w:val="006A79BC"/>
    <w:rsid w:val="006B0523"/>
    <w:rsid w:val="006B2189"/>
    <w:rsid w:val="006B3DF9"/>
    <w:rsid w:val="006B6FC5"/>
    <w:rsid w:val="006C6504"/>
    <w:rsid w:val="006D12D4"/>
    <w:rsid w:val="006D1A02"/>
    <w:rsid w:val="006D207B"/>
    <w:rsid w:val="006D316C"/>
    <w:rsid w:val="006D4310"/>
    <w:rsid w:val="00706D2A"/>
    <w:rsid w:val="0070723D"/>
    <w:rsid w:val="007079DA"/>
    <w:rsid w:val="00711912"/>
    <w:rsid w:val="00716157"/>
    <w:rsid w:val="00723E6B"/>
    <w:rsid w:val="0072543F"/>
    <w:rsid w:val="007256A7"/>
    <w:rsid w:val="00733209"/>
    <w:rsid w:val="007345A2"/>
    <w:rsid w:val="00735109"/>
    <w:rsid w:val="007474DB"/>
    <w:rsid w:val="0075228B"/>
    <w:rsid w:val="00754B96"/>
    <w:rsid w:val="00763B02"/>
    <w:rsid w:val="00764B55"/>
    <w:rsid w:val="00765A44"/>
    <w:rsid w:val="00771535"/>
    <w:rsid w:val="007718AC"/>
    <w:rsid w:val="0077351D"/>
    <w:rsid w:val="0077477E"/>
    <w:rsid w:val="007751CF"/>
    <w:rsid w:val="00775E5A"/>
    <w:rsid w:val="00780F5F"/>
    <w:rsid w:val="007814C1"/>
    <w:rsid w:val="00784461"/>
    <w:rsid w:val="00790087"/>
    <w:rsid w:val="007937CB"/>
    <w:rsid w:val="00793FEF"/>
    <w:rsid w:val="007A01C0"/>
    <w:rsid w:val="007A1CC0"/>
    <w:rsid w:val="007B277D"/>
    <w:rsid w:val="007B4C15"/>
    <w:rsid w:val="007B675E"/>
    <w:rsid w:val="007B75F3"/>
    <w:rsid w:val="007C640B"/>
    <w:rsid w:val="007D0FB0"/>
    <w:rsid w:val="007D3B02"/>
    <w:rsid w:val="007D4616"/>
    <w:rsid w:val="007D6377"/>
    <w:rsid w:val="007E0688"/>
    <w:rsid w:val="007F1624"/>
    <w:rsid w:val="007F1E83"/>
    <w:rsid w:val="008025A9"/>
    <w:rsid w:val="0080527F"/>
    <w:rsid w:val="00812A1E"/>
    <w:rsid w:val="008153E9"/>
    <w:rsid w:val="00816139"/>
    <w:rsid w:val="00816F9C"/>
    <w:rsid w:val="00826537"/>
    <w:rsid w:val="00833F59"/>
    <w:rsid w:val="008370AA"/>
    <w:rsid w:val="0084221F"/>
    <w:rsid w:val="00847665"/>
    <w:rsid w:val="00847777"/>
    <w:rsid w:val="0085419E"/>
    <w:rsid w:val="008568A0"/>
    <w:rsid w:val="008640F2"/>
    <w:rsid w:val="00870CF9"/>
    <w:rsid w:val="00872D09"/>
    <w:rsid w:val="00872E67"/>
    <w:rsid w:val="00873C26"/>
    <w:rsid w:val="008878D3"/>
    <w:rsid w:val="00887F6E"/>
    <w:rsid w:val="00897C76"/>
    <w:rsid w:val="008A181E"/>
    <w:rsid w:val="008A26B8"/>
    <w:rsid w:val="008A2BEE"/>
    <w:rsid w:val="008A3BE1"/>
    <w:rsid w:val="008A6016"/>
    <w:rsid w:val="008A7E0A"/>
    <w:rsid w:val="008B2B63"/>
    <w:rsid w:val="008B569D"/>
    <w:rsid w:val="008B60AD"/>
    <w:rsid w:val="008B6ED0"/>
    <w:rsid w:val="008C1BAE"/>
    <w:rsid w:val="008C55F3"/>
    <w:rsid w:val="008D2F2F"/>
    <w:rsid w:val="008D34FC"/>
    <w:rsid w:val="008D48B5"/>
    <w:rsid w:val="008D732A"/>
    <w:rsid w:val="008E28E5"/>
    <w:rsid w:val="008E2F45"/>
    <w:rsid w:val="008E70E4"/>
    <w:rsid w:val="008F0AAA"/>
    <w:rsid w:val="008F18DA"/>
    <w:rsid w:val="008F39E6"/>
    <w:rsid w:val="008F3BA8"/>
    <w:rsid w:val="008F5312"/>
    <w:rsid w:val="008F58D5"/>
    <w:rsid w:val="00930198"/>
    <w:rsid w:val="009305C9"/>
    <w:rsid w:val="00930C4F"/>
    <w:rsid w:val="00930E71"/>
    <w:rsid w:val="00931026"/>
    <w:rsid w:val="0093183C"/>
    <w:rsid w:val="00933048"/>
    <w:rsid w:val="0093348D"/>
    <w:rsid w:val="00936601"/>
    <w:rsid w:val="00936F17"/>
    <w:rsid w:val="0094072F"/>
    <w:rsid w:val="00942394"/>
    <w:rsid w:val="00943B4A"/>
    <w:rsid w:val="009463F6"/>
    <w:rsid w:val="009508FB"/>
    <w:rsid w:val="00951847"/>
    <w:rsid w:val="00952D9C"/>
    <w:rsid w:val="00961AEA"/>
    <w:rsid w:val="0096724E"/>
    <w:rsid w:val="00967B3B"/>
    <w:rsid w:val="00970DCF"/>
    <w:rsid w:val="00973240"/>
    <w:rsid w:val="00974DB3"/>
    <w:rsid w:val="00977646"/>
    <w:rsid w:val="00984AD0"/>
    <w:rsid w:val="00984B4D"/>
    <w:rsid w:val="009857C6"/>
    <w:rsid w:val="0098659F"/>
    <w:rsid w:val="00990010"/>
    <w:rsid w:val="00991125"/>
    <w:rsid w:val="00994AAB"/>
    <w:rsid w:val="00997595"/>
    <w:rsid w:val="009A0D63"/>
    <w:rsid w:val="009A2E53"/>
    <w:rsid w:val="009A4955"/>
    <w:rsid w:val="009A4E90"/>
    <w:rsid w:val="009A5E9B"/>
    <w:rsid w:val="009B6C7A"/>
    <w:rsid w:val="009C3277"/>
    <w:rsid w:val="009C6BA0"/>
    <w:rsid w:val="009D4067"/>
    <w:rsid w:val="009D5EAC"/>
    <w:rsid w:val="009D671A"/>
    <w:rsid w:val="009E2E7C"/>
    <w:rsid w:val="009F1369"/>
    <w:rsid w:val="009F46BE"/>
    <w:rsid w:val="009F5023"/>
    <w:rsid w:val="009F6D9C"/>
    <w:rsid w:val="00A01DA4"/>
    <w:rsid w:val="00A035A0"/>
    <w:rsid w:val="00A03CB9"/>
    <w:rsid w:val="00A05251"/>
    <w:rsid w:val="00A10B0A"/>
    <w:rsid w:val="00A1239F"/>
    <w:rsid w:val="00A1240C"/>
    <w:rsid w:val="00A136CC"/>
    <w:rsid w:val="00A14F0D"/>
    <w:rsid w:val="00A16295"/>
    <w:rsid w:val="00A20A3A"/>
    <w:rsid w:val="00A21881"/>
    <w:rsid w:val="00A24D1A"/>
    <w:rsid w:val="00A26F6E"/>
    <w:rsid w:val="00A32798"/>
    <w:rsid w:val="00A34604"/>
    <w:rsid w:val="00A34F33"/>
    <w:rsid w:val="00A3515D"/>
    <w:rsid w:val="00A439E6"/>
    <w:rsid w:val="00A44733"/>
    <w:rsid w:val="00A46931"/>
    <w:rsid w:val="00A56652"/>
    <w:rsid w:val="00A6239B"/>
    <w:rsid w:val="00A650CB"/>
    <w:rsid w:val="00A652F2"/>
    <w:rsid w:val="00A6547D"/>
    <w:rsid w:val="00A67F78"/>
    <w:rsid w:val="00A741B9"/>
    <w:rsid w:val="00A76070"/>
    <w:rsid w:val="00A86931"/>
    <w:rsid w:val="00AA73DF"/>
    <w:rsid w:val="00AB4F29"/>
    <w:rsid w:val="00AC392D"/>
    <w:rsid w:val="00AC62E8"/>
    <w:rsid w:val="00AD0A38"/>
    <w:rsid w:val="00AD4D13"/>
    <w:rsid w:val="00AF1D42"/>
    <w:rsid w:val="00AF2E4A"/>
    <w:rsid w:val="00AF4E3A"/>
    <w:rsid w:val="00AF5724"/>
    <w:rsid w:val="00B02C8C"/>
    <w:rsid w:val="00B12F46"/>
    <w:rsid w:val="00B175E1"/>
    <w:rsid w:val="00B219F6"/>
    <w:rsid w:val="00B27A63"/>
    <w:rsid w:val="00B31DED"/>
    <w:rsid w:val="00B324C9"/>
    <w:rsid w:val="00B36952"/>
    <w:rsid w:val="00B376DB"/>
    <w:rsid w:val="00B418F0"/>
    <w:rsid w:val="00B42370"/>
    <w:rsid w:val="00B52E8A"/>
    <w:rsid w:val="00B551F6"/>
    <w:rsid w:val="00B576C4"/>
    <w:rsid w:val="00B579EE"/>
    <w:rsid w:val="00B614A5"/>
    <w:rsid w:val="00B6207D"/>
    <w:rsid w:val="00B639A2"/>
    <w:rsid w:val="00B64F51"/>
    <w:rsid w:val="00B703CE"/>
    <w:rsid w:val="00B8306E"/>
    <w:rsid w:val="00B8436C"/>
    <w:rsid w:val="00B85B46"/>
    <w:rsid w:val="00B87A27"/>
    <w:rsid w:val="00B903F2"/>
    <w:rsid w:val="00B90F32"/>
    <w:rsid w:val="00B95529"/>
    <w:rsid w:val="00B97D82"/>
    <w:rsid w:val="00BA0487"/>
    <w:rsid w:val="00BA57A9"/>
    <w:rsid w:val="00BA7F17"/>
    <w:rsid w:val="00BB23AF"/>
    <w:rsid w:val="00BB467A"/>
    <w:rsid w:val="00BB74B3"/>
    <w:rsid w:val="00BC10C8"/>
    <w:rsid w:val="00BC3EE9"/>
    <w:rsid w:val="00BC6E7E"/>
    <w:rsid w:val="00BD0FAA"/>
    <w:rsid w:val="00BD1FE9"/>
    <w:rsid w:val="00BD4074"/>
    <w:rsid w:val="00BD445F"/>
    <w:rsid w:val="00BD5ACA"/>
    <w:rsid w:val="00BE0027"/>
    <w:rsid w:val="00BE3B67"/>
    <w:rsid w:val="00BE6BC3"/>
    <w:rsid w:val="00BE7183"/>
    <w:rsid w:val="00BF0DE5"/>
    <w:rsid w:val="00BF0FE9"/>
    <w:rsid w:val="00BF1ED3"/>
    <w:rsid w:val="00BF4581"/>
    <w:rsid w:val="00BF53D8"/>
    <w:rsid w:val="00C020BF"/>
    <w:rsid w:val="00C15CD1"/>
    <w:rsid w:val="00C271C5"/>
    <w:rsid w:val="00C320EB"/>
    <w:rsid w:val="00C35BD2"/>
    <w:rsid w:val="00C366B0"/>
    <w:rsid w:val="00C456E0"/>
    <w:rsid w:val="00C467F8"/>
    <w:rsid w:val="00C503ED"/>
    <w:rsid w:val="00C50D24"/>
    <w:rsid w:val="00C547B8"/>
    <w:rsid w:val="00C57229"/>
    <w:rsid w:val="00C607DA"/>
    <w:rsid w:val="00C63A8B"/>
    <w:rsid w:val="00C67268"/>
    <w:rsid w:val="00C74E70"/>
    <w:rsid w:val="00C753F0"/>
    <w:rsid w:val="00C76C22"/>
    <w:rsid w:val="00C77E6B"/>
    <w:rsid w:val="00C8026A"/>
    <w:rsid w:val="00C80E00"/>
    <w:rsid w:val="00C8263D"/>
    <w:rsid w:val="00C84E3F"/>
    <w:rsid w:val="00C9044D"/>
    <w:rsid w:val="00C94CD3"/>
    <w:rsid w:val="00C96ED5"/>
    <w:rsid w:val="00CA00D3"/>
    <w:rsid w:val="00CA23A8"/>
    <w:rsid w:val="00CB15CD"/>
    <w:rsid w:val="00CB37A1"/>
    <w:rsid w:val="00CC4692"/>
    <w:rsid w:val="00CC539A"/>
    <w:rsid w:val="00CC59D2"/>
    <w:rsid w:val="00CC5C91"/>
    <w:rsid w:val="00CD2B28"/>
    <w:rsid w:val="00CD6C26"/>
    <w:rsid w:val="00CE6E5F"/>
    <w:rsid w:val="00CF343C"/>
    <w:rsid w:val="00D01B89"/>
    <w:rsid w:val="00D14ED0"/>
    <w:rsid w:val="00D1635F"/>
    <w:rsid w:val="00D17FC2"/>
    <w:rsid w:val="00D217FF"/>
    <w:rsid w:val="00D21D5D"/>
    <w:rsid w:val="00D27876"/>
    <w:rsid w:val="00D33F07"/>
    <w:rsid w:val="00D342F6"/>
    <w:rsid w:val="00D36987"/>
    <w:rsid w:val="00D45C9E"/>
    <w:rsid w:val="00D47A5C"/>
    <w:rsid w:val="00D51D41"/>
    <w:rsid w:val="00D5328F"/>
    <w:rsid w:val="00D572C3"/>
    <w:rsid w:val="00D60FD9"/>
    <w:rsid w:val="00D61317"/>
    <w:rsid w:val="00D63E81"/>
    <w:rsid w:val="00D63F96"/>
    <w:rsid w:val="00D67B50"/>
    <w:rsid w:val="00D70708"/>
    <w:rsid w:val="00D71DF6"/>
    <w:rsid w:val="00D73256"/>
    <w:rsid w:val="00D734DB"/>
    <w:rsid w:val="00D737FF"/>
    <w:rsid w:val="00D740C9"/>
    <w:rsid w:val="00D74C57"/>
    <w:rsid w:val="00D74F3B"/>
    <w:rsid w:val="00D8151D"/>
    <w:rsid w:val="00D8369C"/>
    <w:rsid w:val="00DA4C86"/>
    <w:rsid w:val="00DA6B5F"/>
    <w:rsid w:val="00DA7B9A"/>
    <w:rsid w:val="00DB0F04"/>
    <w:rsid w:val="00DB47FF"/>
    <w:rsid w:val="00DB4CA7"/>
    <w:rsid w:val="00DB4F37"/>
    <w:rsid w:val="00DB76AF"/>
    <w:rsid w:val="00DC238D"/>
    <w:rsid w:val="00DC3B0E"/>
    <w:rsid w:val="00DC411B"/>
    <w:rsid w:val="00DC4362"/>
    <w:rsid w:val="00DD04E2"/>
    <w:rsid w:val="00DD23AE"/>
    <w:rsid w:val="00DD515A"/>
    <w:rsid w:val="00DE1718"/>
    <w:rsid w:val="00DE547B"/>
    <w:rsid w:val="00DE646C"/>
    <w:rsid w:val="00DF39A8"/>
    <w:rsid w:val="00DF4056"/>
    <w:rsid w:val="00DF40D6"/>
    <w:rsid w:val="00E02AFD"/>
    <w:rsid w:val="00E0340A"/>
    <w:rsid w:val="00E0581D"/>
    <w:rsid w:val="00E0728C"/>
    <w:rsid w:val="00E161F7"/>
    <w:rsid w:val="00E20160"/>
    <w:rsid w:val="00E2210F"/>
    <w:rsid w:val="00E25BE4"/>
    <w:rsid w:val="00E272E6"/>
    <w:rsid w:val="00E27FC6"/>
    <w:rsid w:val="00E3448E"/>
    <w:rsid w:val="00E4396C"/>
    <w:rsid w:val="00E457A0"/>
    <w:rsid w:val="00E465E3"/>
    <w:rsid w:val="00E474D1"/>
    <w:rsid w:val="00E515BF"/>
    <w:rsid w:val="00E53617"/>
    <w:rsid w:val="00E549AB"/>
    <w:rsid w:val="00E55667"/>
    <w:rsid w:val="00E56529"/>
    <w:rsid w:val="00E62728"/>
    <w:rsid w:val="00E63F2F"/>
    <w:rsid w:val="00E66519"/>
    <w:rsid w:val="00E74AE7"/>
    <w:rsid w:val="00E74BA5"/>
    <w:rsid w:val="00E75AF8"/>
    <w:rsid w:val="00E773DA"/>
    <w:rsid w:val="00E82403"/>
    <w:rsid w:val="00E92C96"/>
    <w:rsid w:val="00E975B6"/>
    <w:rsid w:val="00EA010C"/>
    <w:rsid w:val="00EA08E5"/>
    <w:rsid w:val="00EA2079"/>
    <w:rsid w:val="00EA36E6"/>
    <w:rsid w:val="00EA4325"/>
    <w:rsid w:val="00EB434B"/>
    <w:rsid w:val="00EB5C97"/>
    <w:rsid w:val="00EC0C42"/>
    <w:rsid w:val="00EC3AD6"/>
    <w:rsid w:val="00EC6479"/>
    <w:rsid w:val="00EC6CCC"/>
    <w:rsid w:val="00EE19A5"/>
    <w:rsid w:val="00EF0F78"/>
    <w:rsid w:val="00EF11A5"/>
    <w:rsid w:val="00EF3C96"/>
    <w:rsid w:val="00EF6993"/>
    <w:rsid w:val="00EF6E69"/>
    <w:rsid w:val="00F027D0"/>
    <w:rsid w:val="00F22C81"/>
    <w:rsid w:val="00F254F6"/>
    <w:rsid w:val="00F25590"/>
    <w:rsid w:val="00F35EF9"/>
    <w:rsid w:val="00F37E4D"/>
    <w:rsid w:val="00F44205"/>
    <w:rsid w:val="00F44467"/>
    <w:rsid w:val="00F526CC"/>
    <w:rsid w:val="00F60200"/>
    <w:rsid w:val="00F62804"/>
    <w:rsid w:val="00F66F94"/>
    <w:rsid w:val="00F676A8"/>
    <w:rsid w:val="00F82701"/>
    <w:rsid w:val="00F82FA0"/>
    <w:rsid w:val="00F84236"/>
    <w:rsid w:val="00F84DD7"/>
    <w:rsid w:val="00F864BA"/>
    <w:rsid w:val="00F87706"/>
    <w:rsid w:val="00F879D5"/>
    <w:rsid w:val="00F971A1"/>
    <w:rsid w:val="00FA5EAC"/>
    <w:rsid w:val="00FA70EE"/>
    <w:rsid w:val="00FA74FD"/>
    <w:rsid w:val="00FB1A76"/>
    <w:rsid w:val="00FB3EBE"/>
    <w:rsid w:val="00FB6BE9"/>
    <w:rsid w:val="00FB7160"/>
    <w:rsid w:val="00FC35F2"/>
    <w:rsid w:val="00FC558C"/>
    <w:rsid w:val="00FD3FFD"/>
    <w:rsid w:val="00FD7C97"/>
    <w:rsid w:val="00FE077A"/>
    <w:rsid w:val="00FE17D9"/>
    <w:rsid w:val="00FE53A3"/>
  </w:rsids>
  <m:mathPr>
    <m:mathFont m:val="Cambria Math"/>
    <m:brkBin m:val="before"/>
    <m:brkBinSub m:val="--"/>
    <m:smallFrac m:val="0"/>
    <m:dispDef/>
    <m:lMargin m:val="0"/>
    <m:rMargin m:val="0"/>
    <m:defJc m:val="centerGroup"/>
    <m:wrapIndent m:val="1440"/>
    <m:intLim m:val="subSup"/>
    <m:naryLim m:val="undOvr"/>
  </m:mathPr>
  <w:themeFontLang w:val="de-A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D3A515"/>
  <w15:chartTrackingRefBased/>
  <w15:docId w15:val="{840E5B66-7E1D-44FA-88B9-157619C9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2F2F"/>
    <w:rPr>
      <w:rFonts w:ascii="Times New Roman" w:hAnsi="Times New Roman"/>
      <w:sz w:val="22"/>
      <w:szCs w:val="22"/>
      <w:lang w:val="lt-LT" w:eastAsia="en-US"/>
    </w:rPr>
  </w:style>
  <w:style w:type="paragraph" w:styleId="Antrat1">
    <w:name w:val="heading 1"/>
    <w:basedOn w:val="prastasis"/>
    <w:next w:val="prastasis"/>
    <w:link w:val="Antrat1Diagrama"/>
    <w:uiPriority w:val="9"/>
    <w:qFormat/>
    <w:rsid w:val="00E457A0"/>
    <w:pPr>
      <w:keepNext/>
      <w:tabs>
        <w:tab w:val="left" w:pos="567"/>
      </w:tabs>
      <w:ind w:left="567" w:hanging="567"/>
      <w:outlineLvl w:val="0"/>
    </w:pPr>
    <w:rPr>
      <w:rFonts w:eastAsia="Times New Roman"/>
      <w:b/>
      <w:bCs/>
      <w:kern w:val="32"/>
    </w:rPr>
  </w:style>
  <w:style w:type="paragraph" w:styleId="Antrat2">
    <w:name w:val="heading 2"/>
    <w:basedOn w:val="Antrat1"/>
    <w:next w:val="prastasis"/>
    <w:link w:val="Antrat2Diagrama"/>
    <w:uiPriority w:val="9"/>
    <w:unhideWhenUsed/>
    <w:qFormat/>
    <w:rsid w:val="00E457A0"/>
    <w:pPr>
      <w:outlineLvl w:val="1"/>
    </w:pPr>
  </w:style>
  <w:style w:type="paragraph" w:styleId="Antrat3">
    <w:name w:val="heading 3"/>
    <w:basedOn w:val="Default"/>
    <w:next w:val="prastasis"/>
    <w:link w:val="Antrat3Diagrama"/>
    <w:uiPriority w:val="9"/>
    <w:unhideWhenUsed/>
    <w:qFormat/>
    <w:rsid w:val="00E457A0"/>
    <w:pPr>
      <w:keepNext/>
      <w:outlineLvl w:val="2"/>
    </w:pPr>
    <w:rPr>
      <w:sz w:val="22"/>
      <w:szCs w:val="22"/>
      <w:u w:val="single"/>
      <w:lang w:val="lt-LT"/>
    </w:rPr>
  </w:style>
  <w:style w:type="paragraph" w:styleId="Antrat4">
    <w:name w:val="heading 4"/>
    <w:basedOn w:val="Default"/>
    <w:next w:val="prastasis"/>
    <w:link w:val="Antrat4Diagrama"/>
    <w:uiPriority w:val="9"/>
    <w:unhideWhenUsed/>
    <w:qFormat/>
    <w:rsid w:val="00C67268"/>
    <w:pPr>
      <w:keepNext/>
      <w:outlineLvl w:val="3"/>
    </w:pPr>
    <w:rPr>
      <w:b/>
      <w:bCs/>
      <w:i/>
      <w:iCs/>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D7C97"/>
    <w:pPr>
      <w:autoSpaceDE w:val="0"/>
      <w:autoSpaceDN w:val="0"/>
      <w:adjustRightInd w:val="0"/>
    </w:pPr>
    <w:rPr>
      <w:rFonts w:ascii="Times New Roman" w:hAnsi="Times New Roman"/>
      <w:color w:val="000000"/>
      <w:sz w:val="24"/>
      <w:szCs w:val="24"/>
      <w:lang w:eastAsia="en-US"/>
    </w:rPr>
  </w:style>
  <w:style w:type="paragraph" w:customStyle="1" w:styleId="Formatvorlageberschrift1Automatisch">
    <w:name w:val="Formatvorlage Überschrift 1 + Automatisch"/>
    <w:basedOn w:val="Antrat1"/>
    <w:rsid w:val="004C15E6"/>
    <w:pPr>
      <w:tabs>
        <w:tab w:val="left" w:pos="1871"/>
      </w:tabs>
      <w:spacing w:before="240" w:after="120"/>
      <w:ind w:left="0" w:firstLine="0"/>
    </w:pPr>
    <w:rPr>
      <w:rFonts w:cs="Arial"/>
      <w:caps/>
      <w:sz w:val="24"/>
      <w:szCs w:val="32"/>
      <w:lang w:val="en-GB"/>
    </w:rPr>
  </w:style>
  <w:style w:type="character" w:customStyle="1" w:styleId="Antrat1Diagrama">
    <w:name w:val="Antraštė 1 Diagrama"/>
    <w:link w:val="Antrat1"/>
    <w:uiPriority w:val="9"/>
    <w:rsid w:val="00E457A0"/>
    <w:rPr>
      <w:rFonts w:ascii="Times New Roman" w:eastAsia="Times New Roman" w:hAnsi="Times New Roman" w:cs="Times New Roman"/>
      <w:b/>
      <w:bCs/>
      <w:kern w:val="32"/>
      <w:lang w:val="lt-LT"/>
    </w:rPr>
  </w:style>
  <w:style w:type="paragraph" w:customStyle="1" w:styleId="Formatvorlageberschrift2AutomatischBlock">
    <w:name w:val="Formatvorlage Überschrift 2 + Automatisch Block"/>
    <w:basedOn w:val="Antrat2"/>
    <w:rsid w:val="004C15E6"/>
    <w:pPr>
      <w:tabs>
        <w:tab w:val="left" w:pos="720"/>
      </w:tabs>
      <w:spacing w:before="240" w:after="120"/>
      <w:jc w:val="both"/>
    </w:pPr>
    <w:rPr>
      <w:rFonts w:cs="Arial"/>
      <w:iCs/>
      <w:sz w:val="24"/>
      <w:lang w:val="fr-FR"/>
    </w:rPr>
  </w:style>
  <w:style w:type="character" w:customStyle="1" w:styleId="Antrat2Diagrama">
    <w:name w:val="Antraštė 2 Diagrama"/>
    <w:link w:val="Antrat2"/>
    <w:uiPriority w:val="9"/>
    <w:rsid w:val="00E457A0"/>
    <w:rPr>
      <w:rFonts w:ascii="Times New Roman" w:eastAsia="Times New Roman" w:hAnsi="Times New Roman" w:cs="Times New Roman"/>
      <w:b/>
      <w:bCs/>
      <w:kern w:val="32"/>
      <w:lang w:val="lt-LT"/>
    </w:rPr>
  </w:style>
  <w:style w:type="paragraph" w:customStyle="1" w:styleId="Text">
    <w:name w:val="Text"/>
    <w:basedOn w:val="prastasis"/>
    <w:link w:val="TextZchn"/>
    <w:qFormat/>
    <w:rsid w:val="004C15E6"/>
    <w:pPr>
      <w:spacing w:before="120" w:after="60"/>
      <w:jc w:val="both"/>
    </w:pPr>
    <w:rPr>
      <w:rFonts w:eastAsia="Times New Roman"/>
      <w:color w:val="000000"/>
      <w:sz w:val="24"/>
      <w:szCs w:val="20"/>
      <w:lang w:val="en-GB"/>
    </w:rPr>
  </w:style>
  <w:style w:type="paragraph" w:styleId="Antrats">
    <w:name w:val="header"/>
    <w:basedOn w:val="prastasis"/>
    <w:link w:val="AntratsDiagrama"/>
    <w:unhideWhenUsed/>
    <w:rsid w:val="008C55F3"/>
    <w:pPr>
      <w:tabs>
        <w:tab w:val="center" w:pos="4536"/>
        <w:tab w:val="right" w:pos="9072"/>
      </w:tabs>
    </w:pPr>
  </w:style>
  <w:style w:type="character" w:customStyle="1" w:styleId="AntratsDiagrama">
    <w:name w:val="Antraštės Diagrama"/>
    <w:basedOn w:val="Numatytasispastraiposriftas"/>
    <w:link w:val="Antrats"/>
    <w:uiPriority w:val="99"/>
    <w:semiHidden/>
    <w:rsid w:val="008C55F3"/>
  </w:style>
  <w:style w:type="paragraph" w:styleId="Porat">
    <w:name w:val="footer"/>
    <w:basedOn w:val="prastasis"/>
    <w:link w:val="PoratDiagrama"/>
    <w:uiPriority w:val="99"/>
    <w:unhideWhenUsed/>
    <w:rsid w:val="008C55F3"/>
    <w:pPr>
      <w:tabs>
        <w:tab w:val="center" w:pos="4536"/>
        <w:tab w:val="right" w:pos="9072"/>
      </w:tabs>
    </w:pPr>
  </w:style>
  <w:style w:type="character" w:customStyle="1" w:styleId="PoratDiagrama">
    <w:name w:val="Poraštė Diagrama"/>
    <w:basedOn w:val="Numatytasispastraiposriftas"/>
    <w:link w:val="Porat"/>
    <w:uiPriority w:val="99"/>
    <w:rsid w:val="008C55F3"/>
  </w:style>
  <w:style w:type="character" w:styleId="Komentaronuoroda">
    <w:name w:val="annotation reference"/>
    <w:uiPriority w:val="99"/>
    <w:semiHidden/>
    <w:unhideWhenUsed/>
    <w:rsid w:val="006507DA"/>
    <w:rPr>
      <w:sz w:val="16"/>
      <w:szCs w:val="16"/>
    </w:rPr>
  </w:style>
  <w:style w:type="paragraph" w:styleId="Komentarotekstas">
    <w:name w:val="annotation text"/>
    <w:basedOn w:val="prastasis"/>
    <w:link w:val="KomentarotekstasDiagrama"/>
    <w:uiPriority w:val="99"/>
    <w:unhideWhenUsed/>
    <w:rsid w:val="006507DA"/>
    <w:rPr>
      <w:sz w:val="20"/>
      <w:szCs w:val="20"/>
    </w:rPr>
  </w:style>
  <w:style w:type="character" w:customStyle="1" w:styleId="KomentarotekstasDiagrama">
    <w:name w:val="Komentaro tekstas Diagrama"/>
    <w:link w:val="Komentarotekstas"/>
    <w:uiPriority w:val="99"/>
    <w:rsid w:val="006507DA"/>
    <w:rPr>
      <w:sz w:val="20"/>
      <w:szCs w:val="20"/>
    </w:rPr>
  </w:style>
  <w:style w:type="paragraph" w:styleId="Komentarotema">
    <w:name w:val="annotation subject"/>
    <w:basedOn w:val="Komentarotekstas"/>
    <w:next w:val="Komentarotekstas"/>
    <w:link w:val="KomentarotemaDiagrama"/>
    <w:uiPriority w:val="99"/>
    <w:semiHidden/>
    <w:unhideWhenUsed/>
    <w:rsid w:val="006507DA"/>
    <w:rPr>
      <w:b/>
      <w:bCs/>
    </w:rPr>
  </w:style>
  <w:style w:type="character" w:customStyle="1" w:styleId="KomentarotemaDiagrama">
    <w:name w:val="Komentaro tema Diagrama"/>
    <w:link w:val="Komentarotema"/>
    <w:uiPriority w:val="99"/>
    <w:semiHidden/>
    <w:rsid w:val="006507DA"/>
    <w:rPr>
      <w:b/>
      <w:bCs/>
      <w:sz w:val="20"/>
      <w:szCs w:val="20"/>
    </w:rPr>
  </w:style>
  <w:style w:type="paragraph" w:styleId="Debesliotekstas">
    <w:name w:val="Balloon Text"/>
    <w:basedOn w:val="prastasis"/>
    <w:link w:val="DebesliotekstasDiagrama"/>
    <w:uiPriority w:val="99"/>
    <w:semiHidden/>
    <w:unhideWhenUsed/>
    <w:rsid w:val="006507DA"/>
    <w:rPr>
      <w:rFonts w:ascii="Tahoma" w:hAnsi="Tahoma" w:cs="Tahoma"/>
      <w:sz w:val="16"/>
      <w:szCs w:val="16"/>
    </w:rPr>
  </w:style>
  <w:style w:type="character" w:customStyle="1" w:styleId="DebesliotekstasDiagrama">
    <w:name w:val="Debesėlio tekstas Diagrama"/>
    <w:link w:val="Debesliotekstas"/>
    <w:uiPriority w:val="99"/>
    <w:semiHidden/>
    <w:rsid w:val="006507DA"/>
    <w:rPr>
      <w:rFonts w:ascii="Tahoma" w:hAnsi="Tahoma" w:cs="Tahoma"/>
      <w:sz w:val="16"/>
      <w:szCs w:val="16"/>
    </w:rPr>
  </w:style>
  <w:style w:type="paragraph" w:styleId="Dokumentostruktra">
    <w:name w:val="Document Map"/>
    <w:basedOn w:val="prastasis"/>
    <w:link w:val="DokumentostruktraDiagrama"/>
    <w:uiPriority w:val="99"/>
    <w:semiHidden/>
    <w:unhideWhenUsed/>
    <w:rsid w:val="000767E6"/>
    <w:rPr>
      <w:rFonts w:ascii="Tahoma" w:hAnsi="Tahoma" w:cs="Tahoma"/>
      <w:sz w:val="16"/>
      <w:szCs w:val="16"/>
    </w:rPr>
  </w:style>
  <w:style w:type="character" w:customStyle="1" w:styleId="DokumentostruktraDiagrama">
    <w:name w:val="Dokumento struktūra Diagrama"/>
    <w:link w:val="Dokumentostruktra"/>
    <w:uiPriority w:val="99"/>
    <w:semiHidden/>
    <w:rsid w:val="000767E6"/>
    <w:rPr>
      <w:rFonts w:ascii="Tahoma" w:hAnsi="Tahoma" w:cs="Tahoma"/>
      <w:sz w:val="16"/>
      <w:szCs w:val="16"/>
    </w:rPr>
  </w:style>
  <w:style w:type="paragraph" w:styleId="Sraopastraipa">
    <w:name w:val="List Paragraph"/>
    <w:basedOn w:val="prastasis"/>
    <w:uiPriority w:val="34"/>
    <w:qFormat/>
    <w:rsid w:val="005A3437"/>
    <w:pPr>
      <w:ind w:left="720"/>
      <w:contextualSpacing/>
    </w:pPr>
  </w:style>
  <w:style w:type="character" w:styleId="Hipersaitas">
    <w:name w:val="Hyperlink"/>
    <w:uiPriority w:val="99"/>
    <w:unhideWhenUsed/>
    <w:rsid w:val="005238DF"/>
    <w:rPr>
      <w:color w:val="0000FF"/>
      <w:u w:val="single"/>
    </w:rPr>
  </w:style>
  <w:style w:type="character" w:customStyle="1" w:styleId="TextZchn">
    <w:name w:val="Text Zchn"/>
    <w:link w:val="Text"/>
    <w:rsid w:val="00AC392D"/>
    <w:rPr>
      <w:rFonts w:ascii="Times New Roman" w:eastAsia="Times New Roman" w:hAnsi="Times New Roman" w:cs="Times New Roman"/>
      <w:color w:val="000000"/>
      <w:sz w:val="24"/>
      <w:szCs w:val="20"/>
      <w:lang w:val="en-GB"/>
    </w:rPr>
  </w:style>
  <w:style w:type="paragraph" w:styleId="Pataisymai">
    <w:name w:val="Revision"/>
    <w:hidden/>
    <w:uiPriority w:val="99"/>
    <w:semiHidden/>
    <w:rsid w:val="00812A1E"/>
    <w:rPr>
      <w:sz w:val="22"/>
      <w:szCs w:val="22"/>
      <w:lang w:eastAsia="en-US"/>
    </w:rPr>
  </w:style>
  <w:style w:type="paragraph" w:styleId="Pagrindinistekstas">
    <w:name w:val="Body Text"/>
    <w:basedOn w:val="prastasis"/>
    <w:link w:val="PagrindinistekstasDiagrama"/>
    <w:semiHidden/>
    <w:rsid w:val="00A76070"/>
    <w:rPr>
      <w:rFonts w:eastAsia="Times New Roman"/>
      <w:b/>
      <w:sz w:val="20"/>
      <w:szCs w:val="20"/>
      <w:u w:val="single"/>
      <w:lang w:val="en-GB" w:eastAsia="fr-FR"/>
    </w:rPr>
  </w:style>
  <w:style w:type="character" w:customStyle="1" w:styleId="PagrindinistekstasDiagrama">
    <w:name w:val="Pagrindinis tekstas Diagrama"/>
    <w:link w:val="Pagrindinistekstas"/>
    <w:semiHidden/>
    <w:rsid w:val="00A76070"/>
    <w:rPr>
      <w:rFonts w:ascii="Times New Roman" w:eastAsia="Times New Roman" w:hAnsi="Times New Roman" w:cs="Times New Roman"/>
      <w:b/>
      <w:sz w:val="20"/>
      <w:szCs w:val="20"/>
      <w:u w:val="single"/>
      <w:lang w:val="en-GB" w:eastAsia="fr-FR"/>
    </w:rPr>
  </w:style>
  <w:style w:type="paragraph" w:styleId="Antrat">
    <w:name w:val="caption"/>
    <w:basedOn w:val="prastasis"/>
    <w:next w:val="prastasis"/>
    <w:uiPriority w:val="99"/>
    <w:unhideWhenUsed/>
    <w:qFormat/>
    <w:rsid w:val="003451F2"/>
    <w:rPr>
      <w:i/>
      <w:iCs/>
      <w:color w:val="1F497D"/>
      <w:sz w:val="18"/>
      <w:szCs w:val="18"/>
    </w:rPr>
  </w:style>
  <w:style w:type="character" w:customStyle="1" w:styleId="Antrat3Diagrama">
    <w:name w:val="Antraštė 3 Diagrama"/>
    <w:link w:val="Antrat3"/>
    <w:uiPriority w:val="9"/>
    <w:rsid w:val="00E457A0"/>
    <w:rPr>
      <w:rFonts w:ascii="Times New Roman" w:hAnsi="Times New Roman" w:cs="Times New Roman"/>
      <w:color w:val="000000"/>
      <w:u w:val="single"/>
      <w:lang w:val="lt-LT"/>
    </w:rPr>
  </w:style>
  <w:style w:type="character" w:customStyle="1" w:styleId="Antrat4Diagrama">
    <w:name w:val="Antraštė 4 Diagrama"/>
    <w:link w:val="Antrat4"/>
    <w:uiPriority w:val="9"/>
    <w:rsid w:val="00977646"/>
    <w:rPr>
      <w:rFonts w:ascii="Times New Roman" w:hAnsi="Times New Roman"/>
      <w:b/>
      <w:bCs/>
      <w:i/>
      <w:iCs/>
      <w:color w:val="000000"/>
      <w:sz w:val="22"/>
      <w:szCs w:val="22"/>
      <w:lang w:val="lt-LT" w:eastAsia="en-US"/>
    </w:rPr>
  </w:style>
  <w:style w:type="table" w:styleId="Lentelstinklelis">
    <w:name w:val="Table Grid"/>
    <w:basedOn w:val="prastojilentel"/>
    <w:uiPriority w:val="59"/>
    <w:unhideWhenUsed/>
    <w:rsid w:val="00DE5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xtBericht">
    <w:name w:val="A_Text_Bericht"/>
    <w:basedOn w:val="prastasis"/>
    <w:link w:val="ATextBerichtChar"/>
    <w:qFormat/>
    <w:rsid w:val="008E70E4"/>
    <w:pPr>
      <w:spacing w:before="120" w:after="60"/>
      <w:jc w:val="both"/>
    </w:pPr>
    <w:rPr>
      <w:rFonts w:eastAsia="Times New Roman"/>
      <w:sz w:val="24"/>
      <w:szCs w:val="20"/>
      <w:lang w:val="en-GB" w:eastAsia="de-DE"/>
    </w:rPr>
  </w:style>
  <w:style w:type="character" w:customStyle="1" w:styleId="ATextBerichtChar">
    <w:name w:val="A_Text_Bericht Char"/>
    <w:link w:val="ATextBericht"/>
    <w:rsid w:val="008E70E4"/>
    <w:rPr>
      <w:rFonts w:ascii="Times New Roman" w:eastAsia="Times New Roman" w:hAnsi="Times New Roman" w:cs="Times New Roman"/>
      <w:sz w:val="24"/>
      <w:szCs w:val="20"/>
      <w:lang w:val="en-GB" w:eastAsia="de-DE"/>
    </w:rPr>
  </w:style>
  <w:style w:type="paragraph" w:styleId="Pagrindinistekstas2">
    <w:name w:val="Body Text 2"/>
    <w:basedOn w:val="prastasis"/>
    <w:link w:val="Pagrindinistekstas2Diagrama"/>
    <w:uiPriority w:val="99"/>
    <w:semiHidden/>
    <w:unhideWhenUsed/>
    <w:rsid w:val="008E70E4"/>
    <w:pPr>
      <w:spacing w:after="120" w:line="480" w:lineRule="auto"/>
    </w:pPr>
  </w:style>
  <w:style w:type="character" w:customStyle="1" w:styleId="Pagrindinistekstas2Diagrama">
    <w:name w:val="Pagrindinis tekstas 2 Diagrama"/>
    <w:link w:val="Pagrindinistekstas2"/>
    <w:uiPriority w:val="99"/>
    <w:semiHidden/>
    <w:rsid w:val="008E70E4"/>
    <w:rPr>
      <w:rFonts w:ascii="Times New Roman" w:hAnsi="Times New Roman"/>
      <w:lang w:val="lt-LT"/>
    </w:rPr>
  </w:style>
  <w:style w:type="paragraph" w:customStyle="1" w:styleId="Table">
    <w:name w:val="Table"/>
    <w:basedOn w:val="Pagrindinistekstas2"/>
    <w:qFormat/>
    <w:rsid w:val="008E70E4"/>
    <w:pPr>
      <w:spacing w:before="40" w:after="20" w:line="240" w:lineRule="auto"/>
      <w:jc w:val="both"/>
    </w:pPr>
    <w:rPr>
      <w:rFonts w:ascii="Arial" w:eastAsia="Times New Roman" w:hAnsi="Arial" w:cs="Arial"/>
      <w:noProof/>
      <w:sz w:val="18"/>
      <w:szCs w:val="18"/>
      <w:lang w:val="en-US" w:eastAsia="de-DE"/>
    </w:rPr>
  </w:style>
  <w:style w:type="paragraph" w:customStyle="1" w:styleId="Tablefootnote">
    <w:name w:val="Table footnote"/>
    <w:basedOn w:val="Default"/>
    <w:qFormat/>
    <w:rsid w:val="008E70E4"/>
    <w:pPr>
      <w:widowControl w:val="0"/>
      <w:spacing w:before="120" w:after="120"/>
      <w:contextualSpacing/>
      <w:jc w:val="both"/>
    </w:pPr>
    <w:rPr>
      <w:rFonts w:ascii="Arial" w:eastAsia="Times New Roman" w:hAnsi="Arial" w:cs="Arial"/>
      <w:color w:val="auto"/>
      <w:sz w:val="18"/>
      <w:szCs w:val="18"/>
      <w:lang w:val="en-US" w:eastAsia="de-AT"/>
    </w:rPr>
  </w:style>
  <w:style w:type="paragraph" w:styleId="Paprastasistekstas">
    <w:name w:val="Plain Text"/>
    <w:basedOn w:val="prastasis"/>
    <w:link w:val="PaprastasistekstasDiagrama"/>
    <w:uiPriority w:val="99"/>
    <w:unhideWhenUsed/>
    <w:rsid w:val="00C74E70"/>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C74E70"/>
    <w:rPr>
      <w:rFonts w:ascii="Courier New" w:eastAsia="SimSun" w:hAnsi="Courier New" w:cs="Times New Roman"/>
      <w:sz w:val="20"/>
      <w:szCs w:val="20"/>
      <w:lang w:val="en-US" w:eastAsia="x-none"/>
    </w:rPr>
  </w:style>
  <w:style w:type="character" w:customStyle="1" w:styleId="y2iqfc">
    <w:name w:val="y2iqfc"/>
    <w:rsid w:val="00775E5A"/>
  </w:style>
  <w:style w:type="paragraph" w:styleId="HTMLiankstoformatuotas">
    <w:name w:val="HTML Preformatted"/>
    <w:basedOn w:val="prastasis"/>
    <w:link w:val="HTMLiankstoformatuotasDiagrama"/>
    <w:uiPriority w:val="99"/>
    <w:semiHidden/>
    <w:unhideWhenUsed/>
    <w:rsid w:val="00A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de-AT" w:eastAsia="de-AT"/>
    </w:rPr>
  </w:style>
  <w:style w:type="character" w:customStyle="1" w:styleId="HTMLiankstoformatuotasDiagrama">
    <w:name w:val="HTML iš anksto formatuotas Diagrama"/>
    <w:link w:val="HTMLiankstoformatuotas"/>
    <w:uiPriority w:val="99"/>
    <w:semiHidden/>
    <w:rsid w:val="00A03CB9"/>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700">
      <w:bodyDiv w:val="1"/>
      <w:marLeft w:val="0"/>
      <w:marRight w:val="0"/>
      <w:marTop w:val="0"/>
      <w:marBottom w:val="0"/>
      <w:divBdr>
        <w:top w:val="none" w:sz="0" w:space="0" w:color="auto"/>
        <w:left w:val="none" w:sz="0" w:space="0" w:color="auto"/>
        <w:bottom w:val="none" w:sz="0" w:space="0" w:color="auto"/>
        <w:right w:val="none" w:sz="0" w:space="0" w:color="auto"/>
      </w:divBdr>
    </w:div>
    <w:div w:id="104857647">
      <w:bodyDiv w:val="1"/>
      <w:marLeft w:val="0"/>
      <w:marRight w:val="0"/>
      <w:marTop w:val="0"/>
      <w:marBottom w:val="0"/>
      <w:divBdr>
        <w:top w:val="none" w:sz="0" w:space="0" w:color="auto"/>
        <w:left w:val="none" w:sz="0" w:space="0" w:color="auto"/>
        <w:bottom w:val="none" w:sz="0" w:space="0" w:color="auto"/>
        <w:right w:val="none" w:sz="0" w:space="0" w:color="auto"/>
      </w:divBdr>
    </w:div>
    <w:div w:id="117456517">
      <w:bodyDiv w:val="1"/>
      <w:marLeft w:val="0"/>
      <w:marRight w:val="0"/>
      <w:marTop w:val="0"/>
      <w:marBottom w:val="0"/>
      <w:divBdr>
        <w:top w:val="none" w:sz="0" w:space="0" w:color="auto"/>
        <w:left w:val="none" w:sz="0" w:space="0" w:color="auto"/>
        <w:bottom w:val="none" w:sz="0" w:space="0" w:color="auto"/>
        <w:right w:val="none" w:sz="0" w:space="0" w:color="auto"/>
      </w:divBdr>
    </w:div>
    <w:div w:id="176385346">
      <w:bodyDiv w:val="1"/>
      <w:marLeft w:val="0"/>
      <w:marRight w:val="0"/>
      <w:marTop w:val="0"/>
      <w:marBottom w:val="0"/>
      <w:divBdr>
        <w:top w:val="none" w:sz="0" w:space="0" w:color="auto"/>
        <w:left w:val="none" w:sz="0" w:space="0" w:color="auto"/>
        <w:bottom w:val="none" w:sz="0" w:space="0" w:color="auto"/>
        <w:right w:val="none" w:sz="0" w:space="0" w:color="auto"/>
      </w:divBdr>
    </w:div>
    <w:div w:id="215514858">
      <w:bodyDiv w:val="1"/>
      <w:marLeft w:val="0"/>
      <w:marRight w:val="0"/>
      <w:marTop w:val="0"/>
      <w:marBottom w:val="0"/>
      <w:divBdr>
        <w:top w:val="none" w:sz="0" w:space="0" w:color="auto"/>
        <w:left w:val="none" w:sz="0" w:space="0" w:color="auto"/>
        <w:bottom w:val="none" w:sz="0" w:space="0" w:color="auto"/>
        <w:right w:val="none" w:sz="0" w:space="0" w:color="auto"/>
      </w:divBdr>
    </w:div>
    <w:div w:id="784613315">
      <w:bodyDiv w:val="1"/>
      <w:marLeft w:val="0"/>
      <w:marRight w:val="0"/>
      <w:marTop w:val="0"/>
      <w:marBottom w:val="0"/>
      <w:divBdr>
        <w:top w:val="none" w:sz="0" w:space="0" w:color="auto"/>
        <w:left w:val="none" w:sz="0" w:space="0" w:color="auto"/>
        <w:bottom w:val="none" w:sz="0" w:space="0" w:color="auto"/>
        <w:right w:val="none" w:sz="0" w:space="0" w:color="auto"/>
      </w:divBdr>
    </w:div>
    <w:div w:id="839657959">
      <w:bodyDiv w:val="1"/>
      <w:marLeft w:val="0"/>
      <w:marRight w:val="0"/>
      <w:marTop w:val="0"/>
      <w:marBottom w:val="0"/>
      <w:divBdr>
        <w:top w:val="none" w:sz="0" w:space="0" w:color="auto"/>
        <w:left w:val="none" w:sz="0" w:space="0" w:color="auto"/>
        <w:bottom w:val="none" w:sz="0" w:space="0" w:color="auto"/>
        <w:right w:val="none" w:sz="0" w:space="0" w:color="auto"/>
      </w:divBdr>
    </w:div>
    <w:div w:id="980695499">
      <w:bodyDiv w:val="1"/>
      <w:marLeft w:val="0"/>
      <w:marRight w:val="0"/>
      <w:marTop w:val="0"/>
      <w:marBottom w:val="0"/>
      <w:divBdr>
        <w:top w:val="none" w:sz="0" w:space="0" w:color="auto"/>
        <w:left w:val="none" w:sz="0" w:space="0" w:color="auto"/>
        <w:bottom w:val="none" w:sz="0" w:space="0" w:color="auto"/>
        <w:right w:val="none" w:sz="0" w:space="0" w:color="auto"/>
      </w:divBdr>
    </w:div>
    <w:div w:id="1206018402">
      <w:bodyDiv w:val="1"/>
      <w:marLeft w:val="0"/>
      <w:marRight w:val="0"/>
      <w:marTop w:val="0"/>
      <w:marBottom w:val="0"/>
      <w:divBdr>
        <w:top w:val="none" w:sz="0" w:space="0" w:color="auto"/>
        <w:left w:val="none" w:sz="0" w:space="0" w:color="auto"/>
        <w:bottom w:val="none" w:sz="0" w:space="0" w:color="auto"/>
        <w:right w:val="none" w:sz="0" w:space="0" w:color="auto"/>
      </w:divBdr>
    </w:div>
    <w:div w:id="1242985691">
      <w:bodyDiv w:val="1"/>
      <w:marLeft w:val="0"/>
      <w:marRight w:val="0"/>
      <w:marTop w:val="0"/>
      <w:marBottom w:val="0"/>
      <w:divBdr>
        <w:top w:val="none" w:sz="0" w:space="0" w:color="auto"/>
        <w:left w:val="none" w:sz="0" w:space="0" w:color="auto"/>
        <w:bottom w:val="none" w:sz="0" w:space="0" w:color="auto"/>
        <w:right w:val="none" w:sz="0" w:space="0" w:color="auto"/>
      </w:divBdr>
      <w:divsChild>
        <w:div w:id="146632093">
          <w:marLeft w:val="446"/>
          <w:marRight w:val="0"/>
          <w:marTop w:val="0"/>
          <w:marBottom w:val="0"/>
          <w:divBdr>
            <w:top w:val="none" w:sz="0" w:space="0" w:color="auto"/>
            <w:left w:val="none" w:sz="0" w:space="0" w:color="auto"/>
            <w:bottom w:val="none" w:sz="0" w:space="0" w:color="auto"/>
            <w:right w:val="none" w:sz="0" w:space="0" w:color="auto"/>
          </w:divBdr>
        </w:div>
        <w:div w:id="1080715845">
          <w:marLeft w:val="446"/>
          <w:marRight w:val="0"/>
          <w:marTop w:val="0"/>
          <w:marBottom w:val="0"/>
          <w:divBdr>
            <w:top w:val="none" w:sz="0" w:space="0" w:color="auto"/>
            <w:left w:val="none" w:sz="0" w:space="0" w:color="auto"/>
            <w:bottom w:val="none" w:sz="0" w:space="0" w:color="auto"/>
            <w:right w:val="none" w:sz="0" w:space="0" w:color="auto"/>
          </w:divBdr>
        </w:div>
        <w:div w:id="1463771875">
          <w:marLeft w:val="446"/>
          <w:marRight w:val="0"/>
          <w:marTop w:val="0"/>
          <w:marBottom w:val="0"/>
          <w:divBdr>
            <w:top w:val="none" w:sz="0" w:space="0" w:color="auto"/>
            <w:left w:val="none" w:sz="0" w:space="0" w:color="auto"/>
            <w:bottom w:val="none" w:sz="0" w:space="0" w:color="auto"/>
            <w:right w:val="none" w:sz="0" w:space="0" w:color="auto"/>
          </w:divBdr>
        </w:div>
        <w:div w:id="1757045884">
          <w:marLeft w:val="446"/>
          <w:marRight w:val="0"/>
          <w:marTop w:val="0"/>
          <w:marBottom w:val="0"/>
          <w:divBdr>
            <w:top w:val="none" w:sz="0" w:space="0" w:color="auto"/>
            <w:left w:val="none" w:sz="0" w:space="0" w:color="auto"/>
            <w:bottom w:val="none" w:sz="0" w:space="0" w:color="auto"/>
            <w:right w:val="none" w:sz="0" w:space="0" w:color="auto"/>
          </w:divBdr>
        </w:div>
        <w:div w:id="1784298355">
          <w:marLeft w:val="446"/>
          <w:marRight w:val="0"/>
          <w:marTop w:val="0"/>
          <w:marBottom w:val="0"/>
          <w:divBdr>
            <w:top w:val="none" w:sz="0" w:space="0" w:color="auto"/>
            <w:left w:val="none" w:sz="0" w:space="0" w:color="auto"/>
            <w:bottom w:val="none" w:sz="0" w:space="0" w:color="auto"/>
            <w:right w:val="none" w:sz="0" w:space="0" w:color="auto"/>
          </w:divBdr>
        </w:div>
        <w:div w:id="1912159590">
          <w:marLeft w:val="446"/>
          <w:marRight w:val="0"/>
          <w:marTop w:val="0"/>
          <w:marBottom w:val="0"/>
          <w:divBdr>
            <w:top w:val="none" w:sz="0" w:space="0" w:color="auto"/>
            <w:left w:val="none" w:sz="0" w:space="0" w:color="auto"/>
            <w:bottom w:val="none" w:sz="0" w:space="0" w:color="auto"/>
            <w:right w:val="none" w:sz="0" w:space="0" w:color="auto"/>
          </w:divBdr>
        </w:div>
      </w:divsChild>
    </w:div>
    <w:div w:id="1300955441">
      <w:bodyDiv w:val="1"/>
      <w:marLeft w:val="0"/>
      <w:marRight w:val="0"/>
      <w:marTop w:val="0"/>
      <w:marBottom w:val="0"/>
      <w:divBdr>
        <w:top w:val="none" w:sz="0" w:space="0" w:color="auto"/>
        <w:left w:val="none" w:sz="0" w:space="0" w:color="auto"/>
        <w:bottom w:val="none" w:sz="0" w:space="0" w:color="auto"/>
        <w:right w:val="none" w:sz="0" w:space="0" w:color="auto"/>
      </w:divBdr>
    </w:div>
    <w:div w:id="1477794706">
      <w:bodyDiv w:val="1"/>
      <w:marLeft w:val="0"/>
      <w:marRight w:val="0"/>
      <w:marTop w:val="0"/>
      <w:marBottom w:val="0"/>
      <w:divBdr>
        <w:top w:val="none" w:sz="0" w:space="0" w:color="auto"/>
        <w:left w:val="none" w:sz="0" w:space="0" w:color="auto"/>
        <w:bottom w:val="none" w:sz="0" w:space="0" w:color="auto"/>
        <w:right w:val="none" w:sz="0" w:space="0" w:color="auto"/>
      </w:divBdr>
    </w:div>
    <w:div w:id="1499346933">
      <w:bodyDiv w:val="1"/>
      <w:marLeft w:val="0"/>
      <w:marRight w:val="0"/>
      <w:marTop w:val="0"/>
      <w:marBottom w:val="0"/>
      <w:divBdr>
        <w:top w:val="none" w:sz="0" w:space="0" w:color="auto"/>
        <w:left w:val="none" w:sz="0" w:space="0" w:color="auto"/>
        <w:bottom w:val="none" w:sz="0" w:space="0" w:color="auto"/>
        <w:right w:val="none" w:sz="0" w:space="0" w:color="auto"/>
      </w:divBdr>
    </w:div>
    <w:div w:id="1673682232">
      <w:bodyDiv w:val="1"/>
      <w:marLeft w:val="0"/>
      <w:marRight w:val="0"/>
      <w:marTop w:val="0"/>
      <w:marBottom w:val="0"/>
      <w:divBdr>
        <w:top w:val="none" w:sz="0" w:space="0" w:color="auto"/>
        <w:left w:val="none" w:sz="0" w:space="0" w:color="auto"/>
        <w:bottom w:val="none" w:sz="0" w:space="0" w:color="auto"/>
        <w:right w:val="none" w:sz="0" w:space="0" w:color="auto"/>
      </w:divBdr>
    </w:div>
    <w:div w:id="199086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vvkt.lt/index.php?4004286486"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vapris.vvkt.lt/vvkt-web/public/nr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www.ema.europa.eu" TargetMode="External"/><Relationship Id="rId10" Type="http://schemas.openxmlformats.org/officeDocument/2006/relationships/hyperlink" Target="https://www.vvkt.lt/index.php?1399030386" TargetMode="External"/><Relationship Id="rId19" Type="http://schemas.openxmlformats.org/officeDocument/2006/relationships/hyperlink" Target="http://www.ema.europa.eu" TargetMode="External"/><Relationship Id="rId4" Type="http://schemas.openxmlformats.org/officeDocument/2006/relationships/styles" Target="styles.xml"/><Relationship Id="rId9" Type="http://schemas.openxmlformats.org/officeDocument/2006/relationships/hyperlink" Target="https://vapris.vvkt.lt/vvkt-web/public/nrvSpecialist" TargetMode="External"/><Relationship Id="rId14" Type="http://schemas.openxmlformats.org/officeDocument/2006/relationships/image" Target="media/image4.png"/><Relationship Id="rId22" Type="http://schemas.openxmlformats.org/officeDocument/2006/relationships/hyperlink" Target="mailto:NepageidaujamaR@vvkt.l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edit="true" text="Cutaquig_SPC_en_Corr"/>
    <f:field ref="objsubject" par="" edit="true" text=""/>
    <f:field ref="objcreatedby" par="" text="Kerr, Jacqueline, Dr."/>
    <f:field ref="objcreatedat" par="" text="26.10.2018 10:15:13"/>
    <f:field ref="objchangedby" par="" text="Groß, Nannette, Dr."/>
    <f:field ref="objmodifiedat" par="" text="05.11.2018 14:18:00"/>
    <f:field ref="doc_FSCFOLIO_1_1001_FieldDocumentNumber" par="" text=""/>
    <f:field ref="doc_FSCFOLIO_1_1001_FieldSubject" par="" edit="true" text=""/>
    <f:field ref="FSCFOLIO_1_1001_FieldCurrentUser" par="" text="Dr. Nannette Groß"/>
    <f:field ref="CCAPRECONFIG_15_1001_Objektname" par="" edit="true" text="Cutaquig_SPC_en_Corr"/>
    <f:field ref="DEPRECONFIG_15_1001_Objektname" par="" edit="true" text="Cutaquig_SPC_en_Corr"/>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DEPRECONFIG_15_1001_Objektname" text="Objek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6272AD6-FC15-422B-93D9-316FAA754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35408</Words>
  <Characters>20184</Characters>
  <Application>Microsoft Office Word</Application>
  <DocSecurity>4</DocSecurity>
  <Lines>168</Lines>
  <Paragraphs>110</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FIBRYGA, INN - human fibrinogen</vt:lpstr>
      <vt:lpstr>FIBRYGA, INN - human fibrinogen</vt:lpstr>
      <vt:lpstr>FIBRYGA, INN - human fibrinogen</vt:lpstr>
    </vt:vector>
  </TitlesOfParts>
  <Company/>
  <LinksUpToDate>false</LinksUpToDate>
  <CharactersWithSpaces>55482</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FIBRYGA, INN - human fibrinogen</dc:title>
  <dc:subject>LT PI</dc:subject>
  <dc:creator>Allan Kulpson, COVALENT OÜ</dc:creator>
  <cp:keywords>DE/H/4900/001</cp:keywords>
  <cp:lastModifiedBy>Albina Burkauskaitė</cp:lastModifiedBy>
  <cp:revision>2</cp:revision>
  <dcterms:created xsi:type="dcterms:W3CDTF">2025-04-09T06:30:00Z</dcterms:created>
  <dcterms:modified xsi:type="dcterms:W3CDTF">2025-04-09T06:30:00Z</dcterms:modified>
  <cp:contentStatus>ue</cp:contentStatus>
</cp:coreProperties>
</file>