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7F" w:rsidRDefault="0011317F" w:rsidP="0011317F">
      <w:pPr>
        <w:jc w:val="center"/>
        <w:rPr>
          <w:b/>
          <w:bCs/>
          <w:lang w:val="lt-LT"/>
        </w:rPr>
      </w:pPr>
      <w:r>
        <w:rPr>
          <w:b/>
          <w:bCs/>
          <w:lang w:val="lt-LT"/>
        </w:rPr>
        <w:t>Pakuotės lapelis: informacija vartotojui</w:t>
      </w:r>
    </w:p>
    <w:p w:rsidR="0011317F" w:rsidRDefault="0011317F" w:rsidP="0011317F">
      <w:pPr>
        <w:jc w:val="center"/>
        <w:rPr>
          <w:lang w:val="lt-LT"/>
        </w:rPr>
      </w:pPr>
    </w:p>
    <w:p w:rsidR="0011317F" w:rsidRDefault="0011317F" w:rsidP="0011317F">
      <w:pPr>
        <w:pStyle w:val="Normal"/>
        <w:ind w:left="600"/>
        <w:jc w:val="center"/>
        <w:rPr>
          <w:rFonts w:ascii="Times New Roman" w:hAnsi="Times New Roman"/>
          <w:b/>
          <w:iCs/>
          <w:color w:val="000000"/>
          <w:sz w:val="22"/>
          <w:szCs w:val="22"/>
          <w:lang w:val="lt-LT"/>
        </w:rPr>
      </w:pPr>
      <w:proofErr w:type="spellStart"/>
      <w:r w:rsidRPr="00006E3B">
        <w:rPr>
          <w:rFonts w:ascii="Times New Roman" w:hAnsi="Times New Roman"/>
          <w:b/>
          <w:sz w:val="22"/>
          <w:lang w:val="lt-LT"/>
        </w:rPr>
        <w:t>ilon</w:t>
      </w:r>
      <w:proofErr w:type="spellEnd"/>
      <w:r w:rsidRPr="00006E3B">
        <w:rPr>
          <w:rFonts w:ascii="Times New Roman" w:hAnsi="Times New Roman"/>
          <w:b/>
          <w:sz w:val="22"/>
          <w:lang w:val="lt-LT"/>
        </w:rPr>
        <w:t xml:space="preserve"> </w:t>
      </w:r>
      <w:r>
        <w:rPr>
          <w:rFonts w:ascii="Times New Roman" w:hAnsi="Times New Roman"/>
          <w:b/>
          <w:bCs/>
          <w:color w:val="000000"/>
          <w:sz w:val="22"/>
          <w:szCs w:val="22"/>
          <w:lang w:val="lt-LT"/>
        </w:rPr>
        <w:t>tepalas</w:t>
      </w:r>
    </w:p>
    <w:p w:rsidR="0011317F" w:rsidRDefault="0011317F" w:rsidP="0011317F">
      <w:pPr>
        <w:jc w:val="both"/>
        <w:rPr>
          <w:lang w:val="lt-LT"/>
        </w:rPr>
      </w:pPr>
    </w:p>
    <w:p w:rsidR="0011317F" w:rsidRDefault="0011317F" w:rsidP="0011317F">
      <w:pPr>
        <w:pStyle w:val="Titel3"/>
        <w:jc w:val="center"/>
        <w:rPr>
          <w:rFonts w:ascii="Times New Roman" w:hAnsi="Times New Roman"/>
          <w:b w:val="0"/>
          <w:bCs/>
          <w:i w:val="0"/>
          <w:iCs/>
          <w:sz w:val="22"/>
          <w:szCs w:val="22"/>
          <w:lang w:val="lt-LT"/>
        </w:rPr>
      </w:pPr>
      <w:r>
        <w:rPr>
          <w:rFonts w:ascii="Times New Roman" w:hAnsi="Times New Roman"/>
          <w:b w:val="0"/>
          <w:i w:val="0"/>
          <w:sz w:val="22"/>
          <w:szCs w:val="22"/>
          <w:lang w:val="lt-LT"/>
        </w:rPr>
        <w:t>eukaliptų eterinis aliejus, europinių maumedžių terpentinas, terpentino eterinis aliejus</w:t>
      </w:r>
    </w:p>
    <w:p w:rsidR="0011317F" w:rsidRDefault="0011317F" w:rsidP="0011317F">
      <w:pPr>
        <w:ind w:right="46"/>
        <w:jc w:val="both"/>
        <w:rPr>
          <w:bCs/>
          <w:lang w:val="lt-LT"/>
        </w:rPr>
      </w:pPr>
    </w:p>
    <w:p w:rsidR="0011317F" w:rsidRDefault="0011317F" w:rsidP="0011317F">
      <w:pPr>
        <w:rPr>
          <w:b/>
          <w:bCs/>
          <w:lang w:val="lt-LT"/>
        </w:rPr>
      </w:pPr>
      <w:r>
        <w:rPr>
          <w:b/>
          <w:bCs/>
          <w:lang w:val="lt-LT"/>
        </w:rPr>
        <w:t>Atidžiai perskaitykite visą šį lapelį, prieš pradėdami vartoti vaistą, nes jame pateikiama Jums svarbi informacija.</w:t>
      </w:r>
    </w:p>
    <w:p w:rsidR="0011317F" w:rsidRDefault="0011317F" w:rsidP="0011317F">
      <w:pPr>
        <w:rPr>
          <w:bCs/>
          <w:lang w:val="lt-LT"/>
        </w:rPr>
      </w:pPr>
      <w:r>
        <w:rPr>
          <w:lang w:val="lt-LT"/>
        </w:rPr>
        <w:t>Visada vartokite šį vaistą tiksliai kaip aprašyta šiame lapelyje arba kaip nurodė gydytojas arba vaistininkas.</w:t>
      </w:r>
    </w:p>
    <w:p w:rsidR="0011317F" w:rsidRDefault="0011317F" w:rsidP="0011317F">
      <w:pPr>
        <w:tabs>
          <w:tab w:val="left" w:pos="567"/>
        </w:tabs>
        <w:rPr>
          <w:bCs/>
          <w:lang w:val="lt-LT"/>
        </w:rPr>
      </w:pPr>
      <w:r>
        <w:rPr>
          <w:lang w:val="lt-LT"/>
        </w:rPr>
        <w:t>-</w:t>
      </w:r>
      <w:r>
        <w:rPr>
          <w:lang w:val="lt-LT"/>
        </w:rPr>
        <w:tab/>
        <w:t>Neišmeskite šio lapelio, nes vėl gali prireikti jį perskaityti.</w:t>
      </w:r>
    </w:p>
    <w:p w:rsidR="0011317F" w:rsidRDefault="0011317F" w:rsidP="0011317F">
      <w:pPr>
        <w:tabs>
          <w:tab w:val="left" w:pos="567"/>
        </w:tabs>
        <w:rPr>
          <w:lang w:val="lt-LT"/>
        </w:rPr>
      </w:pPr>
      <w:r>
        <w:rPr>
          <w:lang w:val="lt-LT"/>
        </w:rPr>
        <w:t>-</w:t>
      </w:r>
      <w:r>
        <w:rPr>
          <w:lang w:val="lt-LT"/>
        </w:rPr>
        <w:tab/>
        <w:t>Jeigu kiltų daugiau klausimų, kreipkitės į vaistininką.</w:t>
      </w:r>
    </w:p>
    <w:p w:rsidR="0011317F" w:rsidRDefault="0011317F" w:rsidP="0011317F">
      <w:pPr>
        <w:tabs>
          <w:tab w:val="left" w:pos="567"/>
        </w:tabs>
        <w:ind w:left="567" w:hanging="567"/>
        <w:rPr>
          <w:lang w:val="lt-LT"/>
        </w:rPr>
      </w:pPr>
      <w:r>
        <w:rPr>
          <w:lang w:val="lt-LT"/>
        </w:rPr>
        <w:t>-</w:t>
      </w:r>
      <w:r>
        <w:rPr>
          <w:lang w:val="lt-LT"/>
        </w:rPr>
        <w:tab/>
        <w:t>Jeigu pasireiškė šalutinis poveikis (net jeigu jis šiame lapelyje nenurodytas), kreipkitės į gydytoją arba vaistininką. Žr. 4 skyrių.</w:t>
      </w:r>
    </w:p>
    <w:p w:rsidR="0011317F" w:rsidRDefault="0011317F" w:rsidP="0011317F">
      <w:pPr>
        <w:tabs>
          <w:tab w:val="left" w:pos="567"/>
        </w:tabs>
        <w:ind w:left="567" w:hanging="567"/>
        <w:rPr>
          <w:lang w:val="lt-LT"/>
        </w:rPr>
      </w:pPr>
      <w:r>
        <w:rPr>
          <w:lang w:val="lt-LT"/>
        </w:rPr>
        <w:t>-</w:t>
      </w:r>
      <w:r>
        <w:rPr>
          <w:lang w:val="lt-LT"/>
        </w:rPr>
        <w:tab/>
        <w:t>Jei po 3 dienų nepasijuntate geriau arba jaučiatės blogiau, kreipkitės į gydytoją.</w:t>
      </w:r>
    </w:p>
    <w:p w:rsidR="0011317F" w:rsidRDefault="0011317F" w:rsidP="0011317F">
      <w:pPr>
        <w:tabs>
          <w:tab w:val="left" w:pos="993"/>
        </w:tabs>
        <w:rPr>
          <w:lang w:val="lt-LT"/>
        </w:rPr>
      </w:pPr>
    </w:p>
    <w:p w:rsidR="0011317F" w:rsidRDefault="0011317F" w:rsidP="0011317F">
      <w:pPr>
        <w:jc w:val="both"/>
        <w:rPr>
          <w:b/>
          <w:bCs/>
          <w:lang w:val="lt-LT"/>
        </w:rPr>
      </w:pPr>
      <w:r>
        <w:rPr>
          <w:b/>
          <w:bCs/>
          <w:lang w:val="lt-LT"/>
        </w:rPr>
        <w:t>Apie ką rašoma šiame lapelyje?</w:t>
      </w:r>
    </w:p>
    <w:p w:rsidR="0011317F" w:rsidRDefault="0011317F" w:rsidP="0011317F">
      <w:pPr>
        <w:jc w:val="both"/>
        <w:rPr>
          <w:b/>
          <w:bCs/>
          <w:lang w:val="lt-LT"/>
        </w:rPr>
      </w:pPr>
    </w:p>
    <w:p w:rsidR="0011317F" w:rsidRDefault="0011317F" w:rsidP="0011317F">
      <w:pPr>
        <w:numPr>
          <w:ilvl w:val="0"/>
          <w:numId w:val="1"/>
        </w:numPr>
        <w:tabs>
          <w:tab w:val="clear" w:pos="720"/>
          <w:tab w:val="num" w:pos="567"/>
        </w:tabs>
        <w:jc w:val="both"/>
        <w:rPr>
          <w:lang w:val="lt-LT"/>
        </w:rPr>
      </w:pPr>
      <w:r>
        <w:rPr>
          <w:lang w:val="lt-LT"/>
        </w:rPr>
        <w:t xml:space="preserve">Kas yra </w:t>
      </w:r>
      <w:proofErr w:type="spellStart"/>
      <w:r>
        <w:rPr>
          <w:lang w:val="lt-LT"/>
        </w:rPr>
        <w:t>ilon</w:t>
      </w:r>
      <w:proofErr w:type="spellEnd"/>
      <w:r>
        <w:rPr>
          <w:lang w:val="lt-LT"/>
        </w:rPr>
        <w:t xml:space="preserve"> ir kam jis vartojamas</w:t>
      </w:r>
    </w:p>
    <w:p w:rsidR="0011317F" w:rsidRDefault="0011317F" w:rsidP="0011317F">
      <w:pPr>
        <w:numPr>
          <w:ilvl w:val="0"/>
          <w:numId w:val="1"/>
        </w:numPr>
        <w:tabs>
          <w:tab w:val="num" w:pos="567"/>
        </w:tabs>
        <w:jc w:val="both"/>
        <w:rPr>
          <w:lang w:val="lt-LT"/>
        </w:rPr>
      </w:pPr>
      <w:r>
        <w:rPr>
          <w:lang w:val="lt-LT"/>
        </w:rPr>
        <w:t xml:space="preserve">Kas žinotina prieš vartojant </w:t>
      </w:r>
      <w:proofErr w:type="spellStart"/>
      <w:r>
        <w:rPr>
          <w:lang w:val="lt-LT"/>
        </w:rPr>
        <w:t>ilon</w:t>
      </w:r>
      <w:proofErr w:type="spellEnd"/>
    </w:p>
    <w:p w:rsidR="0011317F" w:rsidRDefault="0011317F" w:rsidP="0011317F">
      <w:pPr>
        <w:numPr>
          <w:ilvl w:val="0"/>
          <w:numId w:val="1"/>
        </w:numPr>
        <w:tabs>
          <w:tab w:val="num" w:pos="567"/>
        </w:tabs>
        <w:jc w:val="both"/>
        <w:rPr>
          <w:lang w:val="lt-LT"/>
        </w:rPr>
      </w:pPr>
      <w:r>
        <w:rPr>
          <w:lang w:val="lt-LT"/>
        </w:rPr>
        <w:t xml:space="preserve">Kaip vartoti </w:t>
      </w:r>
      <w:proofErr w:type="spellStart"/>
      <w:r>
        <w:rPr>
          <w:lang w:val="lt-LT"/>
        </w:rPr>
        <w:t>ilon</w:t>
      </w:r>
      <w:proofErr w:type="spellEnd"/>
    </w:p>
    <w:p w:rsidR="0011317F" w:rsidRDefault="0011317F" w:rsidP="0011317F">
      <w:pPr>
        <w:numPr>
          <w:ilvl w:val="0"/>
          <w:numId w:val="1"/>
        </w:numPr>
        <w:tabs>
          <w:tab w:val="num" w:pos="567"/>
        </w:tabs>
        <w:jc w:val="both"/>
        <w:rPr>
          <w:lang w:val="lt-LT"/>
        </w:rPr>
      </w:pPr>
      <w:r>
        <w:rPr>
          <w:lang w:val="lt-LT"/>
        </w:rPr>
        <w:t>Galimas šalutinis poveikis</w:t>
      </w:r>
    </w:p>
    <w:p w:rsidR="0011317F" w:rsidRDefault="0011317F" w:rsidP="0011317F">
      <w:pPr>
        <w:numPr>
          <w:ilvl w:val="0"/>
          <w:numId w:val="1"/>
        </w:numPr>
        <w:tabs>
          <w:tab w:val="num" w:pos="567"/>
        </w:tabs>
        <w:jc w:val="both"/>
        <w:rPr>
          <w:lang w:val="lt-LT"/>
        </w:rPr>
      </w:pPr>
      <w:r>
        <w:rPr>
          <w:lang w:val="lt-LT"/>
        </w:rPr>
        <w:t xml:space="preserve">Kaip laikyti </w:t>
      </w:r>
      <w:proofErr w:type="spellStart"/>
      <w:r>
        <w:rPr>
          <w:lang w:val="lt-LT"/>
        </w:rPr>
        <w:t>ilon</w:t>
      </w:r>
      <w:proofErr w:type="spellEnd"/>
    </w:p>
    <w:p w:rsidR="0011317F" w:rsidRDefault="0011317F" w:rsidP="0011317F">
      <w:pPr>
        <w:numPr>
          <w:ilvl w:val="0"/>
          <w:numId w:val="1"/>
        </w:numPr>
        <w:tabs>
          <w:tab w:val="num" w:pos="567"/>
        </w:tabs>
        <w:jc w:val="both"/>
        <w:rPr>
          <w:lang w:val="lt-LT"/>
        </w:rPr>
      </w:pPr>
      <w:r>
        <w:rPr>
          <w:lang w:val="lt-LT"/>
        </w:rPr>
        <w:t>Pakuotės turinys ir kita informacija</w:t>
      </w:r>
    </w:p>
    <w:p w:rsidR="0011317F" w:rsidRDefault="0011317F" w:rsidP="0011317F">
      <w:pPr>
        <w:jc w:val="both"/>
        <w:rPr>
          <w:lang w:val="lt-LT"/>
        </w:rPr>
      </w:pPr>
    </w:p>
    <w:p w:rsidR="0011317F" w:rsidRDefault="0011317F" w:rsidP="0011317F">
      <w:pPr>
        <w:jc w:val="both"/>
        <w:rPr>
          <w:lang w:val="lt-LT"/>
        </w:rPr>
      </w:pPr>
    </w:p>
    <w:p w:rsidR="0011317F" w:rsidRDefault="0011317F" w:rsidP="0011317F">
      <w:pPr>
        <w:tabs>
          <w:tab w:val="left" w:pos="567"/>
        </w:tabs>
        <w:rPr>
          <w:lang w:val="lt-LT"/>
        </w:rPr>
      </w:pPr>
      <w:r>
        <w:rPr>
          <w:b/>
          <w:bCs/>
          <w:lang w:val="lt-LT"/>
        </w:rPr>
        <w:t>1.</w:t>
      </w:r>
      <w:r>
        <w:rPr>
          <w:b/>
          <w:bCs/>
          <w:lang w:val="lt-LT"/>
        </w:rPr>
        <w:tab/>
        <w:t xml:space="preserve">Kas yra </w:t>
      </w:r>
      <w:proofErr w:type="spellStart"/>
      <w:r>
        <w:rPr>
          <w:b/>
          <w:bCs/>
          <w:lang w:val="lt-LT"/>
        </w:rPr>
        <w:t>ilon</w:t>
      </w:r>
      <w:proofErr w:type="spellEnd"/>
      <w:r>
        <w:rPr>
          <w:b/>
          <w:bCs/>
          <w:lang w:val="lt-LT"/>
        </w:rPr>
        <w:t xml:space="preserve"> ir kam jis vartojamas</w:t>
      </w:r>
    </w:p>
    <w:p w:rsidR="0011317F" w:rsidRDefault="0011317F" w:rsidP="0011317F">
      <w:pPr>
        <w:pStyle w:val="Normal"/>
        <w:jc w:val="both"/>
        <w:rPr>
          <w:rFonts w:ascii="Times New Roman" w:hAnsi="Times New Roman"/>
          <w:bCs/>
          <w:sz w:val="22"/>
          <w:szCs w:val="22"/>
          <w:lang w:val="lt-LT"/>
        </w:rPr>
      </w:pPr>
    </w:p>
    <w:p w:rsidR="0011317F" w:rsidRPr="00043AC8" w:rsidRDefault="0011317F" w:rsidP="0011317F">
      <w:pPr>
        <w:rPr>
          <w:lang w:val="lt"/>
        </w:rPr>
      </w:pPr>
      <w:r w:rsidRPr="00043AC8">
        <w:rPr>
          <w:lang w:val="lt"/>
        </w:rPr>
        <w:t>Tradicinis augalinis vaistas</w:t>
      </w:r>
      <w:r>
        <w:rPr>
          <w:noProof/>
          <w:lang w:val="lt-LT"/>
        </w:rPr>
        <w:t xml:space="preserve">, </w:t>
      </w:r>
      <w:r w:rsidRPr="00043AC8">
        <w:rPr>
          <w:lang w:val="lt"/>
        </w:rPr>
        <w:t xml:space="preserve">vartojamas lengviems, neišplitusiems, odos </w:t>
      </w:r>
      <w:proofErr w:type="spellStart"/>
      <w:r w:rsidRPr="00043AC8">
        <w:rPr>
          <w:lang w:val="lt"/>
        </w:rPr>
        <w:t>uždegimams</w:t>
      </w:r>
      <w:proofErr w:type="spellEnd"/>
      <w:r w:rsidRPr="00043AC8">
        <w:rPr>
          <w:lang w:val="lt"/>
        </w:rPr>
        <w:t xml:space="preserve">, pvz., mazgelių </w:t>
      </w:r>
      <w:proofErr w:type="spellStart"/>
      <w:r w:rsidRPr="00043AC8">
        <w:rPr>
          <w:lang w:val="lt"/>
        </w:rPr>
        <w:t>uždegimams</w:t>
      </w:r>
      <w:proofErr w:type="spellEnd"/>
      <w:r w:rsidRPr="00043AC8">
        <w:rPr>
          <w:lang w:val="lt"/>
        </w:rPr>
        <w:t xml:space="preserve">, </w:t>
      </w:r>
      <w:proofErr w:type="spellStart"/>
      <w:r w:rsidRPr="00043AC8">
        <w:rPr>
          <w:lang w:val="lt"/>
        </w:rPr>
        <w:t>folikulitui</w:t>
      </w:r>
      <w:proofErr w:type="spellEnd"/>
      <w:r w:rsidRPr="00043AC8">
        <w:rPr>
          <w:lang w:val="lt"/>
        </w:rPr>
        <w:t xml:space="preserve"> ar prakaito liaukų </w:t>
      </w:r>
      <w:proofErr w:type="spellStart"/>
      <w:r w:rsidRPr="00043AC8">
        <w:rPr>
          <w:lang w:val="lt"/>
        </w:rPr>
        <w:t>uždegimams</w:t>
      </w:r>
      <w:proofErr w:type="spellEnd"/>
      <w:r w:rsidRPr="00043AC8">
        <w:rPr>
          <w:lang w:val="lt"/>
        </w:rPr>
        <w:t xml:space="preserve"> su pūliais arba be jų, gydyti.</w:t>
      </w:r>
    </w:p>
    <w:p w:rsidR="0011317F" w:rsidRDefault="0011317F" w:rsidP="0011317F">
      <w:pPr>
        <w:pStyle w:val="Normal"/>
        <w:jc w:val="both"/>
        <w:rPr>
          <w:rFonts w:ascii="Times New Roman" w:hAnsi="Times New Roman"/>
          <w:sz w:val="22"/>
          <w:szCs w:val="22"/>
          <w:lang w:val="lt-LT"/>
        </w:rPr>
      </w:pPr>
    </w:p>
    <w:p w:rsidR="0011317F" w:rsidRPr="00043AC8" w:rsidRDefault="0011317F" w:rsidP="0011317F">
      <w:pPr>
        <w:rPr>
          <w:lang w:val="lt"/>
        </w:rPr>
      </w:pPr>
      <w:r>
        <w:rPr>
          <w:lang w:val="lt-LT"/>
        </w:rPr>
        <w:t>V</w:t>
      </w:r>
      <w:proofErr w:type="spellStart"/>
      <w:r w:rsidRPr="00043AC8">
        <w:rPr>
          <w:lang w:val="lt"/>
        </w:rPr>
        <w:t>aistas</w:t>
      </w:r>
      <w:proofErr w:type="spellEnd"/>
      <w:r w:rsidRPr="00043AC8">
        <w:rPr>
          <w:lang w:val="lt"/>
        </w:rPr>
        <w:t xml:space="preserve"> vartojamas tik pagal nurodytas indikacijas, pagrįstas ilgalaikiu vartojimu.</w:t>
      </w:r>
    </w:p>
    <w:p w:rsidR="0011317F" w:rsidRPr="00043AC8" w:rsidRDefault="0011317F" w:rsidP="0011317F">
      <w:pPr>
        <w:rPr>
          <w:lang w:val="lt"/>
        </w:rPr>
      </w:pPr>
    </w:p>
    <w:p w:rsidR="0011317F" w:rsidRPr="00043AC8" w:rsidRDefault="0011317F" w:rsidP="0011317F">
      <w:pPr>
        <w:rPr>
          <w:lang w:val="lt"/>
        </w:rPr>
      </w:pPr>
      <w:proofErr w:type="spellStart"/>
      <w:r w:rsidRPr="00043AC8">
        <w:rPr>
          <w:lang w:val="lt"/>
        </w:rPr>
        <w:t>ilon</w:t>
      </w:r>
      <w:proofErr w:type="spellEnd"/>
      <w:r w:rsidRPr="00043AC8">
        <w:rPr>
          <w:lang w:val="lt"/>
        </w:rPr>
        <w:t xml:space="preserve"> skirtas suaugusiesiems, paaugliams ir vaikams nuo 6 metų amžiaus.</w:t>
      </w:r>
    </w:p>
    <w:p w:rsidR="0011317F" w:rsidRPr="00043AC8" w:rsidRDefault="0011317F" w:rsidP="0011317F">
      <w:pPr>
        <w:pStyle w:val="Normal"/>
        <w:rPr>
          <w:rFonts w:ascii="Times New Roman" w:hAnsi="Times New Roman"/>
          <w:sz w:val="22"/>
          <w:lang w:val="lt"/>
        </w:rPr>
      </w:pPr>
    </w:p>
    <w:p w:rsidR="0011317F" w:rsidRPr="00043AC8" w:rsidRDefault="0011317F" w:rsidP="0011317F">
      <w:pPr>
        <w:rPr>
          <w:lang w:val="lt"/>
        </w:rPr>
      </w:pPr>
      <w:r w:rsidRPr="00043AC8">
        <w:rPr>
          <w:lang w:val="lt"/>
        </w:rPr>
        <w:t>Jei po 3 dienų nepasijuntate geriau arba jaučiatės blogiau, kreipkitės į gydytoją.</w:t>
      </w:r>
    </w:p>
    <w:p w:rsidR="0011317F" w:rsidRPr="00043AC8" w:rsidRDefault="0011317F" w:rsidP="0011317F">
      <w:pPr>
        <w:rPr>
          <w:lang w:val="lt"/>
        </w:rPr>
      </w:pPr>
    </w:p>
    <w:p w:rsidR="0011317F" w:rsidRPr="00043AC8" w:rsidRDefault="0011317F" w:rsidP="0011317F">
      <w:pPr>
        <w:rPr>
          <w:lang w:val="lt"/>
        </w:rPr>
      </w:pPr>
      <w:r w:rsidRPr="00043AC8">
        <w:rPr>
          <w:lang w:val="lt"/>
        </w:rPr>
        <w:t>Perskaitykite pakuotės lapelį, kuriame pateikti dozavimo nurodymai.</w:t>
      </w:r>
    </w:p>
    <w:p w:rsidR="0011317F" w:rsidRPr="00043AC8" w:rsidRDefault="0011317F" w:rsidP="0011317F">
      <w:pPr>
        <w:pStyle w:val="Normal"/>
        <w:rPr>
          <w:rFonts w:ascii="Times New Roman" w:hAnsi="Times New Roman"/>
          <w:sz w:val="22"/>
          <w:lang w:val="lt"/>
        </w:rPr>
      </w:pPr>
    </w:p>
    <w:p w:rsidR="0011317F" w:rsidRDefault="0011317F" w:rsidP="0011317F">
      <w:pPr>
        <w:jc w:val="both"/>
        <w:rPr>
          <w:lang w:val="lt-LT"/>
        </w:rPr>
      </w:pPr>
    </w:p>
    <w:p w:rsidR="0011317F" w:rsidRDefault="0011317F" w:rsidP="0011317F">
      <w:pPr>
        <w:tabs>
          <w:tab w:val="left" w:pos="567"/>
        </w:tabs>
        <w:rPr>
          <w:b/>
          <w:bCs/>
          <w:lang w:val="lt-LT"/>
        </w:rPr>
      </w:pPr>
      <w:r>
        <w:rPr>
          <w:b/>
          <w:bCs/>
          <w:lang w:val="lt-LT"/>
        </w:rPr>
        <w:t>2.</w:t>
      </w:r>
      <w:r>
        <w:rPr>
          <w:b/>
          <w:bCs/>
          <w:lang w:val="lt-LT"/>
        </w:rPr>
        <w:tab/>
        <w:t xml:space="preserve">Kas žinotina prieš vartojant </w:t>
      </w:r>
      <w:proofErr w:type="spellStart"/>
      <w:r>
        <w:rPr>
          <w:b/>
          <w:bCs/>
          <w:lang w:val="lt-LT"/>
        </w:rPr>
        <w:t>ilon</w:t>
      </w:r>
      <w:proofErr w:type="spellEnd"/>
    </w:p>
    <w:p w:rsidR="0011317F" w:rsidRDefault="0011317F" w:rsidP="0011317F">
      <w:pPr>
        <w:jc w:val="both"/>
        <w:rPr>
          <w:lang w:val="lt-LT"/>
        </w:rPr>
      </w:pPr>
    </w:p>
    <w:p w:rsidR="0011317F" w:rsidRDefault="0011317F" w:rsidP="0011317F">
      <w:pPr>
        <w:rPr>
          <w:b/>
          <w:lang w:val="lt-LT"/>
        </w:rPr>
      </w:pPr>
      <w:proofErr w:type="spellStart"/>
      <w:r>
        <w:rPr>
          <w:b/>
          <w:bCs/>
          <w:lang w:val="lt-LT"/>
        </w:rPr>
        <w:t>ilon</w:t>
      </w:r>
      <w:proofErr w:type="spellEnd"/>
      <w:r>
        <w:rPr>
          <w:b/>
          <w:bCs/>
          <w:lang w:val="lt-LT"/>
        </w:rPr>
        <w:t xml:space="preserve"> vartoti draudžiama:</w:t>
      </w:r>
    </w:p>
    <w:p w:rsidR="0011317F" w:rsidRDefault="0011317F" w:rsidP="0011317F">
      <w:pPr>
        <w:ind w:left="567" w:hanging="567"/>
        <w:rPr>
          <w:lang w:val="lt-LT"/>
        </w:rPr>
      </w:pPr>
      <w:r>
        <w:rPr>
          <w:lang w:val="lt-LT"/>
        </w:rPr>
        <w:t>-</w:t>
      </w:r>
      <w:r>
        <w:rPr>
          <w:lang w:val="lt-LT"/>
        </w:rPr>
        <w:tab/>
        <w:t>jeigu yra alergija eukaliptų eteriniam aliejui, europinių maumedžių terpentinui arba terpentino eteriniam aliejui arba bet kuriai pagalbinei šio vaisto medžiagai (jos išvardytos 6 skyriuje);</w:t>
      </w:r>
    </w:p>
    <w:p w:rsidR="0011317F" w:rsidRDefault="0011317F" w:rsidP="0011317F">
      <w:pPr>
        <w:ind w:left="567" w:hanging="567"/>
        <w:rPr>
          <w:lang w:val="lt-LT"/>
        </w:rPr>
      </w:pPr>
      <w:r>
        <w:rPr>
          <w:lang w:val="lt-LT"/>
        </w:rPr>
        <w:t>-</w:t>
      </w:r>
      <w:r>
        <w:rPr>
          <w:lang w:val="lt-LT"/>
        </w:rPr>
        <w:tab/>
        <w:t>jaunesniems nei 30 mėnesių vaikams, nes esama rizikos, kad vaistai, kurių sudėtyje yra 1,8-cineolo, kaip eukaliptų eterinis aliejus ar kiti eteriniai aliejai, gali sukelti gerklų spazmą;</w:t>
      </w:r>
    </w:p>
    <w:p w:rsidR="0011317F" w:rsidRDefault="0011317F" w:rsidP="0011317F">
      <w:pPr>
        <w:ind w:left="567" w:hanging="567"/>
        <w:rPr>
          <w:lang w:val="lt-LT"/>
        </w:rPr>
      </w:pPr>
      <w:r>
        <w:rPr>
          <w:lang w:val="lt-LT"/>
        </w:rPr>
        <w:t>-</w:t>
      </w:r>
      <w:r>
        <w:rPr>
          <w:lang w:val="lt-LT"/>
        </w:rPr>
        <w:tab/>
        <w:t>vaikams, kuriems yra buvę traukulių priepuolių (kurie gali būti susiję arba nesusiję su karščiavimu).</w:t>
      </w:r>
    </w:p>
    <w:p w:rsidR="0011317F" w:rsidRDefault="0011317F" w:rsidP="0011317F">
      <w:pPr>
        <w:rPr>
          <w:b/>
          <w:lang w:val="lt-LT"/>
        </w:rPr>
      </w:pPr>
    </w:p>
    <w:p w:rsidR="0011317F" w:rsidRDefault="0011317F" w:rsidP="0011317F">
      <w:pPr>
        <w:numPr>
          <w:ilvl w:val="12"/>
          <w:numId w:val="0"/>
        </w:numPr>
        <w:outlineLvl w:val="0"/>
        <w:rPr>
          <w:b/>
          <w:lang w:val="lt-LT"/>
        </w:rPr>
      </w:pPr>
      <w:r>
        <w:rPr>
          <w:b/>
          <w:bCs/>
          <w:lang w:val="lt-LT"/>
        </w:rPr>
        <w:t>Įspėjimai ir atsargumo priemonės</w:t>
      </w:r>
    </w:p>
    <w:p w:rsidR="0011317F" w:rsidRPr="00043AC8" w:rsidRDefault="0011317F" w:rsidP="0011317F">
      <w:pPr>
        <w:pStyle w:val="Normal"/>
        <w:rPr>
          <w:lang w:val="lt-LT"/>
        </w:rPr>
      </w:pPr>
      <w:r>
        <w:rPr>
          <w:rFonts w:ascii="Times New Roman" w:hAnsi="Times New Roman"/>
          <w:sz w:val="22"/>
          <w:szCs w:val="22"/>
          <w:lang w:val="lt-LT"/>
        </w:rPr>
        <w:t xml:space="preserve">Pasitarkite su gydytoju arba vaistininku, prieš pradėdami vartoti </w:t>
      </w:r>
      <w:proofErr w:type="spellStart"/>
      <w:r>
        <w:rPr>
          <w:rFonts w:ascii="Times New Roman" w:hAnsi="Times New Roman"/>
          <w:sz w:val="22"/>
          <w:szCs w:val="22"/>
          <w:lang w:val="lt-LT"/>
        </w:rPr>
        <w:t>ilon</w:t>
      </w:r>
      <w:proofErr w:type="spellEnd"/>
      <w:r>
        <w:rPr>
          <w:rFonts w:ascii="Times New Roman" w:hAnsi="Times New Roman"/>
          <w:sz w:val="22"/>
          <w:szCs w:val="22"/>
          <w:lang w:val="lt-LT"/>
        </w:rPr>
        <w:t>.</w:t>
      </w:r>
    </w:p>
    <w:p w:rsidR="0011317F" w:rsidRPr="00043AC8" w:rsidRDefault="0011317F" w:rsidP="0011317F">
      <w:pPr>
        <w:pStyle w:val="Normal"/>
        <w:rPr>
          <w:lang w:val="lt-LT"/>
        </w:rPr>
      </w:pPr>
    </w:p>
    <w:p w:rsidR="0011317F" w:rsidRDefault="0011317F" w:rsidP="0011317F">
      <w:pPr>
        <w:rPr>
          <w:lang w:val="lt-LT"/>
        </w:rPr>
      </w:pPr>
      <w:r>
        <w:rPr>
          <w:lang w:val="lt-LT"/>
        </w:rPr>
        <w:t xml:space="preserve">Jeigu odos uždegimas pasunkėja (padidėja paraudimas, patinimas ar skausmas, uždegimas plinta), pablogėja bendra savijauta (t. y. pakyla kūno temperatūra, atsiranda karščiavimas ar </w:t>
      </w:r>
      <w:proofErr w:type="spellStart"/>
      <w:r>
        <w:rPr>
          <w:lang w:val="lt-LT"/>
        </w:rPr>
        <w:t>šaltkrėtis</w:t>
      </w:r>
      <w:proofErr w:type="spellEnd"/>
      <w:r>
        <w:rPr>
          <w:lang w:val="lt-LT"/>
        </w:rPr>
        <w:t>) arba jeigu po 3 dienų simptomai nesumažėja, reikia pasitarti su gydytoju.</w:t>
      </w:r>
    </w:p>
    <w:p w:rsidR="0011317F" w:rsidRDefault="0011317F" w:rsidP="0011317F">
      <w:pPr>
        <w:rPr>
          <w:lang w:val="lt-LT"/>
        </w:rPr>
      </w:pPr>
    </w:p>
    <w:p w:rsidR="0011317F" w:rsidRDefault="0011317F" w:rsidP="0011317F">
      <w:pPr>
        <w:pStyle w:val="Normal"/>
        <w:rPr>
          <w:rFonts w:ascii="Times New Roman" w:hAnsi="Times New Roman"/>
          <w:sz w:val="22"/>
          <w:szCs w:val="22"/>
          <w:lang w:val="lt-LT"/>
        </w:rPr>
      </w:pPr>
      <w:r>
        <w:rPr>
          <w:rFonts w:ascii="Times New Roman" w:hAnsi="Times New Roman"/>
          <w:sz w:val="22"/>
          <w:szCs w:val="22"/>
          <w:lang w:val="lt-LT"/>
        </w:rPr>
        <w:lastRenderedPageBreak/>
        <w:t>Jei pūlingas uždegimas pažeidžia didesnius odos plotus, gydymą turi prižiūrėti gydytojas.</w:t>
      </w:r>
    </w:p>
    <w:p w:rsidR="0011317F" w:rsidRDefault="0011317F" w:rsidP="0011317F">
      <w:pPr>
        <w:pStyle w:val="Normal"/>
        <w:rPr>
          <w:rFonts w:ascii="Times New Roman" w:hAnsi="Times New Roman"/>
          <w:sz w:val="22"/>
          <w:szCs w:val="22"/>
          <w:lang w:val="lt-LT"/>
        </w:rPr>
      </w:pPr>
    </w:p>
    <w:p w:rsidR="0011317F" w:rsidRDefault="0011317F" w:rsidP="0011317F">
      <w:pPr>
        <w:pStyle w:val="Normal"/>
        <w:rPr>
          <w:rFonts w:ascii="Times New Roman" w:hAnsi="Times New Roman"/>
          <w:sz w:val="22"/>
          <w:szCs w:val="22"/>
          <w:lang w:val="lt-LT"/>
        </w:rPr>
      </w:pPr>
      <w:r>
        <w:rPr>
          <w:rFonts w:ascii="Times New Roman" w:hAnsi="Times New Roman"/>
          <w:sz w:val="22"/>
          <w:szCs w:val="22"/>
          <w:lang w:val="lt-LT"/>
        </w:rPr>
        <w:t>Venkite bet kokio kontakto su akimis ir gleivinėmis. Prieš naudojimą ir po jo nusiplaukite rankas.</w:t>
      </w:r>
    </w:p>
    <w:p w:rsidR="0011317F" w:rsidRDefault="0011317F" w:rsidP="0011317F">
      <w:pPr>
        <w:pStyle w:val="Normal"/>
        <w:rPr>
          <w:rFonts w:ascii="Times New Roman" w:hAnsi="Times New Roman"/>
          <w:sz w:val="22"/>
          <w:szCs w:val="22"/>
          <w:lang w:val="lt-LT"/>
        </w:rPr>
      </w:pPr>
      <w:r>
        <w:rPr>
          <w:rFonts w:ascii="Times New Roman" w:hAnsi="Times New Roman"/>
          <w:sz w:val="22"/>
          <w:szCs w:val="22"/>
          <w:lang w:val="lt-LT"/>
        </w:rPr>
        <w:t xml:space="preserve">Netepkite </w:t>
      </w:r>
      <w:proofErr w:type="spellStart"/>
      <w:r>
        <w:rPr>
          <w:rFonts w:ascii="Times New Roman" w:hAnsi="Times New Roman"/>
          <w:sz w:val="22"/>
          <w:szCs w:val="22"/>
          <w:lang w:val="lt-LT"/>
        </w:rPr>
        <w:t>ilon</w:t>
      </w:r>
      <w:proofErr w:type="spellEnd"/>
      <w:r>
        <w:rPr>
          <w:rFonts w:ascii="Times New Roman" w:hAnsi="Times New Roman"/>
          <w:sz w:val="22"/>
          <w:szCs w:val="22"/>
          <w:lang w:val="lt-LT"/>
        </w:rPr>
        <w:t xml:space="preserve"> </w:t>
      </w:r>
      <w:r w:rsidRPr="00737E68">
        <w:rPr>
          <w:rFonts w:ascii="Times New Roman" w:hAnsi="Times New Roman"/>
          <w:sz w:val="22"/>
          <w:szCs w:val="22"/>
          <w:lang w:val="lt-LT"/>
        </w:rPr>
        <w:t>ant</w:t>
      </w:r>
      <w:r>
        <w:rPr>
          <w:rFonts w:ascii="Times New Roman" w:hAnsi="Times New Roman"/>
          <w:sz w:val="22"/>
          <w:szCs w:val="22"/>
          <w:lang w:val="lt-LT"/>
        </w:rPr>
        <w:t xml:space="preserve"> gleivinės, atvirų žaizdų ar odos išbėrimų.</w:t>
      </w:r>
    </w:p>
    <w:p w:rsidR="0011317F" w:rsidRDefault="0011317F" w:rsidP="0011317F">
      <w:pPr>
        <w:pStyle w:val="Normal"/>
        <w:rPr>
          <w:rFonts w:ascii="Times New Roman" w:hAnsi="Times New Roman"/>
          <w:sz w:val="22"/>
          <w:szCs w:val="22"/>
          <w:lang w:val="lt-LT"/>
        </w:rPr>
      </w:pPr>
    </w:p>
    <w:p w:rsidR="0011317F" w:rsidRDefault="0011317F" w:rsidP="0011317F">
      <w:pPr>
        <w:rPr>
          <w:b/>
          <w:lang w:val="lt-LT"/>
        </w:rPr>
      </w:pPr>
      <w:r>
        <w:rPr>
          <w:b/>
          <w:bCs/>
          <w:lang w:val="lt-LT"/>
        </w:rPr>
        <w:t>Vaikams</w:t>
      </w:r>
    </w:p>
    <w:p w:rsidR="0011317F" w:rsidRDefault="0011317F" w:rsidP="0011317F">
      <w:pPr>
        <w:rPr>
          <w:bCs/>
          <w:lang w:val="lt-LT"/>
        </w:rPr>
      </w:pPr>
      <w:r>
        <w:rPr>
          <w:lang w:val="lt-LT"/>
        </w:rPr>
        <w:t>Kadangi duomenų nepakanka, nenustatyta, ar vaistas tinkamas vartoti jaunesniems kaip 6 metų vaikams.</w:t>
      </w:r>
    </w:p>
    <w:p w:rsidR="0011317F" w:rsidRDefault="0011317F" w:rsidP="0011317F">
      <w:pPr>
        <w:rPr>
          <w:lang w:val="lt-LT"/>
        </w:rPr>
      </w:pPr>
      <w:r>
        <w:rPr>
          <w:lang w:val="lt-LT"/>
        </w:rPr>
        <w:t>Netepkite šio vaisto vaikams, kuriems yra mažiau nei 30 mėnesių arba kuriems yra buvę traukulių  priepuolių (galimai susijusių arba nesusijusių su karščiavimu)</w:t>
      </w:r>
      <w:r>
        <w:rPr>
          <w:b/>
          <w:bCs/>
          <w:lang w:val="lt-LT"/>
        </w:rPr>
        <w:t>,</w:t>
      </w:r>
      <w:r>
        <w:rPr>
          <w:lang w:val="lt-LT"/>
        </w:rPr>
        <w:t xml:space="preserve"> žr. „</w:t>
      </w:r>
      <w:proofErr w:type="spellStart"/>
      <w:r>
        <w:rPr>
          <w:lang w:val="lt-LT"/>
        </w:rPr>
        <w:t>ilon</w:t>
      </w:r>
      <w:proofErr w:type="spellEnd"/>
      <w:r>
        <w:rPr>
          <w:lang w:val="lt-LT"/>
        </w:rPr>
        <w:t xml:space="preserve"> vartoti draudžiama“. </w:t>
      </w:r>
    </w:p>
    <w:p w:rsidR="0011317F" w:rsidRDefault="0011317F" w:rsidP="0011317F">
      <w:pPr>
        <w:rPr>
          <w:bCs/>
          <w:lang w:val="lt-LT"/>
        </w:rPr>
      </w:pPr>
    </w:p>
    <w:p w:rsidR="0011317F" w:rsidRDefault="0011317F" w:rsidP="0011317F">
      <w:pPr>
        <w:rPr>
          <w:b/>
          <w:lang w:val="lt-LT"/>
        </w:rPr>
      </w:pPr>
      <w:r>
        <w:rPr>
          <w:b/>
          <w:bCs/>
          <w:lang w:val="lt-LT"/>
        </w:rPr>
        <w:t xml:space="preserve">Kiti vaistai ir </w:t>
      </w:r>
      <w:proofErr w:type="spellStart"/>
      <w:r>
        <w:rPr>
          <w:b/>
          <w:bCs/>
          <w:lang w:val="lt-LT"/>
        </w:rPr>
        <w:t>ilon</w:t>
      </w:r>
      <w:proofErr w:type="spellEnd"/>
    </w:p>
    <w:p w:rsidR="0011317F" w:rsidRDefault="0011317F" w:rsidP="0011317F">
      <w:pPr>
        <w:rPr>
          <w:lang w:val="lt-LT"/>
        </w:rPr>
      </w:pPr>
      <w:r>
        <w:rPr>
          <w:lang w:val="lt-LT"/>
        </w:rPr>
        <w:t>Jeigu vartojate ar neseniai vartojote kitų vaistų arba dėl to nesate tikri, apie tai pasakykite gydytojui arba vaistininkui.</w:t>
      </w:r>
    </w:p>
    <w:p w:rsidR="0011317F" w:rsidRDefault="0011317F" w:rsidP="0011317F">
      <w:pPr>
        <w:rPr>
          <w:lang w:val="lt-LT"/>
        </w:rPr>
      </w:pPr>
    </w:p>
    <w:p w:rsidR="0011317F" w:rsidRDefault="0011317F" w:rsidP="0011317F">
      <w:pPr>
        <w:pStyle w:val="Normal"/>
        <w:rPr>
          <w:rFonts w:ascii="Times New Roman" w:hAnsi="Times New Roman"/>
          <w:sz w:val="22"/>
          <w:szCs w:val="22"/>
          <w:lang w:val="lt-LT"/>
        </w:rPr>
      </w:pPr>
      <w:r>
        <w:rPr>
          <w:rFonts w:ascii="Times New Roman" w:hAnsi="Times New Roman"/>
          <w:sz w:val="22"/>
          <w:szCs w:val="22"/>
          <w:lang w:val="lt-LT"/>
        </w:rPr>
        <w:t>Sąveikos tyrimų neatlikta.</w:t>
      </w:r>
    </w:p>
    <w:p w:rsidR="0011317F" w:rsidRDefault="0011317F" w:rsidP="0011317F">
      <w:pPr>
        <w:rPr>
          <w:lang w:val="lt-LT"/>
        </w:rPr>
      </w:pPr>
      <w:r>
        <w:rPr>
          <w:lang w:val="lt-LT"/>
        </w:rPr>
        <w:t>Apie vaistų tarpusavio sąveiką nepranešta.</w:t>
      </w:r>
    </w:p>
    <w:p w:rsidR="0011317F" w:rsidRDefault="0011317F" w:rsidP="0011317F">
      <w:pPr>
        <w:rPr>
          <w:lang w:val="lt-LT"/>
        </w:rPr>
      </w:pPr>
    </w:p>
    <w:p w:rsidR="0011317F" w:rsidRDefault="0011317F" w:rsidP="0011317F">
      <w:pPr>
        <w:rPr>
          <w:b/>
          <w:lang w:val="lt-LT"/>
        </w:rPr>
      </w:pPr>
      <w:r>
        <w:rPr>
          <w:b/>
          <w:bCs/>
          <w:lang w:val="lt-LT"/>
        </w:rPr>
        <w:t>Nėštumas ir žindymo laikotarpis</w:t>
      </w:r>
    </w:p>
    <w:p w:rsidR="0011317F" w:rsidRDefault="0011317F" w:rsidP="0011317F">
      <w:pPr>
        <w:rPr>
          <w:lang w:val="lt-LT"/>
        </w:rPr>
      </w:pPr>
      <w:r>
        <w:rPr>
          <w:lang w:val="lt-LT"/>
        </w:rPr>
        <w:t>Jeigu esate nėščia, žindote kūdikį, manote, kad galbūt esate nėščia arba planuojate pastoti, tai prieš vartodama šį vaistą pasitarkite su gydytoju arba vaistininku.</w:t>
      </w:r>
    </w:p>
    <w:p w:rsidR="0011317F" w:rsidRDefault="0011317F" w:rsidP="0011317F">
      <w:pPr>
        <w:rPr>
          <w:lang w:val="lt-LT"/>
        </w:rPr>
      </w:pPr>
    </w:p>
    <w:p w:rsidR="0011317F" w:rsidRDefault="0011317F" w:rsidP="0011317F">
      <w:pPr>
        <w:pStyle w:val="Sraopastraipa"/>
        <w:spacing w:after="0" w:line="240" w:lineRule="auto"/>
        <w:ind w:left="0"/>
        <w:rPr>
          <w:rFonts w:ascii="Times New Roman" w:hAnsi="Times New Roman"/>
          <w:lang w:val="lt-LT"/>
        </w:rPr>
      </w:pPr>
      <w:r>
        <w:rPr>
          <w:rFonts w:ascii="Times New Roman" w:hAnsi="Times New Roman"/>
          <w:lang w:val="lt-LT"/>
        </w:rPr>
        <w:t>Saugumo tyrimų nėštumo ir žindymo krūtimi laikotarpiu neatlikta.</w:t>
      </w:r>
    </w:p>
    <w:p w:rsidR="0011317F" w:rsidRDefault="0011317F" w:rsidP="0011317F">
      <w:pPr>
        <w:pStyle w:val="Sraopastraipa"/>
        <w:spacing w:after="0" w:line="240" w:lineRule="auto"/>
        <w:ind w:left="0"/>
        <w:rPr>
          <w:rFonts w:ascii="Times New Roman" w:hAnsi="Times New Roman"/>
          <w:lang w:val="lt-LT"/>
        </w:rPr>
      </w:pPr>
      <w:r>
        <w:rPr>
          <w:rFonts w:ascii="Times New Roman" w:hAnsi="Times New Roman"/>
          <w:lang w:val="lt-LT"/>
        </w:rPr>
        <w:t>Kadangi nėra pakankamai duomenų, šio vaisto nerekomenduojama vartoti nėštumo ir žindymo krūtimi laikotarpiu.</w:t>
      </w:r>
    </w:p>
    <w:p w:rsidR="0011317F" w:rsidRDefault="0011317F" w:rsidP="0011317F">
      <w:pPr>
        <w:pStyle w:val="Sraopastraipa"/>
        <w:spacing w:after="0" w:line="240" w:lineRule="auto"/>
        <w:ind w:left="0"/>
        <w:rPr>
          <w:rFonts w:ascii="Times New Roman" w:hAnsi="Times New Roman"/>
          <w:lang w:val="lt-LT"/>
        </w:rPr>
      </w:pPr>
    </w:p>
    <w:p w:rsidR="0011317F" w:rsidRDefault="0011317F" w:rsidP="0011317F">
      <w:pPr>
        <w:rPr>
          <w:b/>
          <w:lang w:val="lt-LT"/>
        </w:rPr>
      </w:pPr>
      <w:r>
        <w:rPr>
          <w:b/>
          <w:bCs/>
          <w:lang w:val="lt-LT"/>
        </w:rPr>
        <w:t>Vairavimas ir mechanizmų valdymas</w:t>
      </w:r>
    </w:p>
    <w:p w:rsidR="0011317F" w:rsidRDefault="0011317F" w:rsidP="0011317F">
      <w:pPr>
        <w:rPr>
          <w:lang w:val="lt-LT"/>
        </w:rPr>
      </w:pPr>
      <w:r>
        <w:rPr>
          <w:lang w:val="lt-LT"/>
        </w:rPr>
        <w:t>Poveikio gebėjimui vairuoti ir valdyti mechanizmus tyrimų neatlikta.</w:t>
      </w:r>
    </w:p>
    <w:p w:rsidR="0011317F" w:rsidRDefault="0011317F" w:rsidP="0011317F">
      <w:pPr>
        <w:rPr>
          <w:lang w:val="lt-LT"/>
        </w:rPr>
      </w:pPr>
    </w:p>
    <w:p w:rsidR="0011317F" w:rsidRPr="00043AC8" w:rsidRDefault="0011317F" w:rsidP="0011317F">
      <w:pPr>
        <w:pStyle w:val="prastasiniatinklio"/>
        <w:spacing w:before="0" w:beforeAutospacing="0" w:after="0" w:afterAutospacing="0"/>
        <w:rPr>
          <w:lang w:val="pt-PT"/>
        </w:rPr>
      </w:pPr>
      <w:r w:rsidRPr="00043AC8">
        <w:rPr>
          <w:b/>
          <w:sz w:val="22"/>
          <w:lang w:val="pt-PT"/>
        </w:rPr>
        <w:t>ilon sudėtyje yra butilhidroksitolueno (E321) ir alergenų (limoneno ir linalolio)</w:t>
      </w:r>
    </w:p>
    <w:p w:rsidR="0011317F" w:rsidRPr="00043AC8" w:rsidRDefault="0011317F" w:rsidP="0011317F">
      <w:pPr>
        <w:pStyle w:val="prastasiniatinklio"/>
        <w:spacing w:before="0" w:beforeAutospacing="0" w:after="0" w:afterAutospacing="0"/>
        <w:rPr>
          <w:lang w:val="pt-PT"/>
        </w:rPr>
      </w:pPr>
      <w:proofErr w:type="spellStart"/>
      <w:r>
        <w:rPr>
          <w:sz w:val="22"/>
          <w:szCs w:val="22"/>
          <w:lang w:val="lt-LT"/>
        </w:rPr>
        <w:t>Butilhidroksitoluenas</w:t>
      </w:r>
      <w:proofErr w:type="spellEnd"/>
      <w:r>
        <w:rPr>
          <w:sz w:val="22"/>
          <w:szCs w:val="22"/>
          <w:lang w:val="lt-LT"/>
        </w:rPr>
        <w:t xml:space="preserve"> gali sukelti vietinių odos reakcijų </w:t>
      </w:r>
      <w:r w:rsidRPr="00043AC8">
        <w:rPr>
          <w:sz w:val="22"/>
          <w:lang w:val="pt-PT"/>
        </w:rPr>
        <w:t xml:space="preserve">(pvz., kontaktinį dermatitą) </w:t>
      </w:r>
      <w:r>
        <w:rPr>
          <w:sz w:val="22"/>
          <w:szCs w:val="22"/>
          <w:lang w:val="lt-LT"/>
        </w:rPr>
        <w:t>ar sudirginti akis ir gleivinę</w:t>
      </w:r>
      <w:r w:rsidRPr="00043AC8">
        <w:rPr>
          <w:sz w:val="22"/>
          <w:lang w:val="pt-PT"/>
        </w:rPr>
        <w:t xml:space="preserve">. </w:t>
      </w:r>
      <w:r w:rsidRPr="00043AC8">
        <w:rPr>
          <w:sz w:val="22"/>
          <w:u w:val="single"/>
          <w:lang w:val="pt-PT"/>
        </w:rPr>
        <w:t>Šio vaisto sudėtyje yra kvapiųjų medžiagų, kurių sudėtyje yra limoneno ir linalolio.</w:t>
      </w:r>
      <w:r w:rsidRPr="00043AC8">
        <w:rPr>
          <w:sz w:val="22"/>
          <w:lang w:val="pt-PT"/>
        </w:rPr>
        <w:t xml:space="preserve"> Šie alergenai gali sukelti alerginių reakcijų.</w:t>
      </w:r>
    </w:p>
    <w:p w:rsidR="0011317F" w:rsidRDefault="0011317F" w:rsidP="0011317F">
      <w:pPr>
        <w:rPr>
          <w:lang w:val="lt-LT"/>
        </w:rPr>
      </w:pPr>
    </w:p>
    <w:p w:rsidR="0011317F" w:rsidRDefault="0011317F" w:rsidP="0011317F">
      <w:pPr>
        <w:rPr>
          <w:lang w:val="lt-LT"/>
        </w:rPr>
      </w:pPr>
    </w:p>
    <w:p w:rsidR="0011317F" w:rsidRPr="00043AC8" w:rsidRDefault="0011317F" w:rsidP="0011317F">
      <w:pPr>
        <w:tabs>
          <w:tab w:val="left" w:pos="567"/>
        </w:tabs>
        <w:rPr>
          <w:b/>
          <w:lang w:val="pt-PT"/>
        </w:rPr>
      </w:pPr>
      <w:r>
        <w:rPr>
          <w:b/>
          <w:bCs/>
          <w:lang w:val="lt-LT"/>
        </w:rPr>
        <w:t>3.</w:t>
      </w:r>
      <w:r>
        <w:rPr>
          <w:b/>
          <w:bCs/>
          <w:lang w:val="lt-LT"/>
        </w:rPr>
        <w:tab/>
        <w:t xml:space="preserve">Kaip vartoti </w:t>
      </w:r>
      <w:proofErr w:type="spellStart"/>
      <w:r>
        <w:rPr>
          <w:b/>
          <w:bCs/>
          <w:lang w:val="lt-LT"/>
        </w:rPr>
        <w:t>ilon</w:t>
      </w:r>
      <w:proofErr w:type="spellEnd"/>
    </w:p>
    <w:p w:rsidR="0011317F" w:rsidRDefault="0011317F" w:rsidP="0011317F">
      <w:pPr>
        <w:tabs>
          <w:tab w:val="left" w:pos="567"/>
        </w:tabs>
        <w:rPr>
          <w:lang w:val="lt-LT"/>
        </w:rPr>
      </w:pPr>
    </w:p>
    <w:p w:rsidR="0011317F" w:rsidRDefault="0011317F" w:rsidP="0011317F">
      <w:pPr>
        <w:pStyle w:val="Normal"/>
        <w:rPr>
          <w:rFonts w:ascii="Times New Roman" w:hAnsi="Times New Roman"/>
          <w:sz w:val="22"/>
          <w:szCs w:val="22"/>
          <w:lang w:val="lt-LT"/>
        </w:rPr>
      </w:pPr>
      <w:r>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rsidR="0011317F" w:rsidRDefault="0011317F" w:rsidP="0011317F">
      <w:pPr>
        <w:pStyle w:val="Normal"/>
        <w:rPr>
          <w:rFonts w:ascii="Times New Roman" w:hAnsi="Times New Roman"/>
          <w:sz w:val="22"/>
          <w:szCs w:val="22"/>
          <w:lang w:val="lt-LT"/>
        </w:rPr>
      </w:pPr>
    </w:p>
    <w:p w:rsidR="0011317F" w:rsidRDefault="0011317F" w:rsidP="0011317F">
      <w:pPr>
        <w:pStyle w:val="prastasiniatinklio"/>
        <w:spacing w:before="0" w:beforeAutospacing="0" w:after="0" w:afterAutospacing="0"/>
        <w:rPr>
          <w:sz w:val="22"/>
          <w:szCs w:val="22"/>
          <w:lang w:val="lt-LT"/>
        </w:rPr>
      </w:pPr>
      <w:r>
        <w:rPr>
          <w:sz w:val="22"/>
          <w:szCs w:val="22"/>
          <w:lang w:val="lt-LT"/>
        </w:rPr>
        <w:t>Rekomenduojama dozė yra</w:t>
      </w:r>
    </w:p>
    <w:p w:rsidR="0011317F" w:rsidRDefault="0011317F" w:rsidP="0011317F">
      <w:pPr>
        <w:pStyle w:val="prastasiniatinklio"/>
        <w:spacing w:before="0" w:beforeAutospacing="0" w:after="0" w:afterAutospacing="0"/>
        <w:rPr>
          <w:sz w:val="22"/>
          <w:szCs w:val="22"/>
          <w:lang w:val="lt-LT"/>
        </w:rPr>
      </w:pPr>
    </w:p>
    <w:p w:rsidR="0011317F" w:rsidRDefault="0011317F" w:rsidP="0011317F">
      <w:pPr>
        <w:pStyle w:val="prastasiniatinklio"/>
        <w:spacing w:before="0" w:beforeAutospacing="0" w:after="0" w:afterAutospacing="0"/>
        <w:rPr>
          <w:sz w:val="22"/>
          <w:szCs w:val="22"/>
          <w:lang w:val="lt-LT"/>
        </w:rPr>
      </w:pPr>
      <w:r>
        <w:rPr>
          <w:i/>
          <w:iCs/>
          <w:sz w:val="22"/>
          <w:szCs w:val="22"/>
          <w:lang w:val="lt-LT"/>
        </w:rPr>
        <w:t>Suaugusiesiems, paaugliams ir vaikams nuo 6 metų:</w:t>
      </w:r>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1 kartą per parą reikia tepti pakankamą </w:t>
      </w:r>
      <w:proofErr w:type="spellStart"/>
      <w:r>
        <w:rPr>
          <w:sz w:val="22"/>
          <w:szCs w:val="22"/>
          <w:lang w:val="lt-LT"/>
        </w:rPr>
        <w:t>ilon</w:t>
      </w:r>
      <w:proofErr w:type="spellEnd"/>
      <w:r>
        <w:rPr>
          <w:sz w:val="22"/>
          <w:szCs w:val="22"/>
          <w:lang w:val="lt-LT"/>
        </w:rPr>
        <w:t xml:space="preserve"> sluoksnį, kad visiškai padengtų uždegimo apimtą odos plotą (pvz., 1 cm tepalo ant 1 cm</w:t>
      </w:r>
      <w:r>
        <w:rPr>
          <w:sz w:val="22"/>
          <w:szCs w:val="22"/>
          <w:vertAlign w:val="superscript"/>
          <w:lang w:val="lt-LT"/>
        </w:rPr>
        <w:t>2</w:t>
      </w:r>
      <w:r>
        <w:rPr>
          <w:sz w:val="22"/>
          <w:szCs w:val="22"/>
          <w:lang w:val="lt-LT"/>
        </w:rPr>
        <w:t xml:space="preserve"> odos ploto).</w:t>
      </w:r>
    </w:p>
    <w:p w:rsidR="0011317F" w:rsidRDefault="0011317F" w:rsidP="0011317F">
      <w:pPr>
        <w:pStyle w:val="prastasiniatinklio"/>
        <w:spacing w:before="0" w:beforeAutospacing="0" w:after="0" w:afterAutospacing="0"/>
        <w:rPr>
          <w:sz w:val="22"/>
          <w:szCs w:val="22"/>
          <w:lang w:val="lt-LT"/>
        </w:rPr>
      </w:pPr>
    </w:p>
    <w:p w:rsidR="0011317F" w:rsidRDefault="0011317F" w:rsidP="0011317F">
      <w:pPr>
        <w:pStyle w:val="Normal"/>
        <w:jc w:val="both"/>
        <w:rPr>
          <w:rFonts w:ascii="Times New Roman" w:hAnsi="Times New Roman"/>
          <w:b/>
          <w:sz w:val="22"/>
          <w:szCs w:val="22"/>
          <w:lang w:val="lt-LT"/>
        </w:rPr>
      </w:pPr>
      <w:r>
        <w:rPr>
          <w:rFonts w:ascii="Times New Roman" w:hAnsi="Times New Roman"/>
          <w:b/>
          <w:bCs/>
          <w:sz w:val="22"/>
          <w:szCs w:val="22"/>
          <w:lang w:val="lt-LT"/>
        </w:rPr>
        <w:t>Vartojimo metodas</w:t>
      </w:r>
    </w:p>
    <w:p w:rsidR="0011317F" w:rsidRDefault="0011317F" w:rsidP="0011317F">
      <w:pPr>
        <w:pStyle w:val="Normal"/>
        <w:jc w:val="both"/>
        <w:rPr>
          <w:rFonts w:ascii="Times New Roman" w:hAnsi="Times New Roman"/>
          <w:sz w:val="22"/>
          <w:szCs w:val="22"/>
          <w:lang w:val="lt-LT"/>
        </w:rPr>
      </w:pPr>
      <w:r>
        <w:rPr>
          <w:rFonts w:ascii="Times New Roman" w:hAnsi="Times New Roman"/>
          <w:sz w:val="22"/>
          <w:szCs w:val="22"/>
          <w:lang w:val="lt-LT"/>
        </w:rPr>
        <w:t>Vartoti ant odos.</w:t>
      </w:r>
    </w:p>
    <w:p w:rsidR="0011317F" w:rsidRDefault="0011317F" w:rsidP="0011317F">
      <w:pPr>
        <w:pStyle w:val="prastasiniatinklio"/>
        <w:spacing w:before="0" w:beforeAutospacing="0" w:after="0" w:afterAutospacing="0"/>
        <w:rPr>
          <w:sz w:val="22"/>
          <w:szCs w:val="22"/>
          <w:lang w:val="lt-LT"/>
        </w:rPr>
      </w:pPr>
      <w:r>
        <w:rPr>
          <w:sz w:val="22"/>
          <w:szCs w:val="22"/>
          <w:lang w:val="lt-LT"/>
        </w:rPr>
        <w:t>Prieš užtepdami tepalo, uždegimo apimtą odos plotą kruopščiai nuvalykite, pageidautina spiritu arba kita dezinfekuojančia priemone. Uždegimo apimtos vietos nespauskite. Priklausomai nuo uždegimo apimto odos ploto išplitimo, pažeistą vietą kasdien reikia tepti visiškai dengiančiu tepalo sluoksniu (pvz., 1 cm tepalo ant 1 cm</w:t>
      </w:r>
      <w:r>
        <w:rPr>
          <w:sz w:val="22"/>
          <w:szCs w:val="22"/>
          <w:vertAlign w:val="superscript"/>
          <w:lang w:val="lt-LT"/>
        </w:rPr>
        <w:t>2</w:t>
      </w:r>
      <w:r>
        <w:rPr>
          <w:sz w:val="22"/>
          <w:szCs w:val="22"/>
          <w:lang w:val="lt-LT"/>
        </w:rPr>
        <w:t xml:space="preserve"> odos ploto) ir uždengti tvarsčiu.</w:t>
      </w:r>
    </w:p>
    <w:p w:rsidR="0011317F" w:rsidRDefault="0011317F" w:rsidP="0011317F">
      <w:pPr>
        <w:pStyle w:val="prastasiniatinklio"/>
        <w:spacing w:before="0" w:beforeAutospacing="0" w:after="0" w:afterAutospacing="0"/>
        <w:rPr>
          <w:sz w:val="22"/>
          <w:szCs w:val="22"/>
          <w:lang w:val="lt-LT"/>
        </w:rPr>
      </w:pPr>
      <w:r>
        <w:rPr>
          <w:sz w:val="22"/>
          <w:szCs w:val="22"/>
          <w:lang w:val="lt-LT"/>
        </w:rPr>
        <w:t>Tvarstį reikia kasdien keisti.</w:t>
      </w:r>
    </w:p>
    <w:p w:rsidR="0011317F" w:rsidRDefault="0011317F" w:rsidP="0011317F">
      <w:pPr>
        <w:pStyle w:val="prastasiniatinklio"/>
        <w:spacing w:before="0" w:beforeAutospacing="0" w:after="0" w:afterAutospacing="0"/>
        <w:rPr>
          <w:sz w:val="22"/>
          <w:szCs w:val="22"/>
          <w:lang w:val="lt-LT"/>
        </w:rPr>
      </w:pPr>
    </w:p>
    <w:p w:rsidR="0011317F" w:rsidRDefault="0011317F" w:rsidP="0011317F">
      <w:pPr>
        <w:pStyle w:val="Normal"/>
        <w:rPr>
          <w:rFonts w:ascii="Times New Roman" w:hAnsi="Times New Roman"/>
          <w:b/>
          <w:sz w:val="22"/>
          <w:szCs w:val="22"/>
          <w:lang w:val="lt-LT"/>
        </w:rPr>
      </w:pPr>
      <w:r>
        <w:rPr>
          <w:rFonts w:ascii="Times New Roman" w:hAnsi="Times New Roman"/>
          <w:b/>
          <w:bCs/>
          <w:sz w:val="22"/>
          <w:szCs w:val="22"/>
          <w:lang w:val="lt-LT"/>
        </w:rPr>
        <w:t>Vartojimo trukmė</w:t>
      </w:r>
    </w:p>
    <w:p w:rsidR="0011317F" w:rsidRDefault="0011317F" w:rsidP="0011317F">
      <w:pPr>
        <w:pStyle w:val="Normal"/>
        <w:rPr>
          <w:rFonts w:ascii="Times New Roman" w:hAnsi="Times New Roman" w:cs="Times New Roman"/>
          <w:sz w:val="22"/>
          <w:szCs w:val="22"/>
          <w:lang w:val="lt-LT"/>
        </w:rPr>
      </w:pPr>
      <w:r>
        <w:rPr>
          <w:rFonts w:ascii="Times New Roman" w:hAnsi="Times New Roman" w:cs="Times New Roman"/>
          <w:sz w:val="22"/>
          <w:szCs w:val="22"/>
          <w:lang w:val="lt-LT"/>
        </w:rPr>
        <w:t xml:space="preserve">Kad gydymas būtų sėkmingas, </w:t>
      </w:r>
      <w:proofErr w:type="spellStart"/>
      <w:r>
        <w:rPr>
          <w:rFonts w:ascii="Times New Roman" w:hAnsi="Times New Roman" w:cs="Times New Roman"/>
          <w:sz w:val="22"/>
          <w:szCs w:val="22"/>
          <w:lang w:val="lt-LT"/>
        </w:rPr>
        <w:t>ilon</w:t>
      </w:r>
      <w:proofErr w:type="spellEnd"/>
      <w:r>
        <w:rPr>
          <w:rFonts w:ascii="Times New Roman" w:hAnsi="Times New Roman" w:cs="Times New Roman"/>
          <w:sz w:val="22"/>
          <w:szCs w:val="22"/>
          <w:lang w:val="lt-LT"/>
        </w:rPr>
        <w:t xml:space="preserve"> gali tekti vartoti mažiausiai 3 dienas.</w:t>
      </w:r>
    </w:p>
    <w:p w:rsidR="0011317F" w:rsidRDefault="0011317F" w:rsidP="0011317F">
      <w:pPr>
        <w:pStyle w:val="Normal"/>
        <w:rPr>
          <w:rFonts w:ascii="Times New Roman" w:hAnsi="Times New Roman" w:cs="Times New Roman"/>
          <w:sz w:val="22"/>
          <w:szCs w:val="22"/>
          <w:lang w:val="lt-LT"/>
        </w:rPr>
      </w:pPr>
      <w:r w:rsidRPr="00043AC8">
        <w:rPr>
          <w:rFonts w:ascii="Times New Roman" w:hAnsi="Times New Roman"/>
          <w:sz w:val="22"/>
          <w:lang w:val="lt"/>
        </w:rPr>
        <w:t>Jei po 3 dienų nepasijuntate geriau arba jaučiatės blogiau, kreipkitės į gydytoją</w:t>
      </w:r>
      <w:r>
        <w:rPr>
          <w:rFonts w:ascii="Times New Roman" w:hAnsi="Times New Roman" w:cs="Times New Roman"/>
          <w:sz w:val="22"/>
          <w:szCs w:val="22"/>
          <w:lang w:val="lt-LT"/>
        </w:rPr>
        <w:t>.</w:t>
      </w:r>
    </w:p>
    <w:p w:rsidR="0011317F" w:rsidRDefault="0011317F" w:rsidP="0011317F">
      <w:pPr>
        <w:pStyle w:val="Normal"/>
        <w:rPr>
          <w:rFonts w:ascii="Times New Roman" w:hAnsi="Times New Roman" w:cs="Times New Roman"/>
          <w:sz w:val="22"/>
          <w:szCs w:val="22"/>
          <w:lang w:val="lt-LT"/>
        </w:rPr>
      </w:pPr>
    </w:p>
    <w:p w:rsidR="0011317F" w:rsidRDefault="0011317F" w:rsidP="0011317F">
      <w:pPr>
        <w:pStyle w:val="Normal"/>
        <w:rPr>
          <w:rFonts w:ascii="Times New Roman" w:hAnsi="Times New Roman" w:cs="Times New Roman"/>
          <w:sz w:val="22"/>
          <w:szCs w:val="22"/>
          <w:lang w:val="lt-LT"/>
        </w:rPr>
      </w:pPr>
      <w:r>
        <w:rPr>
          <w:rFonts w:ascii="Times New Roman" w:hAnsi="Times New Roman" w:cs="Times New Roman"/>
          <w:sz w:val="22"/>
          <w:szCs w:val="22"/>
          <w:lang w:val="lt-LT"/>
        </w:rPr>
        <w:t>Maksimali gydymo trukmė be gydytojo rekomendacijos neturėtų būti ilgesnė nei 7 dienos.</w:t>
      </w:r>
    </w:p>
    <w:p w:rsidR="0011317F" w:rsidRDefault="0011317F" w:rsidP="0011317F">
      <w:pPr>
        <w:pStyle w:val="Normal"/>
        <w:rPr>
          <w:rFonts w:ascii="Times New Roman" w:hAnsi="Times New Roman"/>
          <w:sz w:val="22"/>
          <w:szCs w:val="22"/>
          <w:lang w:val="lt-LT"/>
        </w:rPr>
      </w:pPr>
    </w:p>
    <w:p w:rsidR="0011317F" w:rsidRDefault="0011317F" w:rsidP="0011317F">
      <w:pPr>
        <w:pStyle w:val="Normal"/>
        <w:rPr>
          <w:rFonts w:ascii="Times New Roman" w:hAnsi="Times New Roman"/>
          <w:b/>
          <w:sz w:val="22"/>
          <w:szCs w:val="22"/>
          <w:lang w:val="lt-LT"/>
        </w:rPr>
      </w:pPr>
      <w:r>
        <w:rPr>
          <w:rFonts w:ascii="Times New Roman" w:hAnsi="Times New Roman"/>
          <w:b/>
          <w:bCs/>
          <w:sz w:val="22"/>
          <w:szCs w:val="22"/>
          <w:lang w:val="lt-LT"/>
        </w:rPr>
        <w:t xml:space="preserve">Vartojimas vaikams </w:t>
      </w:r>
    </w:p>
    <w:p w:rsidR="0011317F" w:rsidRDefault="0011317F" w:rsidP="0011317F">
      <w:pPr>
        <w:rPr>
          <w:lang w:val="lt-LT"/>
        </w:rPr>
      </w:pPr>
      <w:r>
        <w:rPr>
          <w:lang w:val="lt-LT"/>
        </w:rPr>
        <w:t>Kadangi duomenų nepakanka, nenustatyta, ar vaistas tinkamas vartoti jaunesniems kaip 6 metų vaikams.</w:t>
      </w:r>
    </w:p>
    <w:p w:rsidR="0011317F" w:rsidRDefault="0011317F" w:rsidP="0011317F">
      <w:pPr>
        <w:rPr>
          <w:lang w:val="lt-LT"/>
        </w:rPr>
      </w:pPr>
      <w:r>
        <w:rPr>
          <w:lang w:val="lt-LT"/>
        </w:rPr>
        <w:t xml:space="preserve">Netepkite šio vaisto vaikams, kuriems yra mažiau nei 30 mėnesių arba kuriems yra buvę traukulių priepuolių (galimai susijusių arba nesusijusių su karščiavimu). </w:t>
      </w:r>
    </w:p>
    <w:p w:rsidR="0011317F" w:rsidRDefault="0011317F" w:rsidP="0011317F">
      <w:pPr>
        <w:rPr>
          <w:bCs/>
          <w:lang w:val="lt-LT"/>
        </w:rPr>
      </w:pPr>
    </w:p>
    <w:p w:rsidR="0011317F" w:rsidRDefault="0011317F" w:rsidP="0011317F">
      <w:pPr>
        <w:rPr>
          <w:b/>
          <w:lang w:val="lt-LT"/>
        </w:rPr>
      </w:pPr>
      <w:r>
        <w:rPr>
          <w:b/>
          <w:bCs/>
          <w:lang w:val="lt-LT"/>
        </w:rPr>
        <w:t xml:space="preserve">Ką daryti pavartojus per didelę </w:t>
      </w:r>
      <w:proofErr w:type="spellStart"/>
      <w:r>
        <w:rPr>
          <w:b/>
          <w:bCs/>
          <w:lang w:val="lt-LT"/>
        </w:rPr>
        <w:t>ilon</w:t>
      </w:r>
      <w:proofErr w:type="spellEnd"/>
      <w:r>
        <w:rPr>
          <w:b/>
          <w:bCs/>
          <w:lang w:val="lt-LT"/>
        </w:rPr>
        <w:t xml:space="preserve"> dozę?</w:t>
      </w:r>
    </w:p>
    <w:p w:rsidR="0011317F" w:rsidRDefault="0011317F" w:rsidP="0011317F">
      <w:pPr>
        <w:jc w:val="both"/>
        <w:rPr>
          <w:lang w:val="lt-LT"/>
        </w:rPr>
      </w:pPr>
      <w:r>
        <w:rPr>
          <w:lang w:val="lt-LT"/>
        </w:rPr>
        <w:t>Apie perdozavimo atvejus nepranešta.</w:t>
      </w:r>
    </w:p>
    <w:p w:rsidR="0011317F" w:rsidRDefault="0011317F" w:rsidP="0011317F">
      <w:pPr>
        <w:rPr>
          <w:iCs/>
          <w:lang w:val="lt-LT"/>
        </w:rPr>
      </w:pPr>
    </w:p>
    <w:p w:rsidR="0011317F" w:rsidRDefault="0011317F" w:rsidP="0011317F">
      <w:pPr>
        <w:jc w:val="both"/>
        <w:rPr>
          <w:b/>
          <w:bCs/>
          <w:lang w:val="lt-LT"/>
        </w:rPr>
      </w:pPr>
      <w:r>
        <w:rPr>
          <w:b/>
          <w:bCs/>
          <w:lang w:val="lt-LT"/>
        </w:rPr>
        <w:t xml:space="preserve">Pamiršus pavartoti </w:t>
      </w:r>
      <w:proofErr w:type="spellStart"/>
      <w:r>
        <w:rPr>
          <w:b/>
          <w:bCs/>
          <w:lang w:val="lt-LT"/>
        </w:rPr>
        <w:t>ilon</w:t>
      </w:r>
      <w:proofErr w:type="spellEnd"/>
    </w:p>
    <w:p w:rsidR="0011317F" w:rsidRDefault="0011317F" w:rsidP="0011317F">
      <w:pPr>
        <w:jc w:val="both"/>
        <w:rPr>
          <w:lang w:val="lt-LT"/>
        </w:rPr>
      </w:pPr>
      <w:r>
        <w:rPr>
          <w:lang w:val="lt-LT"/>
        </w:rPr>
        <w:t>Negalima vartoti dvigubos dozės norint kompensuoti praleistą dozę.</w:t>
      </w:r>
    </w:p>
    <w:p w:rsidR="0011317F" w:rsidRDefault="0011317F" w:rsidP="0011317F">
      <w:pPr>
        <w:rPr>
          <w:lang w:val="lt-LT"/>
        </w:rPr>
      </w:pPr>
    </w:p>
    <w:p w:rsidR="0011317F" w:rsidRDefault="0011317F" w:rsidP="0011317F">
      <w:pPr>
        <w:rPr>
          <w:lang w:val="lt-LT"/>
        </w:rPr>
      </w:pPr>
      <w:r>
        <w:rPr>
          <w:lang w:val="lt-LT"/>
        </w:rPr>
        <w:t>Jeigu kiltų daugiau klausimų dėl šio vaisto vartojimo, kreipkitės į gydytoją arba vaistininką.</w:t>
      </w:r>
    </w:p>
    <w:p w:rsidR="0011317F" w:rsidRDefault="0011317F" w:rsidP="0011317F">
      <w:pPr>
        <w:rPr>
          <w:lang w:val="lt-LT"/>
        </w:rPr>
      </w:pPr>
    </w:p>
    <w:p w:rsidR="0011317F" w:rsidRDefault="0011317F" w:rsidP="0011317F">
      <w:pPr>
        <w:pStyle w:val="Normal"/>
        <w:rPr>
          <w:rFonts w:ascii="Times New Roman" w:hAnsi="Times New Roman"/>
          <w:strike/>
          <w:sz w:val="22"/>
          <w:szCs w:val="22"/>
          <w:lang w:val="lt-LT"/>
        </w:rPr>
      </w:pPr>
    </w:p>
    <w:p w:rsidR="0011317F" w:rsidRDefault="0011317F" w:rsidP="0011317F">
      <w:pPr>
        <w:tabs>
          <w:tab w:val="left" w:pos="567"/>
        </w:tabs>
        <w:rPr>
          <w:b/>
          <w:bCs/>
          <w:lang w:val="lt-LT"/>
        </w:rPr>
      </w:pPr>
      <w:r>
        <w:rPr>
          <w:b/>
          <w:bCs/>
          <w:lang w:val="lt-LT"/>
        </w:rPr>
        <w:t>4.</w:t>
      </w:r>
      <w:r>
        <w:rPr>
          <w:b/>
          <w:bCs/>
          <w:lang w:val="lt-LT"/>
        </w:rPr>
        <w:tab/>
        <w:t>Galimas šalutinis poveikis</w:t>
      </w:r>
    </w:p>
    <w:p w:rsidR="0011317F" w:rsidRDefault="0011317F" w:rsidP="0011317F">
      <w:pPr>
        <w:jc w:val="both"/>
        <w:rPr>
          <w:lang w:val="lt-LT"/>
        </w:rPr>
      </w:pPr>
    </w:p>
    <w:p w:rsidR="0011317F" w:rsidRDefault="0011317F" w:rsidP="0011317F">
      <w:pPr>
        <w:rPr>
          <w:lang w:val="lt-LT"/>
        </w:rPr>
      </w:pPr>
      <w:r>
        <w:rPr>
          <w:lang w:val="lt-LT"/>
        </w:rPr>
        <w:t>Šis vaistas, kaip ir visi kiti, gali sukelti šalutinį poveikį, nors jis pasireiškia ne visiems žmonėms.</w:t>
      </w:r>
    </w:p>
    <w:p w:rsidR="0011317F" w:rsidRDefault="0011317F" w:rsidP="0011317F">
      <w:pPr>
        <w:rPr>
          <w:lang w:val="lt-LT"/>
        </w:rPr>
      </w:pPr>
    </w:p>
    <w:p w:rsidR="0011317F" w:rsidRDefault="0011317F" w:rsidP="0011317F">
      <w:pPr>
        <w:rPr>
          <w:lang w:val="lt-LT"/>
        </w:rPr>
      </w:pPr>
      <w:r>
        <w:rPr>
          <w:lang w:val="lt-LT"/>
        </w:rPr>
        <w:t xml:space="preserve">Gali pasireikšti vietinių alerginių odos reakcijų (pvz., kontaktinis dermatitas) ir sisteminių alerginių reakcijų, kurios praeina nutraukus gydymą. Tokių reakcijų dažnumas negali būti </w:t>
      </w:r>
      <w:r>
        <w:rPr>
          <w:noProof/>
          <w:snapToGrid w:val="0"/>
          <w:lang w:val="lt-LT"/>
        </w:rPr>
        <w:t>apskaičiuotas pagal turimus duomenis</w:t>
      </w:r>
      <w:r>
        <w:rPr>
          <w:lang w:val="lt-LT"/>
        </w:rPr>
        <w:t>.</w:t>
      </w:r>
    </w:p>
    <w:p w:rsidR="0011317F" w:rsidRDefault="0011317F" w:rsidP="0011317F">
      <w:pPr>
        <w:rPr>
          <w:lang w:val="lt-LT"/>
        </w:rPr>
      </w:pPr>
    </w:p>
    <w:p w:rsidR="0011317F" w:rsidRDefault="0011317F" w:rsidP="0011317F">
      <w:pPr>
        <w:rPr>
          <w:lang w:val="lt-LT"/>
        </w:rPr>
      </w:pPr>
      <w:r>
        <w:rPr>
          <w:lang w:val="lt-LT"/>
        </w:rPr>
        <w:t xml:space="preserve">Pasireiškus padidėjusio jautrumo reakcijos požymiams, </w:t>
      </w:r>
      <w:proofErr w:type="spellStart"/>
      <w:r>
        <w:rPr>
          <w:lang w:val="lt-LT"/>
        </w:rPr>
        <w:t>ilon</w:t>
      </w:r>
      <w:proofErr w:type="spellEnd"/>
      <w:r>
        <w:rPr>
          <w:lang w:val="lt-LT"/>
        </w:rPr>
        <w:t xml:space="preserve"> neturėtų būti toliau vartojamas.</w:t>
      </w:r>
    </w:p>
    <w:p w:rsidR="0011317F" w:rsidRDefault="0011317F" w:rsidP="0011317F">
      <w:pPr>
        <w:rPr>
          <w:lang w:val="lt-LT"/>
        </w:rPr>
      </w:pPr>
    </w:p>
    <w:p w:rsidR="0011317F" w:rsidRDefault="0011317F" w:rsidP="0011317F">
      <w:pPr>
        <w:tabs>
          <w:tab w:val="left" w:pos="567"/>
        </w:tabs>
        <w:rPr>
          <w:b/>
          <w:snapToGrid w:val="0"/>
          <w:lang w:val="lt-LT" w:eastAsia="en-US" w:bidi="ar-SA"/>
        </w:rPr>
      </w:pPr>
      <w:r>
        <w:rPr>
          <w:b/>
          <w:noProof/>
          <w:snapToGrid w:val="0"/>
          <w:lang w:val="lt-LT" w:eastAsia="en-US" w:bidi="ar-SA"/>
        </w:rPr>
        <w:t>Pranešimas apie šalutinį poveikį</w:t>
      </w:r>
    </w:p>
    <w:p w:rsidR="0011317F" w:rsidRPr="00043AC8" w:rsidRDefault="0011317F" w:rsidP="0011317F">
      <w:pPr>
        <w:tabs>
          <w:tab w:val="left" w:pos="567"/>
        </w:tabs>
        <w:ind w:right="-29"/>
        <w:rPr>
          <w:lang w:val="lt-LT"/>
        </w:rPr>
      </w:pPr>
      <w:r w:rsidRPr="00043AC8">
        <w:rPr>
          <w:lang w:val="lt-LT"/>
        </w:rPr>
        <w:t>Jeigu pasireiškė šalutinis poveikis, įskaitant šiame lapelyje nenurodytą, pasakykite gydytojui</w:t>
      </w:r>
      <w:r w:rsidRPr="00973B5B">
        <w:rPr>
          <w:lang w:val="lt-LT" w:eastAsia="lt-LT"/>
        </w:rPr>
        <w:t>,</w:t>
      </w:r>
      <w:r w:rsidRPr="00043AC8">
        <w:rPr>
          <w:lang w:val="lt-LT"/>
        </w:rPr>
        <w:t xml:space="preserve"> vaistininkui</w:t>
      </w:r>
      <w:r w:rsidRPr="00973B5B">
        <w:rPr>
          <w:lang w:val="lt-LT" w:eastAsia="lt-LT"/>
        </w:rPr>
        <w:t xml:space="preserve"> arba slaugytojui.</w:t>
      </w:r>
      <w:r w:rsidRPr="00043AC8">
        <w:rPr>
          <w:lang w:val="lt-LT"/>
        </w:rPr>
        <w:t xml:space="preserve"> Pranešimą apie šalutinį poveikį galite </w:t>
      </w:r>
      <w:r w:rsidRPr="00973B5B">
        <w:rPr>
          <w:lang w:val="lt-LT" w:eastAsia="lt-LT"/>
        </w:rPr>
        <w:t xml:space="preserve">užpildyti ir </w:t>
      </w:r>
      <w:r w:rsidRPr="00043AC8">
        <w:rPr>
          <w:lang w:val="lt-LT"/>
        </w:rPr>
        <w:t xml:space="preserve">pateikti Valstybinės vaistų kontrolės tarnybos prie Lietuvos Respublikos sveikatos apsaugos ministerijos </w:t>
      </w:r>
      <w:r w:rsidRPr="00973B5B">
        <w:rPr>
          <w:lang w:val="lt-LT" w:eastAsia="lt-LT"/>
        </w:rPr>
        <w:t xml:space="preserve">tinklalapyje </w:t>
      </w:r>
      <w:r w:rsidRPr="00973B5B">
        <w:rPr>
          <w:color w:val="0000EE"/>
          <w:u w:val="single"/>
          <w:lang w:val="lt-LT" w:eastAsia="lt-LT"/>
        </w:rPr>
        <w:t>https://vvkt.lrv.lt/lt/</w:t>
      </w:r>
      <w:r w:rsidRPr="00973B5B">
        <w:rPr>
          <w:lang w:val="lt-LT" w:eastAsia="lt-LT"/>
        </w:rPr>
        <w:t xml:space="preserve"> nurodytais būdais</w:t>
      </w:r>
      <w:r w:rsidRPr="00043AC8">
        <w:rPr>
          <w:lang w:val="lt-LT"/>
        </w:rPr>
        <w:t xml:space="preserve"> arba </w:t>
      </w:r>
      <w:r w:rsidRPr="00973B5B">
        <w:rPr>
          <w:lang w:val="lt-LT" w:eastAsia="lt-LT"/>
        </w:rPr>
        <w:t>paskambinti</w:t>
      </w:r>
      <w:r w:rsidRPr="00043AC8">
        <w:rPr>
          <w:lang w:val="lt-LT"/>
        </w:rPr>
        <w:t xml:space="preserve"> nemokamu telefonu 8 800 73 568. Pranešdami apie šalutinį poveikį galite mums padėti gauti daugiau informacijos apie šio vaisto saugumą.</w:t>
      </w:r>
    </w:p>
    <w:p w:rsidR="0011317F" w:rsidRDefault="0011317F" w:rsidP="0011317F">
      <w:pPr>
        <w:jc w:val="both"/>
        <w:rPr>
          <w:lang w:val="lt-LT"/>
        </w:rPr>
      </w:pPr>
    </w:p>
    <w:p w:rsidR="0011317F" w:rsidRDefault="0011317F" w:rsidP="0011317F">
      <w:pPr>
        <w:jc w:val="both"/>
        <w:rPr>
          <w:lang w:val="lt-LT"/>
        </w:rPr>
      </w:pPr>
    </w:p>
    <w:p w:rsidR="0011317F" w:rsidRDefault="0011317F" w:rsidP="0011317F">
      <w:pPr>
        <w:tabs>
          <w:tab w:val="left" w:pos="567"/>
        </w:tabs>
        <w:rPr>
          <w:b/>
          <w:bCs/>
          <w:lang w:val="lt-LT"/>
        </w:rPr>
      </w:pPr>
      <w:r>
        <w:rPr>
          <w:b/>
          <w:bCs/>
          <w:lang w:val="lt-LT"/>
        </w:rPr>
        <w:t>5.</w:t>
      </w:r>
      <w:r>
        <w:rPr>
          <w:b/>
          <w:bCs/>
          <w:lang w:val="lt-LT"/>
        </w:rPr>
        <w:tab/>
        <w:t xml:space="preserve">Kaip laikyti </w:t>
      </w:r>
      <w:proofErr w:type="spellStart"/>
      <w:r>
        <w:rPr>
          <w:b/>
          <w:bCs/>
          <w:lang w:val="lt-LT"/>
        </w:rPr>
        <w:t>ilon</w:t>
      </w:r>
      <w:proofErr w:type="spellEnd"/>
    </w:p>
    <w:p w:rsidR="0011317F" w:rsidRDefault="0011317F" w:rsidP="0011317F">
      <w:pPr>
        <w:jc w:val="both"/>
        <w:rPr>
          <w:lang w:val="lt-LT"/>
        </w:rPr>
      </w:pPr>
    </w:p>
    <w:p w:rsidR="0011317F" w:rsidRDefault="0011317F" w:rsidP="0011317F">
      <w:pPr>
        <w:rPr>
          <w:lang w:val="lt-LT"/>
        </w:rPr>
      </w:pPr>
      <w:r>
        <w:rPr>
          <w:lang w:val="lt-LT"/>
        </w:rPr>
        <w:t>Šį vaistą laikykite vaikams nepastebimoje ir nepasiekiamoje vietoje.</w:t>
      </w:r>
    </w:p>
    <w:p w:rsidR="0011317F" w:rsidRDefault="0011317F" w:rsidP="0011317F">
      <w:pPr>
        <w:pStyle w:val="Normal"/>
        <w:rPr>
          <w:rFonts w:ascii="Times New Roman" w:hAnsi="Times New Roman"/>
          <w:sz w:val="22"/>
          <w:szCs w:val="22"/>
          <w:lang w:val="lt-LT"/>
        </w:rPr>
      </w:pPr>
    </w:p>
    <w:p w:rsidR="0011317F" w:rsidRDefault="0011317F" w:rsidP="0011317F">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Šiam vaistui specialių laikymo sąlygų nereikia. Pirmą kartą atidarius </w:t>
      </w:r>
      <w:proofErr w:type="spellStart"/>
      <w:r>
        <w:rPr>
          <w:rFonts w:ascii="Times New Roman" w:hAnsi="Times New Roman" w:cs="Times New Roman"/>
          <w:sz w:val="22"/>
          <w:szCs w:val="22"/>
          <w:lang w:val="lt-LT"/>
        </w:rPr>
        <w:t>talpyklę</w:t>
      </w:r>
      <w:proofErr w:type="spellEnd"/>
      <w:r>
        <w:rPr>
          <w:rFonts w:ascii="Times New Roman" w:hAnsi="Times New Roman" w:cs="Times New Roman"/>
          <w:sz w:val="22"/>
          <w:szCs w:val="22"/>
          <w:lang w:val="lt-LT"/>
        </w:rPr>
        <w:t>, laikyti ne aukštesnėje kaip 25 °C temperatūroje.</w:t>
      </w:r>
    </w:p>
    <w:p w:rsidR="0011317F" w:rsidRDefault="0011317F" w:rsidP="0011317F">
      <w:pPr>
        <w:rPr>
          <w:lang w:val="lt-LT"/>
        </w:rPr>
      </w:pPr>
    </w:p>
    <w:p w:rsidR="0011317F" w:rsidRDefault="0011317F" w:rsidP="0011317F">
      <w:pPr>
        <w:rPr>
          <w:lang w:val="lt-LT"/>
        </w:rPr>
      </w:pPr>
      <w:r>
        <w:rPr>
          <w:lang w:val="lt-LT"/>
        </w:rPr>
        <w:t>Ant dėžutės po „Tinka iki“ ir tūbelės po „EXP“ nurodytam tinkamumo laikui pasibaigus, šio vaisto vartoti negalima. Vaistas tinkamas vartoti iki paskutinės nurodyto mėnesio dienos.</w:t>
      </w:r>
    </w:p>
    <w:p w:rsidR="0011317F" w:rsidRDefault="0011317F" w:rsidP="0011317F">
      <w:pPr>
        <w:rPr>
          <w:lang w:val="lt-LT"/>
        </w:rPr>
      </w:pPr>
    </w:p>
    <w:p w:rsidR="0011317F" w:rsidRDefault="0011317F" w:rsidP="0011317F">
      <w:pPr>
        <w:rPr>
          <w:lang w:val="lt-LT"/>
        </w:rPr>
      </w:pPr>
      <w:r>
        <w:rPr>
          <w:lang w:val="lt-LT"/>
        </w:rPr>
        <w:t xml:space="preserve">Tinkamumo laikas pirmą kartą atidarius </w:t>
      </w:r>
      <w:proofErr w:type="spellStart"/>
      <w:r>
        <w:rPr>
          <w:lang w:val="lt-LT"/>
        </w:rPr>
        <w:t>talpyklę</w:t>
      </w:r>
      <w:proofErr w:type="spellEnd"/>
      <w:r>
        <w:rPr>
          <w:lang w:val="lt-LT"/>
        </w:rPr>
        <w:t>: 6 mėnesiai.</w:t>
      </w:r>
    </w:p>
    <w:p w:rsidR="0011317F" w:rsidRDefault="0011317F" w:rsidP="0011317F">
      <w:pPr>
        <w:rPr>
          <w:lang w:val="lt-LT"/>
        </w:rPr>
      </w:pPr>
    </w:p>
    <w:p w:rsidR="0011317F" w:rsidRDefault="0011317F" w:rsidP="0011317F">
      <w:pPr>
        <w:jc w:val="both"/>
        <w:rPr>
          <w:lang w:val="lt-LT"/>
        </w:rPr>
      </w:pPr>
      <w:r>
        <w:rPr>
          <w:lang w:val="lt-LT"/>
        </w:rPr>
        <w:t>Vaistų negalima išmesti į kanalizaciją arba su buitinėmis atliekomis. Kaip išmesti nereikalingus vaistus, klauskite vaistininko. Šios priemonės padės apsaugoti aplinką.</w:t>
      </w:r>
    </w:p>
    <w:p w:rsidR="0011317F" w:rsidRDefault="0011317F" w:rsidP="0011317F">
      <w:pPr>
        <w:jc w:val="both"/>
        <w:rPr>
          <w:lang w:val="lt-LT"/>
        </w:rPr>
      </w:pPr>
    </w:p>
    <w:p w:rsidR="0011317F" w:rsidRDefault="0011317F" w:rsidP="0011317F">
      <w:pPr>
        <w:jc w:val="both"/>
        <w:rPr>
          <w:lang w:val="lt-LT"/>
        </w:rPr>
      </w:pPr>
    </w:p>
    <w:p w:rsidR="0011317F" w:rsidRDefault="0011317F" w:rsidP="0011317F">
      <w:pPr>
        <w:tabs>
          <w:tab w:val="left" w:pos="567"/>
        </w:tabs>
        <w:rPr>
          <w:b/>
          <w:bCs/>
          <w:lang w:val="lt-LT"/>
        </w:rPr>
      </w:pPr>
      <w:r>
        <w:rPr>
          <w:b/>
          <w:bCs/>
          <w:lang w:val="lt-LT"/>
        </w:rPr>
        <w:t>6.</w:t>
      </w:r>
      <w:r>
        <w:rPr>
          <w:b/>
          <w:bCs/>
          <w:lang w:val="lt-LT"/>
        </w:rPr>
        <w:tab/>
        <w:t>Pakuotės turinys ir kita informacija</w:t>
      </w:r>
    </w:p>
    <w:p w:rsidR="0011317F" w:rsidRDefault="0011317F" w:rsidP="0011317F">
      <w:pPr>
        <w:jc w:val="both"/>
        <w:rPr>
          <w:b/>
          <w:bCs/>
          <w:lang w:val="lt-LT"/>
        </w:rPr>
      </w:pPr>
    </w:p>
    <w:p w:rsidR="0011317F" w:rsidRDefault="0011317F" w:rsidP="0011317F">
      <w:pPr>
        <w:rPr>
          <w:b/>
          <w:bCs/>
          <w:lang w:val="lt-LT"/>
        </w:rPr>
      </w:pPr>
      <w:proofErr w:type="spellStart"/>
      <w:r>
        <w:rPr>
          <w:b/>
          <w:bCs/>
          <w:lang w:val="lt-LT"/>
        </w:rPr>
        <w:t>ilon</w:t>
      </w:r>
      <w:proofErr w:type="spellEnd"/>
      <w:r>
        <w:rPr>
          <w:b/>
          <w:bCs/>
          <w:lang w:val="lt-LT"/>
        </w:rPr>
        <w:t xml:space="preserve"> sudėtis</w:t>
      </w:r>
    </w:p>
    <w:p w:rsidR="0011317F" w:rsidRDefault="0011317F" w:rsidP="0011317F">
      <w:pPr>
        <w:rPr>
          <w:b/>
          <w:bCs/>
          <w:lang w:val="lt-LT"/>
        </w:rPr>
      </w:pPr>
    </w:p>
    <w:p w:rsidR="0011317F" w:rsidRDefault="0011317F" w:rsidP="0011317F">
      <w:pPr>
        <w:tabs>
          <w:tab w:val="left" w:pos="567"/>
        </w:tabs>
        <w:rPr>
          <w:u w:val="single"/>
          <w:lang w:val="lt-LT"/>
        </w:rPr>
      </w:pPr>
      <w:bookmarkStart w:id="0" w:name="_Hlk184941370"/>
      <w:r>
        <w:rPr>
          <w:lang w:val="lt-LT"/>
        </w:rPr>
        <w:t>-</w:t>
      </w:r>
      <w:r>
        <w:rPr>
          <w:lang w:val="lt-LT"/>
        </w:rPr>
        <w:tab/>
      </w:r>
      <w:r>
        <w:rPr>
          <w:u w:val="single"/>
          <w:lang w:val="lt-LT"/>
        </w:rPr>
        <w:t>Veikliosios medžiagos yra:</w:t>
      </w:r>
    </w:p>
    <w:p w:rsidR="0011317F" w:rsidRDefault="0011317F" w:rsidP="0011317F">
      <w:pPr>
        <w:ind w:left="567"/>
        <w:rPr>
          <w:highlight w:val="yellow"/>
          <w:lang w:val="lt-LT"/>
        </w:rPr>
      </w:pPr>
      <w:r>
        <w:rPr>
          <w:lang w:val="lt-LT"/>
        </w:rPr>
        <w:lastRenderedPageBreak/>
        <w:t xml:space="preserve">1 g tepalo yra: </w:t>
      </w:r>
    </w:p>
    <w:p w:rsidR="0011317F" w:rsidRDefault="0011317F" w:rsidP="0011317F">
      <w:pPr>
        <w:ind w:left="567"/>
        <w:rPr>
          <w:lang w:val="lt-LT"/>
        </w:rPr>
      </w:pPr>
      <w:r>
        <w:rPr>
          <w:lang w:val="lt-LT"/>
        </w:rPr>
        <w:t xml:space="preserve">12 mg </w:t>
      </w:r>
      <w:proofErr w:type="spellStart"/>
      <w:r>
        <w:rPr>
          <w:i/>
          <w:iCs/>
          <w:lang w:val="lt-LT"/>
        </w:rPr>
        <w:t>Eucalyptus</w:t>
      </w:r>
      <w:proofErr w:type="spellEnd"/>
      <w:r>
        <w:rPr>
          <w:lang w:val="lt-LT"/>
        </w:rPr>
        <w:t xml:space="preserve"> </w:t>
      </w:r>
      <w:proofErr w:type="spellStart"/>
      <w:r>
        <w:rPr>
          <w:lang w:val="lt-LT"/>
        </w:rPr>
        <w:t>species</w:t>
      </w:r>
      <w:proofErr w:type="spellEnd"/>
      <w:r>
        <w:rPr>
          <w:lang w:val="lt-LT"/>
        </w:rPr>
        <w:t xml:space="preserve">, </w:t>
      </w:r>
      <w:proofErr w:type="spellStart"/>
      <w:r>
        <w:rPr>
          <w:lang w:val="lt-LT"/>
        </w:rPr>
        <w:t>aetheroleum</w:t>
      </w:r>
      <w:proofErr w:type="spellEnd"/>
      <w:r>
        <w:rPr>
          <w:lang w:val="lt-LT"/>
        </w:rPr>
        <w:t xml:space="preserve"> (eukaliptų eterinio aliejaus),</w:t>
      </w:r>
    </w:p>
    <w:p w:rsidR="0011317F" w:rsidRDefault="0011317F" w:rsidP="0011317F">
      <w:pPr>
        <w:ind w:left="567"/>
        <w:rPr>
          <w:lang w:val="lt-LT"/>
        </w:rPr>
      </w:pPr>
      <w:r>
        <w:rPr>
          <w:lang w:val="lt-LT"/>
        </w:rPr>
        <w:t xml:space="preserve">54 mg </w:t>
      </w:r>
      <w:proofErr w:type="spellStart"/>
      <w:r>
        <w:rPr>
          <w:i/>
          <w:iCs/>
          <w:lang w:val="lt-LT"/>
        </w:rPr>
        <w:t>Larix</w:t>
      </w:r>
      <w:proofErr w:type="spellEnd"/>
      <w:r>
        <w:rPr>
          <w:i/>
          <w:iCs/>
          <w:lang w:val="lt-LT"/>
        </w:rPr>
        <w:t xml:space="preserve"> </w:t>
      </w:r>
      <w:proofErr w:type="spellStart"/>
      <w:r>
        <w:rPr>
          <w:i/>
          <w:iCs/>
          <w:lang w:val="lt-LT"/>
        </w:rPr>
        <w:t>decidua</w:t>
      </w:r>
      <w:proofErr w:type="spellEnd"/>
      <w:r>
        <w:rPr>
          <w:lang w:val="lt-LT"/>
        </w:rPr>
        <w:t xml:space="preserve"> </w:t>
      </w:r>
      <w:proofErr w:type="spellStart"/>
      <w:r>
        <w:rPr>
          <w:lang w:val="lt-LT"/>
        </w:rPr>
        <w:t>Mill</w:t>
      </w:r>
      <w:proofErr w:type="spellEnd"/>
      <w:r>
        <w:rPr>
          <w:lang w:val="lt-LT"/>
        </w:rPr>
        <w:t xml:space="preserve">., </w:t>
      </w:r>
      <w:proofErr w:type="spellStart"/>
      <w:r>
        <w:rPr>
          <w:lang w:val="lt-LT"/>
        </w:rPr>
        <w:t>oleorezino</w:t>
      </w:r>
      <w:proofErr w:type="spellEnd"/>
      <w:r>
        <w:rPr>
          <w:lang w:val="lt-LT"/>
        </w:rPr>
        <w:t xml:space="preserve"> (europinių maumedžių terpentino),</w:t>
      </w:r>
    </w:p>
    <w:p w:rsidR="0011317F" w:rsidRDefault="0011317F" w:rsidP="0011317F">
      <w:pPr>
        <w:ind w:left="567"/>
        <w:rPr>
          <w:lang w:val="lt-LT"/>
        </w:rPr>
      </w:pPr>
      <w:r>
        <w:rPr>
          <w:lang w:val="lt-LT"/>
        </w:rPr>
        <w:t xml:space="preserve">72 mg </w:t>
      </w:r>
      <w:r>
        <w:rPr>
          <w:i/>
          <w:iCs/>
          <w:lang w:val="lt-LT"/>
        </w:rPr>
        <w:t xml:space="preserve">Pinus </w:t>
      </w:r>
      <w:proofErr w:type="spellStart"/>
      <w:r>
        <w:rPr>
          <w:i/>
          <w:iCs/>
          <w:lang w:val="lt-LT"/>
        </w:rPr>
        <w:t>pinaster</w:t>
      </w:r>
      <w:proofErr w:type="spellEnd"/>
      <w:r>
        <w:rPr>
          <w:lang w:val="lt-LT"/>
        </w:rPr>
        <w:t xml:space="preserve"> </w:t>
      </w:r>
      <w:proofErr w:type="spellStart"/>
      <w:r>
        <w:rPr>
          <w:lang w:val="lt-LT"/>
        </w:rPr>
        <w:t>Aiton</w:t>
      </w:r>
      <w:proofErr w:type="spellEnd"/>
      <w:r>
        <w:rPr>
          <w:lang w:val="lt-LT"/>
        </w:rPr>
        <w:t xml:space="preserve"> ir (arba) </w:t>
      </w:r>
      <w:r>
        <w:rPr>
          <w:i/>
          <w:iCs/>
          <w:lang w:val="lt-LT"/>
        </w:rPr>
        <w:t xml:space="preserve">Pinus </w:t>
      </w:r>
      <w:proofErr w:type="spellStart"/>
      <w:r>
        <w:rPr>
          <w:i/>
          <w:iCs/>
          <w:lang w:val="lt-LT"/>
        </w:rPr>
        <w:t>massoniana</w:t>
      </w:r>
      <w:proofErr w:type="spellEnd"/>
      <w:r>
        <w:rPr>
          <w:lang w:val="lt-LT"/>
        </w:rPr>
        <w:t xml:space="preserve"> D. </w:t>
      </w:r>
      <w:proofErr w:type="spellStart"/>
      <w:r>
        <w:rPr>
          <w:lang w:val="lt-LT"/>
        </w:rPr>
        <w:t>Don</w:t>
      </w:r>
      <w:proofErr w:type="spellEnd"/>
      <w:r>
        <w:rPr>
          <w:lang w:val="lt-LT"/>
        </w:rPr>
        <w:t xml:space="preserve">., </w:t>
      </w:r>
      <w:proofErr w:type="spellStart"/>
      <w:r>
        <w:rPr>
          <w:lang w:val="lt-LT"/>
        </w:rPr>
        <w:t>aetheroleum</w:t>
      </w:r>
      <w:proofErr w:type="spellEnd"/>
      <w:r>
        <w:rPr>
          <w:lang w:val="lt-LT"/>
        </w:rPr>
        <w:t xml:space="preserve"> (terpentino eterinio aliejaus).</w:t>
      </w:r>
    </w:p>
    <w:p w:rsidR="0011317F" w:rsidRDefault="0011317F" w:rsidP="0011317F">
      <w:pPr>
        <w:ind w:left="567"/>
        <w:rPr>
          <w:lang w:val="lt-LT"/>
        </w:rPr>
      </w:pPr>
    </w:p>
    <w:p w:rsidR="0011317F" w:rsidRDefault="0011317F" w:rsidP="0011317F">
      <w:pPr>
        <w:tabs>
          <w:tab w:val="left" w:pos="567"/>
        </w:tabs>
        <w:ind w:left="567" w:hanging="567"/>
        <w:rPr>
          <w:u w:val="single"/>
          <w:lang w:val="lt-LT"/>
        </w:rPr>
      </w:pPr>
      <w:r>
        <w:rPr>
          <w:lang w:val="lt-LT"/>
        </w:rPr>
        <w:t>-</w:t>
      </w:r>
      <w:r>
        <w:rPr>
          <w:lang w:val="lt-LT"/>
        </w:rPr>
        <w:tab/>
      </w:r>
      <w:r>
        <w:rPr>
          <w:u w:val="single"/>
          <w:lang w:val="lt-LT"/>
        </w:rPr>
        <w:t>Pagalbinės medžiagos yra:</w:t>
      </w:r>
      <w:r>
        <w:rPr>
          <w:lang w:val="lt-LT"/>
        </w:rPr>
        <w:t xml:space="preserve"> </w:t>
      </w:r>
    </w:p>
    <w:p w:rsidR="0011317F" w:rsidRDefault="0011317F" w:rsidP="0011317F">
      <w:pPr>
        <w:tabs>
          <w:tab w:val="left" w:pos="567"/>
        </w:tabs>
        <w:ind w:left="567" w:hanging="567"/>
        <w:rPr>
          <w:lang w:val="lt-LT"/>
        </w:rPr>
      </w:pPr>
      <w:r>
        <w:rPr>
          <w:snapToGrid w:val="0"/>
          <w:lang w:val="lt-LT"/>
        </w:rPr>
        <w:tab/>
      </w:r>
      <w:bookmarkEnd w:id="0"/>
      <w:r>
        <w:rPr>
          <w:lang w:val="lt-LT"/>
        </w:rPr>
        <w:t xml:space="preserve">minkštasis baltas parafinas, geltonasis bičių vaškas , stearino rūgštis 50, </w:t>
      </w:r>
      <w:proofErr w:type="spellStart"/>
      <w:r>
        <w:rPr>
          <w:lang w:val="lt-LT"/>
        </w:rPr>
        <w:t>oleino</w:t>
      </w:r>
      <w:proofErr w:type="spellEnd"/>
      <w:r>
        <w:rPr>
          <w:lang w:val="lt-LT"/>
        </w:rPr>
        <w:t xml:space="preserve"> rūgštis, </w:t>
      </w:r>
      <w:proofErr w:type="spellStart"/>
      <w:r>
        <w:rPr>
          <w:lang w:val="lt-LT"/>
        </w:rPr>
        <w:t>polisorbatas</w:t>
      </w:r>
      <w:proofErr w:type="spellEnd"/>
      <w:r>
        <w:rPr>
          <w:lang w:val="lt-LT"/>
        </w:rPr>
        <w:t xml:space="preserve"> 20 (E432), rozmarinų eterinis aliejus (sudėtyje yra </w:t>
      </w:r>
      <w:proofErr w:type="spellStart"/>
      <w:r>
        <w:rPr>
          <w:lang w:val="lt-LT"/>
        </w:rPr>
        <w:t>limoneno</w:t>
      </w:r>
      <w:proofErr w:type="spellEnd"/>
      <w:r>
        <w:rPr>
          <w:lang w:val="lt-LT"/>
        </w:rPr>
        <w:t xml:space="preserve">), čiobrelių eterinis aliejus </w:t>
      </w:r>
      <w:proofErr w:type="spellStart"/>
      <w:r>
        <w:rPr>
          <w:lang w:val="lt-LT"/>
        </w:rPr>
        <w:t>timolio</w:t>
      </w:r>
      <w:proofErr w:type="spellEnd"/>
      <w:r>
        <w:rPr>
          <w:lang w:val="lt-LT"/>
        </w:rPr>
        <w:t xml:space="preserve"> </w:t>
      </w:r>
      <w:proofErr w:type="spellStart"/>
      <w:r>
        <w:rPr>
          <w:lang w:val="lt-LT"/>
        </w:rPr>
        <w:t>chemotipo</w:t>
      </w:r>
      <w:proofErr w:type="spellEnd"/>
      <w:r>
        <w:rPr>
          <w:lang w:val="lt-LT"/>
        </w:rPr>
        <w:t xml:space="preserve"> (sudėtyje yra </w:t>
      </w:r>
      <w:proofErr w:type="spellStart"/>
      <w:r>
        <w:rPr>
          <w:lang w:val="lt-LT"/>
        </w:rPr>
        <w:t>linalolio</w:t>
      </w:r>
      <w:proofErr w:type="spellEnd"/>
      <w:r>
        <w:rPr>
          <w:lang w:val="lt-LT"/>
        </w:rPr>
        <w:t xml:space="preserve">), </w:t>
      </w:r>
      <w:proofErr w:type="spellStart"/>
      <w:r>
        <w:rPr>
          <w:lang w:val="lt-LT"/>
        </w:rPr>
        <w:t>timolis</w:t>
      </w:r>
      <w:proofErr w:type="spellEnd"/>
      <w:r>
        <w:rPr>
          <w:lang w:val="lt-LT"/>
        </w:rPr>
        <w:t xml:space="preserve">, chlorofilų vario kompleksas (E141), </w:t>
      </w:r>
      <w:proofErr w:type="spellStart"/>
      <w:r>
        <w:rPr>
          <w:lang w:val="lt-LT"/>
        </w:rPr>
        <w:t>butilhidroksitoluenas</w:t>
      </w:r>
      <w:proofErr w:type="spellEnd"/>
      <w:r>
        <w:rPr>
          <w:lang w:val="lt-LT"/>
        </w:rPr>
        <w:t xml:space="preserve"> (E321, esantis terpentino eterinio aliejaus sudėtyje). </w:t>
      </w:r>
    </w:p>
    <w:p w:rsidR="0011317F" w:rsidRDefault="0011317F" w:rsidP="0011317F">
      <w:pPr>
        <w:rPr>
          <w:lang w:val="lt-LT"/>
        </w:rPr>
      </w:pPr>
    </w:p>
    <w:p w:rsidR="0011317F" w:rsidRDefault="0011317F" w:rsidP="0011317F">
      <w:pPr>
        <w:rPr>
          <w:b/>
          <w:lang w:val="lt-LT"/>
        </w:rPr>
      </w:pPr>
      <w:proofErr w:type="spellStart"/>
      <w:r>
        <w:rPr>
          <w:b/>
          <w:bCs/>
          <w:lang w:val="lt-LT"/>
        </w:rPr>
        <w:t>ilon</w:t>
      </w:r>
      <w:proofErr w:type="spellEnd"/>
      <w:r>
        <w:rPr>
          <w:b/>
          <w:bCs/>
          <w:lang w:val="lt-LT"/>
        </w:rPr>
        <w:t xml:space="preserve"> išvaizda ir kiekis pakuotėje</w:t>
      </w:r>
    </w:p>
    <w:p w:rsidR="0011317F" w:rsidRDefault="0011317F" w:rsidP="0011317F">
      <w:pPr>
        <w:jc w:val="both"/>
        <w:rPr>
          <w:lang w:val="lt-LT"/>
        </w:rPr>
      </w:pPr>
      <w:proofErr w:type="spellStart"/>
      <w:r>
        <w:rPr>
          <w:lang w:val="lt-LT"/>
        </w:rPr>
        <w:t>ilon</w:t>
      </w:r>
      <w:proofErr w:type="spellEnd"/>
      <w:r>
        <w:rPr>
          <w:lang w:val="lt-LT"/>
        </w:rPr>
        <w:t xml:space="preserve"> yra šviesiai žalios spalvos, permatomas, vienalytis tepalas, pasižymintis būdingu eterinių aliejų ir terpentino aliejaus kvapu.</w:t>
      </w:r>
    </w:p>
    <w:p w:rsidR="0011317F" w:rsidRDefault="0011317F" w:rsidP="0011317F">
      <w:pPr>
        <w:jc w:val="both"/>
        <w:rPr>
          <w:lang w:val="lt-LT"/>
        </w:rPr>
      </w:pPr>
      <w:proofErr w:type="spellStart"/>
      <w:r>
        <w:rPr>
          <w:lang w:val="lt-LT"/>
        </w:rPr>
        <w:t>ilon</w:t>
      </w:r>
      <w:proofErr w:type="spellEnd"/>
      <w:r>
        <w:rPr>
          <w:lang w:val="lt-LT"/>
        </w:rPr>
        <w:t xml:space="preserve"> tiekiamas dengtomis aliuminio tūbelėmis su HDPE užsukamuoju dangteliu, kuriose yra 25 g, 50 g arba 100 g tepalo. </w:t>
      </w:r>
    </w:p>
    <w:p w:rsidR="0011317F" w:rsidRDefault="0011317F" w:rsidP="0011317F">
      <w:pPr>
        <w:rPr>
          <w:lang w:val="lt-LT"/>
        </w:rPr>
      </w:pPr>
    </w:p>
    <w:p w:rsidR="0011317F" w:rsidRDefault="0011317F" w:rsidP="0011317F">
      <w:pPr>
        <w:rPr>
          <w:lang w:val="lt-LT"/>
        </w:rPr>
      </w:pPr>
      <w:r>
        <w:rPr>
          <w:lang w:val="lt-LT"/>
        </w:rPr>
        <w:t>Gali būti tiekiamos ne visų dydžių pakuotės.</w:t>
      </w:r>
    </w:p>
    <w:p w:rsidR="0011317F" w:rsidRDefault="0011317F" w:rsidP="0011317F">
      <w:pPr>
        <w:rPr>
          <w:lang w:val="lt-LT"/>
        </w:rPr>
      </w:pPr>
    </w:p>
    <w:p w:rsidR="0011317F" w:rsidRDefault="0011317F" w:rsidP="0011317F">
      <w:pPr>
        <w:rPr>
          <w:b/>
          <w:bCs/>
          <w:lang w:val="lt-LT"/>
        </w:rPr>
      </w:pPr>
      <w:r>
        <w:rPr>
          <w:b/>
          <w:bCs/>
          <w:lang w:val="lt-LT"/>
        </w:rPr>
        <w:t>Registruotojas ir gamintojas</w:t>
      </w:r>
    </w:p>
    <w:p w:rsidR="0011317F" w:rsidRDefault="0011317F" w:rsidP="0011317F">
      <w:pPr>
        <w:rPr>
          <w:b/>
          <w:bCs/>
          <w:lang w:val="lt-LT"/>
        </w:rPr>
      </w:pPr>
    </w:p>
    <w:p w:rsidR="0011317F" w:rsidRDefault="0011317F" w:rsidP="0011317F">
      <w:pPr>
        <w:overflowPunct w:val="0"/>
        <w:autoSpaceDE w:val="0"/>
        <w:autoSpaceDN w:val="0"/>
        <w:adjustRightInd w:val="0"/>
        <w:rPr>
          <w:lang w:val="lt-LT" w:eastAsia="en-US" w:bidi="ar-SA"/>
        </w:rPr>
      </w:pPr>
      <w:proofErr w:type="spellStart"/>
      <w:r>
        <w:rPr>
          <w:lang w:val="lt-LT" w:eastAsia="en-US" w:bidi="ar-SA"/>
        </w:rPr>
        <w:t>Cesra</w:t>
      </w:r>
      <w:proofErr w:type="spellEnd"/>
      <w:r>
        <w:rPr>
          <w:lang w:val="lt-LT" w:eastAsia="en-US" w:bidi="ar-SA"/>
        </w:rPr>
        <w:t xml:space="preserve"> </w:t>
      </w:r>
      <w:proofErr w:type="spellStart"/>
      <w:r>
        <w:rPr>
          <w:lang w:val="lt-LT" w:eastAsia="en-US" w:bidi="ar-SA"/>
        </w:rPr>
        <w:t>Arzneimittel</w:t>
      </w:r>
      <w:proofErr w:type="spellEnd"/>
      <w:r>
        <w:rPr>
          <w:lang w:val="lt-LT" w:eastAsia="en-US" w:bidi="ar-SA"/>
        </w:rPr>
        <w:t xml:space="preserve"> </w:t>
      </w:r>
      <w:proofErr w:type="spellStart"/>
      <w:r>
        <w:rPr>
          <w:lang w:val="lt-LT" w:eastAsia="en-US" w:bidi="ar-SA"/>
        </w:rPr>
        <w:t>GmbH</w:t>
      </w:r>
      <w:proofErr w:type="spellEnd"/>
      <w:r>
        <w:rPr>
          <w:lang w:val="lt-LT" w:eastAsia="en-US" w:bidi="ar-SA"/>
        </w:rPr>
        <w:t xml:space="preserve"> &amp; </w:t>
      </w:r>
      <w:proofErr w:type="spellStart"/>
      <w:r>
        <w:rPr>
          <w:lang w:val="lt-LT" w:eastAsia="en-US" w:bidi="ar-SA"/>
        </w:rPr>
        <w:t>Co</w:t>
      </w:r>
      <w:proofErr w:type="spellEnd"/>
      <w:r>
        <w:rPr>
          <w:lang w:val="lt-LT" w:eastAsia="en-US" w:bidi="ar-SA"/>
        </w:rPr>
        <w:t>. KG</w:t>
      </w:r>
    </w:p>
    <w:p w:rsidR="0011317F" w:rsidRDefault="0011317F" w:rsidP="0011317F">
      <w:pPr>
        <w:overflowPunct w:val="0"/>
        <w:autoSpaceDE w:val="0"/>
        <w:autoSpaceDN w:val="0"/>
        <w:adjustRightInd w:val="0"/>
        <w:jc w:val="both"/>
        <w:rPr>
          <w:lang w:val="lt-LT" w:eastAsia="en-US" w:bidi="ar-SA"/>
        </w:rPr>
      </w:pPr>
      <w:proofErr w:type="spellStart"/>
      <w:r>
        <w:rPr>
          <w:lang w:val="lt-LT" w:eastAsia="en-US" w:bidi="ar-SA"/>
        </w:rPr>
        <w:t>Flugstrasse</w:t>
      </w:r>
      <w:proofErr w:type="spellEnd"/>
      <w:r>
        <w:rPr>
          <w:lang w:val="lt-LT" w:eastAsia="en-US" w:bidi="ar-SA"/>
        </w:rPr>
        <w:t xml:space="preserve"> 11</w:t>
      </w:r>
    </w:p>
    <w:p w:rsidR="0011317F" w:rsidRDefault="0011317F" w:rsidP="0011317F">
      <w:pPr>
        <w:overflowPunct w:val="0"/>
        <w:autoSpaceDE w:val="0"/>
        <w:autoSpaceDN w:val="0"/>
        <w:adjustRightInd w:val="0"/>
        <w:jc w:val="both"/>
        <w:rPr>
          <w:lang w:val="lt-LT" w:eastAsia="en-US" w:bidi="ar-SA"/>
        </w:rPr>
      </w:pPr>
      <w:r>
        <w:rPr>
          <w:lang w:val="lt-LT" w:eastAsia="en-US" w:bidi="ar-SA"/>
        </w:rPr>
        <w:t xml:space="preserve">76532 </w:t>
      </w:r>
      <w:proofErr w:type="spellStart"/>
      <w:r>
        <w:rPr>
          <w:lang w:val="lt-LT" w:eastAsia="en-US" w:bidi="ar-SA"/>
        </w:rPr>
        <w:t>Baden-Baden</w:t>
      </w:r>
      <w:proofErr w:type="spellEnd"/>
    </w:p>
    <w:p w:rsidR="0011317F" w:rsidRDefault="0011317F" w:rsidP="0011317F">
      <w:pPr>
        <w:overflowPunct w:val="0"/>
        <w:autoSpaceDE w:val="0"/>
        <w:autoSpaceDN w:val="0"/>
        <w:adjustRightInd w:val="0"/>
        <w:jc w:val="both"/>
        <w:rPr>
          <w:lang w:val="lt-LT" w:eastAsia="en-US" w:bidi="ar-SA"/>
        </w:rPr>
      </w:pPr>
      <w:r>
        <w:rPr>
          <w:lang w:val="lt-LT" w:eastAsia="en-US" w:bidi="ar-SA"/>
        </w:rPr>
        <w:t>Vokietija</w:t>
      </w:r>
    </w:p>
    <w:p w:rsidR="0011317F" w:rsidRDefault="0011317F" w:rsidP="0011317F">
      <w:pPr>
        <w:overflowPunct w:val="0"/>
        <w:autoSpaceDE w:val="0"/>
        <w:autoSpaceDN w:val="0"/>
        <w:adjustRightInd w:val="0"/>
        <w:jc w:val="both"/>
        <w:rPr>
          <w:lang w:val="lt-LT" w:eastAsia="en-US" w:bidi="ar-SA"/>
        </w:rPr>
      </w:pPr>
      <w:r>
        <w:rPr>
          <w:lang w:val="lt-LT" w:eastAsia="en-US" w:bidi="ar-SA"/>
        </w:rPr>
        <w:t xml:space="preserve">Tel.: </w:t>
      </w:r>
      <w:r>
        <w:rPr>
          <w:noProof/>
          <w:lang w:val="de-DE" w:eastAsia="en-US" w:bidi="ar-SA"/>
        </w:rPr>
        <w:t>+49 (0)7221 95400</w:t>
      </w:r>
    </w:p>
    <w:p w:rsidR="0011317F" w:rsidRPr="00006E3B" w:rsidRDefault="0011317F" w:rsidP="0011317F">
      <w:pPr>
        <w:overflowPunct w:val="0"/>
        <w:autoSpaceDE w:val="0"/>
        <w:autoSpaceDN w:val="0"/>
        <w:adjustRightInd w:val="0"/>
        <w:jc w:val="both"/>
      </w:pPr>
      <w:r>
        <w:rPr>
          <w:lang w:val="lt-LT" w:eastAsia="en-US" w:bidi="ar-SA"/>
        </w:rPr>
        <w:t xml:space="preserve">Faksas: </w:t>
      </w:r>
      <w:r w:rsidRPr="00006E3B">
        <w:t>+49 (0)7221 54 026</w:t>
      </w:r>
    </w:p>
    <w:p w:rsidR="0011317F" w:rsidRPr="00006E3B" w:rsidRDefault="0011317F" w:rsidP="0011317F">
      <w:pPr>
        <w:overflowPunct w:val="0"/>
        <w:autoSpaceDE w:val="0"/>
        <w:autoSpaceDN w:val="0"/>
        <w:adjustRightInd w:val="0"/>
        <w:jc w:val="both"/>
        <w:rPr>
          <w:lang w:val="lt-LT"/>
        </w:rPr>
      </w:pPr>
      <w:r w:rsidRPr="00006E3B">
        <w:t xml:space="preserve">El. </w:t>
      </w:r>
      <w:proofErr w:type="spellStart"/>
      <w:r w:rsidRPr="00006E3B">
        <w:t>paštas</w:t>
      </w:r>
      <w:proofErr w:type="spellEnd"/>
      <w:r w:rsidRPr="00006E3B">
        <w:t xml:space="preserve">: </w:t>
      </w:r>
      <w:hyperlink r:id="rId5" w:history="1">
        <w:r w:rsidRPr="00006E3B">
          <w:rPr>
            <w:rStyle w:val="Hipersaitas"/>
            <w:lang w:val="en-US"/>
          </w:rPr>
          <w:t>cesra@cesra.de</w:t>
        </w:r>
      </w:hyperlink>
    </w:p>
    <w:p w:rsidR="0011317F" w:rsidRPr="00006E3B" w:rsidRDefault="0011317F" w:rsidP="0011317F">
      <w:pPr>
        <w:tabs>
          <w:tab w:val="left" w:pos="1560"/>
        </w:tabs>
        <w:rPr>
          <w:i/>
          <w:lang w:val="lt-LT"/>
        </w:rPr>
      </w:pPr>
    </w:p>
    <w:p w:rsidR="0011317F" w:rsidRDefault="0011317F" w:rsidP="0011317F">
      <w:pPr>
        <w:rPr>
          <w:lang w:val="lt-LT" w:eastAsia="en-US"/>
        </w:rPr>
      </w:pPr>
      <w:r>
        <w:rPr>
          <w:lang w:val="lt-LT" w:eastAsia="en-US"/>
        </w:rPr>
        <w:t>Jeigu apie šį vaistą norite sužinoti daugiau, kreipkitės į vietinį registruotojo atstovą:</w:t>
      </w:r>
    </w:p>
    <w:p w:rsidR="0011317F" w:rsidRDefault="0011317F" w:rsidP="0011317F">
      <w:pPr>
        <w:rPr>
          <w:lang w:val="lt-LT" w:eastAsia="en-US"/>
        </w:rPr>
      </w:pPr>
    </w:p>
    <w:p w:rsidR="0011317F" w:rsidRDefault="0011317F" w:rsidP="0011317F">
      <w:pPr>
        <w:rPr>
          <w:noProof/>
          <w:lang w:val="lt-LT" w:eastAsia="en-US"/>
        </w:rPr>
      </w:pPr>
      <w:bookmarkStart w:id="1" w:name="_Hlk85610843"/>
      <w:r>
        <w:rPr>
          <w:noProof/>
          <w:lang w:val="lt-LT" w:eastAsia="en-US"/>
        </w:rPr>
        <w:t>Platintojas Lietuvoje</w:t>
      </w:r>
    </w:p>
    <w:p w:rsidR="0011317F" w:rsidRDefault="0011317F" w:rsidP="0011317F">
      <w:pPr>
        <w:rPr>
          <w:noProof/>
          <w:lang w:val="lt-LT" w:eastAsia="en-US"/>
        </w:rPr>
      </w:pPr>
      <w:r>
        <w:rPr>
          <w:noProof/>
          <w:lang w:val="lt-LT" w:eastAsia="en-US"/>
        </w:rPr>
        <w:t>UAB „Miečys“</w:t>
      </w:r>
    </w:p>
    <w:p w:rsidR="0011317F" w:rsidRDefault="0011317F" w:rsidP="0011317F">
      <w:pPr>
        <w:rPr>
          <w:noProof/>
          <w:lang w:val="lt-LT" w:eastAsia="en-US"/>
        </w:rPr>
      </w:pPr>
      <w:r>
        <w:rPr>
          <w:noProof/>
          <w:lang w:val="lt-LT" w:eastAsia="en-US"/>
        </w:rPr>
        <w:t>Masiuliškių g.15, Sutkūnai</w:t>
      </w:r>
    </w:p>
    <w:p w:rsidR="0011317F" w:rsidRPr="00006E3B" w:rsidRDefault="0011317F" w:rsidP="0011317F">
      <w:proofErr w:type="gramStart"/>
      <w:r w:rsidRPr="00006E3B">
        <w:t xml:space="preserve">76116 </w:t>
      </w:r>
      <w:proofErr w:type="spellStart"/>
      <w:r w:rsidRPr="00006E3B">
        <w:t>Šiaulių</w:t>
      </w:r>
      <w:proofErr w:type="spellEnd"/>
      <w:proofErr w:type="gramEnd"/>
      <w:r w:rsidRPr="00006E3B">
        <w:t xml:space="preserve"> raj.</w:t>
      </w:r>
    </w:p>
    <w:p w:rsidR="0011317F" w:rsidRPr="00006E3B" w:rsidRDefault="0011317F" w:rsidP="0011317F">
      <w:proofErr w:type="spellStart"/>
      <w:r w:rsidRPr="00006E3B">
        <w:t>Lietuva</w:t>
      </w:r>
      <w:proofErr w:type="spellEnd"/>
    </w:p>
    <w:p w:rsidR="0011317F" w:rsidRDefault="0011317F" w:rsidP="0011317F">
      <w:pPr>
        <w:rPr>
          <w:noProof/>
          <w:lang w:val="lt-LT" w:eastAsia="en-US"/>
        </w:rPr>
      </w:pPr>
      <w:r w:rsidRPr="00006E3B">
        <w:t>Tel.: 8 800 12 345</w:t>
      </w:r>
    </w:p>
    <w:bookmarkEnd w:id="1"/>
    <w:p w:rsidR="0011317F" w:rsidRDefault="0011317F" w:rsidP="0011317F">
      <w:pPr>
        <w:rPr>
          <w:lang w:val="lt-LT"/>
        </w:rPr>
      </w:pPr>
      <w:r>
        <w:rPr>
          <w:noProof/>
          <w:lang w:eastAsia="en-US" w:bidi="ar-SA"/>
        </w:rPr>
        <w:t xml:space="preserve">El. paštas: </w:t>
      </w:r>
      <w:hyperlink r:id="rId6" w:history="1">
        <w:r>
          <w:rPr>
            <w:rStyle w:val="Hipersaitas"/>
            <w:lang w:val="en-US"/>
          </w:rPr>
          <w:t>www.miecys.lt</w:t>
        </w:r>
      </w:hyperlink>
    </w:p>
    <w:p w:rsidR="0011317F" w:rsidRDefault="0011317F" w:rsidP="0011317F">
      <w:pPr>
        <w:tabs>
          <w:tab w:val="left" w:pos="1560"/>
        </w:tabs>
        <w:rPr>
          <w:lang w:val="lt-LT"/>
        </w:rPr>
      </w:pPr>
    </w:p>
    <w:p w:rsidR="0011317F" w:rsidRDefault="0011317F" w:rsidP="0011317F">
      <w:pPr>
        <w:tabs>
          <w:tab w:val="left" w:pos="1560"/>
        </w:tabs>
        <w:rPr>
          <w:lang w:val="lt-LT"/>
        </w:rPr>
      </w:pPr>
    </w:p>
    <w:p w:rsidR="0011317F" w:rsidRDefault="0011317F" w:rsidP="0011317F">
      <w:pPr>
        <w:tabs>
          <w:tab w:val="left" w:pos="1560"/>
        </w:tabs>
        <w:rPr>
          <w:b/>
          <w:lang w:val="lt-LT"/>
        </w:rPr>
      </w:pPr>
      <w:r>
        <w:rPr>
          <w:b/>
          <w:bCs/>
          <w:lang w:val="lt-LT"/>
        </w:rPr>
        <w:t>Šis vaistas Europos ekonominės erdvės valstybėse narėse registruotas tokiais pavadinimais:</w:t>
      </w:r>
    </w:p>
    <w:p w:rsidR="0011317F" w:rsidRPr="00006E3B" w:rsidRDefault="0011317F" w:rsidP="0011317F">
      <w:pPr>
        <w:pStyle w:val="prastasiniatinklio"/>
        <w:spacing w:before="0" w:beforeAutospacing="0" w:after="0" w:afterAutospacing="0"/>
        <w:rPr>
          <w:sz w:val="22"/>
          <w:lang w:val="lt-LT"/>
        </w:rPr>
      </w:pPr>
      <w:r>
        <w:rPr>
          <w:sz w:val="22"/>
          <w:szCs w:val="22"/>
          <w:lang w:val="lt-LT"/>
        </w:rPr>
        <w:t xml:space="preserve">Austrijoje: </w:t>
      </w:r>
      <w:proofErr w:type="spellStart"/>
      <w:r>
        <w:rPr>
          <w:sz w:val="22"/>
          <w:szCs w:val="22"/>
          <w:lang w:val="lt-LT"/>
        </w:rPr>
        <w:t>ilon</w:t>
      </w:r>
      <w:proofErr w:type="spellEnd"/>
      <w:r>
        <w:rPr>
          <w:sz w:val="22"/>
          <w:szCs w:val="22"/>
          <w:lang w:val="lt-LT"/>
        </w:rPr>
        <w:t xml:space="preserve"> </w:t>
      </w:r>
      <w:proofErr w:type="spellStart"/>
      <w:r>
        <w:rPr>
          <w:sz w:val="22"/>
          <w:szCs w:val="22"/>
          <w:lang w:val="lt-LT"/>
        </w:rPr>
        <w:t>Classic</w:t>
      </w:r>
      <w:proofErr w:type="spellEnd"/>
      <w:r>
        <w:rPr>
          <w:sz w:val="22"/>
          <w:szCs w:val="22"/>
          <w:lang w:val="lt-LT"/>
        </w:rPr>
        <w:t xml:space="preserve"> </w:t>
      </w:r>
      <w:proofErr w:type="spellStart"/>
      <w:r>
        <w:rPr>
          <w:sz w:val="22"/>
          <w:szCs w:val="22"/>
          <w:lang w:val="lt-LT"/>
        </w:rPr>
        <w:t>Salbe</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Graikijoje: </w:t>
      </w:r>
      <w:proofErr w:type="spellStart"/>
      <w:r>
        <w:rPr>
          <w:sz w:val="22"/>
          <w:szCs w:val="22"/>
          <w:lang w:val="lt-LT"/>
        </w:rPr>
        <w:t>ilon</w:t>
      </w:r>
      <w:proofErr w:type="spellEnd"/>
      <w:r>
        <w:rPr>
          <w:sz w:val="22"/>
          <w:szCs w:val="22"/>
          <w:lang w:val="lt-LT"/>
        </w:rPr>
        <w:t xml:space="preserve"> </w:t>
      </w:r>
      <w:proofErr w:type="spellStart"/>
      <w:r>
        <w:rPr>
          <w:sz w:val="22"/>
          <w:szCs w:val="22"/>
          <w:lang w:val="lt-LT"/>
        </w:rPr>
        <w:t>Classic</w:t>
      </w:r>
      <w:proofErr w:type="spellEnd"/>
    </w:p>
    <w:p w:rsidR="0011317F" w:rsidRPr="00006E3B" w:rsidRDefault="0011317F" w:rsidP="0011317F">
      <w:pPr>
        <w:pStyle w:val="prastasiniatinklio"/>
        <w:spacing w:before="0" w:beforeAutospacing="0" w:after="0" w:afterAutospacing="0"/>
        <w:rPr>
          <w:sz w:val="22"/>
          <w:lang w:val="lt-LT"/>
        </w:rPr>
      </w:pPr>
      <w:r>
        <w:rPr>
          <w:sz w:val="22"/>
          <w:szCs w:val="22"/>
          <w:lang w:val="lt-LT"/>
        </w:rPr>
        <w:t xml:space="preserve">Lietuvoje: </w:t>
      </w:r>
      <w:proofErr w:type="spellStart"/>
      <w:r>
        <w:rPr>
          <w:sz w:val="22"/>
          <w:szCs w:val="22"/>
          <w:lang w:val="lt-LT"/>
        </w:rPr>
        <w:t>ilon</w:t>
      </w:r>
      <w:proofErr w:type="spellEnd"/>
      <w:r>
        <w:rPr>
          <w:sz w:val="22"/>
          <w:szCs w:val="22"/>
          <w:lang w:val="lt-LT"/>
        </w:rPr>
        <w:t xml:space="preserve"> tepalas</w:t>
      </w:r>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Danijoje: </w:t>
      </w:r>
      <w:proofErr w:type="spellStart"/>
      <w:r>
        <w:rPr>
          <w:sz w:val="22"/>
          <w:szCs w:val="22"/>
          <w:lang w:val="lt-LT"/>
        </w:rPr>
        <w:t>ilon</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Čekijoje: </w:t>
      </w:r>
      <w:proofErr w:type="spellStart"/>
      <w:r>
        <w:rPr>
          <w:sz w:val="22"/>
          <w:szCs w:val="22"/>
          <w:lang w:val="lt-LT"/>
        </w:rPr>
        <w:t>ilon</w:t>
      </w:r>
      <w:proofErr w:type="spellEnd"/>
      <w:r>
        <w:rPr>
          <w:sz w:val="22"/>
          <w:szCs w:val="22"/>
          <w:lang w:val="lt-LT"/>
        </w:rPr>
        <w:t xml:space="preserve"> </w:t>
      </w:r>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Suomijoje: </w:t>
      </w:r>
      <w:proofErr w:type="spellStart"/>
      <w:r>
        <w:rPr>
          <w:sz w:val="22"/>
          <w:szCs w:val="22"/>
          <w:lang w:val="lt-LT"/>
        </w:rPr>
        <w:t>Ilon</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Prancūzijoje: </w:t>
      </w:r>
      <w:proofErr w:type="spellStart"/>
      <w:r>
        <w:rPr>
          <w:sz w:val="22"/>
          <w:szCs w:val="22"/>
          <w:lang w:val="lt-LT"/>
        </w:rPr>
        <w:t>ilon</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Nyderlanduose: </w:t>
      </w:r>
      <w:proofErr w:type="spellStart"/>
      <w:r>
        <w:rPr>
          <w:sz w:val="22"/>
          <w:szCs w:val="22"/>
          <w:lang w:val="lt-LT"/>
        </w:rPr>
        <w:t>ilon</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Norvegijoje: </w:t>
      </w:r>
      <w:proofErr w:type="spellStart"/>
      <w:r>
        <w:rPr>
          <w:sz w:val="22"/>
          <w:szCs w:val="22"/>
          <w:lang w:val="lt-LT"/>
        </w:rPr>
        <w:t>ilon</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Portugalijoje: </w:t>
      </w:r>
      <w:proofErr w:type="spellStart"/>
      <w:r>
        <w:rPr>
          <w:sz w:val="22"/>
          <w:szCs w:val="22"/>
          <w:lang w:val="lt-LT"/>
        </w:rPr>
        <w:t>ilon</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Rumunija: </w:t>
      </w:r>
      <w:proofErr w:type="spellStart"/>
      <w:r>
        <w:rPr>
          <w:sz w:val="22"/>
          <w:szCs w:val="22"/>
          <w:lang w:val="lt-LT"/>
        </w:rPr>
        <w:t>ilon</w:t>
      </w:r>
      <w:proofErr w:type="spellEnd"/>
      <w:r>
        <w:rPr>
          <w:sz w:val="22"/>
          <w:szCs w:val="22"/>
          <w:lang w:val="lt-LT"/>
        </w:rPr>
        <w:t xml:space="preserve"> </w:t>
      </w:r>
      <w:proofErr w:type="spellStart"/>
      <w:r>
        <w:rPr>
          <w:sz w:val="22"/>
          <w:szCs w:val="22"/>
          <w:lang w:val="lt-LT"/>
        </w:rPr>
        <w:t>unguent</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Slovakija: </w:t>
      </w:r>
      <w:proofErr w:type="spellStart"/>
      <w:r>
        <w:rPr>
          <w:sz w:val="22"/>
          <w:szCs w:val="22"/>
          <w:lang w:val="lt-LT"/>
        </w:rPr>
        <w:t>ilon</w:t>
      </w:r>
      <w:proofErr w:type="spellEnd"/>
      <w:r>
        <w:rPr>
          <w:sz w:val="22"/>
          <w:szCs w:val="22"/>
          <w:lang w:val="lt-LT"/>
        </w:rPr>
        <w:t xml:space="preserve"> </w:t>
      </w:r>
      <w:proofErr w:type="spellStart"/>
      <w:r>
        <w:rPr>
          <w:sz w:val="22"/>
          <w:szCs w:val="22"/>
          <w:lang w:val="lt-LT"/>
        </w:rPr>
        <w:t>mast</w:t>
      </w:r>
      <w:proofErr w:type="spellEnd"/>
    </w:p>
    <w:p w:rsidR="0011317F" w:rsidRDefault="0011317F" w:rsidP="0011317F">
      <w:pPr>
        <w:pStyle w:val="prastasiniatinklio"/>
        <w:spacing w:before="0" w:beforeAutospacing="0" w:after="0" w:afterAutospacing="0"/>
        <w:rPr>
          <w:sz w:val="22"/>
          <w:szCs w:val="22"/>
          <w:lang w:val="lt-LT"/>
        </w:rPr>
      </w:pPr>
      <w:r>
        <w:rPr>
          <w:sz w:val="22"/>
          <w:szCs w:val="22"/>
          <w:lang w:val="lt-LT"/>
        </w:rPr>
        <w:t xml:space="preserve">Slovėnija: </w:t>
      </w:r>
      <w:proofErr w:type="spellStart"/>
      <w:r>
        <w:rPr>
          <w:sz w:val="22"/>
          <w:szCs w:val="22"/>
          <w:lang w:val="lt-LT"/>
        </w:rPr>
        <w:t>ilon</w:t>
      </w:r>
      <w:proofErr w:type="spellEnd"/>
      <w:r>
        <w:rPr>
          <w:sz w:val="22"/>
          <w:szCs w:val="22"/>
          <w:lang w:val="lt-LT"/>
        </w:rPr>
        <w:t xml:space="preserve"> </w:t>
      </w:r>
      <w:proofErr w:type="spellStart"/>
      <w:r>
        <w:rPr>
          <w:sz w:val="22"/>
          <w:szCs w:val="22"/>
          <w:lang w:val="lt-LT"/>
        </w:rPr>
        <w:t>mazilo</w:t>
      </w:r>
      <w:proofErr w:type="spellEnd"/>
    </w:p>
    <w:p w:rsidR="0011317F" w:rsidRDefault="0011317F" w:rsidP="0011317F">
      <w:pPr>
        <w:tabs>
          <w:tab w:val="left" w:pos="1560"/>
        </w:tabs>
        <w:rPr>
          <w:lang w:val="lt-LT"/>
        </w:rPr>
      </w:pPr>
    </w:p>
    <w:p w:rsidR="0011317F" w:rsidRDefault="0011317F" w:rsidP="0011317F">
      <w:pPr>
        <w:pStyle w:val="Pasveikinimas"/>
        <w:tabs>
          <w:tab w:val="left" w:pos="4536"/>
        </w:tabs>
        <w:spacing w:before="0" w:after="0"/>
        <w:rPr>
          <w:rFonts w:ascii="Times New Roman" w:hAnsi="Times New Roman"/>
          <w:color w:val="auto"/>
          <w:sz w:val="22"/>
          <w:szCs w:val="22"/>
          <w:lang w:val="lt-LT"/>
        </w:rPr>
      </w:pPr>
      <w:r>
        <w:rPr>
          <w:rFonts w:ascii="Times New Roman" w:hAnsi="Times New Roman"/>
          <w:b/>
          <w:bCs/>
          <w:color w:val="auto"/>
          <w:sz w:val="22"/>
          <w:szCs w:val="22"/>
          <w:lang w:val="lt-LT"/>
        </w:rPr>
        <w:t>Šis pakuotės lapelis paskutinį kartą peržiūrėtas:2025-03-17.</w:t>
      </w:r>
    </w:p>
    <w:p w:rsidR="0011317F" w:rsidRDefault="0011317F" w:rsidP="0011317F">
      <w:pPr>
        <w:numPr>
          <w:ilvl w:val="12"/>
          <w:numId w:val="0"/>
        </w:numPr>
        <w:tabs>
          <w:tab w:val="left" w:pos="567"/>
        </w:tabs>
        <w:ind w:right="-2"/>
        <w:rPr>
          <w:snapToGrid w:val="0"/>
          <w:szCs w:val="20"/>
          <w:lang w:val="lt-LT" w:eastAsia="en-US" w:bidi="ar-SA"/>
        </w:rPr>
      </w:pPr>
    </w:p>
    <w:p w:rsidR="0011317F" w:rsidRDefault="0011317F" w:rsidP="0011317F">
      <w:pPr>
        <w:numPr>
          <w:ilvl w:val="12"/>
          <w:numId w:val="0"/>
        </w:numPr>
        <w:tabs>
          <w:tab w:val="left" w:pos="567"/>
        </w:tabs>
        <w:ind w:right="-2"/>
        <w:rPr>
          <w:snapToGrid w:val="0"/>
          <w:szCs w:val="20"/>
          <w:lang w:val="lt-LT" w:eastAsia="en-US" w:bidi="ar-SA"/>
        </w:rPr>
      </w:pPr>
    </w:p>
    <w:p w:rsidR="0011317F" w:rsidRDefault="0011317F" w:rsidP="0011317F">
      <w:pPr>
        <w:numPr>
          <w:ilvl w:val="12"/>
          <w:numId w:val="0"/>
        </w:numPr>
        <w:tabs>
          <w:tab w:val="left" w:pos="567"/>
        </w:tabs>
        <w:ind w:right="-2"/>
        <w:rPr>
          <w:snapToGrid w:val="0"/>
          <w:szCs w:val="20"/>
          <w:lang w:val="lt-LT" w:eastAsia="en-US" w:bidi="ar-SA"/>
        </w:rPr>
      </w:pPr>
      <w:r>
        <w:rPr>
          <w:snapToGrid w:val="0"/>
          <w:szCs w:val="20"/>
          <w:lang w:val="lt-LT" w:eastAsia="en-US" w:bidi="ar-SA"/>
        </w:rPr>
        <w:t xml:space="preserve">Išsami informacija apie šį </w:t>
      </w:r>
      <w:r>
        <w:rPr>
          <w:snapToGrid w:val="0"/>
          <w:szCs w:val="24"/>
          <w:lang w:val="lt-LT" w:eastAsia="en-US" w:bidi="ar-SA"/>
        </w:rPr>
        <w:t>vaistą</w:t>
      </w:r>
      <w:r>
        <w:rPr>
          <w:snapToGrid w:val="0"/>
          <w:szCs w:val="20"/>
          <w:lang w:val="lt-LT" w:eastAsia="en-US" w:bidi="ar-SA"/>
        </w:rPr>
        <w:t xml:space="preserve"> pateikiama Valstybinės vaistų kontrolės tarnybos prie Lietuvos Respublikos sveikatos apsaugos ministerijos tinklalapyje</w:t>
      </w:r>
      <w:r>
        <w:rPr>
          <w:i/>
          <w:snapToGrid w:val="0"/>
          <w:szCs w:val="24"/>
          <w:lang w:val="lt-LT" w:eastAsia="en-US" w:bidi="ar-SA"/>
        </w:rPr>
        <w:t xml:space="preserve"> </w:t>
      </w:r>
      <w:hyperlink r:id="rId7" w:history="1">
        <w:r>
          <w:rPr>
            <w:rStyle w:val="Hipersaitas"/>
            <w:rFonts w:eastAsia="SimSun"/>
            <w:snapToGrid w:val="0"/>
            <w:szCs w:val="20"/>
            <w:lang w:val="lt-LT" w:eastAsia="en-US" w:bidi="ar-SA"/>
          </w:rPr>
          <w:t>http://www.vvkt.lt/</w:t>
        </w:r>
      </w:hyperlink>
      <w:r>
        <w:rPr>
          <w:snapToGrid w:val="0"/>
          <w:szCs w:val="20"/>
          <w:lang w:val="lt-LT" w:eastAsia="en-US" w:bidi="ar-SA"/>
        </w:rPr>
        <w:t>.</w:t>
      </w:r>
    </w:p>
    <w:p w:rsidR="0011317F" w:rsidRDefault="0011317F" w:rsidP="0011317F">
      <w:pPr>
        <w:rPr>
          <w:snapToGrid w:val="0"/>
          <w:szCs w:val="20"/>
          <w:lang w:val="lt-LT" w:eastAsia="en-US" w:bidi="ar-SA"/>
        </w:rPr>
      </w:pPr>
    </w:p>
    <w:p w:rsidR="0011317F" w:rsidRPr="00FF3EEE" w:rsidRDefault="0011317F" w:rsidP="0011317F">
      <w:pPr>
        <w:tabs>
          <w:tab w:val="left" w:pos="708"/>
        </w:tabs>
        <w:rPr>
          <w:noProof/>
          <w:lang w:val="lt-LT"/>
        </w:rPr>
      </w:pPr>
      <w:bookmarkStart w:id="2" w:name="_GoBack"/>
      <w:bookmarkEnd w:id="2"/>
    </w:p>
    <w:p w:rsidR="0011317F" w:rsidRDefault="0011317F" w:rsidP="0011317F">
      <w:pPr>
        <w:rPr>
          <w:snapToGrid w:val="0"/>
          <w:szCs w:val="20"/>
          <w:lang w:val="lt-LT" w:eastAsia="en-US" w:bidi="ar-SA"/>
        </w:rPr>
      </w:pPr>
    </w:p>
    <w:p w:rsidR="00BA6577" w:rsidRDefault="00BA6577"/>
    <w:sectPr w:rsidR="00BA6577" w:rsidSect="00043AC8">
      <w:headerReference w:type="default" r:id="rId8"/>
      <w:footerReference w:type="default" r:id="rId9"/>
      <w:pgSz w:w="11906" w:h="16838" w:code="9"/>
      <w:pgMar w:top="1134" w:right="1418" w:bottom="1134" w:left="1418" w:header="737" w:footer="737"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C8" w:rsidRDefault="0011317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BA0" w:rsidRDefault="001131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D56A6"/>
    <w:multiLevelType w:val="hybridMultilevel"/>
    <w:tmpl w:val="435C8204"/>
    <w:lvl w:ilvl="0" w:tplc="DDEC3CA8">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7F"/>
    <w:rsid w:val="00072F85"/>
    <w:rsid w:val="000A5E72"/>
    <w:rsid w:val="000A7B60"/>
    <w:rsid w:val="0011317F"/>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2D725-D600-4A93-8B1F-5A1DBC01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17F"/>
    <w:pPr>
      <w:spacing w:after="0" w:line="240" w:lineRule="auto"/>
    </w:pPr>
    <w:rPr>
      <w:rFonts w:ascii="Times New Roman" w:eastAsia="Times New Roman" w:hAnsi="Times New Roman" w:cs="Times New Roman"/>
      <w:lang w:val="en-GB" w:eastAsia="en-GB" w:bidi="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1317F"/>
    <w:pPr>
      <w:tabs>
        <w:tab w:val="center" w:pos="4536"/>
        <w:tab w:val="right" w:pos="9072"/>
      </w:tabs>
    </w:pPr>
  </w:style>
  <w:style w:type="character" w:customStyle="1" w:styleId="AntratsDiagrama">
    <w:name w:val="Antraštės Diagrama"/>
    <w:basedOn w:val="Numatytasispastraiposriftas"/>
    <w:link w:val="Antrats"/>
    <w:uiPriority w:val="99"/>
    <w:rsid w:val="0011317F"/>
    <w:rPr>
      <w:rFonts w:ascii="Times New Roman" w:eastAsia="Times New Roman" w:hAnsi="Times New Roman" w:cs="Times New Roman"/>
      <w:lang w:val="en-GB" w:eastAsia="en-GB" w:bidi="en-GB"/>
    </w:rPr>
  </w:style>
  <w:style w:type="paragraph" w:styleId="Porat">
    <w:name w:val="footer"/>
    <w:basedOn w:val="prastasis"/>
    <w:link w:val="PoratDiagrama"/>
    <w:rsid w:val="0011317F"/>
    <w:pPr>
      <w:tabs>
        <w:tab w:val="center" w:pos="4536"/>
        <w:tab w:val="right" w:pos="9072"/>
      </w:tabs>
    </w:pPr>
  </w:style>
  <w:style w:type="character" w:customStyle="1" w:styleId="PoratDiagrama">
    <w:name w:val="Poraštė Diagrama"/>
    <w:basedOn w:val="Numatytasispastraiposriftas"/>
    <w:link w:val="Porat"/>
    <w:rsid w:val="0011317F"/>
    <w:rPr>
      <w:rFonts w:ascii="Times New Roman" w:eastAsia="Times New Roman" w:hAnsi="Times New Roman" w:cs="Times New Roman"/>
      <w:lang w:val="en-GB" w:eastAsia="en-GB" w:bidi="en-GB"/>
    </w:rPr>
  </w:style>
  <w:style w:type="paragraph" w:customStyle="1" w:styleId="Normal">
    <w:name w:val="[Normal]"/>
    <w:uiPriority w:val="99"/>
    <w:rsid w:val="0011317F"/>
    <w:pPr>
      <w:spacing w:after="0" w:line="240" w:lineRule="auto"/>
    </w:pPr>
    <w:rPr>
      <w:rFonts w:ascii="Arial" w:eastAsia="Times New Roman" w:hAnsi="Arial" w:cs="Arial"/>
      <w:snapToGrid w:val="0"/>
      <w:sz w:val="20"/>
      <w:szCs w:val="20"/>
      <w:lang w:val="en-GB" w:eastAsia="en-GB" w:bidi="en-GB"/>
    </w:rPr>
  </w:style>
  <w:style w:type="paragraph" w:styleId="Pasveikinimas">
    <w:name w:val="Salutation"/>
    <w:basedOn w:val="prastasis"/>
    <w:link w:val="PasveikinimasDiagrama"/>
    <w:rsid w:val="0011317F"/>
    <w:pPr>
      <w:spacing w:before="720" w:after="240"/>
    </w:pPr>
    <w:rPr>
      <w:rFonts w:ascii="Arial" w:hAnsi="Arial" w:cs="Arial"/>
      <w:color w:val="000000"/>
      <w:sz w:val="20"/>
      <w:szCs w:val="20"/>
    </w:rPr>
  </w:style>
  <w:style w:type="character" w:customStyle="1" w:styleId="PasveikinimasDiagrama">
    <w:name w:val="Pasveikinimas Diagrama"/>
    <w:basedOn w:val="Numatytasispastraiposriftas"/>
    <w:link w:val="Pasveikinimas"/>
    <w:rsid w:val="0011317F"/>
    <w:rPr>
      <w:rFonts w:ascii="Arial" w:eastAsia="Times New Roman" w:hAnsi="Arial" w:cs="Arial"/>
      <w:color w:val="000000"/>
      <w:sz w:val="20"/>
      <w:szCs w:val="20"/>
      <w:lang w:val="en-GB" w:eastAsia="en-GB" w:bidi="en-GB"/>
    </w:rPr>
  </w:style>
  <w:style w:type="character" w:styleId="Hipersaitas">
    <w:name w:val="Hyperlink"/>
    <w:uiPriority w:val="99"/>
    <w:rsid w:val="0011317F"/>
    <w:rPr>
      <w:color w:val="0000FF"/>
      <w:u w:val="single"/>
    </w:rPr>
  </w:style>
  <w:style w:type="paragraph" w:styleId="Sraopastraipa">
    <w:name w:val="List Paragraph"/>
    <w:basedOn w:val="prastasis"/>
    <w:qFormat/>
    <w:rsid w:val="0011317F"/>
    <w:pPr>
      <w:spacing w:after="200" w:line="276" w:lineRule="auto"/>
      <w:ind w:left="720"/>
      <w:contextualSpacing/>
    </w:pPr>
    <w:rPr>
      <w:rFonts w:ascii="Calibri" w:eastAsia="Calibri" w:hAnsi="Calibri"/>
    </w:rPr>
  </w:style>
  <w:style w:type="paragraph" w:customStyle="1" w:styleId="Titel3">
    <w:name w:val="Titel3"/>
    <w:rsid w:val="0011317F"/>
    <w:pPr>
      <w:spacing w:after="0" w:line="240" w:lineRule="auto"/>
      <w:jc w:val="both"/>
    </w:pPr>
    <w:rPr>
      <w:rFonts w:ascii="Arial" w:eastAsia="Times New Roman" w:hAnsi="Arial" w:cs="Times New Roman"/>
      <w:b/>
      <w:i/>
      <w:color w:val="000000"/>
      <w:sz w:val="20"/>
      <w:szCs w:val="20"/>
      <w:lang w:val="en-GB" w:eastAsia="en-GB" w:bidi="en-GB"/>
    </w:rPr>
  </w:style>
  <w:style w:type="paragraph" w:styleId="prastasiniatinklio">
    <w:name w:val="Normal (Web)"/>
    <w:basedOn w:val="prastasis"/>
    <w:uiPriority w:val="99"/>
    <w:unhideWhenUsed/>
    <w:rsid w:val="0011317F"/>
    <w:pPr>
      <w:spacing w:before="100" w:beforeAutospacing="1" w:after="100" w:afterAutospacing="1"/>
    </w:pPr>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cys.lt" TargetMode="External"/><Relationship Id="rId11" Type="http://schemas.openxmlformats.org/officeDocument/2006/relationships/theme" Target="theme/theme1.xml"/><Relationship Id="rId5" Type="http://schemas.openxmlformats.org/officeDocument/2006/relationships/hyperlink" Target="mailto:cesra@cesra.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6017</Words>
  <Characters>3431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2025-04-01T06:08:00Z</dcterms:created>
  <dcterms:modified xsi:type="dcterms:W3CDTF">2025-04-01T06:09:00Z</dcterms:modified>
</cp:coreProperties>
</file>