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0" w:rsidRPr="00EF20DC" w:rsidRDefault="00EA5A20" w:rsidP="00EA5A20">
      <w:pPr>
        <w:keepNext/>
        <w:tabs>
          <w:tab w:val="left" w:pos="567"/>
        </w:tabs>
        <w:jc w:val="center"/>
        <w:outlineLvl w:val="1"/>
        <w:rPr>
          <w:rFonts w:eastAsia="SimSun"/>
          <w:b/>
          <w:iCs/>
          <w:sz w:val="22"/>
          <w:szCs w:val="22"/>
        </w:rPr>
      </w:pPr>
      <w:r w:rsidRPr="00EF20DC">
        <w:rPr>
          <w:rFonts w:eastAsia="SimSun"/>
          <w:b/>
          <w:iCs/>
          <w:sz w:val="22"/>
          <w:szCs w:val="22"/>
        </w:rPr>
        <w:t xml:space="preserve">Pakuotės lapelis: informacija </w:t>
      </w:r>
      <w:r>
        <w:rPr>
          <w:rFonts w:eastAsia="SimSun"/>
          <w:b/>
          <w:iCs/>
          <w:sz w:val="22"/>
          <w:szCs w:val="22"/>
        </w:rPr>
        <w:t>pacientui</w:t>
      </w:r>
    </w:p>
    <w:p w:rsidR="00EA5A20" w:rsidRPr="00EF20DC" w:rsidRDefault="00EA5A20" w:rsidP="00EA5A20">
      <w:pPr>
        <w:jc w:val="center"/>
        <w:rPr>
          <w:rFonts w:eastAsia="Calibri"/>
          <w:bCs/>
          <w:sz w:val="22"/>
          <w:szCs w:val="22"/>
          <w:shd w:val="clear" w:color="auto" w:fill="FFFFFF"/>
        </w:rPr>
      </w:pPr>
    </w:p>
    <w:p w:rsidR="00EA5A20" w:rsidRPr="00EF20DC" w:rsidRDefault="00EA5A20" w:rsidP="00EA5A20">
      <w:pPr>
        <w:jc w:val="center"/>
        <w:rPr>
          <w:rFonts w:eastAsia="Calibri"/>
          <w:b/>
          <w:sz w:val="22"/>
          <w:szCs w:val="22"/>
        </w:rPr>
      </w:pPr>
      <w:r w:rsidRPr="00EF20DC">
        <w:rPr>
          <w:rFonts w:eastAsia="Calibri"/>
          <w:b/>
          <w:bCs/>
          <w:sz w:val="22"/>
          <w:szCs w:val="22"/>
          <w:shd w:val="clear" w:color="auto" w:fill="FFFFFF"/>
        </w:rPr>
        <w:t xml:space="preserve">Sorafenib </w:t>
      </w:r>
      <w:r>
        <w:rPr>
          <w:rFonts w:eastAsia="Calibri"/>
          <w:b/>
          <w:bCs/>
          <w:sz w:val="22"/>
          <w:szCs w:val="22"/>
          <w:shd w:val="clear" w:color="auto" w:fill="FFFFFF"/>
        </w:rPr>
        <w:t>Sandoz</w:t>
      </w:r>
      <w:r w:rsidRPr="00EF20DC">
        <w:rPr>
          <w:rFonts w:eastAsia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eastAsia="Calibri"/>
          <w:b/>
          <w:sz w:val="22"/>
          <w:szCs w:val="22"/>
        </w:rPr>
        <w:t>4</w:t>
      </w:r>
      <w:r w:rsidRPr="00EF20DC">
        <w:rPr>
          <w:rFonts w:eastAsia="Calibri"/>
          <w:b/>
          <w:sz w:val="22"/>
          <w:szCs w:val="22"/>
        </w:rPr>
        <w:t>00 mg plėvele dengtos tabletės</w:t>
      </w: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jc w:val="center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s</w:t>
      </w:r>
      <w:r w:rsidRPr="00EF20DC">
        <w:rPr>
          <w:rFonts w:eastAsia="SimSun"/>
          <w:sz w:val="22"/>
          <w:szCs w:val="22"/>
          <w:lang w:eastAsia="zh-CN"/>
        </w:rPr>
        <w:t>orafenibas</w:t>
      </w:r>
    </w:p>
    <w:p w:rsidR="00EA5A20" w:rsidRPr="00EF20DC" w:rsidRDefault="00EA5A20" w:rsidP="00EA5A20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:rsidR="00EA5A20" w:rsidRPr="00EF20DC" w:rsidRDefault="00EA5A20" w:rsidP="00EA5A20">
      <w:pPr>
        <w:tabs>
          <w:tab w:val="left" w:pos="567"/>
        </w:tabs>
        <w:suppressAutoHyphens/>
        <w:rPr>
          <w:rFonts w:eastAsia="SimSun"/>
          <w:sz w:val="22"/>
          <w:szCs w:val="22"/>
          <w:lang w:eastAsia="zh-CN"/>
        </w:rPr>
      </w:pPr>
      <w:r w:rsidRPr="00EF20DC">
        <w:rPr>
          <w:rFonts w:eastAsia="SimSun"/>
          <w:b/>
          <w:sz w:val="22"/>
          <w:szCs w:val="22"/>
          <w:lang w:eastAsia="zh-CN"/>
        </w:rPr>
        <w:t>Atidžiai perskaitykite visą šį lapelį, prieš pradėdami vartoti vaistą, nes jame pateikiama Jums svarbi informacija.</w:t>
      </w:r>
    </w:p>
    <w:p w:rsidR="00EA5A20" w:rsidRPr="00EF20DC" w:rsidRDefault="00EA5A20" w:rsidP="00EA5A20">
      <w:pPr>
        <w:numPr>
          <w:ilvl w:val="0"/>
          <w:numId w:val="13"/>
        </w:numPr>
        <w:tabs>
          <w:tab w:val="left" w:pos="567"/>
        </w:tabs>
        <w:ind w:left="567" w:hanging="567"/>
        <w:rPr>
          <w:rFonts w:eastAsia="SimSun"/>
          <w:sz w:val="22"/>
          <w:szCs w:val="22"/>
          <w:lang w:eastAsia="zh-CN"/>
        </w:rPr>
      </w:pPr>
      <w:r w:rsidRPr="00EF20DC">
        <w:rPr>
          <w:rFonts w:eastAsia="SimSun"/>
          <w:sz w:val="22"/>
          <w:szCs w:val="22"/>
          <w:lang w:eastAsia="zh-CN"/>
        </w:rPr>
        <w:t xml:space="preserve">Neišmeskite šio lapelio, nes vėl gali prireikti jį perskaityti. </w:t>
      </w:r>
    </w:p>
    <w:p w:rsidR="00EA5A20" w:rsidRPr="00EF20DC" w:rsidRDefault="00EA5A20" w:rsidP="00EA5A20">
      <w:pPr>
        <w:numPr>
          <w:ilvl w:val="0"/>
          <w:numId w:val="13"/>
        </w:numPr>
        <w:tabs>
          <w:tab w:val="left" w:pos="567"/>
        </w:tabs>
        <w:ind w:left="567" w:hanging="567"/>
        <w:rPr>
          <w:rFonts w:eastAsia="SimSun"/>
          <w:sz w:val="22"/>
          <w:szCs w:val="22"/>
          <w:lang w:eastAsia="zh-CN"/>
        </w:rPr>
      </w:pPr>
      <w:r w:rsidRPr="00EF20DC">
        <w:rPr>
          <w:rFonts w:eastAsia="SimSun"/>
          <w:sz w:val="22"/>
          <w:szCs w:val="22"/>
          <w:lang w:eastAsia="zh-CN"/>
        </w:rPr>
        <w:t>Jeigu kiltų daugiau klausimų, kreipkitės į gydytoją arba vaistininką.</w:t>
      </w:r>
    </w:p>
    <w:p w:rsidR="00EA5A20" w:rsidRPr="00EF20DC" w:rsidRDefault="00EA5A20" w:rsidP="00EA5A20">
      <w:pPr>
        <w:numPr>
          <w:ilvl w:val="1"/>
          <w:numId w:val="14"/>
        </w:numPr>
        <w:tabs>
          <w:tab w:val="left" w:pos="567"/>
        </w:tabs>
        <w:ind w:left="567" w:hanging="567"/>
        <w:rPr>
          <w:rFonts w:eastAsia="SimSun"/>
          <w:sz w:val="22"/>
          <w:szCs w:val="22"/>
          <w:lang w:eastAsia="zh-CN"/>
        </w:rPr>
      </w:pPr>
      <w:r w:rsidRPr="00EF20DC">
        <w:rPr>
          <w:rFonts w:eastAsia="SimSun"/>
          <w:sz w:val="22"/>
          <w:szCs w:val="22"/>
          <w:lang w:eastAsia="zh-CN"/>
        </w:rPr>
        <w:t>Šis vaistas skirtas tik Jums, todėl kitiems žmonėms jo duoti negalima. Vaistas gali jiems pakenkti (net tiems, kurių ligos požymiai yra tokie patys kaip Jūsų).</w:t>
      </w:r>
      <w:r w:rsidRPr="00EF20DC">
        <w:rPr>
          <w:rFonts w:eastAsia="Calibri"/>
          <w:sz w:val="22"/>
          <w:szCs w:val="22"/>
        </w:rPr>
        <w:t xml:space="preserve"> </w:t>
      </w:r>
    </w:p>
    <w:p w:rsidR="00EA5A20" w:rsidRPr="00EF20DC" w:rsidRDefault="00EA5A20" w:rsidP="00EA5A20">
      <w:pPr>
        <w:numPr>
          <w:ilvl w:val="1"/>
          <w:numId w:val="14"/>
        </w:numPr>
        <w:tabs>
          <w:tab w:val="left" w:pos="567"/>
        </w:tabs>
        <w:ind w:left="567" w:hanging="567"/>
        <w:rPr>
          <w:rFonts w:eastAsia="SimSun"/>
          <w:sz w:val="22"/>
          <w:szCs w:val="22"/>
          <w:lang w:eastAsia="zh-CN"/>
        </w:rPr>
      </w:pPr>
      <w:r w:rsidRPr="00EF20DC">
        <w:rPr>
          <w:rFonts w:eastAsia="SimSun"/>
          <w:sz w:val="22"/>
          <w:szCs w:val="22"/>
          <w:lang w:eastAsia="zh-CN"/>
        </w:rPr>
        <w:t>Jeigu pasireiškė šalutinis poveikis (net jeigu jis šiame lapelyje nenurodytas), kreipkitės į gydytoją arba vaistininką. Žr. 4 skyrių.</w:t>
      </w:r>
    </w:p>
    <w:p w:rsidR="00EA5A20" w:rsidRPr="00EF20DC" w:rsidRDefault="00EA5A20" w:rsidP="00EA5A20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:rsidR="00EA5A20" w:rsidRPr="00EF20DC" w:rsidRDefault="00EA5A20" w:rsidP="00EA5A20">
      <w:pPr>
        <w:rPr>
          <w:rFonts w:eastAsia="SimSun"/>
          <w:b/>
          <w:sz w:val="22"/>
          <w:szCs w:val="20"/>
        </w:rPr>
      </w:pPr>
      <w:r w:rsidRPr="00EF20DC">
        <w:rPr>
          <w:rFonts w:eastAsia="SimSun"/>
          <w:b/>
          <w:sz w:val="22"/>
          <w:szCs w:val="20"/>
        </w:rPr>
        <w:t>Apie ką rašoma šiame lapelyje?</w:t>
      </w:r>
    </w:p>
    <w:p w:rsidR="00EA5A20" w:rsidRPr="00EF20DC" w:rsidRDefault="00EA5A20" w:rsidP="00EA5A20">
      <w:pPr>
        <w:tabs>
          <w:tab w:val="left" w:pos="567"/>
        </w:tabs>
        <w:spacing w:line="260" w:lineRule="exact"/>
        <w:rPr>
          <w:rFonts w:eastAsia="SimSun"/>
          <w:sz w:val="22"/>
          <w:szCs w:val="22"/>
        </w:rPr>
      </w:pP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sz w:val="22"/>
          <w:szCs w:val="22"/>
          <w:lang w:eastAsia="zh-CN"/>
        </w:rPr>
      </w:pPr>
      <w:r w:rsidRPr="00EF20DC">
        <w:rPr>
          <w:rFonts w:eastAsia="SimSun"/>
          <w:sz w:val="22"/>
          <w:szCs w:val="22"/>
          <w:lang w:eastAsia="zh-CN"/>
        </w:rPr>
        <w:t>1.</w:t>
      </w:r>
      <w:r w:rsidRPr="00EF20DC">
        <w:rPr>
          <w:rFonts w:eastAsia="SimSun"/>
          <w:sz w:val="22"/>
          <w:szCs w:val="22"/>
          <w:lang w:eastAsia="zh-CN"/>
        </w:rPr>
        <w:tab/>
        <w:t xml:space="preserve">Kas yra Sorafenib </w:t>
      </w:r>
      <w:r>
        <w:rPr>
          <w:rFonts w:eastAsia="SimSun"/>
          <w:sz w:val="22"/>
          <w:szCs w:val="22"/>
          <w:lang w:eastAsia="zh-CN"/>
        </w:rPr>
        <w:t>Sandoz</w:t>
      </w:r>
      <w:r w:rsidRPr="00EF20DC">
        <w:rPr>
          <w:rFonts w:eastAsia="SimSun"/>
          <w:sz w:val="22"/>
          <w:szCs w:val="22"/>
          <w:lang w:eastAsia="zh-CN"/>
        </w:rPr>
        <w:t xml:space="preserve"> ir kam jis vartojamas </w:t>
      </w: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sz w:val="22"/>
          <w:szCs w:val="22"/>
          <w:lang w:eastAsia="zh-CN"/>
        </w:rPr>
      </w:pPr>
      <w:r w:rsidRPr="00EF20DC">
        <w:rPr>
          <w:rFonts w:eastAsia="SimSun"/>
          <w:sz w:val="22"/>
          <w:szCs w:val="22"/>
          <w:lang w:eastAsia="zh-CN"/>
        </w:rPr>
        <w:t>2.</w:t>
      </w:r>
      <w:r w:rsidRPr="00EF20DC">
        <w:rPr>
          <w:rFonts w:eastAsia="SimSun"/>
          <w:sz w:val="22"/>
          <w:szCs w:val="22"/>
          <w:lang w:eastAsia="zh-CN"/>
        </w:rPr>
        <w:tab/>
        <w:t xml:space="preserve">Kas žinotina prieš vartojant Sorafenib </w:t>
      </w:r>
      <w:r>
        <w:rPr>
          <w:rFonts w:eastAsia="SimSun"/>
          <w:sz w:val="22"/>
          <w:szCs w:val="22"/>
          <w:lang w:eastAsia="zh-CN"/>
        </w:rPr>
        <w:t>Sandoz</w:t>
      </w:r>
      <w:r w:rsidRPr="00EF20DC">
        <w:rPr>
          <w:rFonts w:eastAsia="SimSun"/>
          <w:sz w:val="22"/>
          <w:szCs w:val="22"/>
          <w:lang w:eastAsia="zh-CN"/>
        </w:rPr>
        <w:t xml:space="preserve"> </w:t>
      </w: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sz w:val="22"/>
          <w:szCs w:val="22"/>
          <w:lang w:eastAsia="zh-CN"/>
        </w:rPr>
      </w:pPr>
      <w:r w:rsidRPr="00EF20DC">
        <w:rPr>
          <w:rFonts w:eastAsia="SimSun"/>
          <w:sz w:val="22"/>
          <w:szCs w:val="22"/>
          <w:lang w:eastAsia="zh-CN"/>
        </w:rPr>
        <w:t>3.</w:t>
      </w:r>
      <w:r w:rsidRPr="00EF20DC">
        <w:rPr>
          <w:rFonts w:eastAsia="SimSun"/>
          <w:sz w:val="22"/>
          <w:szCs w:val="22"/>
          <w:lang w:eastAsia="zh-CN"/>
        </w:rPr>
        <w:tab/>
        <w:t xml:space="preserve">Kaip vartoti Sorafenib </w:t>
      </w:r>
      <w:r>
        <w:rPr>
          <w:rFonts w:eastAsia="SimSun"/>
          <w:sz w:val="22"/>
          <w:szCs w:val="22"/>
          <w:lang w:eastAsia="zh-CN"/>
        </w:rPr>
        <w:t>Sandoz</w:t>
      </w:r>
      <w:r w:rsidRPr="00EF20DC">
        <w:rPr>
          <w:rFonts w:eastAsia="SimSun"/>
          <w:sz w:val="22"/>
          <w:szCs w:val="22"/>
          <w:lang w:eastAsia="zh-CN"/>
        </w:rPr>
        <w:t xml:space="preserve"> </w:t>
      </w: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sz w:val="22"/>
          <w:szCs w:val="22"/>
          <w:lang w:eastAsia="zh-CN"/>
        </w:rPr>
      </w:pPr>
      <w:r w:rsidRPr="00EF20DC">
        <w:rPr>
          <w:rFonts w:eastAsia="SimSun"/>
          <w:sz w:val="22"/>
          <w:szCs w:val="22"/>
          <w:lang w:eastAsia="zh-CN"/>
        </w:rPr>
        <w:t>4.</w:t>
      </w:r>
      <w:r w:rsidRPr="00EF20DC">
        <w:rPr>
          <w:rFonts w:eastAsia="SimSun"/>
          <w:sz w:val="22"/>
          <w:szCs w:val="22"/>
          <w:lang w:eastAsia="zh-CN"/>
        </w:rPr>
        <w:tab/>
        <w:t xml:space="preserve">Galimas šalutinis poveikis </w:t>
      </w: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sz w:val="22"/>
          <w:szCs w:val="22"/>
          <w:lang w:eastAsia="zh-CN"/>
        </w:rPr>
      </w:pPr>
      <w:r w:rsidRPr="00EF20DC">
        <w:rPr>
          <w:rFonts w:eastAsia="SimSun"/>
          <w:sz w:val="22"/>
          <w:szCs w:val="22"/>
          <w:lang w:eastAsia="zh-CN"/>
        </w:rPr>
        <w:t>5.</w:t>
      </w:r>
      <w:r w:rsidRPr="00EF20DC">
        <w:rPr>
          <w:rFonts w:eastAsia="SimSun"/>
          <w:sz w:val="22"/>
          <w:szCs w:val="22"/>
          <w:lang w:eastAsia="zh-CN"/>
        </w:rPr>
        <w:tab/>
        <w:t xml:space="preserve">Kaip laikyti Sorafenib </w:t>
      </w:r>
      <w:r>
        <w:rPr>
          <w:rFonts w:eastAsia="SimSun"/>
          <w:sz w:val="22"/>
          <w:szCs w:val="22"/>
          <w:lang w:eastAsia="zh-CN"/>
        </w:rPr>
        <w:t>Sandoz</w:t>
      </w:r>
      <w:r w:rsidRPr="00EF20DC">
        <w:rPr>
          <w:rFonts w:eastAsia="SimSun"/>
          <w:sz w:val="22"/>
          <w:szCs w:val="22"/>
          <w:lang w:eastAsia="zh-CN"/>
        </w:rPr>
        <w:t xml:space="preserve"> </w:t>
      </w: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sz w:val="22"/>
          <w:szCs w:val="22"/>
          <w:lang w:eastAsia="zh-CN"/>
        </w:rPr>
      </w:pPr>
      <w:r w:rsidRPr="00EF20DC">
        <w:rPr>
          <w:rFonts w:eastAsia="SimSun"/>
          <w:sz w:val="22"/>
          <w:szCs w:val="22"/>
          <w:lang w:eastAsia="zh-CN"/>
        </w:rPr>
        <w:t>6.</w:t>
      </w:r>
      <w:r w:rsidRPr="00EF20DC">
        <w:rPr>
          <w:rFonts w:eastAsia="SimSun"/>
          <w:sz w:val="22"/>
          <w:szCs w:val="22"/>
          <w:lang w:eastAsia="zh-CN"/>
        </w:rPr>
        <w:tab/>
        <w:t>Pakuotės turinys ir kita informacija</w:t>
      </w: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:rsidR="00EA5A20" w:rsidRPr="00EF20DC" w:rsidRDefault="00EA5A20" w:rsidP="00EA5A20">
      <w:pPr>
        <w:keepNext/>
        <w:tabs>
          <w:tab w:val="left" w:pos="567"/>
        </w:tabs>
        <w:jc w:val="both"/>
        <w:outlineLvl w:val="3"/>
        <w:rPr>
          <w:rFonts w:eastAsia="SimSun"/>
          <w:b/>
          <w:sz w:val="22"/>
          <w:szCs w:val="22"/>
        </w:rPr>
      </w:pPr>
      <w:r w:rsidRPr="00EF20DC">
        <w:rPr>
          <w:rFonts w:eastAsia="SimSun"/>
          <w:b/>
          <w:sz w:val="22"/>
          <w:szCs w:val="22"/>
        </w:rPr>
        <w:t>1.</w:t>
      </w:r>
      <w:r w:rsidRPr="00EF20DC">
        <w:rPr>
          <w:rFonts w:eastAsia="SimSun"/>
          <w:b/>
          <w:sz w:val="22"/>
          <w:szCs w:val="22"/>
        </w:rPr>
        <w:tab/>
        <w:t xml:space="preserve">Kas yra Sorafenib </w:t>
      </w:r>
      <w:r>
        <w:rPr>
          <w:rFonts w:eastAsia="SimSun"/>
          <w:b/>
          <w:sz w:val="22"/>
          <w:szCs w:val="22"/>
        </w:rPr>
        <w:t>Sandoz</w:t>
      </w:r>
      <w:r w:rsidRPr="00EF20DC">
        <w:rPr>
          <w:rFonts w:eastAsia="SimSun"/>
          <w:b/>
          <w:sz w:val="22"/>
          <w:szCs w:val="22"/>
        </w:rPr>
        <w:t xml:space="preserve"> ir kam jis vartojamas</w:t>
      </w: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Sorafenib </w:t>
      </w:r>
      <w:r>
        <w:rPr>
          <w:rFonts w:eastAsia="Calibri"/>
          <w:sz w:val="22"/>
          <w:szCs w:val="22"/>
        </w:rPr>
        <w:t xml:space="preserve">Sandoz vartojamas </w:t>
      </w:r>
      <w:r w:rsidRPr="00EF20DC">
        <w:rPr>
          <w:rFonts w:eastAsia="Calibri"/>
          <w:sz w:val="22"/>
          <w:szCs w:val="22"/>
        </w:rPr>
        <w:t>kepenų vėž</w:t>
      </w:r>
      <w:r>
        <w:rPr>
          <w:rFonts w:eastAsia="Calibri"/>
          <w:sz w:val="22"/>
          <w:szCs w:val="22"/>
        </w:rPr>
        <w:t>io</w:t>
      </w:r>
      <w:r w:rsidRPr="00EF20DC">
        <w:rPr>
          <w:rFonts w:eastAsia="Calibri"/>
          <w:sz w:val="22"/>
          <w:szCs w:val="22"/>
        </w:rPr>
        <w:t xml:space="preserve"> (</w:t>
      </w:r>
      <w:r w:rsidRPr="00DE4C51">
        <w:rPr>
          <w:rFonts w:eastAsia="Calibri"/>
          <w:i/>
          <w:sz w:val="22"/>
          <w:szCs w:val="22"/>
        </w:rPr>
        <w:t>kepenų ląstelių karcinomos</w:t>
      </w:r>
      <w:r w:rsidRPr="00EF20DC">
        <w:rPr>
          <w:rFonts w:eastAsia="Calibri"/>
          <w:sz w:val="22"/>
          <w:szCs w:val="22"/>
        </w:rPr>
        <w:t>)</w:t>
      </w:r>
      <w:r>
        <w:rPr>
          <w:rFonts w:eastAsia="Calibri"/>
          <w:sz w:val="22"/>
          <w:szCs w:val="22"/>
        </w:rPr>
        <w:t xml:space="preserve"> gydymui</w:t>
      </w:r>
      <w:r w:rsidRPr="00EF20DC">
        <w:rPr>
          <w:rFonts w:eastAsia="Calibri"/>
          <w:sz w:val="22"/>
          <w:szCs w:val="22"/>
        </w:rPr>
        <w:t xml:space="preserve">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 taip pat </w:t>
      </w:r>
      <w:r>
        <w:rPr>
          <w:rFonts w:eastAsia="Calibri"/>
          <w:sz w:val="22"/>
          <w:szCs w:val="22"/>
        </w:rPr>
        <w:t xml:space="preserve">vartojamas </w:t>
      </w:r>
      <w:r w:rsidRPr="00EF20DC">
        <w:rPr>
          <w:rFonts w:eastAsia="Calibri"/>
          <w:sz w:val="22"/>
          <w:szCs w:val="22"/>
        </w:rPr>
        <w:t>progres</w:t>
      </w:r>
      <w:r>
        <w:rPr>
          <w:rFonts w:eastAsia="Calibri"/>
          <w:sz w:val="22"/>
          <w:szCs w:val="22"/>
        </w:rPr>
        <w:t>avusio</w:t>
      </w:r>
      <w:r w:rsidRPr="00EF20DC">
        <w:rPr>
          <w:rFonts w:eastAsia="Calibri"/>
          <w:sz w:val="22"/>
          <w:szCs w:val="22"/>
        </w:rPr>
        <w:t xml:space="preserve"> inkstų vėž</w:t>
      </w:r>
      <w:r>
        <w:rPr>
          <w:rFonts w:eastAsia="Calibri"/>
          <w:sz w:val="22"/>
          <w:szCs w:val="22"/>
        </w:rPr>
        <w:t>io</w:t>
      </w:r>
      <w:r w:rsidRPr="00EF20DC">
        <w:rPr>
          <w:rFonts w:eastAsia="Calibri"/>
          <w:sz w:val="22"/>
          <w:szCs w:val="22"/>
        </w:rPr>
        <w:t xml:space="preserve"> (progres</w:t>
      </w:r>
      <w:r>
        <w:rPr>
          <w:rFonts w:eastAsia="Calibri"/>
          <w:sz w:val="22"/>
          <w:szCs w:val="22"/>
        </w:rPr>
        <w:t>avusios</w:t>
      </w:r>
      <w:r w:rsidRPr="00EF20DC">
        <w:rPr>
          <w:rFonts w:eastAsia="Calibri"/>
          <w:sz w:val="22"/>
          <w:szCs w:val="22"/>
        </w:rPr>
        <w:t xml:space="preserve"> inkstų ląstelių karcinom</w:t>
      </w:r>
      <w:r>
        <w:rPr>
          <w:rFonts w:eastAsia="Calibri"/>
          <w:sz w:val="22"/>
          <w:szCs w:val="22"/>
        </w:rPr>
        <w:t>os</w:t>
      </w:r>
      <w:r w:rsidRPr="00EF20DC">
        <w:rPr>
          <w:rFonts w:eastAsia="Calibri"/>
          <w:sz w:val="22"/>
          <w:szCs w:val="22"/>
        </w:rPr>
        <w:t>)</w:t>
      </w:r>
      <w:r>
        <w:rPr>
          <w:rFonts w:eastAsia="Calibri"/>
          <w:sz w:val="22"/>
          <w:szCs w:val="22"/>
        </w:rPr>
        <w:t xml:space="preserve"> gydymui</w:t>
      </w:r>
      <w:r w:rsidRPr="00EF20DC">
        <w:rPr>
          <w:rFonts w:eastAsia="Calibri"/>
          <w:sz w:val="22"/>
          <w:szCs w:val="22"/>
        </w:rPr>
        <w:t xml:space="preserve"> tuo atveju, jeigu </w:t>
      </w:r>
      <w:r>
        <w:rPr>
          <w:rFonts w:eastAsia="Calibri"/>
          <w:sz w:val="22"/>
          <w:szCs w:val="22"/>
        </w:rPr>
        <w:t>įprastinis gydymas nepadėjo sustabdyti</w:t>
      </w:r>
      <w:r w:rsidRPr="00EF20DC">
        <w:rPr>
          <w:rFonts w:eastAsia="Calibri"/>
          <w:sz w:val="22"/>
          <w:szCs w:val="22"/>
        </w:rPr>
        <w:t xml:space="preserve"> ligos progresavimo arba yra </w:t>
      </w:r>
      <w:r>
        <w:rPr>
          <w:rFonts w:eastAsia="Calibri"/>
          <w:sz w:val="22"/>
          <w:szCs w:val="22"/>
        </w:rPr>
        <w:t xml:space="preserve">laikomas </w:t>
      </w:r>
      <w:r w:rsidRPr="00EF20DC">
        <w:rPr>
          <w:rFonts w:eastAsia="Calibri"/>
          <w:sz w:val="22"/>
          <w:szCs w:val="22"/>
        </w:rPr>
        <w:t>netinkam</w:t>
      </w:r>
      <w:r>
        <w:rPr>
          <w:rFonts w:eastAsia="Calibri"/>
          <w:sz w:val="22"/>
          <w:szCs w:val="22"/>
        </w:rPr>
        <w:t>u</w:t>
      </w:r>
      <w:r w:rsidRPr="00EF20DC">
        <w:rPr>
          <w:rFonts w:eastAsia="Calibri"/>
          <w:sz w:val="22"/>
          <w:szCs w:val="22"/>
        </w:rPr>
        <w:t xml:space="preserve">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Sorafenib </w:t>
      </w:r>
      <w:r>
        <w:rPr>
          <w:rFonts w:eastAsia="Calibri"/>
          <w:sz w:val="22"/>
          <w:szCs w:val="22"/>
        </w:rPr>
        <w:t>Sandoz</w:t>
      </w:r>
      <w:r>
        <w:rPr>
          <w:rStyle w:val="fontstyle01"/>
        </w:rPr>
        <w:t xml:space="preserve"> vartojamas gydyti nuo skydliaukės vėžio (</w:t>
      </w:r>
      <w:r>
        <w:rPr>
          <w:rStyle w:val="fontstyle21"/>
        </w:rPr>
        <w:t>diferencijuotos skydliaukės karcinomos</w:t>
      </w:r>
      <w:r>
        <w:rPr>
          <w:rStyle w:val="fontstyle01"/>
        </w:rPr>
        <w:t>).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 yra vadinamasis </w:t>
      </w:r>
      <w:r w:rsidRPr="0010181A">
        <w:rPr>
          <w:rFonts w:eastAsia="Calibri"/>
          <w:i/>
          <w:sz w:val="22"/>
          <w:szCs w:val="22"/>
        </w:rPr>
        <w:t>daugelio kinazių inhibitorius</w:t>
      </w:r>
      <w:r w:rsidRPr="00EF20DC">
        <w:rPr>
          <w:rFonts w:eastAsia="Calibri"/>
          <w:sz w:val="22"/>
          <w:szCs w:val="22"/>
        </w:rPr>
        <w:t>. Jis lėtina vėžio ląstelių augimą ir stabdo j</w:t>
      </w:r>
      <w:r>
        <w:rPr>
          <w:rFonts w:eastAsia="Calibri"/>
          <w:sz w:val="22"/>
          <w:szCs w:val="22"/>
        </w:rPr>
        <w:t>ų</w:t>
      </w:r>
      <w:r w:rsidRPr="00EF20DC">
        <w:rPr>
          <w:rFonts w:eastAsia="Calibri"/>
          <w:sz w:val="22"/>
          <w:szCs w:val="22"/>
        </w:rPr>
        <w:t xml:space="preserve"> aprūpinimą krauju, kuris palaiko tokių ląstelių augimą.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keepNext/>
        <w:tabs>
          <w:tab w:val="left" w:pos="567"/>
        </w:tabs>
        <w:jc w:val="both"/>
        <w:outlineLvl w:val="3"/>
        <w:rPr>
          <w:rFonts w:eastAsia="SimSun"/>
          <w:b/>
          <w:sz w:val="22"/>
          <w:szCs w:val="22"/>
        </w:rPr>
      </w:pPr>
      <w:r w:rsidRPr="00EF20DC">
        <w:rPr>
          <w:rFonts w:eastAsia="SimSun"/>
          <w:b/>
          <w:sz w:val="22"/>
          <w:szCs w:val="22"/>
        </w:rPr>
        <w:t>2.</w:t>
      </w:r>
      <w:r w:rsidRPr="00EF20DC">
        <w:rPr>
          <w:rFonts w:eastAsia="SimSun"/>
          <w:b/>
          <w:sz w:val="22"/>
          <w:szCs w:val="22"/>
        </w:rPr>
        <w:tab/>
        <w:t xml:space="preserve">Kas žinotina prieš vartojant Sorafenib </w:t>
      </w:r>
      <w:r>
        <w:rPr>
          <w:rFonts w:eastAsia="SimSun"/>
          <w:b/>
          <w:sz w:val="22"/>
          <w:szCs w:val="22"/>
        </w:rPr>
        <w:t>Sandoz</w:t>
      </w:r>
      <w:r w:rsidRPr="00EF20DC">
        <w:rPr>
          <w:rFonts w:eastAsia="SimSun"/>
          <w:b/>
          <w:sz w:val="22"/>
          <w:szCs w:val="22"/>
        </w:rPr>
        <w:t xml:space="preserve"> </w:t>
      </w: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:rsidR="00EA5A20" w:rsidRPr="00EF20DC" w:rsidRDefault="00EA5A20" w:rsidP="00EA5A20">
      <w:pPr>
        <w:rPr>
          <w:rFonts w:eastAsia="SimSun"/>
          <w:b/>
          <w:sz w:val="22"/>
          <w:szCs w:val="20"/>
        </w:rPr>
      </w:pPr>
      <w:r w:rsidRPr="00EF20DC">
        <w:rPr>
          <w:rFonts w:eastAsia="SimSun"/>
          <w:b/>
          <w:sz w:val="22"/>
          <w:szCs w:val="20"/>
        </w:rPr>
        <w:t xml:space="preserve">Sorafenib </w:t>
      </w:r>
      <w:r>
        <w:rPr>
          <w:rFonts w:eastAsia="SimSun"/>
          <w:b/>
          <w:sz w:val="22"/>
          <w:szCs w:val="20"/>
        </w:rPr>
        <w:t>Sandoz</w:t>
      </w:r>
      <w:r w:rsidRPr="00EF20DC">
        <w:rPr>
          <w:rFonts w:eastAsia="SimSun"/>
          <w:b/>
          <w:sz w:val="22"/>
          <w:szCs w:val="20"/>
        </w:rPr>
        <w:t xml:space="preserve"> vartoti </w:t>
      </w:r>
      <w:r>
        <w:rPr>
          <w:rFonts w:eastAsia="SimSun"/>
          <w:b/>
          <w:sz w:val="22"/>
          <w:szCs w:val="20"/>
        </w:rPr>
        <w:t>draudžiama</w:t>
      </w:r>
      <w:r w:rsidRPr="00EF20DC">
        <w:rPr>
          <w:rFonts w:eastAsia="SimSun"/>
          <w:b/>
          <w:sz w:val="22"/>
          <w:szCs w:val="20"/>
        </w:rPr>
        <w:t>:</w:t>
      </w:r>
    </w:p>
    <w:p w:rsidR="00EA5A20" w:rsidRPr="00EF20DC" w:rsidRDefault="00EA5A20" w:rsidP="00EA5A20">
      <w:pPr>
        <w:numPr>
          <w:ilvl w:val="0"/>
          <w:numId w:val="1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>jeigu yra alergija</w:t>
      </w:r>
      <w:r w:rsidRPr="00EF20DC">
        <w:rPr>
          <w:rFonts w:eastAsia="Calibri"/>
          <w:sz w:val="22"/>
          <w:szCs w:val="22"/>
        </w:rPr>
        <w:t xml:space="preserve"> sorafenibui arba bet kuriai pagalbinei šio vaisto medžiagai (jos išvardytos 6 skyriuje).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b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Įspėjimai ir atsargumo priemonės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Pasitarkite su gydytoju arba vaistininku, prieš pradėdami vartoti 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b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Specialių atsargumo priemonių vartojant Sorafenib </w:t>
      </w:r>
      <w:r>
        <w:rPr>
          <w:rFonts w:eastAsia="Calibri"/>
          <w:b/>
          <w:sz w:val="22"/>
          <w:szCs w:val="22"/>
        </w:rPr>
        <w:t>Sandoz</w:t>
      </w:r>
      <w:r w:rsidRPr="00EF20DC">
        <w:rPr>
          <w:rFonts w:eastAsia="Calibri"/>
          <w:b/>
          <w:sz w:val="22"/>
          <w:szCs w:val="22"/>
        </w:rPr>
        <w:t xml:space="preserve"> reikia</w:t>
      </w:r>
      <w:r>
        <w:rPr>
          <w:rFonts w:eastAsia="Calibri"/>
          <w:b/>
          <w:sz w:val="22"/>
          <w:szCs w:val="22"/>
        </w:rPr>
        <w:t>:</w:t>
      </w:r>
      <w:r w:rsidRPr="00EF20DC">
        <w:rPr>
          <w:rFonts w:eastAsia="Calibri"/>
          <w:b/>
          <w:sz w:val="22"/>
          <w:szCs w:val="22"/>
        </w:rPr>
        <w:t xml:space="preserve"> </w:t>
      </w:r>
    </w:p>
    <w:p w:rsidR="00EA5A20" w:rsidRPr="00EF20DC" w:rsidRDefault="00EA5A20" w:rsidP="00EA5A20">
      <w:pPr>
        <w:numPr>
          <w:ilvl w:val="2"/>
          <w:numId w:val="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>Jeigu atsiranda odos sutrikimų</w:t>
      </w:r>
      <w:r w:rsidRPr="00EF20DC">
        <w:rPr>
          <w:rFonts w:eastAsia="Calibri"/>
          <w:sz w:val="22"/>
          <w:szCs w:val="22"/>
        </w:rPr>
        <w:t xml:space="preserve">. 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 gali sukelti išbėrimą ir odos, ypač plaštakų ir pėdų, reakciją. Tokią reakciją paprastai gali išgydyti Jūsų gydytojas. Jeigu jos nuslopinti nepavyksta, </w:t>
      </w:r>
      <w:r>
        <w:rPr>
          <w:rFonts w:eastAsia="Calibri"/>
          <w:sz w:val="22"/>
          <w:szCs w:val="22"/>
        </w:rPr>
        <w:t xml:space="preserve">Jūsų </w:t>
      </w:r>
      <w:r w:rsidRPr="00EF20DC">
        <w:rPr>
          <w:rFonts w:eastAsia="Calibri"/>
          <w:sz w:val="22"/>
          <w:szCs w:val="22"/>
        </w:rPr>
        <w:t xml:space="preserve">gydytojas gali gydymą </w:t>
      </w:r>
      <w:r>
        <w:rPr>
          <w:rFonts w:eastAsia="Calibri"/>
          <w:sz w:val="22"/>
          <w:szCs w:val="22"/>
        </w:rPr>
        <w:t>laikinai</w:t>
      </w:r>
      <w:r w:rsidRPr="00EF20DC">
        <w:rPr>
          <w:rFonts w:eastAsia="Calibri"/>
          <w:sz w:val="22"/>
          <w:szCs w:val="22"/>
        </w:rPr>
        <w:t xml:space="preserve"> arba visiškai nutraukti. </w:t>
      </w:r>
    </w:p>
    <w:p w:rsidR="00EA5A20" w:rsidRDefault="00EA5A20" w:rsidP="00EA5A20">
      <w:pPr>
        <w:numPr>
          <w:ilvl w:val="2"/>
          <w:numId w:val="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Jeigu </w:t>
      </w:r>
      <w:r>
        <w:rPr>
          <w:rFonts w:eastAsia="Calibri"/>
          <w:b/>
          <w:sz w:val="22"/>
          <w:szCs w:val="22"/>
        </w:rPr>
        <w:t xml:space="preserve">Jūsų </w:t>
      </w:r>
      <w:r w:rsidRPr="00EF20DC">
        <w:rPr>
          <w:rFonts w:eastAsia="Calibri"/>
          <w:b/>
          <w:sz w:val="22"/>
          <w:szCs w:val="22"/>
        </w:rPr>
        <w:t>didelis</w:t>
      </w:r>
      <w:r>
        <w:rPr>
          <w:rFonts w:eastAsia="Calibri"/>
          <w:b/>
          <w:sz w:val="22"/>
          <w:szCs w:val="22"/>
        </w:rPr>
        <w:t xml:space="preserve"> </w:t>
      </w:r>
      <w:r w:rsidRPr="00EF20DC">
        <w:rPr>
          <w:rFonts w:eastAsia="Calibri"/>
          <w:b/>
          <w:sz w:val="22"/>
          <w:szCs w:val="22"/>
        </w:rPr>
        <w:t>kraujospūdis</w:t>
      </w:r>
      <w:r w:rsidRPr="00EF20DC">
        <w:rPr>
          <w:rFonts w:eastAsia="Calibri"/>
          <w:sz w:val="22"/>
          <w:szCs w:val="22"/>
        </w:rPr>
        <w:t xml:space="preserve">. 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 gali padidinti kraujospūdį, todėl </w:t>
      </w:r>
      <w:r>
        <w:rPr>
          <w:rFonts w:eastAsia="Calibri"/>
          <w:sz w:val="22"/>
          <w:szCs w:val="22"/>
        </w:rPr>
        <w:t xml:space="preserve">Jūsų </w:t>
      </w:r>
      <w:r w:rsidRPr="00EF20DC">
        <w:rPr>
          <w:rFonts w:eastAsia="Calibri"/>
          <w:sz w:val="22"/>
          <w:szCs w:val="22"/>
        </w:rPr>
        <w:t xml:space="preserve">gydytojas paprastai jį seks, prireikus skirs kraujospūdį mažinančių vaistų. </w:t>
      </w:r>
    </w:p>
    <w:p w:rsidR="00EA5A20" w:rsidRPr="00EF20DC" w:rsidRDefault="00EA5A20" w:rsidP="00EA5A20">
      <w:pPr>
        <w:numPr>
          <w:ilvl w:val="2"/>
          <w:numId w:val="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lastRenderedPageBreak/>
        <w:t xml:space="preserve">Jeigu Jums </w:t>
      </w:r>
      <w:r>
        <w:rPr>
          <w:rFonts w:eastAsia="Calibri"/>
          <w:b/>
          <w:sz w:val="22"/>
          <w:szCs w:val="22"/>
        </w:rPr>
        <w:t>yra</w:t>
      </w:r>
      <w:r w:rsidRPr="00EF20DC">
        <w:rPr>
          <w:rFonts w:eastAsia="Calibri"/>
          <w:b/>
          <w:sz w:val="22"/>
          <w:szCs w:val="22"/>
        </w:rPr>
        <w:t xml:space="preserve"> arba </w:t>
      </w:r>
      <w:r>
        <w:rPr>
          <w:rFonts w:eastAsia="Calibri"/>
          <w:b/>
          <w:sz w:val="22"/>
          <w:szCs w:val="22"/>
        </w:rPr>
        <w:t>anksčiau</w:t>
      </w:r>
      <w:r w:rsidRPr="00EF20DC">
        <w:rPr>
          <w:rFonts w:eastAsia="Calibri"/>
          <w:b/>
          <w:sz w:val="22"/>
          <w:szCs w:val="22"/>
        </w:rPr>
        <w:t xml:space="preserve"> buvo aneurizma </w:t>
      </w:r>
      <w:r w:rsidRPr="00EF20DC">
        <w:rPr>
          <w:rFonts w:eastAsia="Calibri"/>
          <w:sz w:val="22"/>
          <w:szCs w:val="22"/>
        </w:rPr>
        <w:t xml:space="preserve">(kraujagyslės sienelės išsipūtimas ir susilpnėjimas) arba </w:t>
      </w:r>
      <w:r w:rsidRPr="0010181A">
        <w:rPr>
          <w:rFonts w:eastAsia="Calibri"/>
          <w:b/>
          <w:sz w:val="22"/>
          <w:szCs w:val="22"/>
        </w:rPr>
        <w:t>kraujagyslės sienelės įplyšimas</w:t>
      </w:r>
      <w:r w:rsidRPr="00EF20DC">
        <w:rPr>
          <w:rFonts w:eastAsia="Calibri"/>
          <w:sz w:val="22"/>
          <w:szCs w:val="22"/>
        </w:rPr>
        <w:t>.</w:t>
      </w:r>
    </w:p>
    <w:p w:rsidR="00EA5A20" w:rsidRPr="00EF20DC" w:rsidRDefault="00EA5A20" w:rsidP="00EA5A20">
      <w:pPr>
        <w:numPr>
          <w:ilvl w:val="2"/>
          <w:numId w:val="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>Jeigu sergate cukriniu diabetu</w:t>
      </w:r>
      <w:r w:rsidRPr="00EF20DC">
        <w:rPr>
          <w:rFonts w:eastAsia="Calibri"/>
          <w:sz w:val="22"/>
          <w:szCs w:val="22"/>
        </w:rPr>
        <w:t xml:space="preserve">. Cukriniu diabetu sergančių pacientų gliukozės kiekį kraujyje reikia nuolat </w:t>
      </w:r>
      <w:r>
        <w:rPr>
          <w:rFonts w:eastAsia="Calibri"/>
          <w:sz w:val="22"/>
          <w:szCs w:val="22"/>
        </w:rPr>
        <w:t>tikrinti</w:t>
      </w:r>
      <w:r w:rsidRPr="00EF20DC">
        <w:rPr>
          <w:rFonts w:eastAsia="Calibri"/>
          <w:sz w:val="22"/>
          <w:szCs w:val="22"/>
        </w:rPr>
        <w:t>, kad būtų galima pastebėti, ar nereikia koreguoti vartojamų nuo cukrinio diabeto vaistų dozę ir laiku nustatyti galimo cukraus kiekio sumažėjimo kraujyje riziką.</w:t>
      </w:r>
    </w:p>
    <w:p w:rsidR="00EA5A20" w:rsidRPr="00EF20DC" w:rsidRDefault="00EA5A20" w:rsidP="00EA5A20">
      <w:pPr>
        <w:numPr>
          <w:ilvl w:val="2"/>
          <w:numId w:val="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>Jeigu yra</w:t>
      </w:r>
      <w:r>
        <w:rPr>
          <w:rFonts w:eastAsia="Calibri"/>
          <w:b/>
          <w:sz w:val="22"/>
          <w:szCs w:val="22"/>
        </w:rPr>
        <w:t xml:space="preserve"> bet kokių </w:t>
      </w:r>
      <w:r w:rsidRPr="00EF20DC">
        <w:rPr>
          <w:rFonts w:eastAsia="Calibri"/>
          <w:b/>
          <w:sz w:val="22"/>
          <w:szCs w:val="22"/>
        </w:rPr>
        <w:t>kraujavimo sutrikimų arba vartojate varfarino</w:t>
      </w:r>
      <w:r>
        <w:rPr>
          <w:rFonts w:eastAsia="Calibri"/>
          <w:b/>
          <w:sz w:val="22"/>
          <w:szCs w:val="22"/>
        </w:rPr>
        <w:t>,</w:t>
      </w:r>
      <w:r w:rsidRPr="00EF20DC">
        <w:rPr>
          <w:rFonts w:eastAsia="Calibri"/>
          <w:b/>
          <w:sz w:val="22"/>
          <w:szCs w:val="22"/>
        </w:rPr>
        <w:t xml:space="preserve"> arba fenprokumono</w:t>
      </w:r>
      <w:r w:rsidRPr="00EF20DC">
        <w:rPr>
          <w:rFonts w:eastAsia="Calibri"/>
          <w:sz w:val="22"/>
          <w:szCs w:val="22"/>
        </w:rPr>
        <w:t xml:space="preserve">. Vartojant 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 galima didesnė kraujavimo rizika. Jeigu vartojate varfarino arba fenprokumono (jie skystina kraują, todėl saugo nuo kraujo krešulių </w:t>
      </w:r>
      <w:r>
        <w:rPr>
          <w:rFonts w:eastAsia="Calibri"/>
          <w:sz w:val="22"/>
          <w:szCs w:val="22"/>
        </w:rPr>
        <w:t>susidarymo</w:t>
      </w:r>
      <w:r w:rsidRPr="00EF20DC">
        <w:rPr>
          <w:rFonts w:eastAsia="Calibri"/>
          <w:sz w:val="22"/>
          <w:szCs w:val="22"/>
        </w:rPr>
        <w:t xml:space="preserve">), kraujavimo rizika gali būti didesnė. </w:t>
      </w:r>
    </w:p>
    <w:p w:rsidR="00EA5A20" w:rsidRPr="00EF20DC" w:rsidRDefault="00EA5A20" w:rsidP="00EA5A20">
      <w:pPr>
        <w:numPr>
          <w:ilvl w:val="2"/>
          <w:numId w:val="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Jeigu </w:t>
      </w:r>
      <w:r>
        <w:rPr>
          <w:rFonts w:eastAsia="Calibri"/>
          <w:b/>
          <w:sz w:val="22"/>
          <w:szCs w:val="22"/>
        </w:rPr>
        <w:t xml:space="preserve">Jums </w:t>
      </w:r>
      <w:r w:rsidRPr="00EF20DC">
        <w:rPr>
          <w:rFonts w:eastAsia="Calibri"/>
          <w:b/>
          <w:sz w:val="22"/>
          <w:szCs w:val="22"/>
        </w:rPr>
        <w:t>atsiranda krūtinės skausmas arba širdies sutrikimų</w:t>
      </w:r>
      <w:r w:rsidRPr="00EF20DC">
        <w:rPr>
          <w:rFonts w:eastAsia="Calibri"/>
          <w:sz w:val="22"/>
          <w:szCs w:val="22"/>
        </w:rPr>
        <w:t xml:space="preserve">. </w:t>
      </w:r>
      <w:r>
        <w:rPr>
          <w:rFonts w:eastAsia="Calibri"/>
          <w:sz w:val="22"/>
          <w:szCs w:val="22"/>
        </w:rPr>
        <w:t>Jūsų g</w:t>
      </w:r>
      <w:r w:rsidRPr="00EF20DC">
        <w:rPr>
          <w:rFonts w:eastAsia="Calibri"/>
          <w:sz w:val="22"/>
          <w:szCs w:val="22"/>
        </w:rPr>
        <w:t xml:space="preserve">ydytojas gali </w:t>
      </w:r>
      <w:r>
        <w:rPr>
          <w:rFonts w:eastAsia="Calibri"/>
          <w:sz w:val="22"/>
          <w:szCs w:val="22"/>
        </w:rPr>
        <w:t>nuspręsti vaisto</w:t>
      </w:r>
      <w:r w:rsidRPr="00EF20DC">
        <w:rPr>
          <w:rFonts w:eastAsia="Calibri"/>
          <w:sz w:val="22"/>
          <w:szCs w:val="22"/>
        </w:rPr>
        <w:t xml:space="preserve"> vartojimą sustabdyti arba visiškai nutraukti. </w:t>
      </w:r>
    </w:p>
    <w:p w:rsidR="00EA5A20" w:rsidRPr="00EF20DC" w:rsidRDefault="00EA5A20" w:rsidP="00EA5A20">
      <w:pPr>
        <w:numPr>
          <w:ilvl w:val="2"/>
          <w:numId w:val="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>Jeigu yra širdies veiklos sutrikimas</w:t>
      </w:r>
      <w:r w:rsidRPr="00EF20DC">
        <w:rPr>
          <w:rFonts w:eastAsia="Calibri"/>
          <w:sz w:val="22"/>
          <w:szCs w:val="22"/>
        </w:rPr>
        <w:t xml:space="preserve">, pvz., nenormalus elektrinis signalas, vadinamas „QT intervalo pailgėjimu“. </w:t>
      </w:r>
    </w:p>
    <w:p w:rsidR="00EA5A20" w:rsidRDefault="00EA5A20" w:rsidP="00EA5A20">
      <w:pPr>
        <w:numPr>
          <w:ilvl w:val="2"/>
          <w:numId w:val="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Jeigu </w:t>
      </w:r>
      <w:r>
        <w:rPr>
          <w:rFonts w:eastAsia="Calibri"/>
          <w:b/>
          <w:sz w:val="22"/>
          <w:szCs w:val="22"/>
        </w:rPr>
        <w:t xml:space="preserve">Jums </w:t>
      </w:r>
      <w:r w:rsidRPr="00EF20DC">
        <w:rPr>
          <w:rFonts w:eastAsia="Calibri"/>
          <w:b/>
          <w:sz w:val="22"/>
          <w:szCs w:val="22"/>
        </w:rPr>
        <w:t>bus atliekama arba neseniai buvo atlikta operacija</w:t>
      </w:r>
      <w:r w:rsidRPr="00EF20DC">
        <w:rPr>
          <w:rFonts w:eastAsia="Calibri"/>
          <w:sz w:val="22"/>
          <w:szCs w:val="22"/>
        </w:rPr>
        <w:t xml:space="preserve">. 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 gali daryti įtaką žaizdų gijimui. Prieš operaciją </w:t>
      </w:r>
      <w:r>
        <w:rPr>
          <w:rFonts w:eastAsia="Calibri"/>
          <w:sz w:val="22"/>
          <w:szCs w:val="22"/>
        </w:rPr>
        <w:t xml:space="preserve">paprastai </w:t>
      </w:r>
      <w:r w:rsidRPr="00EF20DC">
        <w:rPr>
          <w:rFonts w:eastAsia="Calibri"/>
          <w:sz w:val="22"/>
          <w:szCs w:val="22"/>
        </w:rPr>
        <w:t xml:space="preserve">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 vartojimą </w:t>
      </w:r>
      <w:r>
        <w:rPr>
          <w:rFonts w:eastAsia="Calibri"/>
          <w:sz w:val="22"/>
          <w:szCs w:val="22"/>
        </w:rPr>
        <w:t xml:space="preserve">reikės </w:t>
      </w:r>
      <w:r w:rsidRPr="00EF20DC">
        <w:rPr>
          <w:rFonts w:eastAsia="Calibri"/>
          <w:sz w:val="22"/>
          <w:szCs w:val="22"/>
        </w:rPr>
        <w:t xml:space="preserve">nutraukti. </w:t>
      </w:r>
      <w:r>
        <w:rPr>
          <w:rFonts w:eastAsia="Calibri"/>
          <w:sz w:val="22"/>
          <w:szCs w:val="22"/>
        </w:rPr>
        <w:br/>
      </w:r>
      <w:r w:rsidRPr="00744E57">
        <w:rPr>
          <w:rFonts w:eastAsia="Calibri"/>
          <w:sz w:val="22"/>
          <w:szCs w:val="22"/>
        </w:rPr>
        <w:t>Jūsų gydytojas nuspręs, kada gydymą šiuo vaistu bus galima atnaujinti</w:t>
      </w:r>
      <w:r>
        <w:rPr>
          <w:rFonts w:eastAsia="Calibri"/>
          <w:sz w:val="22"/>
          <w:szCs w:val="22"/>
        </w:rPr>
        <w:t>.</w:t>
      </w:r>
    </w:p>
    <w:p w:rsidR="00EA5A20" w:rsidRPr="00EF20DC" w:rsidRDefault="00EA5A20" w:rsidP="00EA5A20">
      <w:pPr>
        <w:numPr>
          <w:ilvl w:val="2"/>
          <w:numId w:val="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>Jeigu Jūs gydomas irinotekanu arba docetakseliu</w:t>
      </w:r>
      <w:r w:rsidRPr="00EF20DC">
        <w:rPr>
          <w:rFonts w:eastAsia="Calibri"/>
          <w:sz w:val="22"/>
          <w:szCs w:val="22"/>
        </w:rPr>
        <w:t xml:space="preserve">, kurie </w:t>
      </w:r>
      <w:r>
        <w:rPr>
          <w:rFonts w:eastAsia="Calibri"/>
          <w:sz w:val="22"/>
          <w:szCs w:val="22"/>
        </w:rPr>
        <w:t>taip pat</w:t>
      </w:r>
      <w:r w:rsidRPr="00EF20DC">
        <w:rPr>
          <w:rFonts w:eastAsia="Calibri"/>
          <w:sz w:val="22"/>
          <w:szCs w:val="22"/>
        </w:rPr>
        <w:t xml:space="preserve"> yra vaistai nuo vėžio. </w:t>
      </w:r>
      <w:r>
        <w:rPr>
          <w:rFonts w:eastAsia="Calibri"/>
          <w:sz w:val="22"/>
          <w:szCs w:val="22"/>
        </w:rPr>
        <w:br/>
      </w:r>
      <w:r w:rsidRPr="00EF20DC">
        <w:rPr>
          <w:rFonts w:eastAsia="Calibri"/>
          <w:sz w:val="22"/>
          <w:szCs w:val="22"/>
        </w:rPr>
        <w:t xml:space="preserve">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 gali stiprinti šių </w:t>
      </w:r>
      <w:r>
        <w:rPr>
          <w:rFonts w:eastAsia="Calibri"/>
          <w:sz w:val="22"/>
          <w:szCs w:val="22"/>
        </w:rPr>
        <w:t>vaistų</w:t>
      </w:r>
      <w:r w:rsidRPr="00EF20DC">
        <w:rPr>
          <w:rFonts w:eastAsia="Calibri"/>
          <w:sz w:val="22"/>
          <w:szCs w:val="22"/>
        </w:rPr>
        <w:t xml:space="preserve"> poveikį, ypač šalutinį. </w:t>
      </w:r>
    </w:p>
    <w:p w:rsidR="00EA5A20" w:rsidRPr="00EF20DC" w:rsidRDefault="00EA5A20" w:rsidP="00EA5A20">
      <w:pPr>
        <w:numPr>
          <w:ilvl w:val="2"/>
          <w:numId w:val="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>Jeigu vartojate neomicin</w:t>
      </w:r>
      <w:r>
        <w:rPr>
          <w:rFonts w:eastAsia="Calibri"/>
          <w:b/>
          <w:sz w:val="22"/>
          <w:szCs w:val="22"/>
        </w:rPr>
        <w:t>o</w:t>
      </w:r>
      <w:r w:rsidRPr="00EF20DC">
        <w:rPr>
          <w:rFonts w:eastAsia="Calibri"/>
          <w:b/>
          <w:sz w:val="22"/>
          <w:szCs w:val="22"/>
        </w:rPr>
        <w:t xml:space="preserve"> ar kit</w:t>
      </w:r>
      <w:r>
        <w:rPr>
          <w:rFonts w:eastAsia="Calibri"/>
          <w:b/>
          <w:sz w:val="22"/>
          <w:szCs w:val="22"/>
        </w:rPr>
        <w:t>ų</w:t>
      </w:r>
      <w:r w:rsidRPr="00EF20DC">
        <w:rPr>
          <w:rFonts w:eastAsia="Calibri"/>
          <w:b/>
          <w:sz w:val="22"/>
          <w:szCs w:val="22"/>
        </w:rPr>
        <w:t xml:space="preserve"> antibiotik</w:t>
      </w:r>
      <w:r>
        <w:rPr>
          <w:rFonts w:eastAsia="Calibri"/>
          <w:b/>
          <w:sz w:val="22"/>
          <w:szCs w:val="22"/>
        </w:rPr>
        <w:t>ų</w:t>
      </w:r>
      <w:r w:rsidRPr="00EF20DC">
        <w:rPr>
          <w:rFonts w:eastAsia="Calibri"/>
          <w:sz w:val="22"/>
          <w:szCs w:val="22"/>
        </w:rPr>
        <w:t xml:space="preserve">. 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 poveikis gali būti sumažėjęs. </w:t>
      </w:r>
    </w:p>
    <w:p w:rsidR="00EA5A20" w:rsidRPr="00EF20DC" w:rsidRDefault="00EA5A20" w:rsidP="00EA5A20">
      <w:pPr>
        <w:numPr>
          <w:ilvl w:val="2"/>
          <w:numId w:val="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>Jeigu yra sunkus kepenų funkcijos sutrikimas</w:t>
      </w:r>
      <w:r w:rsidRPr="00EF20DC">
        <w:rPr>
          <w:rFonts w:eastAsia="Calibri"/>
          <w:sz w:val="22"/>
          <w:szCs w:val="22"/>
        </w:rPr>
        <w:t xml:space="preserve">. Tokiu atveju gali pasireikšti sunkesnis šalutinis 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 poveikis. </w:t>
      </w:r>
    </w:p>
    <w:p w:rsidR="00EA5A20" w:rsidRPr="00EF20DC" w:rsidRDefault="00EA5A20" w:rsidP="00EA5A20">
      <w:pPr>
        <w:numPr>
          <w:ilvl w:val="2"/>
          <w:numId w:val="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Jeigu yra </w:t>
      </w:r>
      <w:r>
        <w:rPr>
          <w:rFonts w:eastAsia="Calibri"/>
          <w:b/>
          <w:sz w:val="22"/>
          <w:szCs w:val="22"/>
        </w:rPr>
        <w:t xml:space="preserve">susilpnėjusi Jūsų </w:t>
      </w:r>
      <w:r w:rsidRPr="00EF20DC">
        <w:rPr>
          <w:rFonts w:eastAsia="Calibri"/>
          <w:b/>
          <w:sz w:val="22"/>
          <w:szCs w:val="22"/>
        </w:rPr>
        <w:t>inkstų funkcij</w:t>
      </w:r>
      <w:r>
        <w:rPr>
          <w:rFonts w:eastAsia="Calibri"/>
          <w:b/>
          <w:sz w:val="22"/>
          <w:szCs w:val="22"/>
        </w:rPr>
        <w:t>a</w:t>
      </w:r>
      <w:r w:rsidRPr="00EF20DC">
        <w:rPr>
          <w:rFonts w:eastAsia="Calibri"/>
          <w:sz w:val="22"/>
          <w:szCs w:val="22"/>
        </w:rPr>
        <w:t xml:space="preserve">. Jūsų gydytojas </w:t>
      </w:r>
      <w:r>
        <w:rPr>
          <w:rFonts w:eastAsia="Calibri"/>
          <w:sz w:val="22"/>
          <w:szCs w:val="22"/>
        </w:rPr>
        <w:t>tikrins</w:t>
      </w:r>
      <w:r w:rsidRPr="00EF20DC">
        <w:rPr>
          <w:rFonts w:eastAsia="Calibri"/>
          <w:sz w:val="22"/>
          <w:szCs w:val="22"/>
        </w:rPr>
        <w:t xml:space="preserve"> Jūsų skysči</w:t>
      </w:r>
      <w:r>
        <w:rPr>
          <w:rFonts w:eastAsia="Calibri"/>
          <w:sz w:val="22"/>
          <w:szCs w:val="22"/>
        </w:rPr>
        <w:t>o</w:t>
      </w:r>
      <w:r w:rsidRPr="00EF20DC">
        <w:rPr>
          <w:rFonts w:eastAsia="Calibri"/>
          <w:sz w:val="22"/>
          <w:szCs w:val="22"/>
        </w:rPr>
        <w:t xml:space="preserve"> ir elektrolitų pusiausvyrą. </w:t>
      </w:r>
    </w:p>
    <w:p w:rsidR="00EA5A20" w:rsidRPr="00EF20DC" w:rsidRDefault="00EA5A20" w:rsidP="00EA5A20">
      <w:pPr>
        <w:numPr>
          <w:ilvl w:val="2"/>
          <w:numId w:val="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Vaisingumas</w:t>
      </w:r>
      <w:r w:rsidRPr="00EF20DC">
        <w:rPr>
          <w:rFonts w:eastAsia="Calibri"/>
          <w:sz w:val="22"/>
          <w:szCs w:val="22"/>
        </w:rPr>
        <w:t xml:space="preserve">. 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 gali mažinti vyrų ir moterų vaisingumą. Jeigu dėl to nerimau</w:t>
      </w:r>
      <w:r>
        <w:rPr>
          <w:rFonts w:eastAsia="Calibri"/>
          <w:sz w:val="22"/>
          <w:szCs w:val="22"/>
        </w:rPr>
        <w:t>jate</w:t>
      </w:r>
      <w:r w:rsidRPr="00EF20DC">
        <w:rPr>
          <w:rFonts w:eastAsia="Calibri"/>
          <w:sz w:val="22"/>
          <w:szCs w:val="22"/>
        </w:rPr>
        <w:t xml:space="preserve">, pasikalbėkite su </w:t>
      </w:r>
      <w:r>
        <w:rPr>
          <w:rFonts w:eastAsia="Calibri"/>
          <w:sz w:val="22"/>
          <w:szCs w:val="22"/>
        </w:rPr>
        <w:t xml:space="preserve">savo </w:t>
      </w:r>
      <w:r w:rsidRPr="00EF20DC">
        <w:rPr>
          <w:rFonts w:eastAsia="Calibri"/>
          <w:sz w:val="22"/>
          <w:szCs w:val="22"/>
        </w:rPr>
        <w:t xml:space="preserve">gydytoju. </w:t>
      </w:r>
    </w:p>
    <w:p w:rsidR="00EA5A20" w:rsidRDefault="00EA5A20" w:rsidP="00EA5A20">
      <w:pPr>
        <w:numPr>
          <w:ilvl w:val="2"/>
          <w:numId w:val="2"/>
        </w:numPr>
        <w:spacing w:line="259" w:lineRule="auto"/>
        <w:ind w:left="562" w:hanging="562"/>
        <w:contextualSpacing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S</w:t>
      </w:r>
      <w:r w:rsidRPr="00EF20DC">
        <w:rPr>
          <w:rFonts w:eastAsia="Calibri"/>
          <w:b/>
          <w:sz w:val="22"/>
          <w:szCs w:val="22"/>
        </w:rPr>
        <w:t>kylės žarnų sienelėje</w:t>
      </w:r>
      <w:r w:rsidRPr="00EF20DC">
        <w:rPr>
          <w:rFonts w:eastAsia="Calibri"/>
          <w:sz w:val="22"/>
          <w:szCs w:val="22"/>
        </w:rPr>
        <w:t xml:space="preserve"> (virškinimo trakto prakiurimas) (žr. 4 skyrių „Galimas šalutinis poveikis“). Tokiu atveju </w:t>
      </w:r>
      <w:r>
        <w:rPr>
          <w:rFonts w:eastAsia="Calibri"/>
          <w:sz w:val="22"/>
          <w:szCs w:val="22"/>
        </w:rPr>
        <w:t xml:space="preserve">Jūsų </w:t>
      </w:r>
      <w:r w:rsidRPr="00EF20DC">
        <w:rPr>
          <w:rFonts w:eastAsia="Calibri"/>
          <w:sz w:val="22"/>
          <w:szCs w:val="22"/>
        </w:rPr>
        <w:t xml:space="preserve">gydytojas nutrauks gydymą. </w:t>
      </w:r>
    </w:p>
    <w:p w:rsidR="00EA5A20" w:rsidRPr="006D4AC3" w:rsidRDefault="00EA5A20" w:rsidP="00EA5A20">
      <w:pPr>
        <w:pStyle w:val="Sraopastraipa"/>
        <w:numPr>
          <w:ilvl w:val="0"/>
          <w:numId w:val="2"/>
        </w:numPr>
        <w:ind w:left="540" w:hanging="540"/>
        <w:rPr>
          <w:rFonts w:ascii="TimesNewRomanPSMT" w:hAnsi="TimesNewRomanPSMT"/>
          <w:color w:val="000000"/>
          <w:sz w:val="22"/>
          <w:szCs w:val="22"/>
        </w:rPr>
      </w:pPr>
      <w:r w:rsidRPr="006D4AC3">
        <w:rPr>
          <w:rFonts w:ascii="TimesNewRomanPS-BoldMT" w:hAnsi="TimesNewRomanPS-BoldMT"/>
          <w:b/>
          <w:bCs/>
          <w:color w:val="000000"/>
          <w:sz w:val="22"/>
          <w:szCs w:val="22"/>
        </w:rPr>
        <w:t>Jeigu sergate skydliauk</w:t>
      </w:r>
      <w:r w:rsidRPr="006D4AC3">
        <w:rPr>
          <w:rFonts w:ascii="TimesNewRomanPS-BoldMT" w:hAnsi="TimesNewRomanPS-BoldMT" w:hint="eastAsia"/>
          <w:b/>
          <w:bCs/>
          <w:color w:val="000000"/>
          <w:sz w:val="22"/>
          <w:szCs w:val="22"/>
        </w:rPr>
        <w:t>ė</w:t>
      </w:r>
      <w:r w:rsidRPr="006D4AC3">
        <w:rPr>
          <w:rFonts w:ascii="TimesNewRomanPS-BoldMT" w:hAnsi="TimesNewRomanPS-BoldMT"/>
          <w:b/>
          <w:bCs/>
          <w:color w:val="000000"/>
          <w:sz w:val="22"/>
          <w:szCs w:val="22"/>
        </w:rPr>
        <w:t>s v</w:t>
      </w:r>
      <w:r w:rsidRPr="006D4AC3">
        <w:rPr>
          <w:rFonts w:ascii="TimesNewRomanPS-BoldMT" w:hAnsi="TimesNewRomanPS-BoldMT" w:hint="eastAsia"/>
          <w:b/>
          <w:bCs/>
          <w:color w:val="000000"/>
          <w:sz w:val="22"/>
          <w:szCs w:val="22"/>
        </w:rPr>
        <w:t>ėž</w:t>
      </w:r>
      <w:r w:rsidRPr="006D4AC3">
        <w:rPr>
          <w:rFonts w:ascii="TimesNewRomanPS-BoldMT" w:hAnsi="TimesNewRomanPS-BoldMT"/>
          <w:b/>
          <w:bCs/>
          <w:color w:val="000000"/>
          <w:sz w:val="22"/>
          <w:szCs w:val="22"/>
        </w:rPr>
        <w:t xml:space="preserve">iu, </w:t>
      </w:r>
      <w:r w:rsidRPr="006D4AC3">
        <w:rPr>
          <w:rFonts w:ascii="TimesNewRomanPSMT" w:hAnsi="TimesNewRomanPSMT"/>
          <w:color w:val="000000"/>
          <w:sz w:val="22"/>
          <w:szCs w:val="22"/>
        </w:rPr>
        <w:t>gydytojas steb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ė</w:t>
      </w:r>
      <w:r w:rsidRPr="006D4AC3">
        <w:rPr>
          <w:rFonts w:ascii="TimesNewRomanPSMT" w:hAnsi="TimesNewRomanPSMT"/>
          <w:color w:val="000000"/>
          <w:sz w:val="22"/>
          <w:szCs w:val="22"/>
        </w:rPr>
        <w:t>s kalcio ir skydliauk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ė</w:t>
      </w:r>
      <w:r w:rsidRPr="006D4AC3">
        <w:rPr>
          <w:rFonts w:ascii="TimesNewRomanPSMT" w:hAnsi="TimesNewRomanPSMT"/>
          <w:color w:val="000000"/>
          <w:sz w:val="22"/>
          <w:szCs w:val="22"/>
        </w:rPr>
        <w:t>s hormon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ų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 kiek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į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 kraujyje.</w:t>
      </w:r>
    </w:p>
    <w:p w:rsidR="00EA5A20" w:rsidRPr="006D4AC3" w:rsidRDefault="00EA5A20" w:rsidP="00EA5A20">
      <w:pPr>
        <w:pStyle w:val="Sraopastraipa"/>
        <w:numPr>
          <w:ilvl w:val="0"/>
          <w:numId w:val="2"/>
        </w:numPr>
        <w:ind w:left="540" w:hanging="540"/>
        <w:rPr>
          <w:rFonts w:eastAsia="Calibri"/>
          <w:sz w:val="22"/>
          <w:szCs w:val="22"/>
        </w:rPr>
      </w:pPr>
      <w:r w:rsidRPr="006D4AC3">
        <w:rPr>
          <w:rFonts w:ascii="TimesNewRomanPS-BoldMT" w:hAnsi="TimesNewRomanPS-BoldMT"/>
          <w:b/>
          <w:bCs/>
          <w:color w:val="000000"/>
          <w:sz w:val="22"/>
          <w:szCs w:val="22"/>
        </w:rPr>
        <w:t>Jeigu pasireik</w:t>
      </w:r>
      <w:r w:rsidRPr="006D4AC3">
        <w:rPr>
          <w:rFonts w:ascii="TimesNewRomanPS-BoldMT" w:hAnsi="TimesNewRomanPS-BoldMT" w:hint="eastAsia"/>
          <w:b/>
          <w:bCs/>
          <w:color w:val="000000"/>
          <w:sz w:val="22"/>
          <w:szCs w:val="22"/>
        </w:rPr>
        <w:t>š</w:t>
      </w:r>
      <w:r w:rsidRPr="006D4AC3">
        <w:rPr>
          <w:rFonts w:ascii="TimesNewRomanPS-BoldMT" w:hAnsi="TimesNewRomanPS-BoldMT"/>
          <w:b/>
          <w:bCs/>
          <w:color w:val="000000"/>
          <w:sz w:val="22"/>
          <w:szCs w:val="22"/>
        </w:rPr>
        <w:t>t</w:t>
      </w:r>
      <w:r w:rsidRPr="006D4AC3">
        <w:rPr>
          <w:rFonts w:ascii="TimesNewRomanPS-BoldMT" w:hAnsi="TimesNewRomanPS-BoldMT" w:hint="eastAsia"/>
          <w:b/>
          <w:bCs/>
          <w:color w:val="000000"/>
          <w:sz w:val="22"/>
          <w:szCs w:val="22"/>
        </w:rPr>
        <w:t>ų</w:t>
      </w:r>
      <w:r w:rsidRPr="006D4AC3">
        <w:rPr>
          <w:rFonts w:ascii="TimesNewRomanPS-BoldMT" w:hAnsi="TimesNewRomanPS-BoldMT"/>
          <w:b/>
          <w:bCs/>
          <w:color w:val="000000"/>
          <w:sz w:val="22"/>
          <w:szCs w:val="22"/>
        </w:rPr>
        <w:t xml:space="preserve"> toliau nurodyti simptomai, nedelsdami kreipkit</w:t>
      </w:r>
      <w:r w:rsidRPr="006D4AC3">
        <w:rPr>
          <w:rFonts w:ascii="TimesNewRomanPS-BoldMT" w:hAnsi="TimesNewRomanPS-BoldMT" w:hint="eastAsia"/>
          <w:b/>
          <w:bCs/>
          <w:color w:val="000000"/>
          <w:sz w:val="22"/>
          <w:szCs w:val="22"/>
        </w:rPr>
        <w:t>ė</w:t>
      </w:r>
      <w:r w:rsidRPr="006D4AC3">
        <w:rPr>
          <w:rFonts w:ascii="TimesNewRomanPS-BoldMT" w:hAnsi="TimesNewRomanPS-BoldMT"/>
          <w:b/>
          <w:bCs/>
          <w:color w:val="000000"/>
          <w:sz w:val="22"/>
          <w:szCs w:val="22"/>
        </w:rPr>
        <w:t xml:space="preserve">s </w:t>
      </w:r>
      <w:r w:rsidRPr="006D4AC3">
        <w:rPr>
          <w:rFonts w:ascii="TimesNewRomanPS-BoldMT" w:hAnsi="TimesNewRomanPS-BoldMT" w:hint="eastAsia"/>
          <w:b/>
          <w:bCs/>
          <w:color w:val="000000"/>
          <w:sz w:val="22"/>
          <w:szCs w:val="22"/>
        </w:rPr>
        <w:t>į</w:t>
      </w:r>
      <w:r w:rsidRPr="006D4AC3">
        <w:rPr>
          <w:rFonts w:ascii="TimesNewRomanPS-BoldMT" w:hAnsi="TimesNewRomanPS-BoldMT"/>
          <w:b/>
          <w:bCs/>
          <w:color w:val="000000"/>
          <w:sz w:val="22"/>
          <w:szCs w:val="22"/>
        </w:rPr>
        <w:t xml:space="preserve"> gydytoj</w:t>
      </w:r>
      <w:r w:rsidRPr="006D4AC3">
        <w:rPr>
          <w:rFonts w:ascii="TimesNewRomanPS-BoldMT" w:hAnsi="TimesNewRomanPS-BoldMT" w:hint="eastAsia"/>
          <w:b/>
          <w:bCs/>
          <w:color w:val="000000"/>
          <w:sz w:val="22"/>
          <w:szCs w:val="22"/>
        </w:rPr>
        <w:t>ą</w:t>
      </w:r>
      <w:r w:rsidRPr="006D4AC3">
        <w:rPr>
          <w:rFonts w:ascii="TimesNewRomanPS-BoldMT" w:hAnsi="TimesNewRomanPS-BoldMT"/>
          <w:b/>
          <w:bCs/>
          <w:color w:val="000000"/>
          <w:sz w:val="22"/>
          <w:szCs w:val="22"/>
        </w:rPr>
        <w:t>, nes tai gali b</w:t>
      </w:r>
      <w:r w:rsidRPr="006D4AC3">
        <w:rPr>
          <w:rFonts w:ascii="TimesNewRomanPS-BoldMT" w:hAnsi="TimesNewRomanPS-BoldMT" w:hint="eastAsia"/>
          <w:b/>
          <w:bCs/>
          <w:color w:val="000000"/>
          <w:sz w:val="22"/>
          <w:szCs w:val="22"/>
        </w:rPr>
        <w:t>ū</w:t>
      </w:r>
      <w:r w:rsidRPr="006D4AC3">
        <w:rPr>
          <w:rFonts w:ascii="TimesNewRomanPS-BoldMT" w:hAnsi="TimesNewRomanPS-BoldMT"/>
          <w:b/>
          <w:bCs/>
          <w:color w:val="000000"/>
          <w:sz w:val="22"/>
          <w:szCs w:val="22"/>
        </w:rPr>
        <w:t>ti gyvybei pavojinga b</w:t>
      </w:r>
      <w:r w:rsidRPr="006D4AC3">
        <w:rPr>
          <w:rFonts w:ascii="TimesNewRomanPS-BoldMT" w:hAnsi="TimesNewRomanPS-BoldMT" w:hint="eastAsia"/>
          <w:b/>
          <w:bCs/>
          <w:color w:val="000000"/>
          <w:sz w:val="22"/>
          <w:szCs w:val="22"/>
        </w:rPr>
        <w:t>ū</w:t>
      </w:r>
      <w:r w:rsidRPr="006D4AC3">
        <w:rPr>
          <w:rFonts w:ascii="TimesNewRomanPS-BoldMT" w:hAnsi="TimesNewRomanPS-BoldMT"/>
          <w:b/>
          <w:bCs/>
          <w:color w:val="000000"/>
          <w:sz w:val="22"/>
          <w:szCs w:val="22"/>
        </w:rPr>
        <w:t>kl</w:t>
      </w:r>
      <w:r w:rsidRPr="006D4AC3">
        <w:rPr>
          <w:rFonts w:ascii="TimesNewRomanPS-BoldMT" w:hAnsi="TimesNewRomanPS-BoldMT" w:hint="eastAsia"/>
          <w:b/>
          <w:bCs/>
          <w:color w:val="000000"/>
          <w:sz w:val="22"/>
          <w:szCs w:val="22"/>
        </w:rPr>
        <w:t>ė</w:t>
      </w:r>
      <w:r w:rsidRPr="006D4AC3">
        <w:rPr>
          <w:rFonts w:ascii="TimesNewRomanPS-BoldMT" w:hAnsi="TimesNewRomanPS-BoldMT"/>
          <w:b/>
          <w:bCs/>
          <w:color w:val="000000"/>
          <w:sz w:val="22"/>
          <w:szCs w:val="22"/>
        </w:rPr>
        <w:t xml:space="preserve">: 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pykinimas, dusulys, nereguliarus 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š</w:t>
      </w:r>
      <w:r w:rsidRPr="006D4AC3">
        <w:rPr>
          <w:rFonts w:ascii="TimesNewRomanPSMT" w:hAnsi="TimesNewRomanPSMT"/>
          <w:color w:val="000000"/>
          <w:sz w:val="22"/>
          <w:szCs w:val="22"/>
        </w:rPr>
        <w:t>irdies plakimas, raumen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ų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 spazmai, traukuliai, 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š</w:t>
      </w:r>
      <w:r w:rsidRPr="006D4AC3">
        <w:rPr>
          <w:rFonts w:ascii="TimesNewRomanPSMT" w:hAnsi="TimesNewRomanPSMT"/>
          <w:color w:val="000000"/>
          <w:sz w:val="22"/>
          <w:szCs w:val="22"/>
        </w:rPr>
        <w:t>lapimo drumstis ir nuovargis. Juos gali sukelti keletas v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ėžį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 gydant pasirei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š</w:t>
      </w:r>
      <w:r w:rsidRPr="006D4AC3">
        <w:rPr>
          <w:rFonts w:ascii="TimesNewRomanPSMT" w:hAnsi="TimesNewRomanPSMT"/>
          <w:color w:val="000000"/>
          <w:sz w:val="22"/>
          <w:szCs w:val="22"/>
        </w:rPr>
        <w:t>kian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č</w:t>
      </w:r>
      <w:r w:rsidRPr="006D4AC3">
        <w:rPr>
          <w:rFonts w:ascii="TimesNewRomanPSMT" w:hAnsi="TimesNewRomanPSMT"/>
          <w:color w:val="000000"/>
          <w:sz w:val="22"/>
          <w:szCs w:val="22"/>
        </w:rPr>
        <w:t>i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ų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 metabolizmo komplikacij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ų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, kurias sukelia 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žū</w:t>
      </w:r>
      <w:r w:rsidRPr="006D4AC3">
        <w:rPr>
          <w:rFonts w:ascii="TimesNewRomanPSMT" w:hAnsi="TimesNewRomanPSMT"/>
          <w:color w:val="000000"/>
          <w:sz w:val="22"/>
          <w:szCs w:val="22"/>
        </w:rPr>
        <w:t>stan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č</w:t>
      </w:r>
      <w:r w:rsidRPr="006D4AC3">
        <w:rPr>
          <w:rFonts w:ascii="TimesNewRomanPSMT" w:hAnsi="TimesNewRomanPSMT"/>
          <w:color w:val="000000"/>
          <w:sz w:val="22"/>
          <w:szCs w:val="22"/>
        </w:rPr>
        <w:t>i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ų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 v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ėž</w:t>
      </w:r>
      <w:r w:rsidRPr="006D4AC3">
        <w:rPr>
          <w:rFonts w:ascii="TimesNewRomanPSMT" w:hAnsi="TimesNewRomanPSMT"/>
          <w:color w:val="000000"/>
          <w:sz w:val="22"/>
          <w:szCs w:val="22"/>
        </w:rPr>
        <w:t>ini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ų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 l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ą</w:t>
      </w:r>
      <w:r w:rsidRPr="006D4AC3">
        <w:rPr>
          <w:rFonts w:ascii="TimesNewRomanPSMT" w:hAnsi="TimesNewRomanPSMT"/>
          <w:color w:val="000000"/>
          <w:sz w:val="22"/>
          <w:szCs w:val="22"/>
        </w:rPr>
        <w:t>steli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ų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 irimo produktai (naviko irimo </w:t>
      </w:r>
      <w:r>
        <w:rPr>
          <w:rFonts w:ascii="TimesNewRomanPSMT" w:hAnsi="TimesNewRomanPSMT"/>
          <w:color w:val="000000"/>
          <w:sz w:val="22"/>
          <w:szCs w:val="22"/>
        </w:rPr>
        <w:t>[</w:t>
      </w:r>
      <w:r w:rsidRPr="006D4AC3">
        <w:rPr>
          <w:rFonts w:ascii="TimesNewRomanPSMT" w:hAnsi="TimesNewRomanPSMT"/>
          <w:color w:val="000000"/>
          <w:sz w:val="22"/>
          <w:szCs w:val="22"/>
        </w:rPr>
        <w:t>liz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ė</w:t>
      </w:r>
      <w:r w:rsidRPr="006D4AC3">
        <w:rPr>
          <w:rFonts w:ascii="TimesNewRomanPSMT" w:hAnsi="TimesNewRomanPSMT"/>
          <w:color w:val="000000"/>
          <w:sz w:val="22"/>
          <w:szCs w:val="22"/>
        </w:rPr>
        <w:t>s</w:t>
      </w:r>
      <w:r>
        <w:rPr>
          <w:rFonts w:ascii="TimesNewRomanPSMT" w:hAnsi="TimesNewRomanPSMT"/>
          <w:color w:val="000000"/>
          <w:sz w:val="22"/>
          <w:szCs w:val="22"/>
        </w:rPr>
        <w:t>]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 sindromas </w:t>
      </w:r>
      <w:r>
        <w:rPr>
          <w:rFonts w:ascii="TimesNewRomanPSMT" w:hAnsi="TimesNewRomanPSMT"/>
          <w:color w:val="000000"/>
          <w:sz w:val="22"/>
          <w:szCs w:val="22"/>
        </w:rPr>
        <w:t>[</w:t>
      </w:r>
      <w:r w:rsidRPr="006D4AC3">
        <w:rPr>
          <w:rFonts w:ascii="TimesNewRomanPSMT" w:hAnsi="TimesNewRomanPSMT"/>
          <w:color w:val="000000"/>
          <w:sz w:val="22"/>
          <w:szCs w:val="22"/>
        </w:rPr>
        <w:t>NIS</w:t>
      </w:r>
      <w:r>
        <w:rPr>
          <w:rFonts w:ascii="TimesNewRomanPSMT" w:hAnsi="TimesNewRomanPSMT"/>
          <w:color w:val="000000"/>
          <w:sz w:val="22"/>
          <w:szCs w:val="22"/>
        </w:rPr>
        <w:t>]</w:t>
      </w:r>
      <w:r w:rsidRPr="006D4AC3">
        <w:rPr>
          <w:rFonts w:ascii="TimesNewRomanPSMT" w:hAnsi="TimesNewRomanPSMT"/>
          <w:color w:val="000000"/>
          <w:sz w:val="22"/>
          <w:szCs w:val="22"/>
        </w:rPr>
        <w:t>), ir d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ė</w:t>
      </w:r>
      <w:r w:rsidRPr="006D4AC3">
        <w:rPr>
          <w:rFonts w:ascii="TimesNewRomanPSMT" w:hAnsi="TimesNewRomanPSMT"/>
          <w:color w:val="000000"/>
          <w:sz w:val="22"/>
          <w:szCs w:val="22"/>
        </w:rPr>
        <w:t>l kuri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ų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 gali i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š</w:t>
      </w:r>
      <w:r w:rsidRPr="006D4AC3">
        <w:rPr>
          <w:rFonts w:ascii="TimesNewRomanPSMT" w:hAnsi="TimesNewRomanPSMT"/>
          <w:color w:val="000000"/>
          <w:sz w:val="22"/>
          <w:szCs w:val="22"/>
        </w:rPr>
        <w:t>sivystyti inkst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ų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 funkcijos poky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č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iai ir 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ū</w:t>
      </w:r>
      <w:r w:rsidRPr="006D4AC3">
        <w:rPr>
          <w:rFonts w:ascii="TimesNewRomanPSMT" w:hAnsi="TimesNewRomanPSMT"/>
          <w:color w:val="000000"/>
          <w:sz w:val="22"/>
          <w:szCs w:val="22"/>
        </w:rPr>
        <w:t>minis inkst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ų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 nepakankamumas (taip pat 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ž</w:t>
      </w:r>
      <w:r w:rsidRPr="006D4AC3">
        <w:rPr>
          <w:rFonts w:ascii="TimesNewRomanPSMT" w:hAnsi="TimesNewRomanPSMT"/>
          <w:color w:val="000000"/>
          <w:sz w:val="22"/>
          <w:szCs w:val="22"/>
        </w:rPr>
        <w:t>r. 4 skyri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ų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 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„</w:t>
      </w:r>
      <w:r w:rsidRPr="006D4AC3">
        <w:rPr>
          <w:rFonts w:ascii="TimesNewRomanPSMT" w:hAnsi="TimesNewRomanPSMT"/>
          <w:color w:val="000000"/>
          <w:sz w:val="22"/>
          <w:szCs w:val="22"/>
        </w:rPr>
        <w:t xml:space="preserve">Galimas 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š</w:t>
      </w:r>
      <w:r w:rsidRPr="006D4AC3">
        <w:rPr>
          <w:rFonts w:ascii="TimesNewRomanPSMT" w:hAnsi="TimesNewRomanPSMT"/>
          <w:color w:val="000000"/>
          <w:sz w:val="22"/>
          <w:szCs w:val="22"/>
        </w:rPr>
        <w:t>alutinis poveikis</w:t>
      </w:r>
      <w:r w:rsidRPr="006D4AC3">
        <w:rPr>
          <w:rFonts w:ascii="TimesNewRomanPSMT" w:hAnsi="TimesNewRomanPSMT" w:hint="eastAsia"/>
          <w:color w:val="000000"/>
          <w:sz w:val="22"/>
          <w:szCs w:val="22"/>
        </w:rPr>
        <w:t>“</w:t>
      </w:r>
      <w:r w:rsidRPr="006D4AC3">
        <w:rPr>
          <w:rFonts w:ascii="TimesNewRomanPSMT" w:hAnsi="TimesNewRomanPSMT"/>
          <w:color w:val="000000"/>
          <w:sz w:val="22"/>
          <w:szCs w:val="22"/>
        </w:rPr>
        <w:t>).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Jeigu Jums yra kuri nors iš minėtų būklių, pasakykite </w:t>
      </w:r>
      <w:r>
        <w:rPr>
          <w:rFonts w:eastAsia="Calibri"/>
          <w:b/>
          <w:sz w:val="22"/>
          <w:szCs w:val="22"/>
        </w:rPr>
        <w:t xml:space="preserve">savo </w:t>
      </w:r>
      <w:r w:rsidRPr="00EF20DC">
        <w:rPr>
          <w:rFonts w:eastAsia="Calibri"/>
          <w:b/>
          <w:sz w:val="22"/>
          <w:szCs w:val="22"/>
        </w:rPr>
        <w:t>gydytojui</w:t>
      </w:r>
      <w:r w:rsidRPr="00EF20DC">
        <w:rPr>
          <w:rFonts w:eastAsia="Calibri"/>
          <w:sz w:val="22"/>
          <w:szCs w:val="22"/>
        </w:rPr>
        <w:t xml:space="preserve">. Gali prireikti tokią būklę gydyti, be to, </w:t>
      </w:r>
      <w:r>
        <w:rPr>
          <w:rFonts w:eastAsia="Calibri"/>
          <w:sz w:val="22"/>
          <w:szCs w:val="22"/>
        </w:rPr>
        <w:t xml:space="preserve">Jūsų </w:t>
      </w:r>
      <w:r w:rsidRPr="00EF20DC">
        <w:rPr>
          <w:rFonts w:eastAsia="Calibri"/>
          <w:sz w:val="22"/>
          <w:szCs w:val="22"/>
        </w:rPr>
        <w:t xml:space="preserve">gydytojas gali nuspręsti keisti 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 dozę arba visiškai nutraukti</w:t>
      </w:r>
      <w:r>
        <w:rPr>
          <w:rFonts w:eastAsia="Calibri"/>
          <w:sz w:val="22"/>
          <w:szCs w:val="22"/>
        </w:rPr>
        <w:t xml:space="preserve"> gydymą</w:t>
      </w:r>
      <w:r w:rsidRPr="00EF20DC">
        <w:rPr>
          <w:rFonts w:eastAsia="Calibri"/>
          <w:sz w:val="22"/>
          <w:szCs w:val="22"/>
        </w:rPr>
        <w:t xml:space="preserve"> (</w:t>
      </w:r>
      <w:r>
        <w:rPr>
          <w:rFonts w:eastAsia="Calibri"/>
          <w:sz w:val="22"/>
          <w:szCs w:val="22"/>
        </w:rPr>
        <w:t xml:space="preserve"> taip pat </w:t>
      </w:r>
      <w:r w:rsidRPr="00EF20DC">
        <w:rPr>
          <w:rFonts w:eastAsia="Calibri"/>
          <w:sz w:val="22"/>
          <w:szCs w:val="22"/>
        </w:rPr>
        <w:t xml:space="preserve">žr. 4 skyrių „Galimas šalutinis poveikis“).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 </w:t>
      </w:r>
    </w:p>
    <w:p w:rsidR="00EA5A20" w:rsidRPr="00EF20DC" w:rsidRDefault="00EA5A20" w:rsidP="00EA5A20">
      <w:pPr>
        <w:rPr>
          <w:rFonts w:eastAsia="Calibri"/>
          <w:b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Vaikams ir paaugliams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Sorafenib </w:t>
      </w:r>
      <w:r>
        <w:rPr>
          <w:rFonts w:eastAsia="Calibri"/>
          <w:sz w:val="22"/>
          <w:szCs w:val="22"/>
        </w:rPr>
        <w:t>Sandoz vartojimas v</w:t>
      </w:r>
      <w:r w:rsidRPr="00EF20DC">
        <w:rPr>
          <w:rFonts w:eastAsia="Calibri"/>
          <w:sz w:val="22"/>
          <w:szCs w:val="22"/>
        </w:rPr>
        <w:t xml:space="preserve">aikams ir paaugliams dar neištirtas.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b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Kiti vaistai ir Sorafenib </w:t>
      </w:r>
      <w:r>
        <w:rPr>
          <w:rFonts w:eastAsia="Calibri"/>
          <w:b/>
          <w:sz w:val="22"/>
          <w:szCs w:val="22"/>
        </w:rPr>
        <w:t>Sandoz</w:t>
      </w:r>
      <w:r w:rsidRPr="00EF20DC">
        <w:rPr>
          <w:rFonts w:eastAsia="Calibri"/>
          <w:b/>
          <w:sz w:val="22"/>
          <w:szCs w:val="22"/>
        </w:rPr>
        <w:t xml:space="preserve">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Kai kurie vaistai, vartojami kartu su 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, gali daryti įtaką vienas kito poveikiui. Jeigu vartojate ar neseniai vartojote šiame sąraše </w:t>
      </w:r>
      <w:r>
        <w:rPr>
          <w:rFonts w:eastAsia="Calibri"/>
          <w:sz w:val="22"/>
          <w:szCs w:val="22"/>
        </w:rPr>
        <w:t>išvardytų</w:t>
      </w:r>
      <w:r w:rsidRPr="00EF20DC">
        <w:rPr>
          <w:rFonts w:eastAsia="Calibri"/>
          <w:sz w:val="22"/>
          <w:szCs w:val="22"/>
        </w:rPr>
        <w:t xml:space="preserve"> arba kitų vaistų, įskaitant įsigytus be recepto, arba dėl to nesate tikri, apie tai pasakykite gydytojui arba vaistininkui: </w:t>
      </w:r>
    </w:p>
    <w:p w:rsidR="00EA5A20" w:rsidRPr="00EF20DC" w:rsidRDefault="00EA5A20" w:rsidP="00EA5A20">
      <w:pPr>
        <w:numPr>
          <w:ilvl w:val="0"/>
          <w:numId w:val="3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rifampicino, neomicino ar kitų vaistų</w:t>
      </w:r>
      <w:r>
        <w:rPr>
          <w:rFonts w:eastAsia="Calibri"/>
          <w:sz w:val="22"/>
          <w:szCs w:val="22"/>
        </w:rPr>
        <w:t>, vartojamų gydyti nuo</w:t>
      </w:r>
      <w:r w:rsidRPr="00EF20DC">
        <w:rPr>
          <w:rFonts w:eastAsia="Calibri"/>
          <w:sz w:val="22"/>
          <w:szCs w:val="22"/>
        </w:rPr>
        <w:t xml:space="preserve"> infekcij</w:t>
      </w:r>
      <w:r>
        <w:rPr>
          <w:rFonts w:eastAsia="Calibri"/>
          <w:sz w:val="22"/>
          <w:szCs w:val="22"/>
        </w:rPr>
        <w:t>ų</w:t>
      </w:r>
      <w:r w:rsidRPr="00EF20DC">
        <w:rPr>
          <w:rFonts w:eastAsia="Calibri"/>
          <w:sz w:val="22"/>
          <w:szCs w:val="22"/>
        </w:rPr>
        <w:t xml:space="preserve"> </w:t>
      </w:r>
      <w:r w:rsidRPr="007A0B1B">
        <w:rPr>
          <w:rFonts w:eastAsia="Calibri"/>
          <w:b/>
          <w:sz w:val="22"/>
          <w:szCs w:val="22"/>
        </w:rPr>
        <w:t>(antibiotikų);</w:t>
      </w:r>
    </w:p>
    <w:p w:rsidR="00EA5A20" w:rsidRPr="00EF20DC" w:rsidRDefault="00EA5A20" w:rsidP="00EA5A20">
      <w:pPr>
        <w:numPr>
          <w:ilvl w:val="2"/>
          <w:numId w:val="4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paprastųjų jonažolių </w:t>
      </w:r>
      <w:r>
        <w:rPr>
          <w:rFonts w:eastAsia="Calibri"/>
          <w:sz w:val="22"/>
          <w:szCs w:val="22"/>
        </w:rPr>
        <w:t>vaistų</w:t>
      </w:r>
      <w:r w:rsidRPr="00EF20DC">
        <w:rPr>
          <w:rFonts w:eastAsia="Calibri"/>
          <w:sz w:val="22"/>
          <w:szCs w:val="22"/>
        </w:rPr>
        <w:t xml:space="preserve"> (vaist</w:t>
      </w:r>
      <w:r>
        <w:rPr>
          <w:rFonts w:eastAsia="Calibri"/>
          <w:sz w:val="22"/>
          <w:szCs w:val="22"/>
        </w:rPr>
        <w:t>ų</w:t>
      </w:r>
      <w:r w:rsidRPr="00EF20DC">
        <w:rPr>
          <w:rFonts w:eastAsia="Calibri"/>
          <w:sz w:val="22"/>
          <w:szCs w:val="22"/>
        </w:rPr>
        <w:t xml:space="preserve"> nuo </w:t>
      </w:r>
      <w:r w:rsidRPr="007A0B1B">
        <w:rPr>
          <w:rFonts w:eastAsia="Calibri"/>
          <w:b/>
          <w:sz w:val="22"/>
          <w:szCs w:val="22"/>
        </w:rPr>
        <w:t>depresijos</w:t>
      </w:r>
      <w:r w:rsidRPr="00EF20DC">
        <w:rPr>
          <w:rFonts w:eastAsia="Calibri"/>
          <w:sz w:val="22"/>
          <w:szCs w:val="22"/>
        </w:rPr>
        <w:t xml:space="preserve">); </w:t>
      </w:r>
    </w:p>
    <w:p w:rsidR="00EA5A20" w:rsidRPr="00EF20DC" w:rsidRDefault="00EA5A20" w:rsidP="00EA5A20">
      <w:pPr>
        <w:numPr>
          <w:ilvl w:val="2"/>
          <w:numId w:val="4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fenitoino, karbamazepino ar fenobarbitalio (vaist</w:t>
      </w:r>
      <w:r>
        <w:rPr>
          <w:rFonts w:eastAsia="Calibri"/>
          <w:sz w:val="22"/>
          <w:szCs w:val="22"/>
        </w:rPr>
        <w:t>ų</w:t>
      </w:r>
      <w:r w:rsidRPr="00EF20DC">
        <w:rPr>
          <w:rFonts w:eastAsia="Calibri"/>
          <w:sz w:val="22"/>
          <w:szCs w:val="22"/>
        </w:rPr>
        <w:t xml:space="preserve"> nuo </w:t>
      </w:r>
      <w:r w:rsidRPr="007A0B1B">
        <w:rPr>
          <w:rFonts w:eastAsia="Calibri"/>
          <w:b/>
          <w:sz w:val="22"/>
          <w:szCs w:val="22"/>
        </w:rPr>
        <w:t>epilepsijos</w:t>
      </w:r>
      <w:r w:rsidRPr="00EF20DC">
        <w:rPr>
          <w:rFonts w:eastAsia="Calibri"/>
          <w:sz w:val="22"/>
          <w:szCs w:val="22"/>
        </w:rPr>
        <w:t xml:space="preserve"> ar kitokių būklių); </w:t>
      </w:r>
    </w:p>
    <w:p w:rsidR="00EA5A20" w:rsidRPr="00EF20DC" w:rsidRDefault="00EA5A20" w:rsidP="00EA5A20">
      <w:pPr>
        <w:numPr>
          <w:ilvl w:val="2"/>
          <w:numId w:val="4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7A0B1B">
        <w:rPr>
          <w:rFonts w:eastAsia="Calibri"/>
          <w:b/>
          <w:sz w:val="22"/>
          <w:szCs w:val="22"/>
        </w:rPr>
        <w:t>kortikosteroido</w:t>
      </w:r>
      <w:r w:rsidRPr="00EF20DC">
        <w:rPr>
          <w:rFonts w:eastAsia="Calibri"/>
          <w:sz w:val="22"/>
          <w:szCs w:val="22"/>
        </w:rPr>
        <w:t xml:space="preserve"> deksametazono (vaist</w:t>
      </w:r>
      <w:r>
        <w:rPr>
          <w:rFonts w:eastAsia="Calibri"/>
          <w:sz w:val="22"/>
          <w:szCs w:val="22"/>
        </w:rPr>
        <w:t>o</w:t>
      </w:r>
      <w:r w:rsidRPr="00EF20DC">
        <w:rPr>
          <w:rFonts w:eastAsia="Calibri"/>
          <w:sz w:val="22"/>
          <w:szCs w:val="22"/>
        </w:rPr>
        <w:t xml:space="preserve"> nuo įvairių sutrikimų); </w:t>
      </w:r>
    </w:p>
    <w:p w:rsidR="00EA5A20" w:rsidRPr="00EF20DC" w:rsidRDefault="00EA5A20" w:rsidP="00EA5A20">
      <w:pPr>
        <w:numPr>
          <w:ilvl w:val="2"/>
          <w:numId w:val="4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lastRenderedPageBreak/>
        <w:t>antikoaguliantų varfarino arba fenprokumono (vaist</w:t>
      </w:r>
      <w:r>
        <w:rPr>
          <w:rFonts w:eastAsia="Calibri"/>
          <w:sz w:val="22"/>
          <w:szCs w:val="22"/>
        </w:rPr>
        <w:t>ų</w:t>
      </w:r>
      <w:r w:rsidRPr="00EF20DC">
        <w:rPr>
          <w:rFonts w:eastAsia="Calibri"/>
          <w:sz w:val="22"/>
          <w:szCs w:val="22"/>
        </w:rPr>
        <w:t xml:space="preserve">, </w:t>
      </w:r>
      <w:r w:rsidRPr="007A0B1B">
        <w:rPr>
          <w:rFonts w:eastAsia="Calibri"/>
          <w:b/>
          <w:sz w:val="22"/>
          <w:szCs w:val="22"/>
        </w:rPr>
        <w:t>saugančių nuo kraujo krešulių</w:t>
      </w:r>
      <w:r w:rsidRPr="00EF20DC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susidarymo</w:t>
      </w:r>
      <w:r w:rsidRPr="00EF20DC">
        <w:rPr>
          <w:rFonts w:eastAsia="Calibri"/>
          <w:sz w:val="22"/>
          <w:szCs w:val="22"/>
        </w:rPr>
        <w:t xml:space="preserve">); </w:t>
      </w:r>
    </w:p>
    <w:p w:rsidR="00EA5A20" w:rsidRPr="00EF20DC" w:rsidRDefault="00EA5A20" w:rsidP="00EA5A20">
      <w:pPr>
        <w:numPr>
          <w:ilvl w:val="2"/>
          <w:numId w:val="4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doksorubicino, kapecitabino, docetakselio, paklitakselio ir irinotekano (</w:t>
      </w:r>
      <w:r>
        <w:rPr>
          <w:rFonts w:eastAsia="Calibri"/>
          <w:sz w:val="22"/>
          <w:szCs w:val="22"/>
        </w:rPr>
        <w:t>taikomų gydymui</w:t>
      </w:r>
      <w:r w:rsidRPr="00EF20DC">
        <w:rPr>
          <w:rFonts w:eastAsia="Calibri"/>
          <w:sz w:val="22"/>
          <w:szCs w:val="22"/>
        </w:rPr>
        <w:t xml:space="preserve"> nuo </w:t>
      </w:r>
      <w:r w:rsidRPr="007A0B1B">
        <w:rPr>
          <w:rFonts w:eastAsia="Calibri"/>
          <w:b/>
          <w:sz w:val="22"/>
          <w:szCs w:val="22"/>
        </w:rPr>
        <w:t>vėžio</w:t>
      </w:r>
      <w:r w:rsidRPr="00EF20DC">
        <w:rPr>
          <w:rFonts w:eastAsia="Calibri"/>
          <w:sz w:val="22"/>
          <w:szCs w:val="22"/>
        </w:rPr>
        <w:t xml:space="preserve">); </w:t>
      </w:r>
    </w:p>
    <w:p w:rsidR="00EA5A20" w:rsidRPr="00EF20DC" w:rsidRDefault="00EA5A20" w:rsidP="00EA5A20">
      <w:pPr>
        <w:numPr>
          <w:ilvl w:val="2"/>
          <w:numId w:val="4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digoksino (</w:t>
      </w:r>
      <w:r>
        <w:rPr>
          <w:rFonts w:eastAsia="Calibri"/>
          <w:sz w:val="22"/>
          <w:szCs w:val="22"/>
        </w:rPr>
        <w:t>vartojamo gydyti</w:t>
      </w:r>
      <w:r w:rsidRPr="00EF20DC">
        <w:rPr>
          <w:rFonts w:eastAsia="Calibri"/>
          <w:sz w:val="22"/>
          <w:szCs w:val="22"/>
        </w:rPr>
        <w:t xml:space="preserve"> nuo lengvo arba vidutinio sunkumo </w:t>
      </w:r>
      <w:r w:rsidRPr="007A0B1B">
        <w:rPr>
          <w:rFonts w:eastAsia="Calibri"/>
          <w:b/>
          <w:sz w:val="22"/>
          <w:szCs w:val="22"/>
        </w:rPr>
        <w:t>širdies nepakankamumo</w:t>
      </w:r>
      <w:r w:rsidRPr="00EF20DC">
        <w:rPr>
          <w:rFonts w:eastAsia="Calibri"/>
          <w:sz w:val="22"/>
          <w:szCs w:val="22"/>
        </w:rPr>
        <w:t xml:space="preserve">). </w:t>
      </w:r>
    </w:p>
    <w:p w:rsidR="00EA5A20" w:rsidRPr="00EF20DC" w:rsidRDefault="00EA5A20" w:rsidP="00EA5A20">
      <w:pPr>
        <w:ind w:left="567" w:hanging="567"/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b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Nėštumas ir žindymo laikotarpis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Vartodama Sorafenib </w:t>
      </w:r>
      <w:r>
        <w:rPr>
          <w:rFonts w:eastAsia="Calibri"/>
          <w:b/>
          <w:sz w:val="22"/>
          <w:szCs w:val="22"/>
        </w:rPr>
        <w:t>Sandoz</w:t>
      </w:r>
      <w:r w:rsidRPr="00EF20DC">
        <w:rPr>
          <w:rFonts w:eastAsia="Calibri"/>
          <w:b/>
          <w:sz w:val="22"/>
          <w:szCs w:val="22"/>
        </w:rPr>
        <w:t xml:space="preserve"> turite </w:t>
      </w:r>
      <w:r>
        <w:rPr>
          <w:rFonts w:eastAsia="Calibri"/>
          <w:b/>
          <w:sz w:val="22"/>
          <w:szCs w:val="22"/>
        </w:rPr>
        <w:t>vengti pastojimo</w:t>
      </w:r>
      <w:r w:rsidRPr="00EF20DC">
        <w:rPr>
          <w:rFonts w:eastAsia="Calibri"/>
          <w:sz w:val="22"/>
          <w:szCs w:val="22"/>
        </w:rPr>
        <w:t xml:space="preserve">. Jeigu </w:t>
      </w:r>
      <w:r>
        <w:rPr>
          <w:rFonts w:eastAsia="Calibri"/>
          <w:sz w:val="22"/>
          <w:szCs w:val="22"/>
        </w:rPr>
        <w:t>galite pastoti</w:t>
      </w:r>
      <w:r w:rsidRPr="00EF20DC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taikykite patikimą kontracepcijos metodą</w:t>
      </w:r>
      <w:r w:rsidRPr="00EF20DC">
        <w:rPr>
          <w:rFonts w:eastAsia="Calibri"/>
          <w:sz w:val="22"/>
          <w:szCs w:val="22"/>
        </w:rPr>
        <w:t xml:space="preserve">. Jeigu </w:t>
      </w:r>
      <w:r>
        <w:rPr>
          <w:rFonts w:eastAsia="Calibri"/>
          <w:sz w:val="22"/>
          <w:szCs w:val="22"/>
        </w:rPr>
        <w:t>gydymo metu tapote nėščia</w:t>
      </w:r>
      <w:r w:rsidRPr="00EF20DC">
        <w:rPr>
          <w:rFonts w:eastAsia="Calibri"/>
          <w:sz w:val="22"/>
          <w:szCs w:val="22"/>
        </w:rPr>
        <w:t xml:space="preserve">, nedelsdama kreipkitės į </w:t>
      </w:r>
      <w:r>
        <w:rPr>
          <w:rFonts w:eastAsia="Calibri"/>
          <w:sz w:val="22"/>
          <w:szCs w:val="22"/>
        </w:rPr>
        <w:t xml:space="preserve">savo </w:t>
      </w:r>
      <w:r w:rsidRPr="00EF20DC">
        <w:rPr>
          <w:rFonts w:eastAsia="Calibri"/>
          <w:sz w:val="22"/>
          <w:szCs w:val="22"/>
        </w:rPr>
        <w:t xml:space="preserve">gydytoją, </w:t>
      </w:r>
      <w:r>
        <w:rPr>
          <w:rFonts w:eastAsia="Calibri"/>
          <w:sz w:val="22"/>
          <w:szCs w:val="22"/>
        </w:rPr>
        <w:t>kuris nuspręs</w:t>
      </w:r>
      <w:r w:rsidRPr="00EF20DC">
        <w:rPr>
          <w:rFonts w:eastAsia="Calibri"/>
          <w:sz w:val="22"/>
          <w:szCs w:val="22"/>
        </w:rPr>
        <w:t xml:space="preserve">, ar </w:t>
      </w:r>
      <w:r>
        <w:rPr>
          <w:rFonts w:eastAsia="Calibri"/>
          <w:sz w:val="22"/>
          <w:szCs w:val="22"/>
        </w:rPr>
        <w:t>gydymas turi būti tęsiamas</w:t>
      </w:r>
      <w:r w:rsidRPr="00EF20DC">
        <w:rPr>
          <w:rFonts w:eastAsia="Calibri"/>
          <w:sz w:val="22"/>
          <w:szCs w:val="22"/>
        </w:rPr>
        <w:t xml:space="preserve">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Gydymo Sorafenib </w:t>
      </w:r>
      <w:r>
        <w:rPr>
          <w:rFonts w:eastAsia="Calibri"/>
          <w:b/>
          <w:sz w:val="22"/>
          <w:szCs w:val="22"/>
        </w:rPr>
        <w:t>Sandoz</w:t>
      </w:r>
      <w:r w:rsidRPr="00EF20DC">
        <w:rPr>
          <w:rFonts w:eastAsia="Calibri"/>
          <w:b/>
          <w:sz w:val="22"/>
          <w:szCs w:val="22"/>
        </w:rPr>
        <w:t xml:space="preserve"> metu kūdikio žindyti negalima</w:t>
      </w:r>
      <w:r w:rsidRPr="00EF20DC">
        <w:rPr>
          <w:rFonts w:eastAsia="Calibri"/>
          <w:sz w:val="22"/>
          <w:szCs w:val="22"/>
        </w:rPr>
        <w:t>, kadangi</w:t>
      </w:r>
      <w:r>
        <w:rPr>
          <w:rFonts w:eastAsia="Calibri"/>
          <w:sz w:val="22"/>
          <w:szCs w:val="22"/>
        </w:rPr>
        <w:t xml:space="preserve"> šis </w:t>
      </w:r>
      <w:r w:rsidRPr="00EF20DC">
        <w:rPr>
          <w:rFonts w:eastAsia="Calibri"/>
          <w:sz w:val="22"/>
          <w:szCs w:val="22"/>
        </w:rPr>
        <w:t xml:space="preserve">vaistas gali trikdyti </w:t>
      </w:r>
      <w:r>
        <w:rPr>
          <w:rFonts w:eastAsia="Calibri"/>
          <w:sz w:val="22"/>
          <w:szCs w:val="22"/>
        </w:rPr>
        <w:t xml:space="preserve">Jūsų </w:t>
      </w:r>
      <w:r w:rsidRPr="00EF20DC">
        <w:rPr>
          <w:rFonts w:eastAsia="Calibri"/>
          <w:sz w:val="22"/>
          <w:szCs w:val="22"/>
        </w:rPr>
        <w:t xml:space="preserve">kūdikio augimą ir vystymąsi.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b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Vairavimas ir mechanizmų valdymas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Įrodymų, k</w:t>
      </w:r>
      <w:r w:rsidRPr="00EF20DC">
        <w:rPr>
          <w:rFonts w:eastAsia="Calibri"/>
          <w:sz w:val="22"/>
          <w:szCs w:val="22"/>
        </w:rPr>
        <w:t xml:space="preserve">ad 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 trikd</w:t>
      </w:r>
      <w:r>
        <w:rPr>
          <w:rFonts w:eastAsia="Calibri"/>
          <w:sz w:val="22"/>
          <w:szCs w:val="22"/>
        </w:rPr>
        <w:t>o</w:t>
      </w:r>
      <w:r w:rsidRPr="00EF20DC">
        <w:rPr>
          <w:rFonts w:eastAsia="Calibri"/>
          <w:sz w:val="22"/>
          <w:szCs w:val="22"/>
        </w:rPr>
        <w:t xml:space="preserve"> gebėjimą vairuoti ir valdyti mechanizmus, nėra.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b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Sorafenib </w:t>
      </w:r>
      <w:r>
        <w:rPr>
          <w:rFonts w:eastAsia="Calibri"/>
          <w:b/>
          <w:sz w:val="22"/>
          <w:szCs w:val="22"/>
        </w:rPr>
        <w:t>Sandoz</w:t>
      </w:r>
      <w:r w:rsidRPr="00EF20DC">
        <w:rPr>
          <w:rFonts w:eastAsia="Calibri"/>
          <w:b/>
          <w:sz w:val="22"/>
          <w:szCs w:val="22"/>
        </w:rPr>
        <w:t xml:space="preserve"> sudėtyje yra natrio</w:t>
      </w:r>
    </w:p>
    <w:p w:rsidR="00EA5A20" w:rsidRPr="00EF20DC" w:rsidRDefault="00EA5A20" w:rsidP="00EA5A20">
      <w:pPr>
        <w:rPr>
          <w:rFonts w:eastAsia="SimSun"/>
          <w:sz w:val="22"/>
          <w:szCs w:val="22"/>
          <w:lang w:eastAsia="zh-CN"/>
        </w:rPr>
      </w:pPr>
      <w:r w:rsidRPr="00EF20DC">
        <w:rPr>
          <w:rFonts w:eastAsia="SimSun"/>
          <w:sz w:val="22"/>
          <w:szCs w:val="22"/>
          <w:lang w:eastAsia="zh-CN"/>
        </w:rPr>
        <w:t xml:space="preserve">Šio vaisto </w:t>
      </w:r>
      <w:r>
        <w:rPr>
          <w:rFonts w:eastAsia="SimSun"/>
          <w:sz w:val="22"/>
          <w:szCs w:val="22"/>
          <w:lang w:eastAsia="zh-CN"/>
        </w:rPr>
        <w:t>plėvele dengtoje tabletėje</w:t>
      </w:r>
      <w:r w:rsidRPr="00EF20DC">
        <w:rPr>
          <w:rFonts w:eastAsia="SimSun"/>
          <w:sz w:val="22"/>
          <w:szCs w:val="22"/>
          <w:lang w:eastAsia="zh-CN"/>
        </w:rPr>
        <w:t xml:space="preserve"> yra mažiau kaip 1 mmol (23 mg) natrio, t.</w:t>
      </w:r>
      <w:r>
        <w:rPr>
          <w:rFonts w:eastAsia="SimSun"/>
          <w:sz w:val="22"/>
          <w:szCs w:val="22"/>
          <w:lang w:eastAsia="zh-CN"/>
        </w:rPr>
        <w:t xml:space="preserve"> </w:t>
      </w:r>
      <w:r w:rsidRPr="00EF20DC">
        <w:rPr>
          <w:rFonts w:eastAsia="SimSun"/>
          <w:sz w:val="22"/>
          <w:szCs w:val="22"/>
          <w:lang w:eastAsia="zh-CN"/>
        </w:rPr>
        <w:t>y. jis beveik neturi reikšmės.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 </w:t>
      </w: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 w:val="22"/>
          <w:szCs w:val="22"/>
          <w:lang w:eastAsia="zh-CN"/>
        </w:rPr>
      </w:pPr>
      <w:r w:rsidRPr="00EF20DC">
        <w:rPr>
          <w:rFonts w:eastAsia="SimSun"/>
          <w:b/>
          <w:bCs/>
          <w:sz w:val="22"/>
          <w:szCs w:val="22"/>
          <w:lang w:eastAsia="zh-CN"/>
        </w:rPr>
        <w:t>3.</w:t>
      </w:r>
      <w:r w:rsidRPr="00EF20DC">
        <w:rPr>
          <w:rFonts w:eastAsia="SimSun"/>
          <w:b/>
          <w:bCs/>
          <w:sz w:val="22"/>
          <w:szCs w:val="22"/>
          <w:lang w:eastAsia="zh-CN"/>
        </w:rPr>
        <w:tab/>
        <w:t xml:space="preserve">Kaip vartoti Sorafenib </w:t>
      </w:r>
      <w:r>
        <w:rPr>
          <w:rFonts w:eastAsia="SimSun"/>
          <w:b/>
          <w:bCs/>
          <w:sz w:val="22"/>
          <w:szCs w:val="22"/>
          <w:lang w:eastAsia="zh-CN"/>
        </w:rPr>
        <w:t>Sandoz</w:t>
      </w:r>
    </w:p>
    <w:p w:rsidR="00EA5A20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Visada vartokite šį vaistą tiksliai kaip nurodė gydytojas. Jeigu abejojate, kreipkitės į gydytoją arba vaistininką. </w:t>
      </w:r>
    </w:p>
    <w:p w:rsidR="00EA5A20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Rekomenduojama Sorafenib </w:t>
      </w:r>
      <w:r>
        <w:rPr>
          <w:rFonts w:eastAsia="Calibri"/>
          <w:b/>
          <w:sz w:val="22"/>
          <w:szCs w:val="22"/>
        </w:rPr>
        <w:t>Sandoz</w:t>
      </w:r>
      <w:r w:rsidRPr="00EF20DC">
        <w:rPr>
          <w:rFonts w:eastAsia="Calibri"/>
          <w:b/>
          <w:sz w:val="22"/>
          <w:szCs w:val="22"/>
        </w:rPr>
        <w:t xml:space="preserve"> dozė suaugusiesiems yra </w:t>
      </w:r>
      <w:r>
        <w:rPr>
          <w:rFonts w:eastAsia="Calibri"/>
          <w:b/>
          <w:sz w:val="22"/>
          <w:szCs w:val="22"/>
        </w:rPr>
        <w:t>4</w:t>
      </w:r>
      <w:r w:rsidRPr="00EF20DC">
        <w:rPr>
          <w:rFonts w:eastAsia="Calibri"/>
          <w:b/>
          <w:sz w:val="22"/>
          <w:szCs w:val="22"/>
        </w:rPr>
        <w:t>00 mg, geriam</w:t>
      </w:r>
      <w:r>
        <w:rPr>
          <w:rFonts w:eastAsia="Calibri"/>
          <w:b/>
          <w:sz w:val="22"/>
          <w:szCs w:val="22"/>
        </w:rPr>
        <w:t>a</w:t>
      </w:r>
      <w:r w:rsidRPr="00EF20DC">
        <w:rPr>
          <w:rFonts w:eastAsia="Calibri"/>
          <w:b/>
          <w:sz w:val="22"/>
          <w:szCs w:val="22"/>
        </w:rPr>
        <w:t xml:space="preserve"> 2 kartus per parą.</w:t>
      </w:r>
      <w:r w:rsidRPr="00EF20DC">
        <w:rPr>
          <w:rFonts w:eastAsia="Calibri"/>
          <w:sz w:val="22"/>
          <w:szCs w:val="22"/>
        </w:rPr>
        <w:t xml:space="preserve"> Tai atitinka 800 mg </w:t>
      </w:r>
      <w:r>
        <w:rPr>
          <w:rFonts w:eastAsia="Calibri"/>
          <w:sz w:val="22"/>
          <w:szCs w:val="22"/>
        </w:rPr>
        <w:t xml:space="preserve">paros dozę </w:t>
      </w:r>
      <w:r w:rsidRPr="00EF20DC">
        <w:rPr>
          <w:rFonts w:eastAsia="Calibri"/>
          <w:sz w:val="22"/>
          <w:szCs w:val="22"/>
        </w:rPr>
        <w:t xml:space="preserve">arba </w:t>
      </w:r>
      <w:r>
        <w:rPr>
          <w:rFonts w:eastAsia="Calibri"/>
          <w:sz w:val="22"/>
          <w:szCs w:val="22"/>
        </w:rPr>
        <w:t>2</w:t>
      </w:r>
      <w:r w:rsidRPr="00EF20DC">
        <w:rPr>
          <w:rFonts w:eastAsia="Calibri"/>
          <w:sz w:val="22"/>
          <w:szCs w:val="22"/>
        </w:rPr>
        <w:t xml:space="preserve"> tabletes per parą.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Default="00EA5A20" w:rsidP="00EA5A20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Jūsų g</w:t>
      </w:r>
      <w:r w:rsidRPr="00782E98">
        <w:rPr>
          <w:rFonts w:eastAsia="Calibri"/>
          <w:sz w:val="22"/>
          <w:szCs w:val="22"/>
        </w:rPr>
        <w:t>ydytojas gali nuspręsti pakeisti dozę. Kitoms nei 400 mg dozėms galima įsigyti 200 mg tabletę</w:t>
      </w:r>
      <w:r>
        <w:rPr>
          <w:rFonts w:eastAsia="Calibri"/>
          <w:sz w:val="22"/>
          <w:szCs w:val="22"/>
        </w:rPr>
        <w:t>.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Sorafenib </w:t>
      </w:r>
      <w:r>
        <w:rPr>
          <w:rFonts w:eastAsia="Calibri"/>
          <w:b/>
          <w:sz w:val="22"/>
          <w:szCs w:val="22"/>
        </w:rPr>
        <w:t>Sandoz</w:t>
      </w:r>
      <w:r w:rsidRPr="00EF20DC">
        <w:rPr>
          <w:rFonts w:eastAsia="Calibri"/>
          <w:b/>
          <w:sz w:val="22"/>
          <w:szCs w:val="22"/>
        </w:rPr>
        <w:t xml:space="preserve"> tabletes reikia nuryti užsigeriant stikline vandens</w:t>
      </w:r>
      <w:r w:rsidRPr="00EF20DC">
        <w:rPr>
          <w:rFonts w:eastAsia="Calibri"/>
          <w:sz w:val="22"/>
          <w:szCs w:val="22"/>
        </w:rPr>
        <w:t xml:space="preserve">, nevalgius arba valgant neriebų ar vidutinio riebumo maistą. Valgant riebų maistą, šio vaisto gerti negalima, kadangi jo veiksmingumas gali būti mažesnis. Numatę valgyti riebų maistą, 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 tabletes gerkite likus 1 valandai iki valgymo arba praėjus 2 valandoms po jo.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Visada vartokite šį vaistą tiksliai kaip nurodė gydytojas. Jeigu abejojate, kreipkitės į gydytoją arba vaistininką.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Yra</w:t>
      </w:r>
      <w:r w:rsidRPr="00EF20DC">
        <w:rPr>
          <w:rFonts w:eastAsia="Calibri"/>
          <w:sz w:val="22"/>
          <w:szCs w:val="22"/>
        </w:rPr>
        <w:t xml:space="preserve"> svarbu vartoti šį vaistą </w:t>
      </w:r>
      <w:r>
        <w:rPr>
          <w:rFonts w:eastAsia="Calibri"/>
          <w:sz w:val="22"/>
          <w:szCs w:val="22"/>
        </w:rPr>
        <w:t xml:space="preserve">kiekvieną dieną </w:t>
      </w:r>
      <w:r w:rsidRPr="00EF20DC">
        <w:rPr>
          <w:rFonts w:eastAsia="Calibri"/>
          <w:sz w:val="22"/>
          <w:szCs w:val="22"/>
        </w:rPr>
        <w:t xml:space="preserve">maždaug tokiu pačiu laiku, kadangi tokiu atveju kraujyje būna pastovus vaisto kiekis. </w:t>
      </w:r>
    </w:p>
    <w:p w:rsidR="00EA5A20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tabs>
          <w:tab w:val="left" w:pos="567"/>
        </w:tabs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lt-LT"/>
        </w:rPr>
      </w:pPr>
      <w:r w:rsidRPr="00132344">
        <w:rPr>
          <w:noProof/>
          <w:snapToGrid w:val="0"/>
          <w:sz w:val="22"/>
        </w:rPr>
        <w:t xml:space="preserve">Vagelė skirta tik </w:t>
      </w:r>
      <w:r>
        <w:rPr>
          <w:noProof/>
          <w:snapToGrid w:val="0"/>
          <w:sz w:val="22"/>
        </w:rPr>
        <w:t xml:space="preserve">tam, kad padėti sulaužyti </w:t>
      </w:r>
      <w:r w:rsidRPr="00132344">
        <w:rPr>
          <w:noProof/>
          <w:snapToGrid w:val="0"/>
          <w:sz w:val="22"/>
        </w:rPr>
        <w:t>tablet</w:t>
      </w:r>
      <w:r>
        <w:rPr>
          <w:noProof/>
          <w:snapToGrid w:val="0"/>
          <w:sz w:val="22"/>
        </w:rPr>
        <w:t>ę, jeigu Jums sunku ją nuryti visą.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Šiuo vaistu paprastai gydoma tol, kol jis duoda klinikinės naudos ir nesukelia nepriimtino šalutinio poveikio.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b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Ką daryti pavartojus per didelę Sorafenib </w:t>
      </w:r>
      <w:r>
        <w:rPr>
          <w:rFonts w:eastAsia="Calibri"/>
          <w:b/>
          <w:sz w:val="22"/>
          <w:szCs w:val="22"/>
        </w:rPr>
        <w:t>Sandoz</w:t>
      </w:r>
      <w:r w:rsidRPr="00EF20DC">
        <w:rPr>
          <w:rFonts w:eastAsia="Calibri"/>
          <w:b/>
          <w:sz w:val="22"/>
          <w:szCs w:val="22"/>
        </w:rPr>
        <w:t xml:space="preserve"> dozę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3EA7">
        <w:rPr>
          <w:rFonts w:eastAsia="Calibri"/>
          <w:b/>
          <w:sz w:val="22"/>
          <w:szCs w:val="22"/>
        </w:rPr>
        <w:t>Nedelsdami pasakykite savo gydytojui</w:t>
      </w:r>
      <w:r w:rsidRPr="00EF20DC">
        <w:rPr>
          <w:rFonts w:eastAsia="Calibri"/>
          <w:sz w:val="22"/>
          <w:szCs w:val="22"/>
        </w:rPr>
        <w:t>, jeigu išg</w:t>
      </w:r>
      <w:r>
        <w:rPr>
          <w:rFonts w:eastAsia="Calibri"/>
          <w:sz w:val="22"/>
          <w:szCs w:val="22"/>
        </w:rPr>
        <w:t xml:space="preserve">ėrėte </w:t>
      </w:r>
      <w:r w:rsidRPr="00EF20DC">
        <w:rPr>
          <w:rFonts w:eastAsia="Calibri"/>
          <w:sz w:val="22"/>
          <w:szCs w:val="22"/>
        </w:rPr>
        <w:t>(arba kas nors kitas išg</w:t>
      </w:r>
      <w:r>
        <w:rPr>
          <w:rFonts w:eastAsia="Calibri"/>
          <w:sz w:val="22"/>
          <w:szCs w:val="22"/>
        </w:rPr>
        <w:t>ėrė</w:t>
      </w:r>
      <w:r w:rsidRPr="00EF20DC">
        <w:rPr>
          <w:rFonts w:eastAsia="Calibri"/>
          <w:sz w:val="22"/>
          <w:szCs w:val="22"/>
        </w:rPr>
        <w:t xml:space="preserve">) didesnę dozę, negu </w:t>
      </w:r>
      <w:r>
        <w:rPr>
          <w:rFonts w:eastAsia="Calibri"/>
          <w:sz w:val="22"/>
          <w:szCs w:val="22"/>
        </w:rPr>
        <w:t>Jums paskirta dozė</w:t>
      </w:r>
      <w:r w:rsidRPr="00EF20DC">
        <w:rPr>
          <w:rFonts w:eastAsia="Calibri"/>
          <w:sz w:val="22"/>
          <w:szCs w:val="22"/>
        </w:rPr>
        <w:t xml:space="preserve">. Išgėrus per daug Sorafenib </w:t>
      </w:r>
      <w:r>
        <w:rPr>
          <w:rFonts w:eastAsia="Calibri"/>
          <w:sz w:val="22"/>
          <w:szCs w:val="22"/>
        </w:rPr>
        <w:t>Sandoz</w:t>
      </w:r>
      <w:r w:rsidRPr="00EF20DC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 xml:space="preserve">šalutinis poveikis, </w:t>
      </w:r>
      <w:r w:rsidRPr="00EF20DC">
        <w:rPr>
          <w:rFonts w:eastAsia="Calibri"/>
          <w:sz w:val="22"/>
          <w:szCs w:val="22"/>
        </w:rPr>
        <w:t>ypač viduriavim</w:t>
      </w:r>
      <w:r>
        <w:rPr>
          <w:rFonts w:eastAsia="Calibri"/>
          <w:sz w:val="22"/>
          <w:szCs w:val="22"/>
        </w:rPr>
        <w:t>as</w:t>
      </w:r>
      <w:r w:rsidRPr="00EF20DC">
        <w:rPr>
          <w:rFonts w:eastAsia="Calibri"/>
          <w:sz w:val="22"/>
          <w:szCs w:val="22"/>
        </w:rPr>
        <w:t xml:space="preserve"> ir odos reakcijos</w:t>
      </w:r>
      <w:r>
        <w:rPr>
          <w:rFonts w:eastAsia="Calibri"/>
          <w:sz w:val="22"/>
          <w:szCs w:val="22"/>
        </w:rPr>
        <w:t>, gali pasireikšti dažnai arba būti sunkesnis</w:t>
      </w:r>
      <w:r w:rsidRPr="00EF20DC">
        <w:rPr>
          <w:rFonts w:eastAsia="Calibri"/>
          <w:sz w:val="22"/>
          <w:szCs w:val="22"/>
        </w:rPr>
        <w:t xml:space="preserve">. </w:t>
      </w:r>
      <w:r>
        <w:rPr>
          <w:rFonts w:eastAsia="Calibri"/>
          <w:sz w:val="22"/>
          <w:szCs w:val="22"/>
        </w:rPr>
        <w:t>Jūsų gydytojas</w:t>
      </w:r>
      <w:r w:rsidRPr="00EF20DC">
        <w:rPr>
          <w:rFonts w:eastAsia="Calibri"/>
          <w:sz w:val="22"/>
          <w:szCs w:val="22"/>
        </w:rPr>
        <w:t xml:space="preserve"> gali liepti nutraukti šio vaisto vartojimą.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b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lastRenderedPageBreak/>
        <w:t xml:space="preserve">Pamiršus pavartoti Sorafenib </w:t>
      </w:r>
      <w:r>
        <w:rPr>
          <w:rFonts w:eastAsia="Calibri"/>
          <w:b/>
          <w:sz w:val="22"/>
          <w:szCs w:val="22"/>
        </w:rPr>
        <w:t>Sandoz</w:t>
      </w:r>
      <w:r w:rsidRPr="00EF20DC">
        <w:rPr>
          <w:rFonts w:eastAsia="Calibri"/>
          <w:b/>
          <w:sz w:val="22"/>
          <w:szCs w:val="22"/>
        </w:rPr>
        <w:t xml:space="preserve">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Praleidę dozę, gerkite ją tuoj pat, kai tik prisiminsite, tačiau tuo atveju, jeigu bus beveik atėjęs kitos dozės vartojimo laikas, pamirštosios negerkite, o toliau vaisto vartokite įprastine tvarka. Negalima vartoti dvigubos dozės norint kompensuoti praleist</w:t>
      </w:r>
      <w:r>
        <w:rPr>
          <w:rFonts w:eastAsia="Calibri"/>
          <w:sz w:val="22"/>
          <w:szCs w:val="22"/>
        </w:rPr>
        <w:t>as individualias dozes</w:t>
      </w:r>
      <w:r w:rsidRPr="00EF20DC">
        <w:rPr>
          <w:rFonts w:eastAsia="Calibri"/>
          <w:sz w:val="22"/>
          <w:szCs w:val="22"/>
        </w:rPr>
        <w:t xml:space="preserve">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ind w:left="567" w:hanging="567"/>
        <w:rPr>
          <w:rFonts w:eastAsia="SimSun"/>
          <w:b/>
          <w:sz w:val="22"/>
          <w:szCs w:val="22"/>
          <w:lang w:eastAsia="zh-CN"/>
        </w:rPr>
      </w:pPr>
      <w:r w:rsidRPr="00EF20DC">
        <w:rPr>
          <w:rFonts w:eastAsia="SimSun"/>
          <w:b/>
          <w:sz w:val="22"/>
          <w:szCs w:val="22"/>
          <w:lang w:eastAsia="zh-CN"/>
        </w:rPr>
        <w:t>4.</w:t>
      </w:r>
      <w:r w:rsidRPr="00EF20DC">
        <w:rPr>
          <w:rFonts w:eastAsia="SimSun"/>
          <w:b/>
          <w:sz w:val="22"/>
          <w:szCs w:val="22"/>
          <w:lang w:eastAsia="zh-CN"/>
        </w:rPr>
        <w:tab/>
        <w:t>Galimas šalutinis poveikis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Šis vaistas, kaip ir visi kiti, gali sukelti šalutinį poveikį, nors jis pasireiškia ne visiems žmonėms. Be to, šis vaistas gali daryti įtaką kai kurių kraujo tyrimų duomenims. </w:t>
      </w:r>
    </w:p>
    <w:p w:rsidR="00EA5A20" w:rsidRPr="00EF20DC" w:rsidRDefault="00EA5A20" w:rsidP="00EA5A20">
      <w:pPr>
        <w:rPr>
          <w:rFonts w:eastAsia="Calibri"/>
          <w:b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>Labai dažn</w:t>
      </w:r>
      <w:r>
        <w:rPr>
          <w:rFonts w:eastAsia="Calibri"/>
          <w:sz w:val="22"/>
          <w:szCs w:val="22"/>
        </w:rPr>
        <w:t xml:space="preserve">i </w:t>
      </w:r>
      <w:r w:rsidRPr="0003507D">
        <w:rPr>
          <w:b/>
          <w:bCs/>
          <w:noProof/>
          <w:snapToGrid w:val="0"/>
          <w:sz w:val="22"/>
          <w:szCs w:val="22"/>
        </w:rPr>
        <w:t xml:space="preserve">šalutinio poveikio reiškiniai </w:t>
      </w:r>
      <w:r w:rsidRPr="00EF20DC">
        <w:rPr>
          <w:rFonts w:eastAsia="Calibri"/>
          <w:sz w:val="22"/>
          <w:szCs w:val="22"/>
        </w:rPr>
        <w:t xml:space="preserve">(gali pasireikšti </w:t>
      </w:r>
      <w:r>
        <w:rPr>
          <w:rFonts w:eastAsia="Calibri"/>
          <w:sz w:val="22"/>
          <w:szCs w:val="22"/>
        </w:rPr>
        <w:t>dažniau</w:t>
      </w:r>
      <w:r w:rsidRPr="00EF20DC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kaip</w:t>
      </w:r>
      <w:r w:rsidRPr="00EF20DC">
        <w:rPr>
          <w:rFonts w:eastAsia="Calibri"/>
          <w:sz w:val="22"/>
          <w:szCs w:val="22"/>
        </w:rPr>
        <w:t xml:space="preserve"> 1 iš 10</w:t>
      </w:r>
      <w:r>
        <w:rPr>
          <w:rFonts w:eastAsia="Calibri"/>
          <w:sz w:val="22"/>
          <w:szCs w:val="22"/>
        </w:rPr>
        <w:t xml:space="preserve"> asmenų</w:t>
      </w:r>
      <w:r w:rsidRPr="00EF20DC">
        <w:rPr>
          <w:rFonts w:eastAsia="Calibri"/>
          <w:sz w:val="22"/>
          <w:szCs w:val="22"/>
        </w:rPr>
        <w:t xml:space="preserve">): </w:t>
      </w:r>
    </w:p>
    <w:p w:rsidR="00EA5A20" w:rsidRPr="00EF20DC" w:rsidRDefault="00EA5A20" w:rsidP="00EA5A20">
      <w:pPr>
        <w:numPr>
          <w:ilvl w:val="0"/>
          <w:numId w:val="5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viduriavimas,</w:t>
      </w:r>
    </w:p>
    <w:p w:rsidR="00EA5A20" w:rsidRPr="00EF20DC" w:rsidRDefault="00EA5A20" w:rsidP="00EA5A20">
      <w:pPr>
        <w:numPr>
          <w:ilvl w:val="0"/>
          <w:numId w:val="5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šleikštulys </w:t>
      </w:r>
      <w:r w:rsidRPr="00EA799F">
        <w:rPr>
          <w:rFonts w:eastAsia="Calibri"/>
          <w:sz w:val="22"/>
          <w:szCs w:val="22"/>
        </w:rPr>
        <w:t>(pykinimas),</w:t>
      </w:r>
      <w:r w:rsidRPr="00EF20DC">
        <w:rPr>
          <w:rFonts w:eastAsia="Calibri"/>
          <w:sz w:val="22"/>
          <w:szCs w:val="22"/>
        </w:rPr>
        <w:t xml:space="preserve"> </w:t>
      </w:r>
    </w:p>
    <w:p w:rsidR="00EA5A20" w:rsidRPr="00EF20DC" w:rsidRDefault="00EA5A20" w:rsidP="00EA5A20">
      <w:pPr>
        <w:numPr>
          <w:ilvl w:val="0"/>
          <w:numId w:val="5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silpnum</w:t>
      </w:r>
      <w:r>
        <w:rPr>
          <w:rFonts w:eastAsia="Calibri"/>
          <w:sz w:val="22"/>
          <w:szCs w:val="22"/>
        </w:rPr>
        <w:t>o</w:t>
      </w:r>
      <w:r w:rsidRPr="00EF20DC">
        <w:rPr>
          <w:rFonts w:eastAsia="Calibri"/>
          <w:sz w:val="22"/>
          <w:szCs w:val="22"/>
        </w:rPr>
        <w:t xml:space="preserve"> arba nuovargi</w:t>
      </w:r>
      <w:r>
        <w:rPr>
          <w:rFonts w:eastAsia="Calibri"/>
          <w:sz w:val="22"/>
          <w:szCs w:val="22"/>
        </w:rPr>
        <w:t>o pojūtis</w:t>
      </w:r>
      <w:r w:rsidRPr="00EF20DC">
        <w:rPr>
          <w:rFonts w:eastAsia="Calibri"/>
          <w:sz w:val="22"/>
          <w:szCs w:val="22"/>
        </w:rPr>
        <w:t xml:space="preserve">, </w:t>
      </w:r>
    </w:p>
    <w:p w:rsidR="00EA5A20" w:rsidRPr="00EF20DC" w:rsidRDefault="00EA5A20" w:rsidP="00EA5A20">
      <w:pPr>
        <w:numPr>
          <w:ilvl w:val="0"/>
          <w:numId w:val="5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skausmas (įskaitant burnos, pilvo, galvos, kaulų ir naviko skausmą), </w:t>
      </w:r>
    </w:p>
    <w:p w:rsidR="00EA5A20" w:rsidRPr="00EF20DC" w:rsidRDefault="00EA5A20" w:rsidP="00EA5A20">
      <w:pPr>
        <w:numPr>
          <w:ilvl w:val="0"/>
          <w:numId w:val="5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plaukų slinkimas </w:t>
      </w:r>
      <w:r w:rsidRPr="00EA799F">
        <w:rPr>
          <w:rFonts w:eastAsia="Calibri"/>
          <w:sz w:val="22"/>
          <w:szCs w:val="22"/>
        </w:rPr>
        <w:t>(alopecija),</w:t>
      </w:r>
      <w:r w:rsidRPr="00EF20DC">
        <w:rPr>
          <w:rFonts w:eastAsia="Calibri"/>
          <w:sz w:val="22"/>
          <w:szCs w:val="22"/>
        </w:rPr>
        <w:t xml:space="preserve"> </w:t>
      </w:r>
    </w:p>
    <w:p w:rsidR="00EA5A20" w:rsidRPr="00EF20DC" w:rsidRDefault="00EA5A20" w:rsidP="00EA5A20">
      <w:pPr>
        <w:numPr>
          <w:ilvl w:val="0"/>
          <w:numId w:val="5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delnų ar padų paraudimas arba skausmingumas (plaštakų ir pėdų odos reakcija), </w:t>
      </w:r>
    </w:p>
    <w:p w:rsidR="00EA5A20" w:rsidRPr="00EF20DC" w:rsidRDefault="00EA5A20" w:rsidP="00EA5A20">
      <w:pPr>
        <w:numPr>
          <w:ilvl w:val="0"/>
          <w:numId w:val="5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niežėjimas arba išbėrimas, </w:t>
      </w:r>
    </w:p>
    <w:p w:rsidR="00EA5A20" w:rsidRPr="00EF20DC" w:rsidRDefault="00EA5A20" w:rsidP="00EA5A20">
      <w:pPr>
        <w:numPr>
          <w:ilvl w:val="0"/>
          <w:numId w:val="6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vėmimas, </w:t>
      </w:r>
    </w:p>
    <w:p w:rsidR="00EA5A20" w:rsidRPr="00EF20DC" w:rsidRDefault="00EA5A20" w:rsidP="00EA5A20">
      <w:pPr>
        <w:numPr>
          <w:ilvl w:val="0"/>
          <w:numId w:val="6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kraujavimas (įskaitant kraujavimą smegenyse, žarnų sienelės ir kvėpavimo organų kraujavimą),</w:t>
      </w:r>
    </w:p>
    <w:p w:rsidR="00EA5A20" w:rsidRPr="00EF20DC" w:rsidRDefault="00EA5A20" w:rsidP="00EA5A20">
      <w:pPr>
        <w:numPr>
          <w:ilvl w:val="0"/>
          <w:numId w:val="6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didelis kraujospūdis arba kraujospūdžio padidėjimas (hipertenzija), </w:t>
      </w:r>
    </w:p>
    <w:p w:rsidR="00EA5A20" w:rsidRPr="00EF20DC" w:rsidRDefault="00EA5A20" w:rsidP="00EA5A20">
      <w:pPr>
        <w:numPr>
          <w:ilvl w:val="0"/>
          <w:numId w:val="6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infekcijos, </w:t>
      </w:r>
    </w:p>
    <w:p w:rsidR="00EA5A20" w:rsidRPr="00EF20DC" w:rsidRDefault="00EA5A20" w:rsidP="00EA5A20">
      <w:pPr>
        <w:numPr>
          <w:ilvl w:val="0"/>
          <w:numId w:val="6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apetito netekimas (anoreksija), </w:t>
      </w:r>
    </w:p>
    <w:p w:rsidR="00EA5A20" w:rsidRPr="00EF20DC" w:rsidRDefault="00EA5A20" w:rsidP="00EA5A20">
      <w:pPr>
        <w:numPr>
          <w:ilvl w:val="0"/>
          <w:numId w:val="6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vidurių užkietėjimas, </w:t>
      </w:r>
    </w:p>
    <w:p w:rsidR="00EA5A20" w:rsidRPr="00EF20DC" w:rsidRDefault="00EA5A20" w:rsidP="00EA5A20">
      <w:pPr>
        <w:numPr>
          <w:ilvl w:val="0"/>
          <w:numId w:val="6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sąnarių skausmas (artralgija), </w:t>
      </w:r>
    </w:p>
    <w:p w:rsidR="00EA5A20" w:rsidRPr="00EF20DC" w:rsidRDefault="00EA5A20" w:rsidP="00EA5A20">
      <w:pPr>
        <w:numPr>
          <w:ilvl w:val="0"/>
          <w:numId w:val="6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karščiavimas, </w:t>
      </w:r>
    </w:p>
    <w:p w:rsidR="00EA5A20" w:rsidRPr="00EF20DC" w:rsidRDefault="00EA5A20" w:rsidP="00EA5A20">
      <w:pPr>
        <w:numPr>
          <w:ilvl w:val="0"/>
          <w:numId w:val="6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kūno svorio mažėjimas, </w:t>
      </w:r>
    </w:p>
    <w:p w:rsidR="00EA5A20" w:rsidRPr="00EF20DC" w:rsidRDefault="00EA5A20" w:rsidP="00EA5A20">
      <w:pPr>
        <w:numPr>
          <w:ilvl w:val="0"/>
          <w:numId w:val="6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672A1E">
        <w:rPr>
          <w:rFonts w:eastAsia="Calibri"/>
          <w:sz w:val="22"/>
          <w:szCs w:val="22"/>
        </w:rPr>
        <w:t>odos sausumas</w:t>
      </w:r>
      <w:r w:rsidRPr="00EF20DC">
        <w:rPr>
          <w:rFonts w:eastAsia="Calibri"/>
          <w:sz w:val="22"/>
          <w:szCs w:val="22"/>
        </w:rPr>
        <w:t xml:space="preserve">. </w:t>
      </w:r>
    </w:p>
    <w:p w:rsidR="00EA5A20" w:rsidRPr="00EF20DC" w:rsidRDefault="00EA5A20" w:rsidP="00EA5A20">
      <w:pPr>
        <w:ind w:left="567" w:hanging="567"/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>Dažn</w:t>
      </w:r>
      <w:r>
        <w:rPr>
          <w:rFonts w:eastAsia="Calibri"/>
          <w:b/>
          <w:sz w:val="22"/>
          <w:szCs w:val="22"/>
        </w:rPr>
        <w:t xml:space="preserve">i </w:t>
      </w:r>
      <w:r w:rsidRPr="0003507D">
        <w:rPr>
          <w:b/>
          <w:bCs/>
          <w:noProof/>
          <w:snapToGrid w:val="0"/>
          <w:sz w:val="22"/>
          <w:szCs w:val="22"/>
        </w:rPr>
        <w:t xml:space="preserve">šalutinio poveikio reiškiniai </w:t>
      </w:r>
      <w:r w:rsidRPr="00EF20DC">
        <w:rPr>
          <w:rFonts w:eastAsia="Calibri"/>
          <w:sz w:val="22"/>
          <w:szCs w:val="22"/>
        </w:rPr>
        <w:t xml:space="preserve">(gali pasireikšti </w:t>
      </w:r>
      <w:r>
        <w:rPr>
          <w:rFonts w:eastAsia="Calibri"/>
          <w:sz w:val="22"/>
          <w:szCs w:val="22"/>
        </w:rPr>
        <w:t>rečiau kaip</w:t>
      </w:r>
      <w:r w:rsidRPr="00EF20DC">
        <w:rPr>
          <w:rFonts w:eastAsia="Calibri"/>
          <w:sz w:val="22"/>
          <w:szCs w:val="22"/>
        </w:rPr>
        <w:t xml:space="preserve"> 1</w:t>
      </w:r>
      <w:r>
        <w:rPr>
          <w:rFonts w:eastAsia="Calibri"/>
          <w:sz w:val="22"/>
          <w:szCs w:val="22"/>
        </w:rPr>
        <w:t xml:space="preserve"> </w:t>
      </w:r>
      <w:r w:rsidRPr="00EF20DC">
        <w:rPr>
          <w:rFonts w:eastAsia="Calibri"/>
          <w:sz w:val="22"/>
          <w:szCs w:val="22"/>
        </w:rPr>
        <w:t>iš 10</w:t>
      </w:r>
      <w:r>
        <w:rPr>
          <w:rFonts w:eastAsia="Calibri"/>
          <w:sz w:val="22"/>
          <w:szCs w:val="22"/>
        </w:rPr>
        <w:t xml:space="preserve"> asmenų</w:t>
      </w:r>
      <w:r w:rsidRPr="00EF20DC">
        <w:rPr>
          <w:rFonts w:eastAsia="Calibri"/>
          <w:sz w:val="22"/>
          <w:szCs w:val="22"/>
        </w:rPr>
        <w:t xml:space="preserve">):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į gripą panaš</w:t>
      </w:r>
      <w:r>
        <w:rPr>
          <w:rFonts w:eastAsia="Calibri"/>
          <w:sz w:val="22"/>
          <w:szCs w:val="22"/>
        </w:rPr>
        <w:t>us negalavimas</w:t>
      </w:r>
      <w:r w:rsidRPr="00EF20DC">
        <w:rPr>
          <w:rFonts w:eastAsia="Calibri"/>
          <w:sz w:val="22"/>
          <w:szCs w:val="22"/>
        </w:rPr>
        <w:t xml:space="preserve">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nevirškinimas (dispepsija),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rijimo pasunkėjimas (disfagija),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burnos džiūvimas arba uždegimas, liežuvio skausmas (stomatitas ir gleivinės uždegimas),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per mažas kalcio kiekis kraujyje (hipokalcemija),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per mažas kalio kiekis kraujyje (hipokalemija),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per mažas cukraus kiekis kraujyje (hipoglikemija),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raumenų skausmas (mialgija),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jutimų sutrikimas rankų ir kojų pirštuose, įskaitant dilgčiojimą ir nutirpimą (periferinė sensorinė neuropatija),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depresija,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erekcijos sutrikimas (impotencija),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pakitęs balsas (disfonija),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spuogai,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sausos </w:t>
      </w:r>
      <w:r w:rsidRPr="006B79E8">
        <w:rPr>
          <w:rFonts w:eastAsia="Calibri"/>
          <w:sz w:val="22"/>
          <w:szCs w:val="22"/>
        </w:rPr>
        <w:t>odos</w:t>
      </w:r>
      <w:r w:rsidRPr="00EF20DC">
        <w:rPr>
          <w:rFonts w:eastAsia="Calibri"/>
          <w:sz w:val="22"/>
          <w:szCs w:val="22"/>
        </w:rPr>
        <w:t xml:space="preserve"> uždegimas,</w:t>
      </w:r>
      <w:r>
        <w:rPr>
          <w:rFonts w:eastAsia="Calibri"/>
          <w:sz w:val="22"/>
          <w:szCs w:val="22"/>
        </w:rPr>
        <w:t xml:space="preserve"> odos suragėjimas</w:t>
      </w:r>
      <w:r w:rsidRPr="00EF20DC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ar</w:t>
      </w:r>
      <w:r w:rsidRPr="00EF20DC">
        <w:rPr>
          <w:rFonts w:eastAsia="Calibri"/>
          <w:sz w:val="22"/>
          <w:szCs w:val="22"/>
        </w:rPr>
        <w:t xml:space="preserve"> lupimasis (dermatitas, odos deskvamacija),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širdies nepakankamumas,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širdies </w:t>
      </w:r>
      <w:r>
        <w:rPr>
          <w:rFonts w:eastAsia="Calibri"/>
          <w:sz w:val="22"/>
          <w:szCs w:val="22"/>
        </w:rPr>
        <w:t>smūgis</w:t>
      </w:r>
      <w:r w:rsidRPr="00EF20DC">
        <w:rPr>
          <w:rFonts w:eastAsia="Calibri"/>
          <w:sz w:val="22"/>
          <w:szCs w:val="22"/>
        </w:rPr>
        <w:t xml:space="preserve"> (miokardo infarktas) arba krūtinės skausmas,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spengimas ausyse (ūžesys),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inkstų nepakankamumas,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lastRenderedPageBreak/>
        <w:t xml:space="preserve">nenormaliai didelis baltymo kiekis šlapime (proteinurija),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bendras silpnumas arba jėgų netekimas (astenija),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sumažėjęs baltųjų kraujo ląstelių kiekis (leukopenija ir neutropenija),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sumažėjęs raudonųjų kraujo ląstelių kiekis (anemija),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mažas trombocitų kiekis kraujyje (trombocitopenija),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plaukų maišelių uždegimas (folikulitas),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per mažas skydliaukės aktyvumas (hipotiro</w:t>
      </w:r>
      <w:r>
        <w:rPr>
          <w:rFonts w:eastAsia="Calibri"/>
          <w:sz w:val="22"/>
          <w:szCs w:val="22"/>
        </w:rPr>
        <w:t>zė</w:t>
      </w:r>
      <w:r w:rsidRPr="00EF20DC">
        <w:rPr>
          <w:rFonts w:eastAsia="Calibri"/>
          <w:sz w:val="22"/>
          <w:szCs w:val="22"/>
        </w:rPr>
        <w:t xml:space="preserve">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mažas natrio kiekis kraujyje (hiponatremija),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sutrikęs skonio pojūtis (disgeuzija),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veido ir dažnai kitų odos sričių paraudimas (</w:t>
      </w:r>
      <w:r>
        <w:rPr>
          <w:rFonts w:eastAsia="Calibri"/>
          <w:sz w:val="22"/>
          <w:szCs w:val="22"/>
        </w:rPr>
        <w:t>veido paraudimas</w:t>
      </w:r>
      <w:r w:rsidRPr="00EF20DC">
        <w:rPr>
          <w:rFonts w:eastAsia="Calibri"/>
          <w:sz w:val="22"/>
          <w:szCs w:val="22"/>
        </w:rPr>
        <w:t xml:space="preserve">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nosies </w:t>
      </w:r>
      <w:r>
        <w:rPr>
          <w:rFonts w:eastAsia="Calibri"/>
          <w:sz w:val="22"/>
          <w:szCs w:val="22"/>
        </w:rPr>
        <w:t xml:space="preserve">varvėjimas </w:t>
      </w:r>
      <w:r w:rsidRPr="00EF20DC">
        <w:rPr>
          <w:rFonts w:eastAsia="Calibri"/>
          <w:sz w:val="22"/>
          <w:szCs w:val="22"/>
        </w:rPr>
        <w:t xml:space="preserve">(rinorėja),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rėmuo (gastroezofaginio refliukso liga),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odos vėžys (keratoakantoma/odos plokščialąstelin</w:t>
      </w:r>
      <w:r>
        <w:rPr>
          <w:rFonts w:eastAsia="Calibri"/>
          <w:sz w:val="22"/>
          <w:szCs w:val="22"/>
        </w:rPr>
        <w:t xml:space="preserve">ė </w:t>
      </w:r>
      <w:r w:rsidRPr="00EF20DC">
        <w:rPr>
          <w:rFonts w:eastAsia="Calibri"/>
          <w:sz w:val="22"/>
          <w:szCs w:val="22"/>
        </w:rPr>
        <w:t xml:space="preserve">karcinoma),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išorinio odos sluoksnio sustorėjimas (hiperkeratozė), </w:t>
      </w:r>
    </w:p>
    <w:p w:rsidR="00EA5A20" w:rsidRPr="00EF20DC" w:rsidRDefault="00EA5A20" w:rsidP="00EA5A20">
      <w:pPr>
        <w:numPr>
          <w:ilvl w:val="0"/>
          <w:numId w:val="7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staigus, nevalingas raumenų susitraukimas (raumenų spazmai).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>Nedažn</w:t>
      </w:r>
      <w:r>
        <w:rPr>
          <w:rFonts w:eastAsia="Calibri"/>
          <w:b/>
          <w:sz w:val="22"/>
          <w:szCs w:val="22"/>
        </w:rPr>
        <w:t xml:space="preserve">i </w:t>
      </w:r>
      <w:r w:rsidRPr="0003507D">
        <w:rPr>
          <w:b/>
          <w:bCs/>
          <w:noProof/>
          <w:snapToGrid w:val="0"/>
          <w:sz w:val="22"/>
          <w:szCs w:val="22"/>
        </w:rPr>
        <w:t xml:space="preserve">šalutinio poveikio reiškiniai </w:t>
      </w:r>
      <w:r w:rsidRPr="00EF20DC">
        <w:rPr>
          <w:rFonts w:eastAsia="Calibri"/>
          <w:sz w:val="22"/>
          <w:szCs w:val="22"/>
        </w:rPr>
        <w:t xml:space="preserve">(gali pasireikšti </w:t>
      </w:r>
      <w:r>
        <w:rPr>
          <w:rFonts w:eastAsia="Calibri"/>
          <w:sz w:val="22"/>
          <w:szCs w:val="22"/>
        </w:rPr>
        <w:t>rečiau kaip</w:t>
      </w:r>
      <w:r w:rsidRPr="00EF20DC">
        <w:rPr>
          <w:rFonts w:eastAsia="Calibri"/>
          <w:sz w:val="22"/>
          <w:szCs w:val="22"/>
        </w:rPr>
        <w:t xml:space="preserve"> 1 iš 100</w:t>
      </w:r>
      <w:r w:rsidRPr="00287BD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asmenų</w:t>
      </w:r>
      <w:r w:rsidRPr="00EF20DC">
        <w:rPr>
          <w:rFonts w:eastAsia="Calibri"/>
          <w:sz w:val="22"/>
          <w:szCs w:val="22"/>
        </w:rPr>
        <w:t xml:space="preserve">): </w:t>
      </w:r>
    </w:p>
    <w:p w:rsidR="00EA5A20" w:rsidRPr="00EF20DC" w:rsidRDefault="00EA5A20" w:rsidP="00EA5A20">
      <w:pPr>
        <w:numPr>
          <w:ilvl w:val="0"/>
          <w:numId w:val="8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skrandžio gleivinės uždegimas (gastritas), </w:t>
      </w:r>
    </w:p>
    <w:p w:rsidR="00EA5A20" w:rsidRPr="00EF20DC" w:rsidRDefault="00EA5A20" w:rsidP="00EA5A20">
      <w:pPr>
        <w:numPr>
          <w:ilvl w:val="0"/>
          <w:numId w:val="8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pilvo skausmas, sukeltas kasos uždegimo (pankreatito), tulžies pūslės ir/ar tulžies latakų uždegimas,</w:t>
      </w:r>
    </w:p>
    <w:p w:rsidR="00EA5A20" w:rsidRPr="00EF20DC" w:rsidRDefault="00EA5A20" w:rsidP="00EA5A20">
      <w:pPr>
        <w:numPr>
          <w:ilvl w:val="0"/>
          <w:numId w:val="8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odos ar akių pageltimas (gelta), sukeltas didelio tulžies pigmentų kiekio kraujyje (hiperbilirubinemijos), </w:t>
      </w:r>
    </w:p>
    <w:p w:rsidR="00EA5A20" w:rsidRPr="00EF20DC" w:rsidRDefault="00EA5A20" w:rsidP="00EA5A20">
      <w:pPr>
        <w:numPr>
          <w:ilvl w:val="0"/>
          <w:numId w:val="8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į alergiją panašios</w:t>
      </w:r>
      <w:r w:rsidRPr="00EF20DC">
        <w:rPr>
          <w:rFonts w:eastAsia="Calibri"/>
          <w:sz w:val="22"/>
          <w:szCs w:val="22"/>
        </w:rPr>
        <w:t xml:space="preserve"> reakcijos, įskaitant odos išbėrimą ir dilgėlinę, </w:t>
      </w:r>
    </w:p>
    <w:p w:rsidR="00EA5A20" w:rsidRPr="00EF20DC" w:rsidRDefault="00EA5A20" w:rsidP="00EA5A20">
      <w:pPr>
        <w:numPr>
          <w:ilvl w:val="0"/>
          <w:numId w:val="8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skysčių netekimas (dehidracija), </w:t>
      </w:r>
    </w:p>
    <w:p w:rsidR="00EA5A20" w:rsidRPr="00EF20DC" w:rsidRDefault="00EA5A20" w:rsidP="00EA5A20">
      <w:pPr>
        <w:numPr>
          <w:ilvl w:val="0"/>
          <w:numId w:val="8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krūtų padidėjimas (ginekomastija), </w:t>
      </w:r>
    </w:p>
    <w:p w:rsidR="00EA5A20" w:rsidRPr="00EF20DC" w:rsidRDefault="00EA5A20" w:rsidP="00EA5A20">
      <w:pPr>
        <w:numPr>
          <w:ilvl w:val="0"/>
          <w:numId w:val="8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kvėpavimo pasunkėjimas (plaučių liga), </w:t>
      </w:r>
    </w:p>
    <w:p w:rsidR="00EA5A20" w:rsidRPr="00EF20DC" w:rsidRDefault="00EA5A20" w:rsidP="00EA5A20">
      <w:pPr>
        <w:numPr>
          <w:ilvl w:val="0"/>
          <w:numId w:val="8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egzema, </w:t>
      </w:r>
    </w:p>
    <w:p w:rsidR="00EA5A20" w:rsidRPr="00EF20DC" w:rsidRDefault="00EA5A20" w:rsidP="00EA5A20">
      <w:pPr>
        <w:numPr>
          <w:ilvl w:val="0"/>
          <w:numId w:val="9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per didelis skydliaukės aktyvumas (hipertir</w:t>
      </w:r>
      <w:r>
        <w:rPr>
          <w:rFonts w:eastAsia="Calibri"/>
          <w:sz w:val="22"/>
          <w:szCs w:val="22"/>
        </w:rPr>
        <w:t>ozė</w:t>
      </w:r>
      <w:r w:rsidRPr="00EF20DC">
        <w:rPr>
          <w:rFonts w:eastAsia="Calibri"/>
          <w:sz w:val="22"/>
          <w:szCs w:val="22"/>
        </w:rPr>
        <w:t xml:space="preserve">), </w:t>
      </w:r>
    </w:p>
    <w:p w:rsidR="00EA5A20" w:rsidRPr="00EF20DC" w:rsidRDefault="00EA5A20" w:rsidP="00EA5A20">
      <w:pPr>
        <w:numPr>
          <w:ilvl w:val="0"/>
          <w:numId w:val="9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dauginis odos išbėrimas (daugiaformė eritema),</w:t>
      </w:r>
    </w:p>
    <w:p w:rsidR="00EA5A20" w:rsidRPr="00EF20DC" w:rsidRDefault="00EA5A20" w:rsidP="00EA5A20">
      <w:pPr>
        <w:numPr>
          <w:ilvl w:val="0"/>
          <w:numId w:val="9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nenormaliai didelis kraujospūdis, </w:t>
      </w:r>
    </w:p>
    <w:p w:rsidR="00EA5A20" w:rsidRPr="00EF20DC" w:rsidRDefault="00EA5A20" w:rsidP="00EA5A20">
      <w:pPr>
        <w:numPr>
          <w:ilvl w:val="0"/>
          <w:numId w:val="9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skylės žarnų sienelėje (virškinimo trakto prakiurimas), </w:t>
      </w:r>
    </w:p>
    <w:p w:rsidR="00EA5A20" w:rsidRPr="00EF20DC" w:rsidRDefault="00EA5A20" w:rsidP="00EA5A20">
      <w:pPr>
        <w:numPr>
          <w:ilvl w:val="0"/>
          <w:numId w:val="9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laikinas</w:t>
      </w:r>
      <w:r w:rsidRPr="00EF20DC">
        <w:rPr>
          <w:rFonts w:eastAsia="Calibri"/>
          <w:sz w:val="22"/>
          <w:szCs w:val="22"/>
        </w:rPr>
        <w:t xml:space="preserve"> užpakalinės smegenų dalies sutinimas, kuris gali būti susijęs su galvos skausmu, sąmonės pokyčiu, priepuoliais ir regos pažeidimo simptomais, įskaitant apakimą (grįžtam</w:t>
      </w:r>
      <w:r>
        <w:rPr>
          <w:rFonts w:eastAsia="Calibri"/>
          <w:sz w:val="22"/>
          <w:szCs w:val="22"/>
        </w:rPr>
        <w:t>oji</w:t>
      </w:r>
      <w:r w:rsidRPr="00EF20DC">
        <w:rPr>
          <w:rFonts w:eastAsia="Calibri"/>
          <w:sz w:val="22"/>
          <w:szCs w:val="22"/>
        </w:rPr>
        <w:t xml:space="preserve"> užpakalinė leukoencefalopatija),  </w:t>
      </w:r>
    </w:p>
    <w:p w:rsidR="00EA5A20" w:rsidRPr="00EF20DC" w:rsidRDefault="00EA5A20" w:rsidP="00EA5A20">
      <w:pPr>
        <w:numPr>
          <w:ilvl w:val="0"/>
          <w:numId w:val="9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staigi, sunki alerginė reakcija (anafilaksinė reakcija).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>Ret</w:t>
      </w:r>
      <w:r>
        <w:rPr>
          <w:rFonts w:eastAsia="Calibri"/>
          <w:b/>
          <w:sz w:val="22"/>
          <w:szCs w:val="22"/>
        </w:rPr>
        <w:t xml:space="preserve">i </w:t>
      </w:r>
      <w:r w:rsidRPr="0003507D">
        <w:rPr>
          <w:b/>
          <w:bCs/>
          <w:noProof/>
          <w:snapToGrid w:val="0"/>
          <w:sz w:val="22"/>
          <w:szCs w:val="22"/>
        </w:rPr>
        <w:t xml:space="preserve">šalutinio poveikio reiškiniai </w:t>
      </w:r>
      <w:r w:rsidRPr="00EF20DC">
        <w:rPr>
          <w:rFonts w:eastAsia="Calibri"/>
          <w:sz w:val="22"/>
          <w:szCs w:val="22"/>
        </w:rPr>
        <w:t xml:space="preserve">(gali pasireikšti </w:t>
      </w:r>
      <w:r>
        <w:rPr>
          <w:rFonts w:eastAsia="Calibri"/>
          <w:sz w:val="22"/>
          <w:szCs w:val="22"/>
        </w:rPr>
        <w:t>rečiau kaip</w:t>
      </w:r>
      <w:r w:rsidRPr="00EF20DC">
        <w:rPr>
          <w:rFonts w:eastAsia="Calibri"/>
          <w:sz w:val="22"/>
          <w:szCs w:val="22"/>
        </w:rPr>
        <w:t xml:space="preserve"> 1 iš 1000</w:t>
      </w:r>
      <w:r>
        <w:rPr>
          <w:rFonts w:eastAsia="Calibri"/>
          <w:sz w:val="22"/>
          <w:szCs w:val="22"/>
        </w:rPr>
        <w:t xml:space="preserve"> asmenų</w:t>
      </w:r>
      <w:r w:rsidRPr="00EF20DC">
        <w:rPr>
          <w:rFonts w:eastAsia="Calibri"/>
          <w:sz w:val="22"/>
          <w:szCs w:val="22"/>
        </w:rPr>
        <w:t xml:space="preserve">): </w:t>
      </w:r>
    </w:p>
    <w:p w:rsidR="00EA5A20" w:rsidRPr="00EF20DC" w:rsidRDefault="00EA5A20" w:rsidP="00EA5A20">
      <w:pPr>
        <w:numPr>
          <w:ilvl w:val="0"/>
          <w:numId w:val="10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alerginė reakcija su odos patinimu (pvz., veido, liežuvio), dėl kurio gali atsirasti kvėpavimo ar rijimo sunkumų (angioneurozinė edema), </w:t>
      </w:r>
    </w:p>
    <w:p w:rsidR="00EA5A20" w:rsidRPr="00EF20DC" w:rsidRDefault="00EA5A20" w:rsidP="00EA5A20">
      <w:pPr>
        <w:numPr>
          <w:ilvl w:val="0"/>
          <w:numId w:val="10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sutrikęs širdies ritmas (QT intervalo pailgėjimas), </w:t>
      </w:r>
    </w:p>
    <w:p w:rsidR="00EA5A20" w:rsidRPr="00EF20DC" w:rsidRDefault="00EA5A20" w:rsidP="00EA5A20">
      <w:pPr>
        <w:numPr>
          <w:ilvl w:val="0"/>
          <w:numId w:val="10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kepenų uždegimas, kuris gali sukelti pykinimą, vėmimą, pilvo skausmą ir geltą (vaistų sukeltas hepatitas), </w:t>
      </w:r>
    </w:p>
    <w:p w:rsidR="00EA5A20" w:rsidRPr="00EF20DC" w:rsidRDefault="00EA5A20" w:rsidP="00EA5A20">
      <w:pPr>
        <w:numPr>
          <w:ilvl w:val="0"/>
          <w:numId w:val="10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į nudegimą nuo saulės panašus išbėrimas, kuris gali pasireikšti anksčiau spindulinės terapijos paveiktoje odoje ir būti sunkus (spinduliavimo sukeltas dermatitas), </w:t>
      </w:r>
    </w:p>
    <w:p w:rsidR="00EA5A20" w:rsidRPr="00EF20DC" w:rsidRDefault="00EA5A20" w:rsidP="00EA5A20">
      <w:pPr>
        <w:numPr>
          <w:ilvl w:val="0"/>
          <w:numId w:val="10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sunkios odos ir (arba) gleivin</w:t>
      </w:r>
      <w:r>
        <w:rPr>
          <w:rFonts w:eastAsia="Calibri"/>
          <w:sz w:val="22"/>
          <w:szCs w:val="22"/>
        </w:rPr>
        <w:t>ės</w:t>
      </w:r>
      <w:r w:rsidRPr="00EF20DC">
        <w:rPr>
          <w:rFonts w:eastAsia="Calibri"/>
          <w:sz w:val="22"/>
          <w:szCs w:val="22"/>
        </w:rPr>
        <w:t xml:space="preserve"> reakcijos, kurių metu gali atsirasti skausmingos pūslės ir karščiavimas, įskaitant didelės apimties odos lupimąsi (Stivenso-Džonsono </w:t>
      </w:r>
      <w:r w:rsidRPr="009124DB">
        <w:rPr>
          <w:rFonts w:eastAsia="Calibri"/>
          <w:sz w:val="22"/>
          <w:szCs w:val="22"/>
        </w:rPr>
        <w:t>[</w:t>
      </w:r>
      <w:r>
        <w:rPr>
          <w:rFonts w:eastAsia="Calibri"/>
          <w:sz w:val="22"/>
          <w:szCs w:val="22"/>
        </w:rPr>
        <w:t xml:space="preserve">angl. </w:t>
      </w:r>
      <w:r w:rsidRPr="00D76168">
        <w:rPr>
          <w:rFonts w:eastAsia="Calibri"/>
          <w:i/>
          <w:sz w:val="22"/>
          <w:szCs w:val="22"/>
        </w:rPr>
        <w:t>Stevens Johnson</w:t>
      </w:r>
      <w:r w:rsidRPr="009124DB">
        <w:rPr>
          <w:rFonts w:eastAsia="Calibri"/>
          <w:sz w:val="22"/>
          <w:szCs w:val="22"/>
        </w:rPr>
        <w:t>]</w:t>
      </w:r>
      <w:r w:rsidRPr="00EF20DC">
        <w:rPr>
          <w:rFonts w:eastAsia="Calibri"/>
          <w:sz w:val="22"/>
          <w:szCs w:val="22"/>
        </w:rPr>
        <w:t xml:space="preserve"> sindromas ir toksinė epidermio nekrolizė), </w:t>
      </w:r>
    </w:p>
    <w:p w:rsidR="00EA5A20" w:rsidRPr="00EF20DC" w:rsidRDefault="00EA5A20" w:rsidP="00EA5A20">
      <w:pPr>
        <w:numPr>
          <w:ilvl w:val="0"/>
          <w:numId w:val="10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nenormalus raumenų irimas, kuris gali sukelti inkstų sutrikimų (rabdomiolizė), </w:t>
      </w:r>
    </w:p>
    <w:p w:rsidR="00EA5A20" w:rsidRPr="00EF20DC" w:rsidRDefault="00EA5A20" w:rsidP="00EA5A20">
      <w:pPr>
        <w:numPr>
          <w:ilvl w:val="0"/>
          <w:numId w:val="10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inkstų pažeidimas, dėl kurio jie </w:t>
      </w:r>
      <w:r>
        <w:rPr>
          <w:rFonts w:eastAsia="Calibri"/>
          <w:sz w:val="22"/>
          <w:szCs w:val="22"/>
        </w:rPr>
        <w:t>praleidžia</w:t>
      </w:r>
      <w:r w:rsidRPr="00EF20DC">
        <w:rPr>
          <w:rFonts w:eastAsia="Calibri"/>
          <w:sz w:val="22"/>
          <w:szCs w:val="22"/>
        </w:rPr>
        <w:t xml:space="preserve"> didelį baltymo kiekį (</w:t>
      </w:r>
      <w:r>
        <w:rPr>
          <w:rFonts w:eastAsia="Calibri"/>
          <w:sz w:val="22"/>
          <w:szCs w:val="22"/>
        </w:rPr>
        <w:t>nefrozinis</w:t>
      </w:r>
      <w:r w:rsidRPr="00EF20DC">
        <w:rPr>
          <w:rFonts w:eastAsia="Calibri"/>
          <w:sz w:val="22"/>
          <w:szCs w:val="22"/>
        </w:rPr>
        <w:t xml:space="preserve"> sindromas), </w:t>
      </w:r>
    </w:p>
    <w:p w:rsidR="00EA5A20" w:rsidRPr="00EF20DC" w:rsidRDefault="00EA5A20" w:rsidP="00EA5A20">
      <w:pPr>
        <w:numPr>
          <w:ilvl w:val="0"/>
          <w:numId w:val="10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odos kraujagyslių uždegimas, kuris gali sukelti išbėrimą (leukocitoklastinis vaskulitas).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71EED" w:rsidRDefault="00EA5A20" w:rsidP="00EA5A20">
      <w:pPr>
        <w:rPr>
          <w:sz w:val="22"/>
        </w:rPr>
      </w:pPr>
      <w:r w:rsidRPr="00E71EED">
        <w:rPr>
          <w:b/>
          <w:bCs/>
          <w:noProof/>
          <w:snapToGrid w:val="0"/>
          <w:sz w:val="22"/>
          <w:szCs w:val="22"/>
        </w:rPr>
        <w:t>Šalutinio poveikio reiškiniai, kurių dažnis nežinomas (negali būti apskaičiuotas pagal turimus duomenis)</w:t>
      </w:r>
      <w:r w:rsidRPr="00E71EED">
        <w:rPr>
          <w:b/>
          <w:sz w:val="22"/>
        </w:rPr>
        <w:t xml:space="preserve"> </w:t>
      </w:r>
    </w:p>
    <w:p w:rsidR="00EA5A20" w:rsidRDefault="00EA5A20" w:rsidP="00EA5A20">
      <w:pPr>
        <w:numPr>
          <w:ilvl w:val="0"/>
          <w:numId w:val="11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sutrikusi smegenų funkcija, kuri gali būti susijusi pvz., su mieguistumu, elgesio pokyčiais ar sumišimu (encefalopatija)</w:t>
      </w:r>
      <w:r>
        <w:rPr>
          <w:rFonts w:eastAsia="Calibri"/>
          <w:sz w:val="22"/>
          <w:szCs w:val="22"/>
        </w:rPr>
        <w:t>,</w:t>
      </w:r>
    </w:p>
    <w:p w:rsidR="00EA5A20" w:rsidRDefault="00EA5A20" w:rsidP="00EA5A20">
      <w:pPr>
        <w:numPr>
          <w:ilvl w:val="0"/>
          <w:numId w:val="11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>kraujagyslės sienelės išsipūtimas ir susilpnėjimas arba kraujagyslės sienelės įplyšimas (aneurizmos ir arterijų disekacijos)</w:t>
      </w:r>
      <w:r>
        <w:rPr>
          <w:rFonts w:eastAsia="Calibri"/>
          <w:sz w:val="22"/>
          <w:szCs w:val="22"/>
        </w:rPr>
        <w:t>,</w:t>
      </w:r>
    </w:p>
    <w:p w:rsidR="00EA5A20" w:rsidRPr="00CF26D8" w:rsidRDefault="00EA5A20" w:rsidP="00EA5A20">
      <w:pPr>
        <w:numPr>
          <w:ilvl w:val="0"/>
          <w:numId w:val="11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03507D">
        <w:rPr>
          <w:rFonts w:eastAsia="Calibri"/>
          <w:sz w:val="22"/>
          <w:szCs w:val="22"/>
        </w:rPr>
        <w:t xml:space="preserve">pykinimas, dusulys, nereguliarus širdies plakimas, raumenų spazmai, traukuliai, šlapimo drumstis ir nuovargis (naviko irimo </w:t>
      </w:r>
      <w:r>
        <w:rPr>
          <w:rFonts w:eastAsia="Calibri"/>
          <w:sz w:val="22"/>
          <w:szCs w:val="22"/>
        </w:rPr>
        <w:t>[</w:t>
      </w:r>
      <w:r w:rsidRPr="0003507D">
        <w:rPr>
          <w:rFonts w:eastAsia="Calibri"/>
          <w:sz w:val="22"/>
          <w:szCs w:val="22"/>
        </w:rPr>
        <w:t>lizės</w:t>
      </w:r>
      <w:r>
        <w:rPr>
          <w:rFonts w:eastAsia="Calibri"/>
          <w:sz w:val="22"/>
          <w:szCs w:val="22"/>
        </w:rPr>
        <w:t>]</w:t>
      </w:r>
      <w:r w:rsidRPr="0003507D">
        <w:rPr>
          <w:rFonts w:eastAsia="Calibri"/>
          <w:sz w:val="22"/>
          <w:szCs w:val="22"/>
        </w:rPr>
        <w:t xml:space="preserve"> sindromas </w:t>
      </w:r>
      <w:r>
        <w:rPr>
          <w:rFonts w:eastAsia="Calibri"/>
          <w:sz w:val="22"/>
          <w:szCs w:val="22"/>
        </w:rPr>
        <w:t>[</w:t>
      </w:r>
      <w:r w:rsidRPr="0003507D">
        <w:rPr>
          <w:rFonts w:eastAsia="Calibri"/>
          <w:sz w:val="22"/>
          <w:szCs w:val="22"/>
        </w:rPr>
        <w:t>NIS</w:t>
      </w:r>
      <w:r>
        <w:rPr>
          <w:rFonts w:eastAsia="Calibri"/>
          <w:sz w:val="22"/>
          <w:szCs w:val="22"/>
        </w:rPr>
        <w:t>]</w:t>
      </w:r>
      <w:r w:rsidRPr="0003507D">
        <w:rPr>
          <w:rFonts w:eastAsia="Calibri"/>
          <w:sz w:val="22"/>
          <w:szCs w:val="22"/>
        </w:rPr>
        <w:t>) (žr. 2 skyrių).</w:t>
      </w:r>
    </w:p>
    <w:p w:rsidR="00EA5A20" w:rsidRPr="00EF20DC" w:rsidRDefault="00EA5A20" w:rsidP="00EA5A20">
      <w:pPr>
        <w:ind w:left="567"/>
        <w:contextualSpacing/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tabs>
          <w:tab w:val="left" w:pos="567"/>
        </w:tabs>
        <w:rPr>
          <w:rFonts w:eastAsia="Calibri"/>
          <w:b/>
          <w:snapToGrid w:val="0"/>
          <w:sz w:val="22"/>
          <w:szCs w:val="22"/>
        </w:rPr>
      </w:pPr>
      <w:r w:rsidRPr="00EF20DC">
        <w:rPr>
          <w:rFonts w:eastAsia="Calibri"/>
          <w:b/>
          <w:snapToGrid w:val="0"/>
          <w:sz w:val="22"/>
          <w:szCs w:val="22"/>
        </w:rPr>
        <w:t>Pranešimas apie šalutinį poveikį</w:t>
      </w:r>
    </w:p>
    <w:p w:rsidR="00EA5A20" w:rsidRPr="00D01F54" w:rsidRDefault="00EA5A20" w:rsidP="00EA5A20">
      <w:pPr>
        <w:tabs>
          <w:tab w:val="left" w:pos="567"/>
        </w:tabs>
        <w:spacing w:line="260" w:lineRule="exact"/>
        <w:ind w:right="-1"/>
        <w:jc w:val="both"/>
        <w:rPr>
          <w:snapToGrid w:val="0"/>
          <w:sz w:val="22"/>
          <w:szCs w:val="20"/>
        </w:rPr>
      </w:pPr>
      <w:r w:rsidRPr="00D01F54">
        <w:rPr>
          <w:snapToGrid w:val="0"/>
          <w:sz w:val="22"/>
          <w:szCs w:val="20"/>
        </w:rPr>
        <w:t>Jeigu pasireiškė šalutinis poveikis, įskaitant šiame lapelyje nenurodytą, pasakykite gydytojui</w:t>
      </w:r>
      <w:r>
        <w:rPr>
          <w:snapToGrid w:val="0"/>
          <w:sz w:val="22"/>
          <w:szCs w:val="20"/>
        </w:rPr>
        <w:t xml:space="preserve"> </w:t>
      </w:r>
      <w:r w:rsidRPr="00D01F54">
        <w:rPr>
          <w:snapToGrid w:val="0"/>
          <w:sz w:val="22"/>
          <w:szCs w:val="20"/>
        </w:rPr>
        <w:t>arba</w:t>
      </w:r>
      <w:r>
        <w:rPr>
          <w:snapToGrid w:val="0"/>
          <w:sz w:val="22"/>
          <w:szCs w:val="20"/>
        </w:rPr>
        <w:t xml:space="preserve"> </w:t>
      </w:r>
      <w:r w:rsidRPr="00D01F54">
        <w:rPr>
          <w:snapToGrid w:val="0"/>
          <w:sz w:val="22"/>
          <w:szCs w:val="20"/>
        </w:rPr>
        <w:t xml:space="preserve">vaistininkui. Pranešimą apie šalutinį poveikį galite užpildyti ir pateikti Valstybinės vaistų kontrolės tarnybos prie Lietuvos Respublikos sveikatos apsaugos ministerijos tinklalapyje </w:t>
      </w:r>
      <w:r w:rsidRPr="00D01F54">
        <w:rPr>
          <w:snapToGrid w:val="0"/>
          <w:sz w:val="22"/>
          <w:szCs w:val="20"/>
          <w:u w:val="single"/>
        </w:rPr>
        <w:t>https://vvkt.lrv.lt/lt/</w:t>
      </w:r>
      <w:r w:rsidRPr="00D01F54">
        <w:rPr>
          <w:snapToGrid w:val="0"/>
          <w:sz w:val="22"/>
          <w:szCs w:val="20"/>
        </w:rPr>
        <w:t xml:space="preserve"> nurodytais būdais arba paskambinti nemokamu telefonu </w:t>
      </w:r>
      <w:r>
        <w:rPr>
          <w:snapToGrid w:val="0"/>
          <w:sz w:val="22"/>
          <w:szCs w:val="20"/>
        </w:rPr>
        <w:t>+370</w:t>
      </w:r>
      <w:r w:rsidRPr="00D01F54">
        <w:rPr>
          <w:snapToGrid w:val="0"/>
          <w:sz w:val="22"/>
          <w:szCs w:val="20"/>
        </w:rPr>
        <w:t xml:space="preserve"> 800 73 568. Pranešdami apie šalutinį poveikį galite mums padėti gauti daugiau informacijos apie šio vaisto saugumą.</w:t>
      </w:r>
    </w:p>
    <w:p w:rsidR="00EA5A20" w:rsidRPr="00EF20DC" w:rsidRDefault="00EA5A20" w:rsidP="00EA5A20">
      <w:pPr>
        <w:rPr>
          <w:rFonts w:eastAsia="SimSun"/>
          <w:lang w:eastAsia="zh-CN"/>
        </w:rPr>
      </w:pPr>
    </w:p>
    <w:p w:rsidR="00EA5A20" w:rsidRPr="00EF20DC" w:rsidRDefault="00EA5A20" w:rsidP="00EA5A20">
      <w:pPr>
        <w:rPr>
          <w:rFonts w:eastAsia="SimSun"/>
          <w:lang w:eastAsia="zh-CN"/>
        </w:rPr>
      </w:pPr>
    </w:p>
    <w:p w:rsidR="00EA5A20" w:rsidRPr="00EF20DC" w:rsidRDefault="00EA5A20" w:rsidP="00EA5A20">
      <w:pPr>
        <w:keepNext/>
        <w:keepLines/>
        <w:tabs>
          <w:tab w:val="left" w:pos="567"/>
        </w:tabs>
        <w:outlineLvl w:val="2"/>
        <w:rPr>
          <w:rFonts w:eastAsia="SimSun"/>
          <w:b/>
          <w:bCs/>
          <w:sz w:val="22"/>
          <w:szCs w:val="22"/>
          <w:lang w:eastAsia="zh-CN"/>
        </w:rPr>
      </w:pPr>
      <w:r w:rsidRPr="00EF20DC">
        <w:rPr>
          <w:rFonts w:eastAsia="SimSun"/>
          <w:b/>
          <w:bCs/>
          <w:sz w:val="22"/>
          <w:szCs w:val="22"/>
          <w:lang w:eastAsia="zh-CN"/>
        </w:rPr>
        <w:t>5.</w:t>
      </w:r>
      <w:r w:rsidRPr="00EF20DC">
        <w:rPr>
          <w:rFonts w:eastAsia="SimSun"/>
          <w:b/>
          <w:bCs/>
          <w:sz w:val="22"/>
          <w:szCs w:val="22"/>
          <w:lang w:eastAsia="zh-CN"/>
        </w:rPr>
        <w:tab/>
        <w:t xml:space="preserve">Kaip laikyti Sorafenib </w:t>
      </w:r>
      <w:r>
        <w:rPr>
          <w:rFonts w:eastAsia="SimSun"/>
          <w:b/>
          <w:bCs/>
          <w:sz w:val="22"/>
          <w:szCs w:val="22"/>
          <w:lang w:eastAsia="zh-CN"/>
        </w:rPr>
        <w:t>Sandoz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Šį vaistą laikykite vaikams nepastebimoje ir nepasiekiamoje vietoje.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Ant dėžutės ir lizdinės plokštelės po „EXP“ </w:t>
      </w:r>
      <w:r w:rsidRPr="00D76168">
        <w:rPr>
          <w:rFonts w:eastAsia="Calibri"/>
          <w:bCs/>
          <w:sz w:val="22"/>
          <w:szCs w:val="22"/>
        </w:rPr>
        <w:t>nurodytam tinkamumo laikui pasibaigus, šio vaisto vartoti negalima</w:t>
      </w:r>
      <w:r w:rsidRPr="00B60FD6">
        <w:rPr>
          <w:rFonts w:eastAsia="Calibri"/>
          <w:bCs/>
          <w:sz w:val="22"/>
          <w:szCs w:val="22"/>
        </w:rPr>
        <w:t>. Vaistas tinkamas vartoti iki pask</w:t>
      </w:r>
      <w:r w:rsidRPr="00EF20DC">
        <w:rPr>
          <w:rFonts w:eastAsia="Calibri"/>
          <w:sz w:val="22"/>
          <w:szCs w:val="22"/>
        </w:rPr>
        <w:t xml:space="preserve">utinės nurodyto mėnesio dienos.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Vaistų negalima išmesti į kanalizaciją arba su buitinėmis atliekomis. Kaip išmesti nereikalingus vaistus, klauskite vaistininko. Šios priemonės padės apsaugoti aplinką.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keepNext/>
        <w:keepLines/>
        <w:tabs>
          <w:tab w:val="left" w:pos="567"/>
        </w:tabs>
        <w:outlineLvl w:val="2"/>
        <w:rPr>
          <w:rFonts w:eastAsia="SimSun"/>
          <w:b/>
          <w:bCs/>
          <w:sz w:val="22"/>
          <w:szCs w:val="22"/>
          <w:lang w:eastAsia="zh-CN"/>
        </w:rPr>
      </w:pPr>
      <w:r w:rsidRPr="00EF20DC">
        <w:rPr>
          <w:rFonts w:eastAsia="SimSun"/>
          <w:b/>
          <w:bCs/>
          <w:sz w:val="22"/>
          <w:szCs w:val="22"/>
          <w:lang w:eastAsia="zh-CN"/>
        </w:rPr>
        <w:t>6.</w:t>
      </w:r>
      <w:r w:rsidRPr="00EF20DC">
        <w:rPr>
          <w:rFonts w:eastAsia="SimSun"/>
          <w:b/>
          <w:bCs/>
          <w:sz w:val="22"/>
          <w:szCs w:val="22"/>
          <w:lang w:eastAsia="zh-CN"/>
        </w:rPr>
        <w:tab/>
        <w:t>Pakuotės turinys ir kita informacija</w:t>
      </w: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:rsidR="00EA5A20" w:rsidRPr="00EF20DC" w:rsidRDefault="00EA5A20" w:rsidP="00EA5A20">
      <w:pPr>
        <w:keepNext/>
        <w:tabs>
          <w:tab w:val="left" w:pos="567"/>
        </w:tabs>
        <w:jc w:val="both"/>
        <w:outlineLvl w:val="3"/>
        <w:rPr>
          <w:rFonts w:eastAsia="SimSun"/>
          <w:b/>
          <w:sz w:val="22"/>
          <w:szCs w:val="22"/>
        </w:rPr>
      </w:pPr>
      <w:r w:rsidRPr="00EF20DC">
        <w:rPr>
          <w:rFonts w:eastAsia="SimSun"/>
          <w:b/>
          <w:sz w:val="22"/>
          <w:szCs w:val="22"/>
        </w:rPr>
        <w:t xml:space="preserve">Sorafenib </w:t>
      </w:r>
      <w:r>
        <w:rPr>
          <w:rFonts w:eastAsia="SimSun"/>
          <w:b/>
          <w:sz w:val="22"/>
          <w:szCs w:val="22"/>
        </w:rPr>
        <w:t>Sandoz</w:t>
      </w:r>
      <w:r w:rsidRPr="00EF20DC">
        <w:rPr>
          <w:rFonts w:eastAsia="SimSun"/>
          <w:b/>
          <w:sz w:val="22"/>
          <w:szCs w:val="22"/>
        </w:rPr>
        <w:t xml:space="preserve"> sudėtis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numPr>
          <w:ilvl w:val="0"/>
          <w:numId w:val="1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D76168">
        <w:rPr>
          <w:rFonts w:eastAsia="Calibri"/>
          <w:bCs/>
          <w:sz w:val="22"/>
          <w:szCs w:val="22"/>
        </w:rPr>
        <w:t>Veiklioji</w:t>
      </w:r>
      <w:r w:rsidRPr="00EF20DC">
        <w:rPr>
          <w:rFonts w:eastAsia="Calibri"/>
          <w:sz w:val="22"/>
          <w:szCs w:val="22"/>
        </w:rPr>
        <w:t xml:space="preserve"> medžiaga yra sorafenibas. Kiekvienoje plėvele dengtoje tabletėje yra </w:t>
      </w:r>
      <w:r>
        <w:rPr>
          <w:rFonts w:eastAsia="Calibri"/>
          <w:sz w:val="22"/>
          <w:szCs w:val="22"/>
        </w:rPr>
        <w:t>4</w:t>
      </w:r>
      <w:r w:rsidRPr="00EF20DC">
        <w:rPr>
          <w:rFonts w:eastAsia="Calibri"/>
          <w:sz w:val="22"/>
          <w:szCs w:val="22"/>
        </w:rPr>
        <w:t>00 mg sorafenibo (to</w:t>
      </w:r>
      <w:r>
        <w:rPr>
          <w:rFonts w:eastAsia="Calibri"/>
          <w:sz w:val="22"/>
          <w:szCs w:val="22"/>
        </w:rPr>
        <w:t>z</w:t>
      </w:r>
      <w:r w:rsidRPr="00EF20DC">
        <w:rPr>
          <w:rFonts w:eastAsia="Calibri"/>
          <w:sz w:val="22"/>
          <w:szCs w:val="22"/>
        </w:rPr>
        <w:t xml:space="preserve">ilato pavidalu). </w:t>
      </w:r>
    </w:p>
    <w:p w:rsidR="00EA5A20" w:rsidRPr="00EF20DC" w:rsidRDefault="00EA5A20" w:rsidP="00EA5A20">
      <w:pPr>
        <w:numPr>
          <w:ilvl w:val="0"/>
          <w:numId w:val="12"/>
        </w:numPr>
        <w:spacing w:after="160" w:line="259" w:lineRule="auto"/>
        <w:ind w:left="567" w:hanging="567"/>
        <w:contextualSpacing/>
        <w:rPr>
          <w:rFonts w:eastAsia="Calibri"/>
          <w:sz w:val="22"/>
          <w:szCs w:val="22"/>
        </w:rPr>
      </w:pPr>
      <w:r w:rsidRPr="00D76168">
        <w:rPr>
          <w:rFonts w:eastAsia="Calibri"/>
          <w:bCs/>
          <w:sz w:val="22"/>
          <w:szCs w:val="22"/>
        </w:rPr>
        <w:t>Pagalbinės</w:t>
      </w:r>
      <w:r w:rsidRPr="00EF20DC">
        <w:rPr>
          <w:rFonts w:eastAsia="Calibri"/>
          <w:sz w:val="22"/>
          <w:szCs w:val="22"/>
        </w:rPr>
        <w:t xml:space="preserve"> medžiagos:</w:t>
      </w:r>
    </w:p>
    <w:p w:rsidR="00EA5A20" w:rsidRPr="00EF20DC" w:rsidRDefault="00EA5A20" w:rsidP="00EA5A20">
      <w:pPr>
        <w:ind w:left="1985" w:hanging="1418"/>
        <w:contextualSpacing/>
        <w:rPr>
          <w:rFonts w:eastAsia="Calibri"/>
          <w:sz w:val="22"/>
          <w:szCs w:val="22"/>
        </w:rPr>
      </w:pPr>
      <w:r w:rsidRPr="00B03A39">
        <w:rPr>
          <w:rFonts w:eastAsia="Calibri"/>
          <w:i/>
          <w:sz w:val="22"/>
          <w:szCs w:val="22"/>
        </w:rPr>
        <w:t>tabletės šerdis</w:t>
      </w:r>
      <w:r w:rsidRPr="00443D8E">
        <w:rPr>
          <w:rFonts w:eastAsia="Calibri"/>
          <w:iCs/>
          <w:sz w:val="22"/>
          <w:szCs w:val="22"/>
        </w:rPr>
        <w:t>:</w:t>
      </w:r>
      <w:r w:rsidRPr="00EF20DC">
        <w:rPr>
          <w:rFonts w:eastAsia="Calibri"/>
          <w:sz w:val="22"/>
          <w:szCs w:val="22"/>
        </w:rPr>
        <w:t xml:space="preserve"> hipromeliozė</w:t>
      </w:r>
      <w:r>
        <w:rPr>
          <w:rFonts w:eastAsia="Calibri"/>
          <w:sz w:val="22"/>
          <w:szCs w:val="22"/>
        </w:rPr>
        <w:t xml:space="preserve"> 2910 (E464)</w:t>
      </w:r>
      <w:r w:rsidRPr="00EF20DC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</w:t>
      </w:r>
      <w:r w:rsidRPr="00EF20DC">
        <w:rPr>
          <w:rFonts w:eastAsia="Calibri"/>
          <w:sz w:val="22"/>
          <w:szCs w:val="22"/>
        </w:rPr>
        <w:t>kroskarmeliozės natrio druska</w:t>
      </w:r>
      <w:r>
        <w:rPr>
          <w:rFonts w:eastAsia="Calibri"/>
          <w:sz w:val="22"/>
          <w:szCs w:val="22"/>
        </w:rPr>
        <w:t xml:space="preserve">, </w:t>
      </w:r>
      <w:r w:rsidRPr="00EF20DC">
        <w:rPr>
          <w:rFonts w:eastAsia="Calibri"/>
          <w:sz w:val="22"/>
          <w:szCs w:val="22"/>
        </w:rPr>
        <w:t>mikrokristalinė celiuliozė</w:t>
      </w:r>
      <w:r>
        <w:rPr>
          <w:rFonts w:eastAsia="Calibri"/>
          <w:sz w:val="22"/>
          <w:szCs w:val="22"/>
        </w:rPr>
        <w:t xml:space="preserve"> (E460)</w:t>
      </w:r>
      <w:r w:rsidRPr="00EF20DC">
        <w:rPr>
          <w:rFonts w:eastAsia="Calibri"/>
          <w:sz w:val="22"/>
          <w:szCs w:val="22"/>
        </w:rPr>
        <w:t>, magnio stearatas</w:t>
      </w:r>
      <w:r>
        <w:rPr>
          <w:rFonts w:eastAsia="Calibri"/>
          <w:sz w:val="22"/>
          <w:szCs w:val="22"/>
        </w:rPr>
        <w:t xml:space="preserve"> (E470b),</w:t>
      </w:r>
      <w:r w:rsidRPr="00EF20DC">
        <w:rPr>
          <w:rFonts w:eastAsia="Calibri"/>
          <w:sz w:val="22"/>
          <w:szCs w:val="22"/>
        </w:rPr>
        <w:t xml:space="preserve"> natrio laurilsulfatas. </w:t>
      </w:r>
    </w:p>
    <w:p w:rsidR="00EA5A20" w:rsidRPr="00EF20DC" w:rsidRDefault="00EA5A20" w:rsidP="00EA5A20">
      <w:pPr>
        <w:ind w:left="567"/>
        <w:contextualSpacing/>
        <w:rPr>
          <w:rFonts w:eastAsia="Calibri"/>
          <w:sz w:val="22"/>
          <w:szCs w:val="22"/>
        </w:rPr>
      </w:pPr>
      <w:r w:rsidRPr="00B03A39">
        <w:rPr>
          <w:rFonts w:eastAsia="Calibri"/>
          <w:i/>
          <w:sz w:val="22"/>
          <w:szCs w:val="22"/>
        </w:rPr>
        <w:t>tabletės plėvelė</w:t>
      </w:r>
      <w:r w:rsidRPr="00443D8E">
        <w:rPr>
          <w:rFonts w:eastAsia="Calibri"/>
          <w:iCs/>
          <w:sz w:val="22"/>
          <w:szCs w:val="22"/>
        </w:rPr>
        <w:t>:</w:t>
      </w:r>
      <w:r w:rsidRPr="00EF20DC">
        <w:rPr>
          <w:rFonts w:eastAsia="Calibri"/>
          <w:sz w:val="22"/>
          <w:szCs w:val="22"/>
        </w:rPr>
        <w:t xml:space="preserve"> hipromeliozė</w:t>
      </w:r>
      <w:r>
        <w:rPr>
          <w:rFonts w:eastAsia="Calibri"/>
          <w:sz w:val="22"/>
          <w:szCs w:val="22"/>
        </w:rPr>
        <w:t xml:space="preserve"> 2910 (E464)</w:t>
      </w:r>
      <w:r w:rsidRPr="00EF20DC">
        <w:rPr>
          <w:rFonts w:eastAsia="Calibri"/>
          <w:sz w:val="22"/>
          <w:szCs w:val="22"/>
        </w:rPr>
        <w:t>, titano dioksidas (E171), makrogolis</w:t>
      </w:r>
      <w:r>
        <w:rPr>
          <w:rFonts w:eastAsia="Calibri"/>
          <w:sz w:val="22"/>
          <w:szCs w:val="22"/>
        </w:rPr>
        <w:t xml:space="preserve"> 3350 (E1521). </w:t>
      </w: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EF20DC">
        <w:rPr>
          <w:rFonts w:eastAsia="Calibri"/>
          <w:sz w:val="22"/>
          <w:szCs w:val="22"/>
        </w:rPr>
        <w:t xml:space="preserve"> </w:t>
      </w:r>
    </w:p>
    <w:p w:rsidR="00EA5A20" w:rsidRPr="00EF20DC" w:rsidRDefault="00EA5A20" w:rsidP="00EA5A20">
      <w:pPr>
        <w:rPr>
          <w:rFonts w:eastAsia="Calibri"/>
          <w:b/>
          <w:sz w:val="22"/>
          <w:szCs w:val="22"/>
        </w:rPr>
      </w:pPr>
      <w:r w:rsidRPr="00EF20DC">
        <w:rPr>
          <w:rFonts w:eastAsia="Calibri"/>
          <w:b/>
          <w:sz w:val="22"/>
          <w:szCs w:val="22"/>
        </w:rPr>
        <w:t xml:space="preserve">Sorafenib </w:t>
      </w:r>
      <w:r>
        <w:rPr>
          <w:rFonts w:eastAsia="Calibri"/>
          <w:b/>
          <w:sz w:val="22"/>
          <w:szCs w:val="22"/>
        </w:rPr>
        <w:t>Sandoz</w:t>
      </w:r>
      <w:r w:rsidRPr="00EF20DC">
        <w:rPr>
          <w:rFonts w:eastAsia="Calibri"/>
          <w:b/>
          <w:sz w:val="22"/>
          <w:szCs w:val="22"/>
        </w:rPr>
        <w:t xml:space="preserve"> išvaizda ir kiekis pakuotėje </w:t>
      </w:r>
    </w:p>
    <w:p w:rsidR="00EA5A20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</w:rPr>
      </w:pPr>
      <w:r w:rsidRPr="009124DB">
        <w:rPr>
          <w:rFonts w:eastAsia="Calibri"/>
          <w:sz w:val="22"/>
          <w:szCs w:val="22"/>
        </w:rPr>
        <w:t xml:space="preserve">Sorafenib </w:t>
      </w:r>
      <w:r>
        <w:rPr>
          <w:rFonts w:eastAsia="Calibri"/>
          <w:sz w:val="22"/>
          <w:szCs w:val="22"/>
        </w:rPr>
        <w:t>Sandoz</w:t>
      </w:r>
      <w:r w:rsidRPr="009124DB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4</w:t>
      </w:r>
      <w:r w:rsidRPr="009124DB">
        <w:rPr>
          <w:rFonts w:eastAsia="Calibri"/>
          <w:sz w:val="22"/>
          <w:szCs w:val="22"/>
        </w:rPr>
        <w:t>00 mg plėvele dengtos tabletės yra</w:t>
      </w:r>
      <w:r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baltos arba beveik baltos</w:t>
      </w:r>
      <w:r w:rsidRPr="00EF20DC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>ovalios</w:t>
      </w:r>
      <w:r w:rsidRPr="00EF20DC">
        <w:rPr>
          <w:rFonts w:eastAsia="Calibri"/>
          <w:sz w:val="22"/>
          <w:szCs w:val="22"/>
        </w:rPr>
        <w:t xml:space="preserve">, </w:t>
      </w:r>
      <w:r>
        <w:rPr>
          <w:sz w:val="22"/>
          <w:szCs w:val="22"/>
          <w:lang w:eastAsia="en-GB"/>
        </w:rPr>
        <w:t>21,1</w:t>
      </w:r>
      <w:r w:rsidRPr="00EF20DC">
        <w:rPr>
          <w:sz w:val="22"/>
          <w:szCs w:val="22"/>
          <w:lang w:eastAsia="en-GB"/>
        </w:rPr>
        <w:t>,0</w:t>
      </w:r>
      <w:r>
        <w:rPr>
          <w:sz w:val="22"/>
          <w:szCs w:val="22"/>
          <w:lang w:eastAsia="en-GB"/>
        </w:rPr>
        <w:t> </w:t>
      </w:r>
      <w:r w:rsidRPr="00EF20DC">
        <w:rPr>
          <w:sz w:val="22"/>
          <w:szCs w:val="22"/>
          <w:lang w:eastAsia="en-GB"/>
        </w:rPr>
        <w:t>mm</w:t>
      </w:r>
      <w:r>
        <w:rPr>
          <w:sz w:val="22"/>
          <w:szCs w:val="22"/>
          <w:lang w:eastAsia="en-GB"/>
        </w:rPr>
        <w:t xml:space="preserve"> x 10,1 mm </w:t>
      </w:r>
      <w:r w:rsidRPr="00EF20DC">
        <w:rPr>
          <w:sz w:val="22"/>
          <w:szCs w:val="22"/>
          <w:lang w:eastAsia="en-GB"/>
        </w:rPr>
        <w:t>± 5</w:t>
      </w:r>
      <w:r>
        <w:rPr>
          <w:sz w:val="22"/>
          <w:szCs w:val="22"/>
          <w:lang w:eastAsia="en-GB"/>
        </w:rPr>
        <w:t xml:space="preserve"> </w:t>
      </w:r>
      <w:r w:rsidRPr="00EF20DC">
        <w:rPr>
          <w:sz w:val="22"/>
          <w:szCs w:val="22"/>
          <w:lang w:eastAsia="en-GB"/>
        </w:rPr>
        <w:t>%</w:t>
      </w:r>
      <w:r>
        <w:rPr>
          <w:sz w:val="22"/>
          <w:szCs w:val="22"/>
          <w:lang w:eastAsia="en-GB"/>
        </w:rPr>
        <w:t xml:space="preserve"> dydžio. Jų</w:t>
      </w:r>
      <w:r>
        <w:rPr>
          <w:rFonts w:eastAsia="Calibri"/>
          <w:sz w:val="22"/>
          <w:szCs w:val="22"/>
        </w:rPr>
        <w:t xml:space="preserve"> </w:t>
      </w:r>
      <w:r w:rsidRPr="00EF20DC">
        <w:rPr>
          <w:rFonts w:eastAsia="Calibri"/>
          <w:sz w:val="22"/>
          <w:szCs w:val="22"/>
        </w:rPr>
        <w:t xml:space="preserve">vienoje pusėje </w:t>
      </w:r>
      <w:r>
        <w:rPr>
          <w:rFonts w:eastAsia="Calibri"/>
          <w:sz w:val="22"/>
          <w:szCs w:val="22"/>
        </w:rPr>
        <w:t>yra laužimo vagelė, o</w:t>
      </w:r>
      <w:r w:rsidRPr="00EF20DC">
        <w:rPr>
          <w:rFonts w:eastAsia="Calibri"/>
          <w:sz w:val="22"/>
          <w:szCs w:val="22"/>
        </w:rPr>
        <w:t xml:space="preserve"> kit</w:t>
      </w:r>
      <w:r>
        <w:rPr>
          <w:rFonts w:eastAsia="Calibri"/>
          <w:sz w:val="22"/>
          <w:szCs w:val="22"/>
        </w:rPr>
        <w:t>a pusė lygi.</w:t>
      </w:r>
      <w:r w:rsidRPr="00EF20DC">
        <w:rPr>
          <w:rFonts w:eastAsia="Calibri"/>
          <w:sz w:val="22"/>
          <w:szCs w:val="22"/>
        </w:rPr>
        <w:t xml:space="preserve"> </w:t>
      </w:r>
    </w:p>
    <w:p w:rsidR="00EA5A20" w:rsidRDefault="00EA5A20" w:rsidP="00EA5A20">
      <w:pPr>
        <w:rPr>
          <w:rFonts w:eastAsia="Calibri"/>
          <w:sz w:val="22"/>
          <w:szCs w:val="22"/>
        </w:rPr>
      </w:pPr>
    </w:p>
    <w:p w:rsidR="00EA5A20" w:rsidRDefault="00EA5A20" w:rsidP="00EA5A20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Jos yra</w:t>
      </w:r>
      <w:r w:rsidRPr="00CA4084">
        <w:rPr>
          <w:rFonts w:eastAsia="Calibri"/>
          <w:sz w:val="22"/>
          <w:szCs w:val="22"/>
        </w:rPr>
        <w:t xml:space="preserve"> tiekiamas pakuotėmis po 28, </w:t>
      </w:r>
      <w:r>
        <w:rPr>
          <w:rFonts w:eastAsia="Calibri"/>
          <w:sz w:val="22"/>
          <w:szCs w:val="22"/>
        </w:rPr>
        <w:t xml:space="preserve">30, </w:t>
      </w:r>
      <w:r w:rsidRPr="00CA4084">
        <w:rPr>
          <w:rFonts w:eastAsia="Calibri"/>
          <w:sz w:val="22"/>
          <w:szCs w:val="22"/>
        </w:rPr>
        <w:t>56</w:t>
      </w:r>
      <w:r>
        <w:rPr>
          <w:rFonts w:eastAsia="Calibri"/>
          <w:sz w:val="22"/>
          <w:szCs w:val="22"/>
        </w:rPr>
        <w:t>, 60, sudėtinėmis pakuotėmis po 84 (3 pakuotės po 28), sudėtinėmis pakuotėmis po 112 (4 pakuotė po 28) arba</w:t>
      </w:r>
      <w:r w:rsidRPr="00CA4084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sudėtinėmis pakuotėmis po 120 (4 pakuotės po 30) </w:t>
      </w:r>
      <w:r w:rsidRPr="00CA4084">
        <w:rPr>
          <w:rFonts w:eastAsia="Calibri"/>
          <w:sz w:val="22"/>
          <w:szCs w:val="22"/>
        </w:rPr>
        <w:t>plėvele dengtų tablečių aliuminio-</w:t>
      </w:r>
      <w:r>
        <w:rPr>
          <w:rFonts w:eastAsia="Calibri"/>
          <w:sz w:val="22"/>
          <w:szCs w:val="22"/>
        </w:rPr>
        <w:t>OPA</w:t>
      </w:r>
      <w:r w:rsidRPr="00CA4084">
        <w:rPr>
          <w:rFonts w:eastAsia="Calibri"/>
          <w:sz w:val="22"/>
          <w:szCs w:val="22"/>
        </w:rPr>
        <w:t>/</w:t>
      </w:r>
      <w:r>
        <w:rPr>
          <w:rFonts w:eastAsia="Calibri"/>
          <w:sz w:val="22"/>
          <w:szCs w:val="22"/>
        </w:rPr>
        <w:t>Al</w:t>
      </w:r>
      <w:r w:rsidRPr="00CA4084">
        <w:rPr>
          <w:rFonts w:eastAsia="Calibri"/>
          <w:sz w:val="22"/>
          <w:szCs w:val="22"/>
        </w:rPr>
        <w:t>/PVC lizdinėse plokštelėse.</w:t>
      </w:r>
    </w:p>
    <w:p w:rsidR="00EA5A20" w:rsidRDefault="00EA5A20" w:rsidP="00EA5A20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Jos yra</w:t>
      </w:r>
      <w:r w:rsidRPr="00CA4084">
        <w:rPr>
          <w:rFonts w:eastAsia="Calibri"/>
          <w:sz w:val="22"/>
          <w:szCs w:val="22"/>
        </w:rPr>
        <w:t xml:space="preserve"> tiekiamas pakuotėmis po 28</w:t>
      </w:r>
      <w:r>
        <w:rPr>
          <w:rFonts w:eastAsia="Calibri"/>
          <w:sz w:val="22"/>
          <w:szCs w:val="22"/>
        </w:rPr>
        <w:t> x 1</w:t>
      </w:r>
      <w:r w:rsidRPr="00CA4084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 xml:space="preserve">30 x 1, </w:t>
      </w:r>
      <w:r w:rsidRPr="00CA4084">
        <w:rPr>
          <w:rFonts w:eastAsia="Calibri"/>
          <w:sz w:val="22"/>
          <w:szCs w:val="22"/>
        </w:rPr>
        <w:t>56</w:t>
      </w:r>
      <w:r>
        <w:rPr>
          <w:rFonts w:eastAsia="Calibri"/>
          <w:sz w:val="22"/>
          <w:szCs w:val="22"/>
        </w:rPr>
        <w:t> x 1, 60 x 1, sudėtinėmis pakuotėmis po 84 x 1 (3 pakuotės po 28 x 1), sudėtinėmis pakuotėmis po 112 x 1 (4 pakuotės po 28 x 1) arba</w:t>
      </w:r>
      <w:r w:rsidRPr="00CA4084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sudėtinėmis pakuotėmis po 120 x 1 (4 pakuotės po 30 x 1) </w:t>
      </w:r>
      <w:r w:rsidRPr="00CA4084">
        <w:rPr>
          <w:rFonts w:eastAsia="Calibri"/>
          <w:sz w:val="22"/>
          <w:szCs w:val="22"/>
        </w:rPr>
        <w:t>plėvele dengtų tablečių aliuminio-</w:t>
      </w:r>
      <w:r>
        <w:rPr>
          <w:rFonts w:eastAsia="Calibri"/>
          <w:sz w:val="22"/>
          <w:szCs w:val="22"/>
        </w:rPr>
        <w:t>OPA</w:t>
      </w:r>
      <w:r w:rsidRPr="00CA4084">
        <w:rPr>
          <w:rFonts w:eastAsia="Calibri"/>
          <w:sz w:val="22"/>
          <w:szCs w:val="22"/>
        </w:rPr>
        <w:t>/</w:t>
      </w:r>
      <w:r>
        <w:rPr>
          <w:rFonts w:eastAsia="Calibri"/>
          <w:sz w:val="22"/>
          <w:szCs w:val="22"/>
        </w:rPr>
        <w:t>Al</w:t>
      </w:r>
      <w:r w:rsidRPr="00CA4084">
        <w:rPr>
          <w:rFonts w:eastAsia="Calibri"/>
          <w:sz w:val="22"/>
          <w:szCs w:val="22"/>
        </w:rPr>
        <w:t>/PVC lizdinėse plokštelėse</w:t>
      </w:r>
      <w:r>
        <w:rPr>
          <w:rFonts w:eastAsia="Calibri"/>
          <w:sz w:val="22"/>
          <w:szCs w:val="22"/>
        </w:rPr>
        <w:t>.</w:t>
      </w:r>
    </w:p>
    <w:p w:rsidR="00EA5A20" w:rsidRDefault="00EA5A20" w:rsidP="00EA5A20">
      <w:pPr>
        <w:rPr>
          <w:rFonts w:eastAsia="Calibri"/>
          <w:sz w:val="22"/>
          <w:szCs w:val="22"/>
        </w:rPr>
      </w:pPr>
    </w:p>
    <w:p w:rsidR="00EA5A20" w:rsidRPr="00EF20DC" w:rsidRDefault="00EA5A20" w:rsidP="00EA5A20">
      <w:pPr>
        <w:rPr>
          <w:rFonts w:eastAsia="Calibri"/>
          <w:sz w:val="22"/>
          <w:szCs w:val="22"/>
          <w:lang w:eastAsia="en-GB"/>
        </w:rPr>
      </w:pPr>
      <w:r w:rsidRPr="00EF20DC">
        <w:rPr>
          <w:rFonts w:eastAsia="Calibri"/>
          <w:sz w:val="22"/>
          <w:szCs w:val="22"/>
          <w:lang w:eastAsia="en-GB"/>
        </w:rPr>
        <w:t>Gali būti tiekiamos ne visų dydžių pakuotės.</w:t>
      </w:r>
    </w:p>
    <w:p w:rsidR="00EA5A20" w:rsidRPr="00EF20DC" w:rsidRDefault="00EA5A20" w:rsidP="00EA5A20">
      <w:pPr>
        <w:spacing w:line="259" w:lineRule="auto"/>
        <w:rPr>
          <w:rFonts w:eastAsia="Calibri"/>
          <w:sz w:val="22"/>
          <w:szCs w:val="22"/>
          <w:lang w:eastAsia="en-GB"/>
        </w:rPr>
      </w:pPr>
    </w:p>
    <w:p w:rsidR="00EA5A20" w:rsidRPr="00EF20DC" w:rsidRDefault="00EA5A20" w:rsidP="00EA5A20">
      <w:pPr>
        <w:rPr>
          <w:rFonts w:eastAsia="SimSun"/>
          <w:b/>
          <w:sz w:val="22"/>
          <w:szCs w:val="20"/>
        </w:rPr>
      </w:pPr>
      <w:r w:rsidRPr="00EF20DC">
        <w:rPr>
          <w:rFonts w:eastAsia="SimSun"/>
          <w:b/>
          <w:sz w:val="22"/>
          <w:szCs w:val="20"/>
        </w:rPr>
        <w:t>Registruotojas ir gamintojas</w:t>
      </w:r>
    </w:p>
    <w:p w:rsidR="00EA5A20" w:rsidRPr="00EF20DC" w:rsidRDefault="00EA5A20" w:rsidP="00EA5A20">
      <w:pPr>
        <w:tabs>
          <w:tab w:val="left" w:pos="425"/>
          <w:tab w:val="left" w:pos="567"/>
        </w:tabs>
        <w:rPr>
          <w:sz w:val="22"/>
          <w:szCs w:val="22"/>
        </w:rPr>
      </w:pPr>
    </w:p>
    <w:p w:rsidR="00EA5A20" w:rsidRPr="00EF20DC" w:rsidRDefault="00EA5A20" w:rsidP="00EA5A20">
      <w:pPr>
        <w:tabs>
          <w:tab w:val="left" w:pos="425"/>
          <w:tab w:val="left" w:pos="567"/>
        </w:tabs>
        <w:rPr>
          <w:i/>
          <w:sz w:val="22"/>
          <w:szCs w:val="22"/>
        </w:rPr>
      </w:pPr>
      <w:r w:rsidRPr="00EF20DC">
        <w:rPr>
          <w:i/>
          <w:sz w:val="22"/>
          <w:szCs w:val="22"/>
        </w:rPr>
        <w:t>Registruotojas</w:t>
      </w:r>
    </w:p>
    <w:p w:rsidR="00EA5A20" w:rsidRPr="00B95884" w:rsidRDefault="00EA5A20" w:rsidP="00EA5A20">
      <w:pPr>
        <w:tabs>
          <w:tab w:val="left" w:pos="425"/>
          <w:tab w:val="left" w:pos="567"/>
        </w:tabs>
        <w:suppressAutoHyphens/>
        <w:rPr>
          <w:color w:val="000000"/>
          <w:sz w:val="22"/>
          <w:szCs w:val="22"/>
          <w:lang w:val="sl-SI" w:eastAsia="ar-SA"/>
        </w:rPr>
      </w:pPr>
      <w:r>
        <w:rPr>
          <w:color w:val="000000"/>
          <w:sz w:val="22"/>
          <w:szCs w:val="22"/>
          <w:lang w:val="sl-SI" w:eastAsia="ar-SA"/>
        </w:rPr>
        <w:t>Sandoz</w:t>
      </w:r>
      <w:r w:rsidRPr="00B95884">
        <w:rPr>
          <w:color w:val="000000"/>
          <w:sz w:val="22"/>
          <w:szCs w:val="22"/>
          <w:lang w:val="sl-SI" w:eastAsia="ar-SA"/>
        </w:rPr>
        <w:t xml:space="preserve"> d.d.</w:t>
      </w:r>
    </w:p>
    <w:p w:rsidR="00EA5A20" w:rsidRPr="00B95884" w:rsidRDefault="00EA5A20" w:rsidP="00EA5A20">
      <w:pPr>
        <w:tabs>
          <w:tab w:val="left" w:pos="425"/>
          <w:tab w:val="left" w:pos="567"/>
        </w:tabs>
        <w:suppressAutoHyphens/>
        <w:rPr>
          <w:color w:val="000000"/>
          <w:sz w:val="22"/>
          <w:szCs w:val="22"/>
          <w:lang w:val="sl-SI" w:eastAsia="ar-SA"/>
        </w:rPr>
      </w:pPr>
      <w:r w:rsidRPr="00B95884">
        <w:rPr>
          <w:color w:val="000000"/>
          <w:sz w:val="22"/>
          <w:szCs w:val="22"/>
          <w:lang w:val="sl-SI" w:eastAsia="ar-SA"/>
        </w:rPr>
        <w:t>Verovškova 57</w:t>
      </w:r>
    </w:p>
    <w:p w:rsidR="00EA5A20" w:rsidRPr="00B95884" w:rsidRDefault="00EA5A20" w:rsidP="00EA5A20">
      <w:pPr>
        <w:tabs>
          <w:tab w:val="left" w:pos="425"/>
          <w:tab w:val="left" w:pos="567"/>
        </w:tabs>
        <w:suppressAutoHyphens/>
        <w:rPr>
          <w:color w:val="000000"/>
          <w:sz w:val="22"/>
          <w:szCs w:val="22"/>
          <w:lang w:val="sl-SI" w:eastAsia="ar-SA"/>
        </w:rPr>
      </w:pPr>
      <w:r w:rsidRPr="00B95884">
        <w:rPr>
          <w:color w:val="000000"/>
          <w:sz w:val="22"/>
          <w:szCs w:val="22"/>
          <w:lang w:val="sl-SI" w:eastAsia="ar-SA"/>
        </w:rPr>
        <w:t>1000 Ljubljana</w:t>
      </w:r>
    </w:p>
    <w:p w:rsidR="00EA5A20" w:rsidRPr="00B95884" w:rsidRDefault="00EA5A20" w:rsidP="00EA5A20">
      <w:pPr>
        <w:tabs>
          <w:tab w:val="left" w:pos="425"/>
          <w:tab w:val="left" w:pos="567"/>
        </w:tabs>
        <w:suppressAutoHyphens/>
        <w:rPr>
          <w:rFonts w:eastAsia="SimSun"/>
          <w:color w:val="000000"/>
          <w:sz w:val="22"/>
          <w:szCs w:val="22"/>
          <w:lang w:val="sl-SI" w:eastAsia="ar-SA"/>
        </w:rPr>
      </w:pPr>
      <w:r w:rsidRPr="00B95884">
        <w:rPr>
          <w:color w:val="000000"/>
          <w:sz w:val="22"/>
          <w:szCs w:val="22"/>
          <w:lang w:val="sl-SI" w:eastAsia="ar-SA"/>
        </w:rPr>
        <w:t>Slovėnija</w:t>
      </w: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bCs/>
          <w:i/>
          <w:sz w:val="22"/>
          <w:szCs w:val="22"/>
          <w:lang w:eastAsia="zh-CN"/>
        </w:rPr>
      </w:pP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i/>
          <w:sz w:val="22"/>
          <w:szCs w:val="22"/>
          <w:lang w:eastAsia="zh-CN"/>
        </w:rPr>
      </w:pPr>
      <w:r w:rsidRPr="00EF20DC">
        <w:rPr>
          <w:rFonts w:eastAsia="SimSun"/>
          <w:bCs/>
          <w:i/>
          <w:sz w:val="22"/>
          <w:szCs w:val="22"/>
          <w:lang w:eastAsia="zh-CN"/>
        </w:rPr>
        <w:t>Gamintojas</w:t>
      </w:r>
    </w:p>
    <w:p w:rsidR="00EA5A20" w:rsidRPr="00987E1E" w:rsidRDefault="00EA5A20" w:rsidP="00EA5A20">
      <w:pPr>
        <w:suppressAutoHyphens/>
        <w:rPr>
          <w:color w:val="000000"/>
          <w:sz w:val="22"/>
          <w:szCs w:val="22"/>
          <w:lang w:val="sl-SI" w:eastAsia="ar-SA"/>
        </w:rPr>
      </w:pPr>
      <w:r w:rsidRPr="00987E1E">
        <w:rPr>
          <w:color w:val="000000"/>
          <w:sz w:val="22"/>
          <w:szCs w:val="22"/>
          <w:lang w:val="sl-SI" w:eastAsia="ar-SA"/>
        </w:rPr>
        <w:t>Lek Pharmaceuticals d.d</w:t>
      </w:r>
      <w:r>
        <w:rPr>
          <w:color w:val="000000"/>
          <w:sz w:val="22"/>
          <w:szCs w:val="22"/>
          <w:lang w:val="sl-SI" w:eastAsia="ar-SA"/>
        </w:rPr>
        <w:t>.</w:t>
      </w:r>
      <w:r w:rsidRPr="00987E1E">
        <w:rPr>
          <w:color w:val="000000"/>
          <w:sz w:val="22"/>
          <w:szCs w:val="22"/>
          <w:lang w:val="sl-SI" w:eastAsia="ar-SA"/>
        </w:rPr>
        <w:t xml:space="preserve"> </w:t>
      </w:r>
    </w:p>
    <w:p w:rsidR="00EA5A20" w:rsidRPr="00987E1E" w:rsidRDefault="00EA5A20" w:rsidP="00EA5A20">
      <w:pPr>
        <w:suppressAutoHyphens/>
        <w:rPr>
          <w:color w:val="000000"/>
          <w:sz w:val="22"/>
          <w:szCs w:val="22"/>
          <w:lang w:val="sl-SI" w:eastAsia="ar-SA"/>
        </w:rPr>
      </w:pPr>
      <w:r w:rsidRPr="00987E1E">
        <w:rPr>
          <w:color w:val="000000"/>
          <w:sz w:val="22"/>
          <w:szCs w:val="22"/>
          <w:lang w:val="sl-SI" w:eastAsia="ar-SA"/>
        </w:rPr>
        <w:t>Verovškova 57</w:t>
      </w:r>
    </w:p>
    <w:p w:rsidR="00EA5A20" w:rsidRPr="00987E1E" w:rsidRDefault="00EA5A20" w:rsidP="00EA5A20">
      <w:pPr>
        <w:suppressAutoHyphens/>
        <w:rPr>
          <w:color w:val="000000"/>
          <w:sz w:val="22"/>
          <w:szCs w:val="22"/>
          <w:lang w:val="sl-SI" w:eastAsia="ar-SA"/>
        </w:rPr>
      </w:pPr>
      <w:r w:rsidRPr="00987E1E">
        <w:rPr>
          <w:color w:val="000000"/>
          <w:sz w:val="22"/>
          <w:szCs w:val="22"/>
          <w:lang w:val="sl-SI" w:eastAsia="ar-SA"/>
        </w:rPr>
        <w:t>1526 Ljubljana</w:t>
      </w:r>
    </w:p>
    <w:p w:rsidR="00EA5A20" w:rsidRPr="00987E1E" w:rsidRDefault="00EA5A20" w:rsidP="00EA5A20">
      <w:pPr>
        <w:suppressAutoHyphens/>
        <w:rPr>
          <w:rFonts w:eastAsia="Calibri"/>
          <w:color w:val="000000"/>
          <w:sz w:val="22"/>
          <w:szCs w:val="22"/>
          <w:shd w:val="clear" w:color="auto" w:fill="FFFF00"/>
          <w:lang w:val="sl-SI" w:eastAsia="ar-SA"/>
        </w:rPr>
      </w:pPr>
      <w:r w:rsidRPr="00987E1E">
        <w:rPr>
          <w:color w:val="000000"/>
          <w:sz w:val="22"/>
          <w:szCs w:val="22"/>
          <w:lang w:val="sl-SI" w:eastAsia="ar-SA"/>
        </w:rPr>
        <w:t>Slovėnija</w:t>
      </w:r>
    </w:p>
    <w:p w:rsidR="00EA5A20" w:rsidRDefault="00EA5A20" w:rsidP="00EA5A20">
      <w:pPr>
        <w:suppressAutoHyphens/>
        <w:rPr>
          <w:rFonts w:eastAsia="SimSun"/>
          <w:color w:val="000000"/>
          <w:sz w:val="22"/>
          <w:szCs w:val="22"/>
          <w:u w:val="single"/>
          <w:lang w:val="sl-SI" w:eastAsia="ar-SA"/>
        </w:rPr>
      </w:pPr>
    </w:p>
    <w:p w:rsidR="00EA5A20" w:rsidRPr="00987E1E" w:rsidRDefault="00EA5A20" w:rsidP="00EA5A20">
      <w:pPr>
        <w:suppressAutoHyphens/>
        <w:rPr>
          <w:rFonts w:eastAsia="SimSun"/>
          <w:color w:val="000000"/>
          <w:sz w:val="22"/>
          <w:szCs w:val="22"/>
          <w:lang w:val="sl-SI" w:eastAsia="ar-SA"/>
        </w:rPr>
      </w:pPr>
      <w:r w:rsidRPr="00987E1E">
        <w:rPr>
          <w:rFonts w:eastAsia="SimSun"/>
          <w:color w:val="000000"/>
          <w:sz w:val="22"/>
          <w:szCs w:val="22"/>
          <w:lang w:val="sl-SI" w:eastAsia="ar-SA"/>
        </w:rPr>
        <w:t>arba</w:t>
      </w:r>
    </w:p>
    <w:p w:rsidR="00EA5A20" w:rsidRPr="00987E1E" w:rsidRDefault="00EA5A20" w:rsidP="00EA5A20">
      <w:pPr>
        <w:suppressAutoHyphens/>
        <w:rPr>
          <w:rFonts w:eastAsia="SimSun"/>
          <w:color w:val="000000"/>
          <w:sz w:val="22"/>
          <w:szCs w:val="22"/>
          <w:u w:val="single"/>
          <w:lang w:val="sl-SI" w:eastAsia="ar-SA"/>
        </w:rPr>
      </w:pPr>
    </w:p>
    <w:p w:rsidR="00EA5A20" w:rsidRPr="00987E1E" w:rsidRDefault="00EA5A20" w:rsidP="00EA5A20">
      <w:pPr>
        <w:suppressAutoHyphens/>
        <w:rPr>
          <w:color w:val="000000"/>
          <w:sz w:val="22"/>
          <w:szCs w:val="22"/>
          <w:lang w:val="sl-SI" w:eastAsia="ar-SA"/>
        </w:rPr>
      </w:pPr>
      <w:r w:rsidRPr="00987E1E">
        <w:rPr>
          <w:color w:val="000000"/>
          <w:sz w:val="22"/>
          <w:szCs w:val="22"/>
          <w:lang w:val="sl-SI" w:eastAsia="ar-SA"/>
        </w:rPr>
        <w:t>Remedica Ltd.</w:t>
      </w:r>
    </w:p>
    <w:p w:rsidR="00EA5A20" w:rsidRPr="00987E1E" w:rsidRDefault="00EA5A20" w:rsidP="00EA5A20">
      <w:pPr>
        <w:suppressAutoHyphens/>
        <w:rPr>
          <w:color w:val="000000"/>
          <w:sz w:val="22"/>
          <w:szCs w:val="22"/>
          <w:lang w:val="sl-SI" w:eastAsia="ar-SA"/>
        </w:rPr>
      </w:pPr>
      <w:r w:rsidRPr="00987E1E">
        <w:rPr>
          <w:color w:val="000000"/>
          <w:sz w:val="22"/>
          <w:szCs w:val="22"/>
          <w:lang w:val="sl-SI" w:eastAsia="ar-SA"/>
        </w:rPr>
        <w:t>Aharnon Street, Limassol Industrial Estate</w:t>
      </w:r>
    </w:p>
    <w:p w:rsidR="00EA5A20" w:rsidRPr="00987E1E" w:rsidRDefault="00EA5A20" w:rsidP="00EA5A20">
      <w:pPr>
        <w:suppressAutoHyphens/>
        <w:rPr>
          <w:color w:val="000000"/>
          <w:sz w:val="22"/>
          <w:szCs w:val="22"/>
          <w:lang w:val="sl-SI" w:eastAsia="ar-SA"/>
        </w:rPr>
      </w:pPr>
      <w:r w:rsidRPr="00987E1E">
        <w:rPr>
          <w:color w:val="000000"/>
          <w:sz w:val="22"/>
          <w:szCs w:val="22"/>
          <w:lang w:val="sl-SI" w:eastAsia="ar-SA"/>
        </w:rPr>
        <w:t>3056 Limassol</w:t>
      </w:r>
    </w:p>
    <w:p w:rsidR="00EA5A20" w:rsidRPr="0007561E" w:rsidRDefault="00EA5A20" w:rsidP="00EA5A20">
      <w:pPr>
        <w:suppressAutoHyphens/>
        <w:rPr>
          <w:color w:val="000000"/>
          <w:sz w:val="22"/>
          <w:lang w:val="sl-SI"/>
        </w:rPr>
      </w:pPr>
      <w:r w:rsidRPr="00987E1E">
        <w:rPr>
          <w:color w:val="000000"/>
          <w:sz w:val="22"/>
          <w:szCs w:val="22"/>
          <w:lang w:val="sl-SI" w:eastAsia="ar-SA"/>
        </w:rPr>
        <w:t>Kipras</w:t>
      </w:r>
    </w:p>
    <w:p w:rsidR="00EA5A20" w:rsidRPr="0007561E" w:rsidRDefault="00EA5A20" w:rsidP="00EA5A20">
      <w:pPr>
        <w:suppressAutoHyphens/>
        <w:rPr>
          <w:color w:val="000000"/>
          <w:sz w:val="22"/>
          <w:lang w:val="sl-SI"/>
        </w:rPr>
      </w:pPr>
    </w:p>
    <w:p w:rsidR="00EA5A20" w:rsidRDefault="00EA5A20" w:rsidP="00EA5A20">
      <w:pPr>
        <w:suppressAutoHyphens/>
        <w:rPr>
          <w:color w:val="000000"/>
          <w:sz w:val="22"/>
          <w:szCs w:val="22"/>
          <w:lang w:val="sl-SI" w:eastAsia="ar-SA"/>
        </w:rPr>
      </w:pPr>
      <w:r>
        <w:rPr>
          <w:color w:val="000000"/>
          <w:sz w:val="22"/>
          <w:szCs w:val="22"/>
          <w:lang w:val="sl-SI" w:eastAsia="ar-SA"/>
        </w:rPr>
        <w:t>arba</w:t>
      </w:r>
    </w:p>
    <w:p w:rsidR="00EA5A20" w:rsidRDefault="00EA5A20" w:rsidP="00EA5A20">
      <w:pPr>
        <w:suppressAutoHyphens/>
        <w:rPr>
          <w:color w:val="000000"/>
          <w:sz w:val="22"/>
          <w:szCs w:val="22"/>
          <w:lang w:val="sl-SI" w:eastAsia="ar-SA"/>
        </w:rPr>
      </w:pPr>
    </w:p>
    <w:p w:rsidR="00EA5A20" w:rsidRPr="005F4D76" w:rsidRDefault="00EA5A20" w:rsidP="00EA5A20">
      <w:pPr>
        <w:suppressAutoHyphens/>
        <w:rPr>
          <w:color w:val="000000"/>
          <w:sz w:val="22"/>
          <w:szCs w:val="22"/>
          <w:lang w:val="sl-SI" w:eastAsia="ar-SA"/>
        </w:rPr>
      </w:pPr>
      <w:r w:rsidRPr="003C4F0A">
        <w:rPr>
          <w:color w:val="000000"/>
          <w:sz w:val="22"/>
          <w:szCs w:val="22"/>
          <w:lang w:val="sl-SI" w:eastAsia="ar-SA"/>
        </w:rPr>
        <w:t>PharOS MT Ltd.</w:t>
      </w:r>
    </w:p>
    <w:p w:rsidR="00EA5A20" w:rsidRDefault="00EA5A20" w:rsidP="00EA5A20">
      <w:pPr>
        <w:suppressAutoHyphens/>
        <w:rPr>
          <w:color w:val="000000"/>
          <w:sz w:val="22"/>
          <w:szCs w:val="22"/>
          <w:lang w:val="sl-SI" w:eastAsia="ar-SA"/>
        </w:rPr>
      </w:pPr>
      <w:r w:rsidRPr="005F4D76">
        <w:rPr>
          <w:color w:val="000000"/>
          <w:sz w:val="22"/>
          <w:szCs w:val="22"/>
          <w:lang w:val="sl-SI" w:eastAsia="ar-SA"/>
        </w:rPr>
        <w:t>H</w:t>
      </w:r>
      <w:r w:rsidRPr="003C4F0A">
        <w:rPr>
          <w:color w:val="000000"/>
          <w:sz w:val="22"/>
          <w:szCs w:val="22"/>
          <w:lang w:val="sl-SI" w:eastAsia="ar-SA"/>
        </w:rPr>
        <w:t>F62X, Hal Far Industrial Estate</w:t>
      </w:r>
      <w:r w:rsidRPr="005F4D76">
        <w:rPr>
          <w:color w:val="000000"/>
          <w:sz w:val="22"/>
          <w:szCs w:val="22"/>
          <w:lang w:val="sl-SI" w:eastAsia="ar-SA"/>
        </w:rPr>
        <w:t xml:space="preserve"> </w:t>
      </w:r>
    </w:p>
    <w:p w:rsidR="00EA5A20" w:rsidRDefault="00EA5A20" w:rsidP="00EA5A20">
      <w:pPr>
        <w:suppressAutoHyphens/>
        <w:rPr>
          <w:color w:val="000000"/>
          <w:sz w:val="22"/>
          <w:szCs w:val="22"/>
          <w:lang w:val="sl-SI" w:eastAsia="ar-SA"/>
        </w:rPr>
      </w:pPr>
      <w:r w:rsidRPr="003C4F0A">
        <w:rPr>
          <w:color w:val="000000"/>
          <w:sz w:val="22"/>
          <w:szCs w:val="22"/>
          <w:lang w:val="sl-SI" w:eastAsia="ar-SA"/>
        </w:rPr>
        <w:t>Birzebbugia BBG3000</w:t>
      </w:r>
      <w:r w:rsidRPr="005F4D76">
        <w:rPr>
          <w:color w:val="000000"/>
          <w:sz w:val="22"/>
          <w:szCs w:val="22"/>
          <w:lang w:val="sl-SI" w:eastAsia="ar-SA"/>
        </w:rPr>
        <w:t xml:space="preserve"> </w:t>
      </w:r>
    </w:p>
    <w:p w:rsidR="00EA5A20" w:rsidRPr="005F4D76" w:rsidRDefault="00EA5A20" w:rsidP="00EA5A20">
      <w:pPr>
        <w:suppressAutoHyphens/>
        <w:rPr>
          <w:color w:val="000000"/>
          <w:sz w:val="22"/>
          <w:szCs w:val="22"/>
          <w:lang w:val="sl-SI" w:eastAsia="ar-SA"/>
        </w:rPr>
      </w:pPr>
      <w:r w:rsidRPr="005F4D76">
        <w:rPr>
          <w:color w:val="000000"/>
          <w:sz w:val="22"/>
          <w:szCs w:val="22"/>
          <w:lang w:val="sl-SI" w:eastAsia="ar-SA"/>
        </w:rPr>
        <w:t>Malta</w:t>
      </w:r>
    </w:p>
    <w:p w:rsidR="00EA5A20" w:rsidRPr="00EF20DC" w:rsidRDefault="00EA5A20" w:rsidP="00EA5A20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bCs/>
          <w:snapToGrid w:val="0"/>
          <w:sz w:val="22"/>
          <w:szCs w:val="22"/>
        </w:rPr>
      </w:pPr>
    </w:p>
    <w:p w:rsidR="00EA5A20" w:rsidRPr="009C3841" w:rsidRDefault="00EA5A20" w:rsidP="00EA5A20">
      <w:pPr>
        <w:rPr>
          <w:sz w:val="22"/>
          <w:szCs w:val="22"/>
        </w:rPr>
      </w:pPr>
      <w:r w:rsidRPr="009C3841">
        <w:rPr>
          <w:sz w:val="22"/>
          <w:szCs w:val="22"/>
        </w:rPr>
        <w:t>Jeigu apie šį vaistą norite sužinoti daugiau, kreipkitės į vietinį reg</w:t>
      </w:r>
      <w:r>
        <w:rPr>
          <w:sz w:val="22"/>
          <w:szCs w:val="22"/>
        </w:rPr>
        <w:t>i</w:t>
      </w:r>
      <w:r w:rsidRPr="009C3841">
        <w:rPr>
          <w:sz w:val="22"/>
          <w:szCs w:val="22"/>
        </w:rPr>
        <w:t>struotojo atstovą.</w:t>
      </w:r>
    </w:p>
    <w:p w:rsidR="00EA5A20" w:rsidRPr="009C3841" w:rsidRDefault="00EA5A20" w:rsidP="00EA5A20">
      <w:pPr>
        <w:overflowPunct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EA5A20" w:rsidRPr="009C3841" w:rsidTr="00312416">
        <w:tc>
          <w:tcPr>
            <w:tcW w:w="4678" w:type="dxa"/>
            <w:hideMark/>
          </w:tcPr>
          <w:p w:rsidR="00EA5A20" w:rsidRPr="009C3841" w:rsidRDefault="00EA5A20" w:rsidP="0031241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Cs w:val="22"/>
              </w:rPr>
            </w:pPr>
            <w:r w:rsidRPr="009C3841">
              <w:rPr>
                <w:sz w:val="22"/>
                <w:szCs w:val="22"/>
              </w:rPr>
              <w:t>Sandoz Pharmaceuticals d.d.</w:t>
            </w:r>
            <w:r>
              <w:rPr>
                <w:sz w:val="22"/>
                <w:szCs w:val="22"/>
              </w:rPr>
              <w:t xml:space="preserve"> </w:t>
            </w:r>
            <w:r w:rsidRPr="009C3841">
              <w:rPr>
                <w:sz w:val="22"/>
                <w:szCs w:val="22"/>
              </w:rPr>
              <w:t>filialas</w:t>
            </w:r>
          </w:p>
          <w:p w:rsidR="00EA5A20" w:rsidRPr="00A07BA7" w:rsidRDefault="00EA5A20" w:rsidP="0031241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Cs w:val="22"/>
                <w:lang w:val="es-ES"/>
              </w:rPr>
            </w:pPr>
            <w:r w:rsidRPr="009C3841">
              <w:rPr>
                <w:sz w:val="22"/>
                <w:szCs w:val="22"/>
                <w:lang w:val="es-ES"/>
              </w:rPr>
              <w:t>Tel. +370 5 2636 037</w:t>
            </w:r>
          </w:p>
        </w:tc>
      </w:tr>
    </w:tbl>
    <w:p w:rsidR="00EA5A20" w:rsidRPr="009C3841" w:rsidRDefault="00EA5A20" w:rsidP="00EA5A20">
      <w:pPr>
        <w:tabs>
          <w:tab w:val="left" w:pos="567"/>
        </w:tabs>
        <w:suppressAutoHyphens/>
        <w:spacing w:line="260" w:lineRule="exact"/>
        <w:rPr>
          <w:color w:val="000000"/>
          <w:sz w:val="22"/>
          <w:szCs w:val="22"/>
          <w:u w:val="single"/>
          <w:lang w:val="es-ES" w:eastAsia="ar-SA"/>
        </w:rPr>
      </w:pPr>
    </w:p>
    <w:p w:rsidR="00EA5A20" w:rsidRDefault="00EA5A20" w:rsidP="00EA5A20">
      <w:pPr>
        <w:tabs>
          <w:tab w:val="left" w:pos="567"/>
        </w:tabs>
        <w:suppressAutoHyphens/>
        <w:spacing w:after="120"/>
        <w:rPr>
          <w:rFonts w:eastAsia="SimSun"/>
          <w:color w:val="000000"/>
          <w:sz w:val="22"/>
          <w:szCs w:val="22"/>
          <w:lang w:val="sl-SI" w:eastAsia="ar-SA"/>
        </w:rPr>
      </w:pPr>
      <w:r w:rsidRPr="00CE537C">
        <w:rPr>
          <w:rFonts w:eastAsia="SimSun"/>
          <w:b/>
          <w:color w:val="000000"/>
          <w:sz w:val="22"/>
          <w:szCs w:val="22"/>
          <w:lang w:val="sl-SI" w:eastAsia="ar-SA"/>
        </w:rPr>
        <w:t>Šis vaistas E</w:t>
      </w:r>
      <w:r>
        <w:rPr>
          <w:rFonts w:eastAsia="SimSun"/>
          <w:b/>
          <w:color w:val="000000"/>
          <w:sz w:val="22"/>
          <w:szCs w:val="22"/>
          <w:lang w:val="sl-SI" w:eastAsia="ar-SA"/>
        </w:rPr>
        <w:t xml:space="preserve">uropos </w:t>
      </w:r>
      <w:r w:rsidRPr="00CE537C">
        <w:rPr>
          <w:rFonts w:eastAsia="SimSun"/>
          <w:b/>
          <w:color w:val="000000"/>
          <w:sz w:val="22"/>
          <w:szCs w:val="22"/>
          <w:lang w:val="sl-SI" w:eastAsia="ar-SA"/>
        </w:rPr>
        <w:t>E</w:t>
      </w:r>
      <w:r>
        <w:rPr>
          <w:rFonts w:eastAsia="SimSun"/>
          <w:b/>
          <w:color w:val="000000"/>
          <w:sz w:val="22"/>
          <w:szCs w:val="22"/>
          <w:lang w:val="sl-SI" w:eastAsia="ar-SA"/>
        </w:rPr>
        <w:t xml:space="preserve">konominės </w:t>
      </w:r>
      <w:r w:rsidRPr="00CE537C">
        <w:rPr>
          <w:rFonts w:eastAsia="SimSun"/>
          <w:b/>
          <w:color w:val="000000"/>
          <w:sz w:val="22"/>
          <w:szCs w:val="22"/>
          <w:lang w:val="sl-SI" w:eastAsia="ar-SA"/>
        </w:rPr>
        <w:t>E</w:t>
      </w:r>
      <w:r>
        <w:rPr>
          <w:rFonts w:eastAsia="SimSun"/>
          <w:b/>
          <w:color w:val="000000"/>
          <w:sz w:val="22"/>
          <w:szCs w:val="22"/>
          <w:lang w:val="sl-SI" w:eastAsia="ar-SA"/>
        </w:rPr>
        <w:t>rdvės</w:t>
      </w:r>
      <w:r w:rsidRPr="00CE537C">
        <w:rPr>
          <w:rFonts w:eastAsia="SimSun"/>
          <w:b/>
          <w:color w:val="000000"/>
          <w:sz w:val="22"/>
          <w:szCs w:val="22"/>
          <w:lang w:val="sl-SI" w:eastAsia="ar-SA"/>
        </w:rPr>
        <w:t xml:space="preserve"> valstybėse narėse registruotas tokiais pavadinimais</w:t>
      </w:r>
      <w:r w:rsidRPr="00CE537C">
        <w:rPr>
          <w:rFonts w:eastAsia="SimSun"/>
          <w:color w:val="000000"/>
          <w:sz w:val="22"/>
          <w:szCs w:val="22"/>
          <w:lang w:val="sl-SI" w:eastAsia="ar-SA"/>
        </w:rPr>
        <w:t>:</w:t>
      </w:r>
    </w:p>
    <w:tbl>
      <w:tblPr>
        <w:tblW w:w="46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3968"/>
      </w:tblGrid>
      <w:tr w:rsidR="00EA5A20" w:rsidRPr="0015499A" w:rsidTr="00312416"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A20" w:rsidRPr="0015499A" w:rsidRDefault="00EA5A20" w:rsidP="00312416">
            <w:pPr>
              <w:suppressAutoHyphens/>
              <w:rPr>
                <w:b/>
                <w:bCs/>
                <w:sz w:val="22"/>
                <w:szCs w:val="22"/>
              </w:rPr>
            </w:pPr>
            <w:r w:rsidRPr="0015499A">
              <w:rPr>
                <w:b/>
                <w:bCs/>
                <w:sz w:val="22"/>
                <w:szCs w:val="22"/>
              </w:rPr>
              <w:t xml:space="preserve">Valstybės narės pavadinimas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A20" w:rsidRPr="0015499A" w:rsidRDefault="00EA5A20" w:rsidP="00312416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15499A">
              <w:rPr>
                <w:b/>
                <w:bCs/>
                <w:sz w:val="22"/>
                <w:szCs w:val="22"/>
              </w:rPr>
              <w:t xml:space="preserve">Vaisto pavadinimas </w:t>
            </w:r>
          </w:p>
        </w:tc>
      </w:tr>
      <w:tr w:rsidR="00EA5A20" w:rsidRPr="0015499A" w:rsidTr="00312416"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0" w:rsidRPr="0015499A" w:rsidRDefault="00EA5A20" w:rsidP="00312416">
            <w:pPr>
              <w:suppressAutoHyphens/>
              <w:jc w:val="both"/>
              <w:rPr>
                <w:sz w:val="22"/>
                <w:szCs w:val="22"/>
              </w:rPr>
            </w:pPr>
            <w:r w:rsidRPr="0015499A">
              <w:rPr>
                <w:sz w:val="22"/>
                <w:szCs w:val="22"/>
              </w:rPr>
              <w:t>Austrija</w:t>
            </w:r>
            <w:r>
              <w:rPr>
                <w:sz w:val="22"/>
                <w:szCs w:val="22"/>
              </w:rPr>
              <w:t>, Belgija, Čekija,</w:t>
            </w:r>
            <w:r w:rsidRPr="001549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Danija, Estija, Graikija, Ispanija, Kroatija, Latvija, Lenkija, Nyderlandai, Portugalija, Rumunija, Slovakija, Vengrija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0" w:rsidRPr="0015499A" w:rsidRDefault="00EA5A20" w:rsidP="00312416">
            <w:pPr>
              <w:suppressAutoHyphens/>
              <w:jc w:val="both"/>
              <w:rPr>
                <w:sz w:val="22"/>
                <w:szCs w:val="22"/>
              </w:rPr>
            </w:pPr>
            <w:r w:rsidRPr="003727DC">
              <w:rPr>
                <w:sz w:val="22"/>
                <w:szCs w:val="22"/>
              </w:rPr>
              <w:t xml:space="preserve">Sorafenib Sandoz </w:t>
            </w:r>
          </w:p>
        </w:tc>
      </w:tr>
      <w:tr w:rsidR="00EA5A20" w:rsidRPr="0015499A" w:rsidTr="00312416"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0" w:rsidRPr="0015499A" w:rsidRDefault="00EA5A20" w:rsidP="00312416">
            <w:pPr>
              <w:suppressAutoHyphens/>
              <w:jc w:val="both"/>
              <w:rPr>
                <w:sz w:val="22"/>
                <w:szCs w:val="22"/>
              </w:rPr>
            </w:pPr>
            <w:r w:rsidRPr="0015499A">
              <w:rPr>
                <w:sz w:val="22"/>
                <w:szCs w:val="22"/>
              </w:rPr>
              <w:t>Lietuva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0" w:rsidRPr="0015499A" w:rsidRDefault="00EA5A20" w:rsidP="00312416">
            <w:pPr>
              <w:suppressAutoHyphens/>
              <w:jc w:val="both"/>
              <w:rPr>
                <w:sz w:val="22"/>
                <w:szCs w:val="22"/>
              </w:rPr>
            </w:pPr>
            <w:r w:rsidRPr="003727DC">
              <w:rPr>
                <w:sz w:val="22"/>
                <w:szCs w:val="22"/>
              </w:rPr>
              <w:t xml:space="preserve">Sorafenib </w:t>
            </w:r>
            <w:r>
              <w:rPr>
                <w:sz w:val="22"/>
                <w:szCs w:val="22"/>
              </w:rPr>
              <w:t>Sandoz</w:t>
            </w:r>
            <w:r w:rsidRPr="003727DC">
              <w:rPr>
                <w:sz w:val="22"/>
                <w:szCs w:val="22"/>
              </w:rPr>
              <w:t xml:space="preserve"> </w:t>
            </w:r>
          </w:p>
        </w:tc>
      </w:tr>
      <w:tr w:rsidR="00EA5A20" w:rsidRPr="003727DC" w:rsidTr="00312416"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0" w:rsidRPr="003727DC" w:rsidRDefault="00EA5A20" w:rsidP="00312416">
            <w:pPr>
              <w:suppressAutoHyphens/>
              <w:jc w:val="both"/>
              <w:rPr>
                <w:sz w:val="22"/>
                <w:szCs w:val="22"/>
              </w:rPr>
            </w:pPr>
            <w:r w:rsidRPr="003727DC">
              <w:rPr>
                <w:sz w:val="22"/>
                <w:szCs w:val="22"/>
              </w:rPr>
              <w:t>Vokietija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20" w:rsidRPr="003727DC" w:rsidRDefault="00EA5A20" w:rsidP="00312416">
            <w:pPr>
              <w:suppressAutoHyphens/>
              <w:jc w:val="both"/>
              <w:rPr>
                <w:sz w:val="22"/>
                <w:szCs w:val="22"/>
              </w:rPr>
            </w:pPr>
            <w:r w:rsidRPr="003727DC">
              <w:rPr>
                <w:sz w:val="22"/>
                <w:szCs w:val="22"/>
              </w:rPr>
              <w:t xml:space="preserve">Sorafenib HEXAL </w:t>
            </w:r>
          </w:p>
          <w:p w:rsidR="00EA5A20" w:rsidRPr="003727DC" w:rsidRDefault="00EA5A20" w:rsidP="0031241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outlineLvl w:val="0"/>
        <w:rPr>
          <w:rFonts w:eastAsia="SimSun"/>
          <w:sz w:val="22"/>
          <w:szCs w:val="22"/>
          <w:lang w:eastAsia="zh-CN"/>
        </w:rPr>
      </w:pPr>
      <w:r w:rsidRPr="00EF20DC">
        <w:rPr>
          <w:rFonts w:eastAsia="SimSun"/>
          <w:b/>
          <w:bCs/>
          <w:sz w:val="22"/>
          <w:szCs w:val="22"/>
          <w:lang w:eastAsia="zh-CN"/>
        </w:rPr>
        <w:t xml:space="preserve">Šis pakuotės </w:t>
      </w:r>
      <w:r w:rsidRPr="00EF20DC">
        <w:rPr>
          <w:rFonts w:eastAsia="SimSun"/>
          <w:b/>
          <w:sz w:val="22"/>
          <w:szCs w:val="22"/>
          <w:lang w:eastAsia="zh-CN"/>
        </w:rPr>
        <w:t xml:space="preserve">lapelis paskutinį kartą peržiūrėtas </w:t>
      </w:r>
      <w:r>
        <w:rPr>
          <w:rFonts w:eastAsia="SimSun"/>
          <w:b/>
          <w:sz w:val="22"/>
          <w:szCs w:val="22"/>
          <w:lang w:eastAsia="zh-CN"/>
        </w:rPr>
        <w:t>2025-02-21.</w:t>
      </w: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  <w:rPr>
          <w:rFonts w:eastAsia="SimSun"/>
          <w:iCs/>
          <w:sz w:val="22"/>
          <w:szCs w:val="22"/>
          <w:highlight w:val="yellow"/>
          <w:lang w:eastAsia="zh-CN"/>
        </w:rPr>
      </w:pPr>
    </w:p>
    <w:p w:rsidR="00EA5A20" w:rsidRPr="00EF20DC" w:rsidRDefault="00EA5A20" w:rsidP="00EA5A20">
      <w:pPr>
        <w:numPr>
          <w:ilvl w:val="12"/>
          <w:numId w:val="0"/>
        </w:numPr>
        <w:tabs>
          <w:tab w:val="left" w:pos="567"/>
        </w:tabs>
      </w:pPr>
      <w:r w:rsidRPr="00EF20DC"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EF20DC">
        <w:rPr>
          <w:i/>
          <w:snapToGrid w:val="0"/>
          <w:sz w:val="22"/>
          <w:szCs w:val="22"/>
        </w:rPr>
        <w:t xml:space="preserve"> </w:t>
      </w:r>
      <w:hyperlink r:id="rId5" w:history="1">
        <w:r w:rsidRPr="00560BAB">
          <w:rPr>
            <w:rStyle w:val="Hipersaitas"/>
          </w:rPr>
          <w:t>https://vvkt.lrv.lt/lt/</w:t>
        </w:r>
      </w:hyperlink>
      <w:r>
        <w:rPr>
          <w:u w:val="single"/>
        </w:rPr>
        <w:t xml:space="preserve">. </w:t>
      </w:r>
    </w:p>
    <w:p w:rsidR="00EA5A20" w:rsidRDefault="00EA5A20" w:rsidP="00EA5A20">
      <w:pPr>
        <w:keepNext/>
        <w:tabs>
          <w:tab w:val="left" w:pos="567"/>
        </w:tabs>
        <w:jc w:val="center"/>
        <w:outlineLvl w:val="1"/>
        <w:rPr>
          <w:rFonts w:eastAsia="SimSun"/>
          <w:b/>
          <w:iCs/>
          <w:sz w:val="22"/>
          <w:szCs w:val="22"/>
        </w:rPr>
      </w:pPr>
    </w:p>
    <w:p w:rsidR="00EA5A20" w:rsidRDefault="00EA5A20" w:rsidP="00EA5A20">
      <w:pPr>
        <w:keepNext/>
        <w:tabs>
          <w:tab w:val="left" w:pos="567"/>
        </w:tabs>
        <w:jc w:val="center"/>
        <w:outlineLvl w:val="1"/>
        <w:rPr>
          <w:rFonts w:eastAsia="SimSun"/>
          <w:b/>
          <w:iCs/>
          <w:sz w:val="22"/>
          <w:szCs w:val="22"/>
        </w:rPr>
      </w:pPr>
      <w:bookmarkStart w:id="0" w:name="_GoBack"/>
      <w:bookmarkEnd w:id="0"/>
    </w:p>
    <w:sectPr w:rsidR="00EA5A20" w:rsidSect="00DD2430">
      <w:headerReference w:type="default" r:id="rId6"/>
      <w:footerReference w:type="default" r:id="rId7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A1E" w:rsidRDefault="00EA5A20">
    <w:pPr>
      <w:pStyle w:val="Porat"/>
      <w:jc w:val="right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7</w:t>
    </w:r>
    <w:r>
      <w:fldChar w:fldCharType="end"/>
    </w:r>
  </w:p>
  <w:p w:rsidR="00672A1E" w:rsidRDefault="00EA5A20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A1E" w:rsidRDefault="00EA5A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85ACE"/>
    <w:multiLevelType w:val="hybridMultilevel"/>
    <w:tmpl w:val="B2505ED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E8460">
      <w:numFmt w:val="bullet"/>
      <w:lvlText w:val="˗"/>
      <w:lvlJc w:val="left"/>
      <w:pPr>
        <w:ind w:left="2160" w:hanging="360"/>
      </w:pPr>
      <w:rPr>
        <w:rFonts w:ascii="Times New Roman" w:hAnsi="Times New Roman" w:cs="Times New Roman" w:hint="default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B2056"/>
    <w:multiLevelType w:val="hybridMultilevel"/>
    <w:tmpl w:val="8E12B84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209C"/>
    <w:multiLevelType w:val="hybridMultilevel"/>
    <w:tmpl w:val="4FC48160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716"/>
    <w:multiLevelType w:val="hybridMultilevel"/>
    <w:tmpl w:val="76CE527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272AB"/>
    <w:multiLevelType w:val="hybridMultilevel"/>
    <w:tmpl w:val="A04280E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667BD"/>
    <w:multiLevelType w:val="hybridMultilevel"/>
    <w:tmpl w:val="2E90B9E0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07AFF"/>
    <w:multiLevelType w:val="hybridMultilevel"/>
    <w:tmpl w:val="CCBC025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601AB"/>
    <w:multiLevelType w:val="hybridMultilevel"/>
    <w:tmpl w:val="489E46A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67BE8460"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730A1"/>
    <w:multiLevelType w:val="hybridMultilevel"/>
    <w:tmpl w:val="AB88F24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07398"/>
    <w:multiLevelType w:val="hybridMultilevel"/>
    <w:tmpl w:val="A55C6BE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30D3D"/>
    <w:multiLevelType w:val="hybridMultilevel"/>
    <w:tmpl w:val="169EEDD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E8460">
      <w:numFmt w:val="bullet"/>
      <w:lvlText w:val="˗"/>
      <w:lvlJc w:val="left"/>
      <w:pPr>
        <w:ind w:left="2160" w:hanging="360"/>
      </w:pPr>
      <w:rPr>
        <w:rFonts w:ascii="Times New Roman" w:hAnsi="Times New Roman" w:cs="Times New Roman" w:hint="default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02087"/>
    <w:multiLevelType w:val="hybridMultilevel"/>
    <w:tmpl w:val="40FC6EF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96B54"/>
    <w:multiLevelType w:val="hybridMultilevel"/>
    <w:tmpl w:val="A3A8F1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E1BDB"/>
    <w:multiLevelType w:val="hybridMultilevel"/>
    <w:tmpl w:val="C0646B3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13"/>
  </w:num>
  <w:num w:numId="10">
    <w:abstractNumId w:val="6"/>
  </w:num>
  <w:num w:numId="11">
    <w:abstractNumId w:val="1"/>
  </w:num>
  <w:num w:numId="12">
    <w:abstractNumId w:val="5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0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A5A20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668F"/>
  <w15:chartTrackingRefBased/>
  <w15:docId w15:val="{5C1A6BDF-A67C-4287-8C95-85908B57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5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EA5A20"/>
    <w:rPr>
      <w:rFonts w:ascii="Times New Roman" w:hAnsi="Times New Roman" w:cs="Times New Roman" w:hint="default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A5A20"/>
    <w:pPr>
      <w:tabs>
        <w:tab w:val="center" w:pos="4819"/>
        <w:tab w:val="right" w:pos="9638"/>
      </w:tabs>
    </w:pPr>
    <w:rPr>
      <w:noProof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5A20"/>
    <w:rPr>
      <w:rFonts w:ascii="Times New Roman" w:eastAsia="Times New Roman" w:hAnsi="Times New Roman" w:cs="Times New Roman"/>
      <w:noProof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A5A20"/>
    <w:pPr>
      <w:tabs>
        <w:tab w:val="center" w:pos="4819"/>
        <w:tab w:val="right" w:pos="9638"/>
      </w:tabs>
    </w:pPr>
    <w:rPr>
      <w:rFonts w:eastAsia="Calibri"/>
      <w:noProof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A5A20"/>
    <w:rPr>
      <w:rFonts w:ascii="Times New Roman" w:eastAsia="Calibri" w:hAnsi="Times New Roman" w:cs="Times New Roman"/>
      <w:noProof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A5A20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EA5A2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EA5A20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11059</Words>
  <Characters>6305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2025-03-31T06:52:00Z</dcterms:created>
  <dcterms:modified xsi:type="dcterms:W3CDTF">2025-03-31T06:55:00Z</dcterms:modified>
</cp:coreProperties>
</file>