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D622E" w14:textId="77777777" w:rsidR="00EF20DC" w:rsidRPr="00EF20DC" w:rsidRDefault="00EF20DC" w:rsidP="001F1094">
      <w:pPr>
        <w:jc w:val="center"/>
        <w:rPr>
          <w:snapToGrid w:val="0"/>
        </w:rPr>
      </w:pPr>
    </w:p>
    <w:p w14:paraId="447C484A" w14:textId="77777777" w:rsidR="00EF20DC" w:rsidRPr="00EF20DC" w:rsidRDefault="00EF20DC" w:rsidP="001F1094">
      <w:pPr>
        <w:jc w:val="center"/>
        <w:rPr>
          <w:snapToGrid w:val="0"/>
        </w:rPr>
      </w:pPr>
    </w:p>
    <w:p w14:paraId="6EEE26F5" w14:textId="77777777" w:rsidR="00EF20DC" w:rsidRPr="00EF20DC" w:rsidRDefault="00EF20DC" w:rsidP="001F1094">
      <w:pPr>
        <w:jc w:val="center"/>
        <w:rPr>
          <w:snapToGrid w:val="0"/>
        </w:rPr>
      </w:pPr>
    </w:p>
    <w:p w14:paraId="41596A4F" w14:textId="77777777" w:rsidR="00EF20DC" w:rsidRPr="00EF20DC" w:rsidRDefault="00EF20DC" w:rsidP="001F1094">
      <w:pPr>
        <w:jc w:val="center"/>
        <w:rPr>
          <w:snapToGrid w:val="0"/>
        </w:rPr>
      </w:pPr>
    </w:p>
    <w:p w14:paraId="1E50225B" w14:textId="77777777" w:rsidR="00EF20DC" w:rsidRPr="00EF20DC" w:rsidRDefault="00EF20DC" w:rsidP="001F1094">
      <w:pPr>
        <w:jc w:val="center"/>
        <w:rPr>
          <w:snapToGrid w:val="0"/>
        </w:rPr>
      </w:pPr>
    </w:p>
    <w:p w14:paraId="0342C5BE" w14:textId="77777777" w:rsidR="00EF20DC" w:rsidRPr="00EF20DC" w:rsidRDefault="00EF20DC" w:rsidP="001F1094">
      <w:pPr>
        <w:jc w:val="center"/>
        <w:rPr>
          <w:snapToGrid w:val="0"/>
        </w:rPr>
      </w:pPr>
    </w:p>
    <w:p w14:paraId="33A8C4D8" w14:textId="77777777" w:rsidR="00EF20DC" w:rsidRPr="00EF20DC" w:rsidRDefault="00EF20DC" w:rsidP="001F1094">
      <w:pPr>
        <w:jc w:val="center"/>
        <w:rPr>
          <w:snapToGrid w:val="0"/>
        </w:rPr>
      </w:pPr>
    </w:p>
    <w:p w14:paraId="6C945C7F" w14:textId="77777777" w:rsidR="00EF20DC" w:rsidRPr="00EF20DC" w:rsidRDefault="00EF20DC" w:rsidP="001F1094">
      <w:pPr>
        <w:jc w:val="center"/>
        <w:rPr>
          <w:snapToGrid w:val="0"/>
        </w:rPr>
      </w:pPr>
    </w:p>
    <w:p w14:paraId="12AD76AA" w14:textId="77777777" w:rsidR="00EF20DC" w:rsidRPr="00EF20DC" w:rsidRDefault="00EF20DC" w:rsidP="001F1094">
      <w:pPr>
        <w:jc w:val="center"/>
        <w:rPr>
          <w:snapToGrid w:val="0"/>
        </w:rPr>
      </w:pPr>
    </w:p>
    <w:p w14:paraId="23AE1B6C" w14:textId="77777777" w:rsidR="00EF20DC" w:rsidRPr="00EF20DC" w:rsidRDefault="00EF20DC" w:rsidP="001F1094">
      <w:pPr>
        <w:jc w:val="center"/>
        <w:rPr>
          <w:snapToGrid w:val="0"/>
        </w:rPr>
      </w:pPr>
    </w:p>
    <w:p w14:paraId="695EB288" w14:textId="77777777" w:rsidR="00EF20DC" w:rsidRPr="00EF20DC" w:rsidRDefault="00EF20DC" w:rsidP="001F1094">
      <w:pPr>
        <w:jc w:val="center"/>
        <w:rPr>
          <w:snapToGrid w:val="0"/>
        </w:rPr>
      </w:pPr>
    </w:p>
    <w:p w14:paraId="70F4035D" w14:textId="77777777" w:rsidR="00EF20DC" w:rsidRPr="00EF20DC" w:rsidRDefault="00EF20DC" w:rsidP="001F1094">
      <w:pPr>
        <w:jc w:val="center"/>
        <w:rPr>
          <w:snapToGrid w:val="0"/>
        </w:rPr>
      </w:pPr>
    </w:p>
    <w:p w14:paraId="5C31FF91" w14:textId="77777777" w:rsidR="00EF20DC" w:rsidRPr="00EF20DC" w:rsidRDefault="00EF20DC" w:rsidP="001F1094">
      <w:pPr>
        <w:jc w:val="center"/>
        <w:rPr>
          <w:snapToGrid w:val="0"/>
        </w:rPr>
      </w:pPr>
    </w:p>
    <w:p w14:paraId="05265664" w14:textId="77777777" w:rsidR="00EF20DC" w:rsidRPr="00EF20DC" w:rsidRDefault="00EF20DC" w:rsidP="001F1094">
      <w:pPr>
        <w:jc w:val="center"/>
        <w:rPr>
          <w:snapToGrid w:val="0"/>
        </w:rPr>
      </w:pPr>
    </w:p>
    <w:p w14:paraId="2ACCDF58" w14:textId="77777777" w:rsidR="00EF20DC" w:rsidRPr="00EF20DC" w:rsidRDefault="00EF20DC" w:rsidP="001F1094">
      <w:pPr>
        <w:jc w:val="center"/>
        <w:rPr>
          <w:snapToGrid w:val="0"/>
        </w:rPr>
      </w:pPr>
    </w:p>
    <w:p w14:paraId="10A10279" w14:textId="77777777" w:rsidR="00EF20DC" w:rsidRPr="00EF20DC" w:rsidRDefault="00EF20DC" w:rsidP="001F1094">
      <w:pPr>
        <w:jc w:val="center"/>
        <w:rPr>
          <w:snapToGrid w:val="0"/>
        </w:rPr>
      </w:pPr>
    </w:p>
    <w:p w14:paraId="0BE884B9" w14:textId="77777777" w:rsidR="00EF20DC" w:rsidRPr="00EF20DC" w:rsidRDefault="00EF20DC" w:rsidP="001F1094">
      <w:pPr>
        <w:jc w:val="center"/>
        <w:rPr>
          <w:snapToGrid w:val="0"/>
        </w:rPr>
      </w:pPr>
    </w:p>
    <w:p w14:paraId="7238597D" w14:textId="77777777" w:rsidR="00EF20DC" w:rsidRPr="00EF20DC" w:rsidRDefault="00EF20DC" w:rsidP="001F1094">
      <w:pPr>
        <w:jc w:val="center"/>
        <w:rPr>
          <w:snapToGrid w:val="0"/>
        </w:rPr>
      </w:pPr>
    </w:p>
    <w:p w14:paraId="76CDF7A9" w14:textId="77777777" w:rsidR="00EF20DC" w:rsidRPr="00EF20DC" w:rsidRDefault="00EF20DC" w:rsidP="001F1094">
      <w:pPr>
        <w:jc w:val="center"/>
        <w:rPr>
          <w:snapToGrid w:val="0"/>
        </w:rPr>
      </w:pPr>
    </w:p>
    <w:p w14:paraId="56A2F3EC" w14:textId="77777777" w:rsidR="00EF20DC" w:rsidRPr="00EF20DC" w:rsidRDefault="00EF20DC" w:rsidP="001F1094">
      <w:pPr>
        <w:jc w:val="center"/>
        <w:rPr>
          <w:snapToGrid w:val="0"/>
        </w:rPr>
      </w:pPr>
    </w:p>
    <w:p w14:paraId="4474835E" w14:textId="77777777" w:rsidR="00EF20DC" w:rsidRPr="00EF20DC" w:rsidRDefault="00EF20DC" w:rsidP="001F1094">
      <w:pPr>
        <w:jc w:val="center"/>
        <w:rPr>
          <w:snapToGrid w:val="0"/>
        </w:rPr>
      </w:pPr>
    </w:p>
    <w:p w14:paraId="44E096CC" w14:textId="77777777" w:rsidR="00EF20DC" w:rsidRPr="00EF20DC" w:rsidRDefault="00EF20DC" w:rsidP="001F1094">
      <w:pPr>
        <w:jc w:val="center"/>
        <w:rPr>
          <w:snapToGrid w:val="0"/>
        </w:rPr>
      </w:pPr>
    </w:p>
    <w:p w14:paraId="7705EE4B" w14:textId="77777777" w:rsidR="00EF20DC" w:rsidRPr="00EF20DC" w:rsidRDefault="00EF20DC" w:rsidP="001F1094">
      <w:pPr>
        <w:jc w:val="center"/>
        <w:rPr>
          <w:snapToGrid w:val="0"/>
        </w:rPr>
      </w:pPr>
    </w:p>
    <w:p w14:paraId="39939973" w14:textId="77777777" w:rsidR="00EF20DC" w:rsidRPr="00EF20DC" w:rsidRDefault="00EF20DC" w:rsidP="001F1094">
      <w:pPr>
        <w:jc w:val="center"/>
        <w:rPr>
          <w:b/>
          <w:snapToGrid w:val="0"/>
        </w:rPr>
      </w:pPr>
      <w:r w:rsidRPr="00EF20DC">
        <w:rPr>
          <w:b/>
          <w:snapToGrid w:val="0"/>
        </w:rPr>
        <w:t>I PRIEDAS</w:t>
      </w:r>
    </w:p>
    <w:p w14:paraId="6E72A153" w14:textId="77777777" w:rsidR="00EF20DC" w:rsidRPr="00EF20DC" w:rsidRDefault="00EF20DC" w:rsidP="001F1094">
      <w:pPr>
        <w:jc w:val="center"/>
        <w:rPr>
          <w:snapToGrid w:val="0"/>
        </w:rPr>
      </w:pPr>
    </w:p>
    <w:p w14:paraId="3EA3D11B" w14:textId="77777777" w:rsidR="00EF20DC" w:rsidRPr="00EF20DC" w:rsidRDefault="00EF20DC" w:rsidP="001F1094">
      <w:pPr>
        <w:tabs>
          <w:tab w:val="left" w:pos="-1440"/>
          <w:tab w:val="left" w:pos="-720"/>
          <w:tab w:val="left" w:pos="567"/>
        </w:tabs>
        <w:jc w:val="center"/>
        <w:rPr>
          <w:b/>
          <w:snapToGrid w:val="0"/>
          <w:sz w:val="22"/>
          <w:szCs w:val="22"/>
        </w:rPr>
      </w:pPr>
      <w:r w:rsidRPr="00EF20DC">
        <w:rPr>
          <w:b/>
          <w:snapToGrid w:val="0"/>
          <w:sz w:val="22"/>
          <w:szCs w:val="22"/>
        </w:rPr>
        <w:t>PREPARATO CHARAKTERISTIKŲ SANTRAUKA</w:t>
      </w:r>
    </w:p>
    <w:p w14:paraId="2D99DEA3" w14:textId="77777777" w:rsidR="00EF20DC" w:rsidRPr="00EF20DC" w:rsidRDefault="00EF20DC" w:rsidP="001F1094">
      <w:pPr>
        <w:tabs>
          <w:tab w:val="left" w:pos="-1440"/>
          <w:tab w:val="left" w:pos="-720"/>
          <w:tab w:val="left" w:pos="567"/>
        </w:tabs>
        <w:rPr>
          <w:snapToGrid w:val="0"/>
          <w:sz w:val="22"/>
          <w:szCs w:val="22"/>
        </w:rPr>
      </w:pPr>
      <w:r w:rsidRPr="00EF20DC">
        <w:rPr>
          <w:snapToGrid w:val="0"/>
          <w:sz w:val="22"/>
          <w:szCs w:val="22"/>
          <w:lang w:eastAsia="zh-CN"/>
        </w:rPr>
        <w:br w:type="page"/>
      </w:r>
    </w:p>
    <w:p w14:paraId="02FEE74A" w14:textId="77777777" w:rsidR="00EF20DC" w:rsidRPr="00EF20DC" w:rsidRDefault="00EF20DC" w:rsidP="001F1094">
      <w:pPr>
        <w:tabs>
          <w:tab w:val="left" w:pos="567"/>
        </w:tabs>
        <w:autoSpaceDE w:val="0"/>
        <w:autoSpaceDN w:val="0"/>
        <w:adjustRightInd w:val="0"/>
        <w:rPr>
          <w:rFonts w:eastAsia="Calibri"/>
          <w:sz w:val="22"/>
          <w:szCs w:val="22"/>
          <w:lang w:eastAsia="lt-LT"/>
        </w:rPr>
      </w:pPr>
      <w:r w:rsidRPr="00EF20DC">
        <w:rPr>
          <w:rFonts w:eastAsia="Calibri"/>
          <w:b/>
          <w:bCs/>
          <w:sz w:val="22"/>
          <w:szCs w:val="22"/>
          <w:lang w:eastAsia="lt-LT"/>
        </w:rPr>
        <w:lastRenderedPageBreak/>
        <w:t>1.</w:t>
      </w:r>
      <w:r w:rsidRPr="00EF20DC">
        <w:rPr>
          <w:rFonts w:eastAsia="Calibri"/>
          <w:b/>
          <w:bCs/>
          <w:sz w:val="22"/>
          <w:szCs w:val="22"/>
          <w:lang w:eastAsia="lt-LT"/>
        </w:rPr>
        <w:tab/>
        <w:t xml:space="preserve">VAISTINIO PREPARATO PAVADINIMAS </w:t>
      </w:r>
    </w:p>
    <w:p w14:paraId="07FBADB8" w14:textId="77777777" w:rsidR="00EF20DC" w:rsidRPr="00EF20DC" w:rsidRDefault="00EF20DC" w:rsidP="001F1094">
      <w:pPr>
        <w:tabs>
          <w:tab w:val="left" w:pos="567"/>
        </w:tabs>
        <w:autoSpaceDE w:val="0"/>
        <w:autoSpaceDN w:val="0"/>
        <w:adjustRightInd w:val="0"/>
        <w:rPr>
          <w:rFonts w:eastAsia="Calibri"/>
          <w:sz w:val="22"/>
          <w:szCs w:val="22"/>
          <w:lang w:eastAsia="lt-LT"/>
        </w:rPr>
      </w:pPr>
    </w:p>
    <w:p w14:paraId="5D442949" w14:textId="404BB85C" w:rsidR="00EF20DC" w:rsidRPr="00EF20DC" w:rsidRDefault="00EF20DC" w:rsidP="001F1094">
      <w:pPr>
        <w:rPr>
          <w:rFonts w:eastAsia="Calibri"/>
          <w:sz w:val="22"/>
          <w:szCs w:val="22"/>
        </w:rPr>
      </w:pPr>
      <w:r w:rsidRPr="00EF20DC">
        <w:rPr>
          <w:rFonts w:eastAsia="Calibri"/>
          <w:bCs/>
          <w:sz w:val="22"/>
          <w:szCs w:val="22"/>
          <w:shd w:val="clear" w:color="auto" w:fill="FFFFFF"/>
        </w:rPr>
        <w:t xml:space="preserve">Sorafenib </w:t>
      </w:r>
      <w:r w:rsidR="00D71A25">
        <w:rPr>
          <w:rFonts w:eastAsia="Calibri"/>
          <w:bCs/>
          <w:sz w:val="22"/>
          <w:szCs w:val="22"/>
          <w:shd w:val="clear" w:color="auto" w:fill="FFFFFF"/>
        </w:rPr>
        <w:t>Sandoz</w:t>
      </w:r>
      <w:r w:rsidRPr="00EF20DC">
        <w:rPr>
          <w:rFonts w:eastAsia="Calibri"/>
          <w:bCs/>
          <w:sz w:val="22"/>
          <w:szCs w:val="22"/>
          <w:shd w:val="clear" w:color="auto" w:fill="FFFFFF"/>
        </w:rPr>
        <w:t xml:space="preserve"> </w:t>
      </w:r>
      <w:r w:rsidR="00B802CC">
        <w:rPr>
          <w:rFonts w:eastAsia="Calibri"/>
          <w:sz w:val="22"/>
          <w:szCs w:val="22"/>
        </w:rPr>
        <w:t>4</w:t>
      </w:r>
      <w:r w:rsidRPr="00EF20DC">
        <w:rPr>
          <w:rFonts w:eastAsia="Calibri"/>
          <w:sz w:val="22"/>
          <w:szCs w:val="22"/>
        </w:rPr>
        <w:t xml:space="preserve">00 mg plėvele dengtos tabletės </w:t>
      </w:r>
    </w:p>
    <w:p w14:paraId="1AF0C442" w14:textId="77777777" w:rsidR="00EF20DC" w:rsidRPr="00EF20DC" w:rsidRDefault="00EF20DC" w:rsidP="001F1094">
      <w:pPr>
        <w:tabs>
          <w:tab w:val="left" w:pos="567"/>
        </w:tabs>
        <w:autoSpaceDE w:val="0"/>
        <w:autoSpaceDN w:val="0"/>
        <w:adjustRightInd w:val="0"/>
        <w:rPr>
          <w:rFonts w:eastAsia="Calibri"/>
          <w:b/>
          <w:bCs/>
          <w:sz w:val="22"/>
          <w:szCs w:val="22"/>
          <w:lang w:eastAsia="lt-LT"/>
        </w:rPr>
      </w:pPr>
    </w:p>
    <w:p w14:paraId="21A5CE01" w14:textId="77777777" w:rsidR="00EF20DC" w:rsidRPr="00EF20DC" w:rsidRDefault="00EF20DC" w:rsidP="001F1094">
      <w:pPr>
        <w:tabs>
          <w:tab w:val="left" w:pos="567"/>
        </w:tabs>
        <w:autoSpaceDE w:val="0"/>
        <w:autoSpaceDN w:val="0"/>
        <w:adjustRightInd w:val="0"/>
        <w:rPr>
          <w:rFonts w:eastAsia="Calibri"/>
          <w:b/>
          <w:bCs/>
          <w:sz w:val="22"/>
          <w:szCs w:val="22"/>
          <w:lang w:eastAsia="lt-LT"/>
        </w:rPr>
      </w:pPr>
    </w:p>
    <w:p w14:paraId="70DCAE6A" w14:textId="77777777" w:rsidR="00EF20DC" w:rsidRPr="00EF20DC" w:rsidRDefault="00EF20DC" w:rsidP="001F1094">
      <w:pPr>
        <w:tabs>
          <w:tab w:val="left" w:pos="567"/>
        </w:tabs>
        <w:autoSpaceDE w:val="0"/>
        <w:autoSpaceDN w:val="0"/>
        <w:adjustRightInd w:val="0"/>
        <w:rPr>
          <w:rFonts w:eastAsia="Calibri"/>
          <w:sz w:val="22"/>
          <w:szCs w:val="22"/>
          <w:lang w:eastAsia="lt-LT"/>
        </w:rPr>
      </w:pPr>
      <w:r w:rsidRPr="00EF20DC">
        <w:rPr>
          <w:rFonts w:eastAsia="Calibri"/>
          <w:b/>
          <w:bCs/>
          <w:sz w:val="22"/>
          <w:szCs w:val="22"/>
          <w:lang w:eastAsia="lt-LT"/>
        </w:rPr>
        <w:t>2.</w:t>
      </w:r>
      <w:r w:rsidRPr="00EF20DC">
        <w:rPr>
          <w:rFonts w:eastAsia="Calibri"/>
          <w:b/>
          <w:bCs/>
          <w:sz w:val="22"/>
          <w:szCs w:val="22"/>
          <w:lang w:eastAsia="lt-LT"/>
        </w:rPr>
        <w:tab/>
        <w:t xml:space="preserve">KOKYBINĖ IR KIEKYBINĖ SUDĖTIS </w:t>
      </w:r>
    </w:p>
    <w:p w14:paraId="5D1BFF3C" w14:textId="77777777" w:rsidR="00EF20DC" w:rsidRPr="00EF20DC" w:rsidRDefault="00EF20DC" w:rsidP="001F1094">
      <w:pPr>
        <w:tabs>
          <w:tab w:val="left" w:pos="567"/>
        </w:tabs>
        <w:autoSpaceDE w:val="0"/>
        <w:autoSpaceDN w:val="0"/>
        <w:adjustRightInd w:val="0"/>
        <w:rPr>
          <w:rFonts w:eastAsia="Calibri"/>
          <w:sz w:val="22"/>
          <w:szCs w:val="22"/>
          <w:lang w:eastAsia="lt-LT"/>
        </w:rPr>
      </w:pPr>
    </w:p>
    <w:p w14:paraId="161B7BD6" w14:textId="0E3F030A" w:rsidR="00EF20DC" w:rsidRPr="00EF20DC" w:rsidRDefault="00EF20DC" w:rsidP="001F1094">
      <w:pPr>
        <w:rPr>
          <w:rFonts w:eastAsia="Calibri"/>
          <w:sz w:val="22"/>
          <w:szCs w:val="22"/>
        </w:rPr>
      </w:pPr>
      <w:r w:rsidRPr="00EF20DC">
        <w:rPr>
          <w:rFonts w:eastAsia="Calibri"/>
          <w:sz w:val="22"/>
          <w:szCs w:val="22"/>
        </w:rPr>
        <w:t xml:space="preserve">Kiekvienoje plėvele dengtoje tabletėje yra </w:t>
      </w:r>
      <w:r w:rsidR="00B802CC">
        <w:rPr>
          <w:rFonts w:eastAsia="Calibri"/>
          <w:sz w:val="22"/>
          <w:szCs w:val="22"/>
        </w:rPr>
        <w:t>4</w:t>
      </w:r>
      <w:r w:rsidRPr="00EF20DC">
        <w:rPr>
          <w:rFonts w:eastAsia="Calibri"/>
          <w:sz w:val="22"/>
          <w:szCs w:val="22"/>
        </w:rPr>
        <w:t>00 mg sorafenibo (to</w:t>
      </w:r>
      <w:r w:rsidR="003C64E6">
        <w:rPr>
          <w:rFonts w:eastAsia="Calibri"/>
          <w:sz w:val="22"/>
          <w:szCs w:val="22"/>
        </w:rPr>
        <w:t>z</w:t>
      </w:r>
      <w:r w:rsidRPr="00EF20DC">
        <w:rPr>
          <w:rFonts w:eastAsia="Calibri"/>
          <w:sz w:val="22"/>
          <w:szCs w:val="22"/>
        </w:rPr>
        <w:t xml:space="preserve">ilato pavidalu). </w:t>
      </w:r>
    </w:p>
    <w:p w14:paraId="376A8ED1" w14:textId="77777777" w:rsidR="00EF20DC" w:rsidRPr="00EF20DC" w:rsidRDefault="00EF20DC" w:rsidP="001F1094">
      <w:pPr>
        <w:rPr>
          <w:rFonts w:eastAsia="Calibri"/>
          <w:sz w:val="22"/>
          <w:szCs w:val="22"/>
        </w:rPr>
      </w:pPr>
    </w:p>
    <w:p w14:paraId="0DF5CC1C" w14:textId="77777777" w:rsidR="00EF20DC" w:rsidRPr="00EF20DC" w:rsidRDefault="00EF20DC" w:rsidP="001F1094">
      <w:pPr>
        <w:rPr>
          <w:rFonts w:eastAsia="Calibri"/>
          <w:sz w:val="22"/>
          <w:szCs w:val="22"/>
          <w:lang w:eastAsia="lt-LT"/>
        </w:rPr>
      </w:pPr>
      <w:r w:rsidRPr="00EF20DC">
        <w:rPr>
          <w:rFonts w:eastAsia="Calibri"/>
          <w:sz w:val="22"/>
          <w:szCs w:val="22"/>
        </w:rPr>
        <w:t>Visos pagalbinės medžiagos išvardytos 6.1 skyriuje</w:t>
      </w:r>
    </w:p>
    <w:p w14:paraId="29A3FC08" w14:textId="77777777" w:rsidR="00EF20DC" w:rsidRPr="00EF20DC" w:rsidRDefault="00EF20DC" w:rsidP="001F1094">
      <w:pPr>
        <w:tabs>
          <w:tab w:val="left" w:pos="567"/>
        </w:tabs>
        <w:autoSpaceDE w:val="0"/>
        <w:autoSpaceDN w:val="0"/>
        <w:adjustRightInd w:val="0"/>
        <w:rPr>
          <w:rFonts w:eastAsia="Calibri"/>
          <w:b/>
          <w:bCs/>
          <w:sz w:val="22"/>
          <w:szCs w:val="22"/>
          <w:lang w:eastAsia="lt-LT"/>
        </w:rPr>
      </w:pPr>
    </w:p>
    <w:p w14:paraId="130878AE" w14:textId="77777777" w:rsidR="00EF20DC" w:rsidRPr="00EF20DC" w:rsidRDefault="00EF20DC" w:rsidP="001F1094">
      <w:pPr>
        <w:tabs>
          <w:tab w:val="left" w:pos="567"/>
        </w:tabs>
        <w:autoSpaceDE w:val="0"/>
        <w:autoSpaceDN w:val="0"/>
        <w:adjustRightInd w:val="0"/>
        <w:rPr>
          <w:rFonts w:eastAsia="Calibri"/>
          <w:b/>
          <w:bCs/>
          <w:sz w:val="22"/>
          <w:szCs w:val="22"/>
          <w:lang w:eastAsia="lt-LT"/>
        </w:rPr>
      </w:pPr>
    </w:p>
    <w:p w14:paraId="470A6069" w14:textId="77777777" w:rsidR="00EF20DC" w:rsidRPr="00EF20DC" w:rsidRDefault="00EF20DC" w:rsidP="001F1094">
      <w:pPr>
        <w:tabs>
          <w:tab w:val="left" w:pos="567"/>
        </w:tabs>
        <w:autoSpaceDE w:val="0"/>
        <w:autoSpaceDN w:val="0"/>
        <w:adjustRightInd w:val="0"/>
        <w:rPr>
          <w:rFonts w:eastAsia="Calibri"/>
          <w:sz w:val="22"/>
          <w:szCs w:val="22"/>
          <w:lang w:eastAsia="lt-LT"/>
        </w:rPr>
      </w:pPr>
      <w:r w:rsidRPr="00EF20DC">
        <w:rPr>
          <w:rFonts w:eastAsia="Calibri"/>
          <w:b/>
          <w:bCs/>
          <w:sz w:val="22"/>
          <w:szCs w:val="22"/>
          <w:lang w:eastAsia="lt-LT"/>
        </w:rPr>
        <w:t>3.</w:t>
      </w:r>
      <w:r w:rsidRPr="00EF20DC">
        <w:rPr>
          <w:rFonts w:eastAsia="Calibri"/>
          <w:b/>
          <w:bCs/>
          <w:sz w:val="22"/>
          <w:szCs w:val="22"/>
          <w:lang w:eastAsia="lt-LT"/>
        </w:rPr>
        <w:tab/>
        <w:t xml:space="preserve">FARMACINĖ FORMA </w:t>
      </w:r>
    </w:p>
    <w:p w14:paraId="742174A2" w14:textId="77777777" w:rsidR="00EF20DC" w:rsidRPr="00EF20DC" w:rsidRDefault="00EF20DC" w:rsidP="001F1094">
      <w:pPr>
        <w:tabs>
          <w:tab w:val="left" w:pos="567"/>
        </w:tabs>
        <w:autoSpaceDE w:val="0"/>
        <w:autoSpaceDN w:val="0"/>
        <w:adjustRightInd w:val="0"/>
        <w:rPr>
          <w:rFonts w:eastAsia="Calibri"/>
          <w:sz w:val="22"/>
          <w:szCs w:val="22"/>
          <w:lang w:eastAsia="lt-LT"/>
        </w:rPr>
      </w:pPr>
    </w:p>
    <w:p w14:paraId="4284588C" w14:textId="32D84861" w:rsidR="00EF20DC" w:rsidRPr="00EF20DC" w:rsidRDefault="00EF20DC" w:rsidP="001F1094">
      <w:pPr>
        <w:rPr>
          <w:rFonts w:eastAsia="Calibri"/>
          <w:sz w:val="22"/>
          <w:szCs w:val="22"/>
        </w:rPr>
      </w:pPr>
      <w:r w:rsidRPr="00EF20DC">
        <w:rPr>
          <w:rFonts w:eastAsia="Calibri"/>
          <w:sz w:val="22"/>
          <w:szCs w:val="22"/>
        </w:rPr>
        <w:t xml:space="preserve">Plėvele dengta tabletė. </w:t>
      </w:r>
    </w:p>
    <w:p w14:paraId="6A45C9B3" w14:textId="77777777" w:rsidR="00EF20DC" w:rsidRPr="00EF20DC" w:rsidRDefault="00EF20DC" w:rsidP="001F1094">
      <w:pPr>
        <w:rPr>
          <w:rFonts w:eastAsia="Calibri"/>
          <w:sz w:val="22"/>
          <w:szCs w:val="22"/>
        </w:rPr>
      </w:pPr>
    </w:p>
    <w:p w14:paraId="1257C5E0" w14:textId="412A7E28" w:rsidR="00EF20DC" w:rsidRPr="00EF20DC" w:rsidRDefault="001B71B1" w:rsidP="001F1094">
      <w:pPr>
        <w:rPr>
          <w:rFonts w:eastAsia="Calibri"/>
          <w:sz w:val="22"/>
          <w:szCs w:val="22"/>
        </w:rPr>
      </w:pPr>
      <w:r>
        <w:rPr>
          <w:rFonts w:eastAsia="Calibri"/>
          <w:sz w:val="22"/>
          <w:szCs w:val="22"/>
        </w:rPr>
        <w:t>Baltos arba beveik baltos</w:t>
      </w:r>
      <w:r w:rsidR="00EF20DC" w:rsidRPr="00EF20DC">
        <w:rPr>
          <w:rFonts w:eastAsia="Calibri"/>
          <w:sz w:val="22"/>
          <w:szCs w:val="22"/>
        </w:rPr>
        <w:t xml:space="preserve">, </w:t>
      </w:r>
      <w:r>
        <w:rPr>
          <w:rFonts w:eastAsia="Calibri"/>
          <w:sz w:val="22"/>
          <w:szCs w:val="22"/>
        </w:rPr>
        <w:t>ovalios</w:t>
      </w:r>
      <w:r w:rsidR="00EF20DC">
        <w:rPr>
          <w:rFonts w:eastAsia="Calibri"/>
          <w:sz w:val="22"/>
          <w:szCs w:val="22"/>
        </w:rPr>
        <w:t xml:space="preserve">, </w:t>
      </w:r>
      <w:r w:rsidR="00B04057">
        <w:rPr>
          <w:sz w:val="22"/>
          <w:szCs w:val="22"/>
          <w:lang w:eastAsia="en-GB"/>
        </w:rPr>
        <w:t>20</w:t>
      </w:r>
      <w:r w:rsidR="00EF20DC" w:rsidRPr="00EF20DC">
        <w:rPr>
          <w:sz w:val="22"/>
          <w:szCs w:val="22"/>
          <w:lang w:eastAsia="en-GB"/>
        </w:rPr>
        <w:t>,</w:t>
      </w:r>
      <w:r w:rsidR="00B04057">
        <w:rPr>
          <w:sz w:val="22"/>
          <w:szCs w:val="22"/>
          <w:lang w:eastAsia="en-GB"/>
        </w:rPr>
        <w:t>1</w:t>
      </w:r>
      <w:r w:rsidR="00EF20DC">
        <w:rPr>
          <w:sz w:val="22"/>
          <w:szCs w:val="22"/>
          <w:lang w:eastAsia="en-GB"/>
        </w:rPr>
        <w:t> </w:t>
      </w:r>
      <w:r w:rsidR="00EF20DC" w:rsidRPr="00EF20DC">
        <w:rPr>
          <w:sz w:val="22"/>
          <w:szCs w:val="22"/>
          <w:lang w:eastAsia="en-GB"/>
        </w:rPr>
        <w:t xml:space="preserve">mm </w:t>
      </w:r>
      <w:r w:rsidR="00B04057">
        <w:rPr>
          <w:sz w:val="22"/>
          <w:szCs w:val="22"/>
          <w:lang w:eastAsia="en-GB"/>
        </w:rPr>
        <w:t xml:space="preserve">x 10,1 mm </w:t>
      </w:r>
      <w:r w:rsidR="00EF20DC" w:rsidRPr="00EF20DC">
        <w:rPr>
          <w:sz w:val="22"/>
          <w:szCs w:val="22"/>
          <w:lang w:eastAsia="en-GB"/>
        </w:rPr>
        <w:t>± 5</w:t>
      </w:r>
      <w:r w:rsidR="00B04057">
        <w:rPr>
          <w:sz w:val="22"/>
          <w:szCs w:val="22"/>
          <w:lang w:eastAsia="en-GB"/>
        </w:rPr>
        <w:t> </w:t>
      </w:r>
      <w:r w:rsidR="00EF20DC" w:rsidRPr="00EF20DC">
        <w:rPr>
          <w:sz w:val="22"/>
          <w:szCs w:val="22"/>
          <w:lang w:eastAsia="en-GB"/>
        </w:rPr>
        <w:t>%</w:t>
      </w:r>
      <w:r w:rsidR="00EF20DC">
        <w:rPr>
          <w:sz w:val="22"/>
          <w:szCs w:val="22"/>
          <w:lang w:eastAsia="en-GB"/>
        </w:rPr>
        <w:t xml:space="preserve"> </w:t>
      </w:r>
      <w:r w:rsidR="00B04057">
        <w:rPr>
          <w:sz w:val="22"/>
          <w:szCs w:val="22"/>
          <w:lang w:eastAsia="en-GB"/>
        </w:rPr>
        <w:t>dydžio</w:t>
      </w:r>
      <w:r w:rsidR="00EF20DC">
        <w:rPr>
          <w:sz w:val="22"/>
          <w:szCs w:val="22"/>
          <w:lang w:eastAsia="en-GB"/>
        </w:rPr>
        <w:t xml:space="preserve"> </w:t>
      </w:r>
      <w:r w:rsidR="00EF20DC">
        <w:rPr>
          <w:rFonts w:eastAsia="Calibri"/>
          <w:sz w:val="22"/>
          <w:szCs w:val="22"/>
        </w:rPr>
        <w:t>plėvele dengtos tabletės</w:t>
      </w:r>
      <w:r w:rsidR="00EF20DC" w:rsidRPr="00EF20DC">
        <w:rPr>
          <w:rFonts w:eastAsia="Calibri"/>
          <w:sz w:val="22"/>
          <w:szCs w:val="22"/>
        </w:rPr>
        <w:t xml:space="preserve">, </w:t>
      </w:r>
      <w:r w:rsidR="00EF20DC">
        <w:rPr>
          <w:rFonts w:eastAsia="Calibri"/>
          <w:sz w:val="22"/>
          <w:szCs w:val="22"/>
        </w:rPr>
        <w:t xml:space="preserve">kurių </w:t>
      </w:r>
      <w:r w:rsidR="00EF20DC" w:rsidRPr="00EF20DC">
        <w:rPr>
          <w:rFonts w:eastAsia="Calibri"/>
          <w:sz w:val="22"/>
          <w:szCs w:val="22"/>
        </w:rPr>
        <w:t xml:space="preserve">vienoje pusėje </w:t>
      </w:r>
      <w:r w:rsidR="00B04057">
        <w:rPr>
          <w:rFonts w:eastAsia="Calibri"/>
          <w:sz w:val="22"/>
          <w:szCs w:val="22"/>
        </w:rPr>
        <w:t xml:space="preserve">yra laužimo </w:t>
      </w:r>
      <w:r w:rsidR="00E46F37">
        <w:rPr>
          <w:rFonts w:eastAsia="Calibri"/>
          <w:sz w:val="22"/>
          <w:szCs w:val="22"/>
        </w:rPr>
        <w:t>vagelė</w:t>
      </w:r>
      <w:r w:rsidR="00B04057">
        <w:rPr>
          <w:rFonts w:eastAsia="Calibri"/>
          <w:sz w:val="22"/>
          <w:szCs w:val="22"/>
        </w:rPr>
        <w:t>, o kita pusė lygi.</w:t>
      </w:r>
      <w:r w:rsidR="00EF20DC" w:rsidRPr="00EF20DC">
        <w:rPr>
          <w:rFonts w:eastAsia="Calibri"/>
          <w:sz w:val="22"/>
          <w:szCs w:val="22"/>
        </w:rPr>
        <w:t xml:space="preserve"> </w:t>
      </w:r>
    </w:p>
    <w:p w14:paraId="34F2AAC2" w14:textId="77777777" w:rsidR="00132344" w:rsidRDefault="00132344" w:rsidP="001F1094">
      <w:pPr>
        <w:tabs>
          <w:tab w:val="left" w:pos="567"/>
        </w:tabs>
        <w:autoSpaceDE w:val="0"/>
        <w:autoSpaceDN w:val="0"/>
        <w:adjustRightInd w:val="0"/>
        <w:rPr>
          <w:noProof/>
          <w:snapToGrid w:val="0"/>
          <w:sz w:val="22"/>
        </w:rPr>
      </w:pPr>
    </w:p>
    <w:p w14:paraId="4C4EE0CA" w14:textId="0D4BEDE9" w:rsidR="00EF20DC" w:rsidRPr="00EF20DC" w:rsidRDefault="00132344" w:rsidP="001F1094">
      <w:pPr>
        <w:tabs>
          <w:tab w:val="left" w:pos="567"/>
        </w:tabs>
        <w:autoSpaceDE w:val="0"/>
        <w:autoSpaceDN w:val="0"/>
        <w:adjustRightInd w:val="0"/>
        <w:rPr>
          <w:rFonts w:eastAsia="Calibri"/>
          <w:b/>
          <w:bCs/>
          <w:sz w:val="22"/>
          <w:szCs w:val="22"/>
          <w:lang w:eastAsia="lt-LT"/>
        </w:rPr>
      </w:pPr>
      <w:r w:rsidRPr="00132344">
        <w:rPr>
          <w:noProof/>
          <w:snapToGrid w:val="0"/>
          <w:sz w:val="22"/>
        </w:rPr>
        <w:t>Vagelė skirta tik tabletei perlaužti, kad būtų lengviau nuryti, bet ne jai padalyti į lygias dozes</w:t>
      </w:r>
    </w:p>
    <w:p w14:paraId="09128AFD" w14:textId="4012A5A1" w:rsidR="00EF20DC" w:rsidRDefault="00EF20DC" w:rsidP="001F1094">
      <w:pPr>
        <w:tabs>
          <w:tab w:val="left" w:pos="567"/>
        </w:tabs>
        <w:autoSpaceDE w:val="0"/>
        <w:autoSpaceDN w:val="0"/>
        <w:adjustRightInd w:val="0"/>
        <w:rPr>
          <w:rFonts w:eastAsia="Calibri"/>
          <w:b/>
          <w:bCs/>
          <w:sz w:val="22"/>
          <w:szCs w:val="22"/>
          <w:lang w:eastAsia="lt-LT"/>
        </w:rPr>
      </w:pPr>
    </w:p>
    <w:p w14:paraId="2668FA8A" w14:textId="77777777" w:rsidR="00E46F37" w:rsidRPr="00EF20DC" w:rsidRDefault="00E46F37" w:rsidP="001F1094">
      <w:pPr>
        <w:tabs>
          <w:tab w:val="left" w:pos="567"/>
        </w:tabs>
        <w:autoSpaceDE w:val="0"/>
        <w:autoSpaceDN w:val="0"/>
        <w:adjustRightInd w:val="0"/>
        <w:rPr>
          <w:rFonts w:eastAsia="Calibri"/>
          <w:b/>
          <w:bCs/>
          <w:sz w:val="22"/>
          <w:szCs w:val="22"/>
          <w:lang w:eastAsia="lt-LT"/>
        </w:rPr>
      </w:pPr>
    </w:p>
    <w:p w14:paraId="276ACB14" w14:textId="77777777" w:rsidR="00EF20DC" w:rsidRPr="00EF20DC" w:rsidRDefault="00EF20DC" w:rsidP="001F1094">
      <w:pPr>
        <w:tabs>
          <w:tab w:val="left" w:pos="567"/>
        </w:tabs>
        <w:autoSpaceDE w:val="0"/>
        <w:autoSpaceDN w:val="0"/>
        <w:adjustRightInd w:val="0"/>
        <w:rPr>
          <w:rFonts w:eastAsia="Calibri"/>
          <w:sz w:val="22"/>
          <w:szCs w:val="22"/>
          <w:lang w:eastAsia="lt-LT"/>
        </w:rPr>
      </w:pPr>
      <w:r w:rsidRPr="00EF20DC">
        <w:rPr>
          <w:rFonts w:eastAsia="Calibri"/>
          <w:b/>
          <w:bCs/>
          <w:sz w:val="22"/>
          <w:szCs w:val="22"/>
          <w:lang w:eastAsia="lt-LT"/>
        </w:rPr>
        <w:t>4.</w:t>
      </w:r>
      <w:r w:rsidRPr="00EF20DC">
        <w:rPr>
          <w:rFonts w:eastAsia="Calibri"/>
          <w:b/>
          <w:bCs/>
          <w:sz w:val="22"/>
          <w:szCs w:val="22"/>
          <w:lang w:eastAsia="lt-LT"/>
        </w:rPr>
        <w:tab/>
        <w:t xml:space="preserve">KLINIKINĖ INFORMACIJA </w:t>
      </w:r>
    </w:p>
    <w:p w14:paraId="46FD7676" w14:textId="77777777" w:rsidR="00EF20DC" w:rsidRPr="00EF20DC" w:rsidRDefault="00EF20DC" w:rsidP="001F1094">
      <w:pPr>
        <w:tabs>
          <w:tab w:val="left" w:pos="567"/>
        </w:tabs>
        <w:autoSpaceDE w:val="0"/>
        <w:autoSpaceDN w:val="0"/>
        <w:adjustRightInd w:val="0"/>
        <w:rPr>
          <w:rFonts w:eastAsia="Calibri"/>
          <w:b/>
          <w:bCs/>
          <w:sz w:val="22"/>
          <w:szCs w:val="22"/>
          <w:lang w:eastAsia="lt-LT"/>
        </w:rPr>
      </w:pPr>
    </w:p>
    <w:p w14:paraId="04B66F8D" w14:textId="77777777" w:rsidR="00EF20DC" w:rsidRPr="00EF20DC" w:rsidRDefault="00EF20DC" w:rsidP="001F1094">
      <w:pPr>
        <w:tabs>
          <w:tab w:val="left" w:pos="567"/>
        </w:tabs>
        <w:autoSpaceDE w:val="0"/>
        <w:autoSpaceDN w:val="0"/>
        <w:adjustRightInd w:val="0"/>
        <w:rPr>
          <w:rFonts w:eastAsia="Calibri"/>
          <w:sz w:val="22"/>
          <w:szCs w:val="22"/>
          <w:lang w:eastAsia="lt-LT"/>
        </w:rPr>
      </w:pPr>
      <w:r w:rsidRPr="00EF20DC">
        <w:rPr>
          <w:rFonts w:eastAsia="Calibri"/>
          <w:b/>
          <w:bCs/>
          <w:sz w:val="22"/>
          <w:szCs w:val="22"/>
          <w:lang w:eastAsia="lt-LT"/>
        </w:rPr>
        <w:t>4.1</w:t>
      </w:r>
      <w:r w:rsidRPr="00EF20DC">
        <w:rPr>
          <w:rFonts w:eastAsia="Calibri"/>
          <w:b/>
          <w:bCs/>
          <w:sz w:val="22"/>
          <w:szCs w:val="22"/>
          <w:lang w:eastAsia="lt-LT"/>
        </w:rPr>
        <w:tab/>
        <w:t xml:space="preserve">Terapinės indikacijos </w:t>
      </w:r>
    </w:p>
    <w:p w14:paraId="65E2302A" w14:textId="77777777" w:rsidR="00EF20DC" w:rsidRPr="00EF20DC" w:rsidRDefault="00EF20DC" w:rsidP="001F1094">
      <w:pPr>
        <w:ind w:left="567"/>
        <w:contextualSpacing/>
        <w:rPr>
          <w:rFonts w:eastAsia="Calibri"/>
          <w:sz w:val="22"/>
          <w:szCs w:val="22"/>
        </w:rPr>
      </w:pPr>
    </w:p>
    <w:p w14:paraId="315EA116"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Kepenų ląstelių karcinoma </w:t>
      </w:r>
    </w:p>
    <w:p w14:paraId="16569D11" w14:textId="33EC787E" w:rsidR="00EF20DC" w:rsidRPr="00EF20DC" w:rsidRDefault="00EF20DC" w:rsidP="001F1094">
      <w:pPr>
        <w:rPr>
          <w:rFonts w:eastAsia="Calibri"/>
          <w:sz w:val="22"/>
          <w:szCs w:val="22"/>
        </w:rPr>
      </w:pPr>
      <w:r w:rsidRPr="00EF20DC">
        <w:rPr>
          <w:rFonts w:eastAsia="Calibri"/>
          <w:sz w:val="22"/>
          <w:szCs w:val="22"/>
        </w:rPr>
        <w:t xml:space="preserve">Sorafenib </w:t>
      </w:r>
      <w:r w:rsidR="00D71A25">
        <w:rPr>
          <w:rFonts w:eastAsia="Calibri"/>
          <w:sz w:val="22"/>
          <w:szCs w:val="22"/>
        </w:rPr>
        <w:t>Sandoz</w:t>
      </w:r>
      <w:r w:rsidRPr="00EF20DC">
        <w:rPr>
          <w:rFonts w:eastAsia="Calibri"/>
          <w:sz w:val="22"/>
          <w:szCs w:val="22"/>
        </w:rPr>
        <w:t xml:space="preserve"> skirtas kepenų ląstelių karcinomos gydymui (žr. 5.1 skyrių).</w:t>
      </w:r>
    </w:p>
    <w:p w14:paraId="13D44103" w14:textId="77777777" w:rsidR="00EF20DC" w:rsidRPr="00EF20DC" w:rsidRDefault="00EF20DC" w:rsidP="001F1094">
      <w:pPr>
        <w:ind w:left="709" w:hanging="142"/>
        <w:rPr>
          <w:rFonts w:eastAsia="Calibri"/>
          <w:sz w:val="22"/>
          <w:szCs w:val="22"/>
        </w:rPr>
      </w:pPr>
      <w:r w:rsidRPr="00EF20DC">
        <w:rPr>
          <w:rFonts w:eastAsia="Calibri"/>
          <w:sz w:val="22"/>
          <w:szCs w:val="22"/>
        </w:rPr>
        <w:t xml:space="preserve"> </w:t>
      </w:r>
    </w:p>
    <w:p w14:paraId="50CECD88"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Inkstų ląstelių karcinoma </w:t>
      </w:r>
    </w:p>
    <w:p w14:paraId="28AFB226" w14:textId="11D73B44" w:rsidR="00EF20DC" w:rsidRDefault="00EF20DC" w:rsidP="001F1094">
      <w:pPr>
        <w:rPr>
          <w:rFonts w:eastAsia="Calibri"/>
          <w:sz w:val="22"/>
          <w:szCs w:val="22"/>
        </w:rPr>
      </w:pPr>
      <w:r w:rsidRPr="00EF20DC">
        <w:rPr>
          <w:rFonts w:eastAsia="Calibri"/>
          <w:sz w:val="22"/>
          <w:szCs w:val="22"/>
        </w:rPr>
        <w:t xml:space="preserve">Sorafenib </w:t>
      </w:r>
      <w:r w:rsidR="00D71A25">
        <w:rPr>
          <w:rFonts w:eastAsia="Calibri"/>
          <w:sz w:val="22"/>
          <w:szCs w:val="22"/>
        </w:rPr>
        <w:t>Sandoz</w:t>
      </w:r>
      <w:r w:rsidRPr="00EF20DC">
        <w:rPr>
          <w:rFonts w:eastAsia="Calibri"/>
          <w:sz w:val="22"/>
          <w:szCs w:val="22"/>
        </w:rPr>
        <w:t xml:space="preserve"> skirtas progresavusios inkstų ląstelių karcinomos gydymui pacientams, kuriems </w:t>
      </w:r>
      <w:r w:rsidR="005E0BA2" w:rsidRPr="00EF20DC">
        <w:rPr>
          <w:rFonts w:eastAsia="Calibri"/>
          <w:sz w:val="22"/>
          <w:szCs w:val="22"/>
        </w:rPr>
        <w:t>gydymas interferon</w:t>
      </w:r>
      <w:r w:rsidR="005E0BA2">
        <w:rPr>
          <w:rFonts w:eastAsia="Calibri"/>
          <w:sz w:val="22"/>
          <w:szCs w:val="22"/>
        </w:rPr>
        <w:t>u</w:t>
      </w:r>
      <w:r w:rsidR="005E0BA2" w:rsidRPr="00EF20DC">
        <w:rPr>
          <w:rFonts w:eastAsia="Calibri"/>
          <w:sz w:val="22"/>
          <w:szCs w:val="22"/>
        </w:rPr>
        <w:t>-alfa arba interleukin</w:t>
      </w:r>
      <w:r w:rsidR="005E0BA2">
        <w:rPr>
          <w:rFonts w:eastAsia="Calibri"/>
          <w:sz w:val="22"/>
          <w:szCs w:val="22"/>
        </w:rPr>
        <w:t>u</w:t>
      </w:r>
      <w:r w:rsidR="005E0BA2" w:rsidRPr="00EF20DC">
        <w:rPr>
          <w:rFonts w:eastAsia="Calibri"/>
          <w:sz w:val="22"/>
          <w:szCs w:val="22"/>
        </w:rPr>
        <w:t>-2</w:t>
      </w:r>
      <w:r w:rsidR="005E0BA2">
        <w:rPr>
          <w:rFonts w:eastAsia="Calibri"/>
          <w:sz w:val="22"/>
          <w:szCs w:val="22"/>
        </w:rPr>
        <w:t xml:space="preserve"> </w:t>
      </w:r>
      <w:r w:rsidRPr="00EF20DC">
        <w:rPr>
          <w:rFonts w:eastAsia="Calibri"/>
          <w:sz w:val="22"/>
          <w:szCs w:val="22"/>
        </w:rPr>
        <w:t>buvo neveiksmingas ar</w:t>
      </w:r>
      <w:r w:rsidR="005E0BA2">
        <w:rPr>
          <w:rFonts w:eastAsia="Calibri"/>
          <w:sz w:val="22"/>
          <w:szCs w:val="22"/>
        </w:rPr>
        <w:t xml:space="preserve"> kurie laikomi netinkamais tokiam gydymui</w:t>
      </w:r>
      <w:r w:rsidRPr="00EF20DC">
        <w:rPr>
          <w:rFonts w:eastAsia="Calibri"/>
          <w:sz w:val="22"/>
          <w:szCs w:val="22"/>
        </w:rPr>
        <w:t xml:space="preserve">. </w:t>
      </w:r>
    </w:p>
    <w:p w14:paraId="65977F85" w14:textId="77777777" w:rsidR="00F3551A" w:rsidRDefault="00F3551A" w:rsidP="00F3551A">
      <w:pPr>
        <w:tabs>
          <w:tab w:val="left" w:pos="0"/>
        </w:tabs>
        <w:contextualSpacing/>
        <w:rPr>
          <w:snapToGrid w:val="0"/>
          <w:sz w:val="22"/>
          <w:szCs w:val="22"/>
        </w:rPr>
      </w:pPr>
    </w:p>
    <w:p w14:paraId="0003FE44" w14:textId="77777777" w:rsidR="00F3551A" w:rsidRPr="006D4AC3" w:rsidRDefault="00F3551A" w:rsidP="00F3551A">
      <w:pPr>
        <w:tabs>
          <w:tab w:val="left" w:pos="0"/>
        </w:tabs>
        <w:contextualSpacing/>
        <w:rPr>
          <w:snapToGrid w:val="0"/>
          <w:sz w:val="22"/>
          <w:szCs w:val="22"/>
          <w:u w:val="single"/>
        </w:rPr>
      </w:pPr>
      <w:r w:rsidRPr="006D4AC3">
        <w:rPr>
          <w:snapToGrid w:val="0"/>
          <w:sz w:val="22"/>
          <w:szCs w:val="22"/>
          <w:u w:val="single"/>
        </w:rPr>
        <w:t>Diferencijuota skydliaukės karcinoma</w:t>
      </w:r>
    </w:p>
    <w:p w14:paraId="343E2E3A" w14:textId="55BE8F29" w:rsidR="00F3551A" w:rsidRDefault="007015F1" w:rsidP="00F3551A">
      <w:pPr>
        <w:tabs>
          <w:tab w:val="left" w:pos="0"/>
        </w:tabs>
        <w:contextualSpacing/>
        <w:rPr>
          <w:snapToGrid w:val="0"/>
          <w:sz w:val="22"/>
          <w:szCs w:val="22"/>
        </w:rPr>
      </w:pPr>
      <w:r w:rsidRPr="007015F1">
        <w:rPr>
          <w:snapToGrid w:val="0"/>
          <w:sz w:val="22"/>
          <w:szCs w:val="22"/>
        </w:rPr>
        <w:t>Sorafenib Sandoz skirtas</w:t>
      </w:r>
      <w:r>
        <w:rPr>
          <w:snapToGrid w:val="0"/>
          <w:sz w:val="22"/>
          <w:szCs w:val="22"/>
        </w:rPr>
        <w:t xml:space="preserve"> p</w:t>
      </w:r>
      <w:r w:rsidR="00F3551A" w:rsidRPr="001C5C81">
        <w:rPr>
          <w:snapToGrid w:val="0"/>
          <w:sz w:val="22"/>
          <w:szCs w:val="22"/>
        </w:rPr>
        <w:t>rogresuojančios, vietiškai pažengusios arba metastazavusios, diferencijuotos</w:t>
      </w:r>
      <w:r w:rsidR="00F3551A">
        <w:rPr>
          <w:snapToGrid w:val="0"/>
          <w:sz w:val="22"/>
          <w:szCs w:val="22"/>
        </w:rPr>
        <w:t xml:space="preserve"> </w:t>
      </w:r>
      <w:r w:rsidR="00F3551A" w:rsidRPr="001C5C81">
        <w:rPr>
          <w:snapToGrid w:val="0"/>
          <w:sz w:val="22"/>
          <w:szCs w:val="22"/>
        </w:rPr>
        <w:t>(papilinės/folikulinės/</w:t>
      </w:r>
      <w:r w:rsidR="00F3551A" w:rsidRPr="006D4AC3">
        <w:rPr>
          <w:i/>
          <w:iCs/>
          <w:snapToGrid w:val="0"/>
          <w:sz w:val="22"/>
          <w:szCs w:val="22"/>
        </w:rPr>
        <w:t>Hürthle</w:t>
      </w:r>
      <w:r w:rsidR="00F3551A" w:rsidRPr="001C5C81">
        <w:rPr>
          <w:snapToGrid w:val="0"/>
          <w:sz w:val="22"/>
          <w:szCs w:val="22"/>
        </w:rPr>
        <w:t xml:space="preserve"> ląstelių) skydliaukės karcinomos, atsparios radioaktyviajam jodui,</w:t>
      </w:r>
      <w:r w:rsidR="00F3551A">
        <w:rPr>
          <w:snapToGrid w:val="0"/>
          <w:sz w:val="22"/>
          <w:szCs w:val="22"/>
        </w:rPr>
        <w:t xml:space="preserve"> </w:t>
      </w:r>
      <w:r w:rsidR="00F3551A" w:rsidRPr="001C5C81">
        <w:rPr>
          <w:snapToGrid w:val="0"/>
          <w:sz w:val="22"/>
          <w:szCs w:val="22"/>
        </w:rPr>
        <w:t>gydym</w:t>
      </w:r>
      <w:r>
        <w:rPr>
          <w:snapToGrid w:val="0"/>
          <w:sz w:val="22"/>
          <w:szCs w:val="22"/>
        </w:rPr>
        <w:t>ui</w:t>
      </w:r>
      <w:r w:rsidR="00F3551A" w:rsidRPr="001C5C81">
        <w:rPr>
          <w:snapToGrid w:val="0"/>
          <w:sz w:val="22"/>
          <w:szCs w:val="22"/>
        </w:rPr>
        <w:t>.</w:t>
      </w:r>
    </w:p>
    <w:p w14:paraId="2E33E62A" w14:textId="77777777" w:rsidR="00F3551A" w:rsidRPr="00EF20DC" w:rsidRDefault="00F3551A" w:rsidP="001F1094">
      <w:pPr>
        <w:rPr>
          <w:rFonts w:eastAsia="Calibri"/>
          <w:sz w:val="22"/>
          <w:szCs w:val="22"/>
        </w:rPr>
      </w:pPr>
    </w:p>
    <w:p w14:paraId="77522A2D" w14:textId="77777777" w:rsidR="00EF20DC" w:rsidRPr="00EF20DC" w:rsidRDefault="00EF20DC" w:rsidP="001F1094">
      <w:pPr>
        <w:tabs>
          <w:tab w:val="left" w:pos="567"/>
        </w:tabs>
        <w:ind w:left="567"/>
        <w:contextualSpacing/>
        <w:rPr>
          <w:snapToGrid w:val="0"/>
          <w:sz w:val="22"/>
          <w:szCs w:val="22"/>
        </w:rPr>
      </w:pPr>
    </w:p>
    <w:p w14:paraId="26290067" w14:textId="77777777" w:rsidR="00EF20DC" w:rsidRPr="00EF20DC" w:rsidRDefault="00EF20DC" w:rsidP="001F1094">
      <w:pPr>
        <w:ind w:left="567" w:hanging="567"/>
        <w:rPr>
          <w:b/>
          <w:snapToGrid w:val="0"/>
          <w:sz w:val="22"/>
          <w:szCs w:val="22"/>
        </w:rPr>
      </w:pPr>
      <w:r w:rsidRPr="00EF20DC">
        <w:rPr>
          <w:b/>
          <w:snapToGrid w:val="0"/>
          <w:sz w:val="22"/>
          <w:szCs w:val="22"/>
        </w:rPr>
        <w:t>4.2</w:t>
      </w:r>
      <w:r w:rsidRPr="00EF20DC">
        <w:rPr>
          <w:b/>
          <w:snapToGrid w:val="0"/>
          <w:sz w:val="22"/>
          <w:szCs w:val="22"/>
        </w:rPr>
        <w:tab/>
        <w:t>Dozavimas ir vartojimo metodas</w:t>
      </w:r>
    </w:p>
    <w:p w14:paraId="0E01333B" w14:textId="77777777" w:rsidR="00EF20DC" w:rsidRPr="00EF20DC" w:rsidRDefault="00EF20DC" w:rsidP="001F1094">
      <w:pPr>
        <w:tabs>
          <w:tab w:val="left" w:pos="567"/>
        </w:tabs>
        <w:rPr>
          <w:snapToGrid w:val="0"/>
          <w:sz w:val="22"/>
          <w:szCs w:val="22"/>
        </w:rPr>
      </w:pPr>
    </w:p>
    <w:p w14:paraId="5F1720AB" w14:textId="090949BE" w:rsidR="00EF20DC" w:rsidRPr="00EF20DC" w:rsidRDefault="00EF20DC" w:rsidP="001F1094">
      <w:pPr>
        <w:rPr>
          <w:rFonts w:eastAsia="Calibri"/>
          <w:sz w:val="22"/>
          <w:szCs w:val="22"/>
        </w:rPr>
      </w:pPr>
      <w:r w:rsidRPr="00EF20DC">
        <w:rPr>
          <w:rFonts w:eastAsia="Calibri"/>
          <w:sz w:val="22"/>
          <w:szCs w:val="22"/>
        </w:rPr>
        <w:t>Gydy</w:t>
      </w:r>
      <w:r w:rsidR="005E0BA2">
        <w:rPr>
          <w:rFonts w:eastAsia="Calibri"/>
          <w:sz w:val="22"/>
          <w:szCs w:val="22"/>
        </w:rPr>
        <w:t>mą</w:t>
      </w:r>
      <w:r w:rsidRPr="00EF20DC">
        <w:rPr>
          <w:rFonts w:eastAsia="Calibri"/>
          <w:sz w:val="22"/>
          <w:szCs w:val="22"/>
        </w:rPr>
        <w:t xml:space="preserve"> </w:t>
      </w:r>
      <w:r w:rsidRPr="00EF20DC">
        <w:rPr>
          <w:rFonts w:eastAsia="Calibri"/>
          <w:bCs/>
          <w:sz w:val="22"/>
          <w:szCs w:val="22"/>
          <w:shd w:val="clear" w:color="auto" w:fill="FFFFFF"/>
        </w:rPr>
        <w:t xml:space="preserve">Sorafenib </w:t>
      </w:r>
      <w:r w:rsidR="00D71A25">
        <w:rPr>
          <w:rFonts w:eastAsia="Calibri"/>
          <w:bCs/>
          <w:sz w:val="22"/>
          <w:szCs w:val="22"/>
          <w:shd w:val="clear" w:color="auto" w:fill="FFFFFF"/>
        </w:rPr>
        <w:t>Sandoz</w:t>
      </w:r>
      <w:r w:rsidRPr="00EF20DC">
        <w:rPr>
          <w:rFonts w:eastAsia="Calibri"/>
          <w:sz w:val="22"/>
          <w:szCs w:val="22"/>
        </w:rPr>
        <w:t xml:space="preserve"> turi </w:t>
      </w:r>
      <w:r w:rsidR="005E0BA2">
        <w:rPr>
          <w:rFonts w:eastAsia="Calibri"/>
          <w:sz w:val="22"/>
          <w:szCs w:val="22"/>
        </w:rPr>
        <w:t xml:space="preserve">prižiūrėti </w:t>
      </w:r>
      <w:r w:rsidRPr="00EF20DC">
        <w:rPr>
          <w:rFonts w:eastAsia="Calibri"/>
          <w:sz w:val="22"/>
          <w:szCs w:val="22"/>
        </w:rPr>
        <w:t xml:space="preserve">gydytojas, turintis </w:t>
      </w:r>
      <w:r w:rsidR="005E0BA2">
        <w:rPr>
          <w:rFonts w:eastAsia="Calibri"/>
          <w:sz w:val="22"/>
          <w:szCs w:val="22"/>
        </w:rPr>
        <w:t xml:space="preserve">priešvėžinio gydymo taikymo </w:t>
      </w:r>
      <w:r w:rsidRPr="00EF20DC">
        <w:rPr>
          <w:rFonts w:eastAsia="Calibri"/>
          <w:sz w:val="22"/>
          <w:szCs w:val="22"/>
        </w:rPr>
        <w:t xml:space="preserve">patirties. </w:t>
      </w:r>
    </w:p>
    <w:p w14:paraId="154D2FD8" w14:textId="77777777" w:rsidR="00EF20DC" w:rsidRPr="00EF20DC" w:rsidRDefault="00EF20DC" w:rsidP="001F1094">
      <w:pPr>
        <w:rPr>
          <w:rFonts w:eastAsia="Calibri"/>
          <w:sz w:val="22"/>
          <w:szCs w:val="22"/>
          <w:u w:val="single"/>
        </w:rPr>
      </w:pPr>
    </w:p>
    <w:p w14:paraId="4D311E47"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Dozavimas </w:t>
      </w:r>
    </w:p>
    <w:p w14:paraId="70635518" w14:textId="445EADAE" w:rsidR="00EF20DC" w:rsidRPr="00EF20DC" w:rsidRDefault="00EF20DC" w:rsidP="001F1094">
      <w:pPr>
        <w:rPr>
          <w:rFonts w:eastAsia="Calibri"/>
          <w:sz w:val="22"/>
          <w:szCs w:val="22"/>
        </w:rPr>
      </w:pPr>
      <w:r w:rsidRPr="00EF20DC">
        <w:rPr>
          <w:rFonts w:eastAsia="Calibri"/>
          <w:sz w:val="22"/>
          <w:szCs w:val="22"/>
        </w:rPr>
        <w:t>Suaugusie</w:t>
      </w:r>
      <w:r w:rsidR="00B64D6A">
        <w:rPr>
          <w:rFonts w:eastAsia="Calibri"/>
          <w:sz w:val="22"/>
          <w:szCs w:val="22"/>
        </w:rPr>
        <w:t xml:space="preserve">siems </w:t>
      </w:r>
      <w:r w:rsidRPr="00EF20DC">
        <w:rPr>
          <w:rFonts w:eastAsia="Calibri"/>
          <w:sz w:val="22"/>
          <w:szCs w:val="22"/>
        </w:rPr>
        <w:t xml:space="preserve">rekomenduojama </w:t>
      </w:r>
      <w:r w:rsidRPr="00EF20DC">
        <w:rPr>
          <w:rFonts w:eastAsia="Calibri"/>
          <w:bCs/>
          <w:color w:val="222222"/>
          <w:sz w:val="22"/>
          <w:szCs w:val="22"/>
          <w:shd w:val="clear" w:color="auto" w:fill="FFFFFF"/>
        </w:rPr>
        <w:t xml:space="preserve">Sorafenib </w:t>
      </w:r>
      <w:r w:rsidR="00D71A25">
        <w:rPr>
          <w:rFonts w:eastAsia="Calibri"/>
          <w:bCs/>
          <w:color w:val="222222"/>
          <w:sz w:val="22"/>
          <w:szCs w:val="22"/>
          <w:shd w:val="clear" w:color="auto" w:fill="FFFFFF"/>
        </w:rPr>
        <w:t>Sandoz</w:t>
      </w:r>
      <w:r w:rsidRPr="00EF20DC">
        <w:rPr>
          <w:rFonts w:eastAsia="Calibri"/>
          <w:bCs/>
          <w:color w:val="222222"/>
          <w:sz w:val="22"/>
          <w:szCs w:val="22"/>
          <w:shd w:val="clear" w:color="auto" w:fill="FFFFFF"/>
        </w:rPr>
        <w:t xml:space="preserve"> </w:t>
      </w:r>
      <w:r w:rsidR="005E0BA2">
        <w:rPr>
          <w:rFonts w:eastAsia="Calibri"/>
          <w:bCs/>
          <w:color w:val="222222"/>
          <w:sz w:val="22"/>
          <w:szCs w:val="22"/>
          <w:shd w:val="clear" w:color="auto" w:fill="FFFFFF"/>
        </w:rPr>
        <w:t>dozė yra</w:t>
      </w:r>
      <w:r w:rsidRPr="00EF20DC">
        <w:rPr>
          <w:rFonts w:eastAsia="Calibri"/>
          <w:sz w:val="22"/>
          <w:szCs w:val="22"/>
        </w:rPr>
        <w:t xml:space="preserve"> 400 mg (</w:t>
      </w:r>
      <w:r w:rsidR="00146AB1">
        <w:rPr>
          <w:rFonts w:eastAsia="Calibri"/>
          <w:sz w:val="22"/>
          <w:szCs w:val="22"/>
        </w:rPr>
        <w:t>viena 4</w:t>
      </w:r>
      <w:r w:rsidRPr="00EF20DC">
        <w:rPr>
          <w:rFonts w:eastAsia="Calibri"/>
          <w:sz w:val="22"/>
          <w:szCs w:val="22"/>
        </w:rPr>
        <w:t>00 mg tablet</w:t>
      </w:r>
      <w:r w:rsidR="004643D5">
        <w:rPr>
          <w:rFonts w:eastAsia="Calibri"/>
          <w:sz w:val="22"/>
          <w:szCs w:val="22"/>
        </w:rPr>
        <w:t>ė</w:t>
      </w:r>
      <w:r w:rsidRPr="00EF20DC">
        <w:rPr>
          <w:rFonts w:eastAsia="Calibri"/>
          <w:sz w:val="22"/>
          <w:szCs w:val="22"/>
        </w:rPr>
        <w:t xml:space="preserve">) 2 kartus per parą (atitinka </w:t>
      </w:r>
      <w:r w:rsidR="00336100">
        <w:rPr>
          <w:rFonts w:eastAsia="Calibri"/>
          <w:sz w:val="22"/>
          <w:szCs w:val="22"/>
        </w:rPr>
        <w:t xml:space="preserve">bendrą </w:t>
      </w:r>
      <w:r w:rsidRPr="00EF20DC">
        <w:rPr>
          <w:rFonts w:eastAsia="Calibri"/>
          <w:sz w:val="22"/>
          <w:szCs w:val="22"/>
        </w:rPr>
        <w:t>800 mg paros dozę).</w:t>
      </w:r>
    </w:p>
    <w:p w14:paraId="2DC4689D" w14:textId="77777777" w:rsidR="00EF20DC" w:rsidRPr="00EF20DC" w:rsidRDefault="00EF20DC" w:rsidP="001F1094">
      <w:pPr>
        <w:rPr>
          <w:rFonts w:eastAsia="Calibri"/>
          <w:sz w:val="22"/>
          <w:szCs w:val="22"/>
        </w:rPr>
      </w:pPr>
    </w:p>
    <w:p w14:paraId="62EE2247" w14:textId="77777777" w:rsidR="00EF20DC" w:rsidRPr="00EF20DC" w:rsidRDefault="005E0BA2" w:rsidP="001F1094">
      <w:pPr>
        <w:rPr>
          <w:rFonts w:eastAsia="Calibri"/>
          <w:sz w:val="22"/>
          <w:szCs w:val="22"/>
        </w:rPr>
      </w:pPr>
      <w:r>
        <w:rPr>
          <w:rFonts w:eastAsia="Calibri"/>
          <w:sz w:val="22"/>
          <w:szCs w:val="22"/>
        </w:rPr>
        <w:t>Gydymas turi būti tęsiamas</w:t>
      </w:r>
      <w:r w:rsidR="00EF20DC" w:rsidRPr="00EF20DC">
        <w:rPr>
          <w:rFonts w:eastAsia="Calibri"/>
          <w:sz w:val="22"/>
          <w:szCs w:val="22"/>
        </w:rPr>
        <w:t xml:space="preserve"> tol, kol klinikinis poveikis yra palankus arba kol atsiras </w:t>
      </w:r>
      <w:r w:rsidR="00EF20DC" w:rsidRPr="00E06A38">
        <w:rPr>
          <w:rFonts w:eastAsia="Calibri"/>
          <w:sz w:val="22"/>
          <w:szCs w:val="22"/>
        </w:rPr>
        <w:t>nepriimtinas</w:t>
      </w:r>
      <w:r w:rsidR="00EF20DC" w:rsidRPr="00EF20DC">
        <w:rPr>
          <w:rFonts w:eastAsia="Calibri"/>
          <w:sz w:val="22"/>
          <w:szCs w:val="22"/>
        </w:rPr>
        <w:t xml:space="preserve"> toksinis poveikis. </w:t>
      </w:r>
    </w:p>
    <w:p w14:paraId="64A5F66D" w14:textId="77777777" w:rsidR="00EF20DC" w:rsidRPr="00EF20DC" w:rsidRDefault="00EF20DC" w:rsidP="001F1094">
      <w:pPr>
        <w:rPr>
          <w:rFonts w:eastAsia="Calibri"/>
          <w:sz w:val="22"/>
          <w:szCs w:val="22"/>
        </w:rPr>
      </w:pPr>
    </w:p>
    <w:p w14:paraId="4DEB9E5F"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Dozavimo keitimas </w:t>
      </w:r>
    </w:p>
    <w:p w14:paraId="63277621" w14:textId="77777777" w:rsidR="00EF20DC" w:rsidRPr="00EF20DC" w:rsidRDefault="00EF20DC" w:rsidP="001F1094">
      <w:pPr>
        <w:rPr>
          <w:rFonts w:eastAsia="Calibri"/>
          <w:sz w:val="22"/>
          <w:szCs w:val="22"/>
        </w:rPr>
      </w:pPr>
      <w:r w:rsidRPr="00EF20DC">
        <w:rPr>
          <w:rFonts w:eastAsia="Calibri"/>
          <w:sz w:val="22"/>
          <w:szCs w:val="22"/>
        </w:rPr>
        <w:t>Įtarus, kad prasidėjo nepageidaujama reakcija, gali prireikti sorafenibo vartojimą laikinai nutraukti arba mažinti dozę.</w:t>
      </w:r>
    </w:p>
    <w:p w14:paraId="7BEBC519" w14:textId="77777777" w:rsidR="00EF20DC" w:rsidRPr="00EF20DC" w:rsidRDefault="00EF20DC" w:rsidP="001F1094">
      <w:pPr>
        <w:rPr>
          <w:rFonts w:eastAsia="Calibri"/>
          <w:sz w:val="22"/>
          <w:szCs w:val="22"/>
        </w:rPr>
      </w:pPr>
    </w:p>
    <w:p w14:paraId="1EF54C9D" w14:textId="7F39B3C4" w:rsidR="00EF20DC" w:rsidRDefault="00EF20DC" w:rsidP="001F1094">
      <w:pPr>
        <w:rPr>
          <w:rFonts w:eastAsia="Calibri"/>
          <w:sz w:val="22"/>
          <w:szCs w:val="22"/>
        </w:rPr>
      </w:pPr>
      <w:r w:rsidRPr="00EF20DC">
        <w:rPr>
          <w:rFonts w:eastAsia="Calibri"/>
          <w:sz w:val="22"/>
          <w:szCs w:val="22"/>
        </w:rPr>
        <w:t xml:space="preserve">Prireikus dozę mažinti kepenų ląstelių karcinomos (KLK) ir progresavusios inkstų ląstelių karcinomos (ILK) gydymo metu, </w:t>
      </w:r>
      <w:r w:rsidR="000A3D5D" w:rsidRPr="00EF20DC">
        <w:rPr>
          <w:rFonts w:eastAsia="Calibri"/>
          <w:bCs/>
          <w:sz w:val="22"/>
          <w:szCs w:val="22"/>
          <w:shd w:val="clear" w:color="auto" w:fill="FFFFFF"/>
        </w:rPr>
        <w:t xml:space="preserve">Sorafenib </w:t>
      </w:r>
      <w:r w:rsidR="00D71A25">
        <w:rPr>
          <w:rFonts w:eastAsia="Calibri"/>
          <w:bCs/>
          <w:sz w:val="22"/>
          <w:szCs w:val="22"/>
          <w:shd w:val="clear" w:color="auto" w:fill="FFFFFF"/>
        </w:rPr>
        <w:t>Sandoz</w:t>
      </w:r>
      <w:r w:rsidR="000A3D5D" w:rsidRPr="00EF20DC">
        <w:rPr>
          <w:rFonts w:eastAsia="Calibri"/>
          <w:sz w:val="22"/>
          <w:szCs w:val="22"/>
        </w:rPr>
        <w:t xml:space="preserve"> </w:t>
      </w:r>
      <w:r w:rsidR="000A3D5D">
        <w:rPr>
          <w:rFonts w:eastAsia="Calibri"/>
          <w:sz w:val="22"/>
          <w:szCs w:val="22"/>
        </w:rPr>
        <w:t xml:space="preserve">dozė turi būti sumažinta iki </w:t>
      </w:r>
      <w:r w:rsidR="00114B87">
        <w:rPr>
          <w:rFonts w:eastAsia="Calibri"/>
          <w:sz w:val="22"/>
          <w:szCs w:val="22"/>
        </w:rPr>
        <w:t>4</w:t>
      </w:r>
      <w:r w:rsidRPr="00EF20DC">
        <w:rPr>
          <w:rFonts w:eastAsia="Calibri"/>
          <w:sz w:val="22"/>
          <w:szCs w:val="22"/>
        </w:rPr>
        <w:t>00</w:t>
      </w:r>
      <w:r w:rsidR="00114B87">
        <w:rPr>
          <w:rFonts w:eastAsia="Calibri"/>
          <w:sz w:val="22"/>
          <w:szCs w:val="22"/>
        </w:rPr>
        <w:t> </w:t>
      </w:r>
      <w:r w:rsidRPr="00EF20DC">
        <w:rPr>
          <w:rFonts w:eastAsia="Calibri"/>
          <w:sz w:val="22"/>
          <w:szCs w:val="22"/>
        </w:rPr>
        <w:t>mg sorafenibo</w:t>
      </w:r>
      <w:r w:rsidR="000A3D5D">
        <w:rPr>
          <w:rFonts w:eastAsia="Calibri"/>
          <w:sz w:val="22"/>
          <w:szCs w:val="22"/>
        </w:rPr>
        <w:t>, vartojam</w:t>
      </w:r>
      <w:r w:rsidR="00114B87">
        <w:rPr>
          <w:rFonts w:eastAsia="Calibri"/>
          <w:sz w:val="22"/>
          <w:szCs w:val="22"/>
        </w:rPr>
        <w:t>o</w:t>
      </w:r>
      <w:r w:rsidRPr="00EF20DC">
        <w:rPr>
          <w:rFonts w:eastAsia="Calibri"/>
          <w:sz w:val="22"/>
          <w:szCs w:val="22"/>
        </w:rPr>
        <w:t xml:space="preserve"> kartą per parą (žr. 4.4 skyrių). </w:t>
      </w:r>
    </w:p>
    <w:p w14:paraId="63B09A1C" w14:textId="77777777" w:rsidR="00F3551A" w:rsidRDefault="00F3551A" w:rsidP="00F3551A">
      <w:pPr>
        <w:rPr>
          <w:rFonts w:eastAsia="Calibri"/>
          <w:sz w:val="22"/>
          <w:szCs w:val="22"/>
        </w:rPr>
      </w:pPr>
    </w:p>
    <w:p w14:paraId="62D47FD8" w14:textId="5F8F8F41" w:rsidR="00F3551A" w:rsidRDefault="00F3551A" w:rsidP="00F3551A">
      <w:pPr>
        <w:rPr>
          <w:rFonts w:eastAsia="Calibri"/>
          <w:sz w:val="22"/>
          <w:szCs w:val="22"/>
        </w:rPr>
      </w:pPr>
      <w:r w:rsidRPr="00F3551A">
        <w:rPr>
          <w:rFonts w:eastAsia="Calibri"/>
          <w:sz w:val="22"/>
          <w:szCs w:val="22"/>
        </w:rPr>
        <w:t>Kito</w:t>
      </w:r>
      <w:r>
        <w:rPr>
          <w:rFonts w:eastAsia="Calibri"/>
          <w:sz w:val="22"/>
          <w:szCs w:val="22"/>
        </w:rPr>
        <w:t>kioms negu</w:t>
      </w:r>
      <w:r w:rsidRPr="00F3551A">
        <w:rPr>
          <w:rFonts w:eastAsia="Calibri"/>
          <w:sz w:val="22"/>
          <w:szCs w:val="22"/>
        </w:rPr>
        <w:t xml:space="preserve"> 400</w:t>
      </w:r>
      <w:r>
        <w:rPr>
          <w:rFonts w:eastAsia="Calibri"/>
          <w:sz w:val="22"/>
          <w:szCs w:val="22"/>
        </w:rPr>
        <w:t> </w:t>
      </w:r>
      <w:r w:rsidRPr="00F3551A">
        <w:rPr>
          <w:rFonts w:eastAsia="Calibri"/>
          <w:sz w:val="22"/>
          <w:szCs w:val="22"/>
        </w:rPr>
        <w:t>mg</w:t>
      </w:r>
      <w:r>
        <w:rPr>
          <w:rFonts w:eastAsia="Calibri"/>
          <w:sz w:val="22"/>
          <w:szCs w:val="22"/>
        </w:rPr>
        <w:t xml:space="preserve"> </w:t>
      </w:r>
      <w:r w:rsidRPr="00F3551A">
        <w:rPr>
          <w:rFonts w:eastAsia="Calibri"/>
          <w:sz w:val="22"/>
          <w:szCs w:val="22"/>
        </w:rPr>
        <w:t>dozėms (žr. toliau nurodytą doz</w:t>
      </w:r>
      <w:r>
        <w:rPr>
          <w:rFonts w:eastAsia="Calibri"/>
          <w:sz w:val="22"/>
          <w:szCs w:val="22"/>
        </w:rPr>
        <w:t>avimo</w:t>
      </w:r>
      <w:r w:rsidRPr="00F3551A">
        <w:rPr>
          <w:rFonts w:eastAsia="Calibri"/>
          <w:sz w:val="22"/>
          <w:szCs w:val="22"/>
        </w:rPr>
        <w:t xml:space="preserve"> mažinimą) </w:t>
      </w:r>
      <w:r>
        <w:rPr>
          <w:rFonts w:eastAsia="Calibri"/>
          <w:sz w:val="22"/>
          <w:szCs w:val="22"/>
        </w:rPr>
        <w:t>yra tinkamos</w:t>
      </w:r>
      <w:r w:rsidRPr="00F3551A">
        <w:rPr>
          <w:rFonts w:eastAsia="Calibri"/>
          <w:sz w:val="22"/>
          <w:szCs w:val="22"/>
        </w:rPr>
        <w:t xml:space="preserve"> 200</w:t>
      </w:r>
      <w:r>
        <w:rPr>
          <w:rFonts w:eastAsia="Calibri"/>
          <w:sz w:val="22"/>
          <w:szCs w:val="22"/>
        </w:rPr>
        <w:t> </w:t>
      </w:r>
      <w:r w:rsidRPr="00F3551A">
        <w:rPr>
          <w:rFonts w:eastAsia="Calibri"/>
          <w:sz w:val="22"/>
          <w:szCs w:val="22"/>
        </w:rPr>
        <w:t>mg ta</w:t>
      </w:r>
      <w:r>
        <w:rPr>
          <w:rFonts w:eastAsia="Calibri"/>
          <w:sz w:val="22"/>
          <w:szCs w:val="22"/>
        </w:rPr>
        <w:t>bletės</w:t>
      </w:r>
      <w:r w:rsidRPr="00F3551A">
        <w:rPr>
          <w:rFonts w:eastAsia="Calibri"/>
          <w:sz w:val="22"/>
          <w:szCs w:val="22"/>
        </w:rPr>
        <w:t>.</w:t>
      </w:r>
    </w:p>
    <w:p w14:paraId="739EB930" w14:textId="77777777" w:rsidR="00F3551A" w:rsidRDefault="00F3551A" w:rsidP="00F3551A">
      <w:pPr>
        <w:rPr>
          <w:rFonts w:eastAsia="Calibri"/>
          <w:sz w:val="22"/>
          <w:szCs w:val="22"/>
        </w:rPr>
      </w:pPr>
    </w:p>
    <w:p w14:paraId="70DD446A" w14:textId="3C51CFA0" w:rsidR="00F3551A" w:rsidRDefault="00F3551A" w:rsidP="00F3551A">
      <w:pPr>
        <w:rPr>
          <w:rFonts w:eastAsia="Calibri"/>
          <w:sz w:val="22"/>
          <w:szCs w:val="22"/>
        </w:rPr>
      </w:pPr>
      <w:r w:rsidRPr="00244AA6">
        <w:rPr>
          <w:rFonts w:eastAsia="Calibri"/>
          <w:sz w:val="22"/>
          <w:szCs w:val="22"/>
        </w:rPr>
        <w:t>Prireikus dozę mažinti diferencijuotos skydliaukės karcinomos gydymo metu, Sorafenib Sandoz dozę reikia</w:t>
      </w:r>
      <w:r>
        <w:rPr>
          <w:rFonts w:eastAsia="Calibri"/>
          <w:sz w:val="22"/>
          <w:szCs w:val="22"/>
        </w:rPr>
        <w:t xml:space="preserve"> </w:t>
      </w:r>
      <w:r w:rsidRPr="00244AA6">
        <w:rPr>
          <w:rFonts w:eastAsia="Calibri"/>
          <w:sz w:val="22"/>
          <w:szCs w:val="22"/>
        </w:rPr>
        <w:t>sumažinti iki 600</w:t>
      </w:r>
      <w:r>
        <w:rPr>
          <w:rFonts w:eastAsia="Calibri"/>
          <w:sz w:val="22"/>
          <w:szCs w:val="22"/>
        </w:rPr>
        <w:t> </w:t>
      </w:r>
      <w:r w:rsidRPr="00244AA6">
        <w:rPr>
          <w:rFonts w:eastAsia="Calibri"/>
          <w:sz w:val="22"/>
          <w:szCs w:val="22"/>
        </w:rPr>
        <w:t>mg sorafenibo per parą, vartojant padalytas dozes (</w:t>
      </w:r>
      <w:r>
        <w:rPr>
          <w:rFonts w:eastAsia="Calibri"/>
          <w:sz w:val="22"/>
          <w:szCs w:val="22"/>
        </w:rPr>
        <w:t>po vieną</w:t>
      </w:r>
      <w:r w:rsidRPr="00244AA6">
        <w:rPr>
          <w:rFonts w:eastAsia="Calibri"/>
          <w:sz w:val="22"/>
          <w:szCs w:val="22"/>
        </w:rPr>
        <w:t xml:space="preserve"> </w:t>
      </w:r>
      <w:r>
        <w:rPr>
          <w:rFonts w:eastAsia="Calibri"/>
          <w:sz w:val="22"/>
          <w:szCs w:val="22"/>
        </w:rPr>
        <w:t>4</w:t>
      </w:r>
      <w:r w:rsidRPr="00244AA6">
        <w:rPr>
          <w:rFonts w:eastAsia="Calibri"/>
          <w:sz w:val="22"/>
          <w:szCs w:val="22"/>
        </w:rPr>
        <w:t>00</w:t>
      </w:r>
      <w:r>
        <w:rPr>
          <w:rFonts w:eastAsia="Calibri"/>
          <w:sz w:val="22"/>
          <w:szCs w:val="22"/>
        </w:rPr>
        <w:t> </w:t>
      </w:r>
      <w:r w:rsidRPr="00244AA6">
        <w:rPr>
          <w:rFonts w:eastAsia="Calibri"/>
          <w:sz w:val="22"/>
          <w:szCs w:val="22"/>
        </w:rPr>
        <w:t>mg tablet</w:t>
      </w:r>
      <w:r>
        <w:rPr>
          <w:rFonts w:eastAsia="Calibri"/>
          <w:sz w:val="22"/>
          <w:szCs w:val="22"/>
        </w:rPr>
        <w:t>ę</w:t>
      </w:r>
      <w:r w:rsidRPr="00244AA6">
        <w:rPr>
          <w:rFonts w:eastAsia="Calibri"/>
          <w:sz w:val="22"/>
          <w:szCs w:val="22"/>
        </w:rPr>
        <w:t xml:space="preserve"> ir po</w:t>
      </w:r>
      <w:r>
        <w:rPr>
          <w:rFonts w:eastAsia="Calibri"/>
          <w:sz w:val="22"/>
          <w:szCs w:val="22"/>
        </w:rPr>
        <w:t xml:space="preserve"> </w:t>
      </w:r>
      <w:r w:rsidRPr="00244AA6">
        <w:rPr>
          <w:rFonts w:eastAsia="Calibri"/>
          <w:sz w:val="22"/>
          <w:szCs w:val="22"/>
        </w:rPr>
        <w:t>vieną 200</w:t>
      </w:r>
      <w:r>
        <w:rPr>
          <w:rFonts w:eastAsia="Calibri"/>
          <w:sz w:val="22"/>
          <w:szCs w:val="22"/>
        </w:rPr>
        <w:t> </w:t>
      </w:r>
      <w:r w:rsidRPr="00244AA6">
        <w:rPr>
          <w:rFonts w:eastAsia="Calibri"/>
          <w:sz w:val="22"/>
          <w:szCs w:val="22"/>
        </w:rPr>
        <w:t>mg tabletę su dvylikos valandų pertrauka).</w:t>
      </w:r>
      <w:r>
        <w:rPr>
          <w:rFonts w:eastAsia="Calibri"/>
          <w:sz w:val="22"/>
          <w:szCs w:val="22"/>
        </w:rPr>
        <w:t xml:space="preserve"> </w:t>
      </w:r>
      <w:r w:rsidRPr="00244AA6">
        <w:rPr>
          <w:rFonts w:eastAsia="Calibri"/>
          <w:sz w:val="22"/>
          <w:szCs w:val="22"/>
        </w:rPr>
        <w:t>Prireikus dar mažinti dozę, Sorafenib Sandoz dozę galima sumažinti iki 400</w:t>
      </w:r>
      <w:r>
        <w:rPr>
          <w:rFonts w:eastAsia="Calibri"/>
          <w:sz w:val="22"/>
          <w:szCs w:val="22"/>
        </w:rPr>
        <w:t> </w:t>
      </w:r>
      <w:r w:rsidRPr="00244AA6">
        <w:rPr>
          <w:rFonts w:eastAsia="Calibri"/>
          <w:sz w:val="22"/>
          <w:szCs w:val="22"/>
        </w:rPr>
        <w:t>mg sorafenibo per parą, vartojant</w:t>
      </w:r>
      <w:r>
        <w:rPr>
          <w:rFonts w:eastAsia="Calibri"/>
          <w:sz w:val="22"/>
          <w:szCs w:val="22"/>
        </w:rPr>
        <w:t xml:space="preserve"> p</w:t>
      </w:r>
      <w:r w:rsidRPr="00244AA6">
        <w:rPr>
          <w:rFonts w:eastAsia="Calibri"/>
          <w:sz w:val="22"/>
          <w:szCs w:val="22"/>
        </w:rPr>
        <w:t>adalytas dozes (po dvi 200</w:t>
      </w:r>
      <w:r>
        <w:rPr>
          <w:rFonts w:eastAsia="Calibri"/>
          <w:sz w:val="22"/>
          <w:szCs w:val="22"/>
        </w:rPr>
        <w:t> </w:t>
      </w:r>
      <w:r w:rsidRPr="00244AA6">
        <w:rPr>
          <w:rFonts w:eastAsia="Calibri"/>
          <w:sz w:val="22"/>
          <w:szCs w:val="22"/>
        </w:rPr>
        <w:t>mg tabletes su dvylikos valandų pertrauka) ir, jei reikia, dozę galima</w:t>
      </w:r>
      <w:r>
        <w:rPr>
          <w:rFonts w:eastAsia="Calibri"/>
          <w:sz w:val="22"/>
          <w:szCs w:val="22"/>
        </w:rPr>
        <w:t xml:space="preserve"> </w:t>
      </w:r>
      <w:r w:rsidRPr="00244AA6">
        <w:rPr>
          <w:rFonts w:eastAsia="Calibri"/>
          <w:sz w:val="22"/>
          <w:szCs w:val="22"/>
        </w:rPr>
        <w:t>sumažinti iki vienos 200</w:t>
      </w:r>
      <w:r>
        <w:rPr>
          <w:rFonts w:eastAsia="Calibri"/>
          <w:sz w:val="22"/>
          <w:szCs w:val="22"/>
        </w:rPr>
        <w:t> </w:t>
      </w:r>
      <w:r w:rsidRPr="00244AA6">
        <w:rPr>
          <w:rFonts w:eastAsia="Calibri"/>
          <w:sz w:val="22"/>
          <w:szCs w:val="22"/>
        </w:rPr>
        <w:t>mg tabletės vieną kartą per parą. Susilpnėjus nehematologinėms</w:t>
      </w:r>
      <w:r>
        <w:rPr>
          <w:rFonts w:eastAsia="Calibri"/>
          <w:sz w:val="22"/>
          <w:szCs w:val="22"/>
        </w:rPr>
        <w:t xml:space="preserve"> </w:t>
      </w:r>
      <w:r w:rsidRPr="00244AA6">
        <w:rPr>
          <w:rFonts w:eastAsia="Calibri"/>
          <w:sz w:val="22"/>
          <w:szCs w:val="22"/>
        </w:rPr>
        <w:t>nepageidaujamoms reakcijoms, Sorafenib Sandoz dozę galima padidinti.</w:t>
      </w:r>
    </w:p>
    <w:p w14:paraId="4388F8AE" w14:textId="77777777" w:rsidR="000A3D5D" w:rsidRPr="00EF20DC" w:rsidRDefault="000A3D5D" w:rsidP="001F1094">
      <w:pPr>
        <w:rPr>
          <w:rFonts w:eastAsia="Calibri"/>
          <w:sz w:val="22"/>
          <w:szCs w:val="22"/>
        </w:rPr>
      </w:pPr>
    </w:p>
    <w:p w14:paraId="78B8F649" w14:textId="77777777" w:rsidR="00EF20DC" w:rsidRPr="00EF20DC" w:rsidRDefault="00EF20DC" w:rsidP="001F1094">
      <w:pPr>
        <w:rPr>
          <w:rFonts w:eastAsia="Calibri"/>
          <w:i/>
          <w:sz w:val="22"/>
          <w:szCs w:val="22"/>
        </w:rPr>
      </w:pPr>
      <w:r w:rsidRPr="00EF20DC">
        <w:rPr>
          <w:rFonts w:eastAsia="Calibri"/>
          <w:i/>
          <w:sz w:val="22"/>
          <w:szCs w:val="22"/>
        </w:rPr>
        <w:t xml:space="preserve">Vaikų populiacija </w:t>
      </w:r>
    </w:p>
    <w:p w14:paraId="6ACD4EDF" w14:textId="63B251F3" w:rsidR="00EF20DC" w:rsidRPr="00EF20DC" w:rsidRDefault="00EF20DC" w:rsidP="001F1094">
      <w:pPr>
        <w:rPr>
          <w:rFonts w:eastAsia="Calibri"/>
          <w:sz w:val="22"/>
          <w:szCs w:val="22"/>
        </w:rPr>
      </w:pPr>
      <w:r w:rsidRPr="00EF20DC">
        <w:rPr>
          <w:rFonts w:eastAsia="Calibri"/>
          <w:sz w:val="22"/>
          <w:szCs w:val="22"/>
        </w:rPr>
        <w:t xml:space="preserve">Sorafenib </w:t>
      </w:r>
      <w:r w:rsidR="00D71A25">
        <w:rPr>
          <w:rFonts w:eastAsia="Calibri"/>
          <w:sz w:val="22"/>
          <w:szCs w:val="22"/>
        </w:rPr>
        <w:t>Sandoz</w:t>
      </w:r>
      <w:r w:rsidRPr="00EF20DC">
        <w:rPr>
          <w:rFonts w:eastAsia="Calibri"/>
          <w:sz w:val="22"/>
          <w:szCs w:val="22"/>
        </w:rPr>
        <w:t xml:space="preserve"> saugumas ir veiksmingumas vaikams ir jaunesniems </w:t>
      </w:r>
      <w:r w:rsidR="006022FF">
        <w:rPr>
          <w:rFonts w:eastAsia="Calibri"/>
          <w:sz w:val="22"/>
          <w:szCs w:val="22"/>
        </w:rPr>
        <w:t>kaip</w:t>
      </w:r>
      <w:r w:rsidR="006022FF" w:rsidRPr="00EF20DC">
        <w:rPr>
          <w:rFonts w:eastAsia="Calibri"/>
          <w:sz w:val="22"/>
          <w:szCs w:val="22"/>
        </w:rPr>
        <w:t xml:space="preserve"> </w:t>
      </w:r>
      <w:r w:rsidRPr="00EF20DC">
        <w:rPr>
          <w:rFonts w:eastAsia="Calibri"/>
          <w:sz w:val="22"/>
          <w:szCs w:val="22"/>
        </w:rPr>
        <w:t xml:space="preserve">18 metų </w:t>
      </w:r>
      <w:r w:rsidR="000A3D5D" w:rsidRPr="00EF20DC">
        <w:rPr>
          <w:rFonts w:eastAsia="Calibri"/>
          <w:sz w:val="22"/>
          <w:szCs w:val="22"/>
        </w:rPr>
        <w:t xml:space="preserve">paaugliams </w:t>
      </w:r>
      <w:r w:rsidRPr="00EF20DC">
        <w:rPr>
          <w:rFonts w:eastAsia="Calibri"/>
          <w:sz w:val="22"/>
          <w:szCs w:val="22"/>
        </w:rPr>
        <w:t>dar neištirti. Duomenų nėra.</w:t>
      </w:r>
    </w:p>
    <w:p w14:paraId="6157A0B2" w14:textId="77777777" w:rsidR="00EF20DC" w:rsidRPr="00EF20DC" w:rsidRDefault="00EF20DC" w:rsidP="001F1094">
      <w:pPr>
        <w:rPr>
          <w:rFonts w:eastAsia="Calibri"/>
          <w:sz w:val="22"/>
          <w:szCs w:val="22"/>
        </w:rPr>
      </w:pPr>
    </w:p>
    <w:p w14:paraId="79BCA4DA" w14:textId="77777777" w:rsidR="00EF20DC" w:rsidRPr="00EF20DC" w:rsidRDefault="00EF20DC" w:rsidP="001F1094">
      <w:pPr>
        <w:rPr>
          <w:rFonts w:eastAsia="Calibri"/>
          <w:i/>
          <w:sz w:val="22"/>
          <w:szCs w:val="22"/>
        </w:rPr>
      </w:pPr>
      <w:r w:rsidRPr="00EF20DC">
        <w:rPr>
          <w:rFonts w:eastAsia="Calibri"/>
          <w:i/>
          <w:sz w:val="22"/>
          <w:szCs w:val="22"/>
        </w:rPr>
        <w:t>Senyv</w:t>
      </w:r>
      <w:r w:rsidR="004643D5">
        <w:rPr>
          <w:rFonts w:eastAsia="Calibri"/>
          <w:i/>
          <w:sz w:val="22"/>
          <w:szCs w:val="22"/>
        </w:rPr>
        <w:t>iems pacientams</w:t>
      </w:r>
    </w:p>
    <w:p w14:paraId="550D3761" w14:textId="77777777" w:rsidR="00EF20DC" w:rsidRPr="00EF20DC" w:rsidRDefault="004643D5" w:rsidP="001F1094">
      <w:pPr>
        <w:rPr>
          <w:rFonts w:eastAsia="Calibri"/>
          <w:sz w:val="22"/>
          <w:szCs w:val="22"/>
        </w:rPr>
      </w:pPr>
      <w:r w:rsidRPr="00C66B47">
        <w:rPr>
          <w:rFonts w:eastAsia="Calibri"/>
          <w:sz w:val="22"/>
          <w:szCs w:val="22"/>
        </w:rPr>
        <w:t>Senyviems</w:t>
      </w:r>
      <w:r w:rsidR="00EF20DC" w:rsidRPr="00EF20DC">
        <w:rPr>
          <w:rFonts w:eastAsia="Calibri"/>
          <w:sz w:val="22"/>
          <w:szCs w:val="22"/>
        </w:rPr>
        <w:t xml:space="preserve"> (vyresniems negu 65 metų) </w:t>
      </w:r>
      <w:r w:rsidRPr="00C66B47">
        <w:rPr>
          <w:rFonts w:eastAsia="Calibri"/>
          <w:sz w:val="22"/>
          <w:szCs w:val="22"/>
        </w:rPr>
        <w:t>pacientams</w:t>
      </w:r>
      <w:r w:rsidR="00EF20DC" w:rsidRPr="00C66B47">
        <w:rPr>
          <w:rFonts w:eastAsia="Calibri"/>
          <w:sz w:val="22"/>
          <w:szCs w:val="22"/>
        </w:rPr>
        <w:t xml:space="preserve"> </w:t>
      </w:r>
      <w:r w:rsidR="00EF20DC" w:rsidRPr="00EF20DC">
        <w:rPr>
          <w:rFonts w:eastAsia="Calibri"/>
          <w:sz w:val="22"/>
          <w:szCs w:val="22"/>
        </w:rPr>
        <w:t xml:space="preserve">dozės keisti nereikia. </w:t>
      </w:r>
    </w:p>
    <w:p w14:paraId="77126B90" w14:textId="77777777" w:rsidR="00EF20DC" w:rsidRPr="00EF20DC" w:rsidRDefault="00EF20DC" w:rsidP="001F1094">
      <w:pPr>
        <w:rPr>
          <w:rFonts w:eastAsia="Calibri"/>
          <w:sz w:val="22"/>
          <w:szCs w:val="22"/>
        </w:rPr>
      </w:pPr>
      <w:r w:rsidRPr="00EF20DC">
        <w:rPr>
          <w:rFonts w:eastAsia="Calibri"/>
          <w:sz w:val="22"/>
          <w:szCs w:val="22"/>
        </w:rPr>
        <w:t xml:space="preserve"> </w:t>
      </w:r>
    </w:p>
    <w:p w14:paraId="18B55FA9" w14:textId="77777777" w:rsidR="00EF20DC" w:rsidRPr="00EF20DC" w:rsidRDefault="00EF20DC" w:rsidP="001F1094">
      <w:pPr>
        <w:autoSpaceDE w:val="0"/>
        <w:autoSpaceDN w:val="0"/>
        <w:adjustRightInd w:val="0"/>
        <w:rPr>
          <w:rFonts w:eastAsia="Calibri"/>
          <w:i/>
          <w:iCs/>
          <w:sz w:val="22"/>
          <w:szCs w:val="22"/>
          <w:lang w:eastAsia="lt-LT"/>
        </w:rPr>
      </w:pPr>
      <w:r w:rsidRPr="00EF20DC">
        <w:rPr>
          <w:rFonts w:eastAsia="Calibri"/>
          <w:i/>
          <w:iCs/>
          <w:sz w:val="22"/>
          <w:szCs w:val="22"/>
          <w:lang w:eastAsia="lt-LT"/>
        </w:rPr>
        <w:t xml:space="preserve">Pacientams, kurių inkstų funkcija sutrikusi </w:t>
      </w:r>
    </w:p>
    <w:p w14:paraId="0123A30D" w14:textId="77777777" w:rsidR="00EF20DC" w:rsidRPr="00EF20DC" w:rsidRDefault="00EF20DC" w:rsidP="001F1094">
      <w:pPr>
        <w:rPr>
          <w:rFonts w:eastAsia="Calibri"/>
          <w:sz w:val="22"/>
          <w:szCs w:val="22"/>
        </w:rPr>
      </w:pPr>
      <w:r w:rsidRPr="00EF20DC">
        <w:rPr>
          <w:rFonts w:eastAsia="Calibri"/>
          <w:sz w:val="22"/>
          <w:szCs w:val="22"/>
        </w:rPr>
        <w:t xml:space="preserve">Jeigu yra lengvas, vidutinio sunkumo arba sunkus inkstų funkcijos sutrikimas, dozės keisti nereikia. Apie pacientų, kuriems būtina dializė, gydymą šiuo vaistiniu preparatu duomenų nėra (žr. 5.2 skyrių). </w:t>
      </w:r>
    </w:p>
    <w:p w14:paraId="4F32D63B" w14:textId="77777777" w:rsidR="00EF20DC" w:rsidRPr="00EF20DC" w:rsidRDefault="00EF20DC" w:rsidP="001F1094">
      <w:pPr>
        <w:rPr>
          <w:rFonts w:eastAsia="Calibri"/>
          <w:sz w:val="22"/>
          <w:szCs w:val="22"/>
        </w:rPr>
      </w:pPr>
    </w:p>
    <w:p w14:paraId="6C516B3A" w14:textId="77777777" w:rsidR="00EF20DC" w:rsidRPr="00EF20DC" w:rsidRDefault="00EF20DC" w:rsidP="001F1094">
      <w:pPr>
        <w:rPr>
          <w:rFonts w:eastAsia="Calibri"/>
          <w:sz w:val="22"/>
          <w:szCs w:val="22"/>
        </w:rPr>
      </w:pPr>
      <w:r w:rsidRPr="00EF20DC">
        <w:rPr>
          <w:rFonts w:eastAsia="Calibri"/>
          <w:sz w:val="22"/>
          <w:szCs w:val="22"/>
        </w:rPr>
        <w:t xml:space="preserve">Patariama </w:t>
      </w:r>
      <w:r w:rsidR="000A3D5D">
        <w:rPr>
          <w:rFonts w:eastAsia="Calibri"/>
          <w:sz w:val="22"/>
          <w:szCs w:val="22"/>
        </w:rPr>
        <w:t>tikrinti</w:t>
      </w:r>
      <w:r w:rsidRPr="00EF20DC">
        <w:rPr>
          <w:rFonts w:eastAsia="Calibri"/>
          <w:sz w:val="22"/>
          <w:szCs w:val="22"/>
        </w:rPr>
        <w:t xml:space="preserve"> skysči</w:t>
      </w:r>
      <w:r w:rsidR="000A3D5D">
        <w:rPr>
          <w:rFonts w:eastAsia="Calibri"/>
          <w:sz w:val="22"/>
          <w:szCs w:val="22"/>
        </w:rPr>
        <w:t>o</w:t>
      </w:r>
      <w:r w:rsidRPr="00EF20DC">
        <w:rPr>
          <w:rFonts w:eastAsia="Calibri"/>
          <w:sz w:val="22"/>
          <w:szCs w:val="22"/>
        </w:rPr>
        <w:t xml:space="preserve"> ir elektrolitų pusiausvyrą pacientams, kuriems yra inkstų funkcijos sutrikimo rizika. </w:t>
      </w:r>
    </w:p>
    <w:p w14:paraId="0A8B748E" w14:textId="77777777" w:rsidR="00EF20DC" w:rsidRPr="00EF20DC" w:rsidRDefault="00EF20DC" w:rsidP="001F1094">
      <w:pPr>
        <w:rPr>
          <w:rFonts w:eastAsia="Calibri"/>
          <w:sz w:val="22"/>
          <w:szCs w:val="22"/>
        </w:rPr>
      </w:pPr>
      <w:r w:rsidRPr="00EF20DC">
        <w:rPr>
          <w:rFonts w:eastAsia="Calibri"/>
          <w:sz w:val="22"/>
          <w:szCs w:val="22"/>
        </w:rPr>
        <w:t xml:space="preserve"> </w:t>
      </w:r>
    </w:p>
    <w:p w14:paraId="23030F07" w14:textId="77777777" w:rsidR="00EF20DC" w:rsidRPr="00EF20DC" w:rsidRDefault="00EF20DC" w:rsidP="001F1094">
      <w:pPr>
        <w:autoSpaceDE w:val="0"/>
        <w:autoSpaceDN w:val="0"/>
        <w:adjustRightInd w:val="0"/>
        <w:rPr>
          <w:rFonts w:eastAsia="Calibri"/>
          <w:i/>
          <w:iCs/>
          <w:sz w:val="22"/>
          <w:szCs w:val="22"/>
          <w:lang w:eastAsia="lt-LT"/>
        </w:rPr>
      </w:pPr>
      <w:r w:rsidRPr="00EF20DC">
        <w:rPr>
          <w:rFonts w:eastAsia="Calibri"/>
          <w:i/>
          <w:iCs/>
          <w:sz w:val="22"/>
          <w:szCs w:val="22"/>
          <w:lang w:eastAsia="lt-LT"/>
        </w:rPr>
        <w:t xml:space="preserve">Pacientams, kurių kepenų funkcija sutrikusi </w:t>
      </w:r>
    </w:p>
    <w:p w14:paraId="47645629" w14:textId="77777777" w:rsidR="00EF20DC" w:rsidRPr="00EF20DC" w:rsidRDefault="00EF20DC" w:rsidP="001F1094">
      <w:pPr>
        <w:rPr>
          <w:rFonts w:eastAsia="Calibri"/>
          <w:sz w:val="22"/>
          <w:szCs w:val="22"/>
        </w:rPr>
      </w:pPr>
      <w:r w:rsidRPr="00EF20DC">
        <w:rPr>
          <w:rFonts w:eastAsia="Calibri"/>
          <w:sz w:val="22"/>
          <w:szCs w:val="22"/>
        </w:rPr>
        <w:t xml:space="preserve">Pacientams, kuriems yra </w:t>
      </w:r>
      <w:r w:rsidRPr="00EF20DC">
        <w:rPr>
          <w:rFonts w:eastAsia="Calibri"/>
          <w:i/>
          <w:sz w:val="22"/>
          <w:szCs w:val="22"/>
        </w:rPr>
        <w:t>Child Pugh</w:t>
      </w:r>
      <w:r w:rsidRPr="00EF20DC">
        <w:rPr>
          <w:rFonts w:eastAsia="Calibri"/>
          <w:sz w:val="22"/>
          <w:szCs w:val="22"/>
        </w:rPr>
        <w:t xml:space="preserve"> A arba B klasės (lengvas arba vidutinio sunkumo) kepenų funkcijos sutrikimas, dozės keisti nereikia. Apie pacientų, kuriems yra </w:t>
      </w:r>
      <w:r w:rsidRPr="00EF20DC">
        <w:rPr>
          <w:rFonts w:eastAsia="Calibri"/>
          <w:i/>
          <w:sz w:val="22"/>
          <w:szCs w:val="22"/>
        </w:rPr>
        <w:t>Child Pugh</w:t>
      </w:r>
      <w:r w:rsidRPr="00EF20DC">
        <w:rPr>
          <w:rFonts w:eastAsia="Calibri"/>
          <w:sz w:val="22"/>
          <w:szCs w:val="22"/>
        </w:rPr>
        <w:t xml:space="preserve"> C klasės (sunkus) kepenų funkcijos sutrikimas, gydymą šiuo </w:t>
      </w:r>
      <w:r w:rsidR="000A3D5D">
        <w:rPr>
          <w:rFonts w:eastAsia="Calibri"/>
          <w:sz w:val="22"/>
          <w:szCs w:val="22"/>
        </w:rPr>
        <w:t xml:space="preserve">vaistiniu </w:t>
      </w:r>
      <w:r w:rsidRPr="00EF20DC">
        <w:rPr>
          <w:rFonts w:eastAsia="Calibri"/>
          <w:sz w:val="22"/>
          <w:szCs w:val="22"/>
        </w:rPr>
        <w:t xml:space="preserve">preparatu duomenų nėra (žr. 4.4 ir 5.2 skyrius). </w:t>
      </w:r>
    </w:p>
    <w:p w14:paraId="6F4A3BD5" w14:textId="52DB504B" w:rsidR="00EF20DC" w:rsidRPr="00EF20DC" w:rsidRDefault="00EF20DC" w:rsidP="001F1094">
      <w:pPr>
        <w:rPr>
          <w:rFonts w:eastAsia="Calibri"/>
          <w:sz w:val="22"/>
          <w:szCs w:val="22"/>
        </w:rPr>
      </w:pPr>
    </w:p>
    <w:p w14:paraId="0DE64B86"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Vartojimo metodas </w:t>
      </w:r>
    </w:p>
    <w:p w14:paraId="56EC11F2" w14:textId="77777777" w:rsidR="00EF20DC" w:rsidRPr="00EF20DC" w:rsidRDefault="00EF20DC" w:rsidP="001F1094">
      <w:pPr>
        <w:rPr>
          <w:rFonts w:eastAsia="Calibri"/>
          <w:sz w:val="22"/>
          <w:szCs w:val="22"/>
        </w:rPr>
      </w:pPr>
    </w:p>
    <w:p w14:paraId="39794895" w14:textId="77777777" w:rsidR="00EF20DC" w:rsidRPr="00EF20DC" w:rsidRDefault="00EF20DC" w:rsidP="001F1094">
      <w:pPr>
        <w:rPr>
          <w:rFonts w:eastAsia="Calibri"/>
          <w:sz w:val="22"/>
          <w:szCs w:val="22"/>
        </w:rPr>
      </w:pPr>
      <w:r w:rsidRPr="00EF20DC">
        <w:rPr>
          <w:rFonts w:eastAsia="Calibri"/>
          <w:sz w:val="22"/>
          <w:szCs w:val="22"/>
        </w:rPr>
        <w:t xml:space="preserve">Vartoti per burną. </w:t>
      </w:r>
    </w:p>
    <w:p w14:paraId="7CE24388" w14:textId="77777777" w:rsidR="00EF20DC" w:rsidRPr="00EF20DC" w:rsidRDefault="00EF20DC" w:rsidP="001F1094">
      <w:pPr>
        <w:rPr>
          <w:rFonts w:eastAsia="Calibri"/>
          <w:sz w:val="22"/>
          <w:szCs w:val="22"/>
        </w:rPr>
      </w:pPr>
      <w:r w:rsidRPr="00EF20DC">
        <w:rPr>
          <w:rFonts w:eastAsia="Calibri"/>
          <w:sz w:val="22"/>
          <w:szCs w:val="22"/>
        </w:rPr>
        <w:t xml:space="preserve">Sorafenibo rekomenduojama gerti nevalgius arba valgant neriebų arba vidutinio riebumo maistą. Jei pacientas ketina valgyti riebų maistą, sorafenibo tablečių reikia gerti ne mažiau kaip 1 val. prieš valgį arba </w:t>
      </w:r>
      <w:r w:rsidR="000A3D5D">
        <w:rPr>
          <w:rFonts w:eastAsia="Calibri"/>
          <w:sz w:val="22"/>
          <w:szCs w:val="22"/>
        </w:rPr>
        <w:t xml:space="preserve">po jo praėjus </w:t>
      </w:r>
      <w:r w:rsidRPr="00EF20DC">
        <w:rPr>
          <w:rFonts w:eastAsia="Calibri"/>
          <w:sz w:val="22"/>
          <w:szCs w:val="22"/>
        </w:rPr>
        <w:t>2 val</w:t>
      </w:r>
      <w:r w:rsidR="000A3D5D">
        <w:rPr>
          <w:rFonts w:eastAsia="Calibri"/>
          <w:sz w:val="22"/>
          <w:szCs w:val="22"/>
        </w:rPr>
        <w:t>andoms</w:t>
      </w:r>
      <w:r w:rsidRPr="00EF20DC">
        <w:rPr>
          <w:rFonts w:eastAsia="Calibri"/>
          <w:sz w:val="22"/>
          <w:szCs w:val="22"/>
        </w:rPr>
        <w:t xml:space="preserve">. Tabletes reikia nuryti užsigeriant stikline vandens. </w:t>
      </w:r>
    </w:p>
    <w:p w14:paraId="0F45BC95" w14:textId="77777777" w:rsidR="00EF20DC" w:rsidRPr="00EF20DC" w:rsidRDefault="00EF20DC" w:rsidP="001F1094">
      <w:pPr>
        <w:rPr>
          <w:rFonts w:eastAsia="Calibri"/>
          <w:sz w:val="22"/>
          <w:szCs w:val="22"/>
        </w:rPr>
      </w:pPr>
    </w:p>
    <w:p w14:paraId="0160637E" w14:textId="77777777" w:rsidR="00EF20DC" w:rsidRPr="00EF20DC" w:rsidRDefault="00EF20DC" w:rsidP="001F1094">
      <w:pPr>
        <w:ind w:left="567" w:hanging="567"/>
        <w:rPr>
          <w:rFonts w:eastAsia="SimSun"/>
          <w:b/>
          <w:sz w:val="22"/>
          <w:szCs w:val="22"/>
        </w:rPr>
      </w:pPr>
      <w:r w:rsidRPr="00EF20DC">
        <w:rPr>
          <w:rFonts w:eastAsia="SimSun"/>
          <w:b/>
          <w:sz w:val="22"/>
          <w:szCs w:val="22"/>
        </w:rPr>
        <w:t>4.3</w:t>
      </w:r>
      <w:r w:rsidRPr="00EF20DC">
        <w:rPr>
          <w:rFonts w:eastAsia="SimSun"/>
          <w:b/>
          <w:sz w:val="22"/>
          <w:szCs w:val="22"/>
        </w:rPr>
        <w:tab/>
        <w:t>Kontraindikacijos</w:t>
      </w:r>
    </w:p>
    <w:p w14:paraId="69D59790" w14:textId="77777777" w:rsidR="00EF20DC" w:rsidRPr="00EF20DC" w:rsidRDefault="00EF20DC" w:rsidP="001F1094">
      <w:pPr>
        <w:rPr>
          <w:rFonts w:eastAsia="Calibri"/>
          <w:sz w:val="22"/>
          <w:szCs w:val="22"/>
        </w:rPr>
      </w:pPr>
      <w:r w:rsidRPr="00EF20DC">
        <w:rPr>
          <w:rFonts w:eastAsia="Calibri"/>
          <w:sz w:val="22"/>
          <w:szCs w:val="22"/>
        </w:rPr>
        <w:t xml:space="preserve"> </w:t>
      </w:r>
    </w:p>
    <w:p w14:paraId="42245165" w14:textId="77777777" w:rsidR="00EF20DC" w:rsidRPr="00EF20DC" w:rsidRDefault="00EF20DC" w:rsidP="001F1094">
      <w:pPr>
        <w:rPr>
          <w:rFonts w:eastAsia="Calibri"/>
          <w:sz w:val="22"/>
          <w:szCs w:val="22"/>
        </w:rPr>
      </w:pPr>
      <w:r w:rsidRPr="00EF20DC">
        <w:rPr>
          <w:rFonts w:eastAsia="Calibri"/>
          <w:sz w:val="22"/>
          <w:szCs w:val="22"/>
        </w:rPr>
        <w:t xml:space="preserve">Padidėjęs jautrumas veikliajai arba bet kuriai 6.1 skyriuje nurodytai pagalbinei medžiagai. </w:t>
      </w:r>
    </w:p>
    <w:p w14:paraId="06536C15" w14:textId="77777777" w:rsidR="00EF20DC" w:rsidRPr="00EF20DC" w:rsidRDefault="00EF20DC" w:rsidP="001F1094">
      <w:pPr>
        <w:rPr>
          <w:rFonts w:eastAsia="Calibri"/>
          <w:sz w:val="22"/>
          <w:szCs w:val="22"/>
        </w:rPr>
      </w:pPr>
    </w:p>
    <w:p w14:paraId="496613AE" w14:textId="77777777" w:rsidR="00EF20DC" w:rsidRPr="00EF20DC" w:rsidRDefault="00EF20DC" w:rsidP="001F1094">
      <w:pPr>
        <w:ind w:left="567" w:hanging="567"/>
        <w:rPr>
          <w:rFonts w:eastAsia="SimSun"/>
          <w:b/>
          <w:sz w:val="22"/>
          <w:szCs w:val="22"/>
        </w:rPr>
      </w:pPr>
      <w:r w:rsidRPr="00EF20DC">
        <w:rPr>
          <w:rFonts w:eastAsia="SimSun"/>
          <w:b/>
          <w:sz w:val="22"/>
          <w:szCs w:val="22"/>
        </w:rPr>
        <w:t>4.4</w:t>
      </w:r>
      <w:r w:rsidRPr="00EF20DC">
        <w:rPr>
          <w:rFonts w:eastAsia="SimSun"/>
          <w:b/>
          <w:sz w:val="22"/>
          <w:szCs w:val="22"/>
        </w:rPr>
        <w:tab/>
        <w:t>Specialūs įspėjimai ir atsargumo priemonės</w:t>
      </w:r>
    </w:p>
    <w:p w14:paraId="6C0DE0EF" w14:textId="77777777" w:rsidR="00EF20DC" w:rsidRPr="00EF20DC" w:rsidRDefault="00EF20DC" w:rsidP="001F1094">
      <w:pPr>
        <w:rPr>
          <w:rFonts w:eastAsia="Calibri"/>
          <w:sz w:val="22"/>
          <w:szCs w:val="22"/>
        </w:rPr>
      </w:pPr>
      <w:r w:rsidRPr="00EF20DC">
        <w:rPr>
          <w:rFonts w:eastAsia="Calibri"/>
          <w:sz w:val="22"/>
          <w:szCs w:val="22"/>
        </w:rPr>
        <w:t xml:space="preserve"> </w:t>
      </w:r>
    </w:p>
    <w:p w14:paraId="6B7B3226"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Toksinis poveikis odai </w:t>
      </w:r>
    </w:p>
    <w:p w14:paraId="703FC96C" w14:textId="77777777" w:rsidR="00EF20DC" w:rsidRPr="00EF20DC" w:rsidRDefault="00EF20DC" w:rsidP="001F1094">
      <w:pPr>
        <w:rPr>
          <w:rFonts w:eastAsia="Calibri"/>
          <w:sz w:val="22"/>
          <w:szCs w:val="22"/>
        </w:rPr>
      </w:pPr>
    </w:p>
    <w:p w14:paraId="5A1F2A8B" w14:textId="46CAFDFB" w:rsidR="00EF20DC" w:rsidRPr="00EF20DC" w:rsidRDefault="00EF20DC" w:rsidP="001F1094">
      <w:pPr>
        <w:rPr>
          <w:rFonts w:eastAsia="Calibri"/>
          <w:sz w:val="22"/>
          <w:szCs w:val="22"/>
        </w:rPr>
      </w:pPr>
      <w:r w:rsidRPr="00EF20DC">
        <w:rPr>
          <w:rFonts w:eastAsia="Calibri"/>
          <w:sz w:val="22"/>
          <w:szCs w:val="22"/>
        </w:rPr>
        <w:t xml:space="preserve">Dažniausios nepageidaujamos sorafenibo reakcijos yra plaštakų ir pėdų odos reakcija (delnų ir padų eritrodizestezija) bei išbėrimas. Pagal bendrojo toksiškumo kriterijus (angl. </w:t>
      </w:r>
      <w:r w:rsidRPr="00EF20DC">
        <w:rPr>
          <w:rFonts w:eastAsia="Calibri"/>
          <w:i/>
          <w:sz w:val="22"/>
          <w:szCs w:val="22"/>
        </w:rPr>
        <w:t>Common Toxicity Criteria, CTC</w:t>
      </w:r>
      <w:r w:rsidRPr="00EF20DC">
        <w:rPr>
          <w:rFonts w:eastAsia="Calibri"/>
          <w:sz w:val="22"/>
          <w:szCs w:val="22"/>
        </w:rPr>
        <w:t xml:space="preserve">) išbėrimas ir plaštakų bei pėdų odos reakcija paprastai būna I arba II laipsnio ir dažniausiai atsiranda per pirmąsias 6 gydymo sorafenibu savaites. Toksinio poveikio odai slopinimo priemonės yra lokalus </w:t>
      </w:r>
      <w:r w:rsidRPr="00EF20DC">
        <w:rPr>
          <w:rFonts w:eastAsia="Calibri"/>
          <w:sz w:val="22"/>
          <w:szCs w:val="22"/>
        </w:rPr>
        <w:lastRenderedPageBreak/>
        <w:t xml:space="preserve">simptomų lengvinimas, laikinas gydymo sorafenibu </w:t>
      </w:r>
      <w:r w:rsidR="00E06A38">
        <w:rPr>
          <w:rFonts w:eastAsia="Calibri"/>
          <w:sz w:val="22"/>
          <w:szCs w:val="22"/>
        </w:rPr>
        <w:t>nu</w:t>
      </w:r>
      <w:r w:rsidRPr="00EF20DC">
        <w:rPr>
          <w:rFonts w:eastAsia="Calibri"/>
          <w:sz w:val="22"/>
          <w:szCs w:val="22"/>
        </w:rPr>
        <w:t xml:space="preserve">traukimas ir (arba) dozės keitimas, o tuo atveju, jeigu poveikis sunkus </w:t>
      </w:r>
      <w:r w:rsidR="00922B37">
        <w:rPr>
          <w:rFonts w:eastAsia="Calibri"/>
          <w:sz w:val="22"/>
          <w:szCs w:val="22"/>
        </w:rPr>
        <w:t>ar</w:t>
      </w:r>
      <w:r w:rsidRPr="00EF20DC">
        <w:rPr>
          <w:rFonts w:eastAsia="Calibri"/>
          <w:sz w:val="22"/>
          <w:szCs w:val="22"/>
        </w:rPr>
        <w:t xml:space="preserve"> nuolatinis, gydymo sorafenibu nutraukimas visam laikui (žr. 4.8 skyri</w:t>
      </w:r>
      <w:r w:rsidR="00B24459">
        <w:rPr>
          <w:rFonts w:eastAsia="Calibri"/>
          <w:sz w:val="22"/>
          <w:szCs w:val="22"/>
        </w:rPr>
        <w:t>ų</w:t>
      </w:r>
      <w:r w:rsidRPr="00EF20DC">
        <w:rPr>
          <w:rFonts w:eastAsia="Calibri"/>
          <w:sz w:val="22"/>
          <w:szCs w:val="22"/>
        </w:rPr>
        <w:t xml:space="preserve">). </w:t>
      </w:r>
    </w:p>
    <w:p w14:paraId="78B00F81" w14:textId="77777777" w:rsidR="00EF20DC" w:rsidRPr="00EF20DC" w:rsidRDefault="00EF20DC" w:rsidP="001F1094">
      <w:pPr>
        <w:rPr>
          <w:rFonts w:eastAsia="Calibri"/>
          <w:sz w:val="22"/>
          <w:szCs w:val="22"/>
        </w:rPr>
      </w:pPr>
    </w:p>
    <w:p w14:paraId="154FAF1E"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Hipertenzija </w:t>
      </w:r>
    </w:p>
    <w:p w14:paraId="2CFDD111" w14:textId="77777777" w:rsidR="00EF20DC" w:rsidRPr="00EF20DC" w:rsidRDefault="00EF20DC" w:rsidP="001F1094">
      <w:pPr>
        <w:rPr>
          <w:rFonts w:eastAsia="Calibri"/>
          <w:sz w:val="22"/>
          <w:szCs w:val="22"/>
        </w:rPr>
      </w:pPr>
    </w:p>
    <w:p w14:paraId="204A3160" w14:textId="12AED309" w:rsidR="00EF20DC" w:rsidRDefault="00EF20DC" w:rsidP="001F1094">
      <w:pPr>
        <w:rPr>
          <w:rFonts w:eastAsia="Calibri"/>
          <w:sz w:val="22"/>
          <w:szCs w:val="22"/>
        </w:rPr>
      </w:pPr>
      <w:r w:rsidRPr="00EF20DC">
        <w:rPr>
          <w:rFonts w:eastAsia="Calibri"/>
          <w:sz w:val="22"/>
          <w:szCs w:val="22"/>
        </w:rPr>
        <w:t>Pastebėta, kad sorafenibu gyd</w:t>
      </w:r>
      <w:r w:rsidR="00E06A38">
        <w:rPr>
          <w:rFonts w:eastAsia="Calibri"/>
          <w:sz w:val="22"/>
          <w:szCs w:val="22"/>
        </w:rPr>
        <w:t>yt</w:t>
      </w:r>
      <w:r w:rsidRPr="00EF20DC">
        <w:rPr>
          <w:rFonts w:eastAsia="Calibri"/>
          <w:sz w:val="22"/>
          <w:szCs w:val="22"/>
        </w:rPr>
        <w:t>iems pacientams dažniau pasireišk</w:t>
      </w:r>
      <w:r w:rsidR="00E06A38">
        <w:rPr>
          <w:rFonts w:eastAsia="Calibri"/>
          <w:sz w:val="22"/>
          <w:szCs w:val="22"/>
        </w:rPr>
        <w:t>ė</w:t>
      </w:r>
      <w:r w:rsidRPr="00EF20DC">
        <w:rPr>
          <w:rFonts w:eastAsia="Calibri"/>
          <w:sz w:val="22"/>
          <w:szCs w:val="22"/>
        </w:rPr>
        <w:t xml:space="preserve"> arterinė hipertenzija. Paprastai ji būna lengva arba vidutinio sunkumo, atsiranda gydymo pradžioje ir </w:t>
      </w:r>
      <w:r w:rsidR="00922B37">
        <w:rPr>
          <w:rFonts w:eastAsia="Calibri"/>
          <w:sz w:val="22"/>
          <w:szCs w:val="22"/>
        </w:rPr>
        <w:t xml:space="preserve">pasiduoda </w:t>
      </w:r>
      <w:r w:rsidRPr="00EF20DC">
        <w:rPr>
          <w:rFonts w:eastAsia="Calibri"/>
          <w:sz w:val="22"/>
          <w:szCs w:val="22"/>
        </w:rPr>
        <w:t>įprast</w:t>
      </w:r>
      <w:r w:rsidR="00922B37">
        <w:rPr>
          <w:rFonts w:eastAsia="Calibri"/>
          <w:sz w:val="22"/>
          <w:szCs w:val="22"/>
        </w:rPr>
        <w:t>am</w:t>
      </w:r>
      <w:r w:rsidRPr="00EF20DC">
        <w:rPr>
          <w:rFonts w:eastAsia="Calibri"/>
          <w:sz w:val="22"/>
          <w:szCs w:val="22"/>
        </w:rPr>
        <w:t xml:space="preserve"> antihipertenzin</w:t>
      </w:r>
      <w:r w:rsidR="00922B37">
        <w:rPr>
          <w:rFonts w:eastAsia="Calibri"/>
          <w:sz w:val="22"/>
          <w:szCs w:val="22"/>
        </w:rPr>
        <w:t>iam gy</w:t>
      </w:r>
      <w:r w:rsidR="003C64E6">
        <w:rPr>
          <w:rFonts w:eastAsia="Calibri"/>
          <w:sz w:val="22"/>
          <w:szCs w:val="22"/>
        </w:rPr>
        <w:t>d</w:t>
      </w:r>
      <w:r w:rsidR="00922B37">
        <w:rPr>
          <w:rFonts w:eastAsia="Calibri"/>
          <w:sz w:val="22"/>
          <w:szCs w:val="22"/>
        </w:rPr>
        <w:t>ymui</w:t>
      </w:r>
      <w:r w:rsidRPr="00EF20DC">
        <w:rPr>
          <w:rFonts w:eastAsia="Calibri"/>
          <w:sz w:val="22"/>
          <w:szCs w:val="22"/>
        </w:rPr>
        <w:t>. Gydymo metu reikia reguliariai matuoti kraujospūdį, o pasireiškusią hipertenziją gydyti įprastais vaistin</w:t>
      </w:r>
      <w:r w:rsidR="003C64E6">
        <w:rPr>
          <w:rFonts w:eastAsia="Calibri"/>
          <w:sz w:val="22"/>
          <w:szCs w:val="22"/>
        </w:rPr>
        <w:t>i</w:t>
      </w:r>
      <w:r w:rsidRPr="00EF20DC">
        <w:rPr>
          <w:rFonts w:eastAsia="Calibri"/>
          <w:sz w:val="22"/>
          <w:szCs w:val="22"/>
        </w:rPr>
        <w:t xml:space="preserve">ais preparatais nuo hipertenzijos. Jei hipertenzija sunki ar nuolatinė, arba jeigu nepaisant antihipertenzinio gydymo prasideda hipertenzinė krizė, </w:t>
      </w:r>
      <w:r w:rsidR="00922B37">
        <w:rPr>
          <w:rFonts w:eastAsia="Calibri"/>
          <w:sz w:val="22"/>
          <w:szCs w:val="22"/>
        </w:rPr>
        <w:t>turi būti apgalvotas</w:t>
      </w:r>
      <w:r w:rsidRPr="00EF20DC">
        <w:rPr>
          <w:rFonts w:eastAsia="Calibri"/>
          <w:sz w:val="22"/>
          <w:szCs w:val="22"/>
        </w:rPr>
        <w:t xml:space="preserve"> sorafenibo vartojimo nutraukimas visam laikui (žr. 4.8 skyrių). </w:t>
      </w:r>
    </w:p>
    <w:p w14:paraId="57E2C521" w14:textId="77777777" w:rsidR="00CF26D8" w:rsidRDefault="00CF26D8" w:rsidP="001F1094">
      <w:pPr>
        <w:rPr>
          <w:rFonts w:eastAsia="Calibri"/>
          <w:sz w:val="22"/>
          <w:szCs w:val="22"/>
        </w:rPr>
      </w:pPr>
    </w:p>
    <w:p w14:paraId="26846CE6" w14:textId="77777777" w:rsidR="00CF26D8" w:rsidRPr="00E71EED" w:rsidRDefault="00CF26D8" w:rsidP="00CF26D8">
      <w:pPr>
        <w:autoSpaceDE w:val="0"/>
        <w:autoSpaceDN w:val="0"/>
        <w:adjustRightInd w:val="0"/>
        <w:rPr>
          <w:rFonts w:eastAsia="Calibri"/>
          <w:sz w:val="22"/>
          <w:szCs w:val="22"/>
          <w:u w:val="single"/>
        </w:rPr>
      </w:pPr>
      <w:r w:rsidRPr="00E71EED">
        <w:rPr>
          <w:rFonts w:eastAsia="Calibri"/>
          <w:sz w:val="22"/>
          <w:szCs w:val="22"/>
          <w:u w:val="single"/>
        </w:rPr>
        <w:t xml:space="preserve">Naviko lizės sindromas (NLS) </w:t>
      </w:r>
    </w:p>
    <w:p w14:paraId="3466EB89" w14:textId="77777777" w:rsidR="001A230F" w:rsidRDefault="001A230F" w:rsidP="00CF26D8">
      <w:pPr>
        <w:rPr>
          <w:rFonts w:eastAsia="Calibri"/>
          <w:sz w:val="22"/>
          <w:szCs w:val="22"/>
        </w:rPr>
      </w:pPr>
    </w:p>
    <w:p w14:paraId="41526E86" w14:textId="02F2B719" w:rsidR="00CF26D8" w:rsidRPr="0095795E" w:rsidRDefault="00CF26D8" w:rsidP="00CF26D8">
      <w:pPr>
        <w:rPr>
          <w:rFonts w:eastAsia="Calibri"/>
          <w:sz w:val="22"/>
          <w:szCs w:val="22"/>
        </w:rPr>
      </w:pPr>
      <w:r w:rsidRPr="0003507D">
        <w:rPr>
          <w:rFonts w:eastAsia="Calibri"/>
          <w:sz w:val="22"/>
          <w:szCs w:val="22"/>
        </w:rPr>
        <w:t>Vykdant pacientų, kurie buvo gydomi sorafenibu, stebėjimą poregistraciniu laikotarpiu, gauta pranešimų apie NLS atvejus; kai kurie iš jų buvo mirtini. Prie NLS rizikos veiksnių priskiriama didelė naviko keliama našta, anksčiau diagnozuotas lėtinis inkstų nepakankamumas, oligurija, dehidratacija, hipotenzija ir rūgšti šlapimo terpė. Šiuos pacientus reikia atidžiai stebėti ir nedelsiant gydyti, jeigu yra klinikinių indikacijų, taip pat apsvarstyti būtinybę profilaktiškai skirti skysčių.</w:t>
      </w:r>
    </w:p>
    <w:p w14:paraId="5954EC31" w14:textId="77777777" w:rsidR="00EF20DC" w:rsidRPr="00EF20DC" w:rsidRDefault="00EF20DC" w:rsidP="001F1094">
      <w:pPr>
        <w:rPr>
          <w:rFonts w:eastAsia="Calibri"/>
          <w:sz w:val="22"/>
          <w:szCs w:val="22"/>
        </w:rPr>
      </w:pPr>
    </w:p>
    <w:p w14:paraId="29F5F61C" w14:textId="77777777" w:rsidR="00EF20DC" w:rsidRPr="00EF20DC" w:rsidRDefault="00EF20DC" w:rsidP="001F1094">
      <w:pPr>
        <w:autoSpaceDE w:val="0"/>
        <w:autoSpaceDN w:val="0"/>
        <w:adjustRightInd w:val="0"/>
        <w:rPr>
          <w:rFonts w:eastAsia="Calibri"/>
          <w:color w:val="000000"/>
          <w:sz w:val="22"/>
          <w:szCs w:val="22"/>
          <w:u w:val="single"/>
          <w:lang w:eastAsia="lt-LT"/>
        </w:rPr>
      </w:pPr>
      <w:r w:rsidRPr="00EF20DC">
        <w:rPr>
          <w:rFonts w:eastAsia="Calibri"/>
          <w:color w:val="000000"/>
          <w:sz w:val="22"/>
          <w:szCs w:val="22"/>
          <w:u w:val="single"/>
          <w:lang w:eastAsia="lt-LT"/>
        </w:rPr>
        <w:t>Aneurizmos ir arterij</w:t>
      </w:r>
      <w:r w:rsidR="00701220">
        <w:rPr>
          <w:rFonts w:eastAsia="Calibri"/>
          <w:color w:val="000000"/>
          <w:sz w:val="22"/>
          <w:szCs w:val="22"/>
          <w:u w:val="single"/>
          <w:lang w:eastAsia="lt-LT"/>
        </w:rPr>
        <w:t>os</w:t>
      </w:r>
      <w:r w:rsidRPr="00EF20DC">
        <w:rPr>
          <w:rFonts w:eastAsia="Calibri"/>
          <w:color w:val="000000"/>
          <w:sz w:val="22"/>
          <w:szCs w:val="22"/>
          <w:u w:val="single"/>
          <w:lang w:eastAsia="lt-LT"/>
        </w:rPr>
        <w:t xml:space="preserve"> disekacijos </w:t>
      </w:r>
    </w:p>
    <w:p w14:paraId="78673C5D" w14:textId="77777777" w:rsidR="001A230F" w:rsidRDefault="001A230F" w:rsidP="001F1094">
      <w:pPr>
        <w:rPr>
          <w:rFonts w:eastAsia="Calibri"/>
          <w:color w:val="000000"/>
          <w:sz w:val="22"/>
          <w:szCs w:val="22"/>
          <w:lang w:eastAsia="lt-LT"/>
        </w:rPr>
      </w:pPr>
    </w:p>
    <w:p w14:paraId="5BEF4FA2" w14:textId="06C96D00" w:rsidR="00EF20DC" w:rsidRPr="00EF20DC" w:rsidRDefault="00582784" w:rsidP="001F1094">
      <w:pPr>
        <w:rPr>
          <w:rFonts w:eastAsia="Calibri"/>
          <w:sz w:val="22"/>
          <w:szCs w:val="22"/>
        </w:rPr>
      </w:pPr>
      <w:r w:rsidRPr="00582784">
        <w:rPr>
          <w:rFonts w:eastAsia="Calibri"/>
          <w:color w:val="000000"/>
          <w:sz w:val="22"/>
          <w:szCs w:val="22"/>
          <w:lang w:eastAsia="lt-LT"/>
        </w:rPr>
        <w:t>Kraujagyslių endotelio augimo faktoriaus (</w:t>
      </w:r>
      <w:r w:rsidR="00EF20DC" w:rsidRPr="00582784">
        <w:rPr>
          <w:rFonts w:eastAsia="Calibri"/>
          <w:color w:val="000000"/>
          <w:sz w:val="22"/>
          <w:szCs w:val="22"/>
          <w:lang w:eastAsia="lt-LT"/>
        </w:rPr>
        <w:t>KEAF</w:t>
      </w:r>
      <w:r w:rsidRPr="00582784">
        <w:rPr>
          <w:rFonts w:eastAsia="Calibri"/>
          <w:color w:val="000000"/>
          <w:sz w:val="22"/>
          <w:szCs w:val="22"/>
          <w:lang w:eastAsia="lt-LT"/>
        </w:rPr>
        <w:t xml:space="preserve">, angl. </w:t>
      </w:r>
      <w:r w:rsidRPr="00582784">
        <w:rPr>
          <w:rStyle w:val="hgkelc"/>
          <w:i/>
          <w:sz w:val="22"/>
          <w:szCs w:val="22"/>
        </w:rPr>
        <w:t xml:space="preserve">vascular endothelial growth factor, </w:t>
      </w:r>
      <w:r w:rsidRPr="00582784">
        <w:rPr>
          <w:rStyle w:val="hgkelc"/>
          <w:bCs/>
          <w:i/>
          <w:sz w:val="22"/>
          <w:szCs w:val="22"/>
        </w:rPr>
        <w:t>VEGF</w:t>
      </w:r>
      <w:r w:rsidRPr="00582784">
        <w:rPr>
          <w:rStyle w:val="hgkelc"/>
          <w:sz w:val="22"/>
          <w:szCs w:val="22"/>
        </w:rPr>
        <w:t>)</w:t>
      </w:r>
      <w:r w:rsidR="00EF20DC" w:rsidRPr="00EF20DC">
        <w:rPr>
          <w:rFonts w:eastAsia="Calibri"/>
          <w:color w:val="000000"/>
          <w:sz w:val="22"/>
          <w:szCs w:val="22"/>
          <w:lang w:eastAsia="lt-LT"/>
        </w:rPr>
        <w:t xml:space="preserve"> inhibitorių vartojimas gali paskatinti aneurizmų ir (arba) arterij</w:t>
      </w:r>
      <w:r w:rsidR="00E06A38">
        <w:rPr>
          <w:rFonts w:eastAsia="Calibri"/>
          <w:color w:val="000000"/>
          <w:sz w:val="22"/>
          <w:szCs w:val="22"/>
          <w:lang w:eastAsia="lt-LT"/>
        </w:rPr>
        <w:t xml:space="preserve">ų </w:t>
      </w:r>
      <w:r w:rsidR="00EF20DC" w:rsidRPr="00EF20DC">
        <w:rPr>
          <w:rFonts w:eastAsia="Calibri"/>
          <w:color w:val="000000"/>
          <w:sz w:val="22"/>
          <w:szCs w:val="22"/>
          <w:lang w:eastAsia="lt-LT"/>
        </w:rPr>
        <w:t xml:space="preserve">disekacijų </w:t>
      </w:r>
      <w:r w:rsidR="00701220">
        <w:rPr>
          <w:rFonts w:eastAsia="Calibri"/>
          <w:color w:val="000000"/>
          <w:sz w:val="22"/>
          <w:szCs w:val="22"/>
          <w:lang w:eastAsia="lt-LT"/>
        </w:rPr>
        <w:t>formavimąsi</w:t>
      </w:r>
      <w:r w:rsidR="00EF20DC" w:rsidRPr="00EF20DC">
        <w:rPr>
          <w:rFonts w:eastAsia="Calibri"/>
          <w:color w:val="000000"/>
          <w:sz w:val="22"/>
          <w:szCs w:val="22"/>
          <w:lang w:eastAsia="lt-LT"/>
        </w:rPr>
        <w:t xml:space="preserve"> pacientams, kuriems </w:t>
      </w:r>
      <w:r w:rsidR="00701220">
        <w:rPr>
          <w:rFonts w:eastAsia="Calibri"/>
          <w:color w:val="000000"/>
          <w:sz w:val="22"/>
          <w:szCs w:val="22"/>
          <w:lang w:eastAsia="lt-LT"/>
        </w:rPr>
        <w:t xml:space="preserve">yra </w:t>
      </w:r>
      <w:r w:rsidR="00701220" w:rsidRPr="00EF20DC">
        <w:rPr>
          <w:rFonts w:eastAsia="Calibri"/>
          <w:color w:val="000000"/>
          <w:sz w:val="22"/>
          <w:szCs w:val="22"/>
          <w:lang w:eastAsia="lt-LT"/>
        </w:rPr>
        <w:t>hipertenzija</w:t>
      </w:r>
      <w:r w:rsidR="00701220">
        <w:rPr>
          <w:rFonts w:eastAsia="Calibri"/>
          <w:color w:val="000000"/>
          <w:sz w:val="22"/>
          <w:szCs w:val="22"/>
          <w:lang w:eastAsia="lt-LT"/>
        </w:rPr>
        <w:t xml:space="preserve"> arba jos nėra</w:t>
      </w:r>
      <w:r w:rsidR="00EF20DC" w:rsidRPr="00EF20DC">
        <w:rPr>
          <w:rFonts w:eastAsia="Calibri"/>
          <w:color w:val="000000"/>
          <w:sz w:val="22"/>
          <w:szCs w:val="22"/>
          <w:lang w:eastAsia="lt-LT"/>
        </w:rPr>
        <w:t xml:space="preserve">. Prieš pradedant gydyti </w:t>
      </w:r>
      <w:r w:rsidR="00701220">
        <w:rPr>
          <w:rFonts w:eastAsia="Calibri"/>
          <w:color w:val="000000"/>
          <w:sz w:val="22"/>
          <w:szCs w:val="22"/>
          <w:lang w:eastAsia="lt-LT"/>
        </w:rPr>
        <w:t>sorafenibu</w:t>
      </w:r>
      <w:r w:rsidR="00EF20DC" w:rsidRPr="00EF20DC">
        <w:rPr>
          <w:rFonts w:eastAsia="Calibri"/>
          <w:color w:val="000000"/>
          <w:sz w:val="22"/>
          <w:szCs w:val="22"/>
          <w:lang w:eastAsia="lt-LT"/>
        </w:rPr>
        <w:t xml:space="preserve">, reikia atidžiai įvertinti šią riziką pacientams, kuriems nustatyta rizikos veiksnių, </w:t>
      </w:r>
      <w:r w:rsidR="00701220" w:rsidRPr="00EF20DC">
        <w:rPr>
          <w:rFonts w:eastAsia="Calibri"/>
          <w:color w:val="000000"/>
          <w:sz w:val="22"/>
          <w:szCs w:val="22"/>
          <w:lang w:eastAsia="lt-LT"/>
        </w:rPr>
        <w:t>tokių</w:t>
      </w:r>
      <w:r w:rsidR="00701220">
        <w:rPr>
          <w:rFonts w:eastAsia="Calibri"/>
          <w:color w:val="000000"/>
          <w:sz w:val="22"/>
          <w:szCs w:val="22"/>
          <w:lang w:eastAsia="lt-LT"/>
        </w:rPr>
        <w:t>,</w:t>
      </w:r>
      <w:r w:rsidR="00701220" w:rsidRPr="00EF20DC">
        <w:rPr>
          <w:rFonts w:eastAsia="Calibri"/>
          <w:color w:val="000000"/>
          <w:sz w:val="22"/>
          <w:szCs w:val="22"/>
          <w:lang w:eastAsia="lt-LT"/>
        </w:rPr>
        <w:t xml:space="preserve"> </w:t>
      </w:r>
      <w:r w:rsidR="00EF20DC" w:rsidRPr="00EF20DC">
        <w:rPr>
          <w:rFonts w:eastAsia="Calibri"/>
          <w:color w:val="000000"/>
          <w:sz w:val="22"/>
          <w:szCs w:val="22"/>
          <w:lang w:eastAsia="lt-LT"/>
        </w:rPr>
        <w:t xml:space="preserve">kaip hipertenzija arba </w:t>
      </w:r>
      <w:r w:rsidR="00701220">
        <w:rPr>
          <w:rFonts w:eastAsia="Calibri"/>
          <w:color w:val="000000"/>
          <w:sz w:val="22"/>
          <w:szCs w:val="22"/>
          <w:lang w:eastAsia="lt-LT"/>
        </w:rPr>
        <w:t>buvusi</w:t>
      </w:r>
      <w:r w:rsidR="00EF20DC" w:rsidRPr="00EF20DC">
        <w:rPr>
          <w:rFonts w:eastAsia="Calibri"/>
          <w:color w:val="000000"/>
          <w:sz w:val="22"/>
          <w:szCs w:val="22"/>
          <w:lang w:eastAsia="lt-LT"/>
        </w:rPr>
        <w:t xml:space="preserve"> aneurizma.</w:t>
      </w:r>
    </w:p>
    <w:p w14:paraId="06CEF44A" w14:textId="77777777" w:rsidR="00701220" w:rsidRPr="00EF20DC" w:rsidRDefault="00701220" w:rsidP="001F1094">
      <w:pPr>
        <w:rPr>
          <w:rFonts w:eastAsia="Calibri"/>
          <w:sz w:val="22"/>
          <w:szCs w:val="22"/>
        </w:rPr>
      </w:pPr>
    </w:p>
    <w:p w14:paraId="4C7E66B7" w14:textId="77777777" w:rsidR="00701220" w:rsidRPr="00701220" w:rsidRDefault="00701220" w:rsidP="001F1094">
      <w:pPr>
        <w:rPr>
          <w:rFonts w:eastAsia="Calibri"/>
          <w:sz w:val="22"/>
          <w:szCs w:val="22"/>
          <w:u w:val="single"/>
        </w:rPr>
      </w:pPr>
      <w:r w:rsidRPr="00701220">
        <w:rPr>
          <w:rFonts w:eastAsia="Calibri"/>
          <w:sz w:val="22"/>
          <w:szCs w:val="22"/>
          <w:u w:val="single"/>
        </w:rPr>
        <w:t>Hipoglikemija</w:t>
      </w:r>
    </w:p>
    <w:p w14:paraId="28375E49" w14:textId="77777777" w:rsidR="00701220" w:rsidRPr="00701220" w:rsidRDefault="00701220" w:rsidP="001F1094">
      <w:pPr>
        <w:rPr>
          <w:rFonts w:eastAsia="Calibri"/>
          <w:sz w:val="22"/>
          <w:szCs w:val="22"/>
        </w:rPr>
      </w:pPr>
    </w:p>
    <w:p w14:paraId="6F28EE42" w14:textId="734D2E0B" w:rsidR="00701220" w:rsidRPr="00EF20DC" w:rsidRDefault="00EB4264" w:rsidP="001F1094">
      <w:pPr>
        <w:rPr>
          <w:rFonts w:eastAsia="Calibri"/>
          <w:sz w:val="22"/>
          <w:szCs w:val="22"/>
        </w:rPr>
      </w:pPr>
      <w:r>
        <w:rPr>
          <w:rFonts w:eastAsia="Calibri"/>
          <w:sz w:val="22"/>
          <w:szCs w:val="22"/>
        </w:rPr>
        <w:t>Taikant gydymą sorafenibu gauta pranešimų apie</w:t>
      </w:r>
      <w:r w:rsidR="00701220" w:rsidRPr="00701220">
        <w:rPr>
          <w:rFonts w:eastAsia="Calibri"/>
          <w:sz w:val="22"/>
          <w:szCs w:val="22"/>
        </w:rPr>
        <w:t xml:space="preserve"> gliukozės kiekio kraujyje sumažėjim</w:t>
      </w:r>
      <w:r>
        <w:rPr>
          <w:rFonts w:eastAsia="Calibri"/>
          <w:sz w:val="22"/>
          <w:szCs w:val="22"/>
        </w:rPr>
        <w:t>ą</w:t>
      </w:r>
      <w:r w:rsidR="00701220" w:rsidRPr="00701220">
        <w:rPr>
          <w:rFonts w:eastAsia="Calibri"/>
          <w:sz w:val="22"/>
          <w:szCs w:val="22"/>
        </w:rPr>
        <w:t>, kuris kai kuriais atvejais pasireišk</w:t>
      </w:r>
      <w:r w:rsidR="00E27AC1">
        <w:rPr>
          <w:rFonts w:eastAsia="Calibri"/>
          <w:sz w:val="22"/>
          <w:szCs w:val="22"/>
        </w:rPr>
        <w:t>ė</w:t>
      </w:r>
      <w:r w:rsidR="00701220" w:rsidRPr="00701220">
        <w:rPr>
          <w:rFonts w:eastAsia="Calibri"/>
          <w:sz w:val="22"/>
          <w:szCs w:val="22"/>
        </w:rPr>
        <w:t xml:space="preserve"> klinikiniais simptomais ir </w:t>
      </w:r>
      <w:r>
        <w:rPr>
          <w:rFonts w:eastAsia="Calibri"/>
          <w:sz w:val="22"/>
          <w:szCs w:val="22"/>
        </w:rPr>
        <w:t>hospitalizacijos poreikiu dėl</w:t>
      </w:r>
      <w:r w:rsidR="00701220" w:rsidRPr="00701220">
        <w:rPr>
          <w:rFonts w:eastAsia="Calibri"/>
          <w:sz w:val="22"/>
          <w:szCs w:val="22"/>
        </w:rPr>
        <w:t xml:space="preserve"> sąmonės netekimo. </w:t>
      </w:r>
      <w:r>
        <w:rPr>
          <w:rFonts w:eastAsia="Calibri"/>
          <w:sz w:val="22"/>
          <w:szCs w:val="22"/>
        </w:rPr>
        <w:t>Simptominės hipoglikemijo</w:t>
      </w:r>
      <w:r w:rsidR="003C64E6">
        <w:rPr>
          <w:rFonts w:eastAsia="Calibri"/>
          <w:sz w:val="22"/>
          <w:szCs w:val="22"/>
        </w:rPr>
        <w:t xml:space="preserve">s </w:t>
      </w:r>
      <w:r>
        <w:rPr>
          <w:rFonts w:eastAsia="Calibri"/>
          <w:sz w:val="22"/>
          <w:szCs w:val="22"/>
        </w:rPr>
        <w:t>atveju</w:t>
      </w:r>
      <w:r w:rsidR="00701220" w:rsidRPr="00701220">
        <w:rPr>
          <w:rFonts w:eastAsia="Calibri"/>
          <w:sz w:val="22"/>
          <w:szCs w:val="22"/>
        </w:rPr>
        <w:t xml:space="preserve"> sorafenibo vartojimą reikia laikinai nutraukti. Cukriniu diabetu sergantiems pacientams reikia reguliariai </w:t>
      </w:r>
      <w:r>
        <w:rPr>
          <w:rFonts w:eastAsia="Calibri"/>
          <w:sz w:val="22"/>
          <w:szCs w:val="22"/>
        </w:rPr>
        <w:t>tikrinti</w:t>
      </w:r>
      <w:r w:rsidR="00701220" w:rsidRPr="00701220">
        <w:rPr>
          <w:rFonts w:eastAsia="Calibri"/>
          <w:sz w:val="22"/>
          <w:szCs w:val="22"/>
        </w:rPr>
        <w:t xml:space="preserve"> cukraus kiekį kraujyje, kad būtų galima įvertinti, ar reikia koreguoti cukriniam diabetui gydyti vartojamų vaistinių preparatų dozavimą.</w:t>
      </w:r>
    </w:p>
    <w:p w14:paraId="10494EB8" w14:textId="77777777" w:rsidR="00EF20DC" w:rsidRDefault="00EF20DC" w:rsidP="001F1094">
      <w:pPr>
        <w:rPr>
          <w:rFonts w:eastAsia="Calibri"/>
          <w:sz w:val="22"/>
          <w:szCs w:val="22"/>
        </w:rPr>
      </w:pPr>
    </w:p>
    <w:p w14:paraId="675D9C51" w14:textId="77777777" w:rsidR="008C23ED" w:rsidRPr="008C23ED" w:rsidRDefault="008C23ED" w:rsidP="001F1094">
      <w:pPr>
        <w:rPr>
          <w:rFonts w:eastAsia="Calibri"/>
          <w:sz w:val="22"/>
          <w:szCs w:val="22"/>
          <w:u w:val="single"/>
        </w:rPr>
      </w:pPr>
      <w:r w:rsidRPr="008C23ED">
        <w:rPr>
          <w:rFonts w:eastAsia="Calibri"/>
          <w:sz w:val="22"/>
          <w:szCs w:val="22"/>
          <w:u w:val="single"/>
        </w:rPr>
        <w:t>Kraujavimas</w:t>
      </w:r>
    </w:p>
    <w:p w14:paraId="0D42C777" w14:textId="77777777" w:rsidR="008C23ED" w:rsidRPr="008C23ED" w:rsidRDefault="008C23ED" w:rsidP="001F1094">
      <w:pPr>
        <w:rPr>
          <w:rFonts w:eastAsia="Calibri"/>
          <w:sz w:val="22"/>
          <w:szCs w:val="22"/>
        </w:rPr>
      </w:pPr>
    </w:p>
    <w:p w14:paraId="55EAD341" w14:textId="77777777" w:rsidR="008C23ED" w:rsidRPr="008C23ED" w:rsidRDefault="008C23ED" w:rsidP="001F1094">
      <w:pPr>
        <w:rPr>
          <w:rFonts w:eastAsia="Calibri"/>
          <w:sz w:val="22"/>
          <w:szCs w:val="22"/>
        </w:rPr>
      </w:pPr>
      <w:r w:rsidRPr="008C23ED">
        <w:rPr>
          <w:rFonts w:eastAsia="Calibri"/>
          <w:sz w:val="22"/>
          <w:szCs w:val="22"/>
        </w:rPr>
        <w:t>Vartojant sorafenibo gali padidėti kraujavimo rizika. Jeigu</w:t>
      </w:r>
      <w:r>
        <w:rPr>
          <w:rFonts w:eastAsia="Calibri"/>
          <w:sz w:val="22"/>
          <w:szCs w:val="22"/>
        </w:rPr>
        <w:t xml:space="preserve"> dėl bet kokio</w:t>
      </w:r>
      <w:r w:rsidRPr="008C23ED">
        <w:rPr>
          <w:rFonts w:eastAsia="Calibri"/>
          <w:sz w:val="22"/>
          <w:szCs w:val="22"/>
        </w:rPr>
        <w:t xml:space="preserve"> kraujavimo reiškin</w:t>
      </w:r>
      <w:r>
        <w:rPr>
          <w:rFonts w:eastAsia="Calibri"/>
          <w:sz w:val="22"/>
          <w:szCs w:val="22"/>
        </w:rPr>
        <w:t xml:space="preserve">io būtina medicininė intervencija, rekomenduojama, kad būtų apgalvotas </w:t>
      </w:r>
      <w:r w:rsidRPr="008C23ED">
        <w:rPr>
          <w:rFonts w:eastAsia="Calibri"/>
          <w:sz w:val="22"/>
          <w:szCs w:val="22"/>
        </w:rPr>
        <w:t xml:space="preserve">sorafenibo nutraukimas visam laikui (žr. 4.8 skyrių). </w:t>
      </w:r>
    </w:p>
    <w:p w14:paraId="2CB75934" w14:textId="77777777" w:rsidR="008C23ED" w:rsidRPr="008C23ED" w:rsidRDefault="008C23ED" w:rsidP="001F1094">
      <w:pPr>
        <w:rPr>
          <w:rFonts w:eastAsia="Calibri"/>
          <w:sz w:val="22"/>
          <w:szCs w:val="22"/>
        </w:rPr>
      </w:pPr>
    </w:p>
    <w:p w14:paraId="10E5EBA5" w14:textId="77777777" w:rsidR="008C23ED" w:rsidRPr="008C23ED" w:rsidRDefault="008C23ED" w:rsidP="001F1094">
      <w:pPr>
        <w:rPr>
          <w:rFonts w:eastAsia="Calibri"/>
          <w:sz w:val="22"/>
          <w:szCs w:val="22"/>
          <w:u w:val="single"/>
        </w:rPr>
      </w:pPr>
      <w:r w:rsidRPr="008C23ED">
        <w:rPr>
          <w:rFonts w:eastAsia="Calibri"/>
          <w:sz w:val="22"/>
          <w:szCs w:val="22"/>
          <w:u w:val="single"/>
        </w:rPr>
        <w:t>Širdies išemija ir (arba) infarktas</w:t>
      </w:r>
    </w:p>
    <w:p w14:paraId="5F8DE4EB" w14:textId="77777777" w:rsidR="008C23ED" w:rsidRPr="008C23ED" w:rsidRDefault="008C23ED" w:rsidP="001F1094">
      <w:pPr>
        <w:rPr>
          <w:rFonts w:eastAsia="Calibri"/>
          <w:sz w:val="22"/>
          <w:szCs w:val="22"/>
        </w:rPr>
      </w:pPr>
    </w:p>
    <w:p w14:paraId="6193EC40" w14:textId="3F82B166" w:rsidR="008C23ED" w:rsidRPr="00EF20DC" w:rsidRDefault="008C23ED" w:rsidP="001F1094">
      <w:pPr>
        <w:rPr>
          <w:rFonts w:eastAsia="Calibri"/>
          <w:sz w:val="22"/>
          <w:szCs w:val="22"/>
        </w:rPr>
      </w:pPr>
      <w:r w:rsidRPr="008C23ED">
        <w:rPr>
          <w:rFonts w:eastAsia="Calibri"/>
          <w:sz w:val="22"/>
          <w:szCs w:val="22"/>
        </w:rPr>
        <w:t>Atsitiktinių imčių, placebu kontroliuojam</w:t>
      </w:r>
      <w:r>
        <w:rPr>
          <w:rFonts w:eastAsia="Calibri"/>
          <w:sz w:val="22"/>
          <w:szCs w:val="22"/>
        </w:rPr>
        <w:t>o</w:t>
      </w:r>
      <w:r w:rsidRPr="008C23ED">
        <w:rPr>
          <w:rFonts w:eastAsia="Calibri"/>
          <w:sz w:val="22"/>
          <w:szCs w:val="22"/>
        </w:rPr>
        <w:t>, dvigubai akl</w:t>
      </w:r>
      <w:r w:rsidR="001C4C30">
        <w:rPr>
          <w:rFonts w:eastAsia="Calibri"/>
          <w:sz w:val="22"/>
          <w:szCs w:val="22"/>
        </w:rPr>
        <w:t xml:space="preserve">o </w:t>
      </w:r>
      <w:r w:rsidRPr="008C23ED">
        <w:rPr>
          <w:rFonts w:eastAsia="Calibri"/>
          <w:sz w:val="22"/>
          <w:szCs w:val="22"/>
        </w:rPr>
        <w:t xml:space="preserve">tyrimo metu (1 tyrimas, žr. 5.1 skyrių) staiga </w:t>
      </w:r>
      <w:r w:rsidR="00E27AC1">
        <w:rPr>
          <w:rFonts w:eastAsia="Calibri"/>
          <w:sz w:val="22"/>
          <w:szCs w:val="22"/>
        </w:rPr>
        <w:t>įvykusių</w:t>
      </w:r>
      <w:r w:rsidR="00E27AC1" w:rsidRPr="008C23ED">
        <w:rPr>
          <w:rFonts w:eastAsia="Calibri"/>
          <w:sz w:val="22"/>
          <w:szCs w:val="22"/>
        </w:rPr>
        <w:t xml:space="preserve"> </w:t>
      </w:r>
      <w:r w:rsidRPr="008C23ED">
        <w:rPr>
          <w:rFonts w:eastAsia="Calibri"/>
          <w:sz w:val="22"/>
          <w:szCs w:val="22"/>
        </w:rPr>
        <w:t xml:space="preserve">širdies išemijos ar miokardo infarkto reiškinių dažnis sorafenibo vartojusiems tiriamiesiems buvo didesnis negu vartojusiems placebo (atitinkamai 4,9 % ir 0,4 %). 3 tyrime (žr. 5.1 skyrių) staiga </w:t>
      </w:r>
      <w:r w:rsidR="00E27AC1">
        <w:rPr>
          <w:rFonts w:eastAsia="Calibri"/>
          <w:sz w:val="22"/>
          <w:szCs w:val="22"/>
        </w:rPr>
        <w:t>įvykusių</w:t>
      </w:r>
      <w:r w:rsidR="00E27AC1" w:rsidRPr="008C23ED">
        <w:rPr>
          <w:rFonts w:eastAsia="Calibri"/>
          <w:sz w:val="22"/>
          <w:szCs w:val="22"/>
        </w:rPr>
        <w:t xml:space="preserve"> </w:t>
      </w:r>
      <w:r w:rsidRPr="008C23ED">
        <w:rPr>
          <w:rFonts w:eastAsia="Calibri"/>
          <w:sz w:val="22"/>
          <w:szCs w:val="22"/>
        </w:rPr>
        <w:t>širdies išemijos ar miokardo infarkto reiškinių dažnis sorafenibo vartojusiems tiriamiesiems buvo 2,7 %, palyginus su 1,3 % vartojusiems placebo. Pacientai, kurie sirgo nestabilia krūtinės angina arba kuri</w:t>
      </w:r>
      <w:r w:rsidR="00E27AC1">
        <w:rPr>
          <w:rFonts w:eastAsia="Calibri"/>
          <w:sz w:val="22"/>
          <w:szCs w:val="22"/>
        </w:rPr>
        <w:t>ems</w:t>
      </w:r>
      <w:r w:rsidRPr="008C23ED">
        <w:rPr>
          <w:rFonts w:eastAsia="Calibri"/>
          <w:sz w:val="22"/>
          <w:szCs w:val="22"/>
        </w:rPr>
        <w:t xml:space="preserve"> neseniai </w:t>
      </w:r>
      <w:r w:rsidR="00E27AC1">
        <w:rPr>
          <w:rFonts w:eastAsia="Calibri"/>
          <w:sz w:val="22"/>
          <w:szCs w:val="22"/>
        </w:rPr>
        <w:t>įvyko</w:t>
      </w:r>
      <w:r w:rsidR="00E27AC1" w:rsidRPr="008C23ED">
        <w:rPr>
          <w:rFonts w:eastAsia="Calibri"/>
          <w:sz w:val="22"/>
          <w:szCs w:val="22"/>
        </w:rPr>
        <w:t xml:space="preserve"> </w:t>
      </w:r>
      <w:r w:rsidRPr="008C23ED">
        <w:rPr>
          <w:rFonts w:eastAsia="Calibri"/>
          <w:sz w:val="22"/>
          <w:szCs w:val="22"/>
        </w:rPr>
        <w:t xml:space="preserve">miokardo infarktas, šiuose tyrimuose nedalyvavo. </w:t>
      </w:r>
      <w:r w:rsidR="00E27AC1">
        <w:rPr>
          <w:rFonts w:eastAsia="Calibri"/>
          <w:sz w:val="22"/>
          <w:szCs w:val="22"/>
        </w:rPr>
        <w:t>Pasireiškus</w:t>
      </w:r>
      <w:r w:rsidR="00E27AC1" w:rsidRPr="008C23ED">
        <w:rPr>
          <w:rFonts w:eastAsia="Calibri"/>
          <w:sz w:val="22"/>
          <w:szCs w:val="22"/>
        </w:rPr>
        <w:t xml:space="preserve"> </w:t>
      </w:r>
      <w:r w:rsidRPr="008C23ED">
        <w:rPr>
          <w:rFonts w:eastAsia="Calibri"/>
          <w:sz w:val="22"/>
          <w:szCs w:val="22"/>
        </w:rPr>
        <w:t xml:space="preserve">širdies išemijai arba </w:t>
      </w:r>
      <w:r w:rsidR="00E27AC1">
        <w:rPr>
          <w:rFonts w:eastAsia="Calibri"/>
          <w:sz w:val="22"/>
          <w:szCs w:val="22"/>
        </w:rPr>
        <w:t>įvykus</w:t>
      </w:r>
      <w:r w:rsidR="00E27AC1" w:rsidRPr="008C23ED">
        <w:rPr>
          <w:rFonts w:eastAsia="Calibri"/>
          <w:sz w:val="22"/>
          <w:szCs w:val="22"/>
        </w:rPr>
        <w:t xml:space="preserve"> </w:t>
      </w:r>
      <w:r w:rsidRPr="008C23ED">
        <w:rPr>
          <w:rFonts w:eastAsia="Calibri"/>
          <w:sz w:val="22"/>
          <w:szCs w:val="22"/>
        </w:rPr>
        <w:t>miokardo infarktui, reikia apsvarstyti gydymo sorafenibu nutraukimą laikinai arba visam laikui (žr. 4.8 skyrių).</w:t>
      </w:r>
      <w:r w:rsidRPr="00EF20DC">
        <w:rPr>
          <w:rFonts w:eastAsia="Calibri"/>
          <w:sz w:val="22"/>
          <w:szCs w:val="22"/>
        </w:rPr>
        <w:t xml:space="preserve"> </w:t>
      </w:r>
    </w:p>
    <w:p w14:paraId="02DB4E23" w14:textId="77777777" w:rsidR="008C23ED" w:rsidRPr="00EF20DC" w:rsidRDefault="008C23ED" w:rsidP="001F1094">
      <w:pPr>
        <w:rPr>
          <w:rFonts w:eastAsia="Calibri"/>
          <w:sz w:val="22"/>
          <w:szCs w:val="22"/>
        </w:rPr>
      </w:pPr>
    </w:p>
    <w:p w14:paraId="325143FF" w14:textId="77777777" w:rsidR="00EF20DC" w:rsidRPr="00EF20DC" w:rsidRDefault="00EF20DC" w:rsidP="001F1094">
      <w:pPr>
        <w:rPr>
          <w:rFonts w:eastAsia="Calibri"/>
          <w:sz w:val="22"/>
          <w:szCs w:val="22"/>
          <w:u w:val="single"/>
        </w:rPr>
      </w:pPr>
      <w:r w:rsidRPr="00EF20DC">
        <w:rPr>
          <w:rFonts w:eastAsia="Calibri"/>
          <w:sz w:val="22"/>
          <w:szCs w:val="22"/>
          <w:u w:val="single"/>
        </w:rPr>
        <w:t>QT intervalo pailgėjimas</w:t>
      </w:r>
    </w:p>
    <w:p w14:paraId="72AA58B7" w14:textId="77777777" w:rsidR="00EF20DC" w:rsidRPr="00EF20DC" w:rsidRDefault="00EF20DC" w:rsidP="001F1094">
      <w:pPr>
        <w:rPr>
          <w:rFonts w:eastAsia="Calibri"/>
          <w:sz w:val="22"/>
          <w:szCs w:val="22"/>
        </w:rPr>
      </w:pPr>
    </w:p>
    <w:p w14:paraId="0C1A557A" w14:textId="13DC66CB" w:rsidR="00EF20DC" w:rsidRPr="00EF20DC" w:rsidRDefault="00EF20DC" w:rsidP="001F1094">
      <w:pPr>
        <w:rPr>
          <w:rFonts w:eastAsia="Calibri"/>
          <w:sz w:val="22"/>
          <w:szCs w:val="22"/>
        </w:rPr>
      </w:pPr>
      <w:r w:rsidRPr="00EF20DC">
        <w:rPr>
          <w:rFonts w:eastAsia="Calibri"/>
          <w:sz w:val="22"/>
          <w:szCs w:val="22"/>
        </w:rPr>
        <w:t>Nustatyta, kad sorafenibas pailgina QT/</w:t>
      </w:r>
      <w:r w:rsidRPr="003864F9">
        <w:rPr>
          <w:rFonts w:eastAsia="Calibri"/>
          <w:sz w:val="22"/>
          <w:szCs w:val="22"/>
        </w:rPr>
        <w:t>QT</w:t>
      </w:r>
      <w:r w:rsidR="003864F9">
        <w:rPr>
          <w:rFonts w:eastAsia="Calibri"/>
          <w:sz w:val="22"/>
          <w:szCs w:val="22"/>
        </w:rPr>
        <w:t xml:space="preserve">c </w:t>
      </w:r>
      <w:r w:rsidR="008C23ED">
        <w:rPr>
          <w:rFonts w:eastAsia="Calibri"/>
          <w:sz w:val="22"/>
          <w:szCs w:val="22"/>
        </w:rPr>
        <w:t>(koreguotą</w:t>
      </w:r>
      <w:r w:rsidR="003864F9">
        <w:rPr>
          <w:rFonts w:eastAsia="Calibri"/>
          <w:sz w:val="22"/>
          <w:szCs w:val="22"/>
        </w:rPr>
        <w:t xml:space="preserve"> QT</w:t>
      </w:r>
      <w:r w:rsidR="008C23ED">
        <w:rPr>
          <w:rFonts w:eastAsia="Calibri"/>
          <w:sz w:val="22"/>
          <w:szCs w:val="22"/>
        </w:rPr>
        <w:t>)</w:t>
      </w:r>
      <w:r w:rsidRPr="00EF20DC">
        <w:rPr>
          <w:rFonts w:eastAsia="Calibri"/>
          <w:sz w:val="22"/>
          <w:szCs w:val="22"/>
        </w:rPr>
        <w:t xml:space="preserve"> intervalą (žr. 5.1 skyrių)</w:t>
      </w:r>
      <w:r w:rsidR="004643D5">
        <w:rPr>
          <w:rFonts w:eastAsia="Calibri"/>
          <w:sz w:val="22"/>
          <w:szCs w:val="22"/>
        </w:rPr>
        <w:t>.</w:t>
      </w:r>
      <w:r w:rsidRPr="00EF20DC">
        <w:rPr>
          <w:rFonts w:eastAsia="Calibri"/>
          <w:sz w:val="22"/>
          <w:szCs w:val="22"/>
        </w:rPr>
        <w:t xml:space="preserve"> Tai gali padidinti skilvelinės aritmijos riziką. Sorafenibą vartojančius pacientus, kuriems yra nustatytas arba gali išsivystyti QT</w:t>
      </w:r>
      <w:r w:rsidR="006E5CD3">
        <w:rPr>
          <w:rFonts w:eastAsia="Calibri"/>
          <w:sz w:val="22"/>
          <w:szCs w:val="22"/>
        </w:rPr>
        <w:t>c</w:t>
      </w:r>
      <w:r w:rsidRPr="00EF20DC">
        <w:rPr>
          <w:rFonts w:eastAsia="Calibri"/>
          <w:sz w:val="22"/>
          <w:szCs w:val="22"/>
        </w:rPr>
        <w:t xml:space="preserve"> intervalo pailgėjimas, pvz., pacientus, </w:t>
      </w:r>
      <w:r w:rsidR="008C23ED">
        <w:rPr>
          <w:rFonts w:eastAsia="Calibri"/>
          <w:sz w:val="22"/>
          <w:szCs w:val="22"/>
        </w:rPr>
        <w:t>kuriems yra</w:t>
      </w:r>
      <w:r w:rsidRPr="00EF20DC">
        <w:rPr>
          <w:rFonts w:eastAsia="Calibri"/>
          <w:sz w:val="22"/>
          <w:szCs w:val="22"/>
        </w:rPr>
        <w:t xml:space="preserve"> įgimt</w:t>
      </w:r>
      <w:r w:rsidR="008C23ED">
        <w:rPr>
          <w:rFonts w:eastAsia="Calibri"/>
          <w:sz w:val="22"/>
          <w:szCs w:val="22"/>
        </w:rPr>
        <w:t>as</w:t>
      </w:r>
      <w:r w:rsidRPr="00EF20DC">
        <w:rPr>
          <w:rFonts w:eastAsia="Calibri"/>
          <w:sz w:val="22"/>
          <w:szCs w:val="22"/>
        </w:rPr>
        <w:t xml:space="preserve"> ilgo QT intervalo sindrom</w:t>
      </w:r>
      <w:r w:rsidR="008C23ED">
        <w:rPr>
          <w:rFonts w:eastAsia="Calibri"/>
          <w:sz w:val="22"/>
          <w:szCs w:val="22"/>
        </w:rPr>
        <w:t>as</w:t>
      </w:r>
      <w:r w:rsidRPr="00EF20DC">
        <w:rPr>
          <w:rFonts w:eastAsia="Calibri"/>
          <w:sz w:val="22"/>
          <w:szCs w:val="22"/>
        </w:rPr>
        <w:t>, pacientus, gydomus didelėmis kumuliacinėmis antraciklinų dozėmis, pacientus, vartojančius tam tikr</w:t>
      </w:r>
      <w:r w:rsidR="008C23ED">
        <w:rPr>
          <w:rFonts w:eastAsia="Calibri"/>
          <w:sz w:val="22"/>
          <w:szCs w:val="22"/>
        </w:rPr>
        <w:t>ų</w:t>
      </w:r>
      <w:r w:rsidRPr="00EF20DC">
        <w:rPr>
          <w:rFonts w:eastAsia="Calibri"/>
          <w:sz w:val="22"/>
          <w:szCs w:val="22"/>
        </w:rPr>
        <w:t xml:space="preserve"> antiaritmini</w:t>
      </w:r>
      <w:r w:rsidR="008C23ED">
        <w:rPr>
          <w:rFonts w:eastAsia="Calibri"/>
          <w:sz w:val="22"/>
          <w:szCs w:val="22"/>
        </w:rPr>
        <w:t>ų</w:t>
      </w:r>
      <w:r w:rsidRPr="00EF20DC">
        <w:rPr>
          <w:rFonts w:eastAsia="Calibri"/>
          <w:sz w:val="22"/>
          <w:szCs w:val="22"/>
        </w:rPr>
        <w:t xml:space="preserve"> vaist</w:t>
      </w:r>
      <w:r w:rsidR="008C23ED">
        <w:rPr>
          <w:rFonts w:eastAsia="Calibri"/>
          <w:sz w:val="22"/>
          <w:szCs w:val="22"/>
        </w:rPr>
        <w:t>inių preparatų</w:t>
      </w:r>
      <w:r w:rsidRPr="00EF20DC">
        <w:rPr>
          <w:rFonts w:eastAsia="Calibri"/>
          <w:sz w:val="22"/>
          <w:szCs w:val="22"/>
        </w:rPr>
        <w:t xml:space="preserve"> ar kit</w:t>
      </w:r>
      <w:r w:rsidR="008C23ED">
        <w:rPr>
          <w:rFonts w:eastAsia="Calibri"/>
          <w:sz w:val="22"/>
          <w:szCs w:val="22"/>
        </w:rPr>
        <w:t>ų</w:t>
      </w:r>
      <w:r w:rsidRPr="00EF20DC">
        <w:rPr>
          <w:rFonts w:eastAsia="Calibri"/>
          <w:sz w:val="22"/>
          <w:szCs w:val="22"/>
        </w:rPr>
        <w:t xml:space="preserve"> vaistini</w:t>
      </w:r>
      <w:r w:rsidR="008C23ED">
        <w:rPr>
          <w:rFonts w:eastAsia="Calibri"/>
          <w:sz w:val="22"/>
          <w:szCs w:val="22"/>
        </w:rPr>
        <w:t>ų</w:t>
      </w:r>
      <w:r w:rsidRPr="00EF20DC">
        <w:rPr>
          <w:rFonts w:eastAsia="Calibri"/>
          <w:sz w:val="22"/>
          <w:szCs w:val="22"/>
        </w:rPr>
        <w:t xml:space="preserve"> preparat</w:t>
      </w:r>
      <w:r w:rsidR="008C23ED">
        <w:rPr>
          <w:rFonts w:eastAsia="Calibri"/>
          <w:sz w:val="22"/>
          <w:szCs w:val="22"/>
        </w:rPr>
        <w:t>ų</w:t>
      </w:r>
      <w:r w:rsidRPr="00EF20DC">
        <w:rPr>
          <w:rFonts w:eastAsia="Calibri"/>
          <w:sz w:val="22"/>
          <w:szCs w:val="22"/>
        </w:rPr>
        <w:t>, kurie gali sukelti QT pailgėjimą, ir tuos, kurių elektrolitų pusiausvyra sutrikusi, pvz., yra hipokalemija, hipokalcemija ar hipomagne</w:t>
      </w:r>
      <w:r w:rsidR="003C64E6">
        <w:rPr>
          <w:rFonts w:eastAsia="Calibri"/>
          <w:sz w:val="22"/>
          <w:szCs w:val="22"/>
        </w:rPr>
        <w:t>ze</w:t>
      </w:r>
      <w:r w:rsidRPr="00EF20DC">
        <w:rPr>
          <w:rFonts w:eastAsia="Calibri"/>
          <w:sz w:val="22"/>
          <w:szCs w:val="22"/>
        </w:rPr>
        <w:t xml:space="preserve">mija, reikia gydyti atsargiai. </w:t>
      </w:r>
      <w:r w:rsidR="00624639">
        <w:rPr>
          <w:rFonts w:eastAsia="Calibri"/>
          <w:sz w:val="22"/>
          <w:szCs w:val="22"/>
        </w:rPr>
        <w:t>Jeigu šie pacientai vartoja sorafenibo, turi būti apgalvota, kaip šio gydymo metu periodiškai tikrinti</w:t>
      </w:r>
      <w:r w:rsidRPr="00EF20DC">
        <w:rPr>
          <w:rFonts w:eastAsia="Calibri"/>
          <w:sz w:val="22"/>
          <w:szCs w:val="22"/>
        </w:rPr>
        <w:t xml:space="preserve"> elektrokardiogram</w:t>
      </w:r>
      <w:r w:rsidR="00624639">
        <w:rPr>
          <w:rFonts w:eastAsia="Calibri"/>
          <w:sz w:val="22"/>
          <w:szCs w:val="22"/>
        </w:rPr>
        <w:t>os parametrus</w:t>
      </w:r>
      <w:r w:rsidRPr="00EF20DC">
        <w:rPr>
          <w:rFonts w:eastAsia="Calibri"/>
          <w:sz w:val="22"/>
          <w:szCs w:val="22"/>
        </w:rPr>
        <w:t xml:space="preserve"> </w:t>
      </w:r>
      <w:r w:rsidR="00624639">
        <w:rPr>
          <w:rFonts w:eastAsia="Calibri"/>
          <w:sz w:val="22"/>
          <w:szCs w:val="22"/>
        </w:rPr>
        <w:t xml:space="preserve">ir </w:t>
      </w:r>
      <w:r w:rsidRPr="00EF20DC">
        <w:rPr>
          <w:rFonts w:eastAsia="Calibri"/>
          <w:sz w:val="22"/>
          <w:szCs w:val="22"/>
        </w:rPr>
        <w:t>elektrolitų (magnio, kalio, kalcio)</w:t>
      </w:r>
      <w:r w:rsidR="00624639">
        <w:rPr>
          <w:rFonts w:eastAsia="Calibri"/>
          <w:sz w:val="22"/>
          <w:szCs w:val="22"/>
        </w:rPr>
        <w:t xml:space="preserve"> kiekį</w:t>
      </w:r>
      <w:r w:rsidRPr="00EF20DC">
        <w:rPr>
          <w:rFonts w:eastAsia="Calibri"/>
          <w:sz w:val="22"/>
          <w:szCs w:val="22"/>
        </w:rPr>
        <w:t xml:space="preserve">. </w:t>
      </w:r>
    </w:p>
    <w:p w14:paraId="694DD97F" w14:textId="77777777" w:rsidR="00EF20DC" w:rsidRPr="00EF20DC" w:rsidRDefault="00EF20DC" w:rsidP="001F1094">
      <w:pPr>
        <w:rPr>
          <w:rFonts w:eastAsia="Calibri"/>
          <w:sz w:val="22"/>
          <w:szCs w:val="22"/>
        </w:rPr>
      </w:pPr>
    </w:p>
    <w:p w14:paraId="6A9DD578" w14:textId="77777777" w:rsidR="00EF20DC" w:rsidRPr="00EF20DC" w:rsidRDefault="00EF20DC" w:rsidP="001F1094">
      <w:pPr>
        <w:rPr>
          <w:rFonts w:eastAsia="Calibri"/>
          <w:sz w:val="22"/>
          <w:szCs w:val="22"/>
          <w:u w:val="single"/>
        </w:rPr>
      </w:pPr>
      <w:r w:rsidRPr="00EF20DC">
        <w:rPr>
          <w:rFonts w:eastAsia="Calibri"/>
          <w:sz w:val="22"/>
          <w:szCs w:val="22"/>
          <w:u w:val="single"/>
        </w:rPr>
        <w:t>Virškinimo trakto perforacija</w:t>
      </w:r>
    </w:p>
    <w:p w14:paraId="441351DB" w14:textId="77777777" w:rsidR="00EF20DC" w:rsidRPr="00EF20DC" w:rsidRDefault="00EF20DC" w:rsidP="001F1094">
      <w:pPr>
        <w:rPr>
          <w:rFonts w:eastAsia="Calibri"/>
          <w:sz w:val="22"/>
          <w:szCs w:val="22"/>
        </w:rPr>
      </w:pPr>
    </w:p>
    <w:p w14:paraId="343822AA" w14:textId="0960358B" w:rsidR="00F268C3" w:rsidRDefault="00EF20DC" w:rsidP="001F1094">
      <w:pPr>
        <w:rPr>
          <w:rFonts w:eastAsia="Calibri"/>
          <w:sz w:val="22"/>
          <w:szCs w:val="22"/>
        </w:rPr>
      </w:pPr>
      <w:r w:rsidRPr="00EF20DC">
        <w:rPr>
          <w:rFonts w:eastAsia="Calibri"/>
          <w:sz w:val="22"/>
          <w:szCs w:val="22"/>
        </w:rPr>
        <w:t xml:space="preserve">Virškinimo trakto perforacija yra nedažnas reiškinys, pasireiškęs </w:t>
      </w:r>
      <w:r w:rsidR="001C4C30">
        <w:rPr>
          <w:rFonts w:eastAsia="Calibri"/>
          <w:sz w:val="22"/>
          <w:szCs w:val="22"/>
        </w:rPr>
        <w:t>rečiau</w:t>
      </w:r>
      <w:r w:rsidR="001C4C30" w:rsidRPr="00EF20DC">
        <w:rPr>
          <w:rFonts w:eastAsia="Calibri"/>
          <w:sz w:val="22"/>
          <w:szCs w:val="22"/>
        </w:rPr>
        <w:t xml:space="preserve"> </w:t>
      </w:r>
      <w:r w:rsidRPr="00EF20DC">
        <w:rPr>
          <w:rFonts w:eastAsia="Calibri"/>
          <w:sz w:val="22"/>
          <w:szCs w:val="22"/>
        </w:rPr>
        <w:t>nei 1 % pacientų, vartojusių sorafenib</w:t>
      </w:r>
      <w:r w:rsidR="00F268C3">
        <w:rPr>
          <w:rFonts w:eastAsia="Calibri"/>
          <w:sz w:val="22"/>
          <w:szCs w:val="22"/>
        </w:rPr>
        <w:t>o</w:t>
      </w:r>
      <w:r w:rsidRPr="00EF20DC">
        <w:rPr>
          <w:rFonts w:eastAsia="Calibri"/>
          <w:sz w:val="22"/>
          <w:szCs w:val="22"/>
        </w:rPr>
        <w:t xml:space="preserve">. Kai kuriais atvejais tai nebuvo susiję su nustatytu pilvo ertmės naviku. </w:t>
      </w:r>
    </w:p>
    <w:p w14:paraId="6896A102" w14:textId="77777777" w:rsidR="00EF20DC" w:rsidRPr="00EF20DC" w:rsidRDefault="00EF20DC" w:rsidP="001F1094">
      <w:pPr>
        <w:rPr>
          <w:rFonts w:eastAsia="Calibri"/>
          <w:sz w:val="22"/>
          <w:szCs w:val="22"/>
        </w:rPr>
      </w:pPr>
      <w:r w:rsidRPr="00EF20DC">
        <w:rPr>
          <w:rFonts w:eastAsia="Calibri"/>
          <w:sz w:val="22"/>
          <w:szCs w:val="22"/>
        </w:rPr>
        <w:t>Gydymas sorafenibu turi būti nutrauk</w:t>
      </w:r>
      <w:r w:rsidR="00F268C3">
        <w:rPr>
          <w:rFonts w:eastAsia="Calibri"/>
          <w:sz w:val="22"/>
          <w:szCs w:val="22"/>
        </w:rPr>
        <w:t>tas</w:t>
      </w:r>
      <w:r w:rsidRPr="00EF20DC">
        <w:rPr>
          <w:rFonts w:eastAsia="Calibri"/>
          <w:sz w:val="22"/>
          <w:szCs w:val="22"/>
        </w:rPr>
        <w:t xml:space="preserve"> (žr. 4.8 skyrių). </w:t>
      </w:r>
    </w:p>
    <w:p w14:paraId="75ABADFA" w14:textId="77777777" w:rsidR="00EF20DC" w:rsidRPr="00EF20DC" w:rsidRDefault="00EF20DC" w:rsidP="001F1094">
      <w:pPr>
        <w:rPr>
          <w:rFonts w:eastAsia="Calibri"/>
          <w:sz w:val="22"/>
          <w:szCs w:val="22"/>
        </w:rPr>
      </w:pPr>
    </w:p>
    <w:p w14:paraId="563E515F" w14:textId="77777777" w:rsidR="00EF20DC" w:rsidRPr="00EF20DC" w:rsidRDefault="00EF20DC" w:rsidP="001F1094">
      <w:pPr>
        <w:rPr>
          <w:rFonts w:eastAsia="Calibri"/>
          <w:sz w:val="22"/>
          <w:szCs w:val="22"/>
        </w:rPr>
      </w:pPr>
      <w:r w:rsidRPr="00EF20DC">
        <w:rPr>
          <w:rFonts w:eastAsia="Calibri"/>
          <w:sz w:val="22"/>
          <w:szCs w:val="22"/>
          <w:u w:val="single"/>
        </w:rPr>
        <w:t>Kepenų funkcijos sutrikimas</w:t>
      </w:r>
    </w:p>
    <w:p w14:paraId="2FC4859A" w14:textId="77777777" w:rsidR="00EF20DC" w:rsidRPr="00EF20DC" w:rsidRDefault="00EF20DC" w:rsidP="001F1094">
      <w:pPr>
        <w:rPr>
          <w:rFonts w:eastAsia="Calibri"/>
          <w:sz w:val="22"/>
          <w:szCs w:val="22"/>
        </w:rPr>
      </w:pPr>
    </w:p>
    <w:p w14:paraId="2146217D" w14:textId="77777777" w:rsidR="00EF20DC" w:rsidRPr="00EF20DC" w:rsidRDefault="00EF20DC" w:rsidP="001F1094">
      <w:pPr>
        <w:rPr>
          <w:rFonts w:eastAsia="Calibri"/>
          <w:sz w:val="22"/>
          <w:szCs w:val="22"/>
        </w:rPr>
      </w:pPr>
      <w:r w:rsidRPr="00EF20DC">
        <w:rPr>
          <w:rFonts w:eastAsia="Calibri"/>
          <w:sz w:val="22"/>
          <w:szCs w:val="22"/>
        </w:rPr>
        <w:t>Apie pacientų, kuriems yra sunkus (</w:t>
      </w:r>
      <w:r w:rsidRPr="00EF20DC">
        <w:rPr>
          <w:rFonts w:eastAsia="Calibri"/>
          <w:i/>
          <w:sz w:val="22"/>
          <w:szCs w:val="22"/>
        </w:rPr>
        <w:t>Child Pugh</w:t>
      </w:r>
      <w:r w:rsidRPr="00EF20DC">
        <w:rPr>
          <w:rFonts w:eastAsia="Calibri"/>
          <w:sz w:val="22"/>
          <w:szCs w:val="22"/>
        </w:rPr>
        <w:t xml:space="preserve"> C klasė) kepenų funkcijos sutrikimas, gydymą šiuo vaistiniu preparatu duomenų nėra. Kadangi didžiausias sorafenibo kiekis eliminuojamas per kepenis, pacientų, kuriems yra sunkus kepenų funkcijos sutrikimas, organizme </w:t>
      </w:r>
      <w:r w:rsidR="002109BA">
        <w:rPr>
          <w:rFonts w:eastAsia="Calibri"/>
          <w:sz w:val="22"/>
          <w:szCs w:val="22"/>
        </w:rPr>
        <w:t xml:space="preserve">vaistinio </w:t>
      </w:r>
      <w:r w:rsidRPr="00EF20DC">
        <w:rPr>
          <w:rFonts w:eastAsia="Calibri"/>
          <w:sz w:val="22"/>
          <w:szCs w:val="22"/>
        </w:rPr>
        <w:t xml:space="preserve">preparato ekspozicija gali padidėti (žr. 4.2 ir 5.2 skyrius). </w:t>
      </w:r>
    </w:p>
    <w:p w14:paraId="1A7F8943" w14:textId="77777777" w:rsidR="00EF20DC" w:rsidRPr="00EF20DC" w:rsidRDefault="00EF20DC" w:rsidP="001F1094">
      <w:pPr>
        <w:rPr>
          <w:rFonts w:eastAsia="Calibri"/>
          <w:sz w:val="22"/>
          <w:szCs w:val="22"/>
        </w:rPr>
      </w:pPr>
    </w:p>
    <w:p w14:paraId="29C18271" w14:textId="77777777" w:rsidR="00EF20DC" w:rsidRPr="00EF20DC" w:rsidRDefault="00F268C3" w:rsidP="001F1094">
      <w:pPr>
        <w:rPr>
          <w:rFonts w:eastAsia="Calibri"/>
          <w:sz w:val="22"/>
          <w:szCs w:val="22"/>
          <w:u w:val="single"/>
        </w:rPr>
      </w:pPr>
      <w:r>
        <w:rPr>
          <w:rFonts w:eastAsia="Calibri"/>
          <w:sz w:val="22"/>
          <w:szCs w:val="22"/>
          <w:u w:val="single"/>
        </w:rPr>
        <w:t>Kartu vartojamas varfarinas</w:t>
      </w:r>
    </w:p>
    <w:p w14:paraId="7FB5FE3E" w14:textId="77777777" w:rsidR="00EF20DC" w:rsidRPr="00EF20DC" w:rsidRDefault="00EF20DC" w:rsidP="001F1094">
      <w:pPr>
        <w:rPr>
          <w:rFonts w:eastAsia="Calibri"/>
          <w:sz w:val="22"/>
          <w:szCs w:val="22"/>
        </w:rPr>
      </w:pPr>
    </w:p>
    <w:p w14:paraId="03E77E86" w14:textId="4AF2C706" w:rsidR="00EF20DC" w:rsidRPr="00EF20DC" w:rsidRDefault="00EF20DC" w:rsidP="001F1094">
      <w:pPr>
        <w:rPr>
          <w:rFonts w:eastAsia="Calibri"/>
          <w:sz w:val="22"/>
          <w:szCs w:val="22"/>
        </w:rPr>
      </w:pPr>
      <w:r w:rsidRPr="00EF20DC">
        <w:rPr>
          <w:rFonts w:eastAsia="Calibri"/>
          <w:sz w:val="22"/>
          <w:szCs w:val="22"/>
        </w:rPr>
        <w:t>Kai kuriems sorafenibu gyd</w:t>
      </w:r>
      <w:r w:rsidR="00EB1EBE">
        <w:rPr>
          <w:rFonts w:eastAsia="Calibri"/>
          <w:sz w:val="22"/>
          <w:szCs w:val="22"/>
        </w:rPr>
        <w:t>yt</w:t>
      </w:r>
      <w:r w:rsidRPr="00EF20DC">
        <w:rPr>
          <w:rFonts w:eastAsia="Calibri"/>
          <w:sz w:val="22"/>
          <w:szCs w:val="22"/>
        </w:rPr>
        <w:t>iems pacientams, pradėjusiems kartu vartoti varfarino, nedažnai</w:t>
      </w:r>
      <w:r w:rsidR="00F268C3">
        <w:rPr>
          <w:rFonts w:eastAsia="Calibri"/>
          <w:sz w:val="22"/>
          <w:szCs w:val="22"/>
        </w:rPr>
        <w:t xml:space="preserve"> gauta pranešimų apie </w:t>
      </w:r>
      <w:r w:rsidRPr="00EF20DC">
        <w:rPr>
          <w:rFonts w:eastAsia="Calibri"/>
          <w:sz w:val="22"/>
          <w:szCs w:val="22"/>
        </w:rPr>
        <w:t>kraujavimo reiškini</w:t>
      </w:r>
      <w:r w:rsidR="00F268C3">
        <w:rPr>
          <w:rFonts w:eastAsia="Calibri"/>
          <w:sz w:val="22"/>
          <w:szCs w:val="22"/>
        </w:rPr>
        <w:t>us</w:t>
      </w:r>
      <w:r w:rsidRPr="00EF20DC">
        <w:rPr>
          <w:rFonts w:eastAsia="Calibri"/>
          <w:sz w:val="22"/>
          <w:szCs w:val="22"/>
        </w:rPr>
        <w:t xml:space="preserve"> arba tarptautin</w:t>
      </w:r>
      <w:r w:rsidR="00F268C3">
        <w:rPr>
          <w:rFonts w:eastAsia="Calibri"/>
          <w:sz w:val="22"/>
          <w:szCs w:val="22"/>
        </w:rPr>
        <w:t>io</w:t>
      </w:r>
      <w:r w:rsidRPr="00EF20DC">
        <w:rPr>
          <w:rFonts w:eastAsia="Calibri"/>
          <w:sz w:val="22"/>
          <w:szCs w:val="22"/>
        </w:rPr>
        <w:t xml:space="preserve"> normalizuot</w:t>
      </w:r>
      <w:r w:rsidR="00F268C3">
        <w:rPr>
          <w:rFonts w:eastAsia="Calibri"/>
          <w:sz w:val="22"/>
          <w:szCs w:val="22"/>
        </w:rPr>
        <w:t>o</w:t>
      </w:r>
      <w:r w:rsidRPr="00EF20DC">
        <w:rPr>
          <w:rFonts w:eastAsia="Calibri"/>
          <w:sz w:val="22"/>
          <w:szCs w:val="22"/>
        </w:rPr>
        <w:t xml:space="preserve"> santyki</w:t>
      </w:r>
      <w:r w:rsidR="00F268C3">
        <w:rPr>
          <w:rFonts w:eastAsia="Calibri"/>
          <w:sz w:val="22"/>
          <w:szCs w:val="22"/>
        </w:rPr>
        <w:t xml:space="preserve">o </w:t>
      </w:r>
      <w:r w:rsidR="00F268C3" w:rsidRPr="00EF20DC">
        <w:rPr>
          <w:rFonts w:eastAsia="Calibri"/>
          <w:sz w:val="22"/>
          <w:szCs w:val="22"/>
        </w:rPr>
        <w:t>(TNS)</w:t>
      </w:r>
      <w:r w:rsidR="00F268C3">
        <w:rPr>
          <w:rFonts w:eastAsia="Calibri"/>
          <w:sz w:val="22"/>
          <w:szCs w:val="22"/>
        </w:rPr>
        <w:t xml:space="preserve"> padidėjimą. </w:t>
      </w:r>
      <w:r w:rsidRPr="00EF20DC">
        <w:rPr>
          <w:rFonts w:eastAsia="Calibri"/>
          <w:sz w:val="22"/>
          <w:szCs w:val="22"/>
        </w:rPr>
        <w:t>Gydant pacientus</w:t>
      </w:r>
      <w:r w:rsidR="00F268C3">
        <w:rPr>
          <w:rFonts w:eastAsia="Calibri"/>
          <w:sz w:val="22"/>
          <w:szCs w:val="22"/>
        </w:rPr>
        <w:t xml:space="preserve">, kurie </w:t>
      </w:r>
      <w:r w:rsidRPr="00EF20DC">
        <w:rPr>
          <w:rFonts w:eastAsia="Calibri"/>
          <w:sz w:val="22"/>
          <w:szCs w:val="22"/>
        </w:rPr>
        <w:t xml:space="preserve">kartu </w:t>
      </w:r>
      <w:r w:rsidR="00F268C3">
        <w:rPr>
          <w:rFonts w:eastAsia="Calibri"/>
          <w:sz w:val="22"/>
          <w:szCs w:val="22"/>
        </w:rPr>
        <w:t>vartoja</w:t>
      </w:r>
      <w:r w:rsidRPr="00EF20DC">
        <w:rPr>
          <w:rFonts w:eastAsia="Calibri"/>
          <w:sz w:val="22"/>
          <w:szCs w:val="22"/>
        </w:rPr>
        <w:t xml:space="preserve"> varfarin</w:t>
      </w:r>
      <w:r w:rsidR="00F268C3">
        <w:rPr>
          <w:rFonts w:eastAsia="Calibri"/>
          <w:sz w:val="22"/>
          <w:szCs w:val="22"/>
        </w:rPr>
        <w:t>o</w:t>
      </w:r>
      <w:r w:rsidRPr="00EF20DC">
        <w:rPr>
          <w:rFonts w:eastAsia="Calibri"/>
          <w:sz w:val="22"/>
          <w:szCs w:val="22"/>
        </w:rPr>
        <w:t xml:space="preserve"> arba </w:t>
      </w:r>
      <w:r w:rsidRPr="00EB1EBE">
        <w:rPr>
          <w:rFonts w:eastAsia="Calibri"/>
          <w:sz w:val="22"/>
          <w:szCs w:val="22"/>
        </w:rPr>
        <w:t>fenprokumon</w:t>
      </w:r>
      <w:r w:rsidR="00F268C3" w:rsidRPr="00EB1EBE">
        <w:rPr>
          <w:rFonts w:eastAsia="Calibri"/>
          <w:sz w:val="22"/>
          <w:szCs w:val="22"/>
        </w:rPr>
        <w:t>o</w:t>
      </w:r>
      <w:r w:rsidR="00F268C3">
        <w:rPr>
          <w:rFonts w:eastAsia="Calibri"/>
          <w:sz w:val="22"/>
          <w:szCs w:val="22"/>
        </w:rPr>
        <w:t>,</w:t>
      </w:r>
      <w:r w:rsidRPr="00EF20DC">
        <w:rPr>
          <w:rFonts w:eastAsia="Calibri"/>
          <w:sz w:val="22"/>
          <w:szCs w:val="22"/>
        </w:rPr>
        <w:t xml:space="preserve"> reikia reguliariai </w:t>
      </w:r>
      <w:r w:rsidR="00F268C3">
        <w:rPr>
          <w:rFonts w:eastAsia="Calibri"/>
          <w:sz w:val="22"/>
          <w:szCs w:val="22"/>
        </w:rPr>
        <w:t>tikrinti</w:t>
      </w:r>
      <w:r w:rsidR="0081103F">
        <w:rPr>
          <w:rFonts w:eastAsia="Calibri"/>
          <w:sz w:val="22"/>
          <w:szCs w:val="22"/>
        </w:rPr>
        <w:t xml:space="preserve"> dėl galimų</w:t>
      </w:r>
      <w:r w:rsidRPr="00EF20DC">
        <w:rPr>
          <w:rFonts w:eastAsia="Calibri"/>
          <w:sz w:val="22"/>
          <w:szCs w:val="22"/>
        </w:rPr>
        <w:t xml:space="preserve"> protrombino laik</w:t>
      </w:r>
      <w:r w:rsidR="0081103F">
        <w:rPr>
          <w:rFonts w:eastAsia="Calibri"/>
          <w:sz w:val="22"/>
          <w:szCs w:val="22"/>
        </w:rPr>
        <w:t>o</w:t>
      </w:r>
      <w:r w:rsidRPr="00EF20DC">
        <w:rPr>
          <w:rFonts w:eastAsia="Calibri"/>
          <w:sz w:val="22"/>
          <w:szCs w:val="22"/>
        </w:rPr>
        <w:t xml:space="preserve"> (PL) </w:t>
      </w:r>
      <w:r w:rsidR="0081103F">
        <w:rPr>
          <w:rFonts w:eastAsia="Calibri"/>
          <w:sz w:val="22"/>
          <w:szCs w:val="22"/>
        </w:rPr>
        <w:t>ir</w:t>
      </w:r>
      <w:r w:rsidRPr="00EF20DC">
        <w:rPr>
          <w:rFonts w:eastAsia="Calibri"/>
          <w:sz w:val="22"/>
          <w:szCs w:val="22"/>
        </w:rPr>
        <w:t xml:space="preserve"> TNS </w:t>
      </w:r>
      <w:r w:rsidR="0081103F">
        <w:rPr>
          <w:rFonts w:eastAsia="Calibri"/>
          <w:sz w:val="22"/>
          <w:szCs w:val="22"/>
        </w:rPr>
        <w:t>pokyčių</w:t>
      </w:r>
      <w:r w:rsidR="00A47A18">
        <w:rPr>
          <w:rFonts w:eastAsia="Calibri"/>
          <w:sz w:val="22"/>
          <w:szCs w:val="22"/>
        </w:rPr>
        <w:t xml:space="preserve"> bei</w:t>
      </w:r>
      <w:r w:rsidRPr="00EF20DC">
        <w:rPr>
          <w:rFonts w:eastAsia="Calibri"/>
          <w:sz w:val="22"/>
          <w:szCs w:val="22"/>
        </w:rPr>
        <w:t xml:space="preserve"> klinikini</w:t>
      </w:r>
      <w:r w:rsidR="00FC1339">
        <w:rPr>
          <w:rFonts w:eastAsia="Calibri"/>
          <w:sz w:val="22"/>
          <w:szCs w:val="22"/>
        </w:rPr>
        <w:t>ų</w:t>
      </w:r>
      <w:r w:rsidRPr="00EF20DC">
        <w:rPr>
          <w:rFonts w:eastAsia="Calibri"/>
          <w:sz w:val="22"/>
          <w:szCs w:val="22"/>
        </w:rPr>
        <w:t xml:space="preserve"> kraujavimo epizodų (žr. 4.5 ir 4.8 skyrius). </w:t>
      </w:r>
    </w:p>
    <w:p w14:paraId="62ED80AB" w14:textId="77777777" w:rsidR="00EF20DC" w:rsidRPr="00EF20DC" w:rsidRDefault="00EF20DC" w:rsidP="001F1094">
      <w:pPr>
        <w:rPr>
          <w:rFonts w:eastAsia="Calibri"/>
          <w:sz w:val="22"/>
          <w:szCs w:val="22"/>
        </w:rPr>
      </w:pPr>
    </w:p>
    <w:p w14:paraId="4C6DFD7B" w14:textId="77777777" w:rsidR="00EF20DC" w:rsidRPr="00EF20DC" w:rsidRDefault="00EF20DC" w:rsidP="001F1094">
      <w:pPr>
        <w:rPr>
          <w:rFonts w:eastAsia="Calibri"/>
          <w:sz w:val="22"/>
          <w:szCs w:val="22"/>
          <w:u w:val="single"/>
        </w:rPr>
      </w:pPr>
      <w:r w:rsidRPr="00EF20DC">
        <w:rPr>
          <w:rFonts w:eastAsia="Calibri"/>
          <w:sz w:val="22"/>
          <w:szCs w:val="22"/>
          <w:u w:val="single"/>
        </w:rPr>
        <w:t>Žaizdų gijimo komplikacijos</w:t>
      </w:r>
    </w:p>
    <w:p w14:paraId="32A23DF6" w14:textId="77777777" w:rsidR="00EF20DC" w:rsidRPr="00EF20DC" w:rsidRDefault="00EF20DC" w:rsidP="001F1094">
      <w:pPr>
        <w:rPr>
          <w:rFonts w:eastAsia="Calibri"/>
          <w:sz w:val="22"/>
          <w:szCs w:val="22"/>
        </w:rPr>
      </w:pPr>
    </w:p>
    <w:p w14:paraId="152FDDE3" w14:textId="5ECA0D7D" w:rsidR="00EF20DC" w:rsidRPr="00EF20DC" w:rsidRDefault="00CD1423" w:rsidP="001F1094">
      <w:pPr>
        <w:rPr>
          <w:rFonts w:eastAsia="Calibri"/>
          <w:sz w:val="22"/>
          <w:szCs w:val="22"/>
        </w:rPr>
      </w:pPr>
      <w:r>
        <w:rPr>
          <w:rFonts w:eastAsia="Calibri"/>
          <w:sz w:val="22"/>
          <w:szCs w:val="22"/>
        </w:rPr>
        <w:t>Formalių</w:t>
      </w:r>
      <w:r w:rsidR="00EF20DC" w:rsidRPr="00EF20DC">
        <w:rPr>
          <w:rFonts w:eastAsia="Calibri"/>
          <w:sz w:val="22"/>
          <w:szCs w:val="22"/>
        </w:rPr>
        <w:t xml:space="preserve"> tyrimų, kuriais būtų tirtas sorafenibo poveikis žaizdų gijimui, neatlikta. </w:t>
      </w:r>
      <w:r w:rsidR="00E474D7">
        <w:rPr>
          <w:rFonts w:eastAsia="Calibri"/>
          <w:sz w:val="22"/>
          <w:szCs w:val="22"/>
        </w:rPr>
        <w:t>Dėl atsargumo</w:t>
      </w:r>
      <w:r w:rsidR="00EF20DC" w:rsidRPr="00EF20DC">
        <w:rPr>
          <w:rFonts w:eastAsia="Calibri"/>
          <w:sz w:val="22"/>
          <w:szCs w:val="22"/>
        </w:rPr>
        <w:t xml:space="preserve"> pacientams, kuriems atliekama dide</w:t>
      </w:r>
      <w:r w:rsidR="007D2E70">
        <w:rPr>
          <w:rFonts w:eastAsia="Calibri"/>
          <w:sz w:val="22"/>
          <w:szCs w:val="22"/>
        </w:rPr>
        <w:t>snė</w:t>
      </w:r>
      <w:r w:rsidR="00EF20DC" w:rsidRPr="00EF20DC">
        <w:rPr>
          <w:rFonts w:eastAsia="Calibri"/>
          <w:sz w:val="22"/>
          <w:szCs w:val="22"/>
        </w:rPr>
        <w:t xml:space="preserve"> operacija, sorafenibo vartojimą rekomenduojama laikinai </w:t>
      </w:r>
      <w:r w:rsidR="00C40D14">
        <w:rPr>
          <w:rFonts w:eastAsia="Calibri"/>
          <w:sz w:val="22"/>
          <w:szCs w:val="22"/>
        </w:rPr>
        <w:t>nu</w:t>
      </w:r>
      <w:r w:rsidR="00EF20DC" w:rsidRPr="00EF20DC">
        <w:rPr>
          <w:rFonts w:eastAsia="Calibri"/>
          <w:sz w:val="22"/>
          <w:szCs w:val="22"/>
        </w:rPr>
        <w:t xml:space="preserve">traukti. Kada po tokios operacijos gydymą galima atnaujinti, tiksliai nežinoma, kadangi tokio gydymo patirties sukaupta mažai. Vadinasi, sprendimą dėl </w:t>
      </w:r>
      <w:r w:rsidR="00E474D7">
        <w:rPr>
          <w:rFonts w:eastAsia="Calibri"/>
          <w:sz w:val="22"/>
          <w:szCs w:val="22"/>
        </w:rPr>
        <w:t xml:space="preserve">gydymo </w:t>
      </w:r>
      <w:r w:rsidR="00EF20DC" w:rsidRPr="00EF20DC">
        <w:rPr>
          <w:rFonts w:eastAsia="Calibri"/>
          <w:sz w:val="22"/>
          <w:szCs w:val="22"/>
        </w:rPr>
        <w:t>sorafenib</w:t>
      </w:r>
      <w:r w:rsidR="00E474D7">
        <w:rPr>
          <w:rFonts w:eastAsia="Calibri"/>
          <w:sz w:val="22"/>
          <w:szCs w:val="22"/>
        </w:rPr>
        <w:t>u</w:t>
      </w:r>
      <w:r w:rsidR="00EF20DC" w:rsidRPr="00EF20DC">
        <w:rPr>
          <w:rFonts w:eastAsia="Calibri"/>
          <w:sz w:val="22"/>
          <w:szCs w:val="22"/>
        </w:rPr>
        <w:t xml:space="preserve"> atnaujinimo reikia daryti atsižvelgiant į žaizdų gijimą po operacijos. </w:t>
      </w:r>
    </w:p>
    <w:p w14:paraId="686006EF" w14:textId="77777777" w:rsidR="00EF20DC" w:rsidRPr="00EF20DC" w:rsidRDefault="00EF20DC" w:rsidP="001F1094">
      <w:pPr>
        <w:rPr>
          <w:rFonts w:eastAsia="Calibri"/>
          <w:sz w:val="22"/>
          <w:szCs w:val="22"/>
        </w:rPr>
      </w:pPr>
    </w:p>
    <w:p w14:paraId="46F6E4E0" w14:textId="77777777" w:rsidR="00EF20DC" w:rsidRPr="00EF20DC" w:rsidRDefault="00EF20DC" w:rsidP="001F1094">
      <w:pPr>
        <w:rPr>
          <w:rFonts w:eastAsia="Calibri"/>
          <w:sz w:val="22"/>
          <w:szCs w:val="22"/>
          <w:u w:val="single"/>
        </w:rPr>
      </w:pPr>
      <w:r w:rsidRPr="00EF20DC">
        <w:rPr>
          <w:rFonts w:eastAsia="Calibri"/>
          <w:sz w:val="22"/>
          <w:szCs w:val="22"/>
          <w:u w:val="single"/>
        </w:rPr>
        <w:t>Senyv</w:t>
      </w:r>
      <w:r w:rsidR="00E474D7">
        <w:rPr>
          <w:rFonts w:eastAsia="Calibri"/>
          <w:sz w:val="22"/>
          <w:szCs w:val="22"/>
          <w:u w:val="single"/>
        </w:rPr>
        <w:t>ų žmonių</w:t>
      </w:r>
      <w:r w:rsidRPr="00EF20DC">
        <w:rPr>
          <w:rFonts w:eastAsia="Calibri"/>
          <w:sz w:val="22"/>
          <w:szCs w:val="22"/>
          <w:u w:val="single"/>
        </w:rPr>
        <w:t xml:space="preserve"> populiacija </w:t>
      </w:r>
    </w:p>
    <w:p w14:paraId="5AF894C4" w14:textId="77777777" w:rsidR="001A230F" w:rsidRDefault="001A230F" w:rsidP="001F1094">
      <w:pPr>
        <w:rPr>
          <w:rFonts w:eastAsia="Calibri"/>
          <w:sz w:val="22"/>
          <w:szCs w:val="22"/>
        </w:rPr>
      </w:pPr>
    </w:p>
    <w:p w14:paraId="08B74E5A" w14:textId="3E443D83" w:rsidR="00EF20DC" w:rsidRPr="00EF20DC" w:rsidRDefault="00EF20DC" w:rsidP="001F1094">
      <w:pPr>
        <w:rPr>
          <w:rFonts w:eastAsia="Calibri"/>
          <w:sz w:val="22"/>
          <w:szCs w:val="22"/>
        </w:rPr>
      </w:pPr>
      <w:r w:rsidRPr="00EF20DC">
        <w:rPr>
          <w:rFonts w:eastAsia="Calibri"/>
          <w:sz w:val="22"/>
          <w:szCs w:val="22"/>
        </w:rPr>
        <w:t>Praneš</w:t>
      </w:r>
      <w:r w:rsidR="00C40D14">
        <w:rPr>
          <w:rFonts w:eastAsia="Calibri"/>
          <w:sz w:val="22"/>
          <w:szCs w:val="22"/>
        </w:rPr>
        <w:t>ta</w:t>
      </w:r>
      <w:r w:rsidRPr="00EF20DC">
        <w:rPr>
          <w:rFonts w:eastAsia="Calibri"/>
          <w:sz w:val="22"/>
          <w:szCs w:val="22"/>
        </w:rPr>
        <w:t xml:space="preserve"> apie inkstų nepakankamumo atvejus. </w:t>
      </w:r>
      <w:r w:rsidR="00E474D7">
        <w:rPr>
          <w:rFonts w:eastAsia="Calibri"/>
          <w:sz w:val="22"/>
          <w:szCs w:val="22"/>
        </w:rPr>
        <w:t>Turi būti apgalvotas inkstų funkcijos tikrinimas</w:t>
      </w:r>
      <w:r w:rsidRPr="00EF20DC">
        <w:rPr>
          <w:rFonts w:eastAsia="Calibri"/>
          <w:sz w:val="22"/>
          <w:szCs w:val="22"/>
        </w:rPr>
        <w:t xml:space="preserve">. </w:t>
      </w:r>
    </w:p>
    <w:p w14:paraId="7B459886" w14:textId="77777777" w:rsidR="00EF20DC" w:rsidRPr="00EF20DC" w:rsidRDefault="00EF20DC" w:rsidP="001F1094">
      <w:pPr>
        <w:rPr>
          <w:rFonts w:eastAsia="Calibri"/>
          <w:sz w:val="22"/>
          <w:szCs w:val="22"/>
        </w:rPr>
      </w:pPr>
    </w:p>
    <w:p w14:paraId="37F957F9" w14:textId="77777777" w:rsidR="00EF20DC" w:rsidRPr="00EF20DC" w:rsidRDefault="00EF20DC" w:rsidP="001F1094">
      <w:pPr>
        <w:rPr>
          <w:rFonts w:eastAsia="SimSun"/>
          <w:sz w:val="22"/>
          <w:szCs w:val="22"/>
          <w:u w:val="single"/>
          <w:lang w:eastAsia="zh-CN"/>
        </w:rPr>
      </w:pPr>
      <w:r w:rsidRPr="00EF20DC">
        <w:rPr>
          <w:rFonts w:eastAsia="SimSun"/>
          <w:sz w:val="22"/>
          <w:szCs w:val="22"/>
          <w:u w:val="single"/>
          <w:lang w:eastAsia="zh-CN"/>
        </w:rPr>
        <w:t>Vaist</w:t>
      </w:r>
      <w:r w:rsidR="00E474D7">
        <w:rPr>
          <w:rFonts w:eastAsia="SimSun"/>
          <w:sz w:val="22"/>
          <w:szCs w:val="22"/>
          <w:u w:val="single"/>
          <w:lang w:eastAsia="zh-CN"/>
        </w:rPr>
        <w:t>inių preparatų tarpusavio sąveika</w:t>
      </w:r>
    </w:p>
    <w:p w14:paraId="73B0B8B5" w14:textId="77777777" w:rsidR="00EF20DC" w:rsidRPr="00EF20DC" w:rsidRDefault="00EF20DC" w:rsidP="001F1094">
      <w:pPr>
        <w:rPr>
          <w:rFonts w:eastAsia="Calibri"/>
          <w:sz w:val="22"/>
          <w:szCs w:val="22"/>
        </w:rPr>
      </w:pPr>
    </w:p>
    <w:p w14:paraId="5DAADC02" w14:textId="77777777" w:rsidR="00EF20DC" w:rsidRPr="00EF20DC" w:rsidRDefault="00EF20DC" w:rsidP="001F1094">
      <w:pPr>
        <w:rPr>
          <w:rFonts w:eastAsia="Calibri"/>
          <w:sz w:val="22"/>
          <w:szCs w:val="22"/>
        </w:rPr>
      </w:pPr>
      <w:r w:rsidRPr="00EF20DC">
        <w:rPr>
          <w:rFonts w:eastAsia="Calibri"/>
          <w:sz w:val="22"/>
          <w:szCs w:val="22"/>
        </w:rPr>
        <w:t>Sorafenib</w:t>
      </w:r>
      <w:r w:rsidR="00E474D7">
        <w:rPr>
          <w:rFonts w:eastAsia="Calibri"/>
          <w:sz w:val="22"/>
          <w:szCs w:val="22"/>
        </w:rPr>
        <w:t>o vartojant kartu su kitomis veikliosiomis medžiagomis, kurios</w:t>
      </w:r>
      <w:r w:rsidRPr="00EF20DC">
        <w:rPr>
          <w:rFonts w:eastAsia="Calibri"/>
          <w:sz w:val="22"/>
          <w:szCs w:val="22"/>
        </w:rPr>
        <w:t xml:space="preserve"> metabolizuojam</w:t>
      </w:r>
      <w:r w:rsidR="00E474D7">
        <w:rPr>
          <w:rFonts w:eastAsia="Calibri"/>
          <w:sz w:val="22"/>
          <w:szCs w:val="22"/>
        </w:rPr>
        <w:t>os</w:t>
      </w:r>
      <w:r w:rsidRPr="00EF20DC">
        <w:rPr>
          <w:rFonts w:eastAsia="Calibri"/>
          <w:sz w:val="22"/>
          <w:szCs w:val="22"/>
        </w:rPr>
        <w:t xml:space="preserve"> arba eliminuojam</w:t>
      </w:r>
      <w:r w:rsidR="00E474D7">
        <w:rPr>
          <w:rFonts w:eastAsia="Calibri"/>
          <w:sz w:val="22"/>
          <w:szCs w:val="22"/>
        </w:rPr>
        <w:t>os</w:t>
      </w:r>
      <w:r w:rsidRPr="00EF20DC">
        <w:rPr>
          <w:rFonts w:eastAsia="Calibri"/>
          <w:sz w:val="22"/>
          <w:szCs w:val="22"/>
        </w:rPr>
        <w:t xml:space="preserve"> daugiausiai veikiant UGT 1A1 (pvz., irinotekanu) arba UGT 1A9 fermentams, </w:t>
      </w:r>
      <w:r w:rsidR="00E474D7">
        <w:rPr>
          <w:rFonts w:eastAsia="Calibri"/>
          <w:sz w:val="22"/>
          <w:szCs w:val="22"/>
        </w:rPr>
        <w:t>rekomenduojama laikytis atsargumo</w:t>
      </w:r>
      <w:r w:rsidRPr="00EF20DC">
        <w:rPr>
          <w:rFonts w:eastAsia="Calibri"/>
          <w:sz w:val="22"/>
          <w:szCs w:val="22"/>
        </w:rPr>
        <w:t xml:space="preserve"> (žr. 4.5 skyrių). </w:t>
      </w:r>
    </w:p>
    <w:p w14:paraId="7EC71410" w14:textId="77777777" w:rsidR="00EF20DC" w:rsidRPr="00EF20DC" w:rsidRDefault="00EF20DC" w:rsidP="001F1094">
      <w:pPr>
        <w:rPr>
          <w:rFonts w:eastAsia="Calibri"/>
          <w:sz w:val="22"/>
          <w:szCs w:val="22"/>
        </w:rPr>
      </w:pPr>
    </w:p>
    <w:p w14:paraId="365993C3" w14:textId="5E7F6FA6" w:rsidR="00EF20DC" w:rsidRPr="00EF20DC" w:rsidRDefault="00EF20DC" w:rsidP="001F1094">
      <w:pPr>
        <w:rPr>
          <w:rFonts w:eastAsia="Calibri"/>
          <w:sz w:val="22"/>
          <w:szCs w:val="22"/>
        </w:rPr>
      </w:pPr>
      <w:r w:rsidRPr="00EF20DC">
        <w:rPr>
          <w:rFonts w:eastAsia="Calibri"/>
          <w:sz w:val="22"/>
          <w:szCs w:val="22"/>
        </w:rPr>
        <w:t>Sorafenib</w:t>
      </w:r>
      <w:r w:rsidR="00DD1815">
        <w:rPr>
          <w:rFonts w:eastAsia="Calibri"/>
          <w:sz w:val="22"/>
          <w:szCs w:val="22"/>
        </w:rPr>
        <w:t>o vartojant</w:t>
      </w:r>
      <w:r w:rsidRPr="00EF20DC">
        <w:rPr>
          <w:rFonts w:eastAsia="Calibri"/>
          <w:sz w:val="22"/>
          <w:szCs w:val="22"/>
        </w:rPr>
        <w:t xml:space="preserve"> kartu su docetakseliu re</w:t>
      </w:r>
      <w:r w:rsidR="00B745DD">
        <w:rPr>
          <w:rFonts w:eastAsia="Calibri"/>
          <w:sz w:val="22"/>
          <w:szCs w:val="22"/>
        </w:rPr>
        <w:t>komenduojama</w:t>
      </w:r>
      <w:r w:rsidRPr="00EF20DC">
        <w:rPr>
          <w:rFonts w:eastAsia="Calibri"/>
          <w:sz w:val="22"/>
          <w:szCs w:val="22"/>
        </w:rPr>
        <w:t xml:space="preserve"> </w:t>
      </w:r>
      <w:r w:rsidR="00DD1815">
        <w:rPr>
          <w:rFonts w:eastAsia="Calibri"/>
          <w:sz w:val="22"/>
          <w:szCs w:val="22"/>
        </w:rPr>
        <w:t>laikytis atsargumo</w:t>
      </w:r>
      <w:r w:rsidRPr="00EF20DC">
        <w:rPr>
          <w:rFonts w:eastAsia="Calibri"/>
          <w:sz w:val="22"/>
          <w:szCs w:val="22"/>
        </w:rPr>
        <w:t xml:space="preserve"> (žr. 4.5 skyrių). </w:t>
      </w:r>
    </w:p>
    <w:p w14:paraId="258673B0" w14:textId="77777777" w:rsidR="00EF20DC" w:rsidRPr="00EF20DC" w:rsidRDefault="00EF20DC" w:rsidP="001F1094">
      <w:pPr>
        <w:rPr>
          <w:rFonts w:eastAsia="Calibri"/>
          <w:sz w:val="22"/>
          <w:szCs w:val="22"/>
        </w:rPr>
      </w:pPr>
    </w:p>
    <w:p w14:paraId="3210E43B" w14:textId="03921409" w:rsidR="00EF20DC" w:rsidRPr="00EF20DC" w:rsidRDefault="00EF20DC" w:rsidP="001F1094">
      <w:pPr>
        <w:rPr>
          <w:rFonts w:eastAsia="Calibri"/>
          <w:sz w:val="22"/>
          <w:szCs w:val="22"/>
        </w:rPr>
      </w:pPr>
      <w:r w:rsidRPr="008903E0">
        <w:rPr>
          <w:rFonts w:eastAsia="Calibri"/>
          <w:sz w:val="22"/>
          <w:szCs w:val="22"/>
        </w:rPr>
        <w:t>Kartu vartojant neomicin</w:t>
      </w:r>
      <w:r w:rsidR="00C1437D" w:rsidRPr="008903E0">
        <w:rPr>
          <w:rFonts w:eastAsia="Calibri"/>
          <w:sz w:val="22"/>
          <w:szCs w:val="22"/>
        </w:rPr>
        <w:t>o</w:t>
      </w:r>
      <w:r w:rsidRPr="008903E0">
        <w:rPr>
          <w:rFonts w:eastAsia="Calibri"/>
          <w:sz w:val="22"/>
          <w:szCs w:val="22"/>
        </w:rPr>
        <w:t xml:space="preserve"> ar kit</w:t>
      </w:r>
      <w:r w:rsidR="00C1437D" w:rsidRPr="008903E0">
        <w:rPr>
          <w:rFonts w:eastAsia="Calibri"/>
          <w:sz w:val="22"/>
          <w:szCs w:val="22"/>
        </w:rPr>
        <w:t>ų</w:t>
      </w:r>
      <w:r w:rsidRPr="008903E0">
        <w:rPr>
          <w:rFonts w:eastAsia="Calibri"/>
          <w:sz w:val="22"/>
          <w:szCs w:val="22"/>
        </w:rPr>
        <w:t xml:space="preserve"> antibiotik</w:t>
      </w:r>
      <w:r w:rsidR="00C1437D" w:rsidRPr="008903E0">
        <w:rPr>
          <w:rFonts w:eastAsia="Calibri"/>
          <w:sz w:val="22"/>
          <w:szCs w:val="22"/>
        </w:rPr>
        <w:t>ų</w:t>
      </w:r>
      <w:r w:rsidRPr="008903E0">
        <w:rPr>
          <w:rFonts w:eastAsia="Calibri"/>
          <w:sz w:val="22"/>
          <w:szCs w:val="22"/>
        </w:rPr>
        <w:t>, kurie sukelia dide</w:t>
      </w:r>
      <w:r w:rsidR="00C1437D" w:rsidRPr="008903E0">
        <w:rPr>
          <w:rFonts w:eastAsia="Calibri"/>
          <w:sz w:val="22"/>
          <w:szCs w:val="22"/>
        </w:rPr>
        <w:t>snius</w:t>
      </w:r>
      <w:r w:rsidRPr="008903E0">
        <w:rPr>
          <w:rFonts w:eastAsia="Calibri"/>
          <w:sz w:val="22"/>
          <w:szCs w:val="22"/>
        </w:rPr>
        <w:t xml:space="preserve"> virškinimo trakto mikrofloros sutrikimus, gali sumažėti sorafenibo </w:t>
      </w:r>
      <w:r w:rsidR="00672A1E" w:rsidRPr="00672A1E">
        <w:rPr>
          <w:rFonts w:eastAsia="Calibri"/>
          <w:sz w:val="22"/>
          <w:szCs w:val="22"/>
        </w:rPr>
        <w:t>biologinis prieinamumas</w:t>
      </w:r>
      <w:r w:rsidR="00672A1E" w:rsidRPr="00672A1E" w:rsidDel="00672A1E">
        <w:rPr>
          <w:rFonts w:eastAsia="Calibri"/>
          <w:sz w:val="22"/>
          <w:szCs w:val="22"/>
        </w:rPr>
        <w:t xml:space="preserve"> </w:t>
      </w:r>
      <w:r w:rsidRPr="008903E0">
        <w:rPr>
          <w:rFonts w:eastAsia="Calibri"/>
          <w:sz w:val="22"/>
          <w:szCs w:val="22"/>
        </w:rPr>
        <w:t xml:space="preserve">(žr. 4.5 skyrių). Prieš pradedant gydymo kursą antibiotikais </w:t>
      </w:r>
      <w:r w:rsidR="00C1437D" w:rsidRPr="008903E0">
        <w:rPr>
          <w:rFonts w:eastAsia="Calibri"/>
          <w:sz w:val="22"/>
          <w:szCs w:val="22"/>
        </w:rPr>
        <w:t>turi būti atsižvelgta į</w:t>
      </w:r>
      <w:r w:rsidRPr="008903E0">
        <w:rPr>
          <w:rFonts w:eastAsia="Calibri"/>
          <w:sz w:val="22"/>
          <w:szCs w:val="22"/>
        </w:rPr>
        <w:t xml:space="preserve"> sorafenibo koncentracij</w:t>
      </w:r>
      <w:r w:rsidR="00C1437D" w:rsidRPr="008903E0">
        <w:rPr>
          <w:rFonts w:eastAsia="Calibri"/>
          <w:sz w:val="22"/>
          <w:szCs w:val="22"/>
        </w:rPr>
        <w:t>ų</w:t>
      </w:r>
      <w:r w:rsidRPr="008903E0">
        <w:rPr>
          <w:rFonts w:eastAsia="Calibri"/>
          <w:sz w:val="22"/>
          <w:szCs w:val="22"/>
        </w:rPr>
        <w:t xml:space="preserve"> krauj</w:t>
      </w:r>
      <w:r w:rsidR="00C1437D" w:rsidRPr="008903E0">
        <w:rPr>
          <w:rFonts w:eastAsia="Calibri"/>
          <w:sz w:val="22"/>
          <w:szCs w:val="22"/>
        </w:rPr>
        <w:t xml:space="preserve">o plazmoje </w:t>
      </w:r>
      <w:r w:rsidRPr="008903E0">
        <w:rPr>
          <w:rFonts w:eastAsia="Calibri"/>
          <w:sz w:val="22"/>
          <w:szCs w:val="22"/>
        </w:rPr>
        <w:t>sumažėjimo riziką.</w:t>
      </w:r>
    </w:p>
    <w:p w14:paraId="4D10753D" w14:textId="77777777" w:rsidR="00EF20DC" w:rsidRPr="00EF20DC" w:rsidRDefault="00EF20DC" w:rsidP="001F1094">
      <w:pPr>
        <w:rPr>
          <w:rFonts w:eastAsia="Calibri"/>
          <w:sz w:val="22"/>
          <w:szCs w:val="22"/>
        </w:rPr>
      </w:pPr>
    </w:p>
    <w:p w14:paraId="0B6E7BC8" w14:textId="04297FA3" w:rsidR="00EF20DC" w:rsidRPr="00EF20DC" w:rsidRDefault="00EF20DC" w:rsidP="001F1094">
      <w:pPr>
        <w:rPr>
          <w:rFonts w:eastAsia="Calibri"/>
          <w:sz w:val="22"/>
          <w:szCs w:val="22"/>
        </w:rPr>
      </w:pPr>
      <w:r w:rsidRPr="00EF20DC">
        <w:rPr>
          <w:rFonts w:eastAsia="Calibri"/>
          <w:sz w:val="22"/>
          <w:szCs w:val="22"/>
        </w:rPr>
        <w:t xml:space="preserve">Plokščialąsteliniu plaučių vėžiu sergantiems pacientams, </w:t>
      </w:r>
      <w:r w:rsidR="009F2A59">
        <w:rPr>
          <w:rFonts w:eastAsia="Calibri"/>
          <w:sz w:val="22"/>
          <w:szCs w:val="22"/>
        </w:rPr>
        <w:t>kuriems taikytas gyd</w:t>
      </w:r>
      <w:r w:rsidR="003C64E6">
        <w:rPr>
          <w:rFonts w:eastAsia="Calibri"/>
          <w:sz w:val="22"/>
          <w:szCs w:val="22"/>
        </w:rPr>
        <w:t>y</w:t>
      </w:r>
      <w:r w:rsidR="009F2A59">
        <w:rPr>
          <w:rFonts w:eastAsia="Calibri"/>
          <w:sz w:val="22"/>
          <w:szCs w:val="22"/>
        </w:rPr>
        <w:t>mas</w:t>
      </w:r>
      <w:r w:rsidRPr="00EF20DC">
        <w:rPr>
          <w:rFonts w:eastAsia="Calibri"/>
          <w:sz w:val="22"/>
          <w:szCs w:val="22"/>
        </w:rPr>
        <w:t xml:space="preserve"> sorafenib</w:t>
      </w:r>
      <w:r w:rsidR="00A101DE">
        <w:rPr>
          <w:rFonts w:eastAsia="Calibri"/>
          <w:sz w:val="22"/>
          <w:szCs w:val="22"/>
        </w:rPr>
        <w:t>o</w:t>
      </w:r>
      <w:r w:rsidRPr="00EF20DC">
        <w:rPr>
          <w:rFonts w:eastAsia="Calibri"/>
          <w:sz w:val="22"/>
          <w:szCs w:val="22"/>
        </w:rPr>
        <w:t xml:space="preserve"> </w:t>
      </w:r>
      <w:r w:rsidR="005E3464">
        <w:rPr>
          <w:rFonts w:eastAsia="Calibri"/>
          <w:sz w:val="22"/>
          <w:szCs w:val="22"/>
        </w:rPr>
        <w:t>ir</w:t>
      </w:r>
      <w:r w:rsidR="005E3464" w:rsidRPr="00EF20DC">
        <w:rPr>
          <w:rFonts w:eastAsia="Calibri"/>
          <w:sz w:val="22"/>
          <w:szCs w:val="22"/>
        </w:rPr>
        <w:t xml:space="preserve"> </w:t>
      </w:r>
      <w:r w:rsidRPr="00EF20DC">
        <w:rPr>
          <w:rFonts w:eastAsia="Calibri"/>
          <w:sz w:val="22"/>
          <w:szCs w:val="22"/>
        </w:rPr>
        <w:t>chemoterapij</w:t>
      </w:r>
      <w:r w:rsidR="005E3464">
        <w:rPr>
          <w:rFonts w:eastAsia="Calibri"/>
          <w:sz w:val="22"/>
          <w:szCs w:val="22"/>
        </w:rPr>
        <w:t>os deriniu</w:t>
      </w:r>
      <w:r w:rsidRPr="00EF20DC">
        <w:rPr>
          <w:rFonts w:eastAsia="Calibri"/>
          <w:sz w:val="22"/>
          <w:szCs w:val="22"/>
        </w:rPr>
        <w:t>, kurios pagrind</w:t>
      </w:r>
      <w:r w:rsidR="009F2A59">
        <w:rPr>
          <w:rFonts w:eastAsia="Calibri"/>
          <w:sz w:val="22"/>
          <w:szCs w:val="22"/>
        </w:rPr>
        <w:t>as</w:t>
      </w:r>
      <w:r w:rsidRPr="00EF20DC">
        <w:rPr>
          <w:rFonts w:eastAsia="Calibri"/>
          <w:sz w:val="22"/>
          <w:szCs w:val="22"/>
        </w:rPr>
        <w:t xml:space="preserve"> platina, nustatytas didesnis mirtingumas. Dviejuose atsitiktinių imčių tyrimuose, kuriuose buvo tiriami nesmulkialąsteliniu plaučių vėžiu sergantys pacientai, plokščialąsteliniu plaučių vėžiu sergančiųjų pogrupyje sorafenibą vartojant kaip papildomą </w:t>
      </w:r>
      <w:r w:rsidR="00093A3D">
        <w:rPr>
          <w:rFonts w:eastAsia="Calibri"/>
          <w:sz w:val="22"/>
          <w:szCs w:val="22"/>
        </w:rPr>
        <w:t xml:space="preserve">vaistinį </w:t>
      </w:r>
      <w:r w:rsidRPr="00EF20DC">
        <w:rPr>
          <w:rFonts w:eastAsia="Calibri"/>
          <w:sz w:val="22"/>
          <w:szCs w:val="22"/>
        </w:rPr>
        <w:t xml:space="preserve">preparatą </w:t>
      </w:r>
      <w:r w:rsidR="009F2A59" w:rsidRPr="005E3464">
        <w:rPr>
          <w:rFonts w:eastAsia="Calibri"/>
          <w:sz w:val="22"/>
          <w:szCs w:val="22"/>
        </w:rPr>
        <w:t>derin</w:t>
      </w:r>
      <w:r w:rsidR="005E3464">
        <w:rPr>
          <w:rFonts w:eastAsia="Calibri"/>
          <w:sz w:val="22"/>
          <w:szCs w:val="22"/>
        </w:rPr>
        <w:t>ant</w:t>
      </w:r>
      <w:r w:rsidRPr="00EF20DC">
        <w:rPr>
          <w:rFonts w:eastAsia="Calibri"/>
          <w:sz w:val="22"/>
          <w:szCs w:val="22"/>
        </w:rPr>
        <w:t xml:space="preserve"> su paklitakseliu/karboplatina, nustatytas bendrojo išgyvenamumo RS buvo 1,81 (95 % PI 1,19; 2,74), o vartojant kaip papildomą </w:t>
      </w:r>
      <w:r w:rsidR="009F2A59">
        <w:rPr>
          <w:rFonts w:eastAsia="Calibri"/>
          <w:sz w:val="22"/>
          <w:szCs w:val="22"/>
        </w:rPr>
        <w:t xml:space="preserve">vaistinį </w:t>
      </w:r>
      <w:r w:rsidRPr="00EF20DC">
        <w:rPr>
          <w:rFonts w:eastAsia="Calibri"/>
          <w:sz w:val="22"/>
          <w:szCs w:val="22"/>
        </w:rPr>
        <w:t xml:space="preserve">preparatą </w:t>
      </w:r>
      <w:r w:rsidR="009F2A59" w:rsidRPr="003864F9">
        <w:rPr>
          <w:rFonts w:eastAsia="Calibri"/>
          <w:sz w:val="22"/>
          <w:szCs w:val="22"/>
        </w:rPr>
        <w:t>derin</w:t>
      </w:r>
      <w:r w:rsidR="005E3464" w:rsidRPr="003864F9">
        <w:rPr>
          <w:rFonts w:eastAsia="Calibri"/>
          <w:sz w:val="22"/>
          <w:szCs w:val="22"/>
        </w:rPr>
        <w:t>ant</w:t>
      </w:r>
      <w:r w:rsidRPr="00EF20DC">
        <w:rPr>
          <w:rFonts w:eastAsia="Calibri"/>
          <w:sz w:val="22"/>
          <w:szCs w:val="22"/>
        </w:rPr>
        <w:t xml:space="preserve"> su gemcitabinu/cisplatina – 1,22 (95 % PI 0,82; 1,80). Vienos vyraujančios mirties priežasties nebuvo, tačiau pacientams, gydytiems sorafenibu kaip papildomu </w:t>
      </w:r>
      <w:r w:rsidR="009F2A59">
        <w:rPr>
          <w:rFonts w:eastAsia="Calibri"/>
          <w:sz w:val="22"/>
          <w:szCs w:val="22"/>
        </w:rPr>
        <w:t xml:space="preserve">vaistiniu </w:t>
      </w:r>
      <w:r w:rsidRPr="00EF20DC">
        <w:rPr>
          <w:rFonts w:eastAsia="Calibri"/>
          <w:sz w:val="22"/>
          <w:szCs w:val="22"/>
        </w:rPr>
        <w:t xml:space="preserve">preparatu </w:t>
      </w:r>
      <w:r w:rsidR="009F2A59" w:rsidRPr="003864F9">
        <w:rPr>
          <w:rFonts w:eastAsia="Calibri"/>
          <w:sz w:val="22"/>
          <w:szCs w:val="22"/>
        </w:rPr>
        <w:t>derin</w:t>
      </w:r>
      <w:r w:rsidR="005E3464" w:rsidRPr="003864F9">
        <w:rPr>
          <w:rFonts w:eastAsia="Calibri"/>
          <w:sz w:val="22"/>
          <w:szCs w:val="22"/>
        </w:rPr>
        <w:t>ant</w:t>
      </w:r>
      <w:r w:rsidRPr="00EF20DC">
        <w:rPr>
          <w:rFonts w:eastAsia="Calibri"/>
          <w:sz w:val="22"/>
          <w:szCs w:val="22"/>
        </w:rPr>
        <w:t xml:space="preserve"> su chemoterapija platinos pagrindu, nustatytas didesnis kvėpavimo nepakankamumo, hemoragijų ir infekcinių </w:t>
      </w:r>
      <w:r w:rsidR="009F2A59">
        <w:rPr>
          <w:rFonts w:eastAsia="Calibri"/>
          <w:sz w:val="22"/>
          <w:szCs w:val="22"/>
        </w:rPr>
        <w:t>nepageidaujamų</w:t>
      </w:r>
      <w:r w:rsidRPr="00EF20DC">
        <w:rPr>
          <w:rFonts w:eastAsia="Calibri"/>
          <w:sz w:val="22"/>
          <w:szCs w:val="22"/>
        </w:rPr>
        <w:t xml:space="preserve"> reiškinių dažnis. </w:t>
      </w:r>
    </w:p>
    <w:p w14:paraId="288F5A3C" w14:textId="77777777" w:rsidR="00EF20DC" w:rsidRPr="00EF20DC" w:rsidRDefault="00EF20DC" w:rsidP="001F1094">
      <w:pPr>
        <w:rPr>
          <w:rFonts w:eastAsia="Calibri"/>
          <w:sz w:val="22"/>
          <w:szCs w:val="22"/>
        </w:rPr>
      </w:pPr>
    </w:p>
    <w:p w14:paraId="1E857A94" w14:textId="77777777" w:rsidR="00EF20DC" w:rsidRPr="00EF20DC" w:rsidRDefault="009F2A59" w:rsidP="001F1094">
      <w:pPr>
        <w:rPr>
          <w:rFonts w:eastAsia="Calibri"/>
          <w:sz w:val="22"/>
          <w:szCs w:val="22"/>
          <w:u w:val="single"/>
        </w:rPr>
      </w:pPr>
      <w:r>
        <w:rPr>
          <w:rFonts w:eastAsia="Calibri"/>
          <w:sz w:val="22"/>
          <w:szCs w:val="22"/>
          <w:u w:val="single"/>
        </w:rPr>
        <w:t>Ligai specifiški</w:t>
      </w:r>
      <w:r w:rsidR="00EF20DC" w:rsidRPr="00EF20DC">
        <w:rPr>
          <w:rFonts w:eastAsia="Calibri"/>
          <w:sz w:val="22"/>
          <w:szCs w:val="22"/>
          <w:u w:val="single"/>
        </w:rPr>
        <w:t xml:space="preserve"> įspėjimai </w:t>
      </w:r>
    </w:p>
    <w:p w14:paraId="01BC3DE3" w14:textId="77777777" w:rsidR="00EF20DC" w:rsidRDefault="00EF20DC" w:rsidP="001F1094">
      <w:pPr>
        <w:rPr>
          <w:rFonts w:eastAsia="Calibri"/>
          <w:sz w:val="22"/>
          <w:szCs w:val="22"/>
        </w:rPr>
      </w:pPr>
    </w:p>
    <w:p w14:paraId="7CFE082E" w14:textId="77777777" w:rsidR="001A230F" w:rsidRDefault="001A230F" w:rsidP="001A230F">
      <w:pPr>
        <w:rPr>
          <w:rFonts w:eastAsia="Calibri"/>
          <w:sz w:val="22"/>
          <w:szCs w:val="22"/>
        </w:rPr>
      </w:pPr>
    </w:p>
    <w:p w14:paraId="388CBD07" w14:textId="77777777" w:rsidR="001A230F" w:rsidRPr="006D4AC3" w:rsidRDefault="001A230F" w:rsidP="001A230F">
      <w:pPr>
        <w:rPr>
          <w:rFonts w:eastAsia="Calibri"/>
          <w:i/>
          <w:iCs/>
          <w:sz w:val="22"/>
          <w:szCs w:val="22"/>
          <w:u w:val="single"/>
        </w:rPr>
      </w:pPr>
      <w:r w:rsidRPr="006D4AC3">
        <w:rPr>
          <w:rFonts w:eastAsia="Calibri"/>
          <w:i/>
          <w:iCs/>
          <w:sz w:val="22"/>
          <w:szCs w:val="22"/>
          <w:u w:val="single"/>
        </w:rPr>
        <w:t>Diferencijuota skydliaukės karcinoma (DSK)</w:t>
      </w:r>
    </w:p>
    <w:p w14:paraId="0A3C9A2D" w14:textId="77777777" w:rsidR="001A230F" w:rsidRDefault="001A230F" w:rsidP="001A230F">
      <w:pPr>
        <w:rPr>
          <w:rFonts w:eastAsia="Calibri"/>
          <w:sz w:val="22"/>
          <w:szCs w:val="22"/>
        </w:rPr>
      </w:pPr>
    </w:p>
    <w:p w14:paraId="51F361A6" w14:textId="77EE7434" w:rsidR="001A230F" w:rsidRPr="00244AA6" w:rsidRDefault="001A230F" w:rsidP="001A230F">
      <w:pPr>
        <w:rPr>
          <w:rFonts w:eastAsia="Calibri"/>
          <w:sz w:val="22"/>
          <w:szCs w:val="22"/>
        </w:rPr>
      </w:pPr>
      <w:r w:rsidRPr="00244AA6">
        <w:rPr>
          <w:rFonts w:eastAsia="Calibri"/>
          <w:sz w:val="22"/>
          <w:szCs w:val="22"/>
        </w:rPr>
        <w:t>Prieš pradedant gydymą, gydytojams rekomenduojama atidžiai įvertinti prognozę individualiam</w:t>
      </w:r>
      <w:r>
        <w:rPr>
          <w:rFonts w:eastAsia="Calibri"/>
          <w:sz w:val="22"/>
          <w:szCs w:val="22"/>
        </w:rPr>
        <w:t xml:space="preserve"> </w:t>
      </w:r>
      <w:r w:rsidRPr="00244AA6">
        <w:rPr>
          <w:rFonts w:eastAsia="Calibri"/>
          <w:sz w:val="22"/>
          <w:szCs w:val="22"/>
        </w:rPr>
        <w:t>pacientui, atsižvelgiant į maksimalų pakitimo dydį (žr. 5.1</w:t>
      </w:r>
      <w:r w:rsidR="007015F1">
        <w:rPr>
          <w:rFonts w:eastAsia="Calibri"/>
          <w:sz w:val="22"/>
          <w:szCs w:val="22"/>
        </w:rPr>
        <w:t> </w:t>
      </w:r>
      <w:r w:rsidRPr="00244AA6">
        <w:rPr>
          <w:rFonts w:eastAsia="Calibri"/>
          <w:sz w:val="22"/>
          <w:szCs w:val="22"/>
        </w:rPr>
        <w:t>skyrių), simptomus, susijusius su liga</w:t>
      </w:r>
      <w:r>
        <w:rPr>
          <w:rFonts w:eastAsia="Calibri"/>
          <w:sz w:val="22"/>
          <w:szCs w:val="22"/>
        </w:rPr>
        <w:t xml:space="preserve"> </w:t>
      </w:r>
      <w:r w:rsidRPr="00244AA6">
        <w:rPr>
          <w:rFonts w:eastAsia="Calibri"/>
          <w:sz w:val="22"/>
          <w:szCs w:val="22"/>
        </w:rPr>
        <w:t>(žr. 5.1</w:t>
      </w:r>
      <w:r w:rsidR="007015F1">
        <w:rPr>
          <w:rFonts w:eastAsia="Calibri"/>
          <w:sz w:val="22"/>
          <w:szCs w:val="22"/>
        </w:rPr>
        <w:t> </w:t>
      </w:r>
      <w:r w:rsidRPr="00244AA6">
        <w:rPr>
          <w:rFonts w:eastAsia="Calibri"/>
          <w:sz w:val="22"/>
          <w:szCs w:val="22"/>
        </w:rPr>
        <w:t>skyrių), ir progresavimo greitį.</w:t>
      </w:r>
    </w:p>
    <w:p w14:paraId="00F60B14" w14:textId="77777777" w:rsidR="001A230F" w:rsidRDefault="001A230F" w:rsidP="001A230F">
      <w:pPr>
        <w:rPr>
          <w:rFonts w:eastAsia="Calibri"/>
          <w:sz w:val="22"/>
          <w:szCs w:val="22"/>
        </w:rPr>
      </w:pPr>
    </w:p>
    <w:p w14:paraId="7A13B5B6" w14:textId="11ECF23E" w:rsidR="001A230F" w:rsidRPr="00244AA6" w:rsidRDefault="001A230F" w:rsidP="001A230F">
      <w:pPr>
        <w:rPr>
          <w:rFonts w:eastAsia="Calibri"/>
          <w:sz w:val="22"/>
          <w:szCs w:val="22"/>
        </w:rPr>
      </w:pPr>
      <w:r w:rsidRPr="00244AA6">
        <w:rPr>
          <w:rFonts w:eastAsia="Calibri"/>
          <w:sz w:val="22"/>
          <w:szCs w:val="22"/>
        </w:rPr>
        <w:t>Įtariamoms nepageidaujamoms reakcijoms į vaist</w:t>
      </w:r>
      <w:r>
        <w:rPr>
          <w:rFonts w:eastAsia="Calibri"/>
          <w:sz w:val="22"/>
          <w:szCs w:val="22"/>
        </w:rPr>
        <w:t>inį preparatą</w:t>
      </w:r>
      <w:r w:rsidRPr="00244AA6">
        <w:rPr>
          <w:rFonts w:eastAsia="Calibri"/>
          <w:sz w:val="22"/>
          <w:szCs w:val="22"/>
        </w:rPr>
        <w:t xml:space="preserve"> kontroliuoti gali reikti laikinai nutraukti gydymą</w:t>
      </w:r>
      <w:r>
        <w:rPr>
          <w:rFonts w:eastAsia="Calibri"/>
          <w:sz w:val="22"/>
          <w:szCs w:val="22"/>
        </w:rPr>
        <w:t xml:space="preserve"> </w:t>
      </w:r>
      <w:r w:rsidRPr="00244AA6">
        <w:rPr>
          <w:rFonts w:eastAsia="Calibri"/>
          <w:sz w:val="22"/>
          <w:szCs w:val="22"/>
        </w:rPr>
        <w:t>sorafenibu arba sumažinti dozę. 5 tyrimo metu (žr. 5.1</w:t>
      </w:r>
      <w:r w:rsidR="007015F1">
        <w:rPr>
          <w:rFonts w:eastAsia="Calibri"/>
          <w:sz w:val="22"/>
          <w:szCs w:val="22"/>
        </w:rPr>
        <w:t> </w:t>
      </w:r>
      <w:r w:rsidRPr="00244AA6">
        <w:rPr>
          <w:rFonts w:eastAsia="Calibri"/>
          <w:sz w:val="22"/>
          <w:szCs w:val="22"/>
        </w:rPr>
        <w:t>skyrių) 37</w:t>
      </w:r>
      <w:r>
        <w:rPr>
          <w:rFonts w:eastAsia="Calibri"/>
          <w:sz w:val="22"/>
          <w:szCs w:val="22"/>
        </w:rPr>
        <w:t> </w:t>
      </w:r>
      <w:r w:rsidRPr="00244AA6">
        <w:rPr>
          <w:rFonts w:eastAsia="Calibri"/>
          <w:sz w:val="22"/>
          <w:szCs w:val="22"/>
        </w:rPr>
        <w:t>% tiriam</w:t>
      </w:r>
      <w:r>
        <w:rPr>
          <w:rFonts w:eastAsia="Calibri"/>
          <w:sz w:val="22"/>
          <w:szCs w:val="22"/>
        </w:rPr>
        <w:t>ųjų</w:t>
      </w:r>
      <w:r w:rsidRPr="00244AA6">
        <w:rPr>
          <w:rFonts w:eastAsia="Calibri"/>
          <w:sz w:val="22"/>
          <w:szCs w:val="22"/>
        </w:rPr>
        <w:t xml:space="preserve"> gydymas buvo</w:t>
      </w:r>
      <w:r>
        <w:rPr>
          <w:rFonts w:eastAsia="Calibri"/>
          <w:sz w:val="22"/>
          <w:szCs w:val="22"/>
        </w:rPr>
        <w:t xml:space="preserve"> </w:t>
      </w:r>
      <w:r w:rsidRPr="00244AA6">
        <w:rPr>
          <w:rFonts w:eastAsia="Calibri"/>
          <w:sz w:val="22"/>
          <w:szCs w:val="22"/>
        </w:rPr>
        <w:t>nutrauktas ir 35</w:t>
      </w:r>
      <w:r>
        <w:rPr>
          <w:rFonts w:eastAsia="Calibri"/>
          <w:sz w:val="22"/>
          <w:szCs w:val="22"/>
        </w:rPr>
        <w:t> </w:t>
      </w:r>
      <w:r w:rsidRPr="00244AA6">
        <w:rPr>
          <w:rFonts w:eastAsia="Calibri"/>
          <w:sz w:val="22"/>
          <w:szCs w:val="22"/>
        </w:rPr>
        <w:t>% dozė buvo sumažinta jau 1-ojo gydymo sorafenibu ciklo metu.</w:t>
      </w:r>
    </w:p>
    <w:p w14:paraId="612EF0D7" w14:textId="77777777" w:rsidR="001A230F" w:rsidRDefault="001A230F" w:rsidP="001A230F">
      <w:pPr>
        <w:rPr>
          <w:rFonts w:eastAsia="Calibri"/>
          <w:sz w:val="22"/>
          <w:szCs w:val="22"/>
        </w:rPr>
      </w:pPr>
    </w:p>
    <w:p w14:paraId="60DA58DF" w14:textId="77777777" w:rsidR="001A230F" w:rsidRPr="00244AA6" w:rsidRDefault="001A230F" w:rsidP="001A230F">
      <w:pPr>
        <w:rPr>
          <w:rFonts w:eastAsia="Calibri"/>
          <w:sz w:val="22"/>
          <w:szCs w:val="22"/>
        </w:rPr>
      </w:pPr>
      <w:r w:rsidRPr="00244AA6">
        <w:rPr>
          <w:rFonts w:eastAsia="Calibri"/>
          <w:sz w:val="22"/>
          <w:szCs w:val="22"/>
        </w:rPr>
        <w:t>Sumažinus dozę, palengvinti nepageidaujamas reakcijas pavyko tik iš dalies. Todėl rekomenduojama</w:t>
      </w:r>
      <w:r>
        <w:rPr>
          <w:rFonts w:eastAsia="Calibri"/>
          <w:sz w:val="22"/>
          <w:szCs w:val="22"/>
        </w:rPr>
        <w:t xml:space="preserve"> </w:t>
      </w:r>
      <w:r w:rsidRPr="00244AA6">
        <w:rPr>
          <w:rFonts w:eastAsia="Calibri"/>
          <w:sz w:val="22"/>
          <w:szCs w:val="22"/>
        </w:rPr>
        <w:t>pakartotinai įvertinti naudą ir riziką, atsižvelgiant į priešnavikinį aktyvumą ir toleravimą.</w:t>
      </w:r>
    </w:p>
    <w:p w14:paraId="33904B03" w14:textId="77777777" w:rsidR="001A230F" w:rsidRDefault="001A230F" w:rsidP="001A230F">
      <w:pPr>
        <w:rPr>
          <w:rFonts w:eastAsia="Calibri"/>
          <w:sz w:val="22"/>
          <w:szCs w:val="22"/>
        </w:rPr>
      </w:pPr>
    </w:p>
    <w:p w14:paraId="419A906D" w14:textId="77777777" w:rsidR="001A230F" w:rsidRPr="006D4AC3" w:rsidRDefault="001A230F" w:rsidP="001A230F">
      <w:pPr>
        <w:rPr>
          <w:rFonts w:eastAsia="Calibri"/>
          <w:i/>
          <w:iCs/>
          <w:sz w:val="22"/>
          <w:szCs w:val="22"/>
        </w:rPr>
      </w:pPr>
      <w:r w:rsidRPr="006D4AC3">
        <w:rPr>
          <w:rFonts w:eastAsia="Calibri"/>
          <w:i/>
          <w:iCs/>
          <w:sz w:val="22"/>
          <w:szCs w:val="22"/>
        </w:rPr>
        <w:t>Hemoragija, sergant DSK</w:t>
      </w:r>
    </w:p>
    <w:p w14:paraId="61A3735F" w14:textId="77777777" w:rsidR="001A230F" w:rsidRPr="00244AA6" w:rsidRDefault="001A230F" w:rsidP="001A230F">
      <w:pPr>
        <w:rPr>
          <w:rFonts w:eastAsia="Calibri"/>
          <w:sz w:val="22"/>
          <w:szCs w:val="22"/>
        </w:rPr>
      </w:pPr>
      <w:r w:rsidRPr="00244AA6">
        <w:rPr>
          <w:rFonts w:eastAsia="Calibri"/>
          <w:sz w:val="22"/>
          <w:szCs w:val="22"/>
        </w:rPr>
        <w:t>Dėl galimos kraujavimo rizikos, prieš skiriant sorafenibo DSK sergantiems pacientams, trachėjos,</w:t>
      </w:r>
      <w:r>
        <w:rPr>
          <w:rFonts w:eastAsia="Calibri"/>
          <w:sz w:val="22"/>
          <w:szCs w:val="22"/>
        </w:rPr>
        <w:t xml:space="preserve"> </w:t>
      </w:r>
      <w:r w:rsidRPr="00244AA6">
        <w:rPr>
          <w:rFonts w:eastAsia="Calibri"/>
          <w:sz w:val="22"/>
          <w:szCs w:val="22"/>
        </w:rPr>
        <w:t>bronchų ir stemplės infiltraciją reikia gydyti taikant lokalią terapiją.</w:t>
      </w:r>
    </w:p>
    <w:p w14:paraId="568DF22E" w14:textId="77777777" w:rsidR="001A230F" w:rsidRDefault="001A230F" w:rsidP="001A230F">
      <w:pPr>
        <w:rPr>
          <w:rFonts w:eastAsia="Calibri"/>
          <w:sz w:val="22"/>
          <w:szCs w:val="22"/>
        </w:rPr>
      </w:pPr>
    </w:p>
    <w:p w14:paraId="1E90B36B" w14:textId="77777777" w:rsidR="001A230F" w:rsidRPr="006D4AC3" w:rsidRDefault="001A230F" w:rsidP="001A230F">
      <w:pPr>
        <w:rPr>
          <w:rFonts w:eastAsia="Calibri"/>
          <w:i/>
          <w:iCs/>
          <w:sz w:val="22"/>
          <w:szCs w:val="22"/>
        </w:rPr>
      </w:pPr>
      <w:r w:rsidRPr="006D4AC3">
        <w:rPr>
          <w:rFonts w:eastAsia="Calibri"/>
          <w:i/>
          <w:iCs/>
          <w:sz w:val="22"/>
          <w:szCs w:val="22"/>
        </w:rPr>
        <w:t>Hipokalcemija, sergant DSK</w:t>
      </w:r>
    </w:p>
    <w:p w14:paraId="303FC825" w14:textId="4A15F809" w:rsidR="001A230F" w:rsidRPr="00244AA6" w:rsidRDefault="001A230F" w:rsidP="001A230F">
      <w:pPr>
        <w:rPr>
          <w:rFonts w:eastAsia="Calibri"/>
          <w:sz w:val="22"/>
          <w:szCs w:val="22"/>
        </w:rPr>
      </w:pPr>
      <w:r w:rsidRPr="00244AA6">
        <w:rPr>
          <w:rFonts w:eastAsia="Calibri"/>
          <w:sz w:val="22"/>
          <w:szCs w:val="22"/>
        </w:rPr>
        <w:t>Skiriant sorafenibo DSK sergantiems pacientams, rekomenduojama atidžiai stebėti kalcio kiekį</w:t>
      </w:r>
      <w:r>
        <w:rPr>
          <w:rFonts w:eastAsia="Calibri"/>
          <w:sz w:val="22"/>
          <w:szCs w:val="22"/>
        </w:rPr>
        <w:t xml:space="preserve"> </w:t>
      </w:r>
      <w:r w:rsidRPr="00244AA6">
        <w:rPr>
          <w:rFonts w:eastAsia="Calibri"/>
          <w:sz w:val="22"/>
          <w:szCs w:val="22"/>
        </w:rPr>
        <w:t>kraujyje. Klinikinių tyrimų metu hipokalcemija buvo dažnesnė ir sunkesnė pacientams, kuriems</w:t>
      </w:r>
      <w:r>
        <w:rPr>
          <w:rFonts w:eastAsia="Calibri"/>
          <w:sz w:val="22"/>
          <w:szCs w:val="22"/>
        </w:rPr>
        <w:t xml:space="preserve"> </w:t>
      </w:r>
      <w:r w:rsidRPr="00244AA6">
        <w:rPr>
          <w:rFonts w:eastAsia="Calibri"/>
          <w:sz w:val="22"/>
          <w:szCs w:val="22"/>
        </w:rPr>
        <w:t>nustatyta DSK, ypač kuriems anksčiau buvo pasireiškusi hipoparatireozė, palyginti su pacientais,</w:t>
      </w:r>
      <w:r>
        <w:rPr>
          <w:rFonts w:eastAsia="Calibri"/>
          <w:sz w:val="22"/>
          <w:szCs w:val="22"/>
        </w:rPr>
        <w:t xml:space="preserve"> </w:t>
      </w:r>
      <w:r w:rsidRPr="00244AA6">
        <w:rPr>
          <w:rFonts w:eastAsia="Calibri"/>
          <w:sz w:val="22"/>
          <w:szCs w:val="22"/>
        </w:rPr>
        <w:t>kuriems nustatyta inkstų ląstelių ar kepenų ląstelių karcinoma. 3 ir 4 laipsnio hipokalcemija pasireiškė</w:t>
      </w:r>
      <w:r>
        <w:rPr>
          <w:rFonts w:eastAsia="Calibri"/>
          <w:sz w:val="22"/>
          <w:szCs w:val="22"/>
        </w:rPr>
        <w:t xml:space="preserve"> </w:t>
      </w:r>
      <w:r w:rsidRPr="00244AA6">
        <w:rPr>
          <w:rFonts w:eastAsia="Calibri"/>
          <w:sz w:val="22"/>
          <w:szCs w:val="22"/>
        </w:rPr>
        <w:t>6,8</w:t>
      </w:r>
      <w:r>
        <w:rPr>
          <w:rFonts w:eastAsia="Calibri"/>
          <w:sz w:val="22"/>
          <w:szCs w:val="22"/>
        </w:rPr>
        <w:t> </w:t>
      </w:r>
      <w:r w:rsidRPr="00244AA6">
        <w:rPr>
          <w:rFonts w:eastAsia="Calibri"/>
          <w:sz w:val="22"/>
          <w:szCs w:val="22"/>
        </w:rPr>
        <w:t>% ir 3,4</w:t>
      </w:r>
      <w:r>
        <w:rPr>
          <w:rFonts w:eastAsia="Calibri"/>
          <w:sz w:val="22"/>
          <w:szCs w:val="22"/>
        </w:rPr>
        <w:t> </w:t>
      </w:r>
      <w:r w:rsidRPr="00244AA6">
        <w:rPr>
          <w:rFonts w:eastAsia="Calibri"/>
          <w:sz w:val="22"/>
          <w:szCs w:val="22"/>
        </w:rPr>
        <w:t>% sorafenibu gydytų pacientų, sergančių DSK (žr. 4.8</w:t>
      </w:r>
      <w:r w:rsidR="007015F1">
        <w:rPr>
          <w:rFonts w:eastAsia="Calibri"/>
          <w:sz w:val="22"/>
          <w:szCs w:val="22"/>
        </w:rPr>
        <w:t> </w:t>
      </w:r>
      <w:r w:rsidRPr="00244AA6">
        <w:rPr>
          <w:rFonts w:eastAsia="Calibri"/>
          <w:sz w:val="22"/>
          <w:szCs w:val="22"/>
        </w:rPr>
        <w:t>skyrių). Sunkią hipokalcemiją</w:t>
      </w:r>
      <w:r>
        <w:rPr>
          <w:rFonts w:eastAsia="Calibri"/>
          <w:sz w:val="22"/>
          <w:szCs w:val="22"/>
        </w:rPr>
        <w:t xml:space="preserve"> </w:t>
      </w:r>
      <w:r w:rsidRPr="00244AA6">
        <w:rPr>
          <w:rFonts w:eastAsia="Calibri"/>
          <w:sz w:val="22"/>
          <w:szCs w:val="22"/>
        </w:rPr>
        <w:t>reikia gydyti, kad būtų išvengta komplikacijų, pvz., QT pailgėjimo ar dvikryptės verpstinės skilvelinės</w:t>
      </w:r>
      <w:r>
        <w:rPr>
          <w:rFonts w:eastAsia="Calibri"/>
          <w:sz w:val="22"/>
          <w:szCs w:val="22"/>
        </w:rPr>
        <w:t xml:space="preserve"> </w:t>
      </w:r>
      <w:r w:rsidRPr="00244AA6">
        <w:rPr>
          <w:rFonts w:eastAsia="Calibri"/>
          <w:sz w:val="22"/>
          <w:szCs w:val="22"/>
        </w:rPr>
        <w:t>paroksizminės tachikardijos (</w:t>
      </w:r>
      <w:r w:rsidRPr="00E71EED">
        <w:rPr>
          <w:rFonts w:eastAsia="Calibri"/>
          <w:i/>
          <w:iCs/>
          <w:sz w:val="22"/>
          <w:szCs w:val="22"/>
        </w:rPr>
        <w:t>torsade de pointes</w:t>
      </w:r>
      <w:r w:rsidRPr="00244AA6">
        <w:rPr>
          <w:rFonts w:eastAsia="Calibri"/>
          <w:sz w:val="22"/>
          <w:szCs w:val="22"/>
        </w:rPr>
        <w:t>) (žr. skirsnį „QT intervalo pailgėjimas“).</w:t>
      </w:r>
    </w:p>
    <w:p w14:paraId="19EDF6BB" w14:textId="77777777" w:rsidR="001A230F" w:rsidRDefault="001A230F" w:rsidP="001A230F">
      <w:pPr>
        <w:rPr>
          <w:rFonts w:eastAsia="Calibri"/>
          <w:i/>
          <w:iCs/>
          <w:sz w:val="22"/>
          <w:szCs w:val="22"/>
        </w:rPr>
      </w:pPr>
    </w:p>
    <w:p w14:paraId="591F1BC1" w14:textId="77777777" w:rsidR="001A230F" w:rsidRPr="006D4AC3" w:rsidRDefault="001A230F" w:rsidP="001A230F">
      <w:pPr>
        <w:rPr>
          <w:rFonts w:eastAsia="Calibri"/>
          <w:i/>
          <w:iCs/>
          <w:sz w:val="22"/>
          <w:szCs w:val="22"/>
        </w:rPr>
      </w:pPr>
      <w:r w:rsidRPr="006D4AC3">
        <w:rPr>
          <w:rFonts w:eastAsia="Calibri"/>
          <w:i/>
          <w:iCs/>
          <w:sz w:val="22"/>
          <w:szCs w:val="22"/>
        </w:rPr>
        <w:t>Skydliaukę stimuliuojančio hormono (TTH) slopinimas sergant DSK</w:t>
      </w:r>
    </w:p>
    <w:p w14:paraId="1978A151" w14:textId="47D93DFF" w:rsidR="001A230F" w:rsidRDefault="001A230F" w:rsidP="001A230F">
      <w:pPr>
        <w:rPr>
          <w:rFonts w:eastAsia="Calibri"/>
          <w:sz w:val="22"/>
          <w:szCs w:val="22"/>
        </w:rPr>
      </w:pPr>
      <w:r w:rsidRPr="00244AA6">
        <w:rPr>
          <w:rFonts w:eastAsia="Calibri"/>
          <w:sz w:val="22"/>
          <w:szCs w:val="22"/>
        </w:rPr>
        <w:t>5 tyrimo metu (žr. 5.1</w:t>
      </w:r>
      <w:r w:rsidR="007015F1">
        <w:rPr>
          <w:rFonts w:eastAsia="Calibri"/>
          <w:sz w:val="22"/>
          <w:szCs w:val="22"/>
        </w:rPr>
        <w:t> </w:t>
      </w:r>
      <w:r w:rsidRPr="00244AA6">
        <w:rPr>
          <w:rFonts w:eastAsia="Calibri"/>
          <w:sz w:val="22"/>
          <w:szCs w:val="22"/>
        </w:rPr>
        <w:t>skyrių) sorafenibu gydytiems pacientams nustatytas TTH koncentracijos</w:t>
      </w:r>
      <w:r>
        <w:rPr>
          <w:rFonts w:eastAsia="Calibri"/>
          <w:sz w:val="22"/>
          <w:szCs w:val="22"/>
        </w:rPr>
        <w:t xml:space="preserve"> </w:t>
      </w:r>
      <w:r w:rsidRPr="00244AA6">
        <w:rPr>
          <w:rFonts w:eastAsia="Calibri"/>
          <w:sz w:val="22"/>
          <w:szCs w:val="22"/>
        </w:rPr>
        <w:t>padidėjimas iki daugiau kaip 0,5</w:t>
      </w:r>
      <w:r>
        <w:rPr>
          <w:rFonts w:eastAsia="Calibri"/>
          <w:sz w:val="22"/>
          <w:szCs w:val="22"/>
        </w:rPr>
        <w:t> </w:t>
      </w:r>
      <w:r w:rsidRPr="00244AA6">
        <w:rPr>
          <w:rFonts w:eastAsia="Calibri"/>
          <w:sz w:val="22"/>
          <w:szCs w:val="22"/>
        </w:rPr>
        <w:t>mU/l. Skiriant sorafenibo DSK sergantiems pacientams,</w:t>
      </w:r>
      <w:r>
        <w:rPr>
          <w:rFonts w:eastAsia="Calibri"/>
          <w:sz w:val="22"/>
          <w:szCs w:val="22"/>
        </w:rPr>
        <w:t xml:space="preserve"> </w:t>
      </w:r>
      <w:r w:rsidRPr="00244AA6">
        <w:rPr>
          <w:rFonts w:eastAsia="Calibri"/>
          <w:sz w:val="22"/>
          <w:szCs w:val="22"/>
        </w:rPr>
        <w:t>rekomenduojama atidžiai stebėti TTH koncentraciją kraujyje</w:t>
      </w:r>
      <w:r>
        <w:rPr>
          <w:rFonts w:eastAsia="Calibri"/>
          <w:sz w:val="22"/>
          <w:szCs w:val="22"/>
        </w:rPr>
        <w:t>.</w:t>
      </w:r>
    </w:p>
    <w:p w14:paraId="4BBB4D79" w14:textId="77777777" w:rsidR="001A230F" w:rsidRPr="00EF20DC" w:rsidRDefault="001A230F" w:rsidP="001F1094">
      <w:pPr>
        <w:rPr>
          <w:rFonts w:eastAsia="Calibri"/>
          <w:sz w:val="22"/>
          <w:szCs w:val="22"/>
        </w:rPr>
      </w:pPr>
    </w:p>
    <w:p w14:paraId="2D9ED0D5" w14:textId="77777777" w:rsidR="00EF20DC" w:rsidRPr="00EF20DC" w:rsidRDefault="00EF20DC" w:rsidP="001F1094">
      <w:pPr>
        <w:rPr>
          <w:rFonts w:eastAsia="Calibri"/>
          <w:i/>
          <w:sz w:val="22"/>
          <w:szCs w:val="22"/>
        </w:rPr>
      </w:pPr>
      <w:r w:rsidRPr="00EF20DC">
        <w:rPr>
          <w:rFonts w:eastAsia="Calibri"/>
          <w:i/>
          <w:sz w:val="22"/>
          <w:szCs w:val="22"/>
        </w:rPr>
        <w:t xml:space="preserve">Inkstų ląstelių karcinoma </w:t>
      </w:r>
    </w:p>
    <w:p w14:paraId="40BE4B08" w14:textId="742C3979" w:rsidR="00EF20DC" w:rsidRPr="00EF20DC" w:rsidRDefault="00EF20DC" w:rsidP="001F1094">
      <w:pPr>
        <w:rPr>
          <w:rFonts w:eastAsia="Calibri"/>
          <w:sz w:val="22"/>
          <w:szCs w:val="22"/>
        </w:rPr>
      </w:pPr>
      <w:r w:rsidRPr="00EF20DC">
        <w:rPr>
          <w:rFonts w:eastAsia="Calibri"/>
          <w:sz w:val="22"/>
          <w:szCs w:val="22"/>
        </w:rPr>
        <w:t xml:space="preserve">Didelės rizikos pagal MSKCC (angl. </w:t>
      </w:r>
      <w:r w:rsidRPr="00EF20DC">
        <w:rPr>
          <w:rFonts w:eastAsia="Calibri"/>
          <w:i/>
          <w:sz w:val="22"/>
          <w:szCs w:val="22"/>
        </w:rPr>
        <w:t>Memorial Sloan Kettering Cancer Center</w:t>
      </w:r>
      <w:r w:rsidRPr="00EF20DC">
        <w:rPr>
          <w:rFonts w:eastAsia="Calibri"/>
          <w:sz w:val="22"/>
          <w:szCs w:val="22"/>
        </w:rPr>
        <w:t>) prognozės grup</w:t>
      </w:r>
      <w:r w:rsidR="005E3464">
        <w:rPr>
          <w:rFonts w:eastAsia="Calibri"/>
          <w:sz w:val="22"/>
          <w:szCs w:val="22"/>
        </w:rPr>
        <w:t>ės</w:t>
      </w:r>
      <w:r w:rsidRPr="00EF20DC">
        <w:rPr>
          <w:rFonts w:eastAsia="Calibri"/>
          <w:sz w:val="22"/>
          <w:szCs w:val="22"/>
        </w:rPr>
        <w:t xml:space="preserve"> pacientai į III fazės klinikinius inkstų ląstelių karcinomos tyrimus (žr. 5.1</w:t>
      </w:r>
      <w:r w:rsidR="007015F1">
        <w:rPr>
          <w:rFonts w:eastAsia="Calibri"/>
          <w:sz w:val="22"/>
          <w:szCs w:val="22"/>
        </w:rPr>
        <w:t> </w:t>
      </w:r>
      <w:r w:rsidRPr="00EF20DC">
        <w:rPr>
          <w:rFonts w:eastAsia="Calibri"/>
          <w:sz w:val="22"/>
          <w:szCs w:val="22"/>
        </w:rPr>
        <w:t xml:space="preserve">skyriaus </w:t>
      </w:r>
      <w:r w:rsidR="0059624C">
        <w:rPr>
          <w:rFonts w:eastAsia="Calibri"/>
          <w:sz w:val="22"/>
          <w:szCs w:val="22"/>
        </w:rPr>
        <w:t>poskyrį</w:t>
      </w:r>
      <w:r w:rsidRPr="00EF20DC">
        <w:rPr>
          <w:rFonts w:eastAsia="Calibri"/>
          <w:sz w:val="22"/>
          <w:szCs w:val="22"/>
        </w:rPr>
        <w:t xml:space="preserve"> „1 tyrimas“) nebuvo įtraukti ir tokiems pacientams naudos ir rizikos santykis nebuvo tirtas. </w:t>
      </w:r>
    </w:p>
    <w:p w14:paraId="5F513F9B" w14:textId="77777777" w:rsidR="00EF20DC" w:rsidRPr="00EF20DC" w:rsidRDefault="00EF20DC" w:rsidP="001F1094">
      <w:pPr>
        <w:rPr>
          <w:rFonts w:eastAsia="Calibri"/>
          <w:sz w:val="22"/>
          <w:szCs w:val="22"/>
        </w:rPr>
      </w:pPr>
    </w:p>
    <w:p w14:paraId="4B020502" w14:textId="5FA5CEFE" w:rsidR="00EF20DC" w:rsidRPr="008903E0" w:rsidRDefault="001A230F" w:rsidP="001F1094">
      <w:pPr>
        <w:rPr>
          <w:rFonts w:eastAsia="Calibri"/>
          <w:sz w:val="22"/>
          <w:szCs w:val="22"/>
          <w:u w:val="single"/>
        </w:rPr>
      </w:pPr>
      <w:r>
        <w:rPr>
          <w:rFonts w:eastAsia="Calibri"/>
          <w:sz w:val="22"/>
          <w:szCs w:val="22"/>
          <w:u w:val="single"/>
        </w:rPr>
        <w:t>Sorafenib Sandoz sudėtyje yra natrio</w:t>
      </w:r>
    </w:p>
    <w:p w14:paraId="0E251F8C" w14:textId="77777777" w:rsidR="001A230F" w:rsidRDefault="001A230F" w:rsidP="001F1094">
      <w:pPr>
        <w:rPr>
          <w:rFonts w:eastAsia="SimSun"/>
          <w:sz w:val="22"/>
          <w:szCs w:val="22"/>
          <w:lang w:eastAsia="zh-CN"/>
        </w:rPr>
      </w:pPr>
    </w:p>
    <w:p w14:paraId="2787068E" w14:textId="7C5C253A" w:rsidR="00EF20DC" w:rsidRPr="00EF20DC" w:rsidRDefault="00EF20DC" w:rsidP="001F1094">
      <w:pPr>
        <w:rPr>
          <w:rFonts w:eastAsia="SimSun"/>
          <w:sz w:val="22"/>
          <w:szCs w:val="22"/>
          <w:lang w:eastAsia="zh-CN"/>
        </w:rPr>
      </w:pPr>
      <w:r w:rsidRPr="008903E0">
        <w:rPr>
          <w:rFonts w:eastAsia="SimSun"/>
          <w:sz w:val="22"/>
          <w:szCs w:val="22"/>
          <w:lang w:eastAsia="zh-CN"/>
        </w:rPr>
        <w:lastRenderedPageBreak/>
        <w:t>Šio vaistinio preparato</w:t>
      </w:r>
      <w:r w:rsidR="009612F6">
        <w:rPr>
          <w:rFonts w:eastAsia="SimSun"/>
          <w:sz w:val="22"/>
          <w:szCs w:val="22"/>
          <w:lang w:eastAsia="zh-CN"/>
        </w:rPr>
        <w:t xml:space="preserve"> </w:t>
      </w:r>
      <w:r w:rsidR="001A230F">
        <w:rPr>
          <w:rFonts w:eastAsia="SimSun"/>
          <w:sz w:val="22"/>
          <w:szCs w:val="22"/>
          <w:lang w:eastAsia="zh-CN"/>
        </w:rPr>
        <w:t>plėvele dengtoje tabletėje</w:t>
      </w:r>
      <w:r w:rsidR="001A230F" w:rsidRPr="008903E0">
        <w:rPr>
          <w:rFonts w:eastAsia="SimSun"/>
          <w:sz w:val="22"/>
          <w:szCs w:val="22"/>
          <w:lang w:eastAsia="zh-CN"/>
        </w:rPr>
        <w:t xml:space="preserve"> </w:t>
      </w:r>
      <w:r w:rsidRPr="008903E0">
        <w:rPr>
          <w:rFonts w:eastAsia="SimSun"/>
          <w:sz w:val="22"/>
          <w:szCs w:val="22"/>
          <w:lang w:eastAsia="zh-CN"/>
        </w:rPr>
        <w:t>yra mažiau kaip 1 mmol (23 mg) natrio, t.</w:t>
      </w:r>
      <w:r w:rsidR="007015F1">
        <w:rPr>
          <w:rFonts w:eastAsia="SimSun"/>
          <w:sz w:val="22"/>
          <w:szCs w:val="22"/>
          <w:lang w:eastAsia="zh-CN"/>
        </w:rPr>
        <w:t> </w:t>
      </w:r>
      <w:r w:rsidRPr="008903E0">
        <w:rPr>
          <w:rFonts w:eastAsia="SimSun"/>
          <w:sz w:val="22"/>
          <w:szCs w:val="22"/>
          <w:lang w:eastAsia="zh-CN"/>
        </w:rPr>
        <w:t>y. jis beveik neturi reikšmės.</w:t>
      </w:r>
    </w:p>
    <w:p w14:paraId="02132D7D" w14:textId="77777777" w:rsidR="00EF20DC" w:rsidRPr="00EF20DC" w:rsidRDefault="00EF20DC" w:rsidP="001F1094">
      <w:pPr>
        <w:rPr>
          <w:rFonts w:eastAsia="Calibri"/>
          <w:sz w:val="22"/>
          <w:szCs w:val="22"/>
        </w:rPr>
      </w:pPr>
    </w:p>
    <w:p w14:paraId="34C4B4DB" w14:textId="77777777" w:rsidR="00EF20DC" w:rsidRPr="00EF20DC" w:rsidRDefault="00EF20DC" w:rsidP="001F1094">
      <w:pPr>
        <w:ind w:left="567" w:hanging="567"/>
        <w:rPr>
          <w:rFonts w:eastAsia="SimSun"/>
          <w:b/>
          <w:sz w:val="22"/>
          <w:szCs w:val="22"/>
          <w:lang w:eastAsia="zh-CN"/>
        </w:rPr>
      </w:pPr>
      <w:r w:rsidRPr="00EF20DC">
        <w:rPr>
          <w:rFonts w:eastAsia="SimSun"/>
          <w:b/>
          <w:sz w:val="22"/>
          <w:szCs w:val="22"/>
          <w:lang w:eastAsia="zh-CN"/>
        </w:rPr>
        <w:t>4.5</w:t>
      </w:r>
      <w:r w:rsidRPr="00EF20DC">
        <w:rPr>
          <w:rFonts w:eastAsia="SimSun"/>
          <w:b/>
          <w:sz w:val="22"/>
          <w:szCs w:val="22"/>
          <w:lang w:eastAsia="zh-CN"/>
        </w:rPr>
        <w:tab/>
        <w:t>Sąveika su kitais vaistiniais preparatais ir kitokia sąveika</w:t>
      </w:r>
    </w:p>
    <w:p w14:paraId="795B01FC" w14:textId="77777777" w:rsidR="00EF20DC" w:rsidRPr="00EF20DC" w:rsidRDefault="00EF20DC" w:rsidP="001F1094">
      <w:pPr>
        <w:rPr>
          <w:rFonts w:eastAsia="Calibri"/>
          <w:sz w:val="22"/>
          <w:szCs w:val="22"/>
        </w:rPr>
      </w:pPr>
    </w:p>
    <w:p w14:paraId="33681BE1"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Metabolizuojančių fermentų induktoriai </w:t>
      </w:r>
    </w:p>
    <w:p w14:paraId="3C025FFA" w14:textId="77777777" w:rsidR="00EF20DC" w:rsidRPr="00EF20DC" w:rsidRDefault="00EF20DC" w:rsidP="001F1094">
      <w:pPr>
        <w:rPr>
          <w:rFonts w:eastAsia="Calibri"/>
          <w:sz w:val="22"/>
          <w:szCs w:val="22"/>
        </w:rPr>
      </w:pPr>
    </w:p>
    <w:p w14:paraId="4228E079" w14:textId="6227F146" w:rsidR="00EF20DC" w:rsidRPr="00EF20DC" w:rsidRDefault="00EF20DC" w:rsidP="001F1094">
      <w:pPr>
        <w:rPr>
          <w:rFonts w:eastAsia="Calibri"/>
          <w:sz w:val="22"/>
          <w:szCs w:val="22"/>
        </w:rPr>
      </w:pPr>
      <w:r w:rsidRPr="00EF20DC">
        <w:rPr>
          <w:rFonts w:eastAsia="Calibri"/>
          <w:sz w:val="22"/>
          <w:szCs w:val="22"/>
        </w:rPr>
        <w:t>P</w:t>
      </w:r>
      <w:r w:rsidR="00630DAB">
        <w:rPr>
          <w:rFonts w:eastAsia="Calibri"/>
          <w:sz w:val="22"/>
          <w:szCs w:val="22"/>
        </w:rPr>
        <w:t>avartojus</w:t>
      </w:r>
      <w:r w:rsidRPr="00EF20DC">
        <w:rPr>
          <w:rFonts w:eastAsia="Calibri"/>
          <w:sz w:val="22"/>
          <w:szCs w:val="22"/>
        </w:rPr>
        <w:t xml:space="preserve"> rifampicino 5 dienas prieš vienkartinę sorafenibo dozę, pastarojo plotas po koncentracijos </w:t>
      </w:r>
      <w:r w:rsidR="00A905ED">
        <w:rPr>
          <w:rFonts w:eastAsia="Calibri"/>
          <w:sz w:val="22"/>
          <w:szCs w:val="22"/>
        </w:rPr>
        <w:t>kitimą</w:t>
      </w:r>
      <w:r w:rsidR="00630DAB">
        <w:rPr>
          <w:rFonts w:eastAsia="Calibri"/>
          <w:sz w:val="22"/>
          <w:szCs w:val="22"/>
        </w:rPr>
        <w:t xml:space="preserve"> per</w:t>
      </w:r>
      <w:r w:rsidRPr="00EF20DC">
        <w:rPr>
          <w:rFonts w:eastAsia="Calibri"/>
          <w:sz w:val="22"/>
          <w:szCs w:val="22"/>
        </w:rPr>
        <w:t xml:space="preserve"> laik</w:t>
      </w:r>
      <w:r w:rsidR="00630DAB">
        <w:rPr>
          <w:rFonts w:eastAsia="Calibri"/>
          <w:sz w:val="22"/>
          <w:szCs w:val="22"/>
        </w:rPr>
        <w:t>ą</w:t>
      </w:r>
      <w:r w:rsidRPr="00EF20DC">
        <w:rPr>
          <w:rFonts w:eastAsia="Calibri"/>
          <w:sz w:val="22"/>
          <w:szCs w:val="22"/>
        </w:rPr>
        <w:t xml:space="preserve"> kreive (angl. </w:t>
      </w:r>
      <w:r w:rsidRPr="00EF20DC">
        <w:rPr>
          <w:rFonts w:eastAsia="Calibri"/>
          <w:i/>
          <w:sz w:val="22"/>
          <w:szCs w:val="22"/>
        </w:rPr>
        <w:t>AUC</w:t>
      </w:r>
      <w:r w:rsidRPr="00EF20DC">
        <w:rPr>
          <w:rFonts w:eastAsia="Calibri"/>
          <w:sz w:val="22"/>
          <w:szCs w:val="22"/>
        </w:rPr>
        <w:t>) sumažėjo apytikriai 37 %. Kiti CYP 3A4 fermentų aktyvumą ir (arba) gliukuroniza</w:t>
      </w:r>
      <w:r w:rsidR="004B5175">
        <w:rPr>
          <w:rFonts w:eastAsia="Calibri"/>
          <w:sz w:val="22"/>
          <w:szCs w:val="22"/>
        </w:rPr>
        <w:t>vimą</w:t>
      </w:r>
      <w:r w:rsidRPr="00EF20DC">
        <w:rPr>
          <w:rFonts w:eastAsia="Calibri"/>
          <w:sz w:val="22"/>
          <w:szCs w:val="22"/>
        </w:rPr>
        <w:t xml:space="preserve"> indukuojantys vaistiniai preparatai (pvz., paprastųjų jonažolių preparatai, fenitoinas, karbamazepinas, fenobarbitalis, deksametazonas) taip pat gali didinti sorafenibo metabolizmą ir dėl to mažinti jo koncentracij</w:t>
      </w:r>
      <w:r w:rsidR="004B5175">
        <w:rPr>
          <w:rFonts w:eastAsia="Calibri"/>
          <w:sz w:val="22"/>
          <w:szCs w:val="22"/>
        </w:rPr>
        <w:t>as</w:t>
      </w:r>
      <w:r w:rsidRPr="00EF20DC">
        <w:rPr>
          <w:rFonts w:eastAsia="Calibri"/>
          <w:sz w:val="22"/>
          <w:szCs w:val="22"/>
        </w:rPr>
        <w:t xml:space="preserve"> kraujyje. </w:t>
      </w:r>
    </w:p>
    <w:p w14:paraId="353855F4" w14:textId="2131E0B1" w:rsidR="00EF20DC" w:rsidRPr="00EF20DC" w:rsidRDefault="00EF20DC" w:rsidP="001F1094">
      <w:pPr>
        <w:rPr>
          <w:rFonts w:eastAsia="Calibri"/>
          <w:sz w:val="22"/>
          <w:szCs w:val="22"/>
        </w:rPr>
      </w:pPr>
    </w:p>
    <w:p w14:paraId="4D463CDE"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CYP 3A4 inhibitoriai </w:t>
      </w:r>
    </w:p>
    <w:p w14:paraId="1A99F894" w14:textId="1185B4D4" w:rsidR="00EF20DC" w:rsidRPr="00EF20DC" w:rsidRDefault="00EF20DC" w:rsidP="001F1094">
      <w:pPr>
        <w:rPr>
          <w:rFonts w:eastAsia="Calibri"/>
          <w:sz w:val="22"/>
          <w:szCs w:val="22"/>
        </w:rPr>
      </w:pPr>
      <w:r w:rsidRPr="00EF20DC">
        <w:rPr>
          <w:rFonts w:eastAsia="Calibri"/>
          <w:sz w:val="22"/>
          <w:szCs w:val="22"/>
        </w:rPr>
        <w:t xml:space="preserve">7 paras kartą per parą vartotas stiprus CYP 3A4 inhibitorius ketokonazolas sveikų savanorių vyrų organizme vienkartinės 50 mg sorafenibo dozės AUC pokyčių nesukėlė. Šie duomenys rodo, jog </w:t>
      </w:r>
      <w:r w:rsidR="004B5175">
        <w:rPr>
          <w:rFonts w:eastAsia="Calibri"/>
          <w:sz w:val="22"/>
          <w:szCs w:val="22"/>
        </w:rPr>
        <w:t xml:space="preserve">klinikinė </w:t>
      </w:r>
      <w:r w:rsidRPr="00EF20DC">
        <w:rPr>
          <w:rFonts w:eastAsia="Calibri"/>
          <w:sz w:val="22"/>
          <w:szCs w:val="22"/>
        </w:rPr>
        <w:t>farmakokinetinė sorafenibo ir CYP 3A4 inhibitorių sąveik</w:t>
      </w:r>
      <w:r w:rsidR="004B5175">
        <w:rPr>
          <w:rFonts w:eastAsia="Calibri"/>
          <w:sz w:val="22"/>
          <w:szCs w:val="22"/>
        </w:rPr>
        <w:t xml:space="preserve">a yra </w:t>
      </w:r>
      <w:r w:rsidR="00CD4E97">
        <w:rPr>
          <w:rFonts w:eastAsia="Calibri"/>
          <w:sz w:val="22"/>
          <w:szCs w:val="22"/>
        </w:rPr>
        <w:t xml:space="preserve">mažai </w:t>
      </w:r>
      <w:r w:rsidR="004B5175">
        <w:rPr>
          <w:rFonts w:eastAsia="Calibri"/>
          <w:sz w:val="22"/>
          <w:szCs w:val="22"/>
        </w:rPr>
        <w:t>tikėtina</w:t>
      </w:r>
      <w:r w:rsidRPr="00EF20DC">
        <w:rPr>
          <w:rFonts w:eastAsia="Calibri"/>
          <w:sz w:val="22"/>
          <w:szCs w:val="22"/>
        </w:rPr>
        <w:t xml:space="preserve">. </w:t>
      </w:r>
    </w:p>
    <w:p w14:paraId="1FE1F6C5" w14:textId="77777777" w:rsidR="00EF20DC" w:rsidRPr="00EF20DC" w:rsidRDefault="00EF20DC" w:rsidP="001F1094">
      <w:pPr>
        <w:rPr>
          <w:rFonts w:eastAsia="Calibri"/>
          <w:sz w:val="22"/>
          <w:szCs w:val="22"/>
        </w:rPr>
      </w:pPr>
    </w:p>
    <w:p w14:paraId="3AC4B577"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CYP 2B6, CYP 2C8 ir CYP 2C9 substratai </w:t>
      </w:r>
    </w:p>
    <w:p w14:paraId="27725E2A" w14:textId="77777777" w:rsidR="006F5896" w:rsidRDefault="00EF20DC" w:rsidP="001F1094">
      <w:pPr>
        <w:rPr>
          <w:rFonts w:eastAsia="Calibri"/>
          <w:sz w:val="22"/>
          <w:szCs w:val="22"/>
        </w:rPr>
      </w:pPr>
      <w:r w:rsidRPr="00EF20DC">
        <w:rPr>
          <w:rFonts w:eastAsia="Calibri"/>
          <w:i/>
          <w:sz w:val="22"/>
          <w:szCs w:val="22"/>
        </w:rPr>
        <w:t>In vitro</w:t>
      </w:r>
      <w:r w:rsidRPr="00EF20DC">
        <w:rPr>
          <w:rFonts w:eastAsia="Calibri"/>
          <w:sz w:val="22"/>
          <w:szCs w:val="22"/>
        </w:rPr>
        <w:t xml:space="preserve"> sorafenib</w:t>
      </w:r>
      <w:r w:rsidR="004B5175">
        <w:rPr>
          <w:rFonts w:eastAsia="Calibri"/>
          <w:sz w:val="22"/>
          <w:szCs w:val="22"/>
        </w:rPr>
        <w:t>o sukeltas</w:t>
      </w:r>
      <w:r w:rsidRPr="00EF20DC">
        <w:rPr>
          <w:rFonts w:eastAsia="Calibri"/>
          <w:sz w:val="22"/>
          <w:szCs w:val="22"/>
        </w:rPr>
        <w:t xml:space="preserve"> CYP 2B6, CYP 2C8 ir CYP 2C9 </w:t>
      </w:r>
      <w:r w:rsidR="004B5175">
        <w:rPr>
          <w:rFonts w:eastAsia="Calibri"/>
          <w:sz w:val="22"/>
          <w:szCs w:val="22"/>
        </w:rPr>
        <w:t>slopinimas yra panašaus stiprumo</w:t>
      </w:r>
      <w:r w:rsidRPr="00EF20DC">
        <w:rPr>
          <w:rFonts w:eastAsia="Calibri"/>
          <w:sz w:val="22"/>
          <w:szCs w:val="22"/>
        </w:rPr>
        <w:t>. Tačiau klinikinių farmakokinetinių tyrimų metu 2 kartus per parą vartoj</w:t>
      </w:r>
      <w:r w:rsidR="004B5175">
        <w:rPr>
          <w:rFonts w:eastAsia="Calibri"/>
          <w:sz w:val="22"/>
          <w:szCs w:val="22"/>
        </w:rPr>
        <w:t>ant</w:t>
      </w:r>
      <w:r w:rsidRPr="00EF20DC">
        <w:rPr>
          <w:rFonts w:eastAsia="Calibri"/>
          <w:sz w:val="22"/>
          <w:szCs w:val="22"/>
        </w:rPr>
        <w:t xml:space="preserve"> po 400 mg sorafenibo kartu su CYP 2B6 substratu ciklofosfamidu arba CYP 2C8 substratu paklitakseliu kliniškai reikšming</w:t>
      </w:r>
      <w:r w:rsidR="004B5175">
        <w:rPr>
          <w:rFonts w:eastAsia="Calibri"/>
          <w:sz w:val="22"/>
          <w:szCs w:val="22"/>
        </w:rPr>
        <w:t>as</w:t>
      </w:r>
      <w:r w:rsidRPr="00EF20DC">
        <w:rPr>
          <w:rFonts w:eastAsia="Calibri"/>
          <w:sz w:val="22"/>
          <w:szCs w:val="22"/>
        </w:rPr>
        <w:t xml:space="preserve"> slopinim</w:t>
      </w:r>
      <w:r w:rsidR="004B5175">
        <w:rPr>
          <w:rFonts w:eastAsia="Calibri"/>
          <w:sz w:val="22"/>
          <w:szCs w:val="22"/>
        </w:rPr>
        <w:t>as nepasireiškė</w:t>
      </w:r>
      <w:r w:rsidRPr="00EF20DC">
        <w:rPr>
          <w:rFonts w:eastAsia="Calibri"/>
          <w:sz w:val="22"/>
          <w:szCs w:val="22"/>
        </w:rPr>
        <w:t xml:space="preserve">. Šie duomenys rodo, kad rekomenduojama 400 mg doze du kartus per parą vartojamas sorafenibas </w:t>
      </w:r>
      <w:r w:rsidRPr="00EF20DC">
        <w:rPr>
          <w:rFonts w:eastAsia="Calibri"/>
          <w:i/>
          <w:sz w:val="22"/>
          <w:szCs w:val="22"/>
        </w:rPr>
        <w:t>in vivo</w:t>
      </w:r>
      <w:r w:rsidRPr="00EF20DC">
        <w:rPr>
          <w:rFonts w:eastAsia="Calibri"/>
          <w:sz w:val="22"/>
          <w:szCs w:val="22"/>
        </w:rPr>
        <w:t xml:space="preserve"> gali </w:t>
      </w:r>
      <w:r w:rsidR="004B5175">
        <w:rPr>
          <w:rFonts w:eastAsia="Calibri"/>
          <w:sz w:val="22"/>
          <w:szCs w:val="22"/>
        </w:rPr>
        <w:t>neslopinti</w:t>
      </w:r>
      <w:r w:rsidRPr="00EF20DC">
        <w:rPr>
          <w:rFonts w:eastAsia="Calibri"/>
          <w:sz w:val="22"/>
          <w:szCs w:val="22"/>
        </w:rPr>
        <w:t xml:space="preserve"> CYP 2B6 ar CYP 2C8. </w:t>
      </w:r>
    </w:p>
    <w:p w14:paraId="6993331E" w14:textId="27136E7D" w:rsidR="00EF20DC" w:rsidRPr="00EF20DC" w:rsidRDefault="00EF20DC" w:rsidP="001F1094">
      <w:pPr>
        <w:rPr>
          <w:rFonts w:eastAsia="Calibri"/>
          <w:sz w:val="22"/>
          <w:szCs w:val="22"/>
        </w:rPr>
      </w:pPr>
      <w:r w:rsidRPr="00EF20DC">
        <w:rPr>
          <w:rFonts w:eastAsia="Calibri"/>
          <w:sz w:val="22"/>
          <w:szCs w:val="22"/>
        </w:rPr>
        <w:t xml:space="preserve">Be to, </w:t>
      </w:r>
      <w:r w:rsidR="004B5175">
        <w:rPr>
          <w:rFonts w:eastAsia="Calibri"/>
          <w:sz w:val="22"/>
          <w:szCs w:val="22"/>
        </w:rPr>
        <w:t xml:space="preserve">gydant </w:t>
      </w:r>
      <w:r w:rsidRPr="00EF20DC">
        <w:rPr>
          <w:rFonts w:eastAsia="Calibri"/>
          <w:sz w:val="22"/>
          <w:szCs w:val="22"/>
        </w:rPr>
        <w:t xml:space="preserve">sorafenibu ir </w:t>
      </w:r>
      <w:r w:rsidR="006F5896">
        <w:rPr>
          <w:rFonts w:eastAsia="Calibri"/>
          <w:sz w:val="22"/>
          <w:szCs w:val="22"/>
        </w:rPr>
        <w:t xml:space="preserve">varfarinu, kuris yra </w:t>
      </w:r>
      <w:r w:rsidRPr="00EF20DC">
        <w:rPr>
          <w:rFonts w:eastAsia="Calibri"/>
          <w:sz w:val="22"/>
          <w:szCs w:val="22"/>
        </w:rPr>
        <w:t>CYP 2C9 substrat</w:t>
      </w:r>
      <w:r w:rsidR="006F5896">
        <w:rPr>
          <w:rFonts w:eastAsia="Calibri"/>
          <w:sz w:val="22"/>
          <w:szCs w:val="22"/>
        </w:rPr>
        <w:t>as,</w:t>
      </w:r>
      <w:r w:rsidRPr="00EF20DC">
        <w:rPr>
          <w:rFonts w:eastAsia="Calibri"/>
          <w:sz w:val="22"/>
          <w:szCs w:val="22"/>
        </w:rPr>
        <w:t xml:space="preserve"> </w:t>
      </w:r>
      <w:r w:rsidR="006F5896" w:rsidRPr="00EF20DC">
        <w:rPr>
          <w:rFonts w:eastAsia="Calibri"/>
          <w:sz w:val="22"/>
          <w:szCs w:val="22"/>
        </w:rPr>
        <w:t>vidutinis protrombino laikas (PL) ir TNS</w:t>
      </w:r>
      <w:r w:rsidR="006F5896">
        <w:rPr>
          <w:rFonts w:eastAsia="Calibri"/>
          <w:sz w:val="22"/>
          <w:szCs w:val="22"/>
        </w:rPr>
        <w:t>,</w:t>
      </w:r>
      <w:r w:rsidR="006F5896" w:rsidRPr="00EF20DC">
        <w:rPr>
          <w:rFonts w:eastAsia="Calibri"/>
          <w:sz w:val="22"/>
          <w:szCs w:val="22"/>
        </w:rPr>
        <w:t xml:space="preserve"> palyginti su placeb</w:t>
      </w:r>
      <w:r w:rsidR="006F5896">
        <w:rPr>
          <w:rFonts w:eastAsia="Calibri"/>
          <w:sz w:val="22"/>
          <w:szCs w:val="22"/>
        </w:rPr>
        <w:t>u,</w:t>
      </w:r>
      <w:r w:rsidR="006F5896" w:rsidRPr="00EF20DC">
        <w:rPr>
          <w:rFonts w:eastAsia="Calibri"/>
          <w:sz w:val="22"/>
          <w:szCs w:val="22"/>
        </w:rPr>
        <w:t xml:space="preserve"> nepakito</w:t>
      </w:r>
      <w:r w:rsidR="006F5896">
        <w:rPr>
          <w:rFonts w:eastAsia="Calibri"/>
          <w:sz w:val="22"/>
          <w:szCs w:val="22"/>
        </w:rPr>
        <w:t>.</w:t>
      </w:r>
      <w:r w:rsidRPr="00EF20DC">
        <w:rPr>
          <w:rFonts w:eastAsia="Calibri"/>
          <w:sz w:val="22"/>
          <w:szCs w:val="22"/>
        </w:rPr>
        <w:t xml:space="preserve"> Taigi tikėtina, kad kliniškai svarbi sorafenibo </w:t>
      </w:r>
      <w:r w:rsidRPr="00EF20DC">
        <w:rPr>
          <w:rFonts w:eastAsia="Calibri"/>
          <w:i/>
          <w:sz w:val="22"/>
          <w:szCs w:val="22"/>
        </w:rPr>
        <w:t>in vivo</w:t>
      </w:r>
      <w:r w:rsidRPr="00EF20DC">
        <w:rPr>
          <w:rFonts w:eastAsia="Calibri"/>
          <w:sz w:val="22"/>
          <w:szCs w:val="22"/>
        </w:rPr>
        <w:t xml:space="preserve"> sukeliama CYP 2C9 slopinimo rizika bus maža. Vis dėlto</w:t>
      </w:r>
      <w:r w:rsidR="006F5896">
        <w:rPr>
          <w:rFonts w:eastAsia="Calibri"/>
          <w:sz w:val="22"/>
          <w:szCs w:val="22"/>
        </w:rPr>
        <w:t>,</w:t>
      </w:r>
      <w:r w:rsidRPr="00EF20DC">
        <w:rPr>
          <w:rFonts w:eastAsia="Calibri"/>
          <w:sz w:val="22"/>
          <w:szCs w:val="22"/>
        </w:rPr>
        <w:t xml:space="preserve"> varfarino arba fenprokumono vartojantiems pacientams </w:t>
      </w:r>
      <w:r w:rsidR="006F5896">
        <w:rPr>
          <w:rFonts w:eastAsia="Calibri"/>
          <w:sz w:val="22"/>
          <w:szCs w:val="22"/>
        </w:rPr>
        <w:t>turi būti reguliariai tikrinamas jų</w:t>
      </w:r>
      <w:r w:rsidRPr="00EF20DC">
        <w:rPr>
          <w:rFonts w:eastAsia="Calibri"/>
          <w:sz w:val="22"/>
          <w:szCs w:val="22"/>
        </w:rPr>
        <w:t xml:space="preserve"> TNS (žr. 4.4 skyrių). </w:t>
      </w:r>
    </w:p>
    <w:p w14:paraId="4F1CF923" w14:textId="77777777" w:rsidR="00EF20DC" w:rsidRPr="00EF20DC" w:rsidRDefault="00EF20DC" w:rsidP="001F1094">
      <w:pPr>
        <w:rPr>
          <w:rFonts w:eastAsia="Calibri"/>
          <w:sz w:val="22"/>
          <w:szCs w:val="22"/>
        </w:rPr>
      </w:pPr>
    </w:p>
    <w:p w14:paraId="258E9B7E"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CYP 3A4, CYP 2D6 ir CYP 2C19 substratai </w:t>
      </w:r>
    </w:p>
    <w:p w14:paraId="6AEFFA33" w14:textId="5A0687A6" w:rsidR="00EF20DC" w:rsidRPr="00EF20DC" w:rsidRDefault="00EF20DC" w:rsidP="001F1094">
      <w:pPr>
        <w:rPr>
          <w:rFonts w:eastAsia="Calibri"/>
          <w:sz w:val="22"/>
          <w:szCs w:val="22"/>
        </w:rPr>
      </w:pPr>
      <w:r w:rsidRPr="00EF20DC">
        <w:rPr>
          <w:rFonts w:eastAsia="Calibri"/>
          <w:sz w:val="22"/>
          <w:szCs w:val="22"/>
        </w:rPr>
        <w:t xml:space="preserve">Kartu su sorafenibu vartojant midazolamo, dekstrometorfano ar omeprazolo, kurie yra atitinkamai CYP 3A4, CYP 2D6 ir CYP 2C19 substratai, </w:t>
      </w:r>
      <w:r w:rsidR="006F5896">
        <w:rPr>
          <w:rFonts w:eastAsia="Calibri"/>
          <w:sz w:val="22"/>
          <w:szCs w:val="22"/>
        </w:rPr>
        <w:t>šių medžiagų</w:t>
      </w:r>
      <w:r w:rsidRPr="00EF20DC">
        <w:rPr>
          <w:rFonts w:eastAsia="Calibri"/>
          <w:sz w:val="22"/>
          <w:szCs w:val="22"/>
        </w:rPr>
        <w:t xml:space="preserve"> ekspozicija nekito. Tai rodo, jog sorafenibas nėra citochromo P 450 izofermentų induktorius ar inhibitorius, todėl farmakokinetinės jo ir minėtų fermentų substratų sąveikos </w:t>
      </w:r>
      <w:r w:rsidR="006F5896">
        <w:rPr>
          <w:rFonts w:eastAsia="Calibri"/>
          <w:sz w:val="22"/>
          <w:szCs w:val="22"/>
        </w:rPr>
        <w:t xml:space="preserve">yra </w:t>
      </w:r>
      <w:r w:rsidR="0025582B">
        <w:rPr>
          <w:rFonts w:eastAsia="Calibri"/>
          <w:sz w:val="22"/>
          <w:szCs w:val="22"/>
        </w:rPr>
        <w:t xml:space="preserve">mažai </w:t>
      </w:r>
      <w:r w:rsidR="006F5896">
        <w:rPr>
          <w:rFonts w:eastAsia="Calibri"/>
          <w:sz w:val="22"/>
          <w:szCs w:val="22"/>
        </w:rPr>
        <w:t>tikėtinos</w:t>
      </w:r>
      <w:r w:rsidRPr="00EF20DC">
        <w:rPr>
          <w:rFonts w:eastAsia="Calibri"/>
          <w:sz w:val="22"/>
          <w:szCs w:val="22"/>
        </w:rPr>
        <w:t xml:space="preserve">. </w:t>
      </w:r>
    </w:p>
    <w:p w14:paraId="135E7708" w14:textId="77777777" w:rsidR="00EF20DC" w:rsidRPr="00EF20DC" w:rsidRDefault="00EF20DC" w:rsidP="001F1094">
      <w:pPr>
        <w:rPr>
          <w:rFonts w:eastAsia="Calibri"/>
          <w:sz w:val="22"/>
          <w:szCs w:val="22"/>
        </w:rPr>
      </w:pPr>
      <w:r w:rsidRPr="00EF20DC">
        <w:rPr>
          <w:rFonts w:eastAsia="Calibri"/>
          <w:sz w:val="22"/>
          <w:szCs w:val="22"/>
        </w:rPr>
        <w:t xml:space="preserve"> </w:t>
      </w:r>
    </w:p>
    <w:p w14:paraId="2A09352A"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UGT 1A1 ir UGT 1A9 substratai </w:t>
      </w:r>
    </w:p>
    <w:p w14:paraId="3E495C22" w14:textId="77777777" w:rsidR="00EF20DC" w:rsidRPr="00EF20DC" w:rsidRDefault="00EF20DC" w:rsidP="001F1094">
      <w:pPr>
        <w:rPr>
          <w:rFonts w:eastAsia="Calibri"/>
          <w:sz w:val="22"/>
          <w:szCs w:val="22"/>
        </w:rPr>
      </w:pPr>
      <w:r w:rsidRPr="00EF20DC">
        <w:rPr>
          <w:rFonts w:eastAsia="Calibri"/>
          <w:i/>
          <w:sz w:val="22"/>
          <w:szCs w:val="22"/>
        </w:rPr>
        <w:t>In vitro</w:t>
      </w:r>
      <w:r w:rsidRPr="00EF20DC">
        <w:rPr>
          <w:rFonts w:eastAsia="Calibri"/>
          <w:sz w:val="22"/>
          <w:szCs w:val="22"/>
        </w:rPr>
        <w:t xml:space="preserve"> sorafenibas slopina gliukuroni</w:t>
      </w:r>
      <w:r w:rsidR="006F5896">
        <w:rPr>
          <w:rFonts w:eastAsia="Calibri"/>
          <w:sz w:val="22"/>
          <w:szCs w:val="22"/>
        </w:rPr>
        <w:t>zavim</w:t>
      </w:r>
      <w:r w:rsidR="003C64E6">
        <w:rPr>
          <w:rFonts w:eastAsia="Calibri"/>
          <w:sz w:val="22"/>
          <w:szCs w:val="22"/>
        </w:rPr>
        <w:t>ą</w:t>
      </w:r>
      <w:r w:rsidRPr="00EF20DC">
        <w:rPr>
          <w:rFonts w:eastAsia="Calibri"/>
          <w:sz w:val="22"/>
          <w:szCs w:val="22"/>
        </w:rPr>
        <w:t xml:space="preserve"> dalyvaujant UGT 1A1 ir UGT 1A9. Klinikinė tokio poveikio reikšmė nežinoma (žr. žemiau ir 4.4 skyrių). </w:t>
      </w:r>
    </w:p>
    <w:p w14:paraId="1F604FF5" w14:textId="77777777" w:rsidR="00EF20DC" w:rsidRPr="00EF20DC" w:rsidRDefault="00EF20DC" w:rsidP="001F1094">
      <w:pPr>
        <w:rPr>
          <w:rFonts w:eastAsia="Calibri"/>
          <w:sz w:val="22"/>
          <w:szCs w:val="22"/>
        </w:rPr>
      </w:pPr>
    </w:p>
    <w:p w14:paraId="4CE8280B"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CYP fermentų indukcijos tyrimai </w:t>
      </w:r>
      <w:r w:rsidRPr="00EF20DC">
        <w:rPr>
          <w:rFonts w:eastAsia="Calibri"/>
          <w:i/>
          <w:sz w:val="22"/>
          <w:szCs w:val="22"/>
          <w:u w:val="single"/>
        </w:rPr>
        <w:t>in vitro</w:t>
      </w:r>
      <w:r w:rsidRPr="00EF20DC">
        <w:rPr>
          <w:rFonts w:eastAsia="Calibri"/>
          <w:sz w:val="22"/>
          <w:szCs w:val="22"/>
          <w:u w:val="single"/>
        </w:rPr>
        <w:t xml:space="preserve"> </w:t>
      </w:r>
    </w:p>
    <w:p w14:paraId="01551720" w14:textId="478ECDAF" w:rsidR="00EF20DC" w:rsidRPr="00EF20DC" w:rsidRDefault="00EF20DC" w:rsidP="001F1094">
      <w:pPr>
        <w:rPr>
          <w:rFonts w:eastAsia="Calibri"/>
          <w:sz w:val="22"/>
          <w:szCs w:val="22"/>
        </w:rPr>
      </w:pPr>
      <w:r w:rsidRPr="00EF20DC">
        <w:rPr>
          <w:rFonts w:eastAsia="Calibri"/>
          <w:sz w:val="22"/>
          <w:szCs w:val="22"/>
        </w:rPr>
        <w:t>Žmogaus hepatocitų kultūr</w:t>
      </w:r>
      <w:r w:rsidR="0025582B">
        <w:rPr>
          <w:rFonts w:eastAsia="Calibri"/>
          <w:sz w:val="22"/>
          <w:szCs w:val="22"/>
        </w:rPr>
        <w:t>as</w:t>
      </w:r>
      <w:r w:rsidRPr="00EF20DC">
        <w:rPr>
          <w:rFonts w:eastAsia="Calibri"/>
          <w:sz w:val="22"/>
          <w:szCs w:val="22"/>
        </w:rPr>
        <w:t xml:space="preserve"> paveikus sorafenibu, CYP 1A2 ir CYP 3A4 aktyvumas nepakito, vadinasi, sorafenibas neturėtų būti šių fermentų induktorius. </w:t>
      </w:r>
    </w:p>
    <w:p w14:paraId="3864D408" w14:textId="77777777" w:rsidR="00EF20DC" w:rsidRPr="00EF20DC" w:rsidRDefault="00EF20DC" w:rsidP="001F1094">
      <w:pPr>
        <w:rPr>
          <w:rFonts w:eastAsia="Calibri"/>
          <w:sz w:val="22"/>
          <w:szCs w:val="22"/>
        </w:rPr>
      </w:pPr>
    </w:p>
    <w:p w14:paraId="0F271399" w14:textId="4C759F5F" w:rsidR="00EF20DC" w:rsidRPr="00EF20DC" w:rsidRDefault="00EF20DC" w:rsidP="001F1094">
      <w:pPr>
        <w:rPr>
          <w:rFonts w:eastAsia="Calibri"/>
          <w:sz w:val="22"/>
          <w:szCs w:val="22"/>
          <w:u w:val="single"/>
        </w:rPr>
      </w:pPr>
      <w:r w:rsidRPr="00EF20DC">
        <w:rPr>
          <w:rFonts w:eastAsia="Calibri"/>
          <w:sz w:val="22"/>
          <w:szCs w:val="22"/>
          <w:u w:val="single"/>
        </w:rPr>
        <w:t>P-g</w:t>
      </w:r>
      <w:r w:rsidR="0025582B">
        <w:rPr>
          <w:rFonts w:eastAsia="Calibri"/>
          <w:sz w:val="22"/>
          <w:szCs w:val="22"/>
          <w:u w:val="single"/>
        </w:rPr>
        <w:t>likoproteino</w:t>
      </w:r>
      <w:r w:rsidRPr="00EF20DC">
        <w:rPr>
          <w:rFonts w:eastAsia="Calibri"/>
          <w:sz w:val="22"/>
          <w:szCs w:val="22"/>
          <w:u w:val="single"/>
        </w:rPr>
        <w:t xml:space="preserve"> substratai </w:t>
      </w:r>
    </w:p>
    <w:p w14:paraId="6927879B" w14:textId="576FCF76" w:rsidR="00EF20DC" w:rsidRPr="00EF20DC" w:rsidRDefault="00EF20DC" w:rsidP="001F1094">
      <w:pPr>
        <w:rPr>
          <w:rFonts w:eastAsia="Calibri"/>
          <w:sz w:val="22"/>
          <w:szCs w:val="22"/>
        </w:rPr>
      </w:pPr>
      <w:r w:rsidRPr="00EF20DC">
        <w:rPr>
          <w:rFonts w:eastAsia="Calibri"/>
          <w:i/>
          <w:sz w:val="22"/>
          <w:szCs w:val="22"/>
        </w:rPr>
        <w:t>In vitro</w:t>
      </w:r>
      <w:r w:rsidRPr="00EF20DC">
        <w:rPr>
          <w:rFonts w:eastAsia="Calibri"/>
          <w:sz w:val="22"/>
          <w:szCs w:val="22"/>
        </w:rPr>
        <w:t xml:space="preserve"> sorafenibas slopina baltymo nešiklio </w:t>
      </w:r>
      <w:r w:rsidR="0025582B">
        <w:rPr>
          <w:rFonts w:eastAsia="Calibri"/>
          <w:sz w:val="22"/>
          <w:szCs w:val="22"/>
        </w:rPr>
        <w:t>P-</w:t>
      </w:r>
      <w:r w:rsidRPr="00EF20DC">
        <w:rPr>
          <w:rFonts w:eastAsia="Calibri"/>
          <w:sz w:val="22"/>
          <w:szCs w:val="22"/>
        </w:rPr>
        <w:t xml:space="preserve">glikoproteino (P-gp) aktyvumą. </w:t>
      </w:r>
      <w:r w:rsidR="006D31D1">
        <w:rPr>
          <w:rFonts w:eastAsia="Calibri"/>
          <w:sz w:val="22"/>
          <w:szCs w:val="22"/>
        </w:rPr>
        <w:t>Negalima paneigti k</w:t>
      </w:r>
      <w:r w:rsidRPr="00EF20DC">
        <w:rPr>
          <w:rFonts w:eastAsia="Calibri"/>
          <w:sz w:val="22"/>
          <w:szCs w:val="22"/>
        </w:rPr>
        <w:t>artu su sorafenibu vartojamų P-gp substratų, pvz., digoksino, koncentracij</w:t>
      </w:r>
      <w:r w:rsidR="00C05B9D">
        <w:rPr>
          <w:rFonts w:eastAsia="Calibri"/>
          <w:sz w:val="22"/>
          <w:szCs w:val="22"/>
        </w:rPr>
        <w:t>ų</w:t>
      </w:r>
      <w:r w:rsidR="006F5896">
        <w:rPr>
          <w:rFonts w:eastAsia="Calibri"/>
          <w:sz w:val="22"/>
          <w:szCs w:val="22"/>
        </w:rPr>
        <w:t xml:space="preserve"> kraujo plazmoje</w:t>
      </w:r>
      <w:r w:rsidR="00C05B9D">
        <w:rPr>
          <w:rFonts w:eastAsia="Calibri"/>
          <w:sz w:val="22"/>
          <w:szCs w:val="22"/>
        </w:rPr>
        <w:t xml:space="preserve"> padidėjimo</w:t>
      </w:r>
      <w:r w:rsidRPr="00EF20DC">
        <w:rPr>
          <w:rFonts w:eastAsia="Calibri"/>
          <w:sz w:val="22"/>
          <w:szCs w:val="22"/>
        </w:rPr>
        <w:t xml:space="preserve">. </w:t>
      </w:r>
    </w:p>
    <w:p w14:paraId="2C8A39E6" w14:textId="77777777" w:rsidR="00EF20DC" w:rsidRPr="00EF20DC" w:rsidRDefault="00EF20DC" w:rsidP="001F1094">
      <w:pPr>
        <w:rPr>
          <w:rFonts w:eastAsia="Calibri"/>
          <w:sz w:val="22"/>
          <w:szCs w:val="22"/>
        </w:rPr>
      </w:pPr>
    </w:p>
    <w:p w14:paraId="4DDBF84F" w14:textId="77777777" w:rsidR="00EF20DC" w:rsidRPr="00EF20DC" w:rsidRDefault="00EF20DC" w:rsidP="001F1094">
      <w:pPr>
        <w:rPr>
          <w:rFonts w:eastAsia="Calibri"/>
          <w:sz w:val="22"/>
          <w:szCs w:val="22"/>
          <w:u w:val="single"/>
        </w:rPr>
      </w:pPr>
      <w:r w:rsidRPr="00EF20DC">
        <w:rPr>
          <w:rFonts w:eastAsia="Calibri"/>
          <w:sz w:val="22"/>
          <w:szCs w:val="22"/>
          <w:u w:val="single"/>
        </w:rPr>
        <w:t>Vartojimas kartu su kit</w:t>
      </w:r>
      <w:r w:rsidR="006F5896">
        <w:rPr>
          <w:rFonts w:eastAsia="Calibri"/>
          <w:sz w:val="22"/>
          <w:szCs w:val="22"/>
          <w:u w:val="single"/>
        </w:rPr>
        <w:t>omis</w:t>
      </w:r>
      <w:r w:rsidRPr="00EF20DC">
        <w:rPr>
          <w:rFonts w:eastAsia="Calibri"/>
          <w:sz w:val="22"/>
          <w:szCs w:val="22"/>
          <w:u w:val="single"/>
        </w:rPr>
        <w:t xml:space="preserve"> antinavikin</w:t>
      </w:r>
      <w:r w:rsidR="006F5896">
        <w:rPr>
          <w:rFonts w:eastAsia="Calibri"/>
          <w:sz w:val="22"/>
          <w:szCs w:val="22"/>
          <w:u w:val="single"/>
        </w:rPr>
        <w:t>ėmis medžiagomis</w:t>
      </w:r>
      <w:r w:rsidRPr="00EF20DC">
        <w:rPr>
          <w:rFonts w:eastAsia="Calibri"/>
          <w:sz w:val="22"/>
          <w:szCs w:val="22"/>
          <w:u w:val="single"/>
        </w:rPr>
        <w:t xml:space="preserve"> </w:t>
      </w:r>
    </w:p>
    <w:p w14:paraId="0AD1BAAE" w14:textId="77777777" w:rsidR="00EF20DC" w:rsidRPr="00EF20DC" w:rsidRDefault="00EF20DC" w:rsidP="001F1094">
      <w:pPr>
        <w:rPr>
          <w:rFonts w:eastAsia="Calibri"/>
          <w:sz w:val="22"/>
          <w:szCs w:val="22"/>
        </w:rPr>
      </w:pPr>
      <w:r w:rsidRPr="00EF20DC">
        <w:rPr>
          <w:rFonts w:eastAsia="Calibri"/>
          <w:sz w:val="22"/>
          <w:szCs w:val="22"/>
        </w:rPr>
        <w:t>Klinikinių tyrimų metu sorafenib</w:t>
      </w:r>
      <w:r w:rsidR="0004709E">
        <w:rPr>
          <w:rFonts w:eastAsia="Calibri"/>
          <w:sz w:val="22"/>
          <w:szCs w:val="22"/>
        </w:rPr>
        <w:t>u buvo gydoma</w:t>
      </w:r>
      <w:r w:rsidRPr="00EF20DC">
        <w:rPr>
          <w:rFonts w:eastAsia="Calibri"/>
          <w:sz w:val="22"/>
          <w:szCs w:val="22"/>
        </w:rPr>
        <w:t xml:space="preserve"> kartu su įvairi</w:t>
      </w:r>
      <w:r w:rsidR="006F5896">
        <w:rPr>
          <w:rFonts w:eastAsia="Calibri"/>
          <w:sz w:val="22"/>
          <w:szCs w:val="22"/>
        </w:rPr>
        <w:t>omis kitomis</w:t>
      </w:r>
      <w:r w:rsidRPr="00EF20DC">
        <w:rPr>
          <w:rFonts w:eastAsia="Calibri"/>
          <w:sz w:val="22"/>
          <w:szCs w:val="22"/>
        </w:rPr>
        <w:t xml:space="preserve"> antinavikin</w:t>
      </w:r>
      <w:r w:rsidR="00D33BE5">
        <w:rPr>
          <w:rFonts w:eastAsia="Calibri"/>
          <w:sz w:val="22"/>
          <w:szCs w:val="22"/>
        </w:rPr>
        <w:t>ėmis</w:t>
      </w:r>
      <w:r w:rsidRPr="00EF20DC">
        <w:rPr>
          <w:rFonts w:eastAsia="Calibri"/>
          <w:sz w:val="22"/>
          <w:szCs w:val="22"/>
        </w:rPr>
        <w:t xml:space="preserve"> </w:t>
      </w:r>
      <w:r w:rsidR="006F5896">
        <w:rPr>
          <w:rFonts w:eastAsia="Calibri"/>
          <w:sz w:val="22"/>
          <w:szCs w:val="22"/>
        </w:rPr>
        <w:t>medžiag</w:t>
      </w:r>
      <w:r w:rsidR="00D33BE5">
        <w:rPr>
          <w:rFonts w:eastAsia="Calibri"/>
          <w:sz w:val="22"/>
          <w:szCs w:val="22"/>
        </w:rPr>
        <w:t>omis</w:t>
      </w:r>
      <w:r w:rsidRPr="00EF20DC">
        <w:rPr>
          <w:rFonts w:eastAsia="Calibri"/>
          <w:sz w:val="22"/>
          <w:szCs w:val="22"/>
        </w:rPr>
        <w:t xml:space="preserve">, įskaitant gemcitabiną, cisplatiną, </w:t>
      </w:r>
      <w:r w:rsidRPr="00E06A38">
        <w:rPr>
          <w:rFonts w:eastAsia="Calibri"/>
          <w:sz w:val="22"/>
          <w:szCs w:val="22"/>
        </w:rPr>
        <w:t>oksaliplatiną</w:t>
      </w:r>
      <w:r w:rsidRPr="00EF20DC">
        <w:rPr>
          <w:rFonts w:eastAsia="Calibri"/>
          <w:sz w:val="22"/>
          <w:szCs w:val="22"/>
        </w:rPr>
        <w:t xml:space="preserve">, paklitakselį, karboplatiną, kapecitabiną, doksorubiciną, irinotekaną, docetakselį ir ciklofosfamidą, </w:t>
      </w:r>
      <w:r w:rsidR="00D33BE5">
        <w:rPr>
          <w:rFonts w:eastAsia="Calibri"/>
          <w:sz w:val="22"/>
          <w:szCs w:val="22"/>
        </w:rPr>
        <w:t>vartotomis dažniausiai taikomais jų dozavimo režimais.</w:t>
      </w:r>
      <w:r w:rsidRPr="00EF20DC">
        <w:rPr>
          <w:rFonts w:eastAsia="Calibri"/>
          <w:sz w:val="22"/>
          <w:szCs w:val="22"/>
        </w:rPr>
        <w:t xml:space="preserve"> Gemcitabino, cisplatinos, karboplatinos, oksaliplatinos ar ciklofosfamido farmakokinetikai sorafenibas kliniškai svarbios įtakos nedarė.</w:t>
      </w:r>
    </w:p>
    <w:p w14:paraId="2AF35FBB" w14:textId="77777777" w:rsidR="00EF20DC" w:rsidRPr="00EF20DC" w:rsidRDefault="00EF20DC" w:rsidP="001F1094">
      <w:pPr>
        <w:rPr>
          <w:rFonts w:eastAsia="Calibri"/>
          <w:sz w:val="22"/>
          <w:szCs w:val="22"/>
        </w:rPr>
      </w:pPr>
    </w:p>
    <w:p w14:paraId="55AC5D74" w14:textId="77777777" w:rsidR="00EF20DC" w:rsidRPr="0004709E" w:rsidRDefault="00EF20DC" w:rsidP="001F1094">
      <w:pPr>
        <w:rPr>
          <w:rFonts w:eastAsia="Calibri"/>
          <w:sz w:val="22"/>
          <w:szCs w:val="22"/>
          <w:u w:val="single"/>
        </w:rPr>
      </w:pPr>
      <w:r w:rsidRPr="0004709E">
        <w:rPr>
          <w:rFonts w:eastAsia="Calibri"/>
          <w:sz w:val="22"/>
          <w:szCs w:val="22"/>
          <w:u w:val="single"/>
        </w:rPr>
        <w:t xml:space="preserve">Paklitakselis ir karboplatina </w:t>
      </w:r>
    </w:p>
    <w:p w14:paraId="508A00C8" w14:textId="1FF50CF9" w:rsidR="00EF20DC" w:rsidRPr="0004709E" w:rsidRDefault="00EF20DC" w:rsidP="001F1094">
      <w:pPr>
        <w:numPr>
          <w:ilvl w:val="0"/>
          <w:numId w:val="4"/>
        </w:numPr>
        <w:spacing w:after="160" w:line="259" w:lineRule="auto"/>
        <w:ind w:left="567" w:hanging="567"/>
        <w:contextualSpacing/>
        <w:rPr>
          <w:rFonts w:eastAsia="Calibri"/>
          <w:sz w:val="22"/>
          <w:szCs w:val="22"/>
        </w:rPr>
      </w:pPr>
      <w:r w:rsidRPr="0004709E">
        <w:rPr>
          <w:rFonts w:eastAsia="Calibri"/>
          <w:sz w:val="22"/>
          <w:szCs w:val="22"/>
        </w:rPr>
        <w:t>Paklitakselio (225 mg/m</w:t>
      </w:r>
      <w:r w:rsidRPr="0004709E">
        <w:rPr>
          <w:rFonts w:eastAsia="Calibri"/>
          <w:sz w:val="22"/>
          <w:szCs w:val="22"/>
          <w:vertAlign w:val="superscript"/>
        </w:rPr>
        <w:t>2</w:t>
      </w:r>
      <w:r w:rsidRPr="0004709E">
        <w:rPr>
          <w:rFonts w:eastAsia="Calibri"/>
          <w:sz w:val="22"/>
          <w:szCs w:val="22"/>
        </w:rPr>
        <w:t xml:space="preserve"> kūno paviršiaus ploto) ir karboplatinos (AUC</w:t>
      </w:r>
      <w:r w:rsidR="0025582B">
        <w:rPr>
          <w:rFonts w:eastAsia="Calibri"/>
          <w:sz w:val="22"/>
          <w:szCs w:val="22"/>
        </w:rPr>
        <w:t> </w:t>
      </w:r>
      <w:r w:rsidRPr="0004709E">
        <w:rPr>
          <w:rFonts w:eastAsia="Calibri"/>
          <w:sz w:val="22"/>
          <w:szCs w:val="22"/>
        </w:rPr>
        <w:t>=</w:t>
      </w:r>
      <w:r w:rsidR="0025582B">
        <w:rPr>
          <w:rFonts w:eastAsia="Calibri"/>
          <w:sz w:val="22"/>
          <w:szCs w:val="22"/>
        </w:rPr>
        <w:t> </w:t>
      </w:r>
      <w:r w:rsidRPr="0004709E">
        <w:rPr>
          <w:rFonts w:eastAsia="Calibri"/>
          <w:sz w:val="22"/>
          <w:szCs w:val="22"/>
        </w:rPr>
        <w:t>6) vartojimas su sorafenibu (≤ 400 mg du kartus per parą</w:t>
      </w:r>
      <w:r w:rsidRPr="009216B1">
        <w:rPr>
          <w:rFonts w:eastAsia="Calibri"/>
          <w:sz w:val="22"/>
          <w:szCs w:val="22"/>
        </w:rPr>
        <w:t>), darant 3 parų pertrauką sorafenibo vartojime (dvi paras prieš vartojant paklitaksel</w:t>
      </w:r>
      <w:r w:rsidR="0004709E" w:rsidRPr="009216B1">
        <w:rPr>
          <w:rFonts w:eastAsia="Calibri"/>
          <w:sz w:val="22"/>
          <w:szCs w:val="22"/>
        </w:rPr>
        <w:t xml:space="preserve">io ir </w:t>
      </w:r>
      <w:r w:rsidRPr="009216B1">
        <w:rPr>
          <w:rFonts w:eastAsia="Calibri"/>
          <w:sz w:val="22"/>
          <w:szCs w:val="22"/>
        </w:rPr>
        <w:t>karboplatin</w:t>
      </w:r>
      <w:r w:rsidR="0004709E" w:rsidRPr="009216B1">
        <w:rPr>
          <w:rFonts w:eastAsia="Calibri"/>
          <w:sz w:val="22"/>
          <w:szCs w:val="22"/>
        </w:rPr>
        <w:t>os derinį</w:t>
      </w:r>
      <w:r w:rsidRPr="009216B1">
        <w:rPr>
          <w:rFonts w:eastAsia="Calibri"/>
          <w:sz w:val="22"/>
          <w:szCs w:val="22"/>
        </w:rPr>
        <w:t xml:space="preserve"> ir </w:t>
      </w:r>
      <w:r w:rsidR="0004709E" w:rsidRPr="009216B1">
        <w:rPr>
          <w:rFonts w:eastAsia="Calibri"/>
          <w:sz w:val="22"/>
          <w:szCs w:val="22"/>
        </w:rPr>
        <w:t xml:space="preserve">šio derinio </w:t>
      </w:r>
      <w:r w:rsidRPr="009216B1">
        <w:rPr>
          <w:rFonts w:eastAsia="Calibri"/>
          <w:sz w:val="22"/>
          <w:szCs w:val="22"/>
        </w:rPr>
        <w:t>vartojimo parą),</w:t>
      </w:r>
      <w:r w:rsidRPr="0004709E">
        <w:rPr>
          <w:rFonts w:eastAsia="Calibri"/>
          <w:sz w:val="22"/>
          <w:szCs w:val="22"/>
        </w:rPr>
        <w:t xml:space="preserve"> reikšmingos įtakos paklitakselio farmakokinetikai ne</w:t>
      </w:r>
      <w:r w:rsidR="0004709E">
        <w:rPr>
          <w:rFonts w:eastAsia="Calibri"/>
          <w:sz w:val="22"/>
          <w:szCs w:val="22"/>
        </w:rPr>
        <w:t>darė</w:t>
      </w:r>
      <w:r w:rsidRPr="0004709E">
        <w:rPr>
          <w:rFonts w:eastAsia="Calibri"/>
          <w:sz w:val="22"/>
          <w:szCs w:val="22"/>
        </w:rPr>
        <w:t>.</w:t>
      </w:r>
    </w:p>
    <w:p w14:paraId="594CEA19" w14:textId="77777777" w:rsidR="00EF20DC" w:rsidRPr="00EF20DC" w:rsidRDefault="00EF20DC" w:rsidP="001F1094">
      <w:pPr>
        <w:ind w:left="567"/>
        <w:contextualSpacing/>
        <w:rPr>
          <w:rFonts w:eastAsia="Calibri"/>
          <w:sz w:val="22"/>
          <w:szCs w:val="22"/>
        </w:rPr>
      </w:pPr>
    </w:p>
    <w:p w14:paraId="76BD9B11" w14:textId="73BB754E" w:rsidR="00EF20DC" w:rsidRPr="00EF20DC" w:rsidRDefault="00EF20DC" w:rsidP="001F1094">
      <w:pPr>
        <w:numPr>
          <w:ilvl w:val="0"/>
          <w:numId w:val="4"/>
        </w:numPr>
        <w:spacing w:after="160" w:line="259" w:lineRule="auto"/>
        <w:ind w:left="567" w:hanging="567"/>
        <w:contextualSpacing/>
        <w:rPr>
          <w:rFonts w:eastAsia="Calibri"/>
          <w:sz w:val="22"/>
          <w:szCs w:val="22"/>
        </w:rPr>
      </w:pPr>
      <w:r w:rsidRPr="00EF20DC">
        <w:rPr>
          <w:rFonts w:eastAsia="Calibri"/>
          <w:sz w:val="22"/>
          <w:szCs w:val="22"/>
        </w:rPr>
        <w:t>Gydant paklitakseliu (225 mg/m</w:t>
      </w:r>
      <w:r w:rsidRPr="00EF20DC">
        <w:rPr>
          <w:rFonts w:eastAsia="Calibri"/>
          <w:sz w:val="22"/>
          <w:szCs w:val="22"/>
          <w:vertAlign w:val="superscript"/>
        </w:rPr>
        <w:t>2</w:t>
      </w:r>
      <w:r w:rsidRPr="00EF20DC">
        <w:rPr>
          <w:rFonts w:eastAsia="Calibri"/>
          <w:sz w:val="22"/>
          <w:szCs w:val="22"/>
        </w:rPr>
        <w:t xml:space="preserve"> kūno paviršiaus ploto, vieną kartą per 3 savaites) ir karboplatina (AUC</w:t>
      </w:r>
      <w:r w:rsidR="0025582B">
        <w:rPr>
          <w:rFonts w:eastAsia="Calibri"/>
          <w:sz w:val="22"/>
          <w:szCs w:val="22"/>
        </w:rPr>
        <w:t> </w:t>
      </w:r>
      <w:r w:rsidRPr="00EF20DC">
        <w:rPr>
          <w:rFonts w:eastAsia="Calibri"/>
          <w:sz w:val="22"/>
          <w:szCs w:val="22"/>
        </w:rPr>
        <w:t>=</w:t>
      </w:r>
      <w:r w:rsidR="0025582B">
        <w:rPr>
          <w:rFonts w:eastAsia="Calibri"/>
          <w:sz w:val="22"/>
          <w:szCs w:val="22"/>
        </w:rPr>
        <w:t> </w:t>
      </w:r>
      <w:r w:rsidRPr="00EF20DC">
        <w:rPr>
          <w:rFonts w:eastAsia="Calibri"/>
          <w:sz w:val="22"/>
          <w:szCs w:val="22"/>
        </w:rPr>
        <w:t>6) kartu su sorafenibu (400 mg du kartus per parą, nedarant pertraukos sorafenibo vartojime), 47 % padidėjo sorafenibo ekspozicija, 29</w:t>
      </w:r>
      <w:r w:rsidR="009216B1">
        <w:rPr>
          <w:rFonts w:eastAsia="Calibri"/>
          <w:sz w:val="22"/>
          <w:szCs w:val="22"/>
        </w:rPr>
        <w:t> </w:t>
      </w:r>
      <w:r w:rsidRPr="00EF20DC">
        <w:rPr>
          <w:rFonts w:eastAsia="Calibri"/>
          <w:sz w:val="22"/>
          <w:szCs w:val="22"/>
        </w:rPr>
        <w:t>% – paklitakselio ekspozicija ir 50</w:t>
      </w:r>
      <w:r w:rsidR="009216B1">
        <w:rPr>
          <w:rFonts w:eastAsia="Calibri"/>
          <w:sz w:val="22"/>
          <w:szCs w:val="22"/>
        </w:rPr>
        <w:t> </w:t>
      </w:r>
      <w:r w:rsidRPr="00EF20DC">
        <w:rPr>
          <w:rFonts w:eastAsia="Calibri"/>
          <w:sz w:val="22"/>
          <w:szCs w:val="22"/>
        </w:rPr>
        <w:t>% – 6-OH paklitakselio ekspozicija. Karboplatinos farmakokinetika</w:t>
      </w:r>
      <w:r w:rsidR="0004709E">
        <w:rPr>
          <w:rFonts w:eastAsia="Calibri"/>
          <w:sz w:val="22"/>
          <w:szCs w:val="22"/>
        </w:rPr>
        <w:t xml:space="preserve"> </w:t>
      </w:r>
      <w:r w:rsidR="00696F5B">
        <w:rPr>
          <w:rFonts w:eastAsia="Calibri"/>
          <w:sz w:val="22"/>
          <w:szCs w:val="22"/>
        </w:rPr>
        <w:t>ne</w:t>
      </w:r>
      <w:r w:rsidR="0004709E">
        <w:rPr>
          <w:rFonts w:eastAsia="Calibri"/>
          <w:sz w:val="22"/>
          <w:szCs w:val="22"/>
        </w:rPr>
        <w:t>buvo paveikta</w:t>
      </w:r>
      <w:r w:rsidRPr="00EF20DC">
        <w:rPr>
          <w:rFonts w:eastAsia="Calibri"/>
          <w:sz w:val="22"/>
          <w:szCs w:val="22"/>
        </w:rPr>
        <w:t>.</w:t>
      </w:r>
    </w:p>
    <w:p w14:paraId="62F2E125" w14:textId="77777777" w:rsidR="00EF20DC" w:rsidRPr="00EF20DC" w:rsidRDefault="00EF20DC" w:rsidP="001F1094">
      <w:pPr>
        <w:ind w:left="567"/>
        <w:contextualSpacing/>
        <w:rPr>
          <w:rFonts w:eastAsia="Calibri"/>
          <w:sz w:val="22"/>
          <w:szCs w:val="22"/>
        </w:rPr>
      </w:pPr>
    </w:p>
    <w:p w14:paraId="1AB43FF4" w14:textId="5C2EF18A" w:rsidR="00EF20DC" w:rsidRPr="00EF20DC" w:rsidRDefault="00EF20DC" w:rsidP="001F1094">
      <w:pPr>
        <w:rPr>
          <w:rFonts w:eastAsia="Calibri"/>
          <w:sz w:val="22"/>
          <w:szCs w:val="22"/>
        </w:rPr>
      </w:pPr>
      <w:r w:rsidRPr="00EF20DC">
        <w:rPr>
          <w:rFonts w:eastAsia="Calibri"/>
          <w:sz w:val="22"/>
          <w:szCs w:val="22"/>
        </w:rPr>
        <w:t>Šie duomenys rodo, kad vartojant paklitakselį ir karboplatiną kartu su sorafenibu, darant 3 parų pertrauką sorafenibo vartojime (dvi paras prieš vartojant paklitaksel</w:t>
      </w:r>
      <w:r w:rsidR="0004709E">
        <w:rPr>
          <w:rFonts w:eastAsia="Calibri"/>
          <w:sz w:val="22"/>
          <w:szCs w:val="22"/>
        </w:rPr>
        <w:t>io ir</w:t>
      </w:r>
      <w:r w:rsidRPr="00EF20DC">
        <w:rPr>
          <w:rFonts w:eastAsia="Calibri"/>
          <w:sz w:val="22"/>
          <w:szCs w:val="22"/>
        </w:rPr>
        <w:t xml:space="preserve"> karboplatin</w:t>
      </w:r>
      <w:r w:rsidR="0004709E">
        <w:rPr>
          <w:rFonts w:eastAsia="Calibri"/>
          <w:sz w:val="22"/>
          <w:szCs w:val="22"/>
        </w:rPr>
        <w:t>os derinį ir šio derinio</w:t>
      </w:r>
      <w:r w:rsidRPr="00EF20DC">
        <w:rPr>
          <w:rFonts w:eastAsia="Calibri"/>
          <w:sz w:val="22"/>
          <w:szCs w:val="22"/>
        </w:rPr>
        <w:t xml:space="preserve"> vartojimo parą), dozės keisti nereikia. Sorafenibo ir paklitakselio ekspozicijų padidėjim</w:t>
      </w:r>
      <w:r w:rsidR="00C25764">
        <w:rPr>
          <w:rFonts w:eastAsia="Calibri"/>
          <w:sz w:val="22"/>
          <w:szCs w:val="22"/>
        </w:rPr>
        <w:t>o</w:t>
      </w:r>
      <w:r w:rsidRPr="00EF20DC">
        <w:rPr>
          <w:rFonts w:eastAsia="Calibri"/>
          <w:sz w:val="22"/>
          <w:szCs w:val="22"/>
        </w:rPr>
        <w:t xml:space="preserve"> klinikinė reikšmė</w:t>
      </w:r>
      <w:r w:rsidR="007147F5">
        <w:rPr>
          <w:rFonts w:eastAsia="Calibri"/>
          <w:sz w:val="22"/>
          <w:szCs w:val="22"/>
        </w:rPr>
        <w:t>,</w:t>
      </w:r>
      <w:r w:rsidRPr="00EF20DC">
        <w:rPr>
          <w:rFonts w:eastAsia="Calibri"/>
          <w:sz w:val="22"/>
          <w:szCs w:val="22"/>
        </w:rPr>
        <w:t xml:space="preserve"> </w:t>
      </w:r>
      <w:r w:rsidR="007147F5" w:rsidRPr="00EF20DC">
        <w:rPr>
          <w:rFonts w:eastAsia="Calibri"/>
          <w:sz w:val="22"/>
          <w:szCs w:val="22"/>
        </w:rPr>
        <w:t>vartoj</w:t>
      </w:r>
      <w:r w:rsidR="007147F5">
        <w:rPr>
          <w:rFonts w:eastAsia="Calibri"/>
          <w:sz w:val="22"/>
          <w:szCs w:val="22"/>
        </w:rPr>
        <w:t>ant</w:t>
      </w:r>
      <w:r w:rsidR="007147F5" w:rsidRPr="00EF20DC">
        <w:rPr>
          <w:rFonts w:eastAsia="Calibri"/>
          <w:sz w:val="22"/>
          <w:szCs w:val="22"/>
        </w:rPr>
        <w:t xml:space="preserve"> </w:t>
      </w:r>
      <w:r w:rsidRPr="00EF20DC">
        <w:rPr>
          <w:rFonts w:eastAsia="Calibri"/>
          <w:sz w:val="22"/>
          <w:szCs w:val="22"/>
        </w:rPr>
        <w:t xml:space="preserve">sorafenibo </w:t>
      </w:r>
      <w:r w:rsidR="0004709E">
        <w:rPr>
          <w:rFonts w:eastAsia="Calibri"/>
          <w:sz w:val="22"/>
          <w:szCs w:val="22"/>
        </w:rPr>
        <w:t>be</w:t>
      </w:r>
      <w:r w:rsidRPr="00EF20DC">
        <w:rPr>
          <w:rFonts w:eastAsia="Calibri"/>
          <w:sz w:val="22"/>
          <w:szCs w:val="22"/>
        </w:rPr>
        <w:t xml:space="preserve"> pertraukos</w:t>
      </w:r>
      <w:r w:rsidR="007147F5">
        <w:rPr>
          <w:rFonts w:eastAsia="Calibri"/>
          <w:sz w:val="22"/>
          <w:szCs w:val="22"/>
        </w:rPr>
        <w:t>,</w:t>
      </w:r>
      <w:r w:rsidRPr="00EF20DC">
        <w:rPr>
          <w:rFonts w:eastAsia="Calibri"/>
          <w:sz w:val="22"/>
          <w:szCs w:val="22"/>
        </w:rPr>
        <w:t xml:space="preserve"> nežinoma. </w:t>
      </w:r>
    </w:p>
    <w:p w14:paraId="1006429E" w14:textId="79902B9E" w:rsidR="00EF20DC" w:rsidRPr="00EF20DC" w:rsidRDefault="00EF20DC" w:rsidP="001F1094">
      <w:pPr>
        <w:rPr>
          <w:rFonts w:eastAsia="Calibri"/>
          <w:sz w:val="22"/>
          <w:szCs w:val="22"/>
        </w:rPr>
      </w:pPr>
    </w:p>
    <w:p w14:paraId="5B366C1B"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Kapecitabinas </w:t>
      </w:r>
    </w:p>
    <w:p w14:paraId="51DE374D" w14:textId="5CD9A6F0" w:rsidR="00EF20DC" w:rsidRPr="00EF20DC" w:rsidRDefault="00EF20DC" w:rsidP="001F1094">
      <w:pPr>
        <w:rPr>
          <w:rFonts w:eastAsia="Calibri"/>
          <w:sz w:val="22"/>
          <w:szCs w:val="22"/>
        </w:rPr>
      </w:pPr>
      <w:r w:rsidRPr="00EF20DC">
        <w:rPr>
          <w:rFonts w:eastAsia="Calibri"/>
          <w:sz w:val="22"/>
          <w:szCs w:val="22"/>
        </w:rPr>
        <w:t>Gydant kapecitabinu (750–1050 mg/m</w:t>
      </w:r>
      <w:r w:rsidRPr="00EF20DC">
        <w:rPr>
          <w:rFonts w:eastAsia="Calibri"/>
          <w:sz w:val="22"/>
          <w:szCs w:val="22"/>
          <w:vertAlign w:val="superscript"/>
        </w:rPr>
        <w:t>2</w:t>
      </w:r>
      <w:r w:rsidRPr="00EF20DC">
        <w:rPr>
          <w:rFonts w:eastAsia="Calibri"/>
          <w:sz w:val="22"/>
          <w:szCs w:val="22"/>
        </w:rPr>
        <w:t xml:space="preserve"> kūno paviršiaus ploto du kartus per parą, 1–14-ą paromis kas 21 parą) ir sorafenibu (200 mg arba 400 mg du kartus per parą, nuolatinis nepertraukiamas vartojimas), reikšmingo pokyčio sorafenibo ekspozicijai nebuvo, bet 15–50 % padidėjo kapecitabino ekspozicija ir 0–52 % – 5-FU ekspozicija. Šių mažų ir vidutinių kapecitabino ir 5-FU ekspozicijų padidėjimų klinikinė reikšmė, kartu vartojant sorafenibą, nežinoma. </w:t>
      </w:r>
    </w:p>
    <w:p w14:paraId="54FC699A" w14:textId="24E62326" w:rsidR="00EF20DC" w:rsidRPr="00EF20DC" w:rsidRDefault="00EF20DC" w:rsidP="001F1094">
      <w:pPr>
        <w:rPr>
          <w:rFonts w:eastAsia="Calibri"/>
          <w:sz w:val="22"/>
          <w:szCs w:val="22"/>
        </w:rPr>
      </w:pPr>
    </w:p>
    <w:p w14:paraId="726C109C"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Doksorubicinas/irinotekanas </w:t>
      </w:r>
    </w:p>
    <w:p w14:paraId="36C61E71" w14:textId="4F9DB9B5" w:rsidR="00EF20DC" w:rsidRPr="00EF20DC" w:rsidRDefault="00EF20DC" w:rsidP="001F1094">
      <w:pPr>
        <w:rPr>
          <w:rFonts w:eastAsia="Calibri"/>
          <w:sz w:val="22"/>
          <w:szCs w:val="22"/>
        </w:rPr>
      </w:pPr>
      <w:r w:rsidRPr="00EF20DC">
        <w:rPr>
          <w:rFonts w:eastAsia="Calibri"/>
          <w:sz w:val="22"/>
          <w:szCs w:val="22"/>
        </w:rPr>
        <w:t>Kartu su sorafenibu vartojamo doksorubicino AUC padidėjo 21</w:t>
      </w:r>
      <w:r w:rsidR="00877815">
        <w:rPr>
          <w:rFonts w:eastAsia="Calibri"/>
          <w:sz w:val="22"/>
          <w:szCs w:val="22"/>
        </w:rPr>
        <w:t> </w:t>
      </w:r>
      <w:r w:rsidRPr="00EF20DC">
        <w:rPr>
          <w:rFonts w:eastAsia="Calibri"/>
          <w:sz w:val="22"/>
          <w:szCs w:val="22"/>
        </w:rPr>
        <w:t xml:space="preserve">%. Sorafenibo vartojant kartu su irinotekanu, kurio aktyvų metabolitą SN-38 metabolizuoja UGT 1A1, SN-38 AUC padidėjo 67–120 %, irinotekano AUC − 26–42 %. Klinikinė tokių pokyčių reikšmė nežinoma (žr. 4.4 skyrių). </w:t>
      </w:r>
    </w:p>
    <w:p w14:paraId="698AB2EF" w14:textId="77777777" w:rsidR="00EF20DC" w:rsidRPr="00EF20DC" w:rsidRDefault="00EF20DC" w:rsidP="001F1094">
      <w:pPr>
        <w:rPr>
          <w:rFonts w:eastAsia="Calibri"/>
          <w:sz w:val="22"/>
          <w:szCs w:val="22"/>
        </w:rPr>
      </w:pPr>
    </w:p>
    <w:p w14:paraId="08FF6B85"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Docetakselis </w:t>
      </w:r>
    </w:p>
    <w:p w14:paraId="49CC87FC" w14:textId="5AFDCBDC" w:rsidR="00EF20DC" w:rsidRPr="00EF20DC" w:rsidRDefault="00EF20DC" w:rsidP="001F1094">
      <w:pPr>
        <w:rPr>
          <w:rFonts w:eastAsia="Calibri"/>
          <w:sz w:val="22"/>
          <w:szCs w:val="22"/>
        </w:rPr>
      </w:pPr>
      <w:r w:rsidRPr="00EF20DC">
        <w:rPr>
          <w:rFonts w:eastAsia="Calibri"/>
          <w:sz w:val="22"/>
          <w:szCs w:val="22"/>
        </w:rPr>
        <w:t>Gydant docetakseliu (75 mg/m</w:t>
      </w:r>
      <w:r w:rsidRPr="00EF20DC">
        <w:rPr>
          <w:rFonts w:eastAsia="Calibri"/>
          <w:sz w:val="22"/>
          <w:szCs w:val="22"/>
          <w:vertAlign w:val="superscript"/>
        </w:rPr>
        <w:t xml:space="preserve">2 </w:t>
      </w:r>
      <w:r w:rsidRPr="00EF20DC">
        <w:rPr>
          <w:rFonts w:eastAsia="Calibri"/>
          <w:sz w:val="22"/>
          <w:szCs w:val="22"/>
        </w:rPr>
        <w:t>arba 100 mg/m</w:t>
      </w:r>
      <w:r w:rsidRPr="00EF20DC">
        <w:rPr>
          <w:rFonts w:eastAsia="Calibri"/>
          <w:sz w:val="22"/>
          <w:szCs w:val="22"/>
          <w:vertAlign w:val="superscript"/>
        </w:rPr>
        <w:t>2</w:t>
      </w:r>
      <w:r w:rsidRPr="00EF20DC">
        <w:rPr>
          <w:rFonts w:eastAsia="Calibri"/>
          <w:sz w:val="22"/>
          <w:szCs w:val="22"/>
        </w:rPr>
        <w:t xml:space="preserve"> kūno paviršiaus ploto dozė vartojama kas 21 parą) ir sorafenibu (21 paros gydymo ciklo metu nuo antros iki devynioliktos ciklo paros 2 kartus per parą vartojama 200 mg arba 400 mg dozė, darant 3 parų pertrauką docetakselio dozės vartojim</w:t>
      </w:r>
      <w:r w:rsidR="009216B1">
        <w:rPr>
          <w:rFonts w:eastAsia="Calibri"/>
          <w:sz w:val="22"/>
          <w:szCs w:val="22"/>
        </w:rPr>
        <w:t>o metu</w:t>
      </w:r>
      <w:r w:rsidRPr="00EF20DC">
        <w:rPr>
          <w:rFonts w:eastAsia="Calibri"/>
          <w:sz w:val="22"/>
          <w:szCs w:val="22"/>
        </w:rPr>
        <w:t>), docetakselio AUC padidėjo 36–80 %, C</w:t>
      </w:r>
      <w:r w:rsidRPr="00EF20DC">
        <w:rPr>
          <w:rFonts w:eastAsia="Calibri"/>
          <w:sz w:val="22"/>
          <w:szCs w:val="22"/>
          <w:vertAlign w:val="subscript"/>
        </w:rPr>
        <w:t>max</w:t>
      </w:r>
      <w:r w:rsidRPr="00EF20DC">
        <w:rPr>
          <w:rFonts w:eastAsia="Calibri"/>
          <w:sz w:val="22"/>
          <w:szCs w:val="22"/>
        </w:rPr>
        <w:t xml:space="preserve"> − 16–32 %. </w:t>
      </w:r>
      <w:r w:rsidR="007147F5">
        <w:rPr>
          <w:rFonts w:eastAsia="Calibri"/>
          <w:sz w:val="22"/>
          <w:szCs w:val="22"/>
        </w:rPr>
        <w:t>Vartojant</w:t>
      </w:r>
      <w:r w:rsidRPr="00EF20DC">
        <w:rPr>
          <w:rFonts w:eastAsia="Calibri"/>
          <w:sz w:val="22"/>
          <w:szCs w:val="22"/>
        </w:rPr>
        <w:t xml:space="preserve"> sorafenib</w:t>
      </w:r>
      <w:r w:rsidR="007147F5">
        <w:rPr>
          <w:rFonts w:eastAsia="Calibri"/>
          <w:sz w:val="22"/>
          <w:szCs w:val="22"/>
        </w:rPr>
        <w:t>o</w:t>
      </w:r>
      <w:r w:rsidRPr="00EF20DC">
        <w:rPr>
          <w:rFonts w:eastAsia="Calibri"/>
          <w:sz w:val="22"/>
          <w:szCs w:val="22"/>
        </w:rPr>
        <w:t xml:space="preserve"> kartu </w:t>
      </w:r>
      <w:r w:rsidR="007147F5">
        <w:rPr>
          <w:rFonts w:eastAsia="Calibri"/>
          <w:sz w:val="22"/>
          <w:szCs w:val="22"/>
        </w:rPr>
        <w:t xml:space="preserve">su </w:t>
      </w:r>
      <w:r w:rsidRPr="00EF20DC">
        <w:rPr>
          <w:rFonts w:eastAsia="Calibri"/>
          <w:sz w:val="22"/>
          <w:szCs w:val="22"/>
        </w:rPr>
        <w:t xml:space="preserve">docetakseliu </w:t>
      </w:r>
      <w:r w:rsidR="007147F5">
        <w:rPr>
          <w:rFonts w:eastAsia="Calibri"/>
          <w:sz w:val="22"/>
          <w:szCs w:val="22"/>
        </w:rPr>
        <w:t>rekomenduojama laikytis atsargumo</w:t>
      </w:r>
      <w:r w:rsidRPr="00EF20DC">
        <w:rPr>
          <w:rFonts w:eastAsia="Calibri"/>
          <w:sz w:val="22"/>
          <w:szCs w:val="22"/>
        </w:rPr>
        <w:t xml:space="preserve"> (žr. 4.4 skyrių). </w:t>
      </w:r>
    </w:p>
    <w:p w14:paraId="4689B101" w14:textId="77777777" w:rsidR="00EF20DC" w:rsidRPr="00EF20DC" w:rsidRDefault="00EF20DC" w:rsidP="001F1094">
      <w:pPr>
        <w:rPr>
          <w:rFonts w:eastAsia="Calibri"/>
          <w:sz w:val="22"/>
          <w:szCs w:val="22"/>
        </w:rPr>
      </w:pPr>
    </w:p>
    <w:p w14:paraId="2B5840C4" w14:textId="473D7B9D" w:rsidR="00EF20DC" w:rsidRPr="00EF20DC" w:rsidRDefault="00EF20DC" w:rsidP="001F1094">
      <w:pPr>
        <w:rPr>
          <w:rFonts w:eastAsia="Calibri"/>
          <w:sz w:val="22"/>
          <w:szCs w:val="22"/>
          <w:u w:val="single"/>
        </w:rPr>
      </w:pPr>
      <w:r w:rsidRPr="00EF20DC">
        <w:rPr>
          <w:rFonts w:eastAsia="Calibri"/>
          <w:sz w:val="22"/>
          <w:szCs w:val="22"/>
          <w:u w:val="single"/>
        </w:rPr>
        <w:t>Vartojimas su kit</w:t>
      </w:r>
      <w:r w:rsidR="002A6944">
        <w:rPr>
          <w:rFonts w:eastAsia="Calibri"/>
          <w:sz w:val="22"/>
          <w:szCs w:val="22"/>
          <w:u w:val="single"/>
        </w:rPr>
        <w:t>omis medžiagomis</w:t>
      </w:r>
      <w:r w:rsidR="005E681E">
        <w:rPr>
          <w:rFonts w:eastAsia="Calibri"/>
          <w:sz w:val="22"/>
          <w:szCs w:val="22"/>
          <w:u w:val="single"/>
        </w:rPr>
        <w:t xml:space="preserve"> </w:t>
      </w:r>
    </w:p>
    <w:p w14:paraId="73B96B07" w14:textId="77777777" w:rsidR="00EF20DC" w:rsidRPr="00EF20DC" w:rsidRDefault="00EF20DC" w:rsidP="001F1094">
      <w:pPr>
        <w:rPr>
          <w:rFonts w:eastAsia="Calibri"/>
          <w:i/>
          <w:sz w:val="22"/>
          <w:szCs w:val="22"/>
        </w:rPr>
      </w:pPr>
    </w:p>
    <w:p w14:paraId="2B4BE4DA" w14:textId="77777777" w:rsidR="00EF20DC" w:rsidRPr="00EF20DC" w:rsidRDefault="00EF20DC" w:rsidP="001F1094">
      <w:pPr>
        <w:rPr>
          <w:rFonts w:eastAsia="Calibri"/>
          <w:i/>
          <w:sz w:val="22"/>
          <w:szCs w:val="22"/>
        </w:rPr>
      </w:pPr>
      <w:r w:rsidRPr="00EF20DC">
        <w:rPr>
          <w:rFonts w:eastAsia="Calibri"/>
          <w:i/>
          <w:sz w:val="22"/>
          <w:szCs w:val="22"/>
        </w:rPr>
        <w:t xml:space="preserve">Neomicinas </w:t>
      </w:r>
    </w:p>
    <w:p w14:paraId="19975C09" w14:textId="77777777" w:rsidR="00EF20DC" w:rsidRPr="00EF20DC" w:rsidRDefault="00EF20DC" w:rsidP="001F1094">
      <w:pPr>
        <w:rPr>
          <w:rFonts w:eastAsia="Calibri"/>
          <w:sz w:val="22"/>
          <w:szCs w:val="22"/>
        </w:rPr>
      </w:pPr>
      <w:r w:rsidRPr="00EF20DC">
        <w:rPr>
          <w:rFonts w:eastAsia="Calibri"/>
          <w:sz w:val="22"/>
          <w:szCs w:val="22"/>
        </w:rPr>
        <w:t xml:space="preserve">Kartu vartojamas nesisteminis antimikrobinis </w:t>
      </w:r>
      <w:r w:rsidR="007147F5">
        <w:rPr>
          <w:rFonts w:eastAsia="Calibri"/>
          <w:sz w:val="22"/>
          <w:szCs w:val="22"/>
        </w:rPr>
        <w:t xml:space="preserve">vaistinis </w:t>
      </w:r>
      <w:r w:rsidRPr="00EF20DC">
        <w:rPr>
          <w:rFonts w:eastAsia="Calibri"/>
          <w:sz w:val="22"/>
          <w:szCs w:val="22"/>
        </w:rPr>
        <w:t>preparatas virškinimo trakto floros išnaikinimui</w:t>
      </w:r>
      <w:r w:rsidR="007147F5" w:rsidRPr="007147F5">
        <w:rPr>
          <w:rFonts w:eastAsia="Calibri"/>
          <w:sz w:val="22"/>
          <w:szCs w:val="22"/>
        </w:rPr>
        <w:t xml:space="preserve"> </w:t>
      </w:r>
      <w:r w:rsidR="007147F5" w:rsidRPr="00EF20DC">
        <w:rPr>
          <w:rFonts w:eastAsia="Calibri"/>
          <w:sz w:val="22"/>
          <w:szCs w:val="22"/>
        </w:rPr>
        <w:t>neomicinas</w:t>
      </w:r>
      <w:r w:rsidRPr="00EF20DC">
        <w:rPr>
          <w:rFonts w:eastAsia="Calibri"/>
          <w:sz w:val="22"/>
          <w:szCs w:val="22"/>
        </w:rPr>
        <w:t xml:space="preserve"> veikia enterohepatinę sorafenibo recirkuliaciją (žr. 5.2 skyrių „Metabolizmas ir eliminacija“), todėl sumažėja sorafenibo ekspozicija. 5 dienas neomicino vartojusiems sveikiems savanoriams vidutinė sorafenibo ekspozicija sumažėjo 54 %. Kitų antibiotikų poveikis nebuvo tirtas, tačiau tikėtinai priklausys nuo jų geb</w:t>
      </w:r>
      <w:r w:rsidR="007147F5">
        <w:rPr>
          <w:rFonts w:eastAsia="Calibri"/>
          <w:sz w:val="22"/>
          <w:szCs w:val="22"/>
        </w:rPr>
        <w:t>os</w:t>
      </w:r>
      <w:r w:rsidRPr="00EF20DC">
        <w:rPr>
          <w:rFonts w:eastAsia="Calibri"/>
          <w:sz w:val="22"/>
          <w:szCs w:val="22"/>
        </w:rPr>
        <w:t xml:space="preserve"> veikti mikroorganizmus</w:t>
      </w:r>
      <w:r w:rsidR="00E63DFB">
        <w:rPr>
          <w:rFonts w:eastAsia="Calibri"/>
          <w:sz w:val="22"/>
          <w:szCs w:val="22"/>
        </w:rPr>
        <w:t>, kuriuose yra aktyvi</w:t>
      </w:r>
      <w:r w:rsidRPr="00EF20DC">
        <w:rPr>
          <w:rFonts w:eastAsia="Calibri"/>
          <w:sz w:val="22"/>
          <w:szCs w:val="22"/>
        </w:rPr>
        <w:t xml:space="preserve"> gliukuronida</w:t>
      </w:r>
      <w:r w:rsidR="00E63DFB">
        <w:rPr>
          <w:rFonts w:eastAsia="Calibri"/>
          <w:sz w:val="22"/>
          <w:szCs w:val="22"/>
        </w:rPr>
        <w:t>zė</w:t>
      </w:r>
      <w:r w:rsidRPr="00EF20DC">
        <w:rPr>
          <w:rFonts w:eastAsia="Calibri"/>
          <w:sz w:val="22"/>
          <w:szCs w:val="22"/>
        </w:rPr>
        <w:t xml:space="preserve">. </w:t>
      </w:r>
    </w:p>
    <w:p w14:paraId="5EB27AC4" w14:textId="77777777" w:rsidR="00EF20DC" w:rsidRPr="00EF20DC" w:rsidRDefault="00EF20DC" w:rsidP="001F1094">
      <w:pPr>
        <w:rPr>
          <w:rFonts w:eastAsia="Calibri"/>
          <w:sz w:val="22"/>
          <w:szCs w:val="22"/>
        </w:rPr>
      </w:pPr>
    </w:p>
    <w:p w14:paraId="001CA592" w14:textId="77777777" w:rsidR="00EF20DC" w:rsidRPr="00EF20DC" w:rsidRDefault="00EF20DC" w:rsidP="001F1094">
      <w:pPr>
        <w:ind w:left="567" w:hanging="567"/>
        <w:rPr>
          <w:rFonts w:eastAsia="SimSun"/>
          <w:b/>
          <w:sz w:val="22"/>
          <w:szCs w:val="22"/>
          <w:lang w:eastAsia="zh-CN"/>
        </w:rPr>
      </w:pPr>
      <w:r w:rsidRPr="00EF20DC">
        <w:rPr>
          <w:rFonts w:eastAsia="SimSun"/>
          <w:b/>
          <w:sz w:val="22"/>
          <w:szCs w:val="22"/>
          <w:lang w:eastAsia="zh-CN"/>
        </w:rPr>
        <w:t>4.6</w:t>
      </w:r>
      <w:r w:rsidRPr="00EF20DC">
        <w:rPr>
          <w:rFonts w:eastAsia="SimSun"/>
          <w:b/>
          <w:sz w:val="22"/>
          <w:szCs w:val="22"/>
          <w:lang w:eastAsia="zh-CN"/>
        </w:rPr>
        <w:tab/>
        <w:t>Vaisingumas, nėštumo ir žindymo laikotarpis</w:t>
      </w:r>
    </w:p>
    <w:p w14:paraId="660888E2" w14:textId="77777777" w:rsidR="00EF20DC" w:rsidRPr="00EF20DC" w:rsidRDefault="00EF20DC" w:rsidP="001F1094">
      <w:pPr>
        <w:rPr>
          <w:rFonts w:eastAsia="Calibri"/>
          <w:sz w:val="22"/>
          <w:szCs w:val="22"/>
        </w:rPr>
      </w:pPr>
    </w:p>
    <w:p w14:paraId="707844CE"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Nėštumas </w:t>
      </w:r>
    </w:p>
    <w:p w14:paraId="50F480FB" w14:textId="77777777" w:rsidR="00EF20DC" w:rsidRPr="00EF20DC" w:rsidRDefault="00EF20DC" w:rsidP="001F1094">
      <w:pPr>
        <w:rPr>
          <w:rFonts w:eastAsia="Calibri"/>
          <w:sz w:val="22"/>
          <w:szCs w:val="22"/>
        </w:rPr>
      </w:pPr>
      <w:r w:rsidRPr="00EF20DC">
        <w:rPr>
          <w:rFonts w:eastAsia="Calibri"/>
          <w:sz w:val="22"/>
          <w:szCs w:val="22"/>
        </w:rPr>
        <w:t xml:space="preserve">Duomenų apie sorafenibo vartojimą nėštumo metu nėra. Su gyvūnais atlikti tyrimai parodė toksinį poveikį reprodukcijai, įskaitant sklaidos sutrikimus (žr. 5.3 skyrių). Tyrimais su žiurkėmis įrodyta, kad sorafenibas </w:t>
      </w:r>
      <w:r w:rsidR="00E63DFB">
        <w:rPr>
          <w:rFonts w:eastAsia="Calibri"/>
          <w:sz w:val="22"/>
          <w:szCs w:val="22"/>
        </w:rPr>
        <w:t>ir</w:t>
      </w:r>
      <w:r w:rsidRPr="00EF20DC">
        <w:rPr>
          <w:rFonts w:eastAsia="Calibri"/>
          <w:sz w:val="22"/>
          <w:szCs w:val="22"/>
        </w:rPr>
        <w:t xml:space="preserve"> jo metabolitai prasiskverbia per placentą, </w:t>
      </w:r>
      <w:r w:rsidR="00E63DFB">
        <w:rPr>
          <w:rFonts w:eastAsia="Calibri"/>
          <w:sz w:val="22"/>
          <w:szCs w:val="22"/>
        </w:rPr>
        <w:t>todėl</w:t>
      </w:r>
      <w:r w:rsidRPr="00EF20DC">
        <w:rPr>
          <w:rFonts w:eastAsia="Calibri"/>
          <w:sz w:val="22"/>
          <w:szCs w:val="22"/>
        </w:rPr>
        <w:t xml:space="preserve"> tikėtina, kad sorafenibas sukelia kenksmingą poveikį vaisiui. Nėštumo metu sorafenibo vartoti negalima, išskyrus būtiniausius atvejus ir tik atidžiai </w:t>
      </w:r>
      <w:r w:rsidR="00E63DFB">
        <w:rPr>
          <w:rFonts w:eastAsia="Calibri"/>
          <w:sz w:val="22"/>
          <w:szCs w:val="22"/>
        </w:rPr>
        <w:t>išnagrinėjus</w:t>
      </w:r>
      <w:r w:rsidRPr="00EF20DC">
        <w:rPr>
          <w:rFonts w:eastAsia="Calibri"/>
          <w:sz w:val="22"/>
          <w:szCs w:val="22"/>
        </w:rPr>
        <w:t xml:space="preserve"> </w:t>
      </w:r>
      <w:r w:rsidRPr="00EF20DC">
        <w:rPr>
          <w:rFonts w:eastAsia="Calibri"/>
          <w:sz w:val="22"/>
          <w:szCs w:val="22"/>
        </w:rPr>
        <w:lastRenderedPageBreak/>
        <w:t>naud</w:t>
      </w:r>
      <w:r w:rsidR="00E63DFB">
        <w:rPr>
          <w:rFonts w:eastAsia="Calibri"/>
          <w:sz w:val="22"/>
          <w:szCs w:val="22"/>
        </w:rPr>
        <w:t>ą</w:t>
      </w:r>
      <w:r w:rsidRPr="00EF20DC">
        <w:rPr>
          <w:rFonts w:eastAsia="Calibri"/>
          <w:sz w:val="22"/>
          <w:szCs w:val="22"/>
        </w:rPr>
        <w:t xml:space="preserve"> moteriai ir rizik</w:t>
      </w:r>
      <w:r w:rsidR="00E63DFB">
        <w:rPr>
          <w:rFonts w:eastAsia="Calibri"/>
          <w:sz w:val="22"/>
          <w:szCs w:val="22"/>
        </w:rPr>
        <w:t>ą</w:t>
      </w:r>
      <w:r w:rsidRPr="00EF20DC">
        <w:rPr>
          <w:rFonts w:eastAsia="Calibri"/>
          <w:sz w:val="22"/>
          <w:szCs w:val="22"/>
        </w:rPr>
        <w:t xml:space="preserve"> vaisiui.</w:t>
      </w:r>
      <w:r w:rsidR="00E63DFB">
        <w:rPr>
          <w:rFonts w:eastAsia="Calibri"/>
          <w:sz w:val="22"/>
          <w:szCs w:val="22"/>
        </w:rPr>
        <w:t xml:space="preserve"> </w:t>
      </w:r>
      <w:r w:rsidRPr="00EF20DC">
        <w:rPr>
          <w:rFonts w:eastAsia="Calibri"/>
          <w:sz w:val="22"/>
          <w:szCs w:val="22"/>
        </w:rPr>
        <w:t>Vaisingo amžiaus moterys turi naudoti veiksmingą kontracepcijos metodą gydymo metu.</w:t>
      </w:r>
    </w:p>
    <w:p w14:paraId="4F04F79F" w14:textId="77777777" w:rsidR="00EF20DC" w:rsidRPr="00EF20DC" w:rsidRDefault="00EF20DC" w:rsidP="001F1094">
      <w:pPr>
        <w:rPr>
          <w:rFonts w:eastAsia="Calibri"/>
          <w:sz w:val="22"/>
          <w:szCs w:val="22"/>
        </w:rPr>
      </w:pPr>
    </w:p>
    <w:p w14:paraId="0C9C71D2"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Žindymas </w:t>
      </w:r>
    </w:p>
    <w:p w14:paraId="68C73DB5" w14:textId="77D55D19" w:rsidR="00EF20DC" w:rsidRPr="00EF20DC" w:rsidRDefault="00EF20DC" w:rsidP="001F1094">
      <w:pPr>
        <w:rPr>
          <w:rFonts w:eastAsia="Calibri"/>
          <w:sz w:val="22"/>
          <w:szCs w:val="22"/>
        </w:rPr>
      </w:pPr>
      <w:r w:rsidRPr="00EF20DC">
        <w:rPr>
          <w:rFonts w:eastAsia="Calibri"/>
          <w:sz w:val="22"/>
          <w:szCs w:val="22"/>
        </w:rPr>
        <w:t>Nežinoma, ar sorafenibas išs</w:t>
      </w:r>
      <w:r w:rsidR="00E63DFB">
        <w:rPr>
          <w:rFonts w:eastAsia="Calibri"/>
          <w:sz w:val="22"/>
          <w:szCs w:val="22"/>
        </w:rPr>
        <w:t>kiriamas</w:t>
      </w:r>
      <w:r w:rsidRPr="00EF20DC">
        <w:rPr>
          <w:rFonts w:eastAsia="Calibri"/>
          <w:sz w:val="22"/>
          <w:szCs w:val="22"/>
        </w:rPr>
        <w:t xml:space="preserve"> į žindyvės pieną. </w:t>
      </w:r>
      <w:r w:rsidR="00E63DFB">
        <w:rPr>
          <w:rFonts w:eastAsia="Calibri"/>
          <w:sz w:val="22"/>
          <w:szCs w:val="22"/>
        </w:rPr>
        <w:t>Tyrimų su gyvūnais metu s</w:t>
      </w:r>
      <w:r w:rsidRPr="00EF20DC">
        <w:rPr>
          <w:rFonts w:eastAsia="Calibri"/>
          <w:sz w:val="22"/>
          <w:szCs w:val="22"/>
        </w:rPr>
        <w:t>orafenib</w:t>
      </w:r>
      <w:r w:rsidR="00AC0FDF">
        <w:rPr>
          <w:rFonts w:eastAsia="Calibri"/>
          <w:sz w:val="22"/>
          <w:szCs w:val="22"/>
        </w:rPr>
        <w:t>o</w:t>
      </w:r>
      <w:r w:rsidRPr="00EF20DC">
        <w:rPr>
          <w:rFonts w:eastAsia="Calibri"/>
          <w:sz w:val="22"/>
          <w:szCs w:val="22"/>
        </w:rPr>
        <w:t xml:space="preserve"> ir (arba) jo metabolit</w:t>
      </w:r>
      <w:r w:rsidR="00AC0FDF">
        <w:rPr>
          <w:rFonts w:eastAsia="Calibri"/>
          <w:sz w:val="22"/>
          <w:szCs w:val="22"/>
        </w:rPr>
        <w:t>ų</w:t>
      </w:r>
      <w:r w:rsidRPr="00EF20DC">
        <w:rPr>
          <w:rFonts w:eastAsia="Calibri"/>
          <w:sz w:val="22"/>
          <w:szCs w:val="22"/>
        </w:rPr>
        <w:t xml:space="preserve"> </w:t>
      </w:r>
      <w:r w:rsidR="00E63DFB">
        <w:rPr>
          <w:rFonts w:eastAsia="Calibri"/>
          <w:sz w:val="22"/>
          <w:szCs w:val="22"/>
        </w:rPr>
        <w:t>buvo išskirt</w:t>
      </w:r>
      <w:r w:rsidR="00AC0FDF">
        <w:rPr>
          <w:rFonts w:eastAsia="Calibri"/>
          <w:sz w:val="22"/>
          <w:szCs w:val="22"/>
        </w:rPr>
        <w:t>a</w:t>
      </w:r>
      <w:r w:rsidR="00E63DFB">
        <w:rPr>
          <w:rFonts w:eastAsia="Calibri"/>
          <w:sz w:val="22"/>
          <w:szCs w:val="22"/>
        </w:rPr>
        <w:t xml:space="preserve"> į</w:t>
      </w:r>
      <w:r w:rsidRPr="00EF20DC">
        <w:rPr>
          <w:rFonts w:eastAsia="Calibri"/>
          <w:sz w:val="22"/>
          <w:szCs w:val="22"/>
        </w:rPr>
        <w:t xml:space="preserve"> pieną. Kadangi sorafenibas gali trikdyti kūdikio augimą ir vystymąsi (žr. 5.3 skyrių), moterims gydymo sorafenibu metu kūdikio žindyti negalima. </w:t>
      </w:r>
    </w:p>
    <w:p w14:paraId="3E974057" w14:textId="77777777" w:rsidR="00EF20DC" w:rsidRPr="00EF20DC" w:rsidRDefault="00EF20DC" w:rsidP="001F1094">
      <w:pPr>
        <w:rPr>
          <w:rFonts w:eastAsia="Calibri"/>
          <w:sz w:val="22"/>
          <w:szCs w:val="22"/>
        </w:rPr>
      </w:pPr>
    </w:p>
    <w:p w14:paraId="4B8C1F8C"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Vaisingumas </w:t>
      </w:r>
    </w:p>
    <w:p w14:paraId="59A324CF" w14:textId="4F618BBB" w:rsidR="00EF20DC" w:rsidRPr="00EF20DC" w:rsidRDefault="00EF20DC" w:rsidP="001F1094">
      <w:pPr>
        <w:rPr>
          <w:rFonts w:eastAsia="Calibri"/>
          <w:sz w:val="22"/>
          <w:szCs w:val="22"/>
        </w:rPr>
      </w:pPr>
      <w:r w:rsidRPr="00EF20DC">
        <w:rPr>
          <w:rFonts w:eastAsia="Calibri"/>
          <w:sz w:val="22"/>
          <w:szCs w:val="22"/>
        </w:rPr>
        <w:t xml:space="preserve">Tyrimų su gyvūnais rezultatai rodo, kad sorafenibas gali </w:t>
      </w:r>
      <w:r w:rsidR="00CB1D25">
        <w:rPr>
          <w:rFonts w:eastAsia="Calibri"/>
          <w:sz w:val="22"/>
          <w:szCs w:val="22"/>
        </w:rPr>
        <w:t>pakenkti</w:t>
      </w:r>
      <w:r w:rsidR="00CB1D25" w:rsidRPr="00EF20DC">
        <w:rPr>
          <w:rFonts w:eastAsia="Calibri"/>
          <w:sz w:val="22"/>
          <w:szCs w:val="22"/>
        </w:rPr>
        <w:t xml:space="preserve"> </w:t>
      </w:r>
      <w:r w:rsidRPr="00EF20DC">
        <w:rPr>
          <w:rFonts w:eastAsia="Calibri"/>
          <w:sz w:val="22"/>
          <w:szCs w:val="22"/>
        </w:rPr>
        <w:t>vyrų ir moterų vaisingum</w:t>
      </w:r>
      <w:r w:rsidR="00CB1D25">
        <w:rPr>
          <w:rFonts w:eastAsia="Calibri"/>
          <w:sz w:val="22"/>
          <w:szCs w:val="22"/>
        </w:rPr>
        <w:t xml:space="preserve">ui </w:t>
      </w:r>
      <w:r w:rsidRPr="00EF20DC">
        <w:rPr>
          <w:rFonts w:eastAsia="Calibri"/>
          <w:sz w:val="22"/>
          <w:szCs w:val="22"/>
        </w:rPr>
        <w:t xml:space="preserve">(žr. 5.3 skyrių). </w:t>
      </w:r>
    </w:p>
    <w:p w14:paraId="62C80911" w14:textId="77777777" w:rsidR="00EF20DC" w:rsidRPr="00EF20DC" w:rsidRDefault="00EF20DC" w:rsidP="001F1094">
      <w:pPr>
        <w:rPr>
          <w:rFonts w:eastAsia="Calibri"/>
          <w:sz w:val="22"/>
          <w:szCs w:val="22"/>
        </w:rPr>
      </w:pPr>
    </w:p>
    <w:p w14:paraId="2F10B249" w14:textId="77777777" w:rsidR="00EF20DC" w:rsidRPr="00EF20DC" w:rsidRDefault="00EF20DC" w:rsidP="001F1094">
      <w:pPr>
        <w:ind w:left="567" w:hanging="567"/>
        <w:rPr>
          <w:rFonts w:eastAsia="SimSun"/>
          <w:b/>
          <w:sz w:val="22"/>
          <w:szCs w:val="22"/>
          <w:lang w:eastAsia="zh-CN"/>
        </w:rPr>
      </w:pPr>
      <w:r w:rsidRPr="00EF20DC">
        <w:rPr>
          <w:rFonts w:eastAsia="SimSun"/>
          <w:b/>
          <w:sz w:val="22"/>
          <w:szCs w:val="22"/>
          <w:lang w:eastAsia="zh-CN"/>
        </w:rPr>
        <w:t>4.7</w:t>
      </w:r>
      <w:r w:rsidRPr="00EF20DC">
        <w:rPr>
          <w:rFonts w:eastAsia="SimSun"/>
          <w:b/>
          <w:sz w:val="22"/>
          <w:szCs w:val="22"/>
          <w:lang w:eastAsia="zh-CN"/>
        </w:rPr>
        <w:tab/>
        <w:t>Poveikis gebėjimui vairuoti ir valdyti mechanizmus</w:t>
      </w:r>
    </w:p>
    <w:p w14:paraId="2E945D95" w14:textId="77777777" w:rsidR="00EF20DC" w:rsidRPr="00EF20DC" w:rsidRDefault="00EF20DC" w:rsidP="001F1094">
      <w:pPr>
        <w:rPr>
          <w:rFonts w:eastAsia="Calibri"/>
          <w:sz w:val="22"/>
          <w:szCs w:val="22"/>
        </w:rPr>
      </w:pPr>
      <w:r w:rsidRPr="00EF20DC">
        <w:rPr>
          <w:rFonts w:eastAsia="Calibri"/>
          <w:sz w:val="22"/>
          <w:szCs w:val="22"/>
        </w:rPr>
        <w:t xml:space="preserve"> </w:t>
      </w:r>
    </w:p>
    <w:p w14:paraId="0CD6E66A" w14:textId="0AD1D559" w:rsidR="00EF20DC" w:rsidRPr="00EF20DC" w:rsidRDefault="00EF20DC" w:rsidP="001F1094">
      <w:pPr>
        <w:rPr>
          <w:rFonts w:eastAsia="Calibri"/>
          <w:sz w:val="22"/>
          <w:szCs w:val="22"/>
        </w:rPr>
      </w:pPr>
      <w:r w:rsidRPr="00EF20DC">
        <w:rPr>
          <w:rFonts w:eastAsia="Calibri"/>
          <w:sz w:val="22"/>
          <w:szCs w:val="22"/>
        </w:rPr>
        <w:t xml:space="preserve">Poveikio gebėjimui vairuoti ir valdyti mechanizmus tyrimų neatlikta. Kad sorafenibas darytų įtaką gebėjimui vairuoti ir valdyti mechanizmus, </w:t>
      </w:r>
      <w:r w:rsidR="001D6294">
        <w:rPr>
          <w:rFonts w:eastAsia="Calibri"/>
          <w:sz w:val="22"/>
          <w:szCs w:val="22"/>
        </w:rPr>
        <w:t>įrodymų</w:t>
      </w:r>
      <w:r w:rsidRPr="00EF20DC">
        <w:rPr>
          <w:rFonts w:eastAsia="Calibri"/>
          <w:sz w:val="22"/>
          <w:szCs w:val="22"/>
        </w:rPr>
        <w:t xml:space="preserve"> nėra. </w:t>
      </w:r>
    </w:p>
    <w:p w14:paraId="2B521659" w14:textId="77777777" w:rsidR="00EF20DC" w:rsidRPr="00EF20DC" w:rsidRDefault="00EF20DC" w:rsidP="001F1094">
      <w:pPr>
        <w:rPr>
          <w:rFonts w:eastAsia="Calibri"/>
          <w:sz w:val="22"/>
          <w:szCs w:val="22"/>
        </w:rPr>
      </w:pPr>
    </w:p>
    <w:p w14:paraId="073023C3" w14:textId="77777777" w:rsidR="00EF20DC" w:rsidRPr="00EF20DC" w:rsidRDefault="00EF20DC" w:rsidP="001F1094">
      <w:pPr>
        <w:ind w:left="567" w:hanging="567"/>
        <w:rPr>
          <w:rFonts w:eastAsia="SimSun"/>
          <w:b/>
          <w:sz w:val="22"/>
          <w:szCs w:val="22"/>
          <w:lang w:eastAsia="zh-CN"/>
        </w:rPr>
      </w:pPr>
      <w:r w:rsidRPr="00EF20DC">
        <w:rPr>
          <w:rFonts w:eastAsia="SimSun"/>
          <w:b/>
          <w:sz w:val="22"/>
          <w:szCs w:val="22"/>
          <w:lang w:eastAsia="zh-CN"/>
        </w:rPr>
        <w:t>4.8</w:t>
      </w:r>
      <w:r w:rsidRPr="00EF20DC">
        <w:rPr>
          <w:rFonts w:eastAsia="SimSun"/>
          <w:b/>
          <w:sz w:val="22"/>
          <w:szCs w:val="22"/>
          <w:lang w:eastAsia="zh-CN"/>
        </w:rPr>
        <w:tab/>
        <w:t>Nepageidaujamas poveikis</w:t>
      </w:r>
    </w:p>
    <w:p w14:paraId="5CD891A2" w14:textId="77777777" w:rsidR="00EF20DC" w:rsidRPr="00EF20DC" w:rsidRDefault="00EF20DC" w:rsidP="001F1094">
      <w:pPr>
        <w:rPr>
          <w:rFonts w:eastAsia="Calibri"/>
          <w:sz w:val="22"/>
          <w:szCs w:val="22"/>
        </w:rPr>
      </w:pPr>
    </w:p>
    <w:p w14:paraId="7B57CA9D" w14:textId="6B580BAA" w:rsidR="00EF20DC" w:rsidRPr="00EF20DC" w:rsidRDefault="00EF20DC" w:rsidP="001F1094">
      <w:pPr>
        <w:rPr>
          <w:rFonts w:eastAsia="Calibri"/>
          <w:sz w:val="22"/>
          <w:szCs w:val="22"/>
        </w:rPr>
      </w:pPr>
      <w:r w:rsidRPr="00EF20DC">
        <w:rPr>
          <w:rFonts w:eastAsia="Calibri"/>
          <w:sz w:val="22"/>
          <w:szCs w:val="22"/>
        </w:rPr>
        <w:t>Svarbiausios sunkios nepageidaujamos reakcijos buvo miokardo infarktas (išemija), virškinimo trakto perforacija (prakiurimas), vaist</w:t>
      </w:r>
      <w:r w:rsidR="007E70E3">
        <w:rPr>
          <w:rFonts w:eastAsia="Calibri"/>
          <w:sz w:val="22"/>
          <w:szCs w:val="22"/>
        </w:rPr>
        <w:t>ini</w:t>
      </w:r>
      <w:r w:rsidR="00AD46E8">
        <w:rPr>
          <w:rFonts w:eastAsia="Calibri"/>
          <w:sz w:val="22"/>
          <w:szCs w:val="22"/>
        </w:rPr>
        <w:t>o</w:t>
      </w:r>
      <w:r w:rsidR="007E70E3">
        <w:rPr>
          <w:rFonts w:eastAsia="Calibri"/>
          <w:sz w:val="22"/>
          <w:szCs w:val="22"/>
        </w:rPr>
        <w:t xml:space="preserve"> preparat</w:t>
      </w:r>
      <w:r w:rsidR="00AD46E8">
        <w:rPr>
          <w:rFonts w:eastAsia="Calibri"/>
          <w:sz w:val="22"/>
          <w:szCs w:val="22"/>
        </w:rPr>
        <w:t>o</w:t>
      </w:r>
      <w:r w:rsidRPr="00EF20DC">
        <w:rPr>
          <w:rFonts w:eastAsia="Calibri"/>
          <w:sz w:val="22"/>
          <w:szCs w:val="22"/>
        </w:rPr>
        <w:t xml:space="preserve"> sukeltas hepatitas, hemoragija ir hipertenzija arba hipertenzinė krizė. </w:t>
      </w:r>
    </w:p>
    <w:p w14:paraId="7204F646" w14:textId="6CAFEED8" w:rsidR="00EF20DC" w:rsidRPr="00EF20DC" w:rsidRDefault="00EF20DC" w:rsidP="001F1094">
      <w:pPr>
        <w:rPr>
          <w:rFonts w:eastAsia="Calibri"/>
          <w:sz w:val="22"/>
          <w:szCs w:val="22"/>
        </w:rPr>
      </w:pPr>
    </w:p>
    <w:p w14:paraId="4368C468" w14:textId="77777777" w:rsidR="00EF20DC" w:rsidRPr="00EF20DC" w:rsidRDefault="00EF20DC" w:rsidP="001F1094">
      <w:pPr>
        <w:rPr>
          <w:rFonts w:eastAsia="Calibri"/>
          <w:sz w:val="22"/>
          <w:szCs w:val="22"/>
        </w:rPr>
      </w:pPr>
      <w:r w:rsidRPr="00EF20DC">
        <w:rPr>
          <w:rFonts w:eastAsia="Calibri"/>
          <w:sz w:val="22"/>
          <w:szCs w:val="22"/>
        </w:rPr>
        <w:t xml:space="preserve">Dažniausios nepageidaujamos reakcijos buvo viduriavimas, nuovargis, alopecija, infekcija, plaštakų ir pėdų odos reakcija (atitinka delnų ir padų eritrodizestezijos sindromą pagal MedDRA terminologiją) ir išbėrimas. </w:t>
      </w:r>
    </w:p>
    <w:p w14:paraId="25438FB1" w14:textId="346AC7A2" w:rsidR="00EF20DC" w:rsidRPr="00EF20DC" w:rsidRDefault="00EF20DC" w:rsidP="001F1094">
      <w:pPr>
        <w:rPr>
          <w:rFonts w:eastAsia="Calibri"/>
          <w:sz w:val="22"/>
          <w:szCs w:val="22"/>
        </w:rPr>
      </w:pPr>
    </w:p>
    <w:p w14:paraId="2BEC3ED6" w14:textId="530A9D8F" w:rsidR="00EF20DC" w:rsidRPr="00EF20DC" w:rsidRDefault="00EF20DC" w:rsidP="001F1094">
      <w:pPr>
        <w:rPr>
          <w:rFonts w:eastAsia="Calibri"/>
          <w:sz w:val="22"/>
          <w:szCs w:val="22"/>
        </w:rPr>
      </w:pPr>
      <w:r w:rsidRPr="00EF20DC">
        <w:rPr>
          <w:rFonts w:eastAsia="Calibri"/>
          <w:sz w:val="22"/>
          <w:szCs w:val="22"/>
        </w:rPr>
        <w:t xml:space="preserve">Nepageidaujamos reakcijos, pastebėtos </w:t>
      </w:r>
      <w:r w:rsidR="007E70E3">
        <w:rPr>
          <w:rFonts w:eastAsia="Calibri"/>
          <w:sz w:val="22"/>
          <w:szCs w:val="22"/>
        </w:rPr>
        <w:t>sudėtinių</w:t>
      </w:r>
      <w:r w:rsidRPr="00EF20DC">
        <w:rPr>
          <w:rFonts w:eastAsia="Calibri"/>
          <w:sz w:val="22"/>
          <w:szCs w:val="22"/>
        </w:rPr>
        <w:t xml:space="preserve"> klinikinių tyrimų metu arba pateikus vaist</w:t>
      </w:r>
      <w:r w:rsidR="007E70E3">
        <w:rPr>
          <w:rFonts w:eastAsia="Calibri"/>
          <w:sz w:val="22"/>
          <w:szCs w:val="22"/>
        </w:rPr>
        <w:t>inį preparatą</w:t>
      </w:r>
      <w:r w:rsidRPr="00EF20DC">
        <w:rPr>
          <w:rFonts w:eastAsia="Calibri"/>
          <w:sz w:val="22"/>
          <w:szCs w:val="22"/>
        </w:rPr>
        <w:t xml:space="preserve"> į rinką, išvardytos 1-ojoje lentelėje pagal organų </w:t>
      </w:r>
      <w:r w:rsidR="007E70E3">
        <w:rPr>
          <w:rFonts w:eastAsia="Calibri"/>
          <w:sz w:val="22"/>
          <w:szCs w:val="22"/>
        </w:rPr>
        <w:t xml:space="preserve">sistemų </w:t>
      </w:r>
      <w:r w:rsidRPr="00EF20DC">
        <w:rPr>
          <w:rFonts w:eastAsia="Calibri"/>
          <w:sz w:val="22"/>
          <w:szCs w:val="22"/>
        </w:rPr>
        <w:t xml:space="preserve">klases (MedDRA) ir dažnį. </w:t>
      </w:r>
      <w:r w:rsidR="007E70E3" w:rsidRPr="007E70E3">
        <w:rPr>
          <w:snapToGrid w:val="0"/>
          <w:sz w:val="22"/>
          <w:szCs w:val="22"/>
        </w:rPr>
        <w:t xml:space="preserve">Nepageidaujamo poveikio </w:t>
      </w:r>
      <w:r w:rsidR="007E70E3" w:rsidRPr="007E70E3">
        <w:rPr>
          <w:snapToGrid w:val="0"/>
          <w:sz w:val="22"/>
          <w:szCs w:val="20"/>
        </w:rPr>
        <w:t>dažnis apibūdinamas taip: labai dažnas (≥ 1/10), dažnas (nuo ≥ 1/100 iki &lt; 1/10), nedažnas (nuo ≥ 1/1</w:t>
      </w:r>
      <w:r w:rsidR="00E140BF">
        <w:rPr>
          <w:snapToGrid w:val="0"/>
          <w:sz w:val="22"/>
          <w:szCs w:val="20"/>
        </w:rPr>
        <w:t> </w:t>
      </w:r>
      <w:r w:rsidR="007E70E3" w:rsidRPr="007E70E3">
        <w:rPr>
          <w:snapToGrid w:val="0"/>
          <w:sz w:val="22"/>
          <w:szCs w:val="20"/>
        </w:rPr>
        <w:t>000 iki &lt; 1/100), retas (nuo ≥ 1/10</w:t>
      </w:r>
      <w:r w:rsidR="00E140BF">
        <w:rPr>
          <w:snapToGrid w:val="0"/>
          <w:sz w:val="22"/>
          <w:szCs w:val="20"/>
        </w:rPr>
        <w:t> </w:t>
      </w:r>
      <w:r w:rsidR="007E70E3" w:rsidRPr="007E70E3">
        <w:rPr>
          <w:snapToGrid w:val="0"/>
          <w:sz w:val="22"/>
          <w:szCs w:val="20"/>
        </w:rPr>
        <w:t>000 iki &lt; 1/1</w:t>
      </w:r>
      <w:r w:rsidR="00E140BF">
        <w:rPr>
          <w:snapToGrid w:val="0"/>
          <w:sz w:val="22"/>
          <w:szCs w:val="20"/>
        </w:rPr>
        <w:t> </w:t>
      </w:r>
      <w:r w:rsidR="007E70E3" w:rsidRPr="007E70E3">
        <w:rPr>
          <w:snapToGrid w:val="0"/>
          <w:sz w:val="22"/>
          <w:szCs w:val="20"/>
        </w:rPr>
        <w:t>000), labai retas (&lt; 1/10</w:t>
      </w:r>
      <w:r w:rsidR="00E140BF">
        <w:rPr>
          <w:snapToGrid w:val="0"/>
          <w:sz w:val="22"/>
          <w:szCs w:val="20"/>
        </w:rPr>
        <w:t> </w:t>
      </w:r>
      <w:r w:rsidR="007E70E3" w:rsidRPr="007E70E3">
        <w:rPr>
          <w:snapToGrid w:val="0"/>
          <w:sz w:val="22"/>
          <w:szCs w:val="20"/>
        </w:rPr>
        <w:t>000) ir nežinomas (negali būti apskaičiuotas pagal turimus duomenis).</w:t>
      </w:r>
    </w:p>
    <w:p w14:paraId="213360CD" w14:textId="77777777" w:rsidR="007E70E3" w:rsidRDefault="007E70E3" w:rsidP="001F1094">
      <w:pPr>
        <w:rPr>
          <w:rFonts w:eastAsia="Calibri"/>
          <w:sz w:val="22"/>
          <w:szCs w:val="22"/>
        </w:rPr>
      </w:pPr>
    </w:p>
    <w:p w14:paraId="4B154FC5" w14:textId="77777777" w:rsidR="00EF20DC" w:rsidRPr="00EF20DC" w:rsidRDefault="007E70E3" w:rsidP="001F1094">
      <w:pPr>
        <w:rPr>
          <w:rFonts w:eastAsia="Calibri"/>
          <w:sz w:val="22"/>
          <w:szCs w:val="22"/>
        </w:rPr>
      </w:pPr>
      <w:r w:rsidRPr="007E70E3">
        <w:rPr>
          <w:rFonts w:eastAsia="Calibri"/>
          <w:sz w:val="22"/>
          <w:szCs w:val="22"/>
        </w:rPr>
        <w:t>Kiekvienoje dažnio grupėje nepageidaujamas poveikis pateikiamas mažėjančio sunkumo tvarka</w:t>
      </w:r>
      <w:r w:rsidR="00EF20DC" w:rsidRPr="00EF20DC">
        <w:rPr>
          <w:rFonts w:eastAsia="Calibri"/>
          <w:sz w:val="22"/>
          <w:szCs w:val="22"/>
        </w:rPr>
        <w:t>.</w:t>
      </w:r>
    </w:p>
    <w:p w14:paraId="0BA2145B" w14:textId="77777777" w:rsidR="00EF20DC" w:rsidRPr="00EF20DC" w:rsidRDefault="00EF20DC" w:rsidP="001F1094">
      <w:pPr>
        <w:rPr>
          <w:rFonts w:eastAsia="Calibri"/>
          <w:sz w:val="22"/>
          <w:szCs w:val="22"/>
        </w:rPr>
      </w:pPr>
    </w:p>
    <w:p w14:paraId="63F3AE17" w14:textId="5A33AFA1" w:rsidR="00EF20DC" w:rsidRPr="00EF20DC" w:rsidRDefault="00EF20DC" w:rsidP="001F1094">
      <w:pPr>
        <w:rPr>
          <w:rFonts w:eastAsia="Calibri"/>
          <w:b/>
          <w:sz w:val="22"/>
          <w:szCs w:val="22"/>
        </w:rPr>
      </w:pPr>
      <w:r w:rsidRPr="00EF20DC">
        <w:rPr>
          <w:rFonts w:eastAsia="Calibri"/>
          <w:b/>
          <w:sz w:val="22"/>
          <w:szCs w:val="22"/>
        </w:rPr>
        <w:t xml:space="preserve">1 lentelė. Visos nepageidaujamos reakcijos, pasireiškusios </w:t>
      </w:r>
      <w:r w:rsidR="00E661E6">
        <w:rPr>
          <w:rFonts w:eastAsia="Calibri"/>
          <w:b/>
          <w:sz w:val="22"/>
          <w:szCs w:val="22"/>
        </w:rPr>
        <w:t>kartotinių</w:t>
      </w:r>
      <w:r w:rsidRPr="00EF20DC">
        <w:rPr>
          <w:rFonts w:eastAsia="Calibri"/>
          <w:b/>
          <w:sz w:val="22"/>
          <w:szCs w:val="22"/>
        </w:rPr>
        <w:t xml:space="preserve"> klinikinių tyrimų metu arba pateikus vaist</w:t>
      </w:r>
      <w:r w:rsidR="007E70E3">
        <w:rPr>
          <w:rFonts w:eastAsia="Calibri"/>
          <w:b/>
          <w:sz w:val="22"/>
          <w:szCs w:val="22"/>
        </w:rPr>
        <w:t>inį preparatą</w:t>
      </w:r>
      <w:r w:rsidRPr="00EF20DC">
        <w:rPr>
          <w:rFonts w:eastAsia="Calibri"/>
          <w:b/>
          <w:sz w:val="22"/>
          <w:szCs w:val="22"/>
        </w:rPr>
        <w:t xml:space="preserve"> į rinką </w:t>
      </w:r>
    </w:p>
    <w:p w14:paraId="166A89B1" w14:textId="77777777" w:rsidR="00EF20DC" w:rsidRPr="00EF20DC" w:rsidRDefault="00EF20DC" w:rsidP="001F1094">
      <w:pPr>
        <w:keepNext/>
        <w:rPr>
          <w:rFonts w:eastAsia="Calibr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08"/>
        <w:gridCol w:w="1985"/>
        <w:gridCol w:w="1639"/>
        <w:gridCol w:w="1417"/>
        <w:gridCol w:w="1276"/>
      </w:tblGrid>
      <w:tr w:rsidR="00EF20DC" w:rsidRPr="00EF20DC" w14:paraId="6A431F94" w14:textId="77777777" w:rsidTr="001F1094">
        <w:trPr>
          <w:tblHeader/>
        </w:trPr>
        <w:tc>
          <w:tcPr>
            <w:tcW w:w="1384" w:type="dxa"/>
            <w:tcBorders>
              <w:bottom w:val="single" w:sz="12" w:space="0" w:color="auto"/>
              <w:right w:val="single" w:sz="12" w:space="0" w:color="auto"/>
            </w:tcBorders>
            <w:shd w:val="clear" w:color="auto" w:fill="D9D9D9"/>
            <w:tcMar>
              <w:left w:w="57" w:type="dxa"/>
              <w:right w:w="57" w:type="dxa"/>
            </w:tcMar>
          </w:tcPr>
          <w:p w14:paraId="1030FCE8" w14:textId="77777777" w:rsidR="00EF20DC" w:rsidRPr="00EF20DC" w:rsidRDefault="00EF20DC" w:rsidP="001F1094">
            <w:pPr>
              <w:rPr>
                <w:rFonts w:eastAsia="Calibri"/>
                <w:sz w:val="22"/>
                <w:szCs w:val="22"/>
              </w:rPr>
            </w:pPr>
            <w:r w:rsidRPr="00EF20DC">
              <w:rPr>
                <w:rFonts w:eastAsia="Calibri"/>
                <w:sz w:val="22"/>
                <w:szCs w:val="22"/>
              </w:rPr>
              <w:t>Organų sistemų klasė</w:t>
            </w:r>
          </w:p>
        </w:tc>
        <w:tc>
          <w:tcPr>
            <w:tcW w:w="1508" w:type="dxa"/>
            <w:tcBorders>
              <w:left w:val="single" w:sz="12" w:space="0" w:color="auto"/>
              <w:bottom w:val="single" w:sz="12" w:space="0" w:color="auto"/>
            </w:tcBorders>
            <w:shd w:val="clear" w:color="auto" w:fill="auto"/>
            <w:tcMar>
              <w:left w:w="57" w:type="dxa"/>
              <w:right w:w="57" w:type="dxa"/>
            </w:tcMar>
          </w:tcPr>
          <w:p w14:paraId="42630D33" w14:textId="77777777" w:rsidR="00EF20DC" w:rsidRPr="00EF20DC" w:rsidRDefault="00EF20DC" w:rsidP="001F1094">
            <w:pPr>
              <w:rPr>
                <w:rFonts w:eastAsia="Calibri"/>
                <w:sz w:val="22"/>
                <w:szCs w:val="22"/>
              </w:rPr>
            </w:pPr>
            <w:r w:rsidRPr="00EF20DC">
              <w:rPr>
                <w:rFonts w:eastAsia="Calibri"/>
                <w:sz w:val="22"/>
                <w:szCs w:val="22"/>
              </w:rPr>
              <w:t>Labai dažn</w:t>
            </w:r>
            <w:r w:rsidR="007E70E3">
              <w:rPr>
                <w:rFonts w:eastAsia="Calibri"/>
                <w:sz w:val="22"/>
                <w:szCs w:val="22"/>
              </w:rPr>
              <w:t>as</w:t>
            </w:r>
          </w:p>
        </w:tc>
        <w:tc>
          <w:tcPr>
            <w:tcW w:w="1985" w:type="dxa"/>
            <w:tcBorders>
              <w:bottom w:val="single" w:sz="12" w:space="0" w:color="auto"/>
            </w:tcBorders>
            <w:shd w:val="clear" w:color="auto" w:fill="auto"/>
            <w:tcMar>
              <w:left w:w="57" w:type="dxa"/>
              <w:right w:w="57" w:type="dxa"/>
            </w:tcMar>
          </w:tcPr>
          <w:p w14:paraId="6CFE2ADA" w14:textId="77777777" w:rsidR="00EF20DC" w:rsidRPr="00EF20DC" w:rsidRDefault="00EF20DC" w:rsidP="001F1094">
            <w:pPr>
              <w:rPr>
                <w:rFonts w:eastAsia="Calibri"/>
                <w:sz w:val="22"/>
                <w:szCs w:val="22"/>
              </w:rPr>
            </w:pPr>
            <w:r w:rsidRPr="00EF20DC">
              <w:rPr>
                <w:rFonts w:eastAsia="Calibri"/>
                <w:sz w:val="22"/>
                <w:szCs w:val="22"/>
              </w:rPr>
              <w:t>Dažn</w:t>
            </w:r>
            <w:r w:rsidR="007E70E3">
              <w:rPr>
                <w:rFonts w:eastAsia="Calibri"/>
                <w:sz w:val="22"/>
                <w:szCs w:val="22"/>
              </w:rPr>
              <w:t>as</w:t>
            </w:r>
          </w:p>
        </w:tc>
        <w:tc>
          <w:tcPr>
            <w:tcW w:w="1639" w:type="dxa"/>
            <w:tcBorders>
              <w:bottom w:val="single" w:sz="12" w:space="0" w:color="auto"/>
            </w:tcBorders>
            <w:shd w:val="clear" w:color="auto" w:fill="auto"/>
            <w:tcMar>
              <w:left w:w="57" w:type="dxa"/>
              <w:right w:w="57" w:type="dxa"/>
            </w:tcMar>
          </w:tcPr>
          <w:p w14:paraId="6DBED86A" w14:textId="77777777" w:rsidR="00EF20DC" w:rsidRPr="00EF20DC" w:rsidRDefault="00EF20DC" w:rsidP="001F1094">
            <w:pPr>
              <w:rPr>
                <w:rFonts w:eastAsia="Calibri"/>
                <w:sz w:val="22"/>
                <w:szCs w:val="22"/>
              </w:rPr>
            </w:pPr>
            <w:r w:rsidRPr="00EF20DC">
              <w:rPr>
                <w:rFonts w:eastAsia="Calibri"/>
                <w:sz w:val="22"/>
                <w:szCs w:val="22"/>
              </w:rPr>
              <w:t>Nedažn</w:t>
            </w:r>
            <w:r w:rsidR="007E70E3">
              <w:rPr>
                <w:rFonts w:eastAsia="Calibri"/>
                <w:sz w:val="22"/>
                <w:szCs w:val="22"/>
              </w:rPr>
              <w:t>as</w:t>
            </w:r>
          </w:p>
        </w:tc>
        <w:tc>
          <w:tcPr>
            <w:tcW w:w="1417" w:type="dxa"/>
            <w:tcBorders>
              <w:bottom w:val="single" w:sz="12" w:space="0" w:color="auto"/>
            </w:tcBorders>
            <w:shd w:val="clear" w:color="auto" w:fill="auto"/>
            <w:tcMar>
              <w:left w:w="57" w:type="dxa"/>
              <w:right w:w="57" w:type="dxa"/>
            </w:tcMar>
          </w:tcPr>
          <w:p w14:paraId="4D815803" w14:textId="77777777" w:rsidR="00EF20DC" w:rsidRPr="00EF20DC" w:rsidRDefault="00EF20DC" w:rsidP="001F1094">
            <w:pPr>
              <w:rPr>
                <w:rFonts w:eastAsia="Calibri"/>
                <w:sz w:val="22"/>
                <w:szCs w:val="22"/>
              </w:rPr>
            </w:pPr>
            <w:r w:rsidRPr="00EF20DC">
              <w:rPr>
                <w:rFonts w:eastAsia="Calibri"/>
                <w:sz w:val="22"/>
                <w:szCs w:val="22"/>
              </w:rPr>
              <w:t>Ret</w:t>
            </w:r>
            <w:r w:rsidR="007E70E3">
              <w:rPr>
                <w:rFonts w:eastAsia="Calibri"/>
                <w:sz w:val="22"/>
                <w:szCs w:val="22"/>
              </w:rPr>
              <w:t>as</w:t>
            </w:r>
          </w:p>
        </w:tc>
        <w:tc>
          <w:tcPr>
            <w:tcW w:w="1276" w:type="dxa"/>
            <w:tcBorders>
              <w:bottom w:val="single" w:sz="12" w:space="0" w:color="auto"/>
            </w:tcBorders>
            <w:shd w:val="clear" w:color="auto" w:fill="auto"/>
            <w:tcMar>
              <w:left w:w="57" w:type="dxa"/>
              <w:right w:w="57" w:type="dxa"/>
            </w:tcMar>
          </w:tcPr>
          <w:p w14:paraId="761A4E84" w14:textId="77777777" w:rsidR="00EF20DC" w:rsidRPr="00EF20DC" w:rsidRDefault="007E70E3" w:rsidP="001F1094">
            <w:pPr>
              <w:rPr>
                <w:rFonts w:eastAsia="Calibri"/>
                <w:sz w:val="22"/>
                <w:szCs w:val="22"/>
              </w:rPr>
            </w:pPr>
            <w:r>
              <w:rPr>
                <w:rFonts w:eastAsia="Calibri"/>
                <w:sz w:val="22"/>
                <w:szCs w:val="22"/>
              </w:rPr>
              <w:t>N</w:t>
            </w:r>
            <w:r w:rsidR="00EF20DC" w:rsidRPr="00EF20DC">
              <w:rPr>
                <w:rFonts w:eastAsia="Calibri"/>
                <w:sz w:val="22"/>
                <w:szCs w:val="22"/>
              </w:rPr>
              <w:t>ežinomas</w:t>
            </w:r>
          </w:p>
        </w:tc>
      </w:tr>
      <w:tr w:rsidR="00EF20DC" w:rsidRPr="00EF20DC" w14:paraId="4C163468" w14:textId="77777777" w:rsidTr="001F1094">
        <w:tc>
          <w:tcPr>
            <w:tcW w:w="1384" w:type="dxa"/>
            <w:tcBorders>
              <w:top w:val="single" w:sz="12" w:space="0" w:color="auto"/>
              <w:right w:val="single" w:sz="12" w:space="0" w:color="auto"/>
            </w:tcBorders>
            <w:shd w:val="clear" w:color="auto" w:fill="D9D9D9"/>
            <w:tcMar>
              <w:left w:w="57" w:type="dxa"/>
              <w:right w:w="57" w:type="dxa"/>
            </w:tcMar>
          </w:tcPr>
          <w:p w14:paraId="2C1F53E6" w14:textId="77777777" w:rsidR="00EF20DC" w:rsidRPr="00EF20DC" w:rsidRDefault="00EF20DC" w:rsidP="001F1094">
            <w:pPr>
              <w:rPr>
                <w:rFonts w:eastAsia="Calibri"/>
                <w:sz w:val="22"/>
                <w:szCs w:val="22"/>
              </w:rPr>
            </w:pPr>
            <w:r w:rsidRPr="00EF20DC">
              <w:rPr>
                <w:rFonts w:eastAsia="Calibri"/>
                <w:sz w:val="22"/>
                <w:szCs w:val="22"/>
              </w:rPr>
              <w:t>Infekcijos ir infestacij</w:t>
            </w:r>
            <w:r w:rsidR="003C64E6">
              <w:rPr>
                <w:rFonts w:eastAsia="Calibri"/>
                <w:sz w:val="22"/>
                <w:szCs w:val="22"/>
              </w:rPr>
              <w:t>o</w:t>
            </w:r>
            <w:r w:rsidRPr="00EF20DC">
              <w:rPr>
                <w:rFonts w:eastAsia="Calibri"/>
                <w:sz w:val="22"/>
                <w:szCs w:val="22"/>
              </w:rPr>
              <w:t>s</w:t>
            </w:r>
          </w:p>
        </w:tc>
        <w:tc>
          <w:tcPr>
            <w:tcW w:w="1508" w:type="dxa"/>
            <w:tcBorders>
              <w:top w:val="single" w:sz="12" w:space="0" w:color="auto"/>
              <w:left w:val="single" w:sz="12" w:space="0" w:color="auto"/>
            </w:tcBorders>
            <w:shd w:val="clear" w:color="auto" w:fill="auto"/>
            <w:tcMar>
              <w:left w:w="57" w:type="dxa"/>
              <w:right w:w="57" w:type="dxa"/>
            </w:tcMar>
          </w:tcPr>
          <w:p w14:paraId="48E25DF2" w14:textId="55828DB0" w:rsidR="00EF20DC" w:rsidRPr="00EF20DC" w:rsidRDefault="00EF20DC" w:rsidP="001F1094">
            <w:pPr>
              <w:rPr>
                <w:rFonts w:eastAsia="Calibri"/>
                <w:sz w:val="22"/>
                <w:szCs w:val="22"/>
              </w:rPr>
            </w:pPr>
            <w:r w:rsidRPr="00EF20DC">
              <w:rPr>
                <w:rFonts w:eastAsia="Calibri"/>
                <w:spacing w:val="1"/>
                <w:sz w:val="22"/>
                <w:szCs w:val="22"/>
              </w:rPr>
              <w:t>I</w:t>
            </w:r>
            <w:r w:rsidRPr="00EF20DC">
              <w:rPr>
                <w:rFonts w:eastAsia="Calibri"/>
                <w:sz w:val="22"/>
                <w:szCs w:val="22"/>
              </w:rPr>
              <w:t>n</w:t>
            </w:r>
            <w:r w:rsidRPr="00EF20DC">
              <w:rPr>
                <w:rFonts w:eastAsia="Calibri"/>
                <w:spacing w:val="1"/>
                <w:sz w:val="22"/>
                <w:szCs w:val="22"/>
              </w:rPr>
              <w:t>f</w:t>
            </w:r>
            <w:r w:rsidRPr="00EF20DC">
              <w:rPr>
                <w:rFonts w:eastAsia="Calibri"/>
                <w:spacing w:val="-2"/>
                <w:sz w:val="22"/>
                <w:szCs w:val="22"/>
              </w:rPr>
              <w:t>ekcija</w:t>
            </w:r>
          </w:p>
        </w:tc>
        <w:tc>
          <w:tcPr>
            <w:tcW w:w="1985" w:type="dxa"/>
            <w:tcBorders>
              <w:top w:val="single" w:sz="12" w:space="0" w:color="auto"/>
            </w:tcBorders>
            <w:shd w:val="clear" w:color="auto" w:fill="auto"/>
            <w:tcMar>
              <w:left w:w="57" w:type="dxa"/>
              <w:right w:w="57" w:type="dxa"/>
            </w:tcMar>
          </w:tcPr>
          <w:p w14:paraId="2F3ADA04" w14:textId="0C827FD1" w:rsidR="00EF20DC" w:rsidRPr="00EF20DC" w:rsidRDefault="00EF20DC" w:rsidP="001F1094">
            <w:pPr>
              <w:rPr>
                <w:rFonts w:eastAsia="Calibri"/>
                <w:sz w:val="22"/>
                <w:szCs w:val="22"/>
              </w:rPr>
            </w:pPr>
            <w:r w:rsidRPr="00EF20DC">
              <w:rPr>
                <w:rFonts w:eastAsia="Calibri"/>
                <w:spacing w:val="1"/>
                <w:sz w:val="22"/>
                <w:szCs w:val="22"/>
              </w:rPr>
              <w:t>F</w:t>
            </w:r>
            <w:r w:rsidRPr="00EF20DC">
              <w:rPr>
                <w:rFonts w:eastAsia="Calibri"/>
                <w:sz w:val="22"/>
                <w:szCs w:val="22"/>
              </w:rPr>
              <w:t>o</w:t>
            </w:r>
            <w:r w:rsidRPr="00EF20DC">
              <w:rPr>
                <w:rFonts w:eastAsia="Calibri"/>
                <w:spacing w:val="-1"/>
                <w:sz w:val="22"/>
                <w:szCs w:val="22"/>
              </w:rPr>
              <w:t>li</w:t>
            </w:r>
            <w:r w:rsidRPr="00EF20DC">
              <w:rPr>
                <w:rFonts w:eastAsia="Calibri"/>
                <w:sz w:val="22"/>
                <w:szCs w:val="22"/>
              </w:rPr>
              <w:t>ku</w:t>
            </w:r>
            <w:r w:rsidRPr="00EF20DC">
              <w:rPr>
                <w:rFonts w:eastAsia="Calibri"/>
                <w:spacing w:val="-1"/>
                <w:sz w:val="22"/>
                <w:szCs w:val="22"/>
              </w:rPr>
              <w:t>l</w:t>
            </w:r>
            <w:r w:rsidRPr="00EF20DC">
              <w:rPr>
                <w:rFonts w:eastAsia="Calibri"/>
                <w:spacing w:val="1"/>
                <w:sz w:val="22"/>
                <w:szCs w:val="22"/>
              </w:rPr>
              <w:t>i</w:t>
            </w:r>
            <w:r w:rsidRPr="00EF20DC">
              <w:rPr>
                <w:rFonts w:eastAsia="Calibri"/>
                <w:spacing w:val="-1"/>
                <w:sz w:val="22"/>
                <w:szCs w:val="22"/>
              </w:rPr>
              <w:t>t</w:t>
            </w:r>
            <w:r w:rsidRPr="00EF20DC">
              <w:rPr>
                <w:rFonts w:eastAsia="Calibri"/>
                <w:spacing w:val="1"/>
                <w:sz w:val="22"/>
                <w:szCs w:val="22"/>
              </w:rPr>
              <w:t>a</w:t>
            </w:r>
            <w:r w:rsidRPr="00EF20DC">
              <w:rPr>
                <w:rFonts w:eastAsia="Calibri"/>
                <w:sz w:val="22"/>
                <w:szCs w:val="22"/>
              </w:rPr>
              <w:t>s</w:t>
            </w:r>
          </w:p>
        </w:tc>
        <w:tc>
          <w:tcPr>
            <w:tcW w:w="1639" w:type="dxa"/>
            <w:tcBorders>
              <w:top w:val="single" w:sz="12" w:space="0" w:color="auto"/>
            </w:tcBorders>
            <w:shd w:val="clear" w:color="auto" w:fill="auto"/>
            <w:tcMar>
              <w:left w:w="57" w:type="dxa"/>
              <w:right w:w="57" w:type="dxa"/>
            </w:tcMar>
          </w:tcPr>
          <w:p w14:paraId="7FCAA1C4" w14:textId="77777777" w:rsidR="00EF20DC" w:rsidRPr="00EF20DC" w:rsidRDefault="00EF20DC" w:rsidP="001F1094">
            <w:pPr>
              <w:rPr>
                <w:rFonts w:eastAsia="Calibri"/>
                <w:sz w:val="22"/>
                <w:szCs w:val="22"/>
              </w:rPr>
            </w:pPr>
          </w:p>
        </w:tc>
        <w:tc>
          <w:tcPr>
            <w:tcW w:w="1417" w:type="dxa"/>
            <w:tcBorders>
              <w:top w:val="single" w:sz="12" w:space="0" w:color="auto"/>
            </w:tcBorders>
            <w:shd w:val="clear" w:color="auto" w:fill="auto"/>
            <w:tcMar>
              <w:left w:w="57" w:type="dxa"/>
              <w:right w:w="57" w:type="dxa"/>
            </w:tcMar>
          </w:tcPr>
          <w:p w14:paraId="1BACE600" w14:textId="77777777" w:rsidR="00EF20DC" w:rsidRPr="00EF20DC" w:rsidRDefault="00EF20DC" w:rsidP="001F1094">
            <w:pPr>
              <w:rPr>
                <w:rFonts w:eastAsia="Calibri"/>
                <w:sz w:val="22"/>
                <w:szCs w:val="22"/>
              </w:rPr>
            </w:pPr>
          </w:p>
        </w:tc>
        <w:tc>
          <w:tcPr>
            <w:tcW w:w="1276" w:type="dxa"/>
            <w:tcBorders>
              <w:top w:val="single" w:sz="12" w:space="0" w:color="auto"/>
            </w:tcBorders>
            <w:shd w:val="clear" w:color="auto" w:fill="auto"/>
            <w:tcMar>
              <w:left w:w="57" w:type="dxa"/>
              <w:right w:w="57" w:type="dxa"/>
            </w:tcMar>
          </w:tcPr>
          <w:p w14:paraId="530042F9" w14:textId="77777777" w:rsidR="00EF20DC" w:rsidRPr="00EF20DC" w:rsidRDefault="00EF20DC" w:rsidP="001F1094">
            <w:pPr>
              <w:rPr>
                <w:rFonts w:eastAsia="Calibri"/>
                <w:sz w:val="22"/>
                <w:szCs w:val="22"/>
              </w:rPr>
            </w:pPr>
          </w:p>
        </w:tc>
      </w:tr>
      <w:tr w:rsidR="00EF20DC" w:rsidRPr="00EF20DC" w14:paraId="636C1254" w14:textId="77777777" w:rsidTr="001F1094">
        <w:tc>
          <w:tcPr>
            <w:tcW w:w="1384" w:type="dxa"/>
            <w:tcBorders>
              <w:right w:val="single" w:sz="12" w:space="0" w:color="auto"/>
            </w:tcBorders>
            <w:shd w:val="clear" w:color="auto" w:fill="D9D9D9"/>
            <w:tcMar>
              <w:left w:w="57" w:type="dxa"/>
              <w:right w:w="57" w:type="dxa"/>
            </w:tcMar>
          </w:tcPr>
          <w:p w14:paraId="0AE54D7B" w14:textId="77777777" w:rsidR="00EF20DC" w:rsidRPr="00EF20DC" w:rsidRDefault="00EF20DC" w:rsidP="001F1094">
            <w:pPr>
              <w:keepNext/>
              <w:rPr>
                <w:rFonts w:eastAsia="Calibri"/>
                <w:sz w:val="22"/>
                <w:szCs w:val="22"/>
              </w:rPr>
            </w:pPr>
            <w:r w:rsidRPr="00EF20DC">
              <w:rPr>
                <w:rFonts w:eastAsia="Calibri"/>
                <w:sz w:val="22"/>
                <w:szCs w:val="22"/>
              </w:rPr>
              <w:t>Kraujo ir limfinės sistemos sutrikimai</w:t>
            </w:r>
          </w:p>
        </w:tc>
        <w:tc>
          <w:tcPr>
            <w:tcW w:w="1508" w:type="dxa"/>
            <w:tcBorders>
              <w:left w:val="single" w:sz="12" w:space="0" w:color="auto"/>
            </w:tcBorders>
            <w:shd w:val="clear" w:color="auto" w:fill="auto"/>
            <w:tcMar>
              <w:left w:w="57" w:type="dxa"/>
              <w:right w:w="57" w:type="dxa"/>
            </w:tcMar>
          </w:tcPr>
          <w:p w14:paraId="19DA170A" w14:textId="056E3777" w:rsidR="00EF20DC" w:rsidRPr="00EF20DC" w:rsidRDefault="00EF20DC" w:rsidP="001F1094">
            <w:pPr>
              <w:rPr>
                <w:rFonts w:eastAsia="Calibri"/>
                <w:sz w:val="22"/>
                <w:szCs w:val="22"/>
              </w:rPr>
            </w:pPr>
            <w:r w:rsidRPr="00EF20DC">
              <w:rPr>
                <w:rFonts w:eastAsia="Calibri"/>
                <w:spacing w:val="1"/>
                <w:sz w:val="22"/>
                <w:szCs w:val="22"/>
              </w:rPr>
              <w:t>L</w:t>
            </w:r>
            <w:r w:rsidRPr="00EF20DC">
              <w:rPr>
                <w:rFonts w:eastAsia="Calibri"/>
                <w:sz w:val="22"/>
                <w:szCs w:val="22"/>
              </w:rPr>
              <w:t>i</w:t>
            </w:r>
            <w:r w:rsidRPr="00EF20DC">
              <w:rPr>
                <w:rFonts w:eastAsia="Calibri"/>
                <w:spacing w:val="-4"/>
                <w:sz w:val="22"/>
                <w:szCs w:val="22"/>
              </w:rPr>
              <w:t>mf</w:t>
            </w:r>
            <w:r w:rsidRPr="00EF20DC">
              <w:rPr>
                <w:rFonts w:eastAsia="Calibri"/>
                <w:sz w:val="22"/>
                <w:szCs w:val="22"/>
              </w:rPr>
              <w:t>open</w:t>
            </w:r>
            <w:r w:rsidRPr="00EF20DC">
              <w:rPr>
                <w:rFonts w:eastAsia="Calibri"/>
                <w:spacing w:val="1"/>
                <w:sz w:val="22"/>
                <w:szCs w:val="22"/>
              </w:rPr>
              <w:t>ij</w:t>
            </w:r>
            <w:r w:rsidRPr="00EF20DC">
              <w:rPr>
                <w:rFonts w:eastAsia="Calibri"/>
                <w:sz w:val="22"/>
                <w:szCs w:val="22"/>
              </w:rPr>
              <w:t>a</w:t>
            </w:r>
          </w:p>
        </w:tc>
        <w:tc>
          <w:tcPr>
            <w:tcW w:w="1985" w:type="dxa"/>
            <w:shd w:val="clear" w:color="auto" w:fill="auto"/>
            <w:tcMar>
              <w:left w:w="57" w:type="dxa"/>
              <w:right w:w="57" w:type="dxa"/>
            </w:tcMar>
          </w:tcPr>
          <w:p w14:paraId="5EB2ACAE" w14:textId="77777777" w:rsidR="00EF20DC" w:rsidRPr="00EF20DC" w:rsidRDefault="00EF20DC" w:rsidP="001F1094">
            <w:pPr>
              <w:rPr>
                <w:rFonts w:eastAsia="Calibri"/>
                <w:sz w:val="22"/>
                <w:szCs w:val="22"/>
              </w:rPr>
            </w:pPr>
            <w:r w:rsidRPr="00EF20DC">
              <w:rPr>
                <w:rFonts w:eastAsia="Calibri"/>
                <w:sz w:val="22"/>
                <w:szCs w:val="22"/>
              </w:rPr>
              <w:t>Leukopenija,</w:t>
            </w:r>
          </w:p>
          <w:p w14:paraId="07976515" w14:textId="77777777" w:rsidR="00EF20DC" w:rsidRPr="00EF20DC" w:rsidRDefault="00EF20DC" w:rsidP="001F1094">
            <w:pPr>
              <w:rPr>
                <w:rFonts w:eastAsia="Calibri"/>
                <w:sz w:val="22"/>
                <w:szCs w:val="22"/>
              </w:rPr>
            </w:pPr>
            <w:r w:rsidRPr="00EF20DC">
              <w:rPr>
                <w:rFonts w:eastAsia="Calibri"/>
                <w:sz w:val="22"/>
                <w:szCs w:val="22"/>
              </w:rPr>
              <w:t>neutropenija,</w:t>
            </w:r>
          </w:p>
          <w:p w14:paraId="560D903F" w14:textId="77777777" w:rsidR="00EF20DC" w:rsidRPr="00EF20DC" w:rsidRDefault="00EF20DC" w:rsidP="001F1094">
            <w:pPr>
              <w:rPr>
                <w:rFonts w:eastAsia="Calibri"/>
                <w:sz w:val="22"/>
                <w:szCs w:val="22"/>
              </w:rPr>
            </w:pPr>
            <w:r w:rsidRPr="00EF20DC">
              <w:rPr>
                <w:rFonts w:eastAsia="Calibri"/>
                <w:sz w:val="22"/>
                <w:szCs w:val="22"/>
              </w:rPr>
              <w:t xml:space="preserve">anemija, </w:t>
            </w:r>
          </w:p>
          <w:p w14:paraId="6163B4E0" w14:textId="70528F18" w:rsidR="00EF20DC" w:rsidRPr="00EF20DC" w:rsidRDefault="00EF20DC" w:rsidP="001F1094">
            <w:pPr>
              <w:rPr>
                <w:rFonts w:eastAsia="Calibri"/>
                <w:sz w:val="22"/>
                <w:szCs w:val="22"/>
              </w:rPr>
            </w:pPr>
            <w:r w:rsidRPr="00EF20DC">
              <w:rPr>
                <w:rFonts w:eastAsia="Calibri"/>
                <w:sz w:val="22"/>
                <w:szCs w:val="22"/>
              </w:rPr>
              <w:t>trombocitopenija</w:t>
            </w:r>
          </w:p>
        </w:tc>
        <w:tc>
          <w:tcPr>
            <w:tcW w:w="1639" w:type="dxa"/>
            <w:shd w:val="clear" w:color="auto" w:fill="auto"/>
            <w:tcMar>
              <w:left w:w="57" w:type="dxa"/>
              <w:right w:w="57" w:type="dxa"/>
            </w:tcMar>
          </w:tcPr>
          <w:p w14:paraId="491ED61B" w14:textId="77777777" w:rsidR="00EF20DC" w:rsidRPr="00EF20DC" w:rsidRDefault="00EF20DC" w:rsidP="001F1094">
            <w:pPr>
              <w:rPr>
                <w:rFonts w:eastAsia="Calibri"/>
                <w:sz w:val="22"/>
                <w:szCs w:val="22"/>
              </w:rPr>
            </w:pPr>
          </w:p>
        </w:tc>
        <w:tc>
          <w:tcPr>
            <w:tcW w:w="1417" w:type="dxa"/>
            <w:shd w:val="clear" w:color="auto" w:fill="auto"/>
            <w:tcMar>
              <w:left w:w="57" w:type="dxa"/>
              <w:right w:w="57" w:type="dxa"/>
            </w:tcMar>
          </w:tcPr>
          <w:p w14:paraId="3F08B6C1" w14:textId="77777777" w:rsidR="00EF20DC" w:rsidRPr="00EF20DC" w:rsidRDefault="00EF20DC" w:rsidP="001F1094">
            <w:pPr>
              <w:rPr>
                <w:rFonts w:eastAsia="Calibri"/>
                <w:sz w:val="22"/>
                <w:szCs w:val="22"/>
              </w:rPr>
            </w:pPr>
          </w:p>
        </w:tc>
        <w:tc>
          <w:tcPr>
            <w:tcW w:w="1276" w:type="dxa"/>
            <w:shd w:val="clear" w:color="auto" w:fill="auto"/>
            <w:tcMar>
              <w:left w:w="57" w:type="dxa"/>
              <w:right w:w="57" w:type="dxa"/>
            </w:tcMar>
          </w:tcPr>
          <w:p w14:paraId="4C57E7FF" w14:textId="77777777" w:rsidR="00EF20DC" w:rsidRPr="00EF20DC" w:rsidRDefault="00EF20DC" w:rsidP="001F1094">
            <w:pPr>
              <w:rPr>
                <w:rFonts w:eastAsia="Calibri"/>
                <w:sz w:val="22"/>
                <w:szCs w:val="22"/>
              </w:rPr>
            </w:pPr>
          </w:p>
        </w:tc>
      </w:tr>
      <w:tr w:rsidR="00EF20DC" w:rsidRPr="00EF20DC" w14:paraId="16A77288" w14:textId="77777777" w:rsidTr="001F1094">
        <w:tc>
          <w:tcPr>
            <w:tcW w:w="1384" w:type="dxa"/>
            <w:tcBorders>
              <w:right w:val="single" w:sz="12" w:space="0" w:color="auto"/>
            </w:tcBorders>
            <w:shd w:val="clear" w:color="auto" w:fill="D9D9D9"/>
            <w:tcMar>
              <w:left w:w="57" w:type="dxa"/>
              <w:right w:w="57" w:type="dxa"/>
            </w:tcMar>
          </w:tcPr>
          <w:p w14:paraId="4408018C" w14:textId="77777777" w:rsidR="00EF20DC" w:rsidRPr="00EF20DC" w:rsidRDefault="00EF20DC" w:rsidP="001F1094">
            <w:pPr>
              <w:rPr>
                <w:rFonts w:eastAsia="Calibri"/>
                <w:sz w:val="22"/>
                <w:szCs w:val="22"/>
              </w:rPr>
            </w:pPr>
            <w:r w:rsidRPr="00EF20DC">
              <w:rPr>
                <w:rFonts w:eastAsia="Calibri"/>
                <w:spacing w:val="-2"/>
                <w:sz w:val="22"/>
                <w:szCs w:val="22"/>
              </w:rPr>
              <w:t>I</w:t>
            </w:r>
            <w:r w:rsidRPr="00EF20DC">
              <w:rPr>
                <w:rFonts w:eastAsia="Calibri"/>
                <w:spacing w:val="-1"/>
                <w:sz w:val="22"/>
                <w:szCs w:val="22"/>
              </w:rPr>
              <w:t>m</w:t>
            </w:r>
            <w:r w:rsidRPr="00EF20DC">
              <w:rPr>
                <w:rFonts w:eastAsia="Calibri"/>
                <w:sz w:val="22"/>
                <w:szCs w:val="22"/>
              </w:rPr>
              <w:t>uninės sis</w:t>
            </w:r>
            <w:r w:rsidRPr="00EF20DC">
              <w:rPr>
                <w:rFonts w:eastAsia="Calibri"/>
                <w:spacing w:val="1"/>
                <w:sz w:val="22"/>
                <w:szCs w:val="22"/>
              </w:rPr>
              <w:t>t</w:t>
            </w:r>
            <w:r w:rsidRPr="00EF20DC">
              <w:rPr>
                <w:rFonts w:eastAsia="Calibri"/>
                <w:sz w:val="22"/>
                <w:szCs w:val="22"/>
              </w:rPr>
              <w:t>emos sutrikimai</w:t>
            </w:r>
          </w:p>
        </w:tc>
        <w:tc>
          <w:tcPr>
            <w:tcW w:w="1508" w:type="dxa"/>
            <w:tcBorders>
              <w:left w:val="single" w:sz="12" w:space="0" w:color="auto"/>
            </w:tcBorders>
            <w:shd w:val="clear" w:color="auto" w:fill="auto"/>
            <w:tcMar>
              <w:left w:w="57" w:type="dxa"/>
              <w:right w:w="57" w:type="dxa"/>
            </w:tcMar>
          </w:tcPr>
          <w:p w14:paraId="02303A52" w14:textId="77777777" w:rsidR="00EF20DC" w:rsidRPr="00EF20DC" w:rsidRDefault="00EF20DC" w:rsidP="001F1094">
            <w:pPr>
              <w:rPr>
                <w:rFonts w:eastAsia="Calibri"/>
                <w:sz w:val="22"/>
                <w:szCs w:val="22"/>
              </w:rPr>
            </w:pPr>
          </w:p>
        </w:tc>
        <w:tc>
          <w:tcPr>
            <w:tcW w:w="1985" w:type="dxa"/>
            <w:shd w:val="clear" w:color="auto" w:fill="auto"/>
            <w:tcMar>
              <w:left w:w="57" w:type="dxa"/>
              <w:right w:w="57" w:type="dxa"/>
            </w:tcMar>
          </w:tcPr>
          <w:p w14:paraId="0F3A02D4" w14:textId="77777777" w:rsidR="00EF20DC" w:rsidRPr="00EF20DC" w:rsidRDefault="00EF20DC" w:rsidP="001F1094">
            <w:pPr>
              <w:rPr>
                <w:rFonts w:eastAsia="Calibri"/>
                <w:sz w:val="22"/>
                <w:szCs w:val="22"/>
              </w:rPr>
            </w:pPr>
          </w:p>
        </w:tc>
        <w:tc>
          <w:tcPr>
            <w:tcW w:w="1639" w:type="dxa"/>
            <w:shd w:val="clear" w:color="auto" w:fill="auto"/>
            <w:tcMar>
              <w:left w:w="57" w:type="dxa"/>
              <w:right w:w="57" w:type="dxa"/>
            </w:tcMar>
          </w:tcPr>
          <w:p w14:paraId="3F8B4AD9" w14:textId="38B47685" w:rsidR="00EF20DC" w:rsidRPr="00EF20DC" w:rsidRDefault="00EF20DC" w:rsidP="001F1094">
            <w:pPr>
              <w:rPr>
                <w:rFonts w:eastAsia="Calibri"/>
                <w:sz w:val="22"/>
                <w:szCs w:val="22"/>
              </w:rPr>
            </w:pPr>
            <w:r w:rsidRPr="00EF20DC">
              <w:rPr>
                <w:rFonts w:eastAsia="Calibri"/>
                <w:sz w:val="22"/>
                <w:szCs w:val="22"/>
              </w:rPr>
              <w:t>Padidėjusio jautrumo reakcija</w:t>
            </w:r>
            <w:r w:rsidR="002E63E0">
              <w:rPr>
                <w:rFonts w:eastAsia="Calibri"/>
                <w:sz w:val="22"/>
                <w:szCs w:val="22"/>
              </w:rPr>
              <w:t xml:space="preserve"> (</w:t>
            </w:r>
            <w:r w:rsidRPr="00EF20DC">
              <w:rPr>
                <w:rFonts w:eastAsia="Calibri"/>
                <w:sz w:val="22"/>
                <w:szCs w:val="22"/>
              </w:rPr>
              <w:t>įskaitant odos reakciją ir dilgėlinę</w:t>
            </w:r>
            <w:r w:rsidR="002E63E0">
              <w:rPr>
                <w:rFonts w:eastAsia="Calibri"/>
                <w:sz w:val="22"/>
                <w:szCs w:val="22"/>
              </w:rPr>
              <w:t>)</w:t>
            </w:r>
          </w:p>
          <w:p w14:paraId="5DC32A6A" w14:textId="1BDC5C57" w:rsidR="00EF20DC" w:rsidRPr="00EF20DC" w:rsidRDefault="00A56C33" w:rsidP="001F1094">
            <w:pPr>
              <w:rPr>
                <w:rFonts w:eastAsia="Calibri"/>
                <w:sz w:val="22"/>
                <w:szCs w:val="22"/>
              </w:rPr>
            </w:pPr>
            <w:r>
              <w:rPr>
                <w:rFonts w:eastAsia="Calibri"/>
                <w:sz w:val="22"/>
                <w:szCs w:val="22"/>
              </w:rPr>
              <w:lastRenderedPageBreak/>
              <w:t>a</w:t>
            </w:r>
            <w:r w:rsidR="00EF20DC" w:rsidRPr="00EF20DC">
              <w:rPr>
                <w:rFonts w:eastAsia="Calibri"/>
                <w:sz w:val="22"/>
                <w:szCs w:val="22"/>
              </w:rPr>
              <w:t>nafilaksinė reakcija</w:t>
            </w:r>
          </w:p>
        </w:tc>
        <w:tc>
          <w:tcPr>
            <w:tcW w:w="1417" w:type="dxa"/>
            <w:shd w:val="clear" w:color="auto" w:fill="auto"/>
            <w:tcMar>
              <w:left w:w="57" w:type="dxa"/>
              <w:right w:w="57" w:type="dxa"/>
            </w:tcMar>
          </w:tcPr>
          <w:p w14:paraId="47847665" w14:textId="79849B01" w:rsidR="00EF20DC" w:rsidRPr="00EF20DC" w:rsidRDefault="00EF20DC" w:rsidP="002E63E0">
            <w:pPr>
              <w:rPr>
                <w:rFonts w:eastAsia="Calibri"/>
                <w:sz w:val="22"/>
                <w:szCs w:val="22"/>
              </w:rPr>
            </w:pPr>
            <w:r w:rsidRPr="00EF20DC">
              <w:rPr>
                <w:rFonts w:eastAsia="Calibri"/>
                <w:sz w:val="22"/>
                <w:szCs w:val="22"/>
              </w:rPr>
              <w:lastRenderedPageBreak/>
              <w:t>An</w:t>
            </w:r>
            <w:r w:rsidRPr="00EF20DC">
              <w:rPr>
                <w:rFonts w:eastAsia="Calibri"/>
                <w:spacing w:val="-2"/>
                <w:sz w:val="22"/>
                <w:szCs w:val="22"/>
              </w:rPr>
              <w:t>g</w:t>
            </w:r>
            <w:r w:rsidRPr="00EF20DC">
              <w:rPr>
                <w:rFonts w:eastAsia="Calibri"/>
                <w:spacing w:val="1"/>
                <w:sz w:val="22"/>
                <w:szCs w:val="22"/>
              </w:rPr>
              <w:t>ioneurozinė</w:t>
            </w:r>
            <w:r w:rsidR="002E63E0">
              <w:rPr>
                <w:rFonts w:eastAsia="Calibri"/>
                <w:spacing w:val="1"/>
                <w:sz w:val="22"/>
                <w:szCs w:val="22"/>
              </w:rPr>
              <w:t xml:space="preserve"> </w:t>
            </w:r>
            <w:r w:rsidR="002259E3">
              <w:rPr>
                <w:rFonts w:eastAsia="Calibri"/>
                <w:sz w:val="22"/>
                <w:szCs w:val="22"/>
              </w:rPr>
              <w:t>e</w:t>
            </w:r>
            <w:r w:rsidRPr="00EF20DC">
              <w:rPr>
                <w:rFonts w:eastAsia="Calibri"/>
                <w:sz w:val="22"/>
                <w:szCs w:val="22"/>
              </w:rPr>
              <w:t>de</w:t>
            </w:r>
            <w:r w:rsidRPr="00EF20DC">
              <w:rPr>
                <w:rFonts w:eastAsia="Calibri"/>
                <w:spacing w:val="-4"/>
                <w:sz w:val="22"/>
                <w:szCs w:val="22"/>
              </w:rPr>
              <w:t>m</w:t>
            </w:r>
            <w:r w:rsidRPr="00EF20DC">
              <w:rPr>
                <w:rFonts w:eastAsia="Calibri"/>
                <w:sz w:val="22"/>
                <w:szCs w:val="22"/>
              </w:rPr>
              <w:t>a</w:t>
            </w:r>
          </w:p>
        </w:tc>
        <w:tc>
          <w:tcPr>
            <w:tcW w:w="1276" w:type="dxa"/>
            <w:shd w:val="clear" w:color="auto" w:fill="auto"/>
            <w:tcMar>
              <w:left w:w="57" w:type="dxa"/>
              <w:right w:w="57" w:type="dxa"/>
            </w:tcMar>
          </w:tcPr>
          <w:p w14:paraId="3FBED2BD" w14:textId="77777777" w:rsidR="00EF20DC" w:rsidRPr="00EF20DC" w:rsidRDefault="00EF20DC" w:rsidP="001F1094">
            <w:pPr>
              <w:rPr>
                <w:rFonts w:eastAsia="Calibri"/>
                <w:sz w:val="22"/>
                <w:szCs w:val="22"/>
              </w:rPr>
            </w:pPr>
          </w:p>
        </w:tc>
      </w:tr>
      <w:tr w:rsidR="00EF20DC" w:rsidRPr="00EF20DC" w14:paraId="18FF98FC" w14:textId="77777777" w:rsidTr="001F1094">
        <w:tc>
          <w:tcPr>
            <w:tcW w:w="1384" w:type="dxa"/>
            <w:tcBorders>
              <w:right w:val="single" w:sz="12" w:space="0" w:color="auto"/>
            </w:tcBorders>
            <w:shd w:val="clear" w:color="auto" w:fill="D9D9D9"/>
            <w:tcMar>
              <w:left w:w="57" w:type="dxa"/>
              <w:right w:w="57" w:type="dxa"/>
            </w:tcMar>
          </w:tcPr>
          <w:p w14:paraId="30E18507" w14:textId="77777777" w:rsidR="00EF20DC" w:rsidRPr="00EF20DC" w:rsidRDefault="00EF20DC" w:rsidP="001F1094">
            <w:pPr>
              <w:rPr>
                <w:rFonts w:eastAsia="Calibri"/>
                <w:sz w:val="22"/>
                <w:szCs w:val="22"/>
              </w:rPr>
            </w:pPr>
            <w:r w:rsidRPr="00EF20DC">
              <w:rPr>
                <w:rFonts w:eastAsia="Calibri"/>
                <w:sz w:val="22"/>
                <w:szCs w:val="22"/>
              </w:rPr>
              <w:t>Endok</w:t>
            </w:r>
            <w:r w:rsidRPr="00EF20DC">
              <w:rPr>
                <w:rFonts w:eastAsia="Calibri"/>
                <w:spacing w:val="-2"/>
                <w:sz w:val="22"/>
                <w:szCs w:val="22"/>
              </w:rPr>
              <w:t>r</w:t>
            </w:r>
            <w:r w:rsidRPr="00EF20DC">
              <w:rPr>
                <w:rFonts w:eastAsia="Calibri"/>
                <w:spacing w:val="1"/>
                <w:sz w:val="22"/>
                <w:szCs w:val="22"/>
              </w:rPr>
              <w:t>i</w:t>
            </w:r>
            <w:r w:rsidRPr="00EF20DC">
              <w:rPr>
                <w:rFonts w:eastAsia="Calibri"/>
                <w:sz w:val="22"/>
                <w:szCs w:val="22"/>
              </w:rPr>
              <w:t>niniai sutrikimais</w:t>
            </w:r>
          </w:p>
        </w:tc>
        <w:tc>
          <w:tcPr>
            <w:tcW w:w="1508" w:type="dxa"/>
            <w:tcBorders>
              <w:left w:val="single" w:sz="12" w:space="0" w:color="auto"/>
            </w:tcBorders>
            <w:shd w:val="clear" w:color="auto" w:fill="auto"/>
            <w:tcMar>
              <w:left w:w="57" w:type="dxa"/>
              <w:right w:w="57" w:type="dxa"/>
            </w:tcMar>
          </w:tcPr>
          <w:p w14:paraId="56B92B2B" w14:textId="77777777" w:rsidR="00EF20DC" w:rsidRPr="00EF20DC" w:rsidRDefault="00EF20DC" w:rsidP="001F1094">
            <w:pPr>
              <w:rPr>
                <w:rFonts w:eastAsia="Calibri"/>
                <w:sz w:val="22"/>
                <w:szCs w:val="22"/>
              </w:rPr>
            </w:pPr>
          </w:p>
        </w:tc>
        <w:tc>
          <w:tcPr>
            <w:tcW w:w="1985" w:type="dxa"/>
            <w:shd w:val="clear" w:color="auto" w:fill="auto"/>
            <w:tcMar>
              <w:left w:w="57" w:type="dxa"/>
              <w:right w:w="57" w:type="dxa"/>
            </w:tcMar>
          </w:tcPr>
          <w:p w14:paraId="18B9F15B" w14:textId="6F3B7244" w:rsidR="00EF20DC" w:rsidRPr="00EF20DC" w:rsidRDefault="00EF20DC" w:rsidP="001F1094">
            <w:pPr>
              <w:rPr>
                <w:rFonts w:eastAsia="Calibri"/>
                <w:sz w:val="22"/>
                <w:szCs w:val="22"/>
              </w:rPr>
            </w:pPr>
            <w:r w:rsidRPr="00EF20DC">
              <w:rPr>
                <w:rFonts w:eastAsia="Calibri"/>
                <w:sz w:val="22"/>
                <w:szCs w:val="22"/>
              </w:rPr>
              <w:t>H</w:t>
            </w:r>
            <w:r w:rsidRPr="00EF20DC">
              <w:rPr>
                <w:rFonts w:eastAsia="Calibri"/>
                <w:spacing w:val="-2"/>
                <w:sz w:val="22"/>
                <w:szCs w:val="22"/>
              </w:rPr>
              <w:t>i</w:t>
            </w:r>
            <w:r w:rsidRPr="00EF20DC">
              <w:rPr>
                <w:rFonts w:eastAsia="Calibri"/>
                <w:sz w:val="22"/>
                <w:szCs w:val="22"/>
              </w:rPr>
              <w:t>po</w:t>
            </w:r>
            <w:r w:rsidRPr="00EF20DC">
              <w:rPr>
                <w:rFonts w:eastAsia="Calibri"/>
                <w:spacing w:val="1"/>
                <w:sz w:val="22"/>
                <w:szCs w:val="22"/>
              </w:rPr>
              <w:t>tir</w:t>
            </w:r>
            <w:r w:rsidRPr="00EF20DC">
              <w:rPr>
                <w:rFonts w:eastAsia="Calibri"/>
                <w:sz w:val="22"/>
                <w:szCs w:val="22"/>
              </w:rPr>
              <w:t>o</w:t>
            </w:r>
            <w:r w:rsidR="007E70E3">
              <w:rPr>
                <w:rFonts w:eastAsia="Calibri"/>
                <w:sz w:val="22"/>
                <w:szCs w:val="22"/>
              </w:rPr>
              <w:t>zė</w:t>
            </w:r>
          </w:p>
        </w:tc>
        <w:tc>
          <w:tcPr>
            <w:tcW w:w="1639" w:type="dxa"/>
            <w:shd w:val="clear" w:color="auto" w:fill="auto"/>
            <w:tcMar>
              <w:left w:w="57" w:type="dxa"/>
              <w:right w:w="57" w:type="dxa"/>
            </w:tcMar>
          </w:tcPr>
          <w:p w14:paraId="306CF6A4" w14:textId="2967957B" w:rsidR="00EF20DC" w:rsidRPr="00EF20DC" w:rsidRDefault="00EF20DC" w:rsidP="001F1094">
            <w:pPr>
              <w:rPr>
                <w:rFonts w:eastAsia="Calibri"/>
                <w:sz w:val="22"/>
                <w:szCs w:val="22"/>
              </w:rPr>
            </w:pPr>
            <w:r w:rsidRPr="00EF20DC">
              <w:rPr>
                <w:rFonts w:eastAsia="Calibri"/>
                <w:sz w:val="22"/>
                <w:szCs w:val="22"/>
              </w:rPr>
              <w:t>H</w:t>
            </w:r>
            <w:r w:rsidRPr="00EF20DC">
              <w:rPr>
                <w:rFonts w:eastAsia="Calibri"/>
                <w:spacing w:val="-2"/>
                <w:sz w:val="22"/>
                <w:szCs w:val="22"/>
              </w:rPr>
              <w:t>i</w:t>
            </w:r>
            <w:r w:rsidRPr="00EF20DC">
              <w:rPr>
                <w:rFonts w:eastAsia="Calibri"/>
                <w:sz w:val="22"/>
                <w:szCs w:val="22"/>
              </w:rPr>
              <w:t>pe</w:t>
            </w:r>
            <w:r w:rsidRPr="00EF20DC">
              <w:rPr>
                <w:rFonts w:eastAsia="Calibri"/>
                <w:spacing w:val="1"/>
                <w:sz w:val="22"/>
                <w:szCs w:val="22"/>
              </w:rPr>
              <w:t>rtir</w:t>
            </w:r>
            <w:r w:rsidR="003C64E6">
              <w:rPr>
                <w:rFonts w:eastAsia="Calibri"/>
                <w:spacing w:val="1"/>
                <w:sz w:val="22"/>
                <w:szCs w:val="22"/>
              </w:rPr>
              <w:t>ozė</w:t>
            </w:r>
          </w:p>
        </w:tc>
        <w:tc>
          <w:tcPr>
            <w:tcW w:w="1417" w:type="dxa"/>
            <w:shd w:val="clear" w:color="auto" w:fill="auto"/>
            <w:tcMar>
              <w:left w:w="57" w:type="dxa"/>
              <w:right w:w="57" w:type="dxa"/>
            </w:tcMar>
          </w:tcPr>
          <w:p w14:paraId="5F3ECF76" w14:textId="77777777" w:rsidR="00EF20DC" w:rsidRPr="00EF20DC" w:rsidRDefault="00EF20DC" w:rsidP="001F1094">
            <w:pPr>
              <w:rPr>
                <w:rFonts w:eastAsia="Calibri"/>
                <w:sz w:val="22"/>
                <w:szCs w:val="22"/>
              </w:rPr>
            </w:pPr>
          </w:p>
        </w:tc>
        <w:tc>
          <w:tcPr>
            <w:tcW w:w="1276" w:type="dxa"/>
            <w:shd w:val="clear" w:color="auto" w:fill="auto"/>
            <w:tcMar>
              <w:left w:w="57" w:type="dxa"/>
              <w:right w:w="57" w:type="dxa"/>
            </w:tcMar>
          </w:tcPr>
          <w:p w14:paraId="07A9D290" w14:textId="77777777" w:rsidR="00EF20DC" w:rsidRPr="00EF20DC" w:rsidRDefault="00EF20DC" w:rsidP="001F1094">
            <w:pPr>
              <w:rPr>
                <w:rFonts w:eastAsia="Calibri"/>
                <w:sz w:val="22"/>
                <w:szCs w:val="22"/>
              </w:rPr>
            </w:pPr>
          </w:p>
        </w:tc>
      </w:tr>
      <w:tr w:rsidR="00CF26D8" w:rsidRPr="00EF20DC" w14:paraId="48AAC201" w14:textId="77777777" w:rsidTr="001F1094">
        <w:tc>
          <w:tcPr>
            <w:tcW w:w="1384" w:type="dxa"/>
            <w:tcBorders>
              <w:right w:val="single" w:sz="12" w:space="0" w:color="auto"/>
            </w:tcBorders>
            <w:shd w:val="clear" w:color="auto" w:fill="D9D9D9"/>
            <w:tcMar>
              <w:left w:w="57" w:type="dxa"/>
              <w:right w:w="57" w:type="dxa"/>
            </w:tcMar>
          </w:tcPr>
          <w:p w14:paraId="209CB7A4" w14:textId="77777777" w:rsidR="00CF26D8" w:rsidRPr="00EF20DC" w:rsidRDefault="00CF26D8" w:rsidP="00CF26D8">
            <w:pPr>
              <w:rPr>
                <w:rFonts w:eastAsia="Calibri"/>
                <w:sz w:val="22"/>
                <w:szCs w:val="22"/>
              </w:rPr>
            </w:pPr>
            <w:r w:rsidRPr="00EF20DC">
              <w:rPr>
                <w:rFonts w:eastAsia="Calibri"/>
                <w:sz w:val="22"/>
                <w:szCs w:val="22"/>
              </w:rPr>
              <w:t>Me</w:t>
            </w:r>
            <w:r w:rsidRPr="00EF20DC">
              <w:rPr>
                <w:rFonts w:eastAsia="Calibri"/>
                <w:spacing w:val="-1"/>
                <w:sz w:val="22"/>
                <w:szCs w:val="22"/>
              </w:rPr>
              <w:t>t</w:t>
            </w:r>
            <w:r w:rsidRPr="00EF20DC">
              <w:rPr>
                <w:rFonts w:eastAsia="Calibri"/>
                <w:sz w:val="22"/>
                <w:szCs w:val="22"/>
              </w:rPr>
              <w:t>abo</w:t>
            </w:r>
            <w:r w:rsidRPr="00EF20DC">
              <w:rPr>
                <w:rFonts w:eastAsia="Calibri"/>
                <w:spacing w:val="-1"/>
                <w:sz w:val="22"/>
                <w:szCs w:val="22"/>
              </w:rPr>
              <w:t>l</w:t>
            </w:r>
            <w:r w:rsidRPr="00EF20DC">
              <w:rPr>
                <w:rFonts w:eastAsia="Calibri"/>
                <w:spacing w:val="1"/>
                <w:sz w:val="22"/>
                <w:szCs w:val="22"/>
              </w:rPr>
              <w:t>iz</w:t>
            </w:r>
            <w:r w:rsidRPr="00EF20DC">
              <w:rPr>
                <w:rFonts w:eastAsia="Calibri"/>
                <w:sz w:val="22"/>
                <w:szCs w:val="22"/>
              </w:rPr>
              <w:t>mo ir mitybos sutrikimai</w:t>
            </w:r>
          </w:p>
        </w:tc>
        <w:tc>
          <w:tcPr>
            <w:tcW w:w="1508" w:type="dxa"/>
            <w:tcBorders>
              <w:left w:val="single" w:sz="12" w:space="0" w:color="auto"/>
            </w:tcBorders>
            <w:shd w:val="clear" w:color="auto" w:fill="auto"/>
            <w:tcMar>
              <w:left w:w="57" w:type="dxa"/>
              <w:right w:w="57" w:type="dxa"/>
            </w:tcMar>
          </w:tcPr>
          <w:p w14:paraId="373DDBFB" w14:textId="77777777" w:rsidR="00CF26D8" w:rsidRPr="00EF20DC" w:rsidRDefault="00CF26D8" w:rsidP="00CF26D8">
            <w:pPr>
              <w:rPr>
                <w:rFonts w:eastAsia="Calibri"/>
                <w:spacing w:val="-2"/>
                <w:sz w:val="22"/>
                <w:szCs w:val="22"/>
              </w:rPr>
            </w:pPr>
            <w:r w:rsidRPr="00EF20DC">
              <w:rPr>
                <w:rFonts w:eastAsia="Calibri"/>
                <w:sz w:val="22"/>
                <w:szCs w:val="22"/>
              </w:rPr>
              <w:t>Ano</w:t>
            </w:r>
            <w:r w:rsidRPr="00EF20DC">
              <w:rPr>
                <w:rFonts w:eastAsia="Calibri"/>
                <w:spacing w:val="1"/>
                <w:sz w:val="22"/>
                <w:szCs w:val="22"/>
              </w:rPr>
              <w:t>r</w:t>
            </w:r>
            <w:r w:rsidRPr="00EF20DC">
              <w:rPr>
                <w:rFonts w:eastAsia="Calibri"/>
                <w:spacing w:val="-2"/>
                <w:sz w:val="22"/>
                <w:szCs w:val="22"/>
              </w:rPr>
              <w:t>eksija,</w:t>
            </w:r>
          </w:p>
          <w:p w14:paraId="5B2CF802" w14:textId="05DE5047" w:rsidR="00CF26D8" w:rsidRPr="00EF20DC" w:rsidRDefault="00CF26D8" w:rsidP="00CF26D8">
            <w:pPr>
              <w:rPr>
                <w:rFonts w:eastAsia="Calibri"/>
                <w:sz w:val="22"/>
                <w:szCs w:val="22"/>
              </w:rPr>
            </w:pPr>
            <w:r>
              <w:rPr>
                <w:rFonts w:eastAsia="Calibri"/>
                <w:spacing w:val="-2"/>
                <w:sz w:val="22"/>
                <w:szCs w:val="22"/>
              </w:rPr>
              <w:t>h</w:t>
            </w:r>
            <w:r w:rsidRPr="00EF20DC">
              <w:rPr>
                <w:rFonts w:eastAsia="Calibri"/>
                <w:spacing w:val="-2"/>
                <w:sz w:val="22"/>
                <w:szCs w:val="22"/>
              </w:rPr>
              <w:t>i</w:t>
            </w:r>
            <w:r w:rsidRPr="00EF20DC">
              <w:rPr>
                <w:rFonts w:eastAsia="Calibri"/>
                <w:sz w:val="22"/>
                <w:szCs w:val="22"/>
              </w:rPr>
              <w:t>p</w:t>
            </w:r>
            <w:r w:rsidRPr="00EF20DC">
              <w:rPr>
                <w:rFonts w:eastAsia="Calibri"/>
                <w:spacing w:val="2"/>
                <w:sz w:val="22"/>
                <w:szCs w:val="22"/>
              </w:rPr>
              <w:t>ofosfatemija</w:t>
            </w:r>
          </w:p>
        </w:tc>
        <w:tc>
          <w:tcPr>
            <w:tcW w:w="1985" w:type="dxa"/>
            <w:shd w:val="clear" w:color="auto" w:fill="auto"/>
            <w:tcMar>
              <w:left w:w="57" w:type="dxa"/>
              <w:right w:w="57" w:type="dxa"/>
            </w:tcMar>
          </w:tcPr>
          <w:p w14:paraId="67335E09" w14:textId="77777777" w:rsidR="00CF26D8" w:rsidRPr="00EF20DC" w:rsidRDefault="00CF26D8" w:rsidP="00CF26D8">
            <w:pPr>
              <w:rPr>
                <w:rFonts w:eastAsia="Calibri"/>
                <w:sz w:val="22"/>
                <w:szCs w:val="22"/>
              </w:rPr>
            </w:pPr>
            <w:r w:rsidRPr="00EF20DC">
              <w:rPr>
                <w:rFonts w:eastAsia="Calibri"/>
                <w:sz w:val="22"/>
                <w:szCs w:val="22"/>
              </w:rPr>
              <w:t>Hipoka</w:t>
            </w:r>
            <w:r w:rsidRPr="00EF20DC">
              <w:rPr>
                <w:rFonts w:eastAsia="Calibri"/>
                <w:spacing w:val="1"/>
                <w:sz w:val="22"/>
                <w:szCs w:val="22"/>
              </w:rPr>
              <w:t>l</w:t>
            </w:r>
            <w:r w:rsidRPr="00EF20DC">
              <w:rPr>
                <w:rFonts w:eastAsia="Calibri"/>
                <w:sz w:val="22"/>
                <w:szCs w:val="22"/>
              </w:rPr>
              <w:t>ce</w:t>
            </w:r>
            <w:r w:rsidRPr="00EF20DC">
              <w:rPr>
                <w:rFonts w:eastAsia="Calibri"/>
                <w:spacing w:val="-4"/>
                <w:sz w:val="22"/>
                <w:szCs w:val="22"/>
              </w:rPr>
              <w:t>m</w:t>
            </w:r>
            <w:r w:rsidRPr="00EF20DC">
              <w:rPr>
                <w:rFonts w:eastAsia="Calibri"/>
                <w:spacing w:val="1"/>
                <w:sz w:val="22"/>
                <w:szCs w:val="22"/>
              </w:rPr>
              <w:t>ij</w:t>
            </w:r>
            <w:r w:rsidRPr="00EF20DC">
              <w:rPr>
                <w:rFonts w:eastAsia="Calibri"/>
                <w:sz w:val="22"/>
                <w:szCs w:val="22"/>
              </w:rPr>
              <w:t xml:space="preserve">a, </w:t>
            </w:r>
          </w:p>
          <w:p w14:paraId="38AB5C08" w14:textId="3CBA56EF" w:rsidR="00CF26D8" w:rsidRPr="00EF20DC" w:rsidRDefault="00CF26D8" w:rsidP="00CF26D8">
            <w:pPr>
              <w:rPr>
                <w:rFonts w:eastAsia="Calibri"/>
                <w:sz w:val="22"/>
                <w:szCs w:val="22"/>
              </w:rPr>
            </w:pPr>
            <w:r w:rsidRPr="00EF20DC">
              <w:rPr>
                <w:rFonts w:eastAsia="Calibri"/>
                <w:spacing w:val="-2"/>
                <w:sz w:val="22"/>
                <w:szCs w:val="22"/>
              </w:rPr>
              <w:t>hi</w:t>
            </w:r>
            <w:r w:rsidRPr="00EF20DC">
              <w:rPr>
                <w:rFonts w:eastAsia="Calibri"/>
                <w:sz w:val="22"/>
                <w:szCs w:val="22"/>
              </w:rPr>
              <w:t>po</w:t>
            </w:r>
            <w:r w:rsidRPr="00EF20DC">
              <w:rPr>
                <w:rFonts w:eastAsia="Calibri"/>
                <w:spacing w:val="-2"/>
                <w:sz w:val="22"/>
                <w:szCs w:val="22"/>
              </w:rPr>
              <w:t>k</w:t>
            </w:r>
            <w:r w:rsidRPr="00EF20DC">
              <w:rPr>
                <w:rFonts w:eastAsia="Calibri"/>
                <w:sz w:val="22"/>
                <w:szCs w:val="22"/>
              </w:rPr>
              <w:t>a</w:t>
            </w:r>
            <w:r w:rsidRPr="00EF20DC">
              <w:rPr>
                <w:rFonts w:eastAsia="Calibri"/>
                <w:spacing w:val="1"/>
                <w:sz w:val="22"/>
                <w:szCs w:val="22"/>
              </w:rPr>
              <w:t>l</w:t>
            </w:r>
            <w:r w:rsidRPr="00EF20DC">
              <w:rPr>
                <w:rFonts w:eastAsia="Calibri"/>
                <w:sz w:val="22"/>
                <w:szCs w:val="22"/>
              </w:rPr>
              <w:t>e</w:t>
            </w:r>
            <w:r w:rsidRPr="00EF20DC">
              <w:rPr>
                <w:rFonts w:eastAsia="Calibri"/>
                <w:spacing w:val="-4"/>
                <w:sz w:val="22"/>
                <w:szCs w:val="22"/>
              </w:rPr>
              <w:t>m</w:t>
            </w:r>
            <w:r w:rsidRPr="00EF20DC">
              <w:rPr>
                <w:rFonts w:eastAsia="Calibri"/>
                <w:spacing w:val="1"/>
                <w:sz w:val="22"/>
                <w:szCs w:val="22"/>
              </w:rPr>
              <w:t>ij</w:t>
            </w:r>
            <w:r w:rsidRPr="00EF20DC">
              <w:rPr>
                <w:rFonts w:eastAsia="Calibri"/>
                <w:sz w:val="22"/>
                <w:szCs w:val="22"/>
              </w:rPr>
              <w:t xml:space="preserve">a, </w:t>
            </w:r>
          </w:p>
          <w:p w14:paraId="20F673CD" w14:textId="77777777" w:rsidR="00CF26D8" w:rsidRPr="00EF20DC" w:rsidRDefault="00CF26D8" w:rsidP="00CF26D8">
            <w:pPr>
              <w:rPr>
                <w:rFonts w:eastAsia="Calibri"/>
                <w:sz w:val="22"/>
                <w:szCs w:val="22"/>
              </w:rPr>
            </w:pPr>
            <w:r w:rsidRPr="00EF20DC">
              <w:rPr>
                <w:rFonts w:eastAsia="Calibri"/>
                <w:spacing w:val="-2"/>
                <w:sz w:val="22"/>
                <w:szCs w:val="22"/>
              </w:rPr>
              <w:t>hi</w:t>
            </w:r>
            <w:r w:rsidRPr="00EF20DC">
              <w:rPr>
                <w:rFonts w:eastAsia="Calibri"/>
                <w:sz w:val="22"/>
                <w:szCs w:val="22"/>
              </w:rPr>
              <w:t>pona</w:t>
            </w:r>
            <w:r w:rsidRPr="00EF20DC">
              <w:rPr>
                <w:rFonts w:eastAsia="Calibri"/>
                <w:spacing w:val="1"/>
                <w:sz w:val="22"/>
                <w:szCs w:val="22"/>
              </w:rPr>
              <w:t>tr</w:t>
            </w:r>
            <w:r w:rsidRPr="00EF20DC">
              <w:rPr>
                <w:rFonts w:eastAsia="Calibri"/>
                <w:sz w:val="22"/>
                <w:szCs w:val="22"/>
              </w:rPr>
              <w:t>e</w:t>
            </w:r>
            <w:r w:rsidRPr="00EF20DC">
              <w:rPr>
                <w:rFonts w:eastAsia="Calibri"/>
                <w:spacing w:val="-4"/>
                <w:sz w:val="22"/>
                <w:szCs w:val="22"/>
              </w:rPr>
              <w:t>m</w:t>
            </w:r>
            <w:r w:rsidRPr="00EF20DC">
              <w:rPr>
                <w:rFonts w:eastAsia="Calibri"/>
                <w:spacing w:val="1"/>
                <w:sz w:val="22"/>
                <w:szCs w:val="22"/>
              </w:rPr>
              <w:t>ij</w:t>
            </w:r>
            <w:r w:rsidRPr="00EF20DC">
              <w:rPr>
                <w:rFonts w:eastAsia="Calibri"/>
                <w:sz w:val="22"/>
                <w:szCs w:val="22"/>
              </w:rPr>
              <w:t xml:space="preserve">a, </w:t>
            </w:r>
          </w:p>
          <w:p w14:paraId="29C55199" w14:textId="53A5EFEE" w:rsidR="00CF26D8" w:rsidRPr="00EF20DC" w:rsidRDefault="00CF26D8" w:rsidP="00CF26D8">
            <w:pPr>
              <w:rPr>
                <w:rFonts w:eastAsia="Calibri"/>
                <w:sz w:val="22"/>
                <w:szCs w:val="22"/>
              </w:rPr>
            </w:pPr>
            <w:r w:rsidRPr="00EF20DC">
              <w:rPr>
                <w:rFonts w:eastAsia="Calibri"/>
                <w:sz w:val="22"/>
                <w:szCs w:val="22"/>
              </w:rPr>
              <w:t>hipoglikemija</w:t>
            </w:r>
          </w:p>
        </w:tc>
        <w:tc>
          <w:tcPr>
            <w:tcW w:w="1639" w:type="dxa"/>
            <w:shd w:val="clear" w:color="auto" w:fill="auto"/>
            <w:tcMar>
              <w:left w:w="57" w:type="dxa"/>
              <w:right w:w="57" w:type="dxa"/>
            </w:tcMar>
          </w:tcPr>
          <w:p w14:paraId="11D8110F" w14:textId="1FF266E3" w:rsidR="00CF26D8" w:rsidRPr="00EF20DC" w:rsidRDefault="00CF26D8" w:rsidP="00CF26D8">
            <w:pPr>
              <w:rPr>
                <w:rFonts w:eastAsia="Calibri"/>
                <w:sz w:val="22"/>
                <w:szCs w:val="22"/>
              </w:rPr>
            </w:pPr>
            <w:r w:rsidRPr="00EF20DC">
              <w:rPr>
                <w:rFonts w:eastAsia="Calibri"/>
                <w:sz w:val="22"/>
                <w:szCs w:val="22"/>
              </w:rPr>
              <w:t>Deh</w:t>
            </w:r>
            <w:r w:rsidRPr="00EF20DC">
              <w:rPr>
                <w:rFonts w:eastAsia="Calibri"/>
                <w:spacing w:val="-2"/>
                <w:sz w:val="22"/>
                <w:szCs w:val="22"/>
              </w:rPr>
              <w:t>i</w:t>
            </w:r>
            <w:r w:rsidRPr="00EF20DC">
              <w:rPr>
                <w:rFonts w:eastAsia="Calibri"/>
                <w:sz w:val="22"/>
                <w:szCs w:val="22"/>
              </w:rPr>
              <w:t>d</w:t>
            </w:r>
            <w:r w:rsidRPr="00EF20DC">
              <w:rPr>
                <w:rFonts w:eastAsia="Calibri"/>
                <w:spacing w:val="1"/>
                <w:sz w:val="22"/>
                <w:szCs w:val="22"/>
              </w:rPr>
              <w:t>r</w:t>
            </w:r>
            <w:r w:rsidRPr="00EF20DC">
              <w:rPr>
                <w:rFonts w:eastAsia="Calibri"/>
                <w:sz w:val="22"/>
                <w:szCs w:val="22"/>
              </w:rPr>
              <w:t>a</w:t>
            </w:r>
            <w:r w:rsidRPr="00EF20DC">
              <w:rPr>
                <w:rFonts w:eastAsia="Calibri"/>
                <w:spacing w:val="-1"/>
                <w:sz w:val="22"/>
                <w:szCs w:val="22"/>
              </w:rPr>
              <w:t>c</w:t>
            </w:r>
            <w:r w:rsidRPr="00EF20DC">
              <w:rPr>
                <w:rFonts w:eastAsia="Calibri"/>
                <w:spacing w:val="1"/>
                <w:sz w:val="22"/>
                <w:szCs w:val="22"/>
              </w:rPr>
              <w:t>ija</w:t>
            </w:r>
          </w:p>
        </w:tc>
        <w:tc>
          <w:tcPr>
            <w:tcW w:w="1417" w:type="dxa"/>
            <w:shd w:val="clear" w:color="auto" w:fill="auto"/>
            <w:tcMar>
              <w:left w:w="57" w:type="dxa"/>
              <w:right w:w="57" w:type="dxa"/>
            </w:tcMar>
          </w:tcPr>
          <w:p w14:paraId="291321F3" w14:textId="77777777" w:rsidR="00CF26D8" w:rsidRPr="00EF20DC" w:rsidRDefault="00CF26D8" w:rsidP="00CF26D8">
            <w:pPr>
              <w:rPr>
                <w:rFonts w:eastAsia="Calibri"/>
                <w:sz w:val="22"/>
                <w:szCs w:val="22"/>
              </w:rPr>
            </w:pPr>
          </w:p>
        </w:tc>
        <w:tc>
          <w:tcPr>
            <w:tcW w:w="1276" w:type="dxa"/>
            <w:shd w:val="clear" w:color="auto" w:fill="auto"/>
            <w:tcMar>
              <w:left w:w="57" w:type="dxa"/>
              <w:right w:w="57" w:type="dxa"/>
            </w:tcMar>
          </w:tcPr>
          <w:p w14:paraId="5E0A3547" w14:textId="3140F495" w:rsidR="00CF26D8" w:rsidRPr="00EF20DC" w:rsidRDefault="00E140BF" w:rsidP="00CF26D8">
            <w:pPr>
              <w:rPr>
                <w:rFonts w:eastAsia="Calibri"/>
                <w:sz w:val="22"/>
                <w:szCs w:val="22"/>
              </w:rPr>
            </w:pPr>
            <w:r>
              <w:rPr>
                <w:rFonts w:eastAsia="Calibri"/>
                <w:spacing w:val="1"/>
                <w:sz w:val="22"/>
                <w:szCs w:val="22"/>
              </w:rPr>
              <w:t>N</w:t>
            </w:r>
            <w:r w:rsidR="00CF26D8" w:rsidRPr="0003507D">
              <w:rPr>
                <w:rFonts w:eastAsia="Calibri"/>
                <w:spacing w:val="1"/>
                <w:sz w:val="22"/>
                <w:szCs w:val="22"/>
              </w:rPr>
              <w:t>aviko lizės sindrom</w:t>
            </w:r>
            <w:r>
              <w:rPr>
                <w:rFonts w:eastAsia="Calibri"/>
                <w:spacing w:val="1"/>
                <w:sz w:val="22"/>
                <w:szCs w:val="22"/>
              </w:rPr>
              <w:t>as</w:t>
            </w:r>
          </w:p>
        </w:tc>
      </w:tr>
      <w:tr w:rsidR="00CF26D8" w:rsidRPr="00EF20DC" w14:paraId="75873462" w14:textId="77777777" w:rsidTr="001F1094">
        <w:tc>
          <w:tcPr>
            <w:tcW w:w="1384" w:type="dxa"/>
            <w:tcBorders>
              <w:right w:val="single" w:sz="12" w:space="0" w:color="auto"/>
            </w:tcBorders>
            <w:shd w:val="clear" w:color="auto" w:fill="D9D9D9"/>
            <w:tcMar>
              <w:left w:w="57" w:type="dxa"/>
              <w:right w:w="57" w:type="dxa"/>
            </w:tcMar>
          </w:tcPr>
          <w:p w14:paraId="59E178B4" w14:textId="77777777" w:rsidR="00CF26D8" w:rsidRPr="00EF20DC" w:rsidRDefault="00CF26D8" w:rsidP="00CF26D8">
            <w:pPr>
              <w:rPr>
                <w:rFonts w:eastAsia="Calibri"/>
                <w:sz w:val="22"/>
                <w:szCs w:val="22"/>
              </w:rPr>
            </w:pPr>
            <w:r w:rsidRPr="00EF20DC">
              <w:rPr>
                <w:rFonts w:eastAsia="Calibri"/>
                <w:sz w:val="22"/>
                <w:szCs w:val="22"/>
              </w:rPr>
              <w:t>Psich</w:t>
            </w:r>
            <w:r w:rsidRPr="00EF20DC">
              <w:rPr>
                <w:rFonts w:eastAsia="Calibri"/>
                <w:spacing w:val="1"/>
                <w:sz w:val="22"/>
                <w:szCs w:val="22"/>
              </w:rPr>
              <w:t>ikos sutrikimai</w:t>
            </w:r>
          </w:p>
        </w:tc>
        <w:tc>
          <w:tcPr>
            <w:tcW w:w="1508" w:type="dxa"/>
            <w:tcBorders>
              <w:left w:val="single" w:sz="12" w:space="0" w:color="auto"/>
            </w:tcBorders>
            <w:shd w:val="clear" w:color="auto" w:fill="auto"/>
            <w:tcMar>
              <w:left w:w="57" w:type="dxa"/>
              <w:right w:w="57" w:type="dxa"/>
            </w:tcMar>
          </w:tcPr>
          <w:p w14:paraId="39E07126" w14:textId="77777777" w:rsidR="00CF26D8" w:rsidRPr="00EF20DC" w:rsidRDefault="00CF26D8" w:rsidP="00CF26D8">
            <w:pPr>
              <w:rPr>
                <w:rFonts w:eastAsia="Calibri"/>
                <w:sz w:val="22"/>
                <w:szCs w:val="22"/>
              </w:rPr>
            </w:pPr>
          </w:p>
        </w:tc>
        <w:tc>
          <w:tcPr>
            <w:tcW w:w="1985" w:type="dxa"/>
            <w:shd w:val="clear" w:color="auto" w:fill="auto"/>
            <w:tcMar>
              <w:left w:w="57" w:type="dxa"/>
              <w:right w:w="57" w:type="dxa"/>
            </w:tcMar>
          </w:tcPr>
          <w:p w14:paraId="72619DE3" w14:textId="3161DBBF" w:rsidR="00CF26D8" w:rsidRPr="00EF20DC" w:rsidRDefault="00CF26D8" w:rsidP="00CF26D8">
            <w:pPr>
              <w:rPr>
                <w:rFonts w:eastAsia="Calibri"/>
                <w:sz w:val="22"/>
                <w:szCs w:val="22"/>
              </w:rPr>
            </w:pPr>
            <w:r w:rsidRPr="00EF20DC">
              <w:rPr>
                <w:rFonts w:eastAsia="Calibri"/>
                <w:sz w:val="22"/>
                <w:szCs w:val="22"/>
              </w:rPr>
              <w:t>Dep</w:t>
            </w:r>
            <w:r w:rsidRPr="00EF20DC">
              <w:rPr>
                <w:rFonts w:eastAsia="Calibri"/>
                <w:spacing w:val="1"/>
                <w:sz w:val="22"/>
                <w:szCs w:val="22"/>
              </w:rPr>
              <w:t>r</w:t>
            </w:r>
            <w:r w:rsidRPr="00EF20DC">
              <w:rPr>
                <w:rFonts w:eastAsia="Calibri"/>
                <w:spacing w:val="-2"/>
                <w:sz w:val="22"/>
                <w:szCs w:val="22"/>
              </w:rPr>
              <w:t>e</w:t>
            </w:r>
            <w:r w:rsidRPr="00EF20DC">
              <w:rPr>
                <w:rFonts w:eastAsia="Calibri"/>
                <w:sz w:val="22"/>
                <w:szCs w:val="22"/>
              </w:rPr>
              <w:t>s</w:t>
            </w:r>
            <w:r w:rsidRPr="00EF20DC">
              <w:rPr>
                <w:rFonts w:eastAsia="Calibri"/>
                <w:spacing w:val="1"/>
                <w:sz w:val="22"/>
                <w:szCs w:val="22"/>
              </w:rPr>
              <w:t>ija</w:t>
            </w:r>
          </w:p>
        </w:tc>
        <w:tc>
          <w:tcPr>
            <w:tcW w:w="1639" w:type="dxa"/>
            <w:shd w:val="clear" w:color="auto" w:fill="auto"/>
            <w:tcMar>
              <w:left w:w="57" w:type="dxa"/>
              <w:right w:w="57" w:type="dxa"/>
            </w:tcMar>
          </w:tcPr>
          <w:p w14:paraId="25F2FA90" w14:textId="77777777" w:rsidR="00CF26D8" w:rsidRPr="00EF20DC" w:rsidRDefault="00CF26D8" w:rsidP="00CF26D8">
            <w:pPr>
              <w:rPr>
                <w:rFonts w:eastAsia="Calibri"/>
                <w:sz w:val="22"/>
                <w:szCs w:val="22"/>
              </w:rPr>
            </w:pPr>
          </w:p>
        </w:tc>
        <w:tc>
          <w:tcPr>
            <w:tcW w:w="1417" w:type="dxa"/>
            <w:shd w:val="clear" w:color="auto" w:fill="auto"/>
            <w:tcMar>
              <w:left w:w="57" w:type="dxa"/>
              <w:right w:w="57" w:type="dxa"/>
            </w:tcMar>
          </w:tcPr>
          <w:p w14:paraId="75832BC5" w14:textId="77777777" w:rsidR="00CF26D8" w:rsidRPr="00EF20DC" w:rsidRDefault="00CF26D8" w:rsidP="00CF26D8">
            <w:pPr>
              <w:rPr>
                <w:rFonts w:eastAsia="Calibri"/>
                <w:sz w:val="22"/>
                <w:szCs w:val="22"/>
              </w:rPr>
            </w:pPr>
          </w:p>
        </w:tc>
        <w:tc>
          <w:tcPr>
            <w:tcW w:w="1276" w:type="dxa"/>
            <w:shd w:val="clear" w:color="auto" w:fill="auto"/>
            <w:tcMar>
              <w:left w:w="57" w:type="dxa"/>
              <w:right w:w="57" w:type="dxa"/>
            </w:tcMar>
          </w:tcPr>
          <w:p w14:paraId="44330D04" w14:textId="77777777" w:rsidR="00CF26D8" w:rsidRPr="00EF20DC" w:rsidRDefault="00CF26D8" w:rsidP="00CF26D8">
            <w:pPr>
              <w:rPr>
                <w:rFonts w:eastAsia="Calibri"/>
                <w:sz w:val="22"/>
                <w:szCs w:val="22"/>
              </w:rPr>
            </w:pPr>
          </w:p>
        </w:tc>
      </w:tr>
      <w:tr w:rsidR="00CF26D8" w:rsidRPr="00EF20DC" w14:paraId="2B1C08CE" w14:textId="77777777" w:rsidTr="001F1094">
        <w:tc>
          <w:tcPr>
            <w:tcW w:w="1384" w:type="dxa"/>
            <w:tcBorders>
              <w:right w:val="single" w:sz="12" w:space="0" w:color="auto"/>
            </w:tcBorders>
            <w:shd w:val="clear" w:color="auto" w:fill="D9D9D9"/>
            <w:tcMar>
              <w:left w:w="57" w:type="dxa"/>
              <w:right w:w="57" w:type="dxa"/>
            </w:tcMar>
          </w:tcPr>
          <w:p w14:paraId="5EF17CF3" w14:textId="77777777" w:rsidR="00CF26D8" w:rsidRPr="00EF20DC" w:rsidRDefault="00CF26D8" w:rsidP="00CF26D8">
            <w:pPr>
              <w:rPr>
                <w:rFonts w:eastAsia="Calibri"/>
                <w:sz w:val="22"/>
                <w:szCs w:val="22"/>
              </w:rPr>
            </w:pPr>
            <w:r w:rsidRPr="00EF20DC">
              <w:rPr>
                <w:rFonts w:eastAsia="Calibri"/>
                <w:spacing w:val="-1"/>
                <w:sz w:val="22"/>
                <w:szCs w:val="22"/>
              </w:rPr>
              <w:t>N</w:t>
            </w:r>
            <w:r w:rsidRPr="00EF20DC">
              <w:rPr>
                <w:rFonts w:eastAsia="Calibri"/>
                <w:sz w:val="22"/>
                <w:szCs w:val="22"/>
              </w:rPr>
              <w:t>e</w:t>
            </w:r>
            <w:r w:rsidRPr="00EF20DC">
              <w:rPr>
                <w:rFonts w:eastAsia="Calibri"/>
                <w:spacing w:val="1"/>
                <w:sz w:val="22"/>
                <w:szCs w:val="22"/>
              </w:rPr>
              <w:t>r</w:t>
            </w:r>
            <w:r w:rsidRPr="00EF20DC">
              <w:rPr>
                <w:rFonts w:eastAsia="Calibri"/>
                <w:spacing w:val="-2"/>
                <w:sz w:val="22"/>
                <w:szCs w:val="22"/>
              </w:rPr>
              <w:t>vų</w:t>
            </w:r>
            <w:r w:rsidRPr="00EF20DC">
              <w:rPr>
                <w:rFonts w:eastAsia="Calibri"/>
                <w:sz w:val="22"/>
                <w:szCs w:val="22"/>
              </w:rPr>
              <w:t xml:space="preserve"> s</w:t>
            </w:r>
            <w:r w:rsidRPr="00EF20DC">
              <w:rPr>
                <w:rFonts w:eastAsia="Calibri"/>
                <w:spacing w:val="-2"/>
                <w:sz w:val="22"/>
                <w:szCs w:val="22"/>
              </w:rPr>
              <w:t>i</w:t>
            </w:r>
            <w:r w:rsidRPr="00EF20DC">
              <w:rPr>
                <w:rFonts w:eastAsia="Calibri"/>
                <w:sz w:val="22"/>
                <w:szCs w:val="22"/>
              </w:rPr>
              <w:t>s</w:t>
            </w:r>
            <w:r w:rsidRPr="00EF20DC">
              <w:rPr>
                <w:rFonts w:eastAsia="Calibri"/>
                <w:spacing w:val="1"/>
                <w:sz w:val="22"/>
                <w:szCs w:val="22"/>
              </w:rPr>
              <w:t>t</w:t>
            </w:r>
            <w:r w:rsidRPr="00EF20DC">
              <w:rPr>
                <w:rFonts w:eastAsia="Calibri"/>
                <w:sz w:val="22"/>
                <w:szCs w:val="22"/>
              </w:rPr>
              <w:t>emos sutrikimai</w:t>
            </w:r>
          </w:p>
        </w:tc>
        <w:tc>
          <w:tcPr>
            <w:tcW w:w="1508" w:type="dxa"/>
            <w:tcBorders>
              <w:left w:val="single" w:sz="12" w:space="0" w:color="auto"/>
            </w:tcBorders>
            <w:shd w:val="clear" w:color="auto" w:fill="auto"/>
            <w:tcMar>
              <w:left w:w="57" w:type="dxa"/>
              <w:right w:w="57" w:type="dxa"/>
            </w:tcMar>
          </w:tcPr>
          <w:p w14:paraId="71535F19" w14:textId="77777777" w:rsidR="00CF26D8" w:rsidRPr="00EF20DC" w:rsidRDefault="00CF26D8" w:rsidP="00CF26D8">
            <w:pPr>
              <w:rPr>
                <w:rFonts w:eastAsia="Calibri"/>
                <w:sz w:val="22"/>
                <w:szCs w:val="22"/>
              </w:rPr>
            </w:pPr>
          </w:p>
        </w:tc>
        <w:tc>
          <w:tcPr>
            <w:tcW w:w="1985" w:type="dxa"/>
            <w:shd w:val="clear" w:color="auto" w:fill="auto"/>
            <w:tcMar>
              <w:left w:w="57" w:type="dxa"/>
              <w:right w:w="57" w:type="dxa"/>
            </w:tcMar>
          </w:tcPr>
          <w:p w14:paraId="267446B5" w14:textId="1237FA98" w:rsidR="00CF26D8" w:rsidRPr="00EF20DC" w:rsidRDefault="00CF26D8" w:rsidP="00CF26D8">
            <w:pPr>
              <w:rPr>
                <w:rFonts w:eastAsia="Calibri"/>
                <w:spacing w:val="1"/>
                <w:sz w:val="22"/>
                <w:szCs w:val="22"/>
              </w:rPr>
            </w:pPr>
            <w:r w:rsidRPr="00EF20DC">
              <w:rPr>
                <w:rFonts w:eastAsia="Calibri"/>
                <w:sz w:val="22"/>
                <w:szCs w:val="22"/>
              </w:rPr>
              <w:t>Pe</w:t>
            </w:r>
            <w:r w:rsidRPr="00EF20DC">
              <w:rPr>
                <w:rFonts w:eastAsia="Calibri"/>
                <w:spacing w:val="1"/>
                <w:sz w:val="22"/>
                <w:szCs w:val="22"/>
              </w:rPr>
              <w:t>r</w:t>
            </w:r>
            <w:r w:rsidRPr="00EF20DC">
              <w:rPr>
                <w:rFonts w:eastAsia="Calibri"/>
                <w:spacing w:val="-1"/>
                <w:sz w:val="22"/>
                <w:szCs w:val="22"/>
              </w:rPr>
              <w:t>if</w:t>
            </w:r>
            <w:r w:rsidRPr="00EF20DC">
              <w:rPr>
                <w:rFonts w:eastAsia="Calibri"/>
                <w:spacing w:val="-2"/>
                <w:sz w:val="22"/>
                <w:szCs w:val="22"/>
              </w:rPr>
              <w:t>e</w:t>
            </w:r>
            <w:r w:rsidRPr="00EF20DC">
              <w:rPr>
                <w:rFonts w:eastAsia="Calibri"/>
                <w:spacing w:val="1"/>
                <w:sz w:val="22"/>
                <w:szCs w:val="22"/>
              </w:rPr>
              <w:t>rinė</w:t>
            </w:r>
            <w:r w:rsidRPr="00EF20DC">
              <w:rPr>
                <w:rFonts w:eastAsia="Calibri"/>
                <w:spacing w:val="-1"/>
                <w:sz w:val="22"/>
                <w:szCs w:val="22"/>
              </w:rPr>
              <w:t xml:space="preserve"> </w:t>
            </w:r>
            <w:r w:rsidRPr="00EF20DC">
              <w:rPr>
                <w:rFonts w:eastAsia="Calibri"/>
                <w:sz w:val="22"/>
                <w:szCs w:val="22"/>
              </w:rPr>
              <w:t>se</w:t>
            </w:r>
            <w:r w:rsidRPr="00EF20DC">
              <w:rPr>
                <w:rFonts w:eastAsia="Calibri"/>
                <w:spacing w:val="-2"/>
                <w:sz w:val="22"/>
                <w:szCs w:val="22"/>
              </w:rPr>
              <w:t>n</w:t>
            </w:r>
            <w:r w:rsidRPr="00EF20DC">
              <w:rPr>
                <w:rFonts w:eastAsia="Calibri"/>
                <w:sz w:val="22"/>
                <w:szCs w:val="22"/>
              </w:rPr>
              <w:t>so</w:t>
            </w:r>
            <w:r w:rsidRPr="00EF20DC">
              <w:rPr>
                <w:rFonts w:eastAsia="Calibri"/>
                <w:spacing w:val="1"/>
                <w:sz w:val="22"/>
                <w:szCs w:val="22"/>
              </w:rPr>
              <w:t xml:space="preserve">rinė </w:t>
            </w:r>
            <w:r w:rsidRPr="00EF20DC">
              <w:rPr>
                <w:rFonts w:eastAsia="Calibri"/>
                <w:sz w:val="22"/>
                <w:szCs w:val="22"/>
              </w:rPr>
              <w:t>neu</w:t>
            </w:r>
            <w:r w:rsidRPr="00EF20DC">
              <w:rPr>
                <w:rFonts w:eastAsia="Calibri"/>
                <w:spacing w:val="1"/>
                <w:sz w:val="22"/>
                <w:szCs w:val="22"/>
              </w:rPr>
              <w:t>r</w:t>
            </w:r>
            <w:r w:rsidRPr="00EF20DC">
              <w:rPr>
                <w:rFonts w:eastAsia="Calibri"/>
                <w:sz w:val="22"/>
                <w:szCs w:val="22"/>
              </w:rPr>
              <w:t>o</w:t>
            </w:r>
            <w:r w:rsidRPr="00EF20DC">
              <w:rPr>
                <w:rFonts w:eastAsia="Calibri"/>
                <w:spacing w:val="-2"/>
                <w:sz w:val="22"/>
                <w:szCs w:val="22"/>
              </w:rPr>
              <w:t>p</w:t>
            </w:r>
            <w:r w:rsidRPr="00EF20DC">
              <w:rPr>
                <w:rFonts w:eastAsia="Calibri"/>
                <w:sz w:val="22"/>
                <w:szCs w:val="22"/>
              </w:rPr>
              <w:t>a</w:t>
            </w:r>
            <w:r w:rsidRPr="00EF20DC">
              <w:rPr>
                <w:rFonts w:eastAsia="Calibri"/>
                <w:spacing w:val="1"/>
                <w:sz w:val="22"/>
                <w:szCs w:val="22"/>
              </w:rPr>
              <w:t>tija</w:t>
            </w:r>
            <w:r>
              <w:rPr>
                <w:rFonts w:eastAsia="Calibri"/>
                <w:spacing w:val="1"/>
                <w:sz w:val="22"/>
                <w:szCs w:val="22"/>
              </w:rPr>
              <w:t>,</w:t>
            </w:r>
          </w:p>
          <w:p w14:paraId="55C954B6" w14:textId="611C8C4F" w:rsidR="00CF26D8" w:rsidRPr="00EF20DC" w:rsidRDefault="00CF26D8" w:rsidP="00CF26D8">
            <w:pPr>
              <w:rPr>
                <w:rFonts w:eastAsia="Calibri"/>
                <w:sz w:val="22"/>
                <w:szCs w:val="22"/>
              </w:rPr>
            </w:pPr>
            <w:r>
              <w:rPr>
                <w:rFonts w:eastAsia="Calibri"/>
                <w:spacing w:val="1"/>
                <w:sz w:val="22"/>
                <w:szCs w:val="22"/>
              </w:rPr>
              <w:t>s</w:t>
            </w:r>
            <w:r w:rsidRPr="00EF20DC">
              <w:rPr>
                <w:rFonts w:eastAsia="Calibri"/>
                <w:spacing w:val="1"/>
                <w:sz w:val="22"/>
                <w:szCs w:val="22"/>
              </w:rPr>
              <w:t>konio jutimo sutrikimas</w:t>
            </w:r>
          </w:p>
        </w:tc>
        <w:tc>
          <w:tcPr>
            <w:tcW w:w="1639" w:type="dxa"/>
            <w:shd w:val="clear" w:color="auto" w:fill="auto"/>
            <w:tcMar>
              <w:left w:w="57" w:type="dxa"/>
              <w:right w:w="57" w:type="dxa"/>
            </w:tcMar>
          </w:tcPr>
          <w:p w14:paraId="27C3A47C" w14:textId="1F3FAFD5" w:rsidR="00CF26D8" w:rsidRPr="00EF20DC" w:rsidRDefault="00CF26D8" w:rsidP="00CF26D8">
            <w:pPr>
              <w:rPr>
                <w:rFonts w:eastAsia="Calibri"/>
                <w:sz w:val="22"/>
                <w:szCs w:val="22"/>
              </w:rPr>
            </w:pPr>
            <w:r w:rsidRPr="00EF20DC">
              <w:rPr>
                <w:rFonts w:eastAsia="Calibri"/>
                <w:spacing w:val="1"/>
                <w:sz w:val="22"/>
                <w:szCs w:val="22"/>
              </w:rPr>
              <w:t>Grįžtam</w:t>
            </w:r>
            <w:r>
              <w:rPr>
                <w:rFonts w:eastAsia="Calibri"/>
                <w:spacing w:val="1"/>
                <w:sz w:val="22"/>
                <w:szCs w:val="22"/>
              </w:rPr>
              <w:t>oji</w:t>
            </w:r>
            <w:r w:rsidRPr="00EF20DC">
              <w:rPr>
                <w:rFonts w:eastAsia="Calibri"/>
                <w:spacing w:val="1"/>
                <w:sz w:val="22"/>
                <w:szCs w:val="22"/>
              </w:rPr>
              <w:t xml:space="preserve"> užpakalinė</w:t>
            </w:r>
            <w:r w:rsidRPr="00EF20DC">
              <w:rPr>
                <w:rFonts w:eastAsia="Calibri"/>
                <w:sz w:val="22"/>
                <w:szCs w:val="22"/>
              </w:rPr>
              <w:t xml:space="preserve"> </w:t>
            </w:r>
            <w:r w:rsidRPr="00EF20DC">
              <w:rPr>
                <w:rFonts w:eastAsia="Calibri"/>
                <w:spacing w:val="1"/>
                <w:sz w:val="22"/>
                <w:szCs w:val="22"/>
              </w:rPr>
              <w:t>l</w:t>
            </w:r>
            <w:r w:rsidRPr="00EF20DC">
              <w:rPr>
                <w:rFonts w:eastAsia="Calibri"/>
                <w:sz w:val="22"/>
                <w:szCs w:val="22"/>
              </w:rPr>
              <w:t>eu</w:t>
            </w:r>
            <w:r w:rsidRPr="00EF20DC">
              <w:rPr>
                <w:rFonts w:eastAsia="Calibri"/>
                <w:spacing w:val="-2"/>
                <w:sz w:val="22"/>
                <w:szCs w:val="22"/>
              </w:rPr>
              <w:t>k</w:t>
            </w:r>
            <w:r w:rsidRPr="00EF20DC">
              <w:rPr>
                <w:rFonts w:eastAsia="Calibri"/>
                <w:sz w:val="22"/>
                <w:szCs w:val="22"/>
              </w:rPr>
              <w:t>oenc</w:t>
            </w:r>
            <w:r w:rsidRPr="00EF20DC">
              <w:rPr>
                <w:rFonts w:eastAsia="Calibri"/>
                <w:spacing w:val="-2"/>
                <w:sz w:val="22"/>
                <w:szCs w:val="22"/>
              </w:rPr>
              <w:t>efalopatija</w:t>
            </w:r>
            <w:r w:rsidRPr="00EF20DC">
              <w:rPr>
                <w:rFonts w:eastAsia="Calibri"/>
                <w:sz w:val="22"/>
                <w:szCs w:val="22"/>
              </w:rPr>
              <w:t>*</w:t>
            </w:r>
          </w:p>
        </w:tc>
        <w:tc>
          <w:tcPr>
            <w:tcW w:w="1417" w:type="dxa"/>
            <w:shd w:val="clear" w:color="auto" w:fill="auto"/>
            <w:tcMar>
              <w:left w:w="57" w:type="dxa"/>
              <w:right w:w="57" w:type="dxa"/>
            </w:tcMar>
          </w:tcPr>
          <w:p w14:paraId="1789DEC6" w14:textId="77777777" w:rsidR="00CF26D8" w:rsidRPr="00EF20DC" w:rsidRDefault="00CF26D8" w:rsidP="00CF26D8">
            <w:pPr>
              <w:rPr>
                <w:rFonts w:eastAsia="Calibri"/>
                <w:sz w:val="22"/>
                <w:szCs w:val="22"/>
              </w:rPr>
            </w:pPr>
          </w:p>
        </w:tc>
        <w:tc>
          <w:tcPr>
            <w:tcW w:w="1276" w:type="dxa"/>
            <w:shd w:val="clear" w:color="auto" w:fill="auto"/>
            <w:tcMar>
              <w:left w:w="57" w:type="dxa"/>
              <w:right w:w="57" w:type="dxa"/>
            </w:tcMar>
          </w:tcPr>
          <w:p w14:paraId="1F340E79" w14:textId="69493EE4" w:rsidR="00CF26D8" w:rsidRPr="00EF20DC" w:rsidRDefault="00CF26D8" w:rsidP="00CF26D8">
            <w:pPr>
              <w:rPr>
                <w:rFonts w:eastAsia="Calibri"/>
                <w:sz w:val="22"/>
                <w:szCs w:val="22"/>
              </w:rPr>
            </w:pPr>
            <w:r w:rsidRPr="00EF20DC">
              <w:rPr>
                <w:rFonts w:eastAsia="Calibri"/>
                <w:sz w:val="22"/>
                <w:szCs w:val="22"/>
              </w:rPr>
              <w:t>Encefa</w:t>
            </w:r>
            <w:r w:rsidRPr="00EF20DC">
              <w:rPr>
                <w:rFonts w:eastAsia="Calibri"/>
                <w:spacing w:val="1"/>
                <w:sz w:val="22"/>
                <w:szCs w:val="22"/>
              </w:rPr>
              <w:t>l</w:t>
            </w:r>
            <w:r w:rsidRPr="00EF20DC">
              <w:rPr>
                <w:rFonts w:eastAsia="Calibri"/>
                <w:spacing w:val="-2"/>
                <w:sz w:val="22"/>
                <w:szCs w:val="22"/>
              </w:rPr>
              <w:t>o</w:t>
            </w:r>
            <w:r w:rsidRPr="00EF20DC">
              <w:rPr>
                <w:rFonts w:eastAsia="Calibri"/>
                <w:sz w:val="22"/>
                <w:szCs w:val="22"/>
              </w:rPr>
              <w:t>pa-</w:t>
            </w:r>
            <w:r w:rsidRPr="00EF20DC">
              <w:rPr>
                <w:rFonts w:eastAsia="Calibri"/>
                <w:spacing w:val="-1"/>
                <w:sz w:val="22"/>
                <w:szCs w:val="22"/>
              </w:rPr>
              <w:t>tija</w:t>
            </w:r>
            <w:r w:rsidRPr="00EF20DC">
              <w:rPr>
                <w:rFonts w:eastAsia="Calibri"/>
                <w:sz w:val="22"/>
                <w:szCs w:val="22"/>
              </w:rPr>
              <w:t>°</w:t>
            </w:r>
          </w:p>
        </w:tc>
      </w:tr>
      <w:tr w:rsidR="00CF26D8" w:rsidRPr="00EF20DC" w14:paraId="794FAFF0" w14:textId="77777777" w:rsidTr="001F1094">
        <w:tc>
          <w:tcPr>
            <w:tcW w:w="1384" w:type="dxa"/>
            <w:tcBorders>
              <w:right w:val="single" w:sz="12" w:space="0" w:color="auto"/>
            </w:tcBorders>
            <w:shd w:val="clear" w:color="auto" w:fill="D9D9D9"/>
            <w:tcMar>
              <w:left w:w="57" w:type="dxa"/>
              <w:right w:w="57" w:type="dxa"/>
            </w:tcMar>
          </w:tcPr>
          <w:p w14:paraId="6D8AA04C" w14:textId="77777777" w:rsidR="00CF26D8" w:rsidRPr="00EF20DC" w:rsidRDefault="00CF26D8" w:rsidP="00CF26D8">
            <w:pPr>
              <w:rPr>
                <w:rFonts w:eastAsia="Calibri"/>
                <w:sz w:val="22"/>
                <w:szCs w:val="22"/>
              </w:rPr>
            </w:pPr>
            <w:r w:rsidRPr="00EF20DC">
              <w:rPr>
                <w:rFonts w:eastAsia="Calibri"/>
                <w:sz w:val="22"/>
                <w:szCs w:val="22"/>
              </w:rPr>
              <w:t>Ausų ir labirintų sutrikimai</w:t>
            </w:r>
          </w:p>
        </w:tc>
        <w:tc>
          <w:tcPr>
            <w:tcW w:w="1508" w:type="dxa"/>
            <w:tcBorders>
              <w:left w:val="single" w:sz="12" w:space="0" w:color="auto"/>
            </w:tcBorders>
            <w:shd w:val="clear" w:color="auto" w:fill="auto"/>
            <w:tcMar>
              <w:left w:w="57" w:type="dxa"/>
              <w:right w:w="57" w:type="dxa"/>
            </w:tcMar>
          </w:tcPr>
          <w:p w14:paraId="7A347F2A" w14:textId="77777777" w:rsidR="00CF26D8" w:rsidRPr="00EF20DC" w:rsidRDefault="00CF26D8" w:rsidP="00CF26D8">
            <w:pPr>
              <w:rPr>
                <w:rFonts w:eastAsia="Calibri"/>
                <w:sz w:val="22"/>
                <w:szCs w:val="22"/>
              </w:rPr>
            </w:pPr>
          </w:p>
        </w:tc>
        <w:tc>
          <w:tcPr>
            <w:tcW w:w="1985" w:type="dxa"/>
            <w:shd w:val="clear" w:color="auto" w:fill="auto"/>
            <w:tcMar>
              <w:left w:w="57" w:type="dxa"/>
              <w:right w:w="57" w:type="dxa"/>
            </w:tcMar>
          </w:tcPr>
          <w:p w14:paraId="4AFF5C54" w14:textId="39FE99BA" w:rsidR="00CF26D8" w:rsidRPr="00EF20DC" w:rsidRDefault="00CF26D8" w:rsidP="00CF26D8">
            <w:pPr>
              <w:rPr>
                <w:rFonts w:eastAsia="Calibri"/>
                <w:sz w:val="22"/>
                <w:szCs w:val="22"/>
              </w:rPr>
            </w:pPr>
            <w:r>
              <w:rPr>
                <w:rFonts w:eastAsia="Calibri"/>
                <w:spacing w:val="1"/>
                <w:sz w:val="22"/>
                <w:szCs w:val="22"/>
              </w:rPr>
              <w:t>Ūžesys</w:t>
            </w:r>
            <w:r w:rsidRPr="00EF20DC">
              <w:rPr>
                <w:rFonts w:eastAsia="Calibri"/>
                <w:spacing w:val="1"/>
                <w:sz w:val="22"/>
                <w:szCs w:val="22"/>
              </w:rPr>
              <w:t xml:space="preserve"> (</w:t>
            </w:r>
            <w:r w:rsidRPr="00A56C33">
              <w:rPr>
                <w:rFonts w:eastAsia="Calibri"/>
                <w:i/>
                <w:spacing w:val="1"/>
                <w:sz w:val="22"/>
                <w:szCs w:val="22"/>
              </w:rPr>
              <w:t>angl.</w:t>
            </w:r>
            <w:r>
              <w:rPr>
                <w:rFonts w:eastAsia="Calibri"/>
                <w:spacing w:val="1"/>
                <w:sz w:val="22"/>
                <w:szCs w:val="22"/>
              </w:rPr>
              <w:t xml:space="preserve"> </w:t>
            </w:r>
            <w:r w:rsidRPr="00EF20DC">
              <w:rPr>
                <w:rFonts w:eastAsia="Calibri"/>
                <w:i/>
                <w:spacing w:val="1"/>
                <w:sz w:val="22"/>
                <w:szCs w:val="22"/>
              </w:rPr>
              <w:t>tinnitus</w:t>
            </w:r>
            <w:r w:rsidRPr="00EF20DC">
              <w:rPr>
                <w:rFonts w:eastAsia="Calibri"/>
                <w:spacing w:val="1"/>
                <w:sz w:val="22"/>
                <w:szCs w:val="22"/>
              </w:rPr>
              <w:t>)</w:t>
            </w:r>
          </w:p>
        </w:tc>
        <w:tc>
          <w:tcPr>
            <w:tcW w:w="1639" w:type="dxa"/>
            <w:shd w:val="clear" w:color="auto" w:fill="auto"/>
            <w:tcMar>
              <w:left w:w="57" w:type="dxa"/>
              <w:right w:w="57" w:type="dxa"/>
            </w:tcMar>
          </w:tcPr>
          <w:p w14:paraId="4185D5E9" w14:textId="77777777" w:rsidR="00CF26D8" w:rsidRPr="00EF20DC" w:rsidRDefault="00CF26D8" w:rsidP="00CF26D8">
            <w:pPr>
              <w:rPr>
                <w:rFonts w:eastAsia="Calibri"/>
                <w:sz w:val="22"/>
                <w:szCs w:val="22"/>
              </w:rPr>
            </w:pPr>
          </w:p>
        </w:tc>
        <w:tc>
          <w:tcPr>
            <w:tcW w:w="1417" w:type="dxa"/>
            <w:shd w:val="clear" w:color="auto" w:fill="auto"/>
            <w:tcMar>
              <w:left w:w="57" w:type="dxa"/>
              <w:right w:w="57" w:type="dxa"/>
            </w:tcMar>
          </w:tcPr>
          <w:p w14:paraId="466C2BDA" w14:textId="77777777" w:rsidR="00CF26D8" w:rsidRPr="00EF20DC" w:rsidRDefault="00CF26D8" w:rsidP="00CF26D8">
            <w:pPr>
              <w:rPr>
                <w:rFonts w:eastAsia="Calibri"/>
                <w:sz w:val="22"/>
                <w:szCs w:val="22"/>
              </w:rPr>
            </w:pPr>
          </w:p>
        </w:tc>
        <w:tc>
          <w:tcPr>
            <w:tcW w:w="1276" w:type="dxa"/>
            <w:shd w:val="clear" w:color="auto" w:fill="auto"/>
            <w:tcMar>
              <w:left w:w="57" w:type="dxa"/>
              <w:right w:w="57" w:type="dxa"/>
            </w:tcMar>
          </w:tcPr>
          <w:p w14:paraId="3EDB2CBA" w14:textId="77777777" w:rsidR="00CF26D8" w:rsidRPr="00EF20DC" w:rsidRDefault="00CF26D8" w:rsidP="00CF26D8">
            <w:pPr>
              <w:rPr>
                <w:rFonts w:eastAsia="Calibri"/>
                <w:sz w:val="22"/>
                <w:szCs w:val="22"/>
              </w:rPr>
            </w:pPr>
          </w:p>
        </w:tc>
      </w:tr>
      <w:tr w:rsidR="00CF26D8" w:rsidRPr="00EF20DC" w14:paraId="457F6410" w14:textId="77777777" w:rsidTr="001F1094">
        <w:tc>
          <w:tcPr>
            <w:tcW w:w="1384" w:type="dxa"/>
            <w:tcBorders>
              <w:right w:val="single" w:sz="12" w:space="0" w:color="auto"/>
            </w:tcBorders>
            <w:shd w:val="clear" w:color="auto" w:fill="D9D9D9"/>
            <w:tcMar>
              <w:left w:w="57" w:type="dxa"/>
              <w:right w:w="57" w:type="dxa"/>
            </w:tcMar>
          </w:tcPr>
          <w:p w14:paraId="011D7843" w14:textId="77777777" w:rsidR="00CF26D8" w:rsidRPr="00EF20DC" w:rsidRDefault="00CF26D8" w:rsidP="00CF26D8">
            <w:pPr>
              <w:rPr>
                <w:rFonts w:eastAsia="Calibri"/>
                <w:sz w:val="22"/>
                <w:szCs w:val="22"/>
              </w:rPr>
            </w:pPr>
            <w:r w:rsidRPr="00EF20DC">
              <w:rPr>
                <w:rFonts w:eastAsia="Calibri"/>
                <w:spacing w:val="-1"/>
                <w:sz w:val="22"/>
                <w:szCs w:val="22"/>
              </w:rPr>
              <w:t>Širdies sutrikimai</w:t>
            </w:r>
          </w:p>
        </w:tc>
        <w:tc>
          <w:tcPr>
            <w:tcW w:w="1508" w:type="dxa"/>
            <w:tcBorders>
              <w:left w:val="single" w:sz="12" w:space="0" w:color="auto"/>
            </w:tcBorders>
            <w:shd w:val="clear" w:color="auto" w:fill="auto"/>
            <w:tcMar>
              <w:left w:w="57" w:type="dxa"/>
              <w:right w:w="57" w:type="dxa"/>
            </w:tcMar>
          </w:tcPr>
          <w:p w14:paraId="629B4F5F" w14:textId="77777777" w:rsidR="00CF26D8" w:rsidRPr="00EF20DC" w:rsidRDefault="00CF26D8" w:rsidP="00CF26D8">
            <w:pPr>
              <w:rPr>
                <w:rFonts w:eastAsia="Calibri"/>
                <w:sz w:val="22"/>
                <w:szCs w:val="22"/>
              </w:rPr>
            </w:pPr>
          </w:p>
        </w:tc>
        <w:tc>
          <w:tcPr>
            <w:tcW w:w="1985" w:type="dxa"/>
            <w:shd w:val="clear" w:color="auto" w:fill="auto"/>
            <w:tcMar>
              <w:left w:w="57" w:type="dxa"/>
              <w:right w:w="57" w:type="dxa"/>
            </w:tcMar>
          </w:tcPr>
          <w:p w14:paraId="3E5602DB" w14:textId="775C59CC" w:rsidR="00CF26D8" w:rsidRDefault="00CF26D8" w:rsidP="00CF26D8">
            <w:pPr>
              <w:rPr>
                <w:rFonts w:eastAsia="Calibri"/>
                <w:sz w:val="22"/>
                <w:szCs w:val="22"/>
              </w:rPr>
            </w:pPr>
            <w:r w:rsidRPr="00EF20DC">
              <w:rPr>
                <w:rFonts w:eastAsia="Calibri"/>
                <w:sz w:val="22"/>
                <w:szCs w:val="22"/>
              </w:rPr>
              <w:t>Stazinis širdies nepakankamumas*,</w:t>
            </w:r>
          </w:p>
          <w:p w14:paraId="7B40CFB8" w14:textId="2CEDD029" w:rsidR="00CF26D8" w:rsidRPr="00EF20DC" w:rsidRDefault="00CF26D8" w:rsidP="00CF26D8">
            <w:pPr>
              <w:rPr>
                <w:rFonts w:eastAsia="Calibri"/>
                <w:sz w:val="22"/>
                <w:szCs w:val="22"/>
              </w:rPr>
            </w:pPr>
            <w:r w:rsidRPr="00EF20DC">
              <w:rPr>
                <w:rFonts w:eastAsia="Calibri"/>
                <w:sz w:val="22"/>
                <w:szCs w:val="22"/>
              </w:rPr>
              <w:t>miokardo išemija ir infarktas*</w:t>
            </w:r>
          </w:p>
        </w:tc>
        <w:tc>
          <w:tcPr>
            <w:tcW w:w="1639" w:type="dxa"/>
            <w:shd w:val="clear" w:color="auto" w:fill="auto"/>
            <w:tcMar>
              <w:left w:w="57" w:type="dxa"/>
              <w:right w:w="57" w:type="dxa"/>
            </w:tcMar>
          </w:tcPr>
          <w:p w14:paraId="006DB3D8" w14:textId="77777777" w:rsidR="00CF26D8" w:rsidRPr="00EF20DC" w:rsidRDefault="00CF26D8" w:rsidP="00CF26D8">
            <w:pPr>
              <w:rPr>
                <w:rFonts w:eastAsia="Calibri"/>
                <w:sz w:val="22"/>
                <w:szCs w:val="22"/>
              </w:rPr>
            </w:pPr>
          </w:p>
        </w:tc>
        <w:tc>
          <w:tcPr>
            <w:tcW w:w="1417" w:type="dxa"/>
            <w:shd w:val="clear" w:color="auto" w:fill="auto"/>
            <w:tcMar>
              <w:left w:w="57" w:type="dxa"/>
              <w:right w:w="57" w:type="dxa"/>
            </w:tcMar>
          </w:tcPr>
          <w:p w14:paraId="0B990B76" w14:textId="3A5781D9" w:rsidR="00CF26D8" w:rsidRPr="00EF20DC" w:rsidRDefault="00CF26D8" w:rsidP="00CF26D8">
            <w:pPr>
              <w:rPr>
                <w:rFonts w:eastAsia="Calibri"/>
                <w:sz w:val="22"/>
                <w:szCs w:val="22"/>
              </w:rPr>
            </w:pPr>
            <w:r w:rsidRPr="00EF20DC">
              <w:rPr>
                <w:rFonts w:eastAsia="Calibri"/>
                <w:spacing w:val="-1"/>
                <w:sz w:val="22"/>
                <w:szCs w:val="22"/>
              </w:rPr>
              <w:t xml:space="preserve">QT intervalo </w:t>
            </w:r>
            <w:r w:rsidRPr="00EF20DC">
              <w:rPr>
                <w:rFonts w:eastAsia="Calibri"/>
                <w:sz w:val="22"/>
                <w:szCs w:val="22"/>
              </w:rPr>
              <w:t>pailgėjimas</w:t>
            </w:r>
          </w:p>
        </w:tc>
        <w:tc>
          <w:tcPr>
            <w:tcW w:w="1276" w:type="dxa"/>
            <w:shd w:val="clear" w:color="auto" w:fill="auto"/>
            <w:tcMar>
              <w:left w:w="57" w:type="dxa"/>
              <w:right w:w="57" w:type="dxa"/>
            </w:tcMar>
          </w:tcPr>
          <w:p w14:paraId="095964DF" w14:textId="77777777" w:rsidR="00CF26D8" w:rsidRPr="00EF20DC" w:rsidRDefault="00CF26D8" w:rsidP="00CF26D8">
            <w:pPr>
              <w:rPr>
                <w:rFonts w:eastAsia="Calibri"/>
                <w:sz w:val="22"/>
                <w:szCs w:val="22"/>
              </w:rPr>
            </w:pPr>
          </w:p>
        </w:tc>
      </w:tr>
      <w:tr w:rsidR="00CF26D8" w:rsidRPr="00EF20DC" w14:paraId="5308CBB6" w14:textId="77777777" w:rsidTr="001F1094">
        <w:tc>
          <w:tcPr>
            <w:tcW w:w="1384" w:type="dxa"/>
            <w:tcBorders>
              <w:right w:val="single" w:sz="12" w:space="0" w:color="auto"/>
            </w:tcBorders>
            <w:shd w:val="clear" w:color="auto" w:fill="D9D9D9"/>
            <w:tcMar>
              <w:left w:w="57" w:type="dxa"/>
              <w:right w:w="57" w:type="dxa"/>
            </w:tcMar>
          </w:tcPr>
          <w:p w14:paraId="432E9FFA" w14:textId="77777777" w:rsidR="00CF26D8" w:rsidRPr="00EF20DC" w:rsidRDefault="00CF26D8" w:rsidP="00CF26D8">
            <w:pPr>
              <w:rPr>
                <w:rFonts w:eastAsia="Calibri"/>
                <w:sz w:val="22"/>
                <w:szCs w:val="22"/>
              </w:rPr>
            </w:pPr>
            <w:r w:rsidRPr="00EF20DC">
              <w:rPr>
                <w:rFonts w:eastAsia="Calibri"/>
                <w:sz w:val="22"/>
                <w:szCs w:val="22"/>
              </w:rPr>
              <w:t>Kraujagyslių sutrikimai</w:t>
            </w:r>
          </w:p>
        </w:tc>
        <w:tc>
          <w:tcPr>
            <w:tcW w:w="1508" w:type="dxa"/>
            <w:tcBorders>
              <w:left w:val="single" w:sz="12" w:space="0" w:color="auto"/>
            </w:tcBorders>
            <w:shd w:val="clear" w:color="auto" w:fill="auto"/>
            <w:tcMar>
              <w:left w:w="57" w:type="dxa"/>
              <w:right w:w="57" w:type="dxa"/>
            </w:tcMar>
          </w:tcPr>
          <w:p w14:paraId="434594A1" w14:textId="77777777" w:rsidR="00CF26D8" w:rsidRDefault="00CF26D8" w:rsidP="00CF26D8">
            <w:pPr>
              <w:rPr>
                <w:rFonts w:eastAsia="Calibri"/>
                <w:sz w:val="22"/>
                <w:szCs w:val="22"/>
              </w:rPr>
            </w:pPr>
            <w:r w:rsidRPr="00EF20DC">
              <w:rPr>
                <w:rFonts w:eastAsia="Calibri"/>
                <w:sz w:val="22"/>
                <w:szCs w:val="22"/>
              </w:rPr>
              <w:t>Hemoragija (įskaitant virškinimo trakto*, kvėpavimo organų ir smegenų*)</w:t>
            </w:r>
            <w:r>
              <w:rPr>
                <w:rFonts w:eastAsia="Calibri"/>
                <w:sz w:val="22"/>
                <w:szCs w:val="22"/>
              </w:rPr>
              <w:t>,</w:t>
            </w:r>
          </w:p>
          <w:p w14:paraId="6EBC1A07" w14:textId="5DACC6B7" w:rsidR="00CF26D8" w:rsidRPr="00EF20DC" w:rsidRDefault="00CF26D8" w:rsidP="00CF26D8">
            <w:pPr>
              <w:rPr>
                <w:rFonts w:eastAsia="Calibri"/>
                <w:sz w:val="22"/>
                <w:szCs w:val="22"/>
              </w:rPr>
            </w:pPr>
            <w:r>
              <w:rPr>
                <w:rFonts w:eastAsia="Calibri"/>
                <w:sz w:val="22"/>
                <w:szCs w:val="22"/>
              </w:rPr>
              <w:t>h</w:t>
            </w:r>
            <w:r w:rsidRPr="00EF20DC">
              <w:rPr>
                <w:rFonts w:eastAsia="Calibri"/>
                <w:sz w:val="22"/>
                <w:szCs w:val="22"/>
              </w:rPr>
              <w:t>ipertenzija</w:t>
            </w:r>
          </w:p>
        </w:tc>
        <w:tc>
          <w:tcPr>
            <w:tcW w:w="1985" w:type="dxa"/>
            <w:shd w:val="clear" w:color="auto" w:fill="auto"/>
            <w:tcMar>
              <w:left w:w="57" w:type="dxa"/>
              <w:right w:w="57" w:type="dxa"/>
            </w:tcMar>
          </w:tcPr>
          <w:p w14:paraId="413F6113" w14:textId="33A2B80E" w:rsidR="00CF26D8" w:rsidRPr="00EF20DC" w:rsidRDefault="00CF26D8" w:rsidP="00CF26D8">
            <w:pPr>
              <w:rPr>
                <w:rFonts w:eastAsia="Calibri"/>
                <w:sz w:val="22"/>
                <w:szCs w:val="22"/>
              </w:rPr>
            </w:pPr>
            <w:r>
              <w:rPr>
                <w:rFonts w:eastAsia="Calibri"/>
                <w:spacing w:val="1"/>
                <w:sz w:val="22"/>
                <w:szCs w:val="22"/>
              </w:rPr>
              <w:t>Veido</w:t>
            </w:r>
            <w:r w:rsidRPr="00EF20DC">
              <w:rPr>
                <w:rFonts w:eastAsia="Calibri"/>
                <w:spacing w:val="1"/>
                <w:sz w:val="22"/>
                <w:szCs w:val="22"/>
              </w:rPr>
              <w:t xml:space="preserve"> paraudimas</w:t>
            </w:r>
          </w:p>
        </w:tc>
        <w:tc>
          <w:tcPr>
            <w:tcW w:w="1639" w:type="dxa"/>
            <w:shd w:val="clear" w:color="auto" w:fill="auto"/>
            <w:tcMar>
              <w:left w:w="57" w:type="dxa"/>
              <w:right w:w="57" w:type="dxa"/>
            </w:tcMar>
          </w:tcPr>
          <w:p w14:paraId="377BEA59" w14:textId="047BC370" w:rsidR="00CF26D8" w:rsidRPr="00EF20DC" w:rsidRDefault="00CF26D8" w:rsidP="00CF26D8">
            <w:pPr>
              <w:rPr>
                <w:rFonts w:eastAsia="Calibri"/>
                <w:sz w:val="22"/>
                <w:szCs w:val="22"/>
              </w:rPr>
            </w:pPr>
            <w:r w:rsidRPr="00EF20DC">
              <w:rPr>
                <w:rFonts w:eastAsia="Calibri"/>
                <w:sz w:val="22"/>
                <w:szCs w:val="22"/>
              </w:rPr>
              <w:t>Hipe</w:t>
            </w:r>
            <w:r w:rsidRPr="00EF20DC">
              <w:rPr>
                <w:rFonts w:eastAsia="Calibri"/>
                <w:spacing w:val="1"/>
                <w:sz w:val="22"/>
                <w:szCs w:val="22"/>
              </w:rPr>
              <w:t>rt</w:t>
            </w:r>
            <w:r w:rsidRPr="00EF20DC">
              <w:rPr>
                <w:rFonts w:eastAsia="Calibri"/>
                <w:sz w:val="22"/>
                <w:szCs w:val="22"/>
              </w:rPr>
              <w:t>e</w:t>
            </w:r>
            <w:r w:rsidRPr="00EF20DC">
              <w:rPr>
                <w:rFonts w:eastAsia="Calibri"/>
                <w:spacing w:val="-2"/>
                <w:sz w:val="22"/>
                <w:szCs w:val="22"/>
              </w:rPr>
              <w:t>nzinė k</w:t>
            </w:r>
            <w:r w:rsidRPr="00EF20DC">
              <w:rPr>
                <w:rFonts w:eastAsia="Calibri"/>
                <w:spacing w:val="1"/>
                <w:sz w:val="22"/>
                <w:szCs w:val="22"/>
              </w:rPr>
              <w:t>r</w:t>
            </w:r>
            <w:r w:rsidRPr="00EF20DC">
              <w:rPr>
                <w:rFonts w:eastAsia="Calibri"/>
                <w:spacing w:val="-1"/>
                <w:sz w:val="22"/>
                <w:szCs w:val="22"/>
              </w:rPr>
              <w:t>izė</w:t>
            </w:r>
            <w:r w:rsidRPr="00EF20DC">
              <w:rPr>
                <w:rFonts w:eastAsia="Calibri"/>
                <w:sz w:val="22"/>
                <w:szCs w:val="22"/>
              </w:rPr>
              <w:t>*</w:t>
            </w:r>
          </w:p>
        </w:tc>
        <w:tc>
          <w:tcPr>
            <w:tcW w:w="1417" w:type="dxa"/>
            <w:shd w:val="clear" w:color="auto" w:fill="auto"/>
            <w:tcMar>
              <w:left w:w="57" w:type="dxa"/>
              <w:right w:w="57" w:type="dxa"/>
            </w:tcMar>
          </w:tcPr>
          <w:p w14:paraId="27DA2702" w14:textId="77777777" w:rsidR="00CF26D8" w:rsidRPr="00EF20DC" w:rsidRDefault="00CF26D8" w:rsidP="00CF26D8">
            <w:pPr>
              <w:rPr>
                <w:rFonts w:eastAsia="Calibri"/>
                <w:sz w:val="22"/>
                <w:szCs w:val="22"/>
              </w:rPr>
            </w:pPr>
          </w:p>
        </w:tc>
        <w:tc>
          <w:tcPr>
            <w:tcW w:w="1276" w:type="dxa"/>
            <w:shd w:val="clear" w:color="auto" w:fill="auto"/>
            <w:tcMar>
              <w:left w:w="57" w:type="dxa"/>
              <w:right w:w="57" w:type="dxa"/>
            </w:tcMar>
          </w:tcPr>
          <w:p w14:paraId="771746EC" w14:textId="1B0544B4" w:rsidR="00CF26D8" w:rsidRPr="00EF20DC" w:rsidRDefault="00CF26D8" w:rsidP="00CF26D8">
            <w:pPr>
              <w:rPr>
                <w:rFonts w:eastAsia="Calibri"/>
                <w:sz w:val="22"/>
                <w:szCs w:val="22"/>
              </w:rPr>
            </w:pPr>
            <w:r w:rsidRPr="00EF20DC">
              <w:rPr>
                <w:rFonts w:eastAsia="Calibri"/>
                <w:sz w:val="22"/>
                <w:szCs w:val="22"/>
              </w:rPr>
              <w:t>Aneurizmos ir arterijų disekacijos</w:t>
            </w:r>
          </w:p>
        </w:tc>
      </w:tr>
      <w:tr w:rsidR="00CF26D8" w:rsidRPr="00EF20DC" w14:paraId="6768F152" w14:textId="77777777" w:rsidTr="001F1094">
        <w:tc>
          <w:tcPr>
            <w:tcW w:w="1384" w:type="dxa"/>
            <w:tcBorders>
              <w:right w:val="single" w:sz="12" w:space="0" w:color="auto"/>
            </w:tcBorders>
            <w:shd w:val="clear" w:color="auto" w:fill="D9D9D9"/>
            <w:tcMar>
              <w:left w:w="57" w:type="dxa"/>
              <w:right w:w="57" w:type="dxa"/>
            </w:tcMar>
          </w:tcPr>
          <w:p w14:paraId="137BE840" w14:textId="5F63C658" w:rsidR="00CF26D8" w:rsidRPr="00EF20DC" w:rsidRDefault="00CF26D8" w:rsidP="00CF26D8">
            <w:pPr>
              <w:rPr>
                <w:rFonts w:eastAsia="Calibri"/>
                <w:sz w:val="22"/>
                <w:szCs w:val="22"/>
              </w:rPr>
            </w:pPr>
            <w:r w:rsidRPr="00EF20DC">
              <w:rPr>
                <w:rFonts w:eastAsia="Calibri"/>
                <w:spacing w:val="-1"/>
                <w:sz w:val="22"/>
                <w:szCs w:val="22"/>
              </w:rPr>
              <w:t>Kvėpavimo sistemos, krūtinės ląstos ir tarpuplaučio sutrikimai</w:t>
            </w:r>
          </w:p>
        </w:tc>
        <w:tc>
          <w:tcPr>
            <w:tcW w:w="1508" w:type="dxa"/>
            <w:tcBorders>
              <w:left w:val="single" w:sz="12" w:space="0" w:color="auto"/>
            </w:tcBorders>
            <w:shd w:val="clear" w:color="auto" w:fill="auto"/>
            <w:tcMar>
              <w:left w:w="57" w:type="dxa"/>
              <w:right w:w="57" w:type="dxa"/>
            </w:tcMar>
          </w:tcPr>
          <w:p w14:paraId="13899EA4" w14:textId="77777777" w:rsidR="00CF26D8" w:rsidRPr="00EF20DC" w:rsidRDefault="00CF26D8" w:rsidP="00CF26D8">
            <w:pPr>
              <w:rPr>
                <w:rFonts w:eastAsia="Calibri"/>
                <w:sz w:val="22"/>
                <w:szCs w:val="22"/>
              </w:rPr>
            </w:pPr>
          </w:p>
        </w:tc>
        <w:tc>
          <w:tcPr>
            <w:tcW w:w="1985" w:type="dxa"/>
            <w:shd w:val="clear" w:color="auto" w:fill="auto"/>
            <w:tcMar>
              <w:left w:w="57" w:type="dxa"/>
              <w:right w:w="57" w:type="dxa"/>
            </w:tcMar>
          </w:tcPr>
          <w:p w14:paraId="2197C6AE" w14:textId="34297CE4" w:rsidR="00CF26D8" w:rsidRPr="00EF20DC" w:rsidRDefault="00CF26D8" w:rsidP="00CF26D8">
            <w:pPr>
              <w:rPr>
                <w:rFonts w:eastAsia="Calibri"/>
                <w:sz w:val="22"/>
                <w:szCs w:val="22"/>
              </w:rPr>
            </w:pPr>
            <w:r>
              <w:rPr>
                <w:rFonts w:eastAsia="Calibri"/>
                <w:spacing w:val="1"/>
                <w:sz w:val="22"/>
                <w:szCs w:val="22"/>
              </w:rPr>
              <w:t>Nosies varvėjimas</w:t>
            </w:r>
            <w:r w:rsidRPr="00EF20DC">
              <w:rPr>
                <w:rFonts w:eastAsia="Calibri"/>
                <w:spacing w:val="1"/>
                <w:sz w:val="22"/>
                <w:szCs w:val="22"/>
              </w:rPr>
              <w:t xml:space="preserve">, </w:t>
            </w:r>
            <w:r w:rsidRPr="00EF20DC">
              <w:rPr>
                <w:rFonts w:eastAsia="Calibri"/>
                <w:sz w:val="22"/>
                <w:szCs w:val="22"/>
              </w:rPr>
              <w:t>disfon</w:t>
            </w:r>
            <w:r w:rsidRPr="00EF20DC">
              <w:rPr>
                <w:rFonts w:eastAsia="Calibri"/>
                <w:spacing w:val="1"/>
                <w:sz w:val="22"/>
                <w:szCs w:val="22"/>
              </w:rPr>
              <w:t>ij</w:t>
            </w:r>
            <w:r w:rsidRPr="00EF20DC">
              <w:rPr>
                <w:rFonts w:eastAsia="Calibri"/>
                <w:sz w:val="22"/>
                <w:szCs w:val="22"/>
              </w:rPr>
              <w:t>a</w:t>
            </w:r>
          </w:p>
        </w:tc>
        <w:tc>
          <w:tcPr>
            <w:tcW w:w="1639" w:type="dxa"/>
            <w:shd w:val="clear" w:color="auto" w:fill="auto"/>
            <w:tcMar>
              <w:left w:w="57" w:type="dxa"/>
              <w:right w:w="57" w:type="dxa"/>
            </w:tcMar>
          </w:tcPr>
          <w:p w14:paraId="56ADD787" w14:textId="36A905F4" w:rsidR="00CF26D8" w:rsidRPr="00EF20DC" w:rsidRDefault="00CF26D8" w:rsidP="00CF26D8">
            <w:pPr>
              <w:rPr>
                <w:rFonts w:eastAsia="Calibri"/>
                <w:sz w:val="22"/>
                <w:szCs w:val="22"/>
              </w:rPr>
            </w:pPr>
            <w:r w:rsidRPr="00EF20DC">
              <w:rPr>
                <w:rFonts w:eastAsia="Calibri"/>
                <w:spacing w:val="1"/>
                <w:sz w:val="22"/>
                <w:szCs w:val="22"/>
              </w:rPr>
              <w:t xml:space="preserve">Į intersticinę plaučių ligą panašūs reiškiniai* (pvz., pneumonitas, radiacinis pneumonitas, ūminis kvėpavimo sutrikimas ir </w:t>
            </w:r>
            <w:r>
              <w:rPr>
                <w:rFonts w:eastAsia="Calibri"/>
                <w:spacing w:val="1"/>
                <w:sz w:val="22"/>
                <w:szCs w:val="22"/>
              </w:rPr>
              <w:t>k</w:t>
            </w:r>
            <w:r w:rsidRPr="00EF20DC">
              <w:rPr>
                <w:rFonts w:eastAsia="Calibri"/>
                <w:spacing w:val="1"/>
                <w:sz w:val="22"/>
                <w:szCs w:val="22"/>
              </w:rPr>
              <w:t>t.)</w:t>
            </w:r>
          </w:p>
        </w:tc>
        <w:tc>
          <w:tcPr>
            <w:tcW w:w="1417" w:type="dxa"/>
            <w:shd w:val="clear" w:color="auto" w:fill="auto"/>
            <w:tcMar>
              <w:left w:w="57" w:type="dxa"/>
              <w:right w:w="57" w:type="dxa"/>
            </w:tcMar>
          </w:tcPr>
          <w:p w14:paraId="66323979" w14:textId="77777777" w:rsidR="00CF26D8" w:rsidRPr="00EF20DC" w:rsidRDefault="00CF26D8" w:rsidP="00CF26D8">
            <w:pPr>
              <w:rPr>
                <w:rFonts w:eastAsia="Calibri"/>
                <w:sz w:val="22"/>
                <w:szCs w:val="22"/>
              </w:rPr>
            </w:pPr>
          </w:p>
        </w:tc>
        <w:tc>
          <w:tcPr>
            <w:tcW w:w="1276" w:type="dxa"/>
            <w:shd w:val="clear" w:color="auto" w:fill="auto"/>
            <w:tcMar>
              <w:left w:w="57" w:type="dxa"/>
              <w:right w:w="57" w:type="dxa"/>
            </w:tcMar>
          </w:tcPr>
          <w:p w14:paraId="2FD3B239" w14:textId="77777777" w:rsidR="00CF26D8" w:rsidRPr="00EF20DC" w:rsidRDefault="00CF26D8" w:rsidP="00CF26D8">
            <w:pPr>
              <w:rPr>
                <w:rFonts w:eastAsia="Calibri"/>
                <w:sz w:val="22"/>
                <w:szCs w:val="22"/>
              </w:rPr>
            </w:pPr>
          </w:p>
        </w:tc>
      </w:tr>
      <w:tr w:rsidR="00CF26D8" w:rsidRPr="00EF20DC" w14:paraId="4D76A84A" w14:textId="77777777" w:rsidTr="001F1094">
        <w:tc>
          <w:tcPr>
            <w:tcW w:w="1384" w:type="dxa"/>
            <w:tcBorders>
              <w:right w:val="single" w:sz="12" w:space="0" w:color="auto"/>
            </w:tcBorders>
            <w:shd w:val="clear" w:color="auto" w:fill="D9D9D9"/>
            <w:tcMar>
              <w:left w:w="57" w:type="dxa"/>
              <w:right w:w="57" w:type="dxa"/>
            </w:tcMar>
          </w:tcPr>
          <w:p w14:paraId="3FFED4F8" w14:textId="77777777" w:rsidR="00CF26D8" w:rsidRPr="00EF20DC" w:rsidRDefault="00CF26D8" w:rsidP="00CF26D8">
            <w:pPr>
              <w:keepNext/>
              <w:rPr>
                <w:rFonts w:eastAsia="Calibri"/>
                <w:sz w:val="22"/>
                <w:szCs w:val="22"/>
              </w:rPr>
            </w:pPr>
            <w:r w:rsidRPr="00EF20DC">
              <w:rPr>
                <w:rFonts w:eastAsia="Calibri"/>
                <w:spacing w:val="-1"/>
                <w:sz w:val="22"/>
                <w:szCs w:val="22"/>
              </w:rPr>
              <w:t>Virškinimo trakto sutrikimai</w:t>
            </w:r>
          </w:p>
        </w:tc>
        <w:tc>
          <w:tcPr>
            <w:tcW w:w="1508" w:type="dxa"/>
            <w:tcBorders>
              <w:left w:val="single" w:sz="12" w:space="0" w:color="auto"/>
            </w:tcBorders>
            <w:shd w:val="clear" w:color="auto" w:fill="auto"/>
            <w:tcMar>
              <w:left w:w="57" w:type="dxa"/>
              <w:right w:w="57" w:type="dxa"/>
            </w:tcMar>
          </w:tcPr>
          <w:p w14:paraId="2E3D0370" w14:textId="77777777" w:rsidR="00CF26D8" w:rsidRPr="00EF20DC" w:rsidRDefault="00CF26D8" w:rsidP="00CF26D8">
            <w:pPr>
              <w:rPr>
                <w:rFonts w:eastAsia="Calibri"/>
                <w:sz w:val="22"/>
                <w:szCs w:val="22"/>
              </w:rPr>
            </w:pPr>
            <w:r w:rsidRPr="00EF20DC">
              <w:rPr>
                <w:rFonts w:eastAsia="Calibri"/>
                <w:sz w:val="22"/>
                <w:szCs w:val="22"/>
              </w:rPr>
              <w:t xml:space="preserve">Viduriavimas, pykinimas, </w:t>
            </w:r>
          </w:p>
          <w:p w14:paraId="75B9B541" w14:textId="77777777" w:rsidR="00CF26D8" w:rsidRPr="00EF20DC" w:rsidRDefault="00CF26D8" w:rsidP="00CF26D8">
            <w:pPr>
              <w:rPr>
                <w:rFonts w:eastAsia="Calibri"/>
                <w:sz w:val="22"/>
                <w:szCs w:val="22"/>
              </w:rPr>
            </w:pPr>
            <w:r w:rsidRPr="00EF20DC">
              <w:rPr>
                <w:rFonts w:eastAsia="Calibri"/>
                <w:sz w:val="22"/>
                <w:szCs w:val="22"/>
              </w:rPr>
              <w:t>vėmimas, vidurių užkietėjimas</w:t>
            </w:r>
            <w:r>
              <w:rPr>
                <w:rFonts w:eastAsia="Calibri"/>
                <w:sz w:val="22"/>
                <w:szCs w:val="22"/>
              </w:rPr>
              <w:t>.</w:t>
            </w:r>
          </w:p>
        </w:tc>
        <w:tc>
          <w:tcPr>
            <w:tcW w:w="1985" w:type="dxa"/>
            <w:shd w:val="clear" w:color="auto" w:fill="auto"/>
            <w:tcMar>
              <w:left w:w="57" w:type="dxa"/>
              <w:right w:w="57" w:type="dxa"/>
            </w:tcMar>
          </w:tcPr>
          <w:p w14:paraId="4FF318F0" w14:textId="33DDCA3F" w:rsidR="00CF26D8" w:rsidRDefault="00CF26D8" w:rsidP="00CF26D8">
            <w:pPr>
              <w:rPr>
                <w:rFonts w:eastAsia="Calibri"/>
                <w:sz w:val="22"/>
                <w:szCs w:val="22"/>
              </w:rPr>
            </w:pPr>
            <w:r w:rsidRPr="00EF20DC">
              <w:rPr>
                <w:rFonts w:eastAsia="Calibri"/>
                <w:sz w:val="22"/>
                <w:szCs w:val="22"/>
              </w:rPr>
              <w:t>Stomatitas (įskaitant burnos sausumą</w:t>
            </w:r>
            <w:r>
              <w:rPr>
                <w:rFonts w:eastAsia="Calibri"/>
                <w:sz w:val="22"/>
                <w:szCs w:val="22"/>
              </w:rPr>
              <w:t xml:space="preserve"> </w:t>
            </w:r>
            <w:r w:rsidRPr="00EF20DC">
              <w:rPr>
                <w:rFonts w:eastAsia="Calibri"/>
                <w:sz w:val="22"/>
                <w:szCs w:val="22"/>
              </w:rPr>
              <w:t xml:space="preserve">ir </w:t>
            </w:r>
            <w:r w:rsidRPr="0086216B">
              <w:rPr>
                <w:rFonts w:eastAsia="Calibri"/>
                <w:sz w:val="22"/>
                <w:szCs w:val="22"/>
              </w:rPr>
              <w:t>glosodiniją</w:t>
            </w:r>
            <w:r w:rsidRPr="00EF20DC">
              <w:rPr>
                <w:rFonts w:eastAsia="Calibri"/>
                <w:sz w:val="22"/>
                <w:szCs w:val="22"/>
              </w:rPr>
              <w:t>)</w:t>
            </w:r>
            <w:r>
              <w:rPr>
                <w:rFonts w:eastAsia="Calibri"/>
                <w:sz w:val="22"/>
                <w:szCs w:val="22"/>
              </w:rPr>
              <w:t>,</w:t>
            </w:r>
          </w:p>
          <w:p w14:paraId="61959EDC" w14:textId="0D56344A" w:rsidR="00CF26D8" w:rsidRDefault="00CF26D8" w:rsidP="00CF26D8">
            <w:pPr>
              <w:rPr>
                <w:rFonts w:eastAsia="Calibri"/>
                <w:sz w:val="22"/>
                <w:szCs w:val="22"/>
              </w:rPr>
            </w:pPr>
            <w:r>
              <w:rPr>
                <w:rFonts w:eastAsia="Calibri"/>
                <w:sz w:val="22"/>
                <w:szCs w:val="22"/>
              </w:rPr>
              <w:t>d</w:t>
            </w:r>
            <w:r w:rsidRPr="00EF20DC">
              <w:rPr>
                <w:rFonts w:eastAsia="Calibri"/>
                <w:sz w:val="22"/>
                <w:szCs w:val="22"/>
              </w:rPr>
              <w:t>ispepsija,</w:t>
            </w:r>
          </w:p>
          <w:p w14:paraId="706B6915" w14:textId="65D059F1" w:rsidR="00CF26D8" w:rsidRPr="00EF20DC" w:rsidRDefault="00CF26D8" w:rsidP="00CF26D8">
            <w:pPr>
              <w:rPr>
                <w:rFonts w:eastAsia="Calibri"/>
                <w:sz w:val="22"/>
                <w:szCs w:val="22"/>
              </w:rPr>
            </w:pPr>
            <w:r w:rsidRPr="00EF20DC">
              <w:rPr>
                <w:rFonts w:eastAsia="Calibri"/>
                <w:sz w:val="22"/>
                <w:szCs w:val="22"/>
              </w:rPr>
              <w:t>disfagija, gastroezofaginio refliukso liga</w:t>
            </w:r>
          </w:p>
        </w:tc>
        <w:tc>
          <w:tcPr>
            <w:tcW w:w="1639" w:type="dxa"/>
            <w:shd w:val="clear" w:color="auto" w:fill="auto"/>
            <w:tcMar>
              <w:left w:w="57" w:type="dxa"/>
              <w:right w:w="57" w:type="dxa"/>
            </w:tcMar>
          </w:tcPr>
          <w:p w14:paraId="63AB4F2D" w14:textId="0517698A" w:rsidR="00CF26D8" w:rsidRPr="00EF20DC" w:rsidRDefault="00CF26D8" w:rsidP="00CF26D8">
            <w:pPr>
              <w:rPr>
                <w:rFonts w:eastAsia="Calibri"/>
                <w:sz w:val="22"/>
                <w:szCs w:val="22"/>
              </w:rPr>
            </w:pPr>
            <w:r w:rsidRPr="00EF20DC">
              <w:rPr>
                <w:rFonts w:eastAsia="Calibri"/>
                <w:sz w:val="22"/>
                <w:szCs w:val="22"/>
              </w:rPr>
              <w:t>Pankreatitas,</w:t>
            </w:r>
          </w:p>
          <w:p w14:paraId="3E0957A0" w14:textId="6E3897B1" w:rsidR="00CF26D8" w:rsidRPr="00EF20DC" w:rsidRDefault="00CF26D8" w:rsidP="00CF26D8">
            <w:pPr>
              <w:rPr>
                <w:rFonts w:eastAsia="Calibri"/>
                <w:sz w:val="22"/>
                <w:szCs w:val="22"/>
              </w:rPr>
            </w:pPr>
            <w:r w:rsidRPr="00EF20DC">
              <w:rPr>
                <w:rFonts w:eastAsia="Calibri"/>
                <w:sz w:val="22"/>
                <w:szCs w:val="22"/>
              </w:rPr>
              <w:t>gastritas,</w:t>
            </w:r>
          </w:p>
          <w:p w14:paraId="07736CA5" w14:textId="0C2042DC" w:rsidR="00CF26D8" w:rsidRPr="00EF20DC" w:rsidRDefault="00CF26D8" w:rsidP="00CF26D8">
            <w:pPr>
              <w:rPr>
                <w:rFonts w:eastAsia="Calibri"/>
                <w:sz w:val="22"/>
                <w:szCs w:val="22"/>
              </w:rPr>
            </w:pPr>
            <w:r w:rsidRPr="00EF20DC">
              <w:rPr>
                <w:rFonts w:eastAsia="Calibri"/>
                <w:sz w:val="22"/>
                <w:szCs w:val="22"/>
              </w:rPr>
              <w:t>virškinimo trakto perforacija (prakiurimas)*</w:t>
            </w:r>
          </w:p>
        </w:tc>
        <w:tc>
          <w:tcPr>
            <w:tcW w:w="1417" w:type="dxa"/>
            <w:shd w:val="clear" w:color="auto" w:fill="auto"/>
            <w:tcMar>
              <w:left w:w="57" w:type="dxa"/>
              <w:right w:w="57" w:type="dxa"/>
            </w:tcMar>
          </w:tcPr>
          <w:p w14:paraId="721BAF69" w14:textId="77777777" w:rsidR="00CF26D8" w:rsidRPr="00EF20DC" w:rsidRDefault="00CF26D8" w:rsidP="00CF26D8">
            <w:pPr>
              <w:rPr>
                <w:rFonts w:eastAsia="Calibri"/>
                <w:sz w:val="22"/>
                <w:szCs w:val="22"/>
              </w:rPr>
            </w:pPr>
          </w:p>
        </w:tc>
        <w:tc>
          <w:tcPr>
            <w:tcW w:w="1276" w:type="dxa"/>
            <w:shd w:val="clear" w:color="auto" w:fill="auto"/>
            <w:tcMar>
              <w:left w:w="57" w:type="dxa"/>
              <w:right w:w="57" w:type="dxa"/>
            </w:tcMar>
          </w:tcPr>
          <w:p w14:paraId="2B253533" w14:textId="77777777" w:rsidR="00CF26D8" w:rsidRPr="00EF20DC" w:rsidRDefault="00CF26D8" w:rsidP="00CF26D8">
            <w:pPr>
              <w:rPr>
                <w:rFonts w:eastAsia="Calibri"/>
                <w:sz w:val="22"/>
                <w:szCs w:val="22"/>
              </w:rPr>
            </w:pPr>
          </w:p>
        </w:tc>
      </w:tr>
      <w:tr w:rsidR="00CF26D8" w:rsidRPr="00EF20DC" w14:paraId="0BD19327" w14:textId="77777777" w:rsidTr="001F1094">
        <w:tc>
          <w:tcPr>
            <w:tcW w:w="1384" w:type="dxa"/>
            <w:tcBorders>
              <w:right w:val="single" w:sz="12" w:space="0" w:color="auto"/>
            </w:tcBorders>
            <w:shd w:val="clear" w:color="auto" w:fill="D9D9D9"/>
            <w:tcMar>
              <w:left w:w="57" w:type="dxa"/>
              <w:right w:w="57" w:type="dxa"/>
            </w:tcMar>
          </w:tcPr>
          <w:p w14:paraId="5C22F2A7" w14:textId="3C1081C2" w:rsidR="00CF26D8" w:rsidRPr="00EF20DC" w:rsidRDefault="00CF26D8" w:rsidP="00CF26D8">
            <w:pPr>
              <w:rPr>
                <w:rFonts w:eastAsia="Calibri"/>
                <w:sz w:val="22"/>
                <w:szCs w:val="22"/>
              </w:rPr>
            </w:pPr>
            <w:r w:rsidRPr="00EF20DC">
              <w:rPr>
                <w:rFonts w:eastAsia="Calibri"/>
                <w:spacing w:val="-1"/>
                <w:sz w:val="22"/>
                <w:szCs w:val="22"/>
              </w:rPr>
              <w:t>Kepenų, tulžies pūslės ir latakų sutrikimai</w:t>
            </w:r>
          </w:p>
        </w:tc>
        <w:tc>
          <w:tcPr>
            <w:tcW w:w="1508" w:type="dxa"/>
            <w:tcBorders>
              <w:left w:val="single" w:sz="12" w:space="0" w:color="auto"/>
            </w:tcBorders>
            <w:shd w:val="clear" w:color="auto" w:fill="auto"/>
            <w:tcMar>
              <w:left w:w="57" w:type="dxa"/>
              <w:right w:w="57" w:type="dxa"/>
            </w:tcMar>
          </w:tcPr>
          <w:p w14:paraId="43C3CD5B" w14:textId="77777777" w:rsidR="00CF26D8" w:rsidRPr="00EF20DC" w:rsidRDefault="00CF26D8" w:rsidP="00CF26D8">
            <w:pPr>
              <w:rPr>
                <w:rFonts w:eastAsia="Calibri"/>
                <w:sz w:val="22"/>
                <w:szCs w:val="22"/>
              </w:rPr>
            </w:pPr>
          </w:p>
        </w:tc>
        <w:tc>
          <w:tcPr>
            <w:tcW w:w="1985" w:type="dxa"/>
            <w:shd w:val="clear" w:color="auto" w:fill="auto"/>
            <w:tcMar>
              <w:left w:w="57" w:type="dxa"/>
              <w:right w:w="57" w:type="dxa"/>
            </w:tcMar>
          </w:tcPr>
          <w:p w14:paraId="49A9E9FC" w14:textId="77777777" w:rsidR="00CF26D8" w:rsidRPr="00EF20DC" w:rsidRDefault="00CF26D8" w:rsidP="00CF26D8">
            <w:pPr>
              <w:rPr>
                <w:rFonts w:eastAsia="Calibri"/>
                <w:sz w:val="22"/>
                <w:szCs w:val="22"/>
              </w:rPr>
            </w:pPr>
          </w:p>
        </w:tc>
        <w:tc>
          <w:tcPr>
            <w:tcW w:w="1639" w:type="dxa"/>
            <w:shd w:val="clear" w:color="auto" w:fill="auto"/>
            <w:tcMar>
              <w:left w:w="57" w:type="dxa"/>
              <w:right w:w="57" w:type="dxa"/>
            </w:tcMar>
          </w:tcPr>
          <w:p w14:paraId="16823ECB" w14:textId="77777777" w:rsidR="00CF26D8" w:rsidRPr="00EF20DC" w:rsidRDefault="00CF26D8" w:rsidP="00CF26D8">
            <w:pPr>
              <w:rPr>
                <w:rFonts w:eastAsia="Calibri"/>
                <w:spacing w:val="1"/>
                <w:sz w:val="22"/>
                <w:szCs w:val="22"/>
              </w:rPr>
            </w:pPr>
            <w:r w:rsidRPr="00EF20DC">
              <w:rPr>
                <w:rFonts w:eastAsia="Calibri"/>
                <w:spacing w:val="1"/>
                <w:sz w:val="22"/>
                <w:szCs w:val="22"/>
              </w:rPr>
              <w:t xml:space="preserve">Bilirubino kiekio padidėjimas ir gelta, </w:t>
            </w:r>
          </w:p>
          <w:p w14:paraId="1DAFA7D9" w14:textId="4CB1B894" w:rsidR="00CF26D8" w:rsidRPr="00EF20DC" w:rsidRDefault="00CF26D8" w:rsidP="00CF26D8">
            <w:pPr>
              <w:rPr>
                <w:rFonts w:eastAsia="Calibri"/>
                <w:spacing w:val="1"/>
                <w:sz w:val="22"/>
                <w:szCs w:val="22"/>
              </w:rPr>
            </w:pPr>
            <w:r w:rsidRPr="00EF20DC">
              <w:rPr>
                <w:rFonts w:eastAsia="Calibri"/>
                <w:spacing w:val="1"/>
                <w:sz w:val="22"/>
                <w:szCs w:val="22"/>
              </w:rPr>
              <w:lastRenderedPageBreak/>
              <w:t xml:space="preserve">tulžies pūslės uždegimas, </w:t>
            </w:r>
          </w:p>
          <w:p w14:paraId="76C6E8D9" w14:textId="5902EA9E" w:rsidR="00CF26D8" w:rsidRPr="00EF20DC" w:rsidRDefault="00CF26D8" w:rsidP="00CF26D8">
            <w:pPr>
              <w:rPr>
                <w:rFonts w:eastAsia="Calibri"/>
                <w:sz w:val="22"/>
                <w:szCs w:val="22"/>
              </w:rPr>
            </w:pPr>
            <w:r w:rsidRPr="00EF20DC">
              <w:rPr>
                <w:rFonts w:eastAsia="Calibri"/>
                <w:spacing w:val="1"/>
                <w:sz w:val="22"/>
                <w:szCs w:val="22"/>
              </w:rPr>
              <w:t>tulžies latakų uždegimas</w:t>
            </w:r>
          </w:p>
        </w:tc>
        <w:tc>
          <w:tcPr>
            <w:tcW w:w="1417" w:type="dxa"/>
            <w:shd w:val="clear" w:color="auto" w:fill="auto"/>
            <w:tcMar>
              <w:left w:w="57" w:type="dxa"/>
              <w:right w:w="57" w:type="dxa"/>
            </w:tcMar>
          </w:tcPr>
          <w:p w14:paraId="47DFD5CD" w14:textId="5FEF9BF8" w:rsidR="00CF26D8" w:rsidRPr="00EF20DC" w:rsidRDefault="00CF26D8" w:rsidP="00CF26D8">
            <w:pPr>
              <w:rPr>
                <w:rFonts w:eastAsia="Calibri"/>
                <w:sz w:val="22"/>
                <w:szCs w:val="22"/>
              </w:rPr>
            </w:pPr>
            <w:r w:rsidRPr="00EF20DC">
              <w:rPr>
                <w:rFonts w:eastAsia="Calibri"/>
                <w:sz w:val="22"/>
                <w:szCs w:val="22"/>
              </w:rPr>
              <w:lastRenderedPageBreak/>
              <w:t>Vaist</w:t>
            </w:r>
            <w:r>
              <w:rPr>
                <w:rFonts w:eastAsia="Calibri"/>
                <w:sz w:val="22"/>
                <w:szCs w:val="22"/>
              </w:rPr>
              <w:t>inių preparatų</w:t>
            </w:r>
            <w:r w:rsidRPr="00EF20DC">
              <w:rPr>
                <w:rFonts w:eastAsia="Calibri"/>
                <w:sz w:val="22"/>
                <w:szCs w:val="22"/>
              </w:rPr>
              <w:t xml:space="preserve"> sukeltas hepatitas*</w:t>
            </w:r>
          </w:p>
        </w:tc>
        <w:tc>
          <w:tcPr>
            <w:tcW w:w="1276" w:type="dxa"/>
            <w:shd w:val="clear" w:color="auto" w:fill="auto"/>
            <w:tcMar>
              <w:left w:w="57" w:type="dxa"/>
              <w:right w:w="57" w:type="dxa"/>
            </w:tcMar>
          </w:tcPr>
          <w:p w14:paraId="7119F4CF" w14:textId="77777777" w:rsidR="00CF26D8" w:rsidRPr="00EF20DC" w:rsidRDefault="00CF26D8" w:rsidP="00CF26D8">
            <w:pPr>
              <w:rPr>
                <w:rFonts w:eastAsia="Calibri"/>
                <w:sz w:val="22"/>
                <w:szCs w:val="22"/>
              </w:rPr>
            </w:pPr>
          </w:p>
        </w:tc>
      </w:tr>
      <w:tr w:rsidR="00CF26D8" w:rsidRPr="00EF20DC" w14:paraId="032B4AC0" w14:textId="77777777" w:rsidTr="001F1094">
        <w:tc>
          <w:tcPr>
            <w:tcW w:w="1384" w:type="dxa"/>
            <w:tcBorders>
              <w:right w:val="single" w:sz="12" w:space="0" w:color="auto"/>
            </w:tcBorders>
            <w:shd w:val="clear" w:color="auto" w:fill="D9D9D9"/>
            <w:tcMar>
              <w:left w:w="57" w:type="dxa"/>
              <w:right w:w="57" w:type="dxa"/>
            </w:tcMar>
          </w:tcPr>
          <w:p w14:paraId="0206ECA7" w14:textId="77777777" w:rsidR="00CF26D8" w:rsidRPr="00EF20DC" w:rsidRDefault="00CF26D8" w:rsidP="00CF26D8">
            <w:pPr>
              <w:rPr>
                <w:rFonts w:eastAsia="Calibri"/>
                <w:sz w:val="22"/>
                <w:szCs w:val="22"/>
              </w:rPr>
            </w:pPr>
            <w:r w:rsidRPr="00EF20DC">
              <w:rPr>
                <w:rFonts w:eastAsia="Calibri"/>
                <w:sz w:val="22"/>
                <w:szCs w:val="22"/>
              </w:rPr>
              <w:t>Odos ir poodinio audinio sutrikimai</w:t>
            </w:r>
          </w:p>
        </w:tc>
        <w:tc>
          <w:tcPr>
            <w:tcW w:w="1508" w:type="dxa"/>
            <w:tcBorders>
              <w:left w:val="single" w:sz="12" w:space="0" w:color="auto"/>
            </w:tcBorders>
            <w:shd w:val="clear" w:color="auto" w:fill="auto"/>
            <w:tcMar>
              <w:left w:w="57" w:type="dxa"/>
              <w:right w:w="57" w:type="dxa"/>
            </w:tcMar>
          </w:tcPr>
          <w:p w14:paraId="41581E75" w14:textId="77777777" w:rsidR="00CF26D8" w:rsidRDefault="00CF26D8" w:rsidP="00CF26D8">
            <w:pPr>
              <w:rPr>
                <w:rFonts w:eastAsia="Calibri"/>
                <w:sz w:val="22"/>
                <w:szCs w:val="22"/>
              </w:rPr>
            </w:pPr>
            <w:r w:rsidRPr="00EF20DC">
              <w:rPr>
                <w:rFonts w:eastAsia="Calibri"/>
                <w:sz w:val="22"/>
                <w:szCs w:val="22"/>
              </w:rPr>
              <w:t>Sausa oda,</w:t>
            </w:r>
          </w:p>
          <w:p w14:paraId="336A47A5" w14:textId="063F5A81" w:rsidR="00CF26D8" w:rsidRDefault="00CF26D8" w:rsidP="00CF26D8">
            <w:pPr>
              <w:rPr>
                <w:rFonts w:eastAsia="Calibri"/>
                <w:sz w:val="22"/>
                <w:szCs w:val="22"/>
              </w:rPr>
            </w:pPr>
            <w:r w:rsidRPr="00EF20DC">
              <w:rPr>
                <w:rFonts w:eastAsia="Calibri"/>
                <w:sz w:val="22"/>
                <w:szCs w:val="22"/>
              </w:rPr>
              <w:t>išbėrimas,</w:t>
            </w:r>
          </w:p>
          <w:p w14:paraId="4B8C98EF" w14:textId="0ADFE47D" w:rsidR="00CF26D8" w:rsidRDefault="00CF26D8" w:rsidP="00CF26D8">
            <w:pPr>
              <w:rPr>
                <w:rFonts w:eastAsia="Calibri"/>
                <w:sz w:val="22"/>
                <w:szCs w:val="22"/>
              </w:rPr>
            </w:pPr>
            <w:r w:rsidRPr="00EF20DC">
              <w:rPr>
                <w:rFonts w:eastAsia="Calibri"/>
                <w:sz w:val="22"/>
                <w:szCs w:val="22"/>
              </w:rPr>
              <w:t>alopecija,</w:t>
            </w:r>
          </w:p>
          <w:p w14:paraId="114D8E8B" w14:textId="4A4D36BF" w:rsidR="00CF26D8" w:rsidRDefault="00CF26D8" w:rsidP="00CF26D8">
            <w:pPr>
              <w:rPr>
                <w:rFonts w:eastAsia="Calibri"/>
                <w:sz w:val="22"/>
                <w:szCs w:val="22"/>
              </w:rPr>
            </w:pPr>
            <w:r w:rsidRPr="00EF20DC">
              <w:rPr>
                <w:rFonts w:eastAsia="Calibri"/>
                <w:sz w:val="22"/>
                <w:szCs w:val="22"/>
              </w:rPr>
              <w:t>plaštakų ir pėdų odos reakcija</w:t>
            </w:r>
            <w:r w:rsidRPr="00EF20DC">
              <w:rPr>
                <w:rFonts w:ascii="Cambria Math" w:eastAsia="Calibri" w:hAnsi="Cambria Math" w:cs="Cambria Math"/>
                <w:sz w:val="22"/>
                <w:szCs w:val="22"/>
              </w:rPr>
              <w:t>∗∗</w:t>
            </w:r>
            <w:r w:rsidRPr="00EF20DC">
              <w:rPr>
                <w:rFonts w:eastAsia="Calibri"/>
                <w:sz w:val="22"/>
                <w:szCs w:val="22"/>
              </w:rPr>
              <w:t>,</w:t>
            </w:r>
          </w:p>
          <w:p w14:paraId="3AD4033E" w14:textId="77777777" w:rsidR="00CF26D8" w:rsidRDefault="00CF26D8" w:rsidP="00CF26D8">
            <w:pPr>
              <w:rPr>
                <w:rFonts w:eastAsia="Calibri"/>
                <w:sz w:val="22"/>
                <w:szCs w:val="22"/>
              </w:rPr>
            </w:pPr>
            <w:r w:rsidRPr="00EF20DC">
              <w:rPr>
                <w:rFonts w:eastAsia="Calibri"/>
                <w:sz w:val="22"/>
                <w:szCs w:val="22"/>
              </w:rPr>
              <w:t>eritema,</w:t>
            </w:r>
          </w:p>
          <w:p w14:paraId="5EB17FF5" w14:textId="54BF212F" w:rsidR="00CF26D8" w:rsidRPr="00EF20DC" w:rsidRDefault="00CF26D8" w:rsidP="00CF26D8">
            <w:pPr>
              <w:rPr>
                <w:rFonts w:eastAsia="Calibri"/>
                <w:sz w:val="22"/>
                <w:szCs w:val="22"/>
              </w:rPr>
            </w:pPr>
            <w:r w:rsidRPr="00EF20DC">
              <w:rPr>
                <w:rFonts w:eastAsia="Calibri"/>
                <w:sz w:val="22"/>
                <w:szCs w:val="22"/>
              </w:rPr>
              <w:t>niežėjimas</w:t>
            </w:r>
          </w:p>
        </w:tc>
        <w:tc>
          <w:tcPr>
            <w:tcW w:w="1985" w:type="dxa"/>
            <w:shd w:val="clear" w:color="auto" w:fill="auto"/>
            <w:tcMar>
              <w:left w:w="57" w:type="dxa"/>
              <w:right w:w="57" w:type="dxa"/>
            </w:tcMar>
          </w:tcPr>
          <w:p w14:paraId="1A64639F" w14:textId="2C953E51" w:rsidR="00CF26D8" w:rsidRDefault="00CF26D8" w:rsidP="00CF26D8">
            <w:pPr>
              <w:rPr>
                <w:rFonts w:eastAsia="Calibri"/>
                <w:sz w:val="22"/>
                <w:szCs w:val="22"/>
              </w:rPr>
            </w:pPr>
            <w:r w:rsidRPr="00EF20DC">
              <w:rPr>
                <w:rFonts w:eastAsia="Calibri"/>
                <w:sz w:val="22"/>
                <w:szCs w:val="22"/>
              </w:rPr>
              <w:t>Keratoakantoma/odos plokščialąstelinių ląstelių vėžys</w:t>
            </w:r>
            <w:r>
              <w:rPr>
                <w:rFonts w:eastAsia="Calibri"/>
                <w:sz w:val="22"/>
                <w:szCs w:val="22"/>
              </w:rPr>
              <w:t>,</w:t>
            </w:r>
          </w:p>
          <w:p w14:paraId="74D1EAFA" w14:textId="74846763" w:rsidR="00CF26D8" w:rsidRDefault="00CF26D8" w:rsidP="00CF26D8">
            <w:pPr>
              <w:rPr>
                <w:rFonts w:eastAsia="Calibri"/>
                <w:sz w:val="22"/>
                <w:szCs w:val="22"/>
              </w:rPr>
            </w:pPr>
            <w:r>
              <w:rPr>
                <w:rFonts w:eastAsia="Calibri"/>
                <w:sz w:val="22"/>
                <w:szCs w:val="22"/>
              </w:rPr>
              <w:t>e</w:t>
            </w:r>
            <w:r w:rsidRPr="00EF20DC">
              <w:rPr>
                <w:rFonts w:eastAsia="Calibri"/>
                <w:sz w:val="22"/>
                <w:szCs w:val="22"/>
              </w:rPr>
              <w:t xml:space="preserve">ksfoliacinis dermatitas, </w:t>
            </w:r>
          </w:p>
          <w:p w14:paraId="5A86CA2C" w14:textId="34306A1D" w:rsidR="00CF26D8" w:rsidRPr="00EF20DC" w:rsidRDefault="00CF26D8" w:rsidP="00CF26D8">
            <w:pPr>
              <w:rPr>
                <w:rFonts w:eastAsia="Calibri"/>
                <w:sz w:val="22"/>
                <w:szCs w:val="22"/>
              </w:rPr>
            </w:pPr>
            <w:r w:rsidRPr="00EF20DC">
              <w:rPr>
                <w:rFonts w:eastAsia="Calibri"/>
                <w:sz w:val="22"/>
                <w:szCs w:val="22"/>
              </w:rPr>
              <w:t>spuogai (</w:t>
            </w:r>
            <w:r w:rsidRPr="00EF20DC">
              <w:rPr>
                <w:rFonts w:eastAsia="Calibri"/>
                <w:i/>
                <w:sz w:val="22"/>
                <w:szCs w:val="22"/>
              </w:rPr>
              <w:t>acne</w:t>
            </w:r>
            <w:r w:rsidRPr="00EF20DC">
              <w:rPr>
                <w:rFonts w:eastAsia="Calibri"/>
                <w:sz w:val="22"/>
                <w:szCs w:val="22"/>
              </w:rPr>
              <w:t xml:space="preserve">), </w:t>
            </w:r>
          </w:p>
          <w:p w14:paraId="314BF05E" w14:textId="77777777" w:rsidR="00CF26D8" w:rsidRDefault="00CF26D8" w:rsidP="00CF26D8">
            <w:pPr>
              <w:rPr>
                <w:rFonts w:eastAsia="Calibri"/>
                <w:sz w:val="22"/>
                <w:szCs w:val="22"/>
              </w:rPr>
            </w:pPr>
            <w:r w:rsidRPr="00EF20DC">
              <w:rPr>
                <w:rFonts w:eastAsia="Calibri"/>
                <w:sz w:val="22"/>
                <w:szCs w:val="22"/>
              </w:rPr>
              <w:t>odos deskvamacija,</w:t>
            </w:r>
          </w:p>
          <w:p w14:paraId="0006E79C" w14:textId="2C32F217" w:rsidR="00CF26D8" w:rsidRPr="00EF20DC" w:rsidRDefault="00CF26D8" w:rsidP="00CF26D8">
            <w:pPr>
              <w:rPr>
                <w:rFonts w:eastAsia="Calibri"/>
                <w:sz w:val="22"/>
                <w:szCs w:val="22"/>
              </w:rPr>
            </w:pPr>
            <w:r w:rsidRPr="00EF20DC">
              <w:rPr>
                <w:rFonts w:eastAsia="Calibri"/>
                <w:sz w:val="22"/>
                <w:szCs w:val="22"/>
              </w:rPr>
              <w:t>hiperkeratozė</w:t>
            </w:r>
          </w:p>
        </w:tc>
        <w:tc>
          <w:tcPr>
            <w:tcW w:w="1639" w:type="dxa"/>
            <w:shd w:val="clear" w:color="auto" w:fill="auto"/>
            <w:tcMar>
              <w:left w:w="57" w:type="dxa"/>
              <w:right w:w="57" w:type="dxa"/>
            </w:tcMar>
          </w:tcPr>
          <w:p w14:paraId="23EFF52F" w14:textId="77777777" w:rsidR="00CF26D8" w:rsidRPr="00EF20DC" w:rsidRDefault="00CF26D8" w:rsidP="00CF26D8">
            <w:pPr>
              <w:rPr>
                <w:rFonts w:eastAsia="Calibri"/>
                <w:sz w:val="22"/>
                <w:szCs w:val="22"/>
              </w:rPr>
            </w:pPr>
            <w:r w:rsidRPr="00EF20DC">
              <w:rPr>
                <w:rFonts w:eastAsia="Calibri"/>
                <w:sz w:val="22"/>
                <w:szCs w:val="22"/>
              </w:rPr>
              <w:t>Eg</w:t>
            </w:r>
            <w:r w:rsidRPr="00EF20DC">
              <w:rPr>
                <w:rFonts w:eastAsia="Calibri"/>
                <w:spacing w:val="-2"/>
                <w:sz w:val="22"/>
                <w:szCs w:val="22"/>
              </w:rPr>
              <w:t>z</w:t>
            </w:r>
            <w:r w:rsidRPr="00EF20DC">
              <w:rPr>
                <w:rFonts w:eastAsia="Calibri"/>
                <w:sz w:val="22"/>
                <w:szCs w:val="22"/>
              </w:rPr>
              <w:t>e</w:t>
            </w:r>
            <w:r w:rsidRPr="00EF20DC">
              <w:rPr>
                <w:rFonts w:eastAsia="Calibri"/>
                <w:spacing w:val="-4"/>
                <w:sz w:val="22"/>
                <w:szCs w:val="22"/>
              </w:rPr>
              <w:t>m</w:t>
            </w:r>
            <w:r w:rsidRPr="00EF20DC">
              <w:rPr>
                <w:rFonts w:eastAsia="Calibri"/>
                <w:sz w:val="22"/>
                <w:szCs w:val="22"/>
              </w:rPr>
              <w:t>a.</w:t>
            </w:r>
          </w:p>
          <w:p w14:paraId="479DD7AE" w14:textId="77777777" w:rsidR="00CF26D8" w:rsidRPr="00EF20DC" w:rsidRDefault="00CF26D8" w:rsidP="00CF26D8">
            <w:pPr>
              <w:rPr>
                <w:rFonts w:eastAsia="Calibri"/>
                <w:sz w:val="22"/>
                <w:szCs w:val="22"/>
              </w:rPr>
            </w:pPr>
            <w:r w:rsidRPr="00EF20DC">
              <w:rPr>
                <w:rFonts w:eastAsia="Calibri"/>
                <w:sz w:val="22"/>
                <w:szCs w:val="22"/>
              </w:rPr>
              <w:t>Daugiaformė e</w:t>
            </w:r>
            <w:r w:rsidRPr="00EF20DC">
              <w:rPr>
                <w:rFonts w:eastAsia="Calibri"/>
                <w:spacing w:val="1"/>
                <w:sz w:val="22"/>
                <w:szCs w:val="22"/>
              </w:rPr>
              <w:t>r</w:t>
            </w:r>
            <w:r w:rsidRPr="00EF20DC">
              <w:rPr>
                <w:rFonts w:eastAsia="Calibri"/>
                <w:spacing w:val="-2"/>
                <w:sz w:val="22"/>
                <w:szCs w:val="22"/>
              </w:rPr>
              <w:t>i</w:t>
            </w:r>
            <w:r w:rsidRPr="00EF20DC">
              <w:rPr>
                <w:rFonts w:eastAsia="Calibri"/>
                <w:spacing w:val="1"/>
                <w:sz w:val="22"/>
                <w:szCs w:val="22"/>
              </w:rPr>
              <w:t>t</w:t>
            </w:r>
            <w:r w:rsidRPr="00EF20DC">
              <w:rPr>
                <w:rFonts w:eastAsia="Calibri"/>
                <w:sz w:val="22"/>
                <w:szCs w:val="22"/>
              </w:rPr>
              <w:t>e</w:t>
            </w:r>
            <w:r w:rsidRPr="00EF20DC">
              <w:rPr>
                <w:rFonts w:eastAsia="Calibri"/>
                <w:spacing w:val="-4"/>
                <w:sz w:val="22"/>
                <w:szCs w:val="22"/>
              </w:rPr>
              <w:t>m</w:t>
            </w:r>
            <w:r w:rsidRPr="00EF20DC">
              <w:rPr>
                <w:rFonts w:eastAsia="Calibri"/>
                <w:sz w:val="22"/>
                <w:szCs w:val="22"/>
              </w:rPr>
              <w:t>a</w:t>
            </w:r>
            <w:r>
              <w:rPr>
                <w:rFonts w:eastAsia="Calibri"/>
                <w:sz w:val="22"/>
                <w:szCs w:val="22"/>
              </w:rPr>
              <w:t>.</w:t>
            </w:r>
          </w:p>
        </w:tc>
        <w:tc>
          <w:tcPr>
            <w:tcW w:w="1417" w:type="dxa"/>
            <w:shd w:val="clear" w:color="auto" w:fill="auto"/>
            <w:tcMar>
              <w:left w:w="57" w:type="dxa"/>
              <w:right w:w="57" w:type="dxa"/>
            </w:tcMar>
          </w:tcPr>
          <w:p w14:paraId="47B2652D" w14:textId="77777777" w:rsidR="00CF26D8" w:rsidRDefault="00CF26D8" w:rsidP="00CF26D8">
            <w:pPr>
              <w:rPr>
                <w:rFonts w:eastAsia="Calibri"/>
                <w:spacing w:val="1"/>
                <w:sz w:val="22"/>
                <w:szCs w:val="22"/>
              </w:rPr>
            </w:pPr>
            <w:r w:rsidRPr="00EF20DC">
              <w:rPr>
                <w:rFonts w:eastAsia="Calibri"/>
                <w:spacing w:val="1"/>
                <w:sz w:val="22"/>
                <w:szCs w:val="22"/>
              </w:rPr>
              <w:t>Spinduliavimo sukeltas dermatitas</w:t>
            </w:r>
            <w:r>
              <w:rPr>
                <w:rFonts w:eastAsia="Calibri"/>
                <w:spacing w:val="1"/>
                <w:sz w:val="22"/>
                <w:szCs w:val="22"/>
              </w:rPr>
              <w:t>,</w:t>
            </w:r>
          </w:p>
          <w:p w14:paraId="740B7013" w14:textId="36A7B3BB" w:rsidR="00CF26D8" w:rsidRDefault="00CF26D8" w:rsidP="00CF26D8">
            <w:pPr>
              <w:rPr>
                <w:rFonts w:eastAsia="Calibri"/>
                <w:spacing w:val="1"/>
                <w:sz w:val="22"/>
                <w:szCs w:val="22"/>
              </w:rPr>
            </w:pPr>
            <w:r w:rsidRPr="00EF20DC">
              <w:rPr>
                <w:rFonts w:eastAsia="Calibri"/>
                <w:spacing w:val="1"/>
                <w:sz w:val="22"/>
                <w:szCs w:val="22"/>
              </w:rPr>
              <w:t xml:space="preserve">Stivenso - Džonsono </w:t>
            </w:r>
            <w:r w:rsidRPr="00D76168">
              <w:rPr>
                <w:rFonts w:eastAsia="Calibri"/>
                <w:i/>
                <w:spacing w:val="1"/>
                <w:sz w:val="22"/>
                <w:szCs w:val="22"/>
              </w:rPr>
              <w:t>(Stevens-</w:t>
            </w:r>
            <w:r w:rsidRPr="003255CE">
              <w:rPr>
                <w:rFonts w:eastAsia="Calibri"/>
                <w:i/>
                <w:spacing w:val="1"/>
                <w:sz w:val="22"/>
                <w:szCs w:val="22"/>
              </w:rPr>
              <w:t xml:space="preserve"> </w:t>
            </w:r>
            <w:r w:rsidRPr="00D76168">
              <w:rPr>
                <w:rFonts w:eastAsia="Calibri"/>
                <w:i/>
                <w:spacing w:val="1"/>
                <w:sz w:val="22"/>
                <w:szCs w:val="22"/>
              </w:rPr>
              <w:t>Johnson)</w:t>
            </w:r>
            <w:r w:rsidRPr="00EF20DC">
              <w:rPr>
                <w:rFonts w:eastAsia="Calibri"/>
                <w:spacing w:val="1"/>
                <w:sz w:val="22"/>
                <w:szCs w:val="22"/>
              </w:rPr>
              <w:t xml:space="preserve"> sindromas,</w:t>
            </w:r>
          </w:p>
          <w:p w14:paraId="33914EE9" w14:textId="5AA6D22B" w:rsidR="00CF26D8" w:rsidRDefault="00CF26D8" w:rsidP="00CF26D8">
            <w:pPr>
              <w:rPr>
                <w:rFonts w:eastAsia="Calibri"/>
                <w:spacing w:val="1"/>
                <w:sz w:val="22"/>
                <w:szCs w:val="22"/>
              </w:rPr>
            </w:pPr>
            <w:r w:rsidRPr="00EF20DC">
              <w:rPr>
                <w:rFonts w:eastAsia="Calibri"/>
                <w:spacing w:val="1"/>
                <w:sz w:val="22"/>
                <w:szCs w:val="22"/>
              </w:rPr>
              <w:t>leukocitoklas-tinis vaskulitas,</w:t>
            </w:r>
          </w:p>
          <w:p w14:paraId="0D67F9E4" w14:textId="4CD98F2A" w:rsidR="00CF26D8" w:rsidRPr="00EF20DC" w:rsidRDefault="00CF26D8" w:rsidP="00CF26D8">
            <w:pPr>
              <w:rPr>
                <w:rFonts w:eastAsia="Calibri"/>
                <w:sz w:val="22"/>
                <w:szCs w:val="22"/>
              </w:rPr>
            </w:pPr>
            <w:r w:rsidRPr="00EF20DC">
              <w:rPr>
                <w:rFonts w:eastAsia="Calibri"/>
                <w:spacing w:val="1"/>
                <w:sz w:val="22"/>
                <w:szCs w:val="22"/>
              </w:rPr>
              <w:t>toksinė epidermio nekrolizė*</w:t>
            </w:r>
          </w:p>
        </w:tc>
        <w:tc>
          <w:tcPr>
            <w:tcW w:w="1276" w:type="dxa"/>
            <w:shd w:val="clear" w:color="auto" w:fill="auto"/>
            <w:tcMar>
              <w:left w:w="57" w:type="dxa"/>
              <w:right w:w="57" w:type="dxa"/>
            </w:tcMar>
          </w:tcPr>
          <w:p w14:paraId="68EA64D6" w14:textId="77777777" w:rsidR="00CF26D8" w:rsidRPr="00EF20DC" w:rsidRDefault="00CF26D8" w:rsidP="00CF26D8">
            <w:pPr>
              <w:rPr>
                <w:rFonts w:eastAsia="Calibri"/>
                <w:sz w:val="22"/>
                <w:szCs w:val="22"/>
              </w:rPr>
            </w:pPr>
          </w:p>
        </w:tc>
      </w:tr>
      <w:tr w:rsidR="00CF26D8" w:rsidRPr="00EF20DC" w14:paraId="13B6854F" w14:textId="77777777" w:rsidTr="001F1094">
        <w:tc>
          <w:tcPr>
            <w:tcW w:w="1384" w:type="dxa"/>
            <w:tcBorders>
              <w:right w:val="single" w:sz="12" w:space="0" w:color="auto"/>
            </w:tcBorders>
            <w:shd w:val="clear" w:color="auto" w:fill="D9D9D9"/>
            <w:tcMar>
              <w:left w:w="57" w:type="dxa"/>
              <w:right w:w="57" w:type="dxa"/>
            </w:tcMar>
          </w:tcPr>
          <w:p w14:paraId="2EDF5588" w14:textId="21E05B19" w:rsidR="00CF26D8" w:rsidRPr="00EF20DC" w:rsidRDefault="00CF26D8" w:rsidP="00CF26D8">
            <w:pPr>
              <w:rPr>
                <w:rFonts w:eastAsia="Calibri"/>
                <w:sz w:val="22"/>
                <w:szCs w:val="22"/>
              </w:rPr>
            </w:pPr>
            <w:r w:rsidRPr="00EF20DC">
              <w:rPr>
                <w:rFonts w:eastAsia="Calibri"/>
                <w:sz w:val="22"/>
                <w:szCs w:val="22"/>
              </w:rPr>
              <w:t>Skeleto, raumenų ir jungiamojo audinio sutrikimai</w:t>
            </w:r>
          </w:p>
        </w:tc>
        <w:tc>
          <w:tcPr>
            <w:tcW w:w="1508" w:type="dxa"/>
            <w:tcBorders>
              <w:left w:val="single" w:sz="12" w:space="0" w:color="auto"/>
            </w:tcBorders>
            <w:shd w:val="clear" w:color="auto" w:fill="auto"/>
            <w:tcMar>
              <w:left w:w="57" w:type="dxa"/>
              <w:right w:w="57" w:type="dxa"/>
            </w:tcMar>
          </w:tcPr>
          <w:p w14:paraId="48E11B93" w14:textId="51562C67" w:rsidR="00CF26D8" w:rsidRPr="00EF20DC" w:rsidRDefault="00CF26D8" w:rsidP="00CF26D8">
            <w:pPr>
              <w:rPr>
                <w:rFonts w:eastAsia="Calibri"/>
                <w:sz w:val="22"/>
                <w:szCs w:val="22"/>
              </w:rPr>
            </w:pPr>
            <w:r w:rsidRPr="00EF20DC">
              <w:rPr>
                <w:rFonts w:eastAsia="Calibri"/>
                <w:sz w:val="22"/>
                <w:szCs w:val="22"/>
              </w:rPr>
              <w:t>A</w:t>
            </w:r>
            <w:r w:rsidRPr="00EF20DC">
              <w:rPr>
                <w:rFonts w:eastAsia="Calibri"/>
                <w:spacing w:val="1"/>
                <w:sz w:val="22"/>
                <w:szCs w:val="22"/>
              </w:rPr>
              <w:t>rtr</w:t>
            </w:r>
            <w:r w:rsidRPr="00EF20DC">
              <w:rPr>
                <w:rFonts w:eastAsia="Calibri"/>
                <w:spacing w:val="-2"/>
                <w:sz w:val="22"/>
                <w:szCs w:val="22"/>
              </w:rPr>
              <w:t>a</w:t>
            </w:r>
            <w:r w:rsidRPr="00EF20DC">
              <w:rPr>
                <w:rFonts w:eastAsia="Calibri"/>
                <w:spacing w:val="1"/>
                <w:sz w:val="22"/>
                <w:szCs w:val="22"/>
              </w:rPr>
              <w:t>l</w:t>
            </w:r>
            <w:r w:rsidRPr="00EF20DC">
              <w:rPr>
                <w:rFonts w:eastAsia="Calibri"/>
                <w:spacing w:val="-2"/>
                <w:sz w:val="22"/>
                <w:szCs w:val="22"/>
              </w:rPr>
              <w:t>g</w:t>
            </w:r>
            <w:r w:rsidRPr="00EF20DC">
              <w:rPr>
                <w:rFonts w:eastAsia="Calibri"/>
                <w:spacing w:val="1"/>
                <w:sz w:val="22"/>
                <w:szCs w:val="22"/>
              </w:rPr>
              <w:t>ija</w:t>
            </w:r>
          </w:p>
        </w:tc>
        <w:tc>
          <w:tcPr>
            <w:tcW w:w="1985" w:type="dxa"/>
            <w:shd w:val="clear" w:color="auto" w:fill="auto"/>
            <w:tcMar>
              <w:left w:w="57" w:type="dxa"/>
              <w:right w:w="57" w:type="dxa"/>
            </w:tcMar>
          </w:tcPr>
          <w:p w14:paraId="7EEBA6B9" w14:textId="71F245B4" w:rsidR="00CF26D8" w:rsidRPr="00EF20DC" w:rsidRDefault="00CF26D8" w:rsidP="00CF26D8">
            <w:pPr>
              <w:rPr>
                <w:rFonts w:eastAsia="Calibri"/>
                <w:spacing w:val="-1"/>
                <w:sz w:val="22"/>
                <w:szCs w:val="22"/>
              </w:rPr>
            </w:pPr>
            <w:r>
              <w:rPr>
                <w:rFonts w:eastAsia="Calibri"/>
                <w:spacing w:val="-1"/>
                <w:sz w:val="22"/>
                <w:szCs w:val="22"/>
              </w:rPr>
              <w:t>R</w:t>
            </w:r>
            <w:r w:rsidRPr="00EF20DC">
              <w:rPr>
                <w:rFonts w:eastAsia="Calibri"/>
                <w:spacing w:val="-1"/>
                <w:sz w:val="22"/>
                <w:szCs w:val="22"/>
              </w:rPr>
              <w:t>aumenų skausmas,</w:t>
            </w:r>
          </w:p>
          <w:p w14:paraId="3167FC9F" w14:textId="766905DF" w:rsidR="00CF26D8" w:rsidRPr="00EF20DC" w:rsidRDefault="00CF26D8" w:rsidP="00CF26D8">
            <w:pPr>
              <w:rPr>
                <w:rFonts w:eastAsia="Calibri"/>
                <w:sz w:val="22"/>
                <w:szCs w:val="22"/>
              </w:rPr>
            </w:pPr>
            <w:r w:rsidRPr="00EF20DC">
              <w:rPr>
                <w:rFonts w:eastAsia="Calibri"/>
                <w:spacing w:val="-1"/>
                <w:sz w:val="22"/>
                <w:szCs w:val="22"/>
              </w:rPr>
              <w:t>raumenų spazmai</w:t>
            </w:r>
          </w:p>
        </w:tc>
        <w:tc>
          <w:tcPr>
            <w:tcW w:w="1639" w:type="dxa"/>
            <w:shd w:val="clear" w:color="auto" w:fill="auto"/>
            <w:tcMar>
              <w:left w:w="57" w:type="dxa"/>
              <w:right w:w="57" w:type="dxa"/>
            </w:tcMar>
          </w:tcPr>
          <w:p w14:paraId="7D532B83" w14:textId="77777777" w:rsidR="00CF26D8" w:rsidRPr="00EF20DC" w:rsidRDefault="00CF26D8" w:rsidP="00CF26D8">
            <w:pPr>
              <w:rPr>
                <w:rFonts w:eastAsia="Calibri"/>
                <w:sz w:val="22"/>
                <w:szCs w:val="22"/>
              </w:rPr>
            </w:pPr>
          </w:p>
        </w:tc>
        <w:tc>
          <w:tcPr>
            <w:tcW w:w="1417" w:type="dxa"/>
            <w:shd w:val="clear" w:color="auto" w:fill="auto"/>
            <w:tcMar>
              <w:left w:w="57" w:type="dxa"/>
              <w:right w:w="57" w:type="dxa"/>
            </w:tcMar>
          </w:tcPr>
          <w:p w14:paraId="7AB932ED" w14:textId="3613230A" w:rsidR="00CF26D8" w:rsidRPr="00EF20DC" w:rsidRDefault="00CF26D8" w:rsidP="00CF26D8">
            <w:pPr>
              <w:rPr>
                <w:rFonts w:eastAsia="Calibri"/>
                <w:sz w:val="22"/>
                <w:szCs w:val="22"/>
              </w:rPr>
            </w:pPr>
            <w:r w:rsidRPr="00EF20DC">
              <w:rPr>
                <w:rFonts w:eastAsia="Calibri"/>
                <w:spacing w:val="1"/>
                <w:sz w:val="22"/>
                <w:szCs w:val="22"/>
              </w:rPr>
              <w:t>R</w:t>
            </w:r>
            <w:r w:rsidRPr="00EF20DC">
              <w:rPr>
                <w:rFonts w:eastAsia="Calibri"/>
                <w:sz w:val="22"/>
                <w:szCs w:val="22"/>
              </w:rPr>
              <w:t>abdo</w:t>
            </w:r>
            <w:r w:rsidRPr="00EF20DC">
              <w:rPr>
                <w:rFonts w:eastAsia="Calibri"/>
                <w:spacing w:val="-4"/>
                <w:sz w:val="22"/>
                <w:szCs w:val="22"/>
              </w:rPr>
              <w:t>m</w:t>
            </w:r>
            <w:r w:rsidRPr="00EF20DC">
              <w:rPr>
                <w:rFonts w:eastAsia="Calibri"/>
                <w:spacing w:val="-2"/>
                <w:sz w:val="22"/>
                <w:szCs w:val="22"/>
              </w:rPr>
              <w:t>i</w:t>
            </w:r>
            <w:r w:rsidRPr="00EF20DC">
              <w:rPr>
                <w:rFonts w:eastAsia="Calibri"/>
                <w:sz w:val="22"/>
                <w:szCs w:val="22"/>
              </w:rPr>
              <w:t>o</w:t>
            </w:r>
            <w:r w:rsidRPr="00EF20DC">
              <w:rPr>
                <w:rFonts w:eastAsia="Calibri"/>
                <w:spacing w:val="1"/>
                <w:sz w:val="22"/>
                <w:szCs w:val="22"/>
              </w:rPr>
              <w:t>l</w:t>
            </w:r>
            <w:r w:rsidRPr="00EF20DC">
              <w:rPr>
                <w:rFonts w:eastAsia="Calibri"/>
                <w:spacing w:val="-2"/>
                <w:sz w:val="22"/>
                <w:szCs w:val="22"/>
              </w:rPr>
              <w:t>izė</w:t>
            </w:r>
          </w:p>
        </w:tc>
        <w:tc>
          <w:tcPr>
            <w:tcW w:w="1276" w:type="dxa"/>
            <w:shd w:val="clear" w:color="auto" w:fill="auto"/>
            <w:tcMar>
              <w:left w:w="57" w:type="dxa"/>
              <w:right w:w="57" w:type="dxa"/>
            </w:tcMar>
          </w:tcPr>
          <w:p w14:paraId="2DE3B57F" w14:textId="77777777" w:rsidR="00CF26D8" w:rsidRPr="00EF20DC" w:rsidRDefault="00CF26D8" w:rsidP="00CF26D8">
            <w:pPr>
              <w:rPr>
                <w:rFonts w:eastAsia="Calibri"/>
                <w:sz w:val="22"/>
                <w:szCs w:val="22"/>
              </w:rPr>
            </w:pPr>
          </w:p>
        </w:tc>
      </w:tr>
      <w:tr w:rsidR="00CF26D8" w:rsidRPr="00EF20DC" w14:paraId="3EF73471" w14:textId="77777777" w:rsidTr="001F1094">
        <w:tc>
          <w:tcPr>
            <w:tcW w:w="1384" w:type="dxa"/>
            <w:tcBorders>
              <w:right w:val="single" w:sz="12" w:space="0" w:color="auto"/>
            </w:tcBorders>
            <w:shd w:val="clear" w:color="auto" w:fill="D9D9D9"/>
            <w:tcMar>
              <w:left w:w="57" w:type="dxa"/>
              <w:right w:w="57" w:type="dxa"/>
            </w:tcMar>
          </w:tcPr>
          <w:p w14:paraId="5C24D5B4" w14:textId="77777777" w:rsidR="00CF26D8" w:rsidRPr="00EF20DC" w:rsidRDefault="00CF26D8" w:rsidP="00CF26D8">
            <w:pPr>
              <w:rPr>
                <w:rFonts w:eastAsia="Calibri"/>
                <w:sz w:val="22"/>
                <w:szCs w:val="22"/>
              </w:rPr>
            </w:pPr>
            <w:r w:rsidRPr="00EF20DC">
              <w:rPr>
                <w:rFonts w:eastAsia="Calibri"/>
                <w:spacing w:val="-1"/>
                <w:sz w:val="22"/>
                <w:szCs w:val="22"/>
              </w:rPr>
              <w:t>Inkstų ir šlapimo takų sutrikimai</w:t>
            </w:r>
          </w:p>
        </w:tc>
        <w:tc>
          <w:tcPr>
            <w:tcW w:w="1508" w:type="dxa"/>
            <w:tcBorders>
              <w:left w:val="single" w:sz="12" w:space="0" w:color="auto"/>
            </w:tcBorders>
            <w:shd w:val="clear" w:color="auto" w:fill="auto"/>
            <w:tcMar>
              <w:left w:w="57" w:type="dxa"/>
              <w:right w:w="57" w:type="dxa"/>
            </w:tcMar>
          </w:tcPr>
          <w:p w14:paraId="0C274877" w14:textId="77777777" w:rsidR="00CF26D8" w:rsidRPr="00EF20DC" w:rsidRDefault="00CF26D8" w:rsidP="00CF26D8">
            <w:pPr>
              <w:rPr>
                <w:rFonts w:eastAsia="Calibri"/>
                <w:sz w:val="22"/>
                <w:szCs w:val="22"/>
              </w:rPr>
            </w:pPr>
          </w:p>
        </w:tc>
        <w:tc>
          <w:tcPr>
            <w:tcW w:w="1985" w:type="dxa"/>
            <w:shd w:val="clear" w:color="auto" w:fill="auto"/>
            <w:tcMar>
              <w:left w:w="57" w:type="dxa"/>
              <w:right w:w="57" w:type="dxa"/>
            </w:tcMar>
          </w:tcPr>
          <w:p w14:paraId="03022372" w14:textId="1734072F" w:rsidR="00CF26D8" w:rsidRDefault="00CF26D8" w:rsidP="00CF26D8">
            <w:pPr>
              <w:rPr>
                <w:rFonts w:eastAsia="Calibri"/>
                <w:spacing w:val="1"/>
                <w:sz w:val="22"/>
                <w:szCs w:val="22"/>
              </w:rPr>
            </w:pPr>
            <w:r w:rsidRPr="00EF20DC">
              <w:rPr>
                <w:rFonts w:eastAsia="Calibri"/>
                <w:spacing w:val="1"/>
                <w:sz w:val="22"/>
                <w:szCs w:val="22"/>
              </w:rPr>
              <w:t>Inkstų nepakankamumas,</w:t>
            </w:r>
          </w:p>
          <w:p w14:paraId="5A13AA30" w14:textId="420453AA" w:rsidR="00CF26D8" w:rsidRPr="00EF20DC" w:rsidRDefault="00CF26D8" w:rsidP="00CF26D8">
            <w:pPr>
              <w:rPr>
                <w:rFonts w:eastAsia="Calibri"/>
                <w:sz w:val="22"/>
                <w:szCs w:val="22"/>
              </w:rPr>
            </w:pPr>
            <w:r w:rsidRPr="00EF20DC">
              <w:rPr>
                <w:rFonts w:eastAsia="Calibri"/>
                <w:spacing w:val="1"/>
                <w:sz w:val="22"/>
                <w:szCs w:val="22"/>
              </w:rPr>
              <w:t>proteinurija</w:t>
            </w:r>
          </w:p>
        </w:tc>
        <w:tc>
          <w:tcPr>
            <w:tcW w:w="1639" w:type="dxa"/>
            <w:shd w:val="clear" w:color="auto" w:fill="auto"/>
            <w:tcMar>
              <w:left w:w="57" w:type="dxa"/>
              <w:right w:w="57" w:type="dxa"/>
            </w:tcMar>
          </w:tcPr>
          <w:p w14:paraId="3F74CCAD" w14:textId="77777777" w:rsidR="00CF26D8" w:rsidRPr="00EF20DC" w:rsidRDefault="00CF26D8" w:rsidP="00CF26D8">
            <w:pPr>
              <w:rPr>
                <w:rFonts w:eastAsia="Calibri"/>
                <w:sz w:val="22"/>
                <w:szCs w:val="22"/>
              </w:rPr>
            </w:pPr>
          </w:p>
        </w:tc>
        <w:tc>
          <w:tcPr>
            <w:tcW w:w="1417" w:type="dxa"/>
            <w:shd w:val="clear" w:color="auto" w:fill="auto"/>
            <w:tcMar>
              <w:left w:w="57" w:type="dxa"/>
              <w:right w:w="57" w:type="dxa"/>
            </w:tcMar>
          </w:tcPr>
          <w:p w14:paraId="7EDCEF7F" w14:textId="3B0A8670" w:rsidR="00CF26D8" w:rsidRPr="00EF20DC" w:rsidRDefault="00CF26D8" w:rsidP="00CF26D8">
            <w:pPr>
              <w:rPr>
                <w:rFonts w:eastAsia="Calibri"/>
                <w:sz w:val="22"/>
                <w:szCs w:val="22"/>
              </w:rPr>
            </w:pPr>
            <w:r w:rsidRPr="00EF20DC">
              <w:rPr>
                <w:rFonts w:eastAsia="Calibri"/>
                <w:sz w:val="22"/>
                <w:szCs w:val="22"/>
              </w:rPr>
              <w:t>Nef</w:t>
            </w:r>
            <w:r w:rsidRPr="00EF20DC">
              <w:rPr>
                <w:rFonts w:eastAsia="Calibri"/>
                <w:spacing w:val="1"/>
                <w:sz w:val="22"/>
                <w:szCs w:val="22"/>
              </w:rPr>
              <w:t>r</w:t>
            </w:r>
            <w:r w:rsidRPr="00EF20DC">
              <w:rPr>
                <w:rFonts w:eastAsia="Calibri"/>
                <w:spacing w:val="-2"/>
                <w:sz w:val="22"/>
                <w:szCs w:val="22"/>
              </w:rPr>
              <w:t xml:space="preserve">ozinis </w:t>
            </w:r>
            <w:r w:rsidRPr="00EF20DC">
              <w:rPr>
                <w:rFonts w:eastAsia="Calibri"/>
                <w:sz w:val="22"/>
                <w:szCs w:val="22"/>
              </w:rPr>
              <w:t>sind</w:t>
            </w:r>
            <w:r w:rsidRPr="00EF20DC">
              <w:rPr>
                <w:rFonts w:eastAsia="Calibri"/>
                <w:spacing w:val="1"/>
                <w:sz w:val="22"/>
                <w:szCs w:val="22"/>
              </w:rPr>
              <w:t>r</w:t>
            </w:r>
            <w:r w:rsidRPr="00EF20DC">
              <w:rPr>
                <w:rFonts w:eastAsia="Calibri"/>
                <w:sz w:val="22"/>
                <w:szCs w:val="22"/>
              </w:rPr>
              <w:t>o</w:t>
            </w:r>
            <w:r w:rsidRPr="00EF20DC">
              <w:rPr>
                <w:rFonts w:eastAsia="Calibri"/>
                <w:spacing w:val="-4"/>
                <w:sz w:val="22"/>
                <w:szCs w:val="22"/>
              </w:rPr>
              <w:t>mas</w:t>
            </w:r>
          </w:p>
        </w:tc>
        <w:tc>
          <w:tcPr>
            <w:tcW w:w="1276" w:type="dxa"/>
            <w:shd w:val="clear" w:color="auto" w:fill="auto"/>
            <w:tcMar>
              <w:left w:w="57" w:type="dxa"/>
              <w:right w:w="57" w:type="dxa"/>
            </w:tcMar>
          </w:tcPr>
          <w:p w14:paraId="7CDCD57E" w14:textId="77777777" w:rsidR="00CF26D8" w:rsidRPr="00EF20DC" w:rsidRDefault="00CF26D8" w:rsidP="00CF26D8">
            <w:pPr>
              <w:rPr>
                <w:rFonts w:eastAsia="Calibri"/>
                <w:sz w:val="22"/>
                <w:szCs w:val="22"/>
              </w:rPr>
            </w:pPr>
          </w:p>
        </w:tc>
      </w:tr>
      <w:tr w:rsidR="00CF26D8" w:rsidRPr="00EF20DC" w14:paraId="721786FC" w14:textId="77777777" w:rsidTr="001F1094">
        <w:tc>
          <w:tcPr>
            <w:tcW w:w="1384" w:type="dxa"/>
            <w:tcBorders>
              <w:right w:val="single" w:sz="12" w:space="0" w:color="auto"/>
            </w:tcBorders>
            <w:shd w:val="clear" w:color="auto" w:fill="D9D9D9"/>
            <w:tcMar>
              <w:left w:w="57" w:type="dxa"/>
              <w:right w:w="57" w:type="dxa"/>
            </w:tcMar>
          </w:tcPr>
          <w:p w14:paraId="2CA39BA8" w14:textId="77777777" w:rsidR="00CF26D8" w:rsidRPr="00EF20DC" w:rsidRDefault="00CF26D8" w:rsidP="00CF26D8">
            <w:pPr>
              <w:rPr>
                <w:rFonts w:eastAsia="Calibri"/>
                <w:sz w:val="22"/>
                <w:szCs w:val="22"/>
              </w:rPr>
            </w:pPr>
            <w:r w:rsidRPr="00EF20DC">
              <w:rPr>
                <w:rFonts w:eastAsia="Calibri"/>
                <w:spacing w:val="-1"/>
                <w:sz w:val="22"/>
                <w:szCs w:val="22"/>
              </w:rPr>
              <w:t>Lytinės sistemos ir krūties sutrikimai</w:t>
            </w:r>
          </w:p>
        </w:tc>
        <w:tc>
          <w:tcPr>
            <w:tcW w:w="1508" w:type="dxa"/>
            <w:tcBorders>
              <w:left w:val="single" w:sz="12" w:space="0" w:color="auto"/>
            </w:tcBorders>
            <w:shd w:val="clear" w:color="auto" w:fill="auto"/>
            <w:tcMar>
              <w:left w:w="57" w:type="dxa"/>
              <w:right w:w="57" w:type="dxa"/>
            </w:tcMar>
          </w:tcPr>
          <w:p w14:paraId="1B97563F" w14:textId="77777777" w:rsidR="00CF26D8" w:rsidRPr="00EF20DC" w:rsidRDefault="00CF26D8" w:rsidP="00CF26D8">
            <w:pPr>
              <w:rPr>
                <w:rFonts w:eastAsia="Calibri"/>
                <w:sz w:val="22"/>
                <w:szCs w:val="22"/>
              </w:rPr>
            </w:pPr>
          </w:p>
        </w:tc>
        <w:tc>
          <w:tcPr>
            <w:tcW w:w="1985" w:type="dxa"/>
            <w:shd w:val="clear" w:color="auto" w:fill="auto"/>
            <w:tcMar>
              <w:left w:w="57" w:type="dxa"/>
              <w:right w:w="57" w:type="dxa"/>
            </w:tcMar>
          </w:tcPr>
          <w:p w14:paraId="17D47D0A" w14:textId="1DD43CD3" w:rsidR="00CF26D8" w:rsidRPr="00EF20DC" w:rsidRDefault="00CF26D8" w:rsidP="00CF26D8">
            <w:pPr>
              <w:rPr>
                <w:rFonts w:eastAsia="Calibri"/>
                <w:sz w:val="22"/>
                <w:szCs w:val="22"/>
              </w:rPr>
            </w:pPr>
            <w:r w:rsidRPr="00EF20DC">
              <w:rPr>
                <w:rFonts w:eastAsia="Calibri"/>
                <w:sz w:val="22"/>
                <w:szCs w:val="22"/>
              </w:rPr>
              <w:t>E</w:t>
            </w:r>
            <w:r w:rsidRPr="00EF20DC">
              <w:rPr>
                <w:rFonts w:eastAsia="Calibri"/>
                <w:spacing w:val="1"/>
                <w:sz w:val="22"/>
                <w:szCs w:val="22"/>
              </w:rPr>
              <w:t>r</w:t>
            </w:r>
            <w:r w:rsidRPr="00EF20DC">
              <w:rPr>
                <w:rFonts w:eastAsia="Calibri"/>
                <w:sz w:val="22"/>
                <w:szCs w:val="22"/>
              </w:rPr>
              <w:t>ekcijos sutrikimas</w:t>
            </w:r>
          </w:p>
        </w:tc>
        <w:tc>
          <w:tcPr>
            <w:tcW w:w="1639" w:type="dxa"/>
            <w:shd w:val="clear" w:color="auto" w:fill="auto"/>
            <w:tcMar>
              <w:left w:w="57" w:type="dxa"/>
              <w:right w:w="57" w:type="dxa"/>
            </w:tcMar>
          </w:tcPr>
          <w:p w14:paraId="4DCDAD6B" w14:textId="722E1EBA" w:rsidR="00CF26D8" w:rsidRPr="00EF20DC" w:rsidRDefault="00CF26D8" w:rsidP="00CF26D8">
            <w:pPr>
              <w:rPr>
                <w:rFonts w:eastAsia="Calibri"/>
                <w:sz w:val="22"/>
                <w:szCs w:val="22"/>
              </w:rPr>
            </w:pPr>
            <w:r w:rsidRPr="00EF20DC">
              <w:rPr>
                <w:rFonts w:eastAsia="Calibri"/>
                <w:sz w:val="22"/>
                <w:szCs w:val="22"/>
              </w:rPr>
              <w:t>Gineko</w:t>
            </w:r>
            <w:r w:rsidRPr="00EF20DC">
              <w:rPr>
                <w:rFonts w:eastAsia="Calibri"/>
                <w:spacing w:val="-4"/>
                <w:sz w:val="22"/>
                <w:szCs w:val="22"/>
              </w:rPr>
              <w:t>m</w:t>
            </w:r>
            <w:r w:rsidRPr="00EF20DC">
              <w:rPr>
                <w:rFonts w:eastAsia="Calibri"/>
                <w:sz w:val="22"/>
                <w:szCs w:val="22"/>
              </w:rPr>
              <w:t>as</w:t>
            </w:r>
            <w:r w:rsidRPr="00EF20DC">
              <w:rPr>
                <w:rFonts w:eastAsia="Calibri"/>
                <w:spacing w:val="1"/>
                <w:sz w:val="22"/>
                <w:szCs w:val="22"/>
              </w:rPr>
              <w:t>tij</w:t>
            </w:r>
            <w:r w:rsidRPr="00EF20DC">
              <w:rPr>
                <w:rFonts w:eastAsia="Calibri"/>
                <w:sz w:val="22"/>
                <w:szCs w:val="22"/>
              </w:rPr>
              <w:t>a</w:t>
            </w:r>
          </w:p>
        </w:tc>
        <w:tc>
          <w:tcPr>
            <w:tcW w:w="1417" w:type="dxa"/>
            <w:shd w:val="clear" w:color="auto" w:fill="auto"/>
            <w:tcMar>
              <w:left w:w="57" w:type="dxa"/>
              <w:right w:w="57" w:type="dxa"/>
            </w:tcMar>
          </w:tcPr>
          <w:p w14:paraId="6682B1F8" w14:textId="77777777" w:rsidR="00CF26D8" w:rsidRPr="00EF20DC" w:rsidRDefault="00CF26D8" w:rsidP="00CF26D8">
            <w:pPr>
              <w:rPr>
                <w:rFonts w:eastAsia="Calibri"/>
                <w:sz w:val="22"/>
                <w:szCs w:val="22"/>
              </w:rPr>
            </w:pPr>
          </w:p>
        </w:tc>
        <w:tc>
          <w:tcPr>
            <w:tcW w:w="1276" w:type="dxa"/>
            <w:shd w:val="clear" w:color="auto" w:fill="auto"/>
            <w:tcMar>
              <w:left w:w="57" w:type="dxa"/>
              <w:right w:w="57" w:type="dxa"/>
            </w:tcMar>
          </w:tcPr>
          <w:p w14:paraId="3EF2579A" w14:textId="77777777" w:rsidR="00CF26D8" w:rsidRPr="00EF20DC" w:rsidRDefault="00CF26D8" w:rsidP="00CF26D8">
            <w:pPr>
              <w:rPr>
                <w:rFonts w:eastAsia="Calibri"/>
                <w:sz w:val="22"/>
                <w:szCs w:val="22"/>
              </w:rPr>
            </w:pPr>
          </w:p>
        </w:tc>
      </w:tr>
      <w:tr w:rsidR="00CF26D8" w:rsidRPr="00EF20DC" w14:paraId="29D806BC" w14:textId="77777777" w:rsidTr="001F1094">
        <w:tc>
          <w:tcPr>
            <w:tcW w:w="1384" w:type="dxa"/>
            <w:tcBorders>
              <w:right w:val="single" w:sz="12" w:space="0" w:color="auto"/>
            </w:tcBorders>
            <w:shd w:val="clear" w:color="auto" w:fill="D9D9D9"/>
            <w:tcMar>
              <w:left w:w="57" w:type="dxa"/>
              <w:right w:w="57" w:type="dxa"/>
            </w:tcMar>
          </w:tcPr>
          <w:p w14:paraId="0BA25BCC" w14:textId="77777777" w:rsidR="00CF26D8" w:rsidRPr="00EF20DC" w:rsidRDefault="00CF26D8" w:rsidP="00CF26D8">
            <w:pPr>
              <w:rPr>
                <w:rFonts w:eastAsia="Calibri"/>
                <w:sz w:val="22"/>
                <w:szCs w:val="22"/>
              </w:rPr>
            </w:pPr>
            <w:r w:rsidRPr="00EF20DC">
              <w:rPr>
                <w:rFonts w:eastAsia="Calibri"/>
                <w:spacing w:val="-1"/>
                <w:sz w:val="22"/>
                <w:szCs w:val="22"/>
              </w:rPr>
              <w:t>Bendrieji sutrikimai ir vartojimo vietos pažeidimai</w:t>
            </w:r>
          </w:p>
        </w:tc>
        <w:tc>
          <w:tcPr>
            <w:tcW w:w="1508" w:type="dxa"/>
            <w:tcBorders>
              <w:left w:val="single" w:sz="12" w:space="0" w:color="auto"/>
            </w:tcBorders>
            <w:shd w:val="clear" w:color="auto" w:fill="auto"/>
            <w:tcMar>
              <w:left w:w="57" w:type="dxa"/>
              <w:right w:w="57" w:type="dxa"/>
            </w:tcMar>
          </w:tcPr>
          <w:p w14:paraId="176BBA27" w14:textId="6E5DA89F" w:rsidR="00CF26D8" w:rsidRDefault="00CF26D8" w:rsidP="00CF26D8">
            <w:pPr>
              <w:rPr>
                <w:rFonts w:eastAsia="Calibri"/>
                <w:spacing w:val="1"/>
                <w:sz w:val="22"/>
                <w:szCs w:val="22"/>
              </w:rPr>
            </w:pPr>
            <w:r w:rsidRPr="00EF20DC">
              <w:rPr>
                <w:rFonts w:eastAsia="Calibri"/>
                <w:spacing w:val="1"/>
                <w:sz w:val="22"/>
                <w:szCs w:val="22"/>
              </w:rPr>
              <w:t>Nuovargis,</w:t>
            </w:r>
          </w:p>
          <w:p w14:paraId="1225CEA6" w14:textId="1AD12D4E" w:rsidR="00CF26D8" w:rsidRDefault="00CF26D8" w:rsidP="00CF26D8">
            <w:pPr>
              <w:rPr>
                <w:rFonts w:eastAsia="Calibri"/>
                <w:spacing w:val="1"/>
                <w:sz w:val="22"/>
                <w:szCs w:val="22"/>
              </w:rPr>
            </w:pPr>
            <w:r w:rsidRPr="00EF20DC">
              <w:rPr>
                <w:rFonts w:eastAsia="Calibri"/>
                <w:spacing w:val="1"/>
                <w:sz w:val="22"/>
                <w:szCs w:val="22"/>
              </w:rPr>
              <w:t>skausmas (įskaitant burnos, pilvo, kaulų, naviko ir galvos skausmą)</w:t>
            </w:r>
            <w:r>
              <w:rPr>
                <w:rFonts w:eastAsia="Calibri"/>
                <w:spacing w:val="1"/>
                <w:sz w:val="22"/>
                <w:szCs w:val="22"/>
              </w:rPr>
              <w:t>,</w:t>
            </w:r>
          </w:p>
          <w:p w14:paraId="6EA86A76" w14:textId="64509D3E" w:rsidR="00CF26D8" w:rsidRPr="00EF20DC" w:rsidRDefault="00CF26D8" w:rsidP="00CF26D8">
            <w:pPr>
              <w:rPr>
                <w:rFonts w:eastAsia="Calibri"/>
                <w:sz w:val="22"/>
                <w:szCs w:val="22"/>
              </w:rPr>
            </w:pPr>
            <w:r>
              <w:rPr>
                <w:rFonts w:eastAsia="Calibri"/>
                <w:spacing w:val="1"/>
                <w:sz w:val="22"/>
                <w:szCs w:val="22"/>
              </w:rPr>
              <w:t>k</w:t>
            </w:r>
            <w:r w:rsidRPr="00EF20DC">
              <w:rPr>
                <w:rFonts w:eastAsia="Calibri"/>
                <w:spacing w:val="1"/>
                <w:sz w:val="22"/>
                <w:szCs w:val="22"/>
              </w:rPr>
              <w:t>arščiavimas</w:t>
            </w:r>
          </w:p>
        </w:tc>
        <w:tc>
          <w:tcPr>
            <w:tcW w:w="1985" w:type="dxa"/>
            <w:shd w:val="clear" w:color="auto" w:fill="auto"/>
            <w:tcMar>
              <w:left w:w="57" w:type="dxa"/>
              <w:right w:w="57" w:type="dxa"/>
            </w:tcMar>
          </w:tcPr>
          <w:p w14:paraId="69AE9D0E" w14:textId="77777777" w:rsidR="00CF26D8" w:rsidRDefault="00CF26D8" w:rsidP="00CF26D8">
            <w:pPr>
              <w:rPr>
                <w:rFonts w:eastAsia="Calibri"/>
                <w:sz w:val="22"/>
                <w:szCs w:val="22"/>
              </w:rPr>
            </w:pPr>
            <w:r w:rsidRPr="00EF20DC">
              <w:rPr>
                <w:rFonts w:eastAsia="Calibri"/>
                <w:sz w:val="22"/>
                <w:szCs w:val="22"/>
              </w:rPr>
              <w:t>Astenija</w:t>
            </w:r>
            <w:r>
              <w:rPr>
                <w:rFonts w:eastAsia="Calibri"/>
                <w:sz w:val="22"/>
                <w:szCs w:val="22"/>
              </w:rPr>
              <w:t>,</w:t>
            </w:r>
          </w:p>
          <w:p w14:paraId="7A43830F" w14:textId="3C6F99AE" w:rsidR="00CF26D8" w:rsidRDefault="00CF26D8" w:rsidP="00CF26D8">
            <w:pPr>
              <w:rPr>
                <w:rFonts w:eastAsia="Calibri"/>
                <w:sz w:val="22"/>
                <w:szCs w:val="22"/>
              </w:rPr>
            </w:pPr>
            <w:r>
              <w:rPr>
                <w:rFonts w:eastAsia="Calibri"/>
                <w:sz w:val="22"/>
                <w:szCs w:val="22"/>
              </w:rPr>
              <w:t>į</w:t>
            </w:r>
            <w:r w:rsidRPr="00EF20DC">
              <w:rPr>
                <w:rFonts w:eastAsia="Calibri"/>
                <w:sz w:val="22"/>
                <w:szCs w:val="22"/>
              </w:rPr>
              <w:t xml:space="preserve"> gripą panaši liga</w:t>
            </w:r>
            <w:r>
              <w:rPr>
                <w:rFonts w:eastAsia="Calibri"/>
                <w:sz w:val="22"/>
                <w:szCs w:val="22"/>
              </w:rPr>
              <w:t>,</w:t>
            </w:r>
          </w:p>
          <w:p w14:paraId="50AC7CDF" w14:textId="3DC42098" w:rsidR="00CF26D8" w:rsidRPr="00EF20DC" w:rsidRDefault="00CF26D8" w:rsidP="00CF26D8">
            <w:pPr>
              <w:rPr>
                <w:rFonts w:eastAsia="Calibri"/>
                <w:sz w:val="22"/>
                <w:szCs w:val="22"/>
              </w:rPr>
            </w:pPr>
            <w:r>
              <w:rPr>
                <w:rFonts w:eastAsia="Calibri"/>
                <w:sz w:val="22"/>
                <w:szCs w:val="22"/>
              </w:rPr>
              <w:t>g</w:t>
            </w:r>
            <w:r w:rsidRPr="00EF20DC">
              <w:rPr>
                <w:rFonts w:eastAsia="Calibri"/>
                <w:sz w:val="22"/>
                <w:szCs w:val="22"/>
              </w:rPr>
              <w:t>leivinės uždegimas</w:t>
            </w:r>
          </w:p>
        </w:tc>
        <w:tc>
          <w:tcPr>
            <w:tcW w:w="1639" w:type="dxa"/>
            <w:shd w:val="clear" w:color="auto" w:fill="auto"/>
            <w:tcMar>
              <w:left w:w="57" w:type="dxa"/>
              <w:right w:w="57" w:type="dxa"/>
            </w:tcMar>
          </w:tcPr>
          <w:p w14:paraId="043F4D7C" w14:textId="77777777" w:rsidR="00CF26D8" w:rsidRPr="00EF20DC" w:rsidRDefault="00CF26D8" w:rsidP="00CF26D8">
            <w:pPr>
              <w:rPr>
                <w:rFonts w:eastAsia="Calibri"/>
                <w:sz w:val="22"/>
                <w:szCs w:val="22"/>
              </w:rPr>
            </w:pPr>
          </w:p>
        </w:tc>
        <w:tc>
          <w:tcPr>
            <w:tcW w:w="1417" w:type="dxa"/>
            <w:shd w:val="clear" w:color="auto" w:fill="auto"/>
            <w:tcMar>
              <w:left w:w="57" w:type="dxa"/>
              <w:right w:w="57" w:type="dxa"/>
            </w:tcMar>
          </w:tcPr>
          <w:p w14:paraId="0B8C32B1" w14:textId="77777777" w:rsidR="00CF26D8" w:rsidRPr="00EF20DC" w:rsidRDefault="00CF26D8" w:rsidP="00CF26D8">
            <w:pPr>
              <w:rPr>
                <w:rFonts w:eastAsia="Calibri"/>
                <w:sz w:val="22"/>
                <w:szCs w:val="22"/>
              </w:rPr>
            </w:pPr>
          </w:p>
        </w:tc>
        <w:tc>
          <w:tcPr>
            <w:tcW w:w="1276" w:type="dxa"/>
            <w:shd w:val="clear" w:color="auto" w:fill="auto"/>
            <w:tcMar>
              <w:left w:w="57" w:type="dxa"/>
              <w:right w:w="57" w:type="dxa"/>
            </w:tcMar>
          </w:tcPr>
          <w:p w14:paraId="1C815CF6" w14:textId="77777777" w:rsidR="00CF26D8" w:rsidRPr="00EF20DC" w:rsidRDefault="00CF26D8" w:rsidP="00CF26D8">
            <w:pPr>
              <w:rPr>
                <w:rFonts w:eastAsia="Calibri"/>
                <w:sz w:val="22"/>
                <w:szCs w:val="22"/>
              </w:rPr>
            </w:pPr>
          </w:p>
        </w:tc>
      </w:tr>
      <w:tr w:rsidR="00CF26D8" w:rsidRPr="00EF20DC" w14:paraId="27C3BCFA" w14:textId="77777777" w:rsidTr="001F1094">
        <w:tc>
          <w:tcPr>
            <w:tcW w:w="1384" w:type="dxa"/>
            <w:tcBorders>
              <w:right w:val="single" w:sz="12" w:space="0" w:color="auto"/>
            </w:tcBorders>
            <w:shd w:val="clear" w:color="auto" w:fill="D9D9D9"/>
            <w:tcMar>
              <w:left w:w="57" w:type="dxa"/>
              <w:right w:w="57" w:type="dxa"/>
            </w:tcMar>
          </w:tcPr>
          <w:p w14:paraId="5F872B11" w14:textId="4F7571CC" w:rsidR="00CF26D8" w:rsidRPr="00EF20DC" w:rsidRDefault="00CF26D8" w:rsidP="00CF26D8">
            <w:pPr>
              <w:rPr>
                <w:rFonts w:eastAsia="Calibri"/>
                <w:spacing w:val="-1"/>
                <w:sz w:val="22"/>
                <w:szCs w:val="22"/>
              </w:rPr>
            </w:pPr>
            <w:r w:rsidRPr="00EF20DC">
              <w:rPr>
                <w:rFonts w:eastAsia="Calibri"/>
                <w:spacing w:val="-4"/>
                <w:sz w:val="22"/>
                <w:szCs w:val="22"/>
              </w:rPr>
              <w:t>Tyrimai</w:t>
            </w:r>
          </w:p>
        </w:tc>
        <w:tc>
          <w:tcPr>
            <w:tcW w:w="1508" w:type="dxa"/>
            <w:tcBorders>
              <w:left w:val="single" w:sz="12" w:space="0" w:color="auto"/>
            </w:tcBorders>
            <w:shd w:val="clear" w:color="auto" w:fill="auto"/>
            <w:tcMar>
              <w:left w:w="57" w:type="dxa"/>
              <w:right w:w="57" w:type="dxa"/>
            </w:tcMar>
          </w:tcPr>
          <w:p w14:paraId="65C3D995" w14:textId="77777777" w:rsidR="00CF26D8" w:rsidRDefault="00CF26D8" w:rsidP="00CF26D8">
            <w:pPr>
              <w:rPr>
                <w:rFonts w:eastAsia="Calibri"/>
                <w:spacing w:val="-1"/>
                <w:sz w:val="22"/>
                <w:szCs w:val="22"/>
              </w:rPr>
            </w:pPr>
            <w:r w:rsidRPr="00EF20DC">
              <w:rPr>
                <w:rFonts w:eastAsia="Calibri"/>
                <w:spacing w:val="-1"/>
                <w:sz w:val="22"/>
                <w:szCs w:val="22"/>
              </w:rPr>
              <w:t>Kūno svorio mažėjimas</w:t>
            </w:r>
            <w:r>
              <w:rPr>
                <w:rFonts w:eastAsia="Calibri"/>
                <w:spacing w:val="-1"/>
                <w:sz w:val="22"/>
                <w:szCs w:val="22"/>
              </w:rPr>
              <w:t>,</w:t>
            </w:r>
          </w:p>
          <w:p w14:paraId="5F8C2409" w14:textId="6A729A68" w:rsidR="00CF26D8" w:rsidRPr="00EF20DC" w:rsidRDefault="00CF26D8" w:rsidP="00CF26D8">
            <w:pPr>
              <w:rPr>
                <w:rFonts w:eastAsia="Calibri"/>
                <w:sz w:val="22"/>
                <w:szCs w:val="22"/>
              </w:rPr>
            </w:pPr>
            <w:r>
              <w:rPr>
                <w:rFonts w:eastAsia="Calibri"/>
                <w:spacing w:val="-1"/>
                <w:sz w:val="22"/>
                <w:szCs w:val="22"/>
              </w:rPr>
              <w:t>a</w:t>
            </w:r>
            <w:r w:rsidRPr="00EF20DC">
              <w:rPr>
                <w:rFonts w:eastAsia="Calibri"/>
                <w:spacing w:val="-1"/>
                <w:sz w:val="22"/>
                <w:szCs w:val="22"/>
              </w:rPr>
              <w:t>milazės ir lipazės aktyvumo kraujyje padidėjimas</w:t>
            </w:r>
          </w:p>
        </w:tc>
        <w:tc>
          <w:tcPr>
            <w:tcW w:w="1985" w:type="dxa"/>
            <w:shd w:val="clear" w:color="auto" w:fill="auto"/>
            <w:tcMar>
              <w:left w:w="57" w:type="dxa"/>
              <w:right w:w="57" w:type="dxa"/>
            </w:tcMar>
          </w:tcPr>
          <w:p w14:paraId="1E4F4696" w14:textId="499A690A" w:rsidR="00CF26D8" w:rsidRPr="00EF20DC" w:rsidRDefault="00CF26D8" w:rsidP="00CF26D8">
            <w:pPr>
              <w:rPr>
                <w:rFonts w:eastAsia="Calibri"/>
                <w:sz w:val="22"/>
                <w:szCs w:val="22"/>
              </w:rPr>
            </w:pPr>
            <w:r w:rsidRPr="00EF20DC">
              <w:rPr>
                <w:rFonts w:eastAsia="Calibri"/>
                <w:spacing w:val="1"/>
                <w:sz w:val="22"/>
                <w:szCs w:val="22"/>
              </w:rPr>
              <w:t>Trumpalaikis transaminazių aktyvumo kraujyje padidėjimas</w:t>
            </w:r>
          </w:p>
        </w:tc>
        <w:tc>
          <w:tcPr>
            <w:tcW w:w="1639" w:type="dxa"/>
            <w:shd w:val="clear" w:color="auto" w:fill="auto"/>
            <w:tcMar>
              <w:left w:w="57" w:type="dxa"/>
              <w:right w:w="57" w:type="dxa"/>
            </w:tcMar>
          </w:tcPr>
          <w:p w14:paraId="40EC338F" w14:textId="77777777" w:rsidR="00CF26D8" w:rsidRDefault="00CF26D8" w:rsidP="00CF26D8">
            <w:pPr>
              <w:rPr>
                <w:rFonts w:eastAsia="Calibri"/>
                <w:spacing w:val="1"/>
                <w:sz w:val="22"/>
                <w:szCs w:val="22"/>
              </w:rPr>
            </w:pPr>
            <w:r w:rsidRPr="00EF20DC">
              <w:rPr>
                <w:rFonts w:eastAsia="Calibri"/>
                <w:spacing w:val="1"/>
                <w:sz w:val="22"/>
                <w:szCs w:val="22"/>
              </w:rPr>
              <w:t>Laikinas šarminės fosfatazės aktyvumo kraujyje padidėjimas,</w:t>
            </w:r>
          </w:p>
          <w:p w14:paraId="6253AFBF" w14:textId="2FF988E4" w:rsidR="00CF26D8" w:rsidRPr="00EF20DC" w:rsidRDefault="00CF26D8" w:rsidP="00CF26D8">
            <w:pPr>
              <w:rPr>
                <w:rFonts w:eastAsia="Calibri"/>
                <w:sz w:val="22"/>
                <w:szCs w:val="22"/>
              </w:rPr>
            </w:pPr>
            <w:r w:rsidRPr="00EF20DC">
              <w:rPr>
                <w:rFonts w:eastAsia="Calibri"/>
                <w:spacing w:val="1"/>
                <w:sz w:val="22"/>
                <w:szCs w:val="22"/>
              </w:rPr>
              <w:t>nenormalus TNS, nenormalus protrombino kiekis</w:t>
            </w:r>
          </w:p>
        </w:tc>
        <w:tc>
          <w:tcPr>
            <w:tcW w:w="1417" w:type="dxa"/>
            <w:shd w:val="clear" w:color="auto" w:fill="auto"/>
            <w:tcMar>
              <w:left w:w="57" w:type="dxa"/>
              <w:right w:w="57" w:type="dxa"/>
            </w:tcMar>
          </w:tcPr>
          <w:p w14:paraId="3F8A28A0" w14:textId="77777777" w:rsidR="00CF26D8" w:rsidRPr="00EF20DC" w:rsidRDefault="00CF26D8" w:rsidP="00CF26D8">
            <w:pPr>
              <w:rPr>
                <w:rFonts w:eastAsia="Calibri"/>
                <w:sz w:val="22"/>
                <w:szCs w:val="22"/>
              </w:rPr>
            </w:pPr>
          </w:p>
        </w:tc>
        <w:tc>
          <w:tcPr>
            <w:tcW w:w="1276" w:type="dxa"/>
            <w:shd w:val="clear" w:color="auto" w:fill="auto"/>
            <w:tcMar>
              <w:left w:w="57" w:type="dxa"/>
              <w:right w:w="57" w:type="dxa"/>
            </w:tcMar>
          </w:tcPr>
          <w:p w14:paraId="32454DBB" w14:textId="77777777" w:rsidR="00CF26D8" w:rsidRPr="00EF20DC" w:rsidRDefault="00CF26D8" w:rsidP="00CF26D8">
            <w:pPr>
              <w:rPr>
                <w:rFonts w:eastAsia="Calibri"/>
                <w:sz w:val="22"/>
                <w:szCs w:val="22"/>
              </w:rPr>
            </w:pPr>
          </w:p>
        </w:tc>
      </w:tr>
    </w:tbl>
    <w:p w14:paraId="1B358596" w14:textId="257F1793" w:rsidR="00EF20DC" w:rsidRPr="00EF20DC" w:rsidRDefault="00EF20DC" w:rsidP="001F1094">
      <w:pPr>
        <w:ind w:left="284" w:hanging="284"/>
        <w:rPr>
          <w:rFonts w:eastAsia="Calibri"/>
          <w:sz w:val="22"/>
          <w:szCs w:val="22"/>
        </w:rPr>
      </w:pPr>
      <w:r w:rsidRPr="00EF20DC">
        <w:rPr>
          <w:rFonts w:eastAsia="Calibri"/>
          <w:sz w:val="22"/>
          <w:szCs w:val="22"/>
        </w:rPr>
        <w:lastRenderedPageBreak/>
        <w:t>* Nepageidaujamos reakcijos gali būti pavojingos gyvybei arba mirtinos. Tokie reiškiniai yra arba nedažni</w:t>
      </w:r>
      <w:r w:rsidR="00DD2292">
        <w:rPr>
          <w:rFonts w:eastAsia="Calibri"/>
          <w:sz w:val="22"/>
          <w:szCs w:val="22"/>
        </w:rPr>
        <w:t>,</w:t>
      </w:r>
      <w:r w:rsidRPr="00EF20DC">
        <w:rPr>
          <w:rFonts w:eastAsia="Calibri"/>
          <w:sz w:val="22"/>
          <w:szCs w:val="22"/>
        </w:rPr>
        <w:t xml:space="preserve"> arba retesni nei nedažni. </w:t>
      </w:r>
    </w:p>
    <w:p w14:paraId="6F5278E5" w14:textId="77777777" w:rsidR="00EF20DC" w:rsidRPr="00EF20DC" w:rsidRDefault="00EF20DC" w:rsidP="001F1094">
      <w:pPr>
        <w:rPr>
          <w:rFonts w:eastAsia="Calibri"/>
          <w:sz w:val="22"/>
          <w:szCs w:val="22"/>
        </w:rPr>
      </w:pPr>
      <w:r w:rsidRPr="00EF20DC">
        <w:rPr>
          <w:rFonts w:eastAsia="Calibri"/>
          <w:sz w:val="22"/>
          <w:szCs w:val="22"/>
        </w:rPr>
        <w:t xml:space="preserve">** Plaštakų ir pėdų odos reakcija atitinka delnų ir padų eritrodizesteziją pagal MedDRA terminologiją. </w:t>
      </w:r>
    </w:p>
    <w:p w14:paraId="49F4EC3E" w14:textId="77777777" w:rsidR="00EF20DC" w:rsidRPr="00EF20DC" w:rsidRDefault="00EF20DC" w:rsidP="001F1094">
      <w:pPr>
        <w:rPr>
          <w:rFonts w:eastAsia="Calibri"/>
          <w:sz w:val="22"/>
          <w:szCs w:val="22"/>
        </w:rPr>
      </w:pPr>
      <w:r w:rsidRPr="00EF20DC">
        <w:rPr>
          <w:rFonts w:eastAsia="Calibri"/>
          <w:sz w:val="22"/>
          <w:szCs w:val="22"/>
        </w:rPr>
        <w:t>° Buvo pranešta apie atvejus vaist</w:t>
      </w:r>
      <w:r w:rsidR="00DD2292">
        <w:rPr>
          <w:rFonts w:eastAsia="Calibri"/>
          <w:sz w:val="22"/>
          <w:szCs w:val="22"/>
        </w:rPr>
        <w:t>inį preparatą</w:t>
      </w:r>
      <w:r w:rsidRPr="00EF20DC">
        <w:rPr>
          <w:rFonts w:eastAsia="Calibri"/>
          <w:sz w:val="22"/>
          <w:szCs w:val="22"/>
        </w:rPr>
        <w:t xml:space="preserve"> pateikus į rinką. </w:t>
      </w:r>
    </w:p>
    <w:p w14:paraId="5417D486" w14:textId="77777777" w:rsidR="00EF20DC" w:rsidRPr="00EF20DC" w:rsidRDefault="00EF20DC" w:rsidP="001F1094">
      <w:pPr>
        <w:rPr>
          <w:rFonts w:eastAsia="Calibri"/>
          <w:sz w:val="22"/>
          <w:szCs w:val="22"/>
        </w:rPr>
      </w:pPr>
    </w:p>
    <w:p w14:paraId="3140F5E4" w14:textId="77777777" w:rsidR="00EF20DC" w:rsidRPr="00EF20DC" w:rsidRDefault="00DD2292" w:rsidP="001F1094">
      <w:pPr>
        <w:rPr>
          <w:rFonts w:eastAsia="Calibri"/>
          <w:sz w:val="22"/>
          <w:szCs w:val="22"/>
        </w:rPr>
      </w:pPr>
      <w:r w:rsidRPr="00DD2292">
        <w:rPr>
          <w:iCs/>
          <w:snapToGrid w:val="0"/>
          <w:sz w:val="22"/>
          <w:szCs w:val="22"/>
          <w:u w:val="single"/>
          <w:lang w:eastAsia="lt-LT"/>
        </w:rPr>
        <w:t>Atrinktų nepageidaujamų reakcijų apibūdinimas</w:t>
      </w:r>
      <w:r w:rsidR="00EF20DC" w:rsidRPr="00EF20DC">
        <w:rPr>
          <w:rFonts w:eastAsia="Calibri"/>
          <w:sz w:val="22"/>
          <w:szCs w:val="22"/>
        </w:rPr>
        <w:t xml:space="preserve"> </w:t>
      </w:r>
    </w:p>
    <w:p w14:paraId="2426042C" w14:textId="77777777" w:rsidR="00DD2292" w:rsidRDefault="00DD2292" w:rsidP="001F1094">
      <w:pPr>
        <w:rPr>
          <w:rFonts w:eastAsia="Calibri"/>
          <w:i/>
          <w:sz w:val="22"/>
          <w:szCs w:val="22"/>
        </w:rPr>
      </w:pPr>
    </w:p>
    <w:p w14:paraId="617AC561" w14:textId="77777777" w:rsidR="00EF20DC" w:rsidRPr="00EF20DC" w:rsidRDefault="00EF20DC" w:rsidP="001F1094">
      <w:pPr>
        <w:rPr>
          <w:rFonts w:eastAsia="Calibri"/>
          <w:i/>
          <w:sz w:val="22"/>
          <w:szCs w:val="22"/>
        </w:rPr>
      </w:pPr>
      <w:r w:rsidRPr="00EF20DC">
        <w:rPr>
          <w:rFonts w:eastAsia="Calibri"/>
          <w:i/>
          <w:sz w:val="22"/>
          <w:szCs w:val="22"/>
        </w:rPr>
        <w:t xml:space="preserve">Stazinis širdies nepakankamumas </w:t>
      </w:r>
    </w:p>
    <w:p w14:paraId="3DF2F953" w14:textId="77777777" w:rsidR="00EF20DC" w:rsidRPr="00EF20DC" w:rsidRDefault="00DD2292" w:rsidP="001F1094">
      <w:pPr>
        <w:rPr>
          <w:rFonts w:eastAsia="Calibri"/>
          <w:sz w:val="22"/>
          <w:szCs w:val="22"/>
        </w:rPr>
      </w:pPr>
      <w:r>
        <w:rPr>
          <w:rFonts w:eastAsia="Calibri"/>
          <w:sz w:val="22"/>
          <w:szCs w:val="22"/>
        </w:rPr>
        <w:t>Bendrovės</w:t>
      </w:r>
      <w:r w:rsidR="00EF20DC" w:rsidRPr="00EF20DC">
        <w:rPr>
          <w:rFonts w:eastAsia="Calibri"/>
          <w:sz w:val="22"/>
          <w:szCs w:val="22"/>
        </w:rPr>
        <w:t xml:space="preserve"> remiamuose klinikiniuose tyrimuose stazinis širdies nepakankamumas, kaip nepageidaujamas reiškinys, pasireiškė 1,9 % sorafenibu gydytų pacientų (N=2276). Tyrimo 11213 (inkstų ląstelių karcinomos) metu nepageidaujami reiškiniai, atitinkantys stazinį širdies nepakankamumą, pasireiškė 1,7 % gydytų sor</w:t>
      </w:r>
      <w:r w:rsidR="003C64E6">
        <w:rPr>
          <w:rFonts w:eastAsia="Calibri"/>
          <w:sz w:val="22"/>
          <w:szCs w:val="22"/>
        </w:rPr>
        <w:t>a</w:t>
      </w:r>
      <w:r w:rsidR="00EF20DC" w:rsidRPr="00EF20DC">
        <w:rPr>
          <w:rFonts w:eastAsia="Calibri"/>
          <w:sz w:val="22"/>
          <w:szCs w:val="22"/>
        </w:rPr>
        <w:t>fenibu ir 0,7 % vartojusių placebą pacientų. Tyrimo 100554 (kepenų ląstelių karcinomos) metu minėti reiškiniai pasireiškė 0,99 % gydytų sorafenibu ir 1,1 % vartojusių placebą pacientų.</w:t>
      </w:r>
    </w:p>
    <w:p w14:paraId="2D53ABE3" w14:textId="77777777" w:rsidR="00EF20DC" w:rsidRPr="00EF20DC" w:rsidRDefault="00EF20DC" w:rsidP="001F1094">
      <w:pPr>
        <w:rPr>
          <w:rFonts w:eastAsia="Calibri"/>
          <w:sz w:val="22"/>
          <w:szCs w:val="22"/>
        </w:rPr>
      </w:pPr>
    </w:p>
    <w:p w14:paraId="7DF5E8EB" w14:textId="77777777" w:rsidR="00EF20DC" w:rsidRPr="00EF20DC" w:rsidRDefault="00EF20DC" w:rsidP="001F1094">
      <w:pPr>
        <w:rPr>
          <w:rFonts w:eastAsia="Calibri"/>
          <w:i/>
          <w:sz w:val="22"/>
          <w:szCs w:val="22"/>
        </w:rPr>
      </w:pPr>
      <w:r w:rsidRPr="00EF20DC">
        <w:rPr>
          <w:rFonts w:eastAsia="Calibri"/>
          <w:i/>
          <w:sz w:val="22"/>
          <w:szCs w:val="22"/>
        </w:rPr>
        <w:t xml:space="preserve">Papildoma informacija apie ypatingas populiacijas </w:t>
      </w:r>
    </w:p>
    <w:p w14:paraId="5DF58E2F" w14:textId="1C74BFA0" w:rsidR="00EF20DC" w:rsidRPr="00EF20DC" w:rsidRDefault="00EF20DC" w:rsidP="001F1094">
      <w:pPr>
        <w:rPr>
          <w:rFonts w:eastAsia="Calibri"/>
          <w:sz w:val="22"/>
          <w:szCs w:val="22"/>
        </w:rPr>
      </w:pPr>
      <w:r w:rsidRPr="00EF20DC">
        <w:rPr>
          <w:rFonts w:eastAsia="Calibri"/>
          <w:sz w:val="22"/>
          <w:szCs w:val="22"/>
        </w:rPr>
        <w:t>Klinikinių tyrimų metu tam tikros nepageidaujamos reakcijos į vaist</w:t>
      </w:r>
      <w:r w:rsidR="00DD2292">
        <w:rPr>
          <w:rFonts w:eastAsia="Calibri"/>
          <w:sz w:val="22"/>
          <w:szCs w:val="22"/>
        </w:rPr>
        <w:t>inį preparatą</w:t>
      </w:r>
      <w:r w:rsidRPr="00EF20DC">
        <w:rPr>
          <w:rFonts w:eastAsia="Calibri"/>
          <w:sz w:val="22"/>
          <w:szCs w:val="22"/>
        </w:rPr>
        <w:t>, pvz., plaštakų bei pėdų odos reakcija, viduriavimas, nuplikimas, kūno svorio mažėjimas, hipertenzija, hipokalcemija ir keratoakantoma arba odos plokščialąstelin</w:t>
      </w:r>
      <w:r w:rsidR="008822F7">
        <w:rPr>
          <w:rFonts w:eastAsia="Calibri"/>
          <w:sz w:val="22"/>
          <w:szCs w:val="22"/>
        </w:rPr>
        <w:t xml:space="preserve">ė </w:t>
      </w:r>
      <w:r w:rsidRPr="00EF20DC">
        <w:rPr>
          <w:rFonts w:eastAsia="Calibri"/>
          <w:sz w:val="22"/>
          <w:szCs w:val="22"/>
        </w:rPr>
        <w:t>karcinoma daug dažniau pasireiškė pacientams, sergantiems diferencijuota skydliaukės karcinoma, palyginti su pacientais, kurie dalyvavo inkstų ląstelių ar kepenų ląstelių karcinomų tyrimuose.</w:t>
      </w:r>
    </w:p>
    <w:p w14:paraId="305C8302" w14:textId="77777777" w:rsidR="00EF20DC" w:rsidRPr="00EF20DC" w:rsidRDefault="00EF20DC" w:rsidP="001F1094">
      <w:pPr>
        <w:rPr>
          <w:rFonts w:eastAsia="Calibri"/>
          <w:sz w:val="22"/>
          <w:szCs w:val="22"/>
        </w:rPr>
      </w:pPr>
    </w:p>
    <w:p w14:paraId="681AA6B6" w14:textId="77777777" w:rsidR="00EF20DC" w:rsidRPr="00EF20DC" w:rsidRDefault="00EF20DC" w:rsidP="001F1094">
      <w:pPr>
        <w:rPr>
          <w:rFonts w:eastAsia="Calibri"/>
          <w:sz w:val="22"/>
          <w:szCs w:val="22"/>
          <w:u w:val="single"/>
        </w:rPr>
      </w:pPr>
      <w:r w:rsidRPr="00EF20DC">
        <w:rPr>
          <w:rFonts w:eastAsia="Calibri"/>
          <w:sz w:val="22"/>
          <w:szCs w:val="22"/>
          <w:u w:val="single"/>
        </w:rPr>
        <w:t>Laboratorinių tyrimų duomenų pokyčiai kepenų ląstelių karcinoma (KLK, 3 tyrima</w:t>
      </w:r>
      <w:r w:rsidR="008903E0">
        <w:rPr>
          <w:rFonts w:eastAsia="Calibri"/>
          <w:sz w:val="22"/>
          <w:szCs w:val="22"/>
          <w:u w:val="single"/>
        </w:rPr>
        <w:t>s</w:t>
      </w:r>
      <w:r w:rsidRPr="00EF20DC">
        <w:rPr>
          <w:rFonts w:eastAsia="Calibri"/>
          <w:sz w:val="22"/>
          <w:szCs w:val="22"/>
          <w:u w:val="single"/>
        </w:rPr>
        <w:t>) ir inkstų ląstelių karcinoma (ILK,1 tyrimas) sergantiems pacientams</w:t>
      </w:r>
    </w:p>
    <w:p w14:paraId="617A7CCA" w14:textId="77777777" w:rsidR="00EF20DC" w:rsidRPr="00EF20DC" w:rsidRDefault="00EF20DC" w:rsidP="001F1094">
      <w:pPr>
        <w:rPr>
          <w:rFonts w:eastAsia="Calibri"/>
          <w:sz w:val="22"/>
          <w:szCs w:val="22"/>
        </w:rPr>
      </w:pPr>
    </w:p>
    <w:p w14:paraId="33124812" w14:textId="554A1FD6" w:rsidR="00EF20DC" w:rsidRPr="00EF20DC" w:rsidRDefault="00DD2292" w:rsidP="001F1094">
      <w:pPr>
        <w:rPr>
          <w:rFonts w:eastAsia="Calibri"/>
          <w:sz w:val="22"/>
          <w:szCs w:val="22"/>
        </w:rPr>
      </w:pPr>
      <w:r>
        <w:rPr>
          <w:rFonts w:eastAsia="Calibri"/>
          <w:sz w:val="22"/>
          <w:szCs w:val="22"/>
        </w:rPr>
        <w:t>Labai dažnai buvo pr</w:t>
      </w:r>
      <w:r w:rsidR="003C64E6">
        <w:rPr>
          <w:rFonts w:eastAsia="Calibri"/>
          <w:sz w:val="22"/>
          <w:szCs w:val="22"/>
        </w:rPr>
        <w:t>a</w:t>
      </w:r>
      <w:r>
        <w:rPr>
          <w:rFonts w:eastAsia="Calibri"/>
          <w:sz w:val="22"/>
          <w:szCs w:val="22"/>
        </w:rPr>
        <w:t>nešta apie</w:t>
      </w:r>
      <w:r w:rsidR="00EF20DC" w:rsidRPr="00EF20DC">
        <w:rPr>
          <w:rFonts w:eastAsia="Calibri"/>
          <w:sz w:val="22"/>
          <w:szCs w:val="22"/>
        </w:rPr>
        <w:t xml:space="preserve"> lipazės ir amilazės aktyvumo padidėjim</w:t>
      </w:r>
      <w:r w:rsidR="008926CE">
        <w:rPr>
          <w:rFonts w:eastAsia="Calibri"/>
          <w:sz w:val="22"/>
          <w:szCs w:val="22"/>
        </w:rPr>
        <w:t>ą</w:t>
      </w:r>
      <w:r w:rsidR="00EF20DC" w:rsidRPr="00EF20DC">
        <w:rPr>
          <w:rFonts w:eastAsia="Calibri"/>
          <w:sz w:val="22"/>
          <w:szCs w:val="22"/>
        </w:rPr>
        <w:t xml:space="preserve"> kraujyje. 3-iojo arba 4-ojo laipsnio pagal CTCAE lipazės aktyvumo padidėjimas </w:t>
      </w:r>
      <w:r w:rsidR="0069338D">
        <w:rPr>
          <w:rFonts w:eastAsia="Calibri"/>
          <w:sz w:val="22"/>
          <w:szCs w:val="22"/>
        </w:rPr>
        <w:t>pasireiškė</w:t>
      </w:r>
      <w:r w:rsidR="0069338D" w:rsidRPr="00EF20DC">
        <w:rPr>
          <w:rFonts w:eastAsia="Calibri"/>
          <w:sz w:val="22"/>
          <w:szCs w:val="22"/>
        </w:rPr>
        <w:t xml:space="preserve"> </w:t>
      </w:r>
      <w:r w:rsidR="00EF20DC" w:rsidRPr="00EF20DC">
        <w:rPr>
          <w:rFonts w:eastAsia="Calibri"/>
          <w:sz w:val="22"/>
          <w:szCs w:val="22"/>
        </w:rPr>
        <w:t>11 % ir 9 % sorafenibu gydytų pacientų atitinkamai 1-ojo (ILK) ir 3-ojo (KLK) tyrimo metu, lyginant su 7 % ir 9</w:t>
      </w:r>
      <w:r w:rsidR="00C46D61">
        <w:rPr>
          <w:rFonts w:eastAsia="Calibri"/>
          <w:sz w:val="22"/>
          <w:szCs w:val="22"/>
        </w:rPr>
        <w:t> </w:t>
      </w:r>
      <w:r w:rsidR="00EF20DC" w:rsidRPr="00EF20DC">
        <w:rPr>
          <w:rFonts w:eastAsia="Calibri"/>
          <w:sz w:val="22"/>
          <w:szCs w:val="22"/>
        </w:rPr>
        <w:t>% placeb</w:t>
      </w:r>
      <w:r w:rsidR="00CF4381">
        <w:rPr>
          <w:rFonts w:eastAsia="Calibri"/>
          <w:sz w:val="22"/>
          <w:szCs w:val="22"/>
        </w:rPr>
        <w:t>o</w:t>
      </w:r>
      <w:r w:rsidR="00EF20DC" w:rsidRPr="00EF20DC">
        <w:rPr>
          <w:rFonts w:eastAsia="Calibri"/>
          <w:sz w:val="22"/>
          <w:szCs w:val="22"/>
        </w:rPr>
        <w:t xml:space="preserve"> vartojusių pacientų. 3-iojo arba 4-ojo laipsnio pagal CTCAE amilazės aktyvumo padidėjimas </w:t>
      </w:r>
      <w:r w:rsidR="0069338D">
        <w:rPr>
          <w:rFonts w:eastAsia="Calibri"/>
          <w:sz w:val="22"/>
          <w:szCs w:val="22"/>
        </w:rPr>
        <w:t>pasireiškė</w:t>
      </w:r>
      <w:r w:rsidR="0069338D" w:rsidRPr="00EF20DC">
        <w:rPr>
          <w:rFonts w:eastAsia="Calibri"/>
          <w:sz w:val="22"/>
          <w:szCs w:val="22"/>
        </w:rPr>
        <w:t xml:space="preserve"> </w:t>
      </w:r>
      <w:r w:rsidR="00EF20DC" w:rsidRPr="00EF20DC">
        <w:rPr>
          <w:rFonts w:eastAsia="Calibri"/>
          <w:sz w:val="22"/>
          <w:szCs w:val="22"/>
        </w:rPr>
        <w:t>1 % ir 2 % sorafenibu gydytų pacientų atitinkamai 1-ojo ir 3-ojo tyrimo metu, lyginant su 3 % abiejose placebo vartojusių pacientų grupėse. 1-ojo tyrimo metu klinikinis pankreatitas pasireiškė 2 iš 451 sorafenibu gydytų pacientų (4-ojo laipsnio pagal CTCAE), 3-ojo - 1 iš 297 sorafenibu gydytų pacientų (2-ojo laipsnio pagal CTCAE) ir 1 iš 451 placeb</w:t>
      </w:r>
      <w:r w:rsidR="00CF4381">
        <w:rPr>
          <w:rFonts w:eastAsia="Calibri"/>
          <w:sz w:val="22"/>
          <w:szCs w:val="22"/>
        </w:rPr>
        <w:t>o</w:t>
      </w:r>
      <w:r w:rsidR="00EF20DC" w:rsidRPr="00EF20DC">
        <w:rPr>
          <w:rFonts w:eastAsia="Calibri"/>
          <w:sz w:val="22"/>
          <w:szCs w:val="22"/>
        </w:rPr>
        <w:t xml:space="preserve"> vartojusių tiriamųjų (2-ojo laipsnio pagal CTCAE) 1-ojo tyrimo metu. </w:t>
      </w:r>
    </w:p>
    <w:p w14:paraId="5F63A996" w14:textId="57358A66" w:rsidR="00EF20DC" w:rsidRPr="00EF20DC" w:rsidRDefault="00EF20DC" w:rsidP="001F1094">
      <w:pPr>
        <w:rPr>
          <w:rFonts w:eastAsia="Calibri"/>
          <w:sz w:val="22"/>
          <w:szCs w:val="22"/>
        </w:rPr>
      </w:pPr>
      <w:r w:rsidRPr="00EF20DC">
        <w:rPr>
          <w:rFonts w:eastAsia="Calibri"/>
          <w:sz w:val="22"/>
          <w:szCs w:val="22"/>
        </w:rPr>
        <w:t>Labai dažna</w:t>
      </w:r>
      <w:r w:rsidR="002508B2">
        <w:rPr>
          <w:rFonts w:eastAsia="Calibri"/>
          <w:sz w:val="22"/>
          <w:szCs w:val="22"/>
        </w:rPr>
        <w:t xml:space="preserve">i labaoratoriniais tyrimais </w:t>
      </w:r>
      <w:r w:rsidR="004013B5">
        <w:rPr>
          <w:rFonts w:eastAsia="Calibri"/>
          <w:sz w:val="22"/>
          <w:szCs w:val="22"/>
        </w:rPr>
        <w:t xml:space="preserve">buvo </w:t>
      </w:r>
      <w:r w:rsidR="002508B2">
        <w:rPr>
          <w:rFonts w:eastAsia="Calibri"/>
          <w:sz w:val="22"/>
          <w:szCs w:val="22"/>
        </w:rPr>
        <w:t>nustatyta</w:t>
      </w:r>
      <w:r w:rsidRPr="00EF20DC">
        <w:rPr>
          <w:rFonts w:eastAsia="Calibri"/>
          <w:sz w:val="22"/>
          <w:szCs w:val="22"/>
        </w:rPr>
        <w:t xml:space="preserve"> hipofosfatemija. Ji pasireiškė 45 % ir 35 % sorafenibu gydytų pacientų bei 12 % ir 11 % placeb</w:t>
      </w:r>
      <w:r w:rsidR="00CF4381">
        <w:rPr>
          <w:rFonts w:eastAsia="Calibri"/>
          <w:sz w:val="22"/>
          <w:szCs w:val="22"/>
        </w:rPr>
        <w:t>o</w:t>
      </w:r>
      <w:r w:rsidRPr="00EF20DC">
        <w:rPr>
          <w:rFonts w:eastAsia="Calibri"/>
          <w:sz w:val="22"/>
          <w:szCs w:val="22"/>
        </w:rPr>
        <w:t xml:space="preserve"> vartojusių tiriamųjų 1-ojo ir 3-ojo tyrimo metu atitinkamai. 1-ojo tyrimo metu 3-iojo laipsnio pagal CTCAE hipofosfatemija (1–2 mg/</w:t>
      </w:r>
      <w:r w:rsidR="007F6144">
        <w:rPr>
          <w:rFonts w:eastAsia="Calibri"/>
          <w:sz w:val="22"/>
          <w:szCs w:val="22"/>
        </w:rPr>
        <w:t>100 ml</w:t>
      </w:r>
      <w:r w:rsidRPr="00EF20DC">
        <w:rPr>
          <w:rFonts w:eastAsia="Calibri"/>
          <w:sz w:val="22"/>
          <w:szCs w:val="22"/>
        </w:rPr>
        <w:t>) pasireiškė 13 % sorafenibu gydytų pacientų ir 3 % placeb</w:t>
      </w:r>
      <w:r w:rsidR="00CF4381">
        <w:rPr>
          <w:rFonts w:eastAsia="Calibri"/>
          <w:sz w:val="22"/>
          <w:szCs w:val="22"/>
        </w:rPr>
        <w:t>o</w:t>
      </w:r>
      <w:r w:rsidRPr="00EF20DC">
        <w:rPr>
          <w:rFonts w:eastAsia="Calibri"/>
          <w:sz w:val="22"/>
          <w:szCs w:val="22"/>
        </w:rPr>
        <w:t xml:space="preserve"> vartojusių tiriamųjų, 3-ojo tyrimo metu – 11 % sorafenibu gydytų pacientų ir 2 % placeb</w:t>
      </w:r>
      <w:r w:rsidR="00CF4381">
        <w:rPr>
          <w:rFonts w:eastAsia="Calibri"/>
          <w:sz w:val="22"/>
          <w:szCs w:val="22"/>
        </w:rPr>
        <w:t>o</w:t>
      </w:r>
      <w:r w:rsidRPr="00EF20DC">
        <w:rPr>
          <w:rFonts w:eastAsia="Calibri"/>
          <w:sz w:val="22"/>
          <w:szCs w:val="22"/>
        </w:rPr>
        <w:t xml:space="preserve"> vartojusių tiriamųjų. 4-ojo laipsnio pagal CTCAE hipofosfatemija (&lt; 1 mg/</w:t>
      </w:r>
      <w:r w:rsidR="007F6144">
        <w:rPr>
          <w:rFonts w:eastAsia="Calibri"/>
          <w:sz w:val="22"/>
          <w:szCs w:val="22"/>
        </w:rPr>
        <w:t>100 ml</w:t>
      </w:r>
      <w:r w:rsidRPr="00EF20DC">
        <w:rPr>
          <w:rFonts w:eastAsia="Calibri"/>
          <w:sz w:val="22"/>
          <w:szCs w:val="22"/>
        </w:rPr>
        <w:t xml:space="preserve">) 1-jame tyrime nepasireiškė nei sorafenibo, nei placebo vartojusiems pacientams, 3-jame tyrime pasireiškė vienas atvejis placebo grupėje. Kokia su sorafenibo vartojimu susijusios hipofosfatemijos priežastis, nežinoma. </w:t>
      </w:r>
    </w:p>
    <w:p w14:paraId="0D6DD189" w14:textId="3C0B60EB" w:rsidR="00EF20DC" w:rsidRPr="00EF20DC" w:rsidRDefault="00EF20DC" w:rsidP="001F1094">
      <w:pPr>
        <w:rPr>
          <w:rFonts w:eastAsia="Calibri"/>
          <w:sz w:val="22"/>
          <w:szCs w:val="22"/>
        </w:rPr>
      </w:pPr>
    </w:p>
    <w:p w14:paraId="490C39C7" w14:textId="77777777" w:rsidR="00EF20DC" w:rsidRPr="00EF20DC" w:rsidRDefault="00EF20DC" w:rsidP="001F1094">
      <w:pPr>
        <w:rPr>
          <w:rFonts w:eastAsia="Calibri"/>
          <w:sz w:val="22"/>
          <w:szCs w:val="22"/>
        </w:rPr>
      </w:pPr>
      <w:r w:rsidRPr="00EF20DC">
        <w:rPr>
          <w:rFonts w:eastAsia="Calibri"/>
          <w:sz w:val="22"/>
          <w:szCs w:val="22"/>
        </w:rPr>
        <w:t>CTCAE 3-iojo arba 4-ojo laipsnio laboratoriniai pokyčiai</w:t>
      </w:r>
      <w:r w:rsidR="00D81ED3">
        <w:rPr>
          <w:rFonts w:eastAsia="Calibri"/>
          <w:sz w:val="22"/>
          <w:szCs w:val="22"/>
        </w:rPr>
        <w:t xml:space="preserve">, įskaitant </w:t>
      </w:r>
      <w:r w:rsidR="00D81ED3" w:rsidRPr="00EF20DC">
        <w:rPr>
          <w:rFonts w:eastAsia="Calibri"/>
          <w:sz w:val="22"/>
          <w:szCs w:val="22"/>
        </w:rPr>
        <w:t>limfopenij</w:t>
      </w:r>
      <w:r w:rsidR="00D81ED3">
        <w:rPr>
          <w:rFonts w:eastAsia="Calibri"/>
          <w:sz w:val="22"/>
          <w:szCs w:val="22"/>
        </w:rPr>
        <w:t>ą</w:t>
      </w:r>
      <w:r w:rsidR="00D81ED3" w:rsidRPr="00EF20DC">
        <w:rPr>
          <w:rFonts w:eastAsia="Calibri"/>
          <w:sz w:val="22"/>
          <w:szCs w:val="22"/>
        </w:rPr>
        <w:t xml:space="preserve"> ir neutropenij</w:t>
      </w:r>
      <w:r w:rsidR="00D81ED3">
        <w:rPr>
          <w:rFonts w:eastAsia="Calibri"/>
          <w:sz w:val="22"/>
          <w:szCs w:val="22"/>
        </w:rPr>
        <w:t>ą,</w:t>
      </w:r>
      <w:r w:rsidR="00D81ED3" w:rsidRPr="00EF20DC">
        <w:rPr>
          <w:rFonts w:eastAsia="Calibri"/>
          <w:sz w:val="22"/>
          <w:szCs w:val="22"/>
        </w:rPr>
        <w:t xml:space="preserve"> </w:t>
      </w:r>
      <w:r w:rsidRPr="00EF20DC">
        <w:rPr>
          <w:rFonts w:eastAsia="Calibri"/>
          <w:sz w:val="22"/>
          <w:szCs w:val="22"/>
        </w:rPr>
        <w:t xml:space="preserve">buvo ≥ 5 % sorafenibu gydytų pacientų. </w:t>
      </w:r>
    </w:p>
    <w:p w14:paraId="75116C4B" w14:textId="77777777" w:rsidR="00EF20DC" w:rsidRPr="00EF20DC" w:rsidRDefault="00EF20DC" w:rsidP="001F1094">
      <w:pPr>
        <w:rPr>
          <w:rFonts w:eastAsia="Calibri"/>
          <w:sz w:val="22"/>
          <w:szCs w:val="22"/>
        </w:rPr>
      </w:pPr>
    </w:p>
    <w:p w14:paraId="387473C1" w14:textId="786EA804" w:rsidR="00EF20DC" w:rsidRPr="00EF20DC" w:rsidRDefault="00EF20DC" w:rsidP="001F1094">
      <w:pPr>
        <w:rPr>
          <w:rFonts w:eastAsia="Calibri"/>
          <w:sz w:val="22"/>
          <w:szCs w:val="22"/>
        </w:rPr>
      </w:pPr>
      <w:r w:rsidRPr="00EF20DC">
        <w:rPr>
          <w:rFonts w:eastAsia="Calibri"/>
          <w:sz w:val="22"/>
          <w:szCs w:val="22"/>
        </w:rPr>
        <w:t>1-ojo ir 3-ojo tyrimų metu apie hipokalcemiją buvo pranešta atitinkamai 12 % ir 26,5 % sorafenibu gydytų pacientų, palyginti su 7,5 % ir 14,8 % placeb</w:t>
      </w:r>
      <w:r w:rsidR="00CF4381">
        <w:rPr>
          <w:rFonts w:eastAsia="Calibri"/>
          <w:sz w:val="22"/>
          <w:szCs w:val="22"/>
        </w:rPr>
        <w:t>o</w:t>
      </w:r>
      <w:r w:rsidRPr="00EF20DC">
        <w:rPr>
          <w:rFonts w:eastAsia="Calibri"/>
          <w:sz w:val="22"/>
          <w:szCs w:val="22"/>
        </w:rPr>
        <w:t xml:space="preserve"> gavusių pacientų. Daugumoje pranešimų hipokalcemija buvo nedidelio laipsnio (1-ojo ir 2-ojo laipsnio pagal CTCAE). 1-ojo ir 3-ojo tyrimų metu 3-ojo laipsnio pagal CTCAE hipokalcemija (6,0–7,0 mg/</w:t>
      </w:r>
      <w:r w:rsidR="00F70CE4">
        <w:rPr>
          <w:rFonts w:eastAsia="Calibri"/>
          <w:sz w:val="22"/>
          <w:szCs w:val="22"/>
        </w:rPr>
        <w:t>100 ml</w:t>
      </w:r>
      <w:r w:rsidRPr="00EF20DC">
        <w:rPr>
          <w:rFonts w:eastAsia="Calibri"/>
          <w:sz w:val="22"/>
          <w:szCs w:val="22"/>
        </w:rPr>
        <w:t>) pasireiškė atitinkamai 1,1 % ir 1,8 % sorafenibu gydytų pacientų ir 0,2 % bei 1,1 % placebo grupės pacientų, o 4</w:t>
      </w:r>
      <w:r w:rsidR="004639BA">
        <w:rPr>
          <w:rFonts w:eastAsia="Calibri"/>
          <w:sz w:val="22"/>
          <w:szCs w:val="22"/>
        </w:rPr>
        <w:t>-</w:t>
      </w:r>
      <w:r w:rsidRPr="00EF20DC">
        <w:rPr>
          <w:rFonts w:eastAsia="Calibri"/>
          <w:sz w:val="22"/>
          <w:szCs w:val="22"/>
        </w:rPr>
        <w:t>ojo laipsnio pagal CTCAE hipokalcemija (&lt; 6</w:t>
      </w:r>
      <w:r w:rsidR="0069338D">
        <w:rPr>
          <w:rFonts w:eastAsia="Calibri"/>
          <w:sz w:val="22"/>
          <w:szCs w:val="22"/>
        </w:rPr>
        <w:t>,</w:t>
      </w:r>
      <w:r w:rsidRPr="00EF20DC">
        <w:rPr>
          <w:rFonts w:eastAsia="Calibri"/>
          <w:sz w:val="22"/>
          <w:szCs w:val="22"/>
        </w:rPr>
        <w:t>0 mg/</w:t>
      </w:r>
      <w:r w:rsidR="00F70CE4">
        <w:rPr>
          <w:rFonts w:eastAsia="Calibri"/>
          <w:sz w:val="22"/>
          <w:szCs w:val="22"/>
        </w:rPr>
        <w:t>100 ml</w:t>
      </w:r>
      <w:r w:rsidRPr="00EF20DC">
        <w:rPr>
          <w:rFonts w:eastAsia="Calibri"/>
          <w:sz w:val="22"/>
          <w:szCs w:val="22"/>
        </w:rPr>
        <w:t xml:space="preserve">) pasireiškė 1,1 % ir 0,4 % sorafenibu gydytų pacientų ir 0,5 % bei 0 % placebo grupės pacientų. Su sorafenibu susijusi hipokalcemijos etiologija nežinoma. </w:t>
      </w:r>
    </w:p>
    <w:p w14:paraId="66898C5A" w14:textId="77777777" w:rsidR="00EF20DC" w:rsidRPr="00EF20DC" w:rsidRDefault="00EF20DC" w:rsidP="001F1094">
      <w:pPr>
        <w:rPr>
          <w:rFonts w:eastAsia="Calibri"/>
          <w:sz w:val="22"/>
          <w:szCs w:val="22"/>
        </w:rPr>
      </w:pPr>
    </w:p>
    <w:p w14:paraId="45DA3F59" w14:textId="48308C60" w:rsidR="00EF20DC" w:rsidRDefault="00EF20DC" w:rsidP="001F1094">
      <w:pPr>
        <w:rPr>
          <w:rFonts w:eastAsia="Calibri"/>
          <w:sz w:val="22"/>
          <w:szCs w:val="22"/>
        </w:rPr>
      </w:pPr>
      <w:r w:rsidRPr="00EF20DC">
        <w:rPr>
          <w:rFonts w:eastAsia="Calibri"/>
          <w:sz w:val="22"/>
          <w:szCs w:val="22"/>
        </w:rPr>
        <w:lastRenderedPageBreak/>
        <w:t xml:space="preserve">1-ojo ir 3-ojo tyrimų metu sumažėjęs kalio kiekis buvo </w:t>
      </w:r>
      <w:r w:rsidR="00D81ED3">
        <w:rPr>
          <w:rFonts w:eastAsia="Calibri"/>
          <w:sz w:val="22"/>
          <w:szCs w:val="22"/>
        </w:rPr>
        <w:t>išmatuotas</w:t>
      </w:r>
      <w:r w:rsidRPr="00EF20DC">
        <w:rPr>
          <w:rFonts w:eastAsia="Calibri"/>
          <w:sz w:val="22"/>
          <w:szCs w:val="22"/>
        </w:rPr>
        <w:t xml:space="preserve"> 5,4 % ir 9,5 % sorafenibu gydytų pacientų, palyginti su atitinkamai 0,7 % ir 5,9 % placeb</w:t>
      </w:r>
      <w:r w:rsidR="00CF4381">
        <w:rPr>
          <w:rFonts w:eastAsia="Calibri"/>
          <w:sz w:val="22"/>
          <w:szCs w:val="22"/>
        </w:rPr>
        <w:t>o</w:t>
      </w:r>
      <w:r w:rsidRPr="00EF20DC">
        <w:rPr>
          <w:rFonts w:eastAsia="Calibri"/>
          <w:sz w:val="22"/>
          <w:szCs w:val="22"/>
        </w:rPr>
        <w:t xml:space="preserve"> vartojusių pacientų. Dauguma hipokalemijos atvejų buvo nedidelio laipsnio (1-ojo laipsnio pagal CTCAE). Šiuose tyrimuose 3-ojo laipsnio pagal CTCAE hipokalemija pasireiškė 1,1 % ir 0,4 % sorafenibu gydytų pacientų ir 0,2 % ir 0,7 % placebo grupės pacientų. Apie 4-ojo laipsnio pagal CTCAE hipokalemiją pranešta nebuvo. </w:t>
      </w:r>
    </w:p>
    <w:p w14:paraId="39AAE074" w14:textId="77777777" w:rsidR="001A230F" w:rsidRDefault="001A230F" w:rsidP="001A230F">
      <w:pPr>
        <w:rPr>
          <w:rFonts w:eastAsia="Calibri"/>
          <w:sz w:val="22"/>
          <w:szCs w:val="22"/>
        </w:rPr>
      </w:pPr>
    </w:p>
    <w:p w14:paraId="6B71A2CC" w14:textId="77777777" w:rsidR="001A230F" w:rsidRPr="006D4AC3" w:rsidRDefault="001A230F" w:rsidP="001A230F">
      <w:pPr>
        <w:rPr>
          <w:rFonts w:eastAsia="Calibri"/>
          <w:sz w:val="22"/>
          <w:szCs w:val="22"/>
          <w:u w:val="single"/>
        </w:rPr>
      </w:pPr>
      <w:r w:rsidRPr="006D4AC3">
        <w:rPr>
          <w:rFonts w:eastAsia="Calibri"/>
          <w:sz w:val="22"/>
          <w:szCs w:val="22"/>
          <w:u w:val="single"/>
        </w:rPr>
        <w:t>Laboratorinių tyrimų duomenų pokyčiai DSK sergantiems pacientams (5 tyrimas)</w:t>
      </w:r>
    </w:p>
    <w:p w14:paraId="017F5217" w14:textId="77777777" w:rsidR="001A230F" w:rsidRDefault="001A230F" w:rsidP="001A230F">
      <w:pPr>
        <w:rPr>
          <w:rFonts w:eastAsia="Calibri"/>
          <w:sz w:val="22"/>
          <w:szCs w:val="22"/>
        </w:rPr>
      </w:pPr>
    </w:p>
    <w:p w14:paraId="0C7CF814" w14:textId="77777777" w:rsidR="001A230F" w:rsidRPr="00E238EB" w:rsidRDefault="001A230F" w:rsidP="001A230F">
      <w:pPr>
        <w:rPr>
          <w:rFonts w:eastAsia="Calibri"/>
          <w:sz w:val="22"/>
          <w:szCs w:val="22"/>
        </w:rPr>
      </w:pPr>
      <w:r w:rsidRPr="00E238EB">
        <w:rPr>
          <w:rFonts w:eastAsia="Calibri"/>
          <w:sz w:val="22"/>
          <w:szCs w:val="22"/>
        </w:rPr>
        <w:t>Hipokalcemija nustatyta 35,7</w:t>
      </w:r>
      <w:r>
        <w:rPr>
          <w:rFonts w:eastAsia="Calibri"/>
          <w:sz w:val="22"/>
          <w:szCs w:val="22"/>
        </w:rPr>
        <w:t> </w:t>
      </w:r>
      <w:r w:rsidRPr="00E238EB">
        <w:rPr>
          <w:rFonts w:eastAsia="Calibri"/>
          <w:sz w:val="22"/>
          <w:szCs w:val="22"/>
        </w:rPr>
        <w:t>% sorafenibu gydytų pacientų, palyginti su 11,0</w:t>
      </w:r>
      <w:r>
        <w:rPr>
          <w:rFonts w:eastAsia="Calibri"/>
          <w:sz w:val="22"/>
          <w:szCs w:val="22"/>
        </w:rPr>
        <w:t> </w:t>
      </w:r>
      <w:r w:rsidRPr="00E238EB">
        <w:rPr>
          <w:rFonts w:eastAsia="Calibri"/>
          <w:sz w:val="22"/>
          <w:szCs w:val="22"/>
        </w:rPr>
        <w:t>% placebo vartojusių</w:t>
      </w:r>
      <w:r>
        <w:rPr>
          <w:rFonts w:eastAsia="Calibri"/>
          <w:sz w:val="22"/>
          <w:szCs w:val="22"/>
        </w:rPr>
        <w:t xml:space="preserve"> </w:t>
      </w:r>
      <w:r w:rsidRPr="00E238EB">
        <w:rPr>
          <w:rFonts w:eastAsia="Calibri"/>
          <w:sz w:val="22"/>
          <w:szCs w:val="22"/>
        </w:rPr>
        <w:t>pacientų. Nustatyta hipokalcemija dažniausiai buvo mažo laipsnio. 3</w:t>
      </w:r>
      <w:r>
        <w:rPr>
          <w:rFonts w:eastAsia="Calibri"/>
          <w:sz w:val="22"/>
          <w:szCs w:val="22"/>
        </w:rPr>
        <w:t>-jo</w:t>
      </w:r>
      <w:r w:rsidRPr="00E238EB">
        <w:rPr>
          <w:rFonts w:eastAsia="Calibri"/>
          <w:sz w:val="22"/>
          <w:szCs w:val="22"/>
        </w:rPr>
        <w:t xml:space="preserve"> laipsnio pagal CTCAE</w:t>
      </w:r>
      <w:r>
        <w:rPr>
          <w:rFonts w:eastAsia="Calibri"/>
          <w:sz w:val="22"/>
          <w:szCs w:val="22"/>
        </w:rPr>
        <w:t xml:space="preserve"> </w:t>
      </w:r>
      <w:r w:rsidRPr="00E238EB">
        <w:rPr>
          <w:rFonts w:eastAsia="Calibri"/>
          <w:sz w:val="22"/>
          <w:szCs w:val="22"/>
        </w:rPr>
        <w:t>hipokalcemija pasireiškė 6,8</w:t>
      </w:r>
      <w:r>
        <w:rPr>
          <w:rFonts w:eastAsia="Calibri"/>
          <w:sz w:val="22"/>
          <w:szCs w:val="22"/>
        </w:rPr>
        <w:t> </w:t>
      </w:r>
      <w:r w:rsidRPr="00E238EB">
        <w:rPr>
          <w:rFonts w:eastAsia="Calibri"/>
          <w:sz w:val="22"/>
          <w:szCs w:val="22"/>
        </w:rPr>
        <w:t>% sorafenibu gydytų pacientų ir 1,9</w:t>
      </w:r>
      <w:r>
        <w:rPr>
          <w:rFonts w:eastAsia="Calibri"/>
          <w:sz w:val="22"/>
          <w:szCs w:val="22"/>
        </w:rPr>
        <w:t> </w:t>
      </w:r>
      <w:r w:rsidRPr="00E238EB">
        <w:rPr>
          <w:rFonts w:eastAsia="Calibri"/>
          <w:sz w:val="22"/>
          <w:szCs w:val="22"/>
        </w:rPr>
        <w:t>% pacientų placebo grupėje,</w:t>
      </w:r>
      <w:r>
        <w:rPr>
          <w:rFonts w:eastAsia="Calibri"/>
          <w:sz w:val="22"/>
          <w:szCs w:val="22"/>
        </w:rPr>
        <w:t xml:space="preserve"> </w:t>
      </w:r>
      <w:r w:rsidRPr="00E238EB">
        <w:rPr>
          <w:rFonts w:eastAsia="Calibri"/>
          <w:sz w:val="22"/>
          <w:szCs w:val="22"/>
        </w:rPr>
        <w:t>4</w:t>
      </w:r>
      <w:r>
        <w:rPr>
          <w:rFonts w:eastAsia="Calibri"/>
          <w:sz w:val="22"/>
          <w:szCs w:val="22"/>
        </w:rPr>
        <w:t>-jo</w:t>
      </w:r>
      <w:r w:rsidRPr="00E238EB">
        <w:rPr>
          <w:rFonts w:eastAsia="Calibri"/>
          <w:sz w:val="22"/>
          <w:szCs w:val="22"/>
        </w:rPr>
        <w:t xml:space="preserve"> laipsnio pagal CTCAE hipokalcemija pasireiškė 3,4</w:t>
      </w:r>
      <w:r>
        <w:rPr>
          <w:rFonts w:eastAsia="Calibri"/>
          <w:sz w:val="22"/>
          <w:szCs w:val="22"/>
        </w:rPr>
        <w:t> </w:t>
      </w:r>
      <w:r w:rsidRPr="00E238EB">
        <w:rPr>
          <w:rFonts w:eastAsia="Calibri"/>
          <w:sz w:val="22"/>
          <w:szCs w:val="22"/>
        </w:rPr>
        <w:t>% sorafenibu gydytų pacientų ir 1,0</w:t>
      </w:r>
      <w:r>
        <w:rPr>
          <w:rFonts w:eastAsia="Calibri"/>
          <w:sz w:val="22"/>
          <w:szCs w:val="22"/>
        </w:rPr>
        <w:t> </w:t>
      </w:r>
      <w:r w:rsidRPr="00E238EB">
        <w:rPr>
          <w:rFonts w:eastAsia="Calibri"/>
          <w:sz w:val="22"/>
          <w:szCs w:val="22"/>
        </w:rPr>
        <w:t>% pacientų</w:t>
      </w:r>
      <w:r>
        <w:rPr>
          <w:rFonts w:eastAsia="Calibri"/>
          <w:sz w:val="22"/>
          <w:szCs w:val="22"/>
        </w:rPr>
        <w:t xml:space="preserve"> </w:t>
      </w:r>
      <w:r w:rsidRPr="00E238EB">
        <w:rPr>
          <w:rFonts w:eastAsia="Calibri"/>
          <w:sz w:val="22"/>
          <w:szCs w:val="22"/>
        </w:rPr>
        <w:t>placebo grupėje.</w:t>
      </w:r>
    </w:p>
    <w:p w14:paraId="3145C1D4" w14:textId="77777777" w:rsidR="001A230F" w:rsidRDefault="001A230F" w:rsidP="001A230F">
      <w:pPr>
        <w:rPr>
          <w:rFonts w:eastAsia="Calibri"/>
          <w:sz w:val="22"/>
          <w:szCs w:val="22"/>
        </w:rPr>
      </w:pPr>
    </w:p>
    <w:p w14:paraId="450F0537" w14:textId="437480D6" w:rsidR="001A230F" w:rsidRDefault="001A230F" w:rsidP="001A230F">
      <w:pPr>
        <w:rPr>
          <w:rFonts w:eastAsia="Calibri"/>
          <w:sz w:val="22"/>
          <w:szCs w:val="22"/>
        </w:rPr>
      </w:pPr>
      <w:r w:rsidRPr="00E238EB">
        <w:rPr>
          <w:rFonts w:eastAsia="Calibri"/>
          <w:sz w:val="22"/>
          <w:szCs w:val="22"/>
        </w:rPr>
        <w:t>Kiti kliniškai reikšmingi laboratorinių tyrimų duomenų pokyčiai, nustatyti 5 tyrimo metu, parodyti</w:t>
      </w:r>
      <w:r>
        <w:rPr>
          <w:rFonts w:eastAsia="Calibri"/>
          <w:sz w:val="22"/>
          <w:szCs w:val="22"/>
        </w:rPr>
        <w:t xml:space="preserve"> </w:t>
      </w:r>
      <w:r w:rsidRPr="00E238EB">
        <w:rPr>
          <w:rFonts w:eastAsia="Calibri"/>
          <w:sz w:val="22"/>
          <w:szCs w:val="22"/>
        </w:rPr>
        <w:t>2</w:t>
      </w:r>
      <w:r>
        <w:rPr>
          <w:rFonts w:eastAsia="Calibri"/>
          <w:sz w:val="22"/>
          <w:szCs w:val="22"/>
        </w:rPr>
        <w:t> </w:t>
      </w:r>
      <w:r w:rsidRPr="00E238EB">
        <w:rPr>
          <w:rFonts w:eastAsia="Calibri"/>
          <w:sz w:val="22"/>
          <w:szCs w:val="22"/>
        </w:rPr>
        <w:t>lentelėje.</w:t>
      </w:r>
    </w:p>
    <w:p w14:paraId="6C47D75C" w14:textId="77777777" w:rsidR="001A230F" w:rsidRPr="00E238EB" w:rsidRDefault="001A230F" w:rsidP="001A230F">
      <w:pPr>
        <w:rPr>
          <w:rFonts w:eastAsia="Calibri"/>
          <w:sz w:val="22"/>
          <w:szCs w:val="22"/>
        </w:rPr>
      </w:pPr>
    </w:p>
    <w:p w14:paraId="1B1DD019" w14:textId="77777777" w:rsidR="001A230F" w:rsidRDefault="001A230F" w:rsidP="001A230F">
      <w:pPr>
        <w:ind w:left="900" w:hanging="900"/>
        <w:rPr>
          <w:rFonts w:eastAsia="Calibri"/>
          <w:b/>
          <w:bCs/>
          <w:sz w:val="22"/>
          <w:szCs w:val="22"/>
        </w:rPr>
      </w:pPr>
      <w:r w:rsidRPr="006D4AC3">
        <w:rPr>
          <w:rFonts w:eastAsia="Calibri"/>
          <w:b/>
          <w:bCs/>
          <w:sz w:val="22"/>
          <w:szCs w:val="22"/>
        </w:rPr>
        <w:t>2 lentelė. Gydymo metu atsiradę laboratorinių tyrimų duomenų pokyčiai, nustatyti DSK sergantiems pacientams (5 tyrimas) dvigubo kodavimo laikotarpiu</w:t>
      </w:r>
    </w:p>
    <w:p w14:paraId="61C5034E" w14:textId="77777777" w:rsidR="001A230F" w:rsidRPr="006D4AC3" w:rsidRDefault="001A230F" w:rsidP="001A230F">
      <w:pPr>
        <w:ind w:left="900" w:hanging="900"/>
        <w:rPr>
          <w:rFonts w:eastAsia="Calibri"/>
          <w:sz w:val="22"/>
          <w:szCs w:val="22"/>
        </w:rPr>
      </w:pPr>
    </w:p>
    <w:tbl>
      <w:tblPr>
        <w:tblStyle w:val="Lentelstinklelis"/>
        <w:tblW w:w="0" w:type="auto"/>
        <w:tblLook w:val="04A0" w:firstRow="1" w:lastRow="0" w:firstColumn="1" w:lastColumn="0" w:noHBand="0" w:noVBand="1"/>
      </w:tblPr>
      <w:tblGrid>
        <w:gridCol w:w="2593"/>
        <w:gridCol w:w="1286"/>
        <w:gridCol w:w="999"/>
        <w:gridCol w:w="999"/>
        <w:gridCol w:w="1141"/>
        <w:gridCol w:w="999"/>
        <w:gridCol w:w="999"/>
      </w:tblGrid>
      <w:tr w:rsidR="001A230F" w:rsidRPr="00E238EB" w14:paraId="6ED0F474" w14:textId="77777777" w:rsidTr="006D4AC3">
        <w:tc>
          <w:tcPr>
            <w:tcW w:w="2593" w:type="dxa"/>
            <w:vMerge w:val="restart"/>
            <w:vAlign w:val="center"/>
          </w:tcPr>
          <w:p w14:paraId="5E1CB854" w14:textId="77777777" w:rsidR="001A230F" w:rsidRPr="00E238EB" w:rsidRDefault="001A230F" w:rsidP="006D4AC3">
            <w:pPr>
              <w:rPr>
                <w:rFonts w:eastAsia="Calibri"/>
                <w:sz w:val="22"/>
                <w:szCs w:val="22"/>
              </w:rPr>
            </w:pPr>
            <w:r w:rsidRPr="00E238EB">
              <w:rPr>
                <w:rFonts w:eastAsia="Calibri"/>
                <w:sz w:val="22"/>
                <w:szCs w:val="22"/>
              </w:rPr>
              <w:t>Laboratorinis parametras,</w:t>
            </w:r>
          </w:p>
          <w:p w14:paraId="0ED84510" w14:textId="77777777" w:rsidR="001A230F" w:rsidRPr="006D4AC3" w:rsidRDefault="001A230F" w:rsidP="006D4AC3">
            <w:pPr>
              <w:rPr>
                <w:sz w:val="22"/>
                <w:szCs w:val="22"/>
                <w:lang w:val="lt-LT" w:eastAsia="en-GB"/>
              </w:rPr>
            </w:pPr>
            <w:r w:rsidRPr="00E238EB">
              <w:rPr>
                <w:rFonts w:eastAsia="Calibri"/>
                <w:sz w:val="22"/>
                <w:szCs w:val="22"/>
              </w:rPr>
              <w:t>(% tirtų mėginių)</w:t>
            </w:r>
          </w:p>
        </w:tc>
        <w:tc>
          <w:tcPr>
            <w:tcW w:w="3040" w:type="dxa"/>
            <w:gridSpan w:val="3"/>
          </w:tcPr>
          <w:p w14:paraId="19DE226C"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Sorafenib</w:t>
            </w:r>
            <w:r>
              <w:rPr>
                <w:sz w:val="22"/>
                <w:szCs w:val="22"/>
                <w:lang w:val="lt-LT" w:eastAsia="en-GB"/>
              </w:rPr>
              <w:t>as</w:t>
            </w:r>
            <w:r w:rsidRPr="006D4AC3">
              <w:rPr>
                <w:sz w:val="22"/>
                <w:szCs w:val="22"/>
                <w:lang w:val="lt-LT" w:eastAsia="en-GB"/>
              </w:rPr>
              <w:t xml:space="preserve"> N</w:t>
            </w:r>
            <w:r>
              <w:rPr>
                <w:sz w:val="22"/>
                <w:szCs w:val="22"/>
                <w:lang w:val="lt-LT" w:eastAsia="en-GB"/>
              </w:rPr>
              <w:t xml:space="preserve"> </w:t>
            </w:r>
            <w:r w:rsidRPr="006D4AC3">
              <w:rPr>
                <w:sz w:val="22"/>
                <w:szCs w:val="22"/>
                <w:lang w:val="lt-LT" w:eastAsia="en-GB"/>
              </w:rPr>
              <w:t>=</w:t>
            </w:r>
            <w:r>
              <w:rPr>
                <w:sz w:val="22"/>
                <w:szCs w:val="22"/>
                <w:lang w:val="lt-LT" w:eastAsia="en-GB"/>
              </w:rPr>
              <w:t xml:space="preserve"> </w:t>
            </w:r>
            <w:r w:rsidRPr="006D4AC3">
              <w:rPr>
                <w:sz w:val="22"/>
                <w:szCs w:val="22"/>
                <w:lang w:val="lt-LT" w:eastAsia="en-GB"/>
              </w:rPr>
              <w:t>207</w:t>
            </w:r>
          </w:p>
        </w:tc>
        <w:tc>
          <w:tcPr>
            <w:tcW w:w="2895" w:type="dxa"/>
            <w:gridSpan w:val="3"/>
          </w:tcPr>
          <w:p w14:paraId="79DB5821"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Placeb</w:t>
            </w:r>
            <w:r>
              <w:rPr>
                <w:sz w:val="22"/>
                <w:szCs w:val="22"/>
                <w:lang w:val="lt-LT" w:eastAsia="en-GB"/>
              </w:rPr>
              <w:t>as</w:t>
            </w:r>
            <w:r w:rsidRPr="006D4AC3">
              <w:rPr>
                <w:sz w:val="22"/>
                <w:szCs w:val="22"/>
                <w:lang w:val="lt-LT" w:eastAsia="en-GB"/>
              </w:rPr>
              <w:t xml:space="preserve"> N</w:t>
            </w:r>
            <w:r>
              <w:rPr>
                <w:sz w:val="22"/>
                <w:szCs w:val="22"/>
                <w:lang w:val="lt-LT" w:eastAsia="en-GB"/>
              </w:rPr>
              <w:t xml:space="preserve"> </w:t>
            </w:r>
            <w:r w:rsidRPr="006D4AC3">
              <w:rPr>
                <w:sz w:val="22"/>
                <w:szCs w:val="22"/>
                <w:lang w:val="lt-LT" w:eastAsia="en-GB"/>
              </w:rPr>
              <w:t>=</w:t>
            </w:r>
            <w:r>
              <w:rPr>
                <w:sz w:val="22"/>
                <w:szCs w:val="22"/>
                <w:lang w:val="lt-LT" w:eastAsia="en-GB"/>
              </w:rPr>
              <w:t xml:space="preserve"> </w:t>
            </w:r>
            <w:r w:rsidRPr="006D4AC3">
              <w:rPr>
                <w:sz w:val="22"/>
                <w:szCs w:val="22"/>
                <w:lang w:val="lt-LT" w:eastAsia="en-GB"/>
              </w:rPr>
              <w:t>209</w:t>
            </w:r>
          </w:p>
        </w:tc>
      </w:tr>
      <w:tr w:rsidR="001A230F" w:rsidRPr="00E238EB" w14:paraId="458F6393" w14:textId="77777777" w:rsidTr="006D4AC3">
        <w:tc>
          <w:tcPr>
            <w:tcW w:w="2593" w:type="dxa"/>
            <w:vMerge/>
          </w:tcPr>
          <w:p w14:paraId="613EF9C1" w14:textId="77777777" w:rsidR="001A230F" w:rsidRPr="006D4AC3" w:rsidRDefault="001A230F" w:rsidP="006D4AC3">
            <w:pPr>
              <w:spacing w:line="0" w:lineRule="atLeast"/>
              <w:jc w:val="both"/>
              <w:rPr>
                <w:sz w:val="22"/>
                <w:szCs w:val="22"/>
                <w:lang w:val="lt-LT" w:eastAsia="en-GB"/>
              </w:rPr>
            </w:pPr>
          </w:p>
        </w:tc>
        <w:tc>
          <w:tcPr>
            <w:tcW w:w="1286" w:type="dxa"/>
          </w:tcPr>
          <w:p w14:paraId="48004571" w14:textId="77777777" w:rsidR="001A230F" w:rsidRPr="00E238EB" w:rsidRDefault="001A230F" w:rsidP="006D4AC3">
            <w:pPr>
              <w:jc w:val="center"/>
              <w:rPr>
                <w:rFonts w:eastAsia="Calibri"/>
                <w:sz w:val="22"/>
                <w:szCs w:val="22"/>
              </w:rPr>
            </w:pPr>
            <w:r w:rsidRPr="00E238EB">
              <w:rPr>
                <w:rFonts w:eastAsia="Calibri"/>
                <w:sz w:val="22"/>
                <w:szCs w:val="22"/>
              </w:rPr>
              <w:t>Visi</w:t>
            </w:r>
          </w:p>
          <w:p w14:paraId="4D74E235" w14:textId="77777777" w:rsidR="001A230F" w:rsidRPr="006D4AC3" w:rsidRDefault="001A230F" w:rsidP="006D4AC3">
            <w:pPr>
              <w:jc w:val="center"/>
              <w:rPr>
                <w:sz w:val="22"/>
                <w:szCs w:val="22"/>
                <w:lang w:val="lt-LT" w:eastAsia="en-GB"/>
              </w:rPr>
            </w:pPr>
            <w:r w:rsidRPr="00E238EB">
              <w:rPr>
                <w:rFonts w:eastAsia="Calibri"/>
                <w:sz w:val="22"/>
                <w:szCs w:val="22"/>
              </w:rPr>
              <w:t>laipsniai*</w:t>
            </w:r>
          </w:p>
        </w:tc>
        <w:tc>
          <w:tcPr>
            <w:tcW w:w="877" w:type="dxa"/>
          </w:tcPr>
          <w:p w14:paraId="1816E326" w14:textId="77777777" w:rsidR="001A230F" w:rsidRPr="006D4AC3" w:rsidRDefault="001A230F" w:rsidP="006D4AC3">
            <w:pPr>
              <w:jc w:val="center"/>
              <w:rPr>
                <w:sz w:val="22"/>
                <w:szCs w:val="22"/>
                <w:lang w:val="lt-LT" w:eastAsia="en-GB"/>
              </w:rPr>
            </w:pPr>
            <w:r w:rsidRPr="00E238EB">
              <w:rPr>
                <w:rFonts w:eastAsia="Calibri"/>
                <w:sz w:val="22"/>
                <w:szCs w:val="22"/>
              </w:rPr>
              <w:t>3 laipsnis*</w:t>
            </w:r>
          </w:p>
        </w:tc>
        <w:tc>
          <w:tcPr>
            <w:tcW w:w="877" w:type="dxa"/>
          </w:tcPr>
          <w:p w14:paraId="4114DEC1" w14:textId="77777777" w:rsidR="001A230F" w:rsidRPr="006D4AC3" w:rsidRDefault="001A230F" w:rsidP="006D4AC3">
            <w:pPr>
              <w:jc w:val="center"/>
              <w:rPr>
                <w:sz w:val="22"/>
                <w:szCs w:val="22"/>
                <w:lang w:val="lt-LT" w:eastAsia="en-GB"/>
              </w:rPr>
            </w:pPr>
            <w:r>
              <w:rPr>
                <w:rFonts w:eastAsia="Calibri"/>
                <w:sz w:val="22"/>
                <w:szCs w:val="22"/>
              </w:rPr>
              <w:t>4</w:t>
            </w:r>
            <w:r w:rsidRPr="00E238EB">
              <w:rPr>
                <w:rFonts w:eastAsia="Calibri"/>
                <w:sz w:val="22"/>
                <w:szCs w:val="22"/>
              </w:rPr>
              <w:t xml:space="preserve"> laipsnis*</w:t>
            </w:r>
          </w:p>
        </w:tc>
        <w:tc>
          <w:tcPr>
            <w:tcW w:w="1141" w:type="dxa"/>
          </w:tcPr>
          <w:p w14:paraId="58B2638F" w14:textId="77777777" w:rsidR="001A230F" w:rsidRPr="00E238EB" w:rsidRDefault="001A230F" w:rsidP="006D4AC3">
            <w:pPr>
              <w:jc w:val="center"/>
              <w:rPr>
                <w:rFonts w:eastAsia="Calibri"/>
                <w:sz w:val="22"/>
                <w:szCs w:val="22"/>
              </w:rPr>
            </w:pPr>
            <w:r w:rsidRPr="00E238EB">
              <w:rPr>
                <w:rFonts w:eastAsia="Calibri"/>
                <w:sz w:val="22"/>
                <w:szCs w:val="22"/>
              </w:rPr>
              <w:t>Visi</w:t>
            </w:r>
          </w:p>
          <w:p w14:paraId="4EA24FCC" w14:textId="77777777" w:rsidR="001A230F" w:rsidRPr="006D4AC3" w:rsidRDefault="001A230F" w:rsidP="006D4AC3">
            <w:pPr>
              <w:spacing w:line="0" w:lineRule="atLeast"/>
              <w:jc w:val="center"/>
              <w:rPr>
                <w:sz w:val="22"/>
                <w:szCs w:val="22"/>
                <w:lang w:val="lt-LT" w:eastAsia="en-GB"/>
              </w:rPr>
            </w:pPr>
            <w:r w:rsidRPr="00E238EB">
              <w:rPr>
                <w:rFonts w:eastAsia="Calibri"/>
                <w:sz w:val="22"/>
                <w:szCs w:val="22"/>
              </w:rPr>
              <w:t>laipsniai*</w:t>
            </w:r>
          </w:p>
        </w:tc>
        <w:tc>
          <w:tcPr>
            <w:tcW w:w="877" w:type="dxa"/>
          </w:tcPr>
          <w:p w14:paraId="43DC1FB3" w14:textId="77777777" w:rsidR="001A230F" w:rsidRPr="006D4AC3" w:rsidRDefault="001A230F" w:rsidP="006D4AC3">
            <w:pPr>
              <w:spacing w:line="0" w:lineRule="atLeast"/>
              <w:jc w:val="center"/>
              <w:rPr>
                <w:sz w:val="22"/>
                <w:szCs w:val="22"/>
                <w:lang w:val="lt-LT" w:eastAsia="en-GB"/>
              </w:rPr>
            </w:pPr>
            <w:r w:rsidRPr="00E238EB">
              <w:rPr>
                <w:rFonts w:eastAsia="Calibri"/>
                <w:sz w:val="22"/>
                <w:szCs w:val="22"/>
              </w:rPr>
              <w:t>3 laipsnis*</w:t>
            </w:r>
          </w:p>
        </w:tc>
        <w:tc>
          <w:tcPr>
            <w:tcW w:w="877" w:type="dxa"/>
          </w:tcPr>
          <w:p w14:paraId="6EB8E0A7" w14:textId="77777777" w:rsidR="001A230F" w:rsidRPr="006D4AC3" w:rsidRDefault="001A230F" w:rsidP="006D4AC3">
            <w:pPr>
              <w:spacing w:line="0" w:lineRule="atLeast"/>
              <w:jc w:val="center"/>
              <w:rPr>
                <w:sz w:val="22"/>
                <w:szCs w:val="22"/>
                <w:lang w:val="lt-LT" w:eastAsia="en-GB"/>
              </w:rPr>
            </w:pPr>
            <w:r>
              <w:rPr>
                <w:rFonts w:eastAsia="Calibri"/>
                <w:sz w:val="22"/>
                <w:szCs w:val="22"/>
              </w:rPr>
              <w:t>4</w:t>
            </w:r>
            <w:r w:rsidRPr="00E238EB">
              <w:rPr>
                <w:rFonts w:eastAsia="Calibri"/>
                <w:sz w:val="22"/>
                <w:szCs w:val="22"/>
              </w:rPr>
              <w:t xml:space="preserve"> laipsnis*</w:t>
            </w:r>
          </w:p>
        </w:tc>
      </w:tr>
      <w:tr w:rsidR="001A230F" w:rsidRPr="00E238EB" w14:paraId="79A8A1A4" w14:textId="77777777" w:rsidTr="006D4AC3">
        <w:tc>
          <w:tcPr>
            <w:tcW w:w="8528" w:type="dxa"/>
            <w:gridSpan w:val="7"/>
          </w:tcPr>
          <w:p w14:paraId="28EBD073" w14:textId="77777777" w:rsidR="001A230F" w:rsidRPr="006D4AC3" w:rsidRDefault="001A230F" w:rsidP="006D4AC3">
            <w:pPr>
              <w:rPr>
                <w:sz w:val="22"/>
                <w:szCs w:val="22"/>
                <w:lang w:val="lt-LT" w:eastAsia="en-GB"/>
              </w:rPr>
            </w:pPr>
            <w:r w:rsidRPr="00E71EED">
              <w:rPr>
                <w:rFonts w:eastAsia="Calibri"/>
                <w:sz w:val="22"/>
                <w:szCs w:val="22"/>
                <w:lang w:val="pt-PT"/>
              </w:rPr>
              <w:t>Kraujo ir limfinės sistemos sutrikimai</w:t>
            </w:r>
          </w:p>
        </w:tc>
      </w:tr>
      <w:tr w:rsidR="001A230F" w:rsidRPr="00E238EB" w14:paraId="629F69A9" w14:textId="77777777" w:rsidTr="006D4AC3">
        <w:tc>
          <w:tcPr>
            <w:tcW w:w="2593" w:type="dxa"/>
          </w:tcPr>
          <w:p w14:paraId="554E16EC" w14:textId="77777777" w:rsidR="001A230F" w:rsidRPr="006D4AC3" w:rsidRDefault="001A230F" w:rsidP="006D4AC3">
            <w:pPr>
              <w:spacing w:line="0" w:lineRule="atLeast"/>
              <w:jc w:val="both"/>
              <w:rPr>
                <w:sz w:val="22"/>
                <w:szCs w:val="22"/>
                <w:lang w:val="lt-LT" w:eastAsia="en-GB"/>
              </w:rPr>
            </w:pPr>
            <w:r w:rsidRPr="006D4AC3">
              <w:rPr>
                <w:sz w:val="22"/>
                <w:szCs w:val="22"/>
                <w:lang w:val="lt-LT" w:eastAsia="en-GB"/>
              </w:rPr>
              <w:t>Anemi</w:t>
            </w:r>
            <w:r>
              <w:rPr>
                <w:sz w:val="22"/>
                <w:szCs w:val="22"/>
                <w:lang w:val="lt-LT" w:eastAsia="en-GB"/>
              </w:rPr>
              <w:t>j</w:t>
            </w:r>
            <w:r w:rsidRPr="006D4AC3">
              <w:rPr>
                <w:sz w:val="22"/>
                <w:szCs w:val="22"/>
                <w:lang w:val="lt-LT" w:eastAsia="en-GB"/>
              </w:rPr>
              <w:t xml:space="preserve">a </w:t>
            </w:r>
          </w:p>
        </w:tc>
        <w:tc>
          <w:tcPr>
            <w:tcW w:w="1286" w:type="dxa"/>
          </w:tcPr>
          <w:p w14:paraId="2FD24FCD"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30</w:t>
            </w:r>
            <w:r>
              <w:rPr>
                <w:sz w:val="22"/>
                <w:szCs w:val="22"/>
                <w:lang w:val="lt-LT" w:eastAsia="en-GB"/>
              </w:rPr>
              <w:t>,</w:t>
            </w:r>
            <w:r w:rsidRPr="006D4AC3">
              <w:rPr>
                <w:sz w:val="22"/>
                <w:szCs w:val="22"/>
                <w:lang w:val="lt-LT" w:eastAsia="en-GB"/>
              </w:rPr>
              <w:t>9</w:t>
            </w:r>
          </w:p>
        </w:tc>
        <w:tc>
          <w:tcPr>
            <w:tcW w:w="877" w:type="dxa"/>
          </w:tcPr>
          <w:p w14:paraId="324C2CD0"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0</w:t>
            </w:r>
            <w:r>
              <w:rPr>
                <w:sz w:val="22"/>
                <w:szCs w:val="22"/>
                <w:lang w:val="lt-LT" w:eastAsia="en-GB"/>
              </w:rPr>
              <w:t>,</w:t>
            </w:r>
            <w:r w:rsidRPr="006D4AC3">
              <w:rPr>
                <w:sz w:val="22"/>
                <w:szCs w:val="22"/>
                <w:lang w:val="lt-LT" w:eastAsia="en-GB"/>
              </w:rPr>
              <w:t>5</w:t>
            </w:r>
          </w:p>
        </w:tc>
        <w:tc>
          <w:tcPr>
            <w:tcW w:w="877" w:type="dxa"/>
          </w:tcPr>
          <w:p w14:paraId="2F5FEA06"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0</w:t>
            </w:r>
          </w:p>
        </w:tc>
        <w:tc>
          <w:tcPr>
            <w:tcW w:w="1141" w:type="dxa"/>
          </w:tcPr>
          <w:p w14:paraId="0DA1C671"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23</w:t>
            </w:r>
            <w:r>
              <w:rPr>
                <w:sz w:val="22"/>
                <w:szCs w:val="22"/>
                <w:lang w:val="lt-LT" w:eastAsia="en-GB"/>
              </w:rPr>
              <w:t>,</w:t>
            </w:r>
            <w:r w:rsidRPr="006D4AC3">
              <w:rPr>
                <w:sz w:val="22"/>
                <w:szCs w:val="22"/>
                <w:lang w:val="lt-LT" w:eastAsia="en-GB"/>
              </w:rPr>
              <w:t>4</w:t>
            </w:r>
          </w:p>
        </w:tc>
        <w:tc>
          <w:tcPr>
            <w:tcW w:w="877" w:type="dxa"/>
          </w:tcPr>
          <w:p w14:paraId="1246A3DC"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0</w:t>
            </w:r>
            <w:r>
              <w:rPr>
                <w:sz w:val="22"/>
                <w:szCs w:val="22"/>
                <w:lang w:val="lt-LT" w:eastAsia="en-GB"/>
              </w:rPr>
              <w:t>,</w:t>
            </w:r>
            <w:r w:rsidRPr="006D4AC3">
              <w:rPr>
                <w:sz w:val="22"/>
                <w:szCs w:val="22"/>
                <w:lang w:val="lt-LT" w:eastAsia="en-GB"/>
              </w:rPr>
              <w:t>5</w:t>
            </w:r>
          </w:p>
        </w:tc>
        <w:tc>
          <w:tcPr>
            <w:tcW w:w="877" w:type="dxa"/>
          </w:tcPr>
          <w:p w14:paraId="3B08FB59"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0</w:t>
            </w:r>
          </w:p>
        </w:tc>
      </w:tr>
      <w:tr w:rsidR="001A230F" w:rsidRPr="00E238EB" w14:paraId="06393E94" w14:textId="77777777" w:rsidTr="006D4AC3">
        <w:tc>
          <w:tcPr>
            <w:tcW w:w="2593" w:type="dxa"/>
          </w:tcPr>
          <w:p w14:paraId="18A55A8E" w14:textId="77777777" w:rsidR="001A230F" w:rsidRPr="006D4AC3" w:rsidRDefault="001A230F" w:rsidP="006D4AC3">
            <w:pPr>
              <w:widowControl w:val="0"/>
              <w:autoSpaceDE w:val="0"/>
              <w:autoSpaceDN w:val="0"/>
              <w:adjustRightInd w:val="0"/>
              <w:jc w:val="both"/>
              <w:rPr>
                <w:color w:val="000000"/>
                <w:sz w:val="22"/>
                <w:szCs w:val="22"/>
                <w:lang w:val="lt-LT" w:eastAsia="el-GR"/>
              </w:rPr>
            </w:pPr>
            <w:r w:rsidRPr="006D4AC3">
              <w:rPr>
                <w:color w:val="000000"/>
                <w:sz w:val="22"/>
                <w:szCs w:val="22"/>
                <w:lang w:val="lt-LT" w:eastAsia="el-GR"/>
              </w:rPr>
              <w:t>Tromboc</w:t>
            </w:r>
            <w:r>
              <w:rPr>
                <w:color w:val="000000"/>
                <w:sz w:val="22"/>
                <w:szCs w:val="22"/>
                <w:lang w:val="lt-LT" w:eastAsia="el-GR"/>
              </w:rPr>
              <w:t>i</w:t>
            </w:r>
            <w:r w:rsidRPr="006D4AC3">
              <w:rPr>
                <w:color w:val="000000"/>
                <w:sz w:val="22"/>
                <w:szCs w:val="22"/>
                <w:lang w:val="lt-LT" w:eastAsia="el-GR"/>
              </w:rPr>
              <w:t>topeni</w:t>
            </w:r>
            <w:r>
              <w:rPr>
                <w:color w:val="000000"/>
                <w:sz w:val="22"/>
                <w:szCs w:val="22"/>
                <w:lang w:val="lt-LT" w:eastAsia="el-GR"/>
              </w:rPr>
              <w:t>j</w:t>
            </w:r>
            <w:r w:rsidRPr="006D4AC3">
              <w:rPr>
                <w:color w:val="000000"/>
                <w:sz w:val="22"/>
                <w:szCs w:val="22"/>
                <w:lang w:val="lt-LT" w:eastAsia="el-GR"/>
              </w:rPr>
              <w:t xml:space="preserve">a </w:t>
            </w:r>
          </w:p>
        </w:tc>
        <w:tc>
          <w:tcPr>
            <w:tcW w:w="1286" w:type="dxa"/>
          </w:tcPr>
          <w:p w14:paraId="1A8FAB1E"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18</w:t>
            </w:r>
            <w:r>
              <w:rPr>
                <w:color w:val="000000"/>
                <w:sz w:val="22"/>
                <w:szCs w:val="22"/>
                <w:lang w:val="lt-LT" w:eastAsia="el-GR"/>
              </w:rPr>
              <w:t>,</w:t>
            </w:r>
            <w:r w:rsidRPr="006D4AC3">
              <w:rPr>
                <w:color w:val="000000"/>
                <w:sz w:val="22"/>
                <w:szCs w:val="22"/>
                <w:lang w:val="lt-LT" w:eastAsia="el-GR"/>
              </w:rPr>
              <w:t>4</w:t>
            </w:r>
          </w:p>
        </w:tc>
        <w:tc>
          <w:tcPr>
            <w:tcW w:w="877" w:type="dxa"/>
          </w:tcPr>
          <w:p w14:paraId="14A453DA"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c>
          <w:tcPr>
            <w:tcW w:w="877" w:type="dxa"/>
          </w:tcPr>
          <w:p w14:paraId="7F317D47"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c>
          <w:tcPr>
            <w:tcW w:w="1141" w:type="dxa"/>
          </w:tcPr>
          <w:p w14:paraId="289FF7A4"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9</w:t>
            </w:r>
            <w:r>
              <w:rPr>
                <w:color w:val="000000"/>
                <w:sz w:val="22"/>
                <w:szCs w:val="22"/>
                <w:lang w:val="lt-LT" w:eastAsia="el-GR"/>
              </w:rPr>
              <w:t>,</w:t>
            </w:r>
            <w:r w:rsidRPr="006D4AC3">
              <w:rPr>
                <w:color w:val="000000"/>
                <w:sz w:val="22"/>
                <w:szCs w:val="22"/>
                <w:lang w:val="lt-LT" w:eastAsia="el-GR"/>
              </w:rPr>
              <w:t>6</w:t>
            </w:r>
          </w:p>
        </w:tc>
        <w:tc>
          <w:tcPr>
            <w:tcW w:w="877" w:type="dxa"/>
          </w:tcPr>
          <w:p w14:paraId="1BEC2952"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c>
          <w:tcPr>
            <w:tcW w:w="877" w:type="dxa"/>
          </w:tcPr>
          <w:p w14:paraId="4DF9E0FE"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r>
      <w:tr w:rsidR="001A230F" w:rsidRPr="00E238EB" w14:paraId="4DCD9BCC" w14:textId="77777777" w:rsidTr="006D4AC3">
        <w:tc>
          <w:tcPr>
            <w:tcW w:w="2593" w:type="dxa"/>
          </w:tcPr>
          <w:p w14:paraId="5D22601F" w14:textId="77777777" w:rsidR="001A230F" w:rsidRPr="006D4AC3" w:rsidRDefault="001A230F" w:rsidP="006D4AC3">
            <w:pPr>
              <w:spacing w:line="0" w:lineRule="atLeast"/>
              <w:jc w:val="both"/>
              <w:rPr>
                <w:sz w:val="22"/>
                <w:szCs w:val="22"/>
                <w:lang w:val="lt-LT" w:eastAsia="en-GB"/>
              </w:rPr>
            </w:pPr>
            <w:r w:rsidRPr="006D4AC3">
              <w:rPr>
                <w:sz w:val="22"/>
                <w:szCs w:val="22"/>
                <w:lang w:val="lt-LT" w:eastAsia="en-GB"/>
              </w:rPr>
              <w:t>Neutropeni</w:t>
            </w:r>
            <w:r>
              <w:rPr>
                <w:sz w:val="22"/>
                <w:szCs w:val="22"/>
                <w:lang w:val="lt-LT" w:eastAsia="en-GB"/>
              </w:rPr>
              <w:t>j</w:t>
            </w:r>
            <w:r w:rsidRPr="006D4AC3">
              <w:rPr>
                <w:sz w:val="22"/>
                <w:szCs w:val="22"/>
                <w:lang w:val="lt-LT" w:eastAsia="en-GB"/>
              </w:rPr>
              <w:t xml:space="preserve">a </w:t>
            </w:r>
          </w:p>
        </w:tc>
        <w:tc>
          <w:tcPr>
            <w:tcW w:w="1286" w:type="dxa"/>
          </w:tcPr>
          <w:p w14:paraId="0ACE737C"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19</w:t>
            </w:r>
            <w:r>
              <w:rPr>
                <w:sz w:val="22"/>
                <w:szCs w:val="22"/>
                <w:lang w:val="lt-LT" w:eastAsia="en-GB"/>
              </w:rPr>
              <w:t>,</w:t>
            </w:r>
            <w:r w:rsidRPr="006D4AC3">
              <w:rPr>
                <w:sz w:val="22"/>
                <w:szCs w:val="22"/>
                <w:lang w:val="lt-LT" w:eastAsia="en-GB"/>
              </w:rPr>
              <w:t>8</w:t>
            </w:r>
          </w:p>
        </w:tc>
        <w:tc>
          <w:tcPr>
            <w:tcW w:w="877" w:type="dxa"/>
          </w:tcPr>
          <w:p w14:paraId="2D3116F1"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0</w:t>
            </w:r>
            <w:r>
              <w:rPr>
                <w:sz w:val="22"/>
                <w:szCs w:val="22"/>
                <w:lang w:val="lt-LT" w:eastAsia="en-GB"/>
              </w:rPr>
              <w:t>,</w:t>
            </w:r>
            <w:r w:rsidRPr="006D4AC3">
              <w:rPr>
                <w:sz w:val="22"/>
                <w:szCs w:val="22"/>
                <w:lang w:val="lt-LT" w:eastAsia="en-GB"/>
              </w:rPr>
              <w:t>5</w:t>
            </w:r>
          </w:p>
        </w:tc>
        <w:tc>
          <w:tcPr>
            <w:tcW w:w="877" w:type="dxa"/>
          </w:tcPr>
          <w:p w14:paraId="4F49EC8C"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0</w:t>
            </w:r>
            <w:r>
              <w:rPr>
                <w:sz w:val="22"/>
                <w:szCs w:val="22"/>
                <w:lang w:val="lt-LT" w:eastAsia="en-GB"/>
              </w:rPr>
              <w:t>,</w:t>
            </w:r>
            <w:r w:rsidRPr="006D4AC3">
              <w:rPr>
                <w:sz w:val="22"/>
                <w:szCs w:val="22"/>
                <w:lang w:val="lt-LT" w:eastAsia="en-GB"/>
              </w:rPr>
              <w:t>5</w:t>
            </w:r>
          </w:p>
        </w:tc>
        <w:tc>
          <w:tcPr>
            <w:tcW w:w="1141" w:type="dxa"/>
          </w:tcPr>
          <w:p w14:paraId="62049E42"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12</w:t>
            </w:r>
          </w:p>
        </w:tc>
        <w:tc>
          <w:tcPr>
            <w:tcW w:w="877" w:type="dxa"/>
          </w:tcPr>
          <w:p w14:paraId="66383D4A"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0</w:t>
            </w:r>
          </w:p>
        </w:tc>
        <w:tc>
          <w:tcPr>
            <w:tcW w:w="877" w:type="dxa"/>
          </w:tcPr>
          <w:p w14:paraId="16942EA1"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0</w:t>
            </w:r>
          </w:p>
        </w:tc>
      </w:tr>
      <w:tr w:rsidR="001A230F" w:rsidRPr="00E238EB" w14:paraId="5C354362" w14:textId="77777777" w:rsidTr="006D4AC3">
        <w:tc>
          <w:tcPr>
            <w:tcW w:w="2593" w:type="dxa"/>
          </w:tcPr>
          <w:p w14:paraId="63DEBB9F" w14:textId="77777777" w:rsidR="001A230F" w:rsidRPr="006D4AC3" w:rsidRDefault="001A230F" w:rsidP="006D4AC3">
            <w:pPr>
              <w:spacing w:line="0" w:lineRule="atLeast"/>
              <w:jc w:val="both"/>
              <w:rPr>
                <w:sz w:val="22"/>
                <w:szCs w:val="22"/>
                <w:lang w:val="lt-LT" w:eastAsia="en-GB"/>
              </w:rPr>
            </w:pPr>
            <w:r w:rsidRPr="006D4AC3">
              <w:rPr>
                <w:sz w:val="22"/>
                <w:szCs w:val="22"/>
                <w:lang w:val="lt-LT" w:eastAsia="en-GB"/>
              </w:rPr>
              <w:t>L</w:t>
            </w:r>
            <w:r>
              <w:rPr>
                <w:sz w:val="22"/>
                <w:szCs w:val="22"/>
                <w:lang w:val="lt-LT" w:eastAsia="en-GB"/>
              </w:rPr>
              <w:t>i</w:t>
            </w:r>
            <w:r w:rsidRPr="006D4AC3">
              <w:rPr>
                <w:sz w:val="22"/>
                <w:szCs w:val="22"/>
                <w:lang w:val="lt-LT" w:eastAsia="en-GB"/>
              </w:rPr>
              <w:t>m</w:t>
            </w:r>
            <w:r>
              <w:rPr>
                <w:sz w:val="22"/>
                <w:szCs w:val="22"/>
                <w:lang w:val="lt-LT" w:eastAsia="en-GB"/>
              </w:rPr>
              <w:t>f</w:t>
            </w:r>
            <w:r w:rsidRPr="006D4AC3">
              <w:rPr>
                <w:sz w:val="22"/>
                <w:szCs w:val="22"/>
                <w:lang w:val="lt-LT" w:eastAsia="en-GB"/>
              </w:rPr>
              <w:t>openi</w:t>
            </w:r>
            <w:r>
              <w:rPr>
                <w:sz w:val="22"/>
                <w:szCs w:val="22"/>
                <w:lang w:val="lt-LT" w:eastAsia="en-GB"/>
              </w:rPr>
              <w:t>j</w:t>
            </w:r>
            <w:r w:rsidRPr="006D4AC3">
              <w:rPr>
                <w:sz w:val="22"/>
                <w:szCs w:val="22"/>
                <w:lang w:val="lt-LT" w:eastAsia="en-GB"/>
              </w:rPr>
              <w:t xml:space="preserve">a </w:t>
            </w:r>
          </w:p>
        </w:tc>
        <w:tc>
          <w:tcPr>
            <w:tcW w:w="1286" w:type="dxa"/>
          </w:tcPr>
          <w:p w14:paraId="72D0ACC8"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42</w:t>
            </w:r>
          </w:p>
        </w:tc>
        <w:tc>
          <w:tcPr>
            <w:tcW w:w="877" w:type="dxa"/>
          </w:tcPr>
          <w:p w14:paraId="4A8175AF"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9</w:t>
            </w:r>
            <w:r>
              <w:rPr>
                <w:sz w:val="22"/>
                <w:szCs w:val="22"/>
                <w:lang w:val="lt-LT" w:eastAsia="en-GB"/>
              </w:rPr>
              <w:t>,</w:t>
            </w:r>
            <w:r w:rsidRPr="006D4AC3">
              <w:rPr>
                <w:sz w:val="22"/>
                <w:szCs w:val="22"/>
                <w:lang w:val="lt-LT" w:eastAsia="en-GB"/>
              </w:rPr>
              <w:t>7</w:t>
            </w:r>
          </w:p>
        </w:tc>
        <w:tc>
          <w:tcPr>
            <w:tcW w:w="877" w:type="dxa"/>
          </w:tcPr>
          <w:p w14:paraId="638C8C52"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0</w:t>
            </w:r>
            <w:r>
              <w:rPr>
                <w:sz w:val="22"/>
                <w:szCs w:val="22"/>
                <w:lang w:val="lt-LT" w:eastAsia="en-GB"/>
              </w:rPr>
              <w:t>,</w:t>
            </w:r>
            <w:r w:rsidRPr="006D4AC3">
              <w:rPr>
                <w:sz w:val="22"/>
                <w:szCs w:val="22"/>
                <w:lang w:val="lt-LT" w:eastAsia="en-GB"/>
              </w:rPr>
              <w:t>5</w:t>
            </w:r>
          </w:p>
        </w:tc>
        <w:tc>
          <w:tcPr>
            <w:tcW w:w="1141" w:type="dxa"/>
          </w:tcPr>
          <w:p w14:paraId="21F00626"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25</w:t>
            </w:r>
            <w:r>
              <w:rPr>
                <w:sz w:val="22"/>
                <w:szCs w:val="22"/>
                <w:lang w:val="lt-LT" w:eastAsia="en-GB"/>
              </w:rPr>
              <w:t>,</w:t>
            </w:r>
            <w:r w:rsidRPr="006D4AC3">
              <w:rPr>
                <w:sz w:val="22"/>
                <w:szCs w:val="22"/>
                <w:lang w:val="lt-LT" w:eastAsia="en-GB"/>
              </w:rPr>
              <w:t>8</w:t>
            </w:r>
          </w:p>
        </w:tc>
        <w:tc>
          <w:tcPr>
            <w:tcW w:w="877" w:type="dxa"/>
          </w:tcPr>
          <w:p w14:paraId="1028A9E9"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5</w:t>
            </w:r>
            <w:r>
              <w:rPr>
                <w:sz w:val="22"/>
                <w:szCs w:val="22"/>
                <w:lang w:val="lt-LT" w:eastAsia="en-GB"/>
              </w:rPr>
              <w:t>,</w:t>
            </w:r>
            <w:r w:rsidRPr="006D4AC3">
              <w:rPr>
                <w:sz w:val="22"/>
                <w:szCs w:val="22"/>
                <w:lang w:val="lt-LT" w:eastAsia="en-GB"/>
              </w:rPr>
              <w:t>3</w:t>
            </w:r>
          </w:p>
        </w:tc>
        <w:tc>
          <w:tcPr>
            <w:tcW w:w="877" w:type="dxa"/>
          </w:tcPr>
          <w:p w14:paraId="030B1BC7" w14:textId="77777777" w:rsidR="001A230F" w:rsidRPr="006D4AC3" w:rsidRDefault="001A230F" w:rsidP="006D4AC3">
            <w:pPr>
              <w:spacing w:line="0" w:lineRule="atLeast"/>
              <w:jc w:val="center"/>
              <w:rPr>
                <w:sz w:val="22"/>
                <w:szCs w:val="22"/>
                <w:lang w:val="lt-LT" w:eastAsia="en-GB"/>
              </w:rPr>
            </w:pPr>
            <w:r w:rsidRPr="006D4AC3">
              <w:rPr>
                <w:sz w:val="22"/>
                <w:szCs w:val="22"/>
                <w:lang w:val="lt-LT" w:eastAsia="en-GB"/>
              </w:rPr>
              <w:t>0</w:t>
            </w:r>
          </w:p>
        </w:tc>
      </w:tr>
      <w:tr w:rsidR="001A230F" w:rsidRPr="00E238EB" w14:paraId="4374ACEB" w14:textId="77777777" w:rsidTr="006D4AC3">
        <w:tc>
          <w:tcPr>
            <w:tcW w:w="8528" w:type="dxa"/>
            <w:gridSpan w:val="7"/>
          </w:tcPr>
          <w:p w14:paraId="0266F940" w14:textId="77777777" w:rsidR="001A230F" w:rsidRPr="006D4AC3" w:rsidRDefault="001A230F" w:rsidP="006D4AC3">
            <w:pPr>
              <w:widowControl w:val="0"/>
              <w:autoSpaceDE w:val="0"/>
              <w:autoSpaceDN w:val="0"/>
              <w:adjustRightInd w:val="0"/>
              <w:jc w:val="both"/>
              <w:rPr>
                <w:color w:val="000000"/>
                <w:sz w:val="22"/>
                <w:szCs w:val="22"/>
                <w:lang w:val="lt-LT" w:eastAsia="el-GR"/>
              </w:rPr>
            </w:pPr>
            <w:r w:rsidRPr="00E238EB">
              <w:rPr>
                <w:rFonts w:eastAsia="Calibri"/>
                <w:sz w:val="22"/>
                <w:szCs w:val="22"/>
              </w:rPr>
              <w:t>Metabolizmo ir mitybos sutrikimai</w:t>
            </w:r>
          </w:p>
        </w:tc>
      </w:tr>
      <w:tr w:rsidR="001A230F" w:rsidRPr="00E238EB" w14:paraId="091F6B37" w14:textId="77777777" w:rsidTr="006D4AC3">
        <w:tc>
          <w:tcPr>
            <w:tcW w:w="2593" w:type="dxa"/>
          </w:tcPr>
          <w:p w14:paraId="6E1A94B4" w14:textId="77777777" w:rsidR="001A230F" w:rsidRPr="006D4AC3" w:rsidRDefault="001A230F" w:rsidP="006D4AC3">
            <w:pPr>
              <w:widowControl w:val="0"/>
              <w:autoSpaceDE w:val="0"/>
              <w:autoSpaceDN w:val="0"/>
              <w:adjustRightInd w:val="0"/>
              <w:jc w:val="both"/>
              <w:rPr>
                <w:color w:val="000000"/>
                <w:sz w:val="22"/>
                <w:szCs w:val="22"/>
                <w:lang w:val="lt-LT" w:eastAsia="el-GR"/>
              </w:rPr>
            </w:pPr>
            <w:r w:rsidRPr="006D4AC3">
              <w:rPr>
                <w:color w:val="000000"/>
                <w:sz w:val="22"/>
                <w:szCs w:val="22"/>
                <w:lang w:val="lt-LT" w:eastAsia="el-GR"/>
              </w:rPr>
              <w:t>H</w:t>
            </w:r>
            <w:r>
              <w:rPr>
                <w:color w:val="000000"/>
                <w:sz w:val="22"/>
                <w:szCs w:val="22"/>
                <w:lang w:val="lt-LT" w:eastAsia="el-GR"/>
              </w:rPr>
              <w:t>i</w:t>
            </w:r>
            <w:r w:rsidRPr="006D4AC3">
              <w:rPr>
                <w:color w:val="000000"/>
                <w:sz w:val="22"/>
                <w:szCs w:val="22"/>
                <w:lang w:val="lt-LT" w:eastAsia="el-GR"/>
              </w:rPr>
              <w:t>pokalemi</w:t>
            </w:r>
            <w:r>
              <w:rPr>
                <w:color w:val="000000"/>
                <w:sz w:val="22"/>
                <w:szCs w:val="22"/>
                <w:lang w:val="lt-LT" w:eastAsia="el-GR"/>
              </w:rPr>
              <w:t>j</w:t>
            </w:r>
            <w:r w:rsidRPr="006D4AC3">
              <w:rPr>
                <w:color w:val="000000"/>
                <w:sz w:val="22"/>
                <w:szCs w:val="22"/>
                <w:lang w:val="lt-LT" w:eastAsia="el-GR"/>
              </w:rPr>
              <w:t xml:space="preserve">a </w:t>
            </w:r>
          </w:p>
        </w:tc>
        <w:tc>
          <w:tcPr>
            <w:tcW w:w="1286" w:type="dxa"/>
          </w:tcPr>
          <w:p w14:paraId="0CC7AC5D"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17</w:t>
            </w:r>
            <w:r>
              <w:rPr>
                <w:color w:val="000000"/>
                <w:sz w:val="22"/>
                <w:szCs w:val="22"/>
                <w:lang w:val="lt-LT" w:eastAsia="el-GR"/>
              </w:rPr>
              <w:t>,</w:t>
            </w:r>
            <w:r w:rsidRPr="006D4AC3">
              <w:rPr>
                <w:color w:val="000000"/>
                <w:sz w:val="22"/>
                <w:szCs w:val="22"/>
                <w:lang w:val="lt-LT" w:eastAsia="el-GR"/>
              </w:rPr>
              <w:t>9</w:t>
            </w:r>
          </w:p>
        </w:tc>
        <w:tc>
          <w:tcPr>
            <w:tcW w:w="877" w:type="dxa"/>
          </w:tcPr>
          <w:p w14:paraId="632C1FB5"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w:t>
            </w:r>
            <w:r>
              <w:rPr>
                <w:color w:val="000000"/>
                <w:sz w:val="22"/>
                <w:szCs w:val="22"/>
                <w:lang w:val="lt-LT" w:eastAsia="el-GR"/>
              </w:rPr>
              <w:t>,</w:t>
            </w:r>
            <w:r w:rsidRPr="006D4AC3">
              <w:rPr>
                <w:color w:val="000000"/>
                <w:sz w:val="22"/>
                <w:szCs w:val="22"/>
                <w:lang w:val="lt-LT" w:eastAsia="el-GR"/>
              </w:rPr>
              <w:t>9</w:t>
            </w:r>
          </w:p>
        </w:tc>
        <w:tc>
          <w:tcPr>
            <w:tcW w:w="877" w:type="dxa"/>
          </w:tcPr>
          <w:p w14:paraId="2EC95E3D"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c>
          <w:tcPr>
            <w:tcW w:w="1141" w:type="dxa"/>
          </w:tcPr>
          <w:p w14:paraId="7E310AD2"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2</w:t>
            </w:r>
            <w:r>
              <w:rPr>
                <w:color w:val="000000"/>
                <w:sz w:val="22"/>
                <w:szCs w:val="22"/>
                <w:lang w:val="lt-LT" w:eastAsia="el-GR"/>
              </w:rPr>
              <w:t>,</w:t>
            </w:r>
            <w:r w:rsidRPr="006D4AC3">
              <w:rPr>
                <w:color w:val="000000"/>
                <w:sz w:val="22"/>
                <w:szCs w:val="22"/>
                <w:lang w:val="lt-LT" w:eastAsia="el-GR"/>
              </w:rPr>
              <w:t>4</w:t>
            </w:r>
          </w:p>
        </w:tc>
        <w:tc>
          <w:tcPr>
            <w:tcW w:w="877" w:type="dxa"/>
          </w:tcPr>
          <w:p w14:paraId="3A791120"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c>
          <w:tcPr>
            <w:tcW w:w="877" w:type="dxa"/>
          </w:tcPr>
          <w:p w14:paraId="5192D5C3"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r>
      <w:tr w:rsidR="001A230F" w:rsidRPr="00E238EB" w14:paraId="3CE9E5B3" w14:textId="77777777" w:rsidTr="006D4AC3">
        <w:tc>
          <w:tcPr>
            <w:tcW w:w="2593" w:type="dxa"/>
          </w:tcPr>
          <w:p w14:paraId="1560DA80" w14:textId="77777777" w:rsidR="001A230F" w:rsidRPr="006D4AC3" w:rsidRDefault="001A230F" w:rsidP="006D4AC3">
            <w:pPr>
              <w:widowControl w:val="0"/>
              <w:autoSpaceDE w:val="0"/>
              <w:autoSpaceDN w:val="0"/>
              <w:adjustRightInd w:val="0"/>
              <w:jc w:val="both"/>
              <w:rPr>
                <w:color w:val="000000"/>
                <w:sz w:val="22"/>
                <w:szCs w:val="22"/>
                <w:lang w:val="lt-LT" w:eastAsia="el-GR"/>
              </w:rPr>
            </w:pPr>
            <w:r w:rsidRPr="00E238EB">
              <w:rPr>
                <w:rFonts w:eastAsia="Calibri"/>
                <w:sz w:val="22"/>
                <w:szCs w:val="22"/>
              </w:rPr>
              <w:t>Hipofosfatemija**</w:t>
            </w:r>
          </w:p>
        </w:tc>
        <w:tc>
          <w:tcPr>
            <w:tcW w:w="1286" w:type="dxa"/>
          </w:tcPr>
          <w:p w14:paraId="3FAB18D9"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19</w:t>
            </w:r>
            <w:r>
              <w:rPr>
                <w:color w:val="000000"/>
                <w:sz w:val="22"/>
                <w:szCs w:val="22"/>
                <w:lang w:val="lt-LT" w:eastAsia="el-GR"/>
              </w:rPr>
              <w:t>,</w:t>
            </w:r>
            <w:r w:rsidRPr="006D4AC3">
              <w:rPr>
                <w:color w:val="000000"/>
                <w:sz w:val="22"/>
                <w:szCs w:val="22"/>
                <w:lang w:val="lt-LT" w:eastAsia="el-GR"/>
              </w:rPr>
              <w:t>3</w:t>
            </w:r>
          </w:p>
        </w:tc>
        <w:tc>
          <w:tcPr>
            <w:tcW w:w="877" w:type="dxa"/>
          </w:tcPr>
          <w:p w14:paraId="21E50717"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12</w:t>
            </w:r>
            <w:r>
              <w:rPr>
                <w:color w:val="000000"/>
                <w:sz w:val="22"/>
                <w:szCs w:val="22"/>
                <w:lang w:val="lt-LT" w:eastAsia="el-GR"/>
              </w:rPr>
              <w:t>,</w:t>
            </w:r>
            <w:r w:rsidRPr="006D4AC3">
              <w:rPr>
                <w:color w:val="000000"/>
                <w:sz w:val="22"/>
                <w:szCs w:val="22"/>
                <w:lang w:val="lt-LT" w:eastAsia="el-GR"/>
              </w:rPr>
              <w:t>6</w:t>
            </w:r>
          </w:p>
        </w:tc>
        <w:tc>
          <w:tcPr>
            <w:tcW w:w="877" w:type="dxa"/>
          </w:tcPr>
          <w:p w14:paraId="6A4DB10E"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c>
          <w:tcPr>
            <w:tcW w:w="1141" w:type="dxa"/>
          </w:tcPr>
          <w:p w14:paraId="418E4CAA"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2</w:t>
            </w:r>
            <w:r>
              <w:rPr>
                <w:color w:val="000000"/>
                <w:sz w:val="22"/>
                <w:szCs w:val="22"/>
                <w:lang w:val="lt-LT" w:eastAsia="el-GR"/>
              </w:rPr>
              <w:t>,</w:t>
            </w:r>
            <w:r w:rsidRPr="006D4AC3">
              <w:rPr>
                <w:color w:val="000000"/>
                <w:sz w:val="22"/>
                <w:szCs w:val="22"/>
                <w:lang w:val="lt-LT" w:eastAsia="el-GR"/>
              </w:rPr>
              <w:t>4</w:t>
            </w:r>
          </w:p>
        </w:tc>
        <w:tc>
          <w:tcPr>
            <w:tcW w:w="877" w:type="dxa"/>
          </w:tcPr>
          <w:p w14:paraId="0B1FE2CA"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w:t>
            </w:r>
            <w:r>
              <w:rPr>
                <w:color w:val="000000"/>
                <w:sz w:val="22"/>
                <w:szCs w:val="22"/>
                <w:lang w:val="lt-LT" w:eastAsia="el-GR"/>
              </w:rPr>
              <w:t>,</w:t>
            </w:r>
            <w:r w:rsidRPr="006D4AC3">
              <w:rPr>
                <w:color w:val="000000"/>
                <w:sz w:val="22"/>
                <w:szCs w:val="22"/>
                <w:lang w:val="lt-LT" w:eastAsia="el-GR"/>
              </w:rPr>
              <w:t>4</w:t>
            </w:r>
          </w:p>
        </w:tc>
        <w:tc>
          <w:tcPr>
            <w:tcW w:w="877" w:type="dxa"/>
          </w:tcPr>
          <w:p w14:paraId="614C085E"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r>
      <w:tr w:rsidR="001A230F" w:rsidRPr="00E238EB" w14:paraId="38FD9D83" w14:textId="77777777" w:rsidTr="006D4AC3">
        <w:tc>
          <w:tcPr>
            <w:tcW w:w="8528" w:type="dxa"/>
            <w:gridSpan w:val="7"/>
          </w:tcPr>
          <w:p w14:paraId="741DDEEA" w14:textId="77777777" w:rsidR="001A230F" w:rsidRPr="00E71EED" w:rsidRDefault="001A230F" w:rsidP="006D4AC3">
            <w:pPr>
              <w:rPr>
                <w:color w:val="000000"/>
                <w:sz w:val="22"/>
                <w:szCs w:val="22"/>
                <w:lang w:val="lt-LT" w:eastAsia="el-GR"/>
              </w:rPr>
            </w:pPr>
            <w:r w:rsidRPr="00E71EED">
              <w:rPr>
                <w:rFonts w:eastAsia="Calibri"/>
                <w:sz w:val="22"/>
                <w:szCs w:val="22"/>
                <w:lang w:val="pt-PT"/>
              </w:rPr>
              <w:t>Kepenų, tulžies pūslės ir latakų sutrikimai</w:t>
            </w:r>
          </w:p>
        </w:tc>
      </w:tr>
      <w:tr w:rsidR="001A230F" w:rsidRPr="00E238EB" w14:paraId="6E91986E" w14:textId="77777777" w:rsidTr="006D4AC3">
        <w:tc>
          <w:tcPr>
            <w:tcW w:w="2593" w:type="dxa"/>
          </w:tcPr>
          <w:p w14:paraId="749070A5" w14:textId="77777777" w:rsidR="001A230F" w:rsidRPr="006D4AC3" w:rsidRDefault="001A230F" w:rsidP="006D4AC3">
            <w:pPr>
              <w:widowControl w:val="0"/>
              <w:autoSpaceDE w:val="0"/>
              <w:autoSpaceDN w:val="0"/>
              <w:adjustRightInd w:val="0"/>
              <w:jc w:val="both"/>
              <w:rPr>
                <w:color w:val="000000"/>
                <w:sz w:val="22"/>
                <w:szCs w:val="22"/>
                <w:lang w:val="lt-LT" w:eastAsia="el-GR"/>
              </w:rPr>
            </w:pPr>
            <w:r w:rsidRPr="00E238EB">
              <w:rPr>
                <w:rFonts w:eastAsia="Calibri"/>
                <w:sz w:val="22"/>
                <w:szCs w:val="22"/>
              </w:rPr>
              <w:t>Padidėjęs bilirubino kiekis</w:t>
            </w:r>
          </w:p>
        </w:tc>
        <w:tc>
          <w:tcPr>
            <w:tcW w:w="1286" w:type="dxa"/>
          </w:tcPr>
          <w:p w14:paraId="643E63C6"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8</w:t>
            </w:r>
            <w:r>
              <w:rPr>
                <w:color w:val="000000"/>
                <w:sz w:val="22"/>
                <w:szCs w:val="22"/>
                <w:lang w:val="lt-LT" w:eastAsia="el-GR"/>
              </w:rPr>
              <w:t>,</w:t>
            </w:r>
            <w:r w:rsidRPr="006D4AC3">
              <w:rPr>
                <w:color w:val="000000"/>
                <w:sz w:val="22"/>
                <w:szCs w:val="22"/>
                <w:lang w:val="lt-LT" w:eastAsia="el-GR"/>
              </w:rPr>
              <w:t>7</w:t>
            </w:r>
          </w:p>
        </w:tc>
        <w:tc>
          <w:tcPr>
            <w:tcW w:w="877" w:type="dxa"/>
          </w:tcPr>
          <w:p w14:paraId="48868A41"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c>
          <w:tcPr>
            <w:tcW w:w="877" w:type="dxa"/>
          </w:tcPr>
          <w:p w14:paraId="6C72CBF5"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c>
          <w:tcPr>
            <w:tcW w:w="1141" w:type="dxa"/>
          </w:tcPr>
          <w:p w14:paraId="0B0768DF"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4</w:t>
            </w:r>
            <w:r>
              <w:rPr>
                <w:color w:val="000000"/>
                <w:sz w:val="22"/>
                <w:szCs w:val="22"/>
                <w:lang w:val="lt-LT" w:eastAsia="el-GR"/>
              </w:rPr>
              <w:t>,</w:t>
            </w:r>
            <w:r w:rsidRPr="006D4AC3">
              <w:rPr>
                <w:color w:val="000000"/>
                <w:sz w:val="22"/>
                <w:szCs w:val="22"/>
                <w:lang w:val="lt-LT" w:eastAsia="el-GR"/>
              </w:rPr>
              <w:t>8</w:t>
            </w:r>
          </w:p>
        </w:tc>
        <w:tc>
          <w:tcPr>
            <w:tcW w:w="877" w:type="dxa"/>
          </w:tcPr>
          <w:p w14:paraId="364EF806"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c>
          <w:tcPr>
            <w:tcW w:w="877" w:type="dxa"/>
          </w:tcPr>
          <w:p w14:paraId="0E8DBCD3"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r>
      <w:tr w:rsidR="001A230F" w:rsidRPr="00E238EB" w14:paraId="081956DB" w14:textId="77777777" w:rsidTr="006D4AC3">
        <w:tc>
          <w:tcPr>
            <w:tcW w:w="2593" w:type="dxa"/>
          </w:tcPr>
          <w:p w14:paraId="6291B37D" w14:textId="77777777" w:rsidR="001A230F" w:rsidRPr="006D4AC3" w:rsidRDefault="001A230F" w:rsidP="006D4AC3">
            <w:pPr>
              <w:widowControl w:val="0"/>
              <w:autoSpaceDE w:val="0"/>
              <w:autoSpaceDN w:val="0"/>
              <w:adjustRightInd w:val="0"/>
              <w:jc w:val="both"/>
              <w:rPr>
                <w:color w:val="000000"/>
                <w:sz w:val="22"/>
                <w:szCs w:val="22"/>
                <w:lang w:val="lt-LT" w:eastAsia="el-GR"/>
              </w:rPr>
            </w:pPr>
            <w:r w:rsidRPr="00E238EB">
              <w:rPr>
                <w:rFonts w:eastAsia="Calibri"/>
                <w:sz w:val="22"/>
                <w:szCs w:val="22"/>
              </w:rPr>
              <w:t>Padidėjęs ALT aktyvumas</w:t>
            </w:r>
          </w:p>
        </w:tc>
        <w:tc>
          <w:tcPr>
            <w:tcW w:w="1286" w:type="dxa"/>
          </w:tcPr>
          <w:p w14:paraId="0A9FA23F"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58</w:t>
            </w:r>
            <w:r>
              <w:rPr>
                <w:color w:val="000000"/>
                <w:sz w:val="22"/>
                <w:szCs w:val="22"/>
                <w:lang w:val="lt-LT" w:eastAsia="el-GR"/>
              </w:rPr>
              <w:t>,</w:t>
            </w:r>
            <w:r w:rsidRPr="006D4AC3">
              <w:rPr>
                <w:color w:val="000000"/>
                <w:sz w:val="22"/>
                <w:szCs w:val="22"/>
                <w:lang w:val="lt-LT" w:eastAsia="el-GR"/>
              </w:rPr>
              <w:t>9</w:t>
            </w:r>
          </w:p>
        </w:tc>
        <w:tc>
          <w:tcPr>
            <w:tcW w:w="877" w:type="dxa"/>
          </w:tcPr>
          <w:p w14:paraId="29200A94"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3</w:t>
            </w:r>
            <w:r>
              <w:rPr>
                <w:color w:val="000000"/>
                <w:sz w:val="22"/>
                <w:szCs w:val="22"/>
                <w:lang w:val="lt-LT" w:eastAsia="el-GR"/>
              </w:rPr>
              <w:t>,</w:t>
            </w:r>
            <w:r w:rsidRPr="006D4AC3">
              <w:rPr>
                <w:color w:val="000000"/>
                <w:sz w:val="22"/>
                <w:szCs w:val="22"/>
                <w:lang w:val="lt-LT" w:eastAsia="el-GR"/>
              </w:rPr>
              <w:t>4</w:t>
            </w:r>
          </w:p>
        </w:tc>
        <w:tc>
          <w:tcPr>
            <w:tcW w:w="877" w:type="dxa"/>
          </w:tcPr>
          <w:p w14:paraId="4D429260"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w:t>
            </w:r>
            <w:r>
              <w:rPr>
                <w:color w:val="000000"/>
                <w:sz w:val="22"/>
                <w:szCs w:val="22"/>
                <w:lang w:val="lt-LT" w:eastAsia="el-GR"/>
              </w:rPr>
              <w:t>,</w:t>
            </w:r>
            <w:r w:rsidRPr="006D4AC3">
              <w:rPr>
                <w:color w:val="000000"/>
                <w:sz w:val="22"/>
                <w:szCs w:val="22"/>
                <w:lang w:val="lt-LT" w:eastAsia="el-GR"/>
              </w:rPr>
              <w:t>0</w:t>
            </w:r>
          </w:p>
        </w:tc>
        <w:tc>
          <w:tcPr>
            <w:tcW w:w="1141" w:type="dxa"/>
          </w:tcPr>
          <w:p w14:paraId="0DF65913"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24</w:t>
            </w:r>
            <w:r>
              <w:rPr>
                <w:color w:val="000000"/>
                <w:sz w:val="22"/>
                <w:szCs w:val="22"/>
                <w:lang w:val="lt-LT" w:eastAsia="el-GR"/>
              </w:rPr>
              <w:t>,</w:t>
            </w:r>
            <w:r w:rsidRPr="006D4AC3">
              <w:rPr>
                <w:color w:val="000000"/>
                <w:sz w:val="22"/>
                <w:szCs w:val="22"/>
                <w:lang w:val="lt-LT" w:eastAsia="el-GR"/>
              </w:rPr>
              <w:t>4</w:t>
            </w:r>
          </w:p>
        </w:tc>
        <w:tc>
          <w:tcPr>
            <w:tcW w:w="877" w:type="dxa"/>
          </w:tcPr>
          <w:p w14:paraId="3EC3EC78"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c>
          <w:tcPr>
            <w:tcW w:w="877" w:type="dxa"/>
          </w:tcPr>
          <w:p w14:paraId="7D5384C4"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r>
      <w:tr w:rsidR="001A230F" w:rsidRPr="00E238EB" w14:paraId="34A09053" w14:textId="77777777" w:rsidTr="006D4AC3">
        <w:tc>
          <w:tcPr>
            <w:tcW w:w="2593" w:type="dxa"/>
          </w:tcPr>
          <w:p w14:paraId="4F25C894" w14:textId="77777777" w:rsidR="001A230F" w:rsidRPr="006D4AC3" w:rsidRDefault="001A230F" w:rsidP="006D4AC3">
            <w:pPr>
              <w:widowControl w:val="0"/>
              <w:autoSpaceDE w:val="0"/>
              <w:autoSpaceDN w:val="0"/>
              <w:adjustRightInd w:val="0"/>
              <w:jc w:val="both"/>
              <w:rPr>
                <w:color w:val="000000"/>
                <w:sz w:val="22"/>
                <w:szCs w:val="22"/>
                <w:lang w:val="lt-LT" w:eastAsia="el-GR"/>
              </w:rPr>
            </w:pPr>
            <w:r w:rsidRPr="00E238EB">
              <w:rPr>
                <w:rFonts w:eastAsia="Calibri"/>
                <w:sz w:val="22"/>
                <w:szCs w:val="22"/>
              </w:rPr>
              <w:t>Padidėjęs A</w:t>
            </w:r>
            <w:r>
              <w:rPr>
                <w:rFonts w:eastAsia="Calibri"/>
                <w:sz w:val="22"/>
                <w:szCs w:val="22"/>
              </w:rPr>
              <w:t>S</w:t>
            </w:r>
            <w:r w:rsidRPr="00E238EB">
              <w:rPr>
                <w:rFonts w:eastAsia="Calibri"/>
                <w:sz w:val="22"/>
                <w:szCs w:val="22"/>
              </w:rPr>
              <w:t>T aktyvumas</w:t>
            </w:r>
          </w:p>
        </w:tc>
        <w:tc>
          <w:tcPr>
            <w:tcW w:w="1286" w:type="dxa"/>
          </w:tcPr>
          <w:p w14:paraId="778CB85E"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53</w:t>
            </w:r>
            <w:r>
              <w:rPr>
                <w:color w:val="000000"/>
                <w:sz w:val="22"/>
                <w:szCs w:val="22"/>
                <w:lang w:val="lt-LT" w:eastAsia="el-GR"/>
              </w:rPr>
              <w:t>,</w:t>
            </w:r>
            <w:r w:rsidRPr="006D4AC3">
              <w:rPr>
                <w:color w:val="000000"/>
                <w:sz w:val="22"/>
                <w:szCs w:val="22"/>
                <w:lang w:val="lt-LT" w:eastAsia="el-GR"/>
              </w:rPr>
              <w:t>6</w:t>
            </w:r>
          </w:p>
        </w:tc>
        <w:tc>
          <w:tcPr>
            <w:tcW w:w="877" w:type="dxa"/>
          </w:tcPr>
          <w:p w14:paraId="6C89EFD9"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w:t>
            </w:r>
            <w:r>
              <w:rPr>
                <w:color w:val="000000"/>
                <w:sz w:val="22"/>
                <w:szCs w:val="22"/>
                <w:lang w:val="lt-LT" w:eastAsia="el-GR"/>
              </w:rPr>
              <w:t>,</w:t>
            </w:r>
            <w:r w:rsidRPr="006D4AC3">
              <w:rPr>
                <w:color w:val="000000"/>
                <w:sz w:val="22"/>
                <w:szCs w:val="22"/>
                <w:lang w:val="lt-LT" w:eastAsia="el-GR"/>
              </w:rPr>
              <w:t>0</w:t>
            </w:r>
          </w:p>
        </w:tc>
        <w:tc>
          <w:tcPr>
            <w:tcW w:w="877" w:type="dxa"/>
          </w:tcPr>
          <w:p w14:paraId="02C341DC"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w:t>
            </w:r>
            <w:r>
              <w:rPr>
                <w:color w:val="000000"/>
                <w:sz w:val="22"/>
                <w:szCs w:val="22"/>
                <w:lang w:val="lt-LT" w:eastAsia="el-GR"/>
              </w:rPr>
              <w:t>,</w:t>
            </w:r>
            <w:r w:rsidRPr="006D4AC3">
              <w:rPr>
                <w:color w:val="000000"/>
                <w:sz w:val="22"/>
                <w:szCs w:val="22"/>
                <w:lang w:val="lt-LT" w:eastAsia="el-GR"/>
              </w:rPr>
              <w:t>0</w:t>
            </w:r>
          </w:p>
        </w:tc>
        <w:tc>
          <w:tcPr>
            <w:tcW w:w="1141" w:type="dxa"/>
          </w:tcPr>
          <w:p w14:paraId="17C2494D"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14</w:t>
            </w:r>
            <w:r>
              <w:rPr>
                <w:color w:val="000000"/>
                <w:sz w:val="22"/>
                <w:szCs w:val="22"/>
                <w:lang w:val="lt-LT" w:eastAsia="el-GR"/>
              </w:rPr>
              <w:t>,</w:t>
            </w:r>
            <w:r w:rsidRPr="006D4AC3">
              <w:rPr>
                <w:color w:val="000000"/>
                <w:sz w:val="22"/>
                <w:szCs w:val="22"/>
                <w:lang w:val="lt-LT" w:eastAsia="el-GR"/>
              </w:rPr>
              <w:t>8</w:t>
            </w:r>
          </w:p>
        </w:tc>
        <w:tc>
          <w:tcPr>
            <w:tcW w:w="877" w:type="dxa"/>
          </w:tcPr>
          <w:p w14:paraId="1382C12E"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c>
          <w:tcPr>
            <w:tcW w:w="877" w:type="dxa"/>
          </w:tcPr>
          <w:p w14:paraId="1A39C0A7"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r>
      <w:tr w:rsidR="001A230F" w:rsidRPr="00E238EB" w14:paraId="7E07348F" w14:textId="77777777" w:rsidTr="006D4AC3">
        <w:tc>
          <w:tcPr>
            <w:tcW w:w="8528" w:type="dxa"/>
            <w:gridSpan w:val="7"/>
          </w:tcPr>
          <w:p w14:paraId="0ECD88D6" w14:textId="77777777" w:rsidR="001A230F" w:rsidRPr="006D4AC3" w:rsidRDefault="001A230F" w:rsidP="006D4AC3">
            <w:pPr>
              <w:rPr>
                <w:color w:val="000000"/>
                <w:sz w:val="22"/>
                <w:szCs w:val="22"/>
                <w:lang w:val="lt-LT" w:eastAsia="el-GR"/>
              </w:rPr>
            </w:pPr>
            <w:r w:rsidRPr="00E238EB">
              <w:rPr>
                <w:rFonts w:eastAsia="Calibri"/>
                <w:sz w:val="22"/>
                <w:szCs w:val="22"/>
              </w:rPr>
              <w:t>Tyrimai</w:t>
            </w:r>
          </w:p>
        </w:tc>
      </w:tr>
      <w:tr w:rsidR="001A230F" w:rsidRPr="00E238EB" w14:paraId="025121D3" w14:textId="77777777" w:rsidTr="006D4AC3">
        <w:tc>
          <w:tcPr>
            <w:tcW w:w="2593" w:type="dxa"/>
          </w:tcPr>
          <w:p w14:paraId="75784257" w14:textId="77777777" w:rsidR="001A230F" w:rsidRPr="006D4AC3" w:rsidRDefault="001A230F" w:rsidP="006D4AC3">
            <w:pPr>
              <w:widowControl w:val="0"/>
              <w:autoSpaceDE w:val="0"/>
              <w:autoSpaceDN w:val="0"/>
              <w:adjustRightInd w:val="0"/>
              <w:rPr>
                <w:color w:val="000000"/>
                <w:sz w:val="22"/>
                <w:szCs w:val="22"/>
                <w:lang w:val="lt-LT" w:eastAsia="el-GR"/>
              </w:rPr>
            </w:pPr>
            <w:r w:rsidRPr="002D2F97">
              <w:rPr>
                <w:color w:val="000000"/>
                <w:sz w:val="22"/>
                <w:szCs w:val="22"/>
                <w:lang w:val="lt-LT" w:eastAsia="el-GR"/>
              </w:rPr>
              <w:t>Padidėjęs amilazės</w:t>
            </w:r>
            <w:r>
              <w:rPr>
                <w:color w:val="000000"/>
                <w:sz w:val="22"/>
                <w:szCs w:val="22"/>
                <w:lang w:val="lt-LT" w:eastAsia="el-GR"/>
              </w:rPr>
              <w:t xml:space="preserve"> </w:t>
            </w:r>
            <w:r w:rsidRPr="002D2F97">
              <w:rPr>
                <w:color w:val="000000"/>
                <w:sz w:val="22"/>
                <w:szCs w:val="22"/>
                <w:lang w:val="lt-LT" w:eastAsia="el-GR"/>
              </w:rPr>
              <w:t>aktyvumas</w:t>
            </w:r>
          </w:p>
        </w:tc>
        <w:tc>
          <w:tcPr>
            <w:tcW w:w="1286" w:type="dxa"/>
          </w:tcPr>
          <w:p w14:paraId="2195EF21" w14:textId="77777777" w:rsidR="001A230F" w:rsidRDefault="001A230F" w:rsidP="006D4AC3">
            <w:pPr>
              <w:widowControl w:val="0"/>
              <w:autoSpaceDE w:val="0"/>
              <w:autoSpaceDN w:val="0"/>
              <w:adjustRightInd w:val="0"/>
              <w:jc w:val="center"/>
              <w:rPr>
                <w:color w:val="000000"/>
                <w:sz w:val="22"/>
                <w:szCs w:val="22"/>
                <w:lang w:val="lt-LT" w:eastAsia="el-GR"/>
              </w:rPr>
            </w:pPr>
          </w:p>
          <w:p w14:paraId="100391A5"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12</w:t>
            </w:r>
            <w:r>
              <w:rPr>
                <w:color w:val="000000"/>
                <w:sz w:val="22"/>
                <w:szCs w:val="22"/>
                <w:lang w:val="lt-LT" w:eastAsia="el-GR"/>
              </w:rPr>
              <w:t>,</w:t>
            </w:r>
            <w:r w:rsidRPr="006D4AC3">
              <w:rPr>
                <w:color w:val="000000"/>
                <w:sz w:val="22"/>
                <w:szCs w:val="22"/>
                <w:lang w:val="lt-LT" w:eastAsia="el-GR"/>
              </w:rPr>
              <w:t>6</w:t>
            </w:r>
          </w:p>
        </w:tc>
        <w:tc>
          <w:tcPr>
            <w:tcW w:w="877" w:type="dxa"/>
          </w:tcPr>
          <w:p w14:paraId="73F71372" w14:textId="77777777" w:rsidR="001A230F" w:rsidRDefault="001A230F" w:rsidP="006D4AC3">
            <w:pPr>
              <w:widowControl w:val="0"/>
              <w:autoSpaceDE w:val="0"/>
              <w:autoSpaceDN w:val="0"/>
              <w:adjustRightInd w:val="0"/>
              <w:jc w:val="center"/>
              <w:rPr>
                <w:color w:val="000000"/>
                <w:sz w:val="22"/>
                <w:szCs w:val="22"/>
                <w:lang w:val="lt-LT" w:eastAsia="el-GR"/>
              </w:rPr>
            </w:pPr>
          </w:p>
          <w:p w14:paraId="68B1F891"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2</w:t>
            </w:r>
            <w:r>
              <w:rPr>
                <w:color w:val="000000"/>
                <w:sz w:val="22"/>
                <w:szCs w:val="22"/>
                <w:lang w:val="lt-LT" w:eastAsia="el-GR"/>
              </w:rPr>
              <w:t>,</w:t>
            </w:r>
            <w:r w:rsidRPr="006D4AC3">
              <w:rPr>
                <w:color w:val="000000"/>
                <w:sz w:val="22"/>
                <w:szCs w:val="22"/>
                <w:lang w:val="lt-LT" w:eastAsia="el-GR"/>
              </w:rPr>
              <w:t>4</w:t>
            </w:r>
          </w:p>
        </w:tc>
        <w:tc>
          <w:tcPr>
            <w:tcW w:w="877" w:type="dxa"/>
          </w:tcPr>
          <w:p w14:paraId="0E99D222" w14:textId="77777777" w:rsidR="001A230F" w:rsidRDefault="001A230F" w:rsidP="006D4AC3">
            <w:pPr>
              <w:widowControl w:val="0"/>
              <w:autoSpaceDE w:val="0"/>
              <w:autoSpaceDN w:val="0"/>
              <w:adjustRightInd w:val="0"/>
              <w:jc w:val="center"/>
              <w:rPr>
                <w:color w:val="000000"/>
                <w:sz w:val="22"/>
                <w:szCs w:val="22"/>
                <w:lang w:val="lt-LT" w:eastAsia="el-GR"/>
              </w:rPr>
            </w:pPr>
          </w:p>
          <w:p w14:paraId="3E1F14B4"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w:t>
            </w:r>
            <w:r>
              <w:rPr>
                <w:color w:val="000000"/>
                <w:sz w:val="22"/>
                <w:szCs w:val="22"/>
                <w:lang w:val="lt-LT" w:eastAsia="el-GR"/>
              </w:rPr>
              <w:t>,</w:t>
            </w:r>
            <w:r w:rsidRPr="006D4AC3">
              <w:rPr>
                <w:color w:val="000000"/>
                <w:sz w:val="22"/>
                <w:szCs w:val="22"/>
                <w:lang w:val="lt-LT" w:eastAsia="el-GR"/>
              </w:rPr>
              <w:t>4</w:t>
            </w:r>
          </w:p>
        </w:tc>
        <w:tc>
          <w:tcPr>
            <w:tcW w:w="1141" w:type="dxa"/>
          </w:tcPr>
          <w:p w14:paraId="496A19A1" w14:textId="77777777" w:rsidR="001A230F" w:rsidRDefault="001A230F" w:rsidP="006D4AC3">
            <w:pPr>
              <w:widowControl w:val="0"/>
              <w:autoSpaceDE w:val="0"/>
              <w:autoSpaceDN w:val="0"/>
              <w:adjustRightInd w:val="0"/>
              <w:jc w:val="center"/>
              <w:rPr>
                <w:color w:val="000000"/>
                <w:sz w:val="22"/>
                <w:szCs w:val="22"/>
                <w:lang w:val="lt-LT" w:eastAsia="el-GR"/>
              </w:rPr>
            </w:pPr>
          </w:p>
          <w:p w14:paraId="0665FFF9"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6</w:t>
            </w:r>
            <w:r>
              <w:rPr>
                <w:color w:val="000000"/>
                <w:sz w:val="22"/>
                <w:szCs w:val="22"/>
                <w:lang w:val="lt-LT" w:eastAsia="el-GR"/>
              </w:rPr>
              <w:t>,</w:t>
            </w:r>
            <w:r w:rsidRPr="006D4AC3">
              <w:rPr>
                <w:color w:val="000000"/>
                <w:sz w:val="22"/>
                <w:szCs w:val="22"/>
                <w:lang w:val="lt-LT" w:eastAsia="el-GR"/>
              </w:rPr>
              <w:t>2</w:t>
            </w:r>
          </w:p>
        </w:tc>
        <w:tc>
          <w:tcPr>
            <w:tcW w:w="877" w:type="dxa"/>
          </w:tcPr>
          <w:p w14:paraId="121995B4" w14:textId="77777777" w:rsidR="001A230F" w:rsidRDefault="001A230F" w:rsidP="006D4AC3">
            <w:pPr>
              <w:widowControl w:val="0"/>
              <w:autoSpaceDE w:val="0"/>
              <w:autoSpaceDN w:val="0"/>
              <w:adjustRightInd w:val="0"/>
              <w:jc w:val="center"/>
              <w:rPr>
                <w:color w:val="000000"/>
                <w:sz w:val="22"/>
                <w:szCs w:val="22"/>
                <w:lang w:val="lt-LT" w:eastAsia="el-GR"/>
              </w:rPr>
            </w:pPr>
          </w:p>
          <w:p w14:paraId="7A90CE3D"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c>
          <w:tcPr>
            <w:tcW w:w="877" w:type="dxa"/>
          </w:tcPr>
          <w:p w14:paraId="2044EEAD" w14:textId="77777777" w:rsidR="001A230F" w:rsidRDefault="001A230F" w:rsidP="006D4AC3">
            <w:pPr>
              <w:widowControl w:val="0"/>
              <w:autoSpaceDE w:val="0"/>
              <w:autoSpaceDN w:val="0"/>
              <w:adjustRightInd w:val="0"/>
              <w:jc w:val="center"/>
              <w:rPr>
                <w:color w:val="000000"/>
                <w:sz w:val="22"/>
                <w:szCs w:val="22"/>
                <w:lang w:val="lt-LT" w:eastAsia="el-GR"/>
              </w:rPr>
            </w:pPr>
          </w:p>
          <w:p w14:paraId="0F8527B6"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w:t>
            </w:r>
            <w:r>
              <w:rPr>
                <w:color w:val="000000"/>
                <w:sz w:val="22"/>
                <w:szCs w:val="22"/>
                <w:lang w:val="lt-LT" w:eastAsia="el-GR"/>
              </w:rPr>
              <w:t>,</w:t>
            </w:r>
            <w:r w:rsidRPr="006D4AC3">
              <w:rPr>
                <w:color w:val="000000"/>
                <w:sz w:val="22"/>
                <w:szCs w:val="22"/>
                <w:lang w:val="lt-LT" w:eastAsia="el-GR"/>
              </w:rPr>
              <w:t>0</w:t>
            </w:r>
          </w:p>
        </w:tc>
      </w:tr>
      <w:tr w:rsidR="001A230F" w:rsidRPr="00E238EB" w14:paraId="3C55E25D" w14:textId="77777777" w:rsidTr="006D4AC3">
        <w:tc>
          <w:tcPr>
            <w:tcW w:w="2593" w:type="dxa"/>
          </w:tcPr>
          <w:p w14:paraId="7D8B51AC" w14:textId="77777777" w:rsidR="001A230F" w:rsidRPr="006D4AC3" w:rsidRDefault="001A230F" w:rsidP="006D4AC3">
            <w:pPr>
              <w:widowControl w:val="0"/>
              <w:autoSpaceDE w:val="0"/>
              <w:autoSpaceDN w:val="0"/>
              <w:adjustRightInd w:val="0"/>
              <w:rPr>
                <w:color w:val="000000"/>
                <w:sz w:val="22"/>
                <w:szCs w:val="22"/>
                <w:lang w:val="lt-LT" w:eastAsia="el-GR"/>
              </w:rPr>
            </w:pPr>
            <w:r w:rsidRPr="00E238EB">
              <w:rPr>
                <w:rFonts w:eastAsia="Calibri"/>
                <w:sz w:val="22"/>
                <w:szCs w:val="22"/>
              </w:rPr>
              <w:t>Padidėjęs lipazės aktyvumas</w:t>
            </w:r>
          </w:p>
        </w:tc>
        <w:tc>
          <w:tcPr>
            <w:tcW w:w="1286" w:type="dxa"/>
          </w:tcPr>
          <w:p w14:paraId="64C93243" w14:textId="77777777" w:rsidR="001A230F" w:rsidRDefault="001A230F" w:rsidP="006D4AC3">
            <w:pPr>
              <w:widowControl w:val="0"/>
              <w:autoSpaceDE w:val="0"/>
              <w:autoSpaceDN w:val="0"/>
              <w:adjustRightInd w:val="0"/>
              <w:jc w:val="center"/>
              <w:rPr>
                <w:color w:val="000000"/>
                <w:sz w:val="22"/>
                <w:szCs w:val="22"/>
                <w:lang w:val="lt-LT" w:eastAsia="el-GR"/>
              </w:rPr>
            </w:pPr>
          </w:p>
          <w:p w14:paraId="159A3226"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11</w:t>
            </w:r>
            <w:r>
              <w:rPr>
                <w:color w:val="000000"/>
                <w:sz w:val="22"/>
                <w:szCs w:val="22"/>
                <w:lang w:val="lt-LT" w:eastAsia="el-GR"/>
              </w:rPr>
              <w:t>,</w:t>
            </w:r>
            <w:r w:rsidRPr="006D4AC3">
              <w:rPr>
                <w:color w:val="000000"/>
                <w:sz w:val="22"/>
                <w:szCs w:val="22"/>
                <w:lang w:val="lt-LT" w:eastAsia="el-GR"/>
              </w:rPr>
              <w:t>1</w:t>
            </w:r>
          </w:p>
        </w:tc>
        <w:tc>
          <w:tcPr>
            <w:tcW w:w="877" w:type="dxa"/>
          </w:tcPr>
          <w:p w14:paraId="57828E4E" w14:textId="77777777" w:rsidR="001A230F" w:rsidRDefault="001A230F" w:rsidP="006D4AC3">
            <w:pPr>
              <w:widowControl w:val="0"/>
              <w:autoSpaceDE w:val="0"/>
              <w:autoSpaceDN w:val="0"/>
              <w:adjustRightInd w:val="0"/>
              <w:jc w:val="center"/>
              <w:rPr>
                <w:color w:val="000000"/>
                <w:sz w:val="22"/>
                <w:szCs w:val="22"/>
                <w:lang w:val="lt-LT" w:eastAsia="el-GR"/>
              </w:rPr>
            </w:pPr>
          </w:p>
          <w:p w14:paraId="469A3082"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2</w:t>
            </w:r>
            <w:r>
              <w:rPr>
                <w:color w:val="000000"/>
                <w:sz w:val="22"/>
                <w:szCs w:val="22"/>
                <w:lang w:val="lt-LT" w:eastAsia="el-GR"/>
              </w:rPr>
              <w:t>,</w:t>
            </w:r>
            <w:r w:rsidRPr="006D4AC3">
              <w:rPr>
                <w:color w:val="000000"/>
                <w:sz w:val="22"/>
                <w:szCs w:val="22"/>
                <w:lang w:val="lt-LT" w:eastAsia="el-GR"/>
              </w:rPr>
              <w:t>4</w:t>
            </w:r>
          </w:p>
        </w:tc>
        <w:tc>
          <w:tcPr>
            <w:tcW w:w="877" w:type="dxa"/>
          </w:tcPr>
          <w:p w14:paraId="2443D3D4" w14:textId="77777777" w:rsidR="001A230F" w:rsidRDefault="001A230F" w:rsidP="006D4AC3">
            <w:pPr>
              <w:widowControl w:val="0"/>
              <w:autoSpaceDE w:val="0"/>
              <w:autoSpaceDN w:val="0"/>
              <w:adjustRightInd w:val="0"/>
              <w:jc w:val="center"/>
              <w:rPr>
                <w:color w:val="000000"/>
                <w:sz w:val="22"/>
                <w:szCs w:val="22"/>
                <w:lang w:val="lt-LT" w:eastAsia="el-GR"/>
              </w:rPr>
            </w:pPr>
          </w:p>
          <w:p w14:paraId="5922355F"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c>
          <w:tcPr>
            <w:tcW w:w="1141" w:type="dxa"/>
          </w:tcPr>
          <w:p w14:paraId="106650AF" w14:textId="77777777" w:rsidR="001A230F" w:rsidRDefault="001A230F" w:rsidP="006D4AC3">
            <w:pPr>
              <w:widowControl w:val="0"/>
              <w:autoSpaceDE w:val="0"/>
              <w:autoSpaceDN w:val="0"/>
              <w:adjustRightInd w:val="0"/>
              <w:jc w:val="center"/>
              <w:rPr>
                <w:color w:val="000000"/>
                <w:sz w:val="22"/>
                <w:szCs w:val="22"/>
                <w:lang w:val="lt-LT" w:eastAsia="el-GR"/>
              </w:rPr>
            </w:pPr>
          </w:p>
          <w:p w14:paraId="403214E1"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2</w:t>
            </w:r>
            <w:r>
              <w:rPr>
                <w:color w:val="000000"/>
                <w:sz w:val="22"/>
                <w:szCs w:val="22"/>
                <w:lang w:val="lt-LT" w:eastAsia="el-GR"/>
              </w:rPr>
              <w:t>,</w:t>
            </w:r>
            <w:r w:rsidRPr="006D4AC3">
              <w:rPr>
                <w:color w:val="000000"/>
                <w:sz w:val="22"/>
                <w:szCs w:val="22"/>
                <w:lang w:val="lt-LT" w:eastAsia="el-GR"/>
              </w:rPr>
              <w:t>9</w:t>
            </w:r>
          </w:p>
        </w:tc>
        <w:tc>
          <w:tcPr>
            <w:tcW w:w="877" w:type="dxa"/>
          </w:tcPr>
          <w:p w14:paraId="5C57C444" w14:textId="77777777" w:rsidR="001A230F" w:rsidRDefault="001A230F" w:rsidP="006D4AC3">
            <w:pPr>
              <w:widowControl w:val="0"/>
              <w:autoSpaceDE w:val="0"/>
              <w:autoSpaceDN w:val="0"/>
              <w:adjustRightInd w:val="0"/>
              <w:jc w:val="center"/>
              <w:rPr>
                <w:color w:val="000000"/>
                <w:sz w:val="22"/>
                <w:szCs w:val="22"/>
                <w:lang w:val="lt-LT" w:eastAsia="el-GR"/>
              </w:rPr>
            </w:pPr>
          </w:p>
          <w:p w14:paraId="2E115E50"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r>
              <w:rPr>
                <w:color w:val="000000"/>
                <w:sz w:val="22"/>
                <w:szCs w:val="22"/>
                <w:lang w:val="lt-LT" w:eastAsia="el-GR"/>
              </w:rPr>
              <w:t>,</w:t>
            </w:r>
            <w:r w:rsidRPr="006D4AC3">
              <w:rPr>
                <w:color w:val="000000"/>
                <w:sz w:val="22"/>
                <w:szCs w:val="22"/>
                <w:lang w:val="lt-LT" w:eastAsia="el-GR"/>
              </w:rPr>
              <w:t>5</w:t>
            </w:r>
          </w:p>
        </w:tc>
        <w:tc>
          <w:tcPr>
            <w:tcW w:w="877" w:type="dxa"/>
          </w:tcPr>
          <w:p w14:paraId="6B5BF555" w14:textId="77777777" w:rsidR="001A230F" w:rsidRDefault="001A230F" w:rsidP="006D4AC3">
            <w:pPr>
              <w:widowControl w:val="0"/>
              <w:autoSpaceDE w:val="0"/>
              <w:autoSpaceDN w:val="0"/>
              <w:adjustRightInd w:val="0"/>
              <w:jc w:val="center"/>
              <w:rPr>
                <w:color w:val="000000"/>
                <w:sz w:val="22"/>
                <w:szCs w:val="22"/>
                <w:lang w:val="lt-LT" w:eastAsia="el-GR"/>
              </w:rPr>
            </w:pPr>
          </w:p>
          <w:p w14:paraId="41DFA8A7" w14:textId="77777777" w:rsidR="001A230F" w:rsidRPr="006D4AC3" w:rsidRDefault="001A230F" w:rsidP="006D4AC3">
            <w:pPr>
              <w:widowControl w:val="0"/>
              <w:autoSpaceDE w:val="0"/>
              <w:autoSpaceDN w:val="0"/>
              <w:adjustRightInd w:val="0"/>
              <w:jc w:val="center"/>
              <w:rPr>
                <w:color w:val="000000"/>
                <w:sz w:val="22"/>
                <w:szCs w:val="22"/>
                <w:lang w:val="lt-LT" w:eastAsia="el-GR"/>
              </w:rPr>
            </w:pPr>
            <w:r w:rsidRPr="006D4AC3">
              <w:rPr>
                <w:color w:val="000000"/>
                <w:sz w:val="22"/>
                <w:szCs w:val="22"/>
                <w:lang w:val="lt-LT" w:eastAsia="el-GR"/>
              </w:rPr>
              <w:t>0</w:t>
            </w:r>
          </w:p>
        </w:tc>
      </w:tr>
    </w:tbl>
    <w:p w14:paraId="45D9DF81" w14:textId="77777777" w:rsidR="001A230F" w:rsidRPr="00E238EB" w:rsidRDefault="001A230F" w:rsidP="001A230F">
      <w:pPr>
        <w:rPr>
          <w:rFonts w:eastAsia="Calibri"/>
          <w:sz w:val="22"/>
          <w:szCs w:val="22"/>
        </w:rPr>
      </w:pPr>
      <w:r w:rsidRPr="00E238EB">
        <w:rPr>
          <w:rFonts w:eastAsia="Calibri"/>
          <w:sz w:val="22"/>
          <w:szCs w:val="22"/>
        </w:rPr>
        <w:t xml:space="preserve">* Bendrieji nepageidaujamų reiškinių terminijos kriterijai (angl. </w:t>
      </w:r>
      <w:r w:rsidRPr="00E71EED">
        <w:rPr>
          <w:rFonts w:eastAsia="Calibri"/>
          <w:i/>
          <w:iCs/>
          <w:sz w:val="22"/>
          <w:szCs w:val="22"/>
        </w:rPr>
        <w:t>Common Terminology Criteria for Adverse Events</w:t>
      </w:r>
      <w:r w:rsidRPr="00E238EB">
        <w:rPr>
          <w:rFonts w:eastAsia="Calibri"/>
          <w:sz w:val="22"/>
          <w:szCs w:val="22"/>
        </w:rPr>
        <w:t>, CTCAE), 3.0 versija</w:t>
      </w:r>
      <w:r>
        <w:rPr>
          <w:rFonts w:eastAsia="Calibri"/>
          <w:sz w:val="22"/>
          <w:szCs w:val="22"/>
        </w:rPr>
        <w:t>.</w:t>
      </w:r>
    </w:p>
    <w:p w14:paraId="526029E9" w14:textId="77777777" w:rsidR="001A230F" w:rsidRPr="00E238EB" w:rsidRDefault="001A230F" w:rsidP="001A230F">
      <w:pPr>
        <w:rPr>
          <w:rFonts w:eastAsia="Calibri"/>
          <w:sz w:val="22"/>
          <w:szCs w:val="22"/>
        </w:rPr>
      </w:pPr>
      <w:r w:rsidRPr="00E238EB">
        <w:rPr>
          <w:rFonts w:eastAsia="Calibri"/>
          <w:sz w:val="22"/>
          <w:szCs w:val="22"/>
        </w:rPr>
        <w:t>** Su sorafenibu susijusios hipofosfatemijos etiologija nežinoma.</w:t>
      </w:r>
    </w:p>
    <w:p w14:paraId="60BD0D53" w14:textId="77777777" w:rsidR="00EF20DC" w:rsidRPr="00EF20DC" w:rsidRDefault="00EF20DC" w:rsidP="001F1094">
      <w:pPr>
        <w:rPr>
          <w:rFonts w:eastAsia="Calibri"/>
          <w:sz w:val="22"/>
          <w:szCs w:val="22"/>
        </w:rPr>
      </w:pPr>
    </w:p>
    <w:p w14:paraId="282B3896" w14:textId="77777777" w:rsidR="00CF26D8" w:rsidRDefault="00EF20DC" w:rsidP="001F1094">
      <w:pPr>
        <w:rPr>
          <w:rFonts w:eastAsia="Calibri"/>
          <w:sz w:val="22"/>
          <w:szCs w:val="22"/>
          <w:u w:val="single"/>
        </w:rPr>
      </w:pPr>
      <w:r w:rsidRPr="00EF20DC">
        <w:rPr>
          <w:rFonts w:eastAsia="Calibri"/>
          <w:sz w:val="22"/>
          <w:szCs w:val="22"/>
          <w:u w:val="single"/>
        </w:rPr>
        <w:t>Pranešimas apie įtariamas nepageidaujamas reakcijas</w:t>
      </w:r>
    </w:p>
    <w:p w14:paraId="1D2688F8" w14:textId="11C4FF48" w:rsidR="00CF26D8" w:rsidRPr="00E959B3" w:rsidRDefault="00CF26D8" w:rsidP="00CF26D8">
      <w:pPr>
        <w:tabs>
          <w:tab w:val="left" w:pos="567"/>
        </w:tabs>
        <w:autoSpaceDE w:val="0"/>
        <w:autoSpaceDN w:val="0"/>
        <w:adjustRightInd w:val="0"/>
        <w:spacing w:line="260" w:lineRule="exact"/>
        <w:jc w:val="both"/>
        <w:rPr>
          <w:noProof/>
          <w:snapToGrid w:val="0"/>
          <w:sz w:val="22"/>
        </w:rPr>
      </w:pPr>
      <w:r w:rsidRPr="0003507D">
        <w:rPr>
          <w:noProof/>
          <w:snapToGrid w:val="0"/>
          <w:sz w:val="22"/>
        </w:rPr>
        <w:t>Svarbu pranešti apie įtariamas nepageidaujamas reakcijas, pastebėtas po vaistinio preparato registracijos, nes tai leidžia nuolat stebėti vaistinio preparato naudos ir rizikos santykį.</w:t>
      </w:r>
      <w:r w:rsidRPr="0003507D">
        <w:rPr>
          <w:snapToGrid w:val="0"/>
          <w:sz w:val="22"/>
        </w:rPr>
        <w:t xml:space="preserve"> </w:t>
      </w:r>
      <w:r w:rsidRPr="0003507D">
        <w:rPr>
          <w:noProof/>
          <w:snapToGrid w:val="0"/>
          <w:sz w:val="22"/>
        </w:rPr>
        <w:t xml:space="preserve">Sveikatos priežiūros ar farmacijos specialistai turi pranešti apie bet kokias įtariamas nepageidaujamas reakcijas, užpildę </w:t>
      </w:r>
      <w:r w:rsidR="007015F1">
        <w:rPr>
          <w:noProof/>
          <w:snapToGrid w:val="0"/>
          <w:sz w:val="22"/>
        </w:rPr>
        <w:t xml:space="preserve">ir pateikę </w:t>
      </w:r>
      <w:r w:rsidRPr="0003507D">
        <w:rPr>
          <w:noProof/>
          <w:snapToGrid w:val="0"/>
          <w:sz w:val="22"/>
        </w:rPr>
        <w:t xml:space="preserve">pranešimo formą </w:t>
      </w:r>
      <w:hyperlink r:id="rId8" w:history="1">
        <w:r w:rsidR="007015F1" w:rsidRPr="00560BAB">
          <w:rPr>
            <w:rStyle w:val="Hipersaitas"/>
            <w:noProof/>
            <w:snapToGrid w:val="0"/>
            <w:sz w:val="22"/>
          </w:rPr>
          <w:t>Valstybinės</w:t>
        </w:r>
      </w:hyperlink>
      <w:r w:rsidR="007015F1">
        <w:rPr>
          <w:noProof/>
          <w:snapToGrid w:val="0"/>
          <w:sz w:val="22"/>
        </w:rPr>
        <w:t xml:space="preserve"> vaistų kontrolės tarnybos prie Lietuvos Respublikos sveikatos apsaugos ministerijos tinklalapyje https://vvkt.lrv.lt/lt nurodytais būdais. </w:t>
      </w:r>
    </w:p>
    <w:p w14:paraId="6A614797" w14:textId="77777777" w:rsidR="00CF26D8" w:rsidRPr="00AF569D" w:rsidRDefault="00CF26D8" w:rsidP="00CF26D8">
      <w:pPr>
        <w:rPr>
          <w:sz w:val="22"/>
        </w:rPr>
      </w:pPr>
    </w:p>
    <w:p w14:paraId="4FB51ABE" w14:textId="7917FBFE" w:rsidR="00EF20DC" w:rsidRPr="00EF20DC" w:rsidRDefault="00EF20DC" w:rsidP="001F1094">
      <w:pPr>
        <w:rPr>
          <w:rFonts w:eastAsia="Calibri"/>
          <w:sz w:val="22"/>
          <w:szCs w:val="22"/>
          <w:u w:val="single"/>
        </w:rPr>
      </w:pPr>
      <w:r w:rsidRPr="00EF20DC">
        <w:rPr>
          <w:rFonts w:eastAsia="Calibri"/>
          <w:sz w:val="22"/>
          <w:szCs w:val="22"/>
          <w:u w:val="single"/>
        </w:rPr>
        <w:t xml:space="preserve"> </w:t>
      </w:r>
    </w:p>
    <w:p w14:paraId="43E60AFD" w14:textId="77777777" w:rsidR="00EF20DC" w:rsidRPr="00EF20DC" w:rsidRDefault="00EF20DC" w:rsidP="001F1094">
      <w:pPr>
        <w:ind w:left="567" w:hanging="567"/>
        <w:rPr>
          <w:rFonts w:eastAsia="SimSun"/>
          <w:b/>
          <w:sz w:val="22"/>
          <w:szCs w:val="20"/>
        </w:rPr>
      </w:pPr>
      <w:r w:rsidRPr="00EF20DC">
        <w:rPr>
          <w:rFonts w:eastAsia="SimSun"/>
          <w:b/>
          <w:sz w:val="22"/>
          <w:szCs w:val="20"/>
        </w:rPr>
        <w:lastRenderedPageBreak/>
        <w:t>4.9</w:t>
      </w:r>
      <w:r w:rsidRPr="00EF20DC">
        <w:rPr>
          <w:rFonts w:eastAsia="SimSun"/>
          <w:b/>
          <w:sz w:val="22"/>
          <w:szCs w:val="20"/>
        </w:rPr>
        <w:tab/>
        <w:t>Perdozavimas</w:t>
      </w:r>
    </w:p>
    <w:p w14:paraId="6B4061C7" w14:textId="77777777" w:rsidR="00EF20DC" w:rsidRPr="00EF20DC" w:rsidRDefault="00EF20DC" w:rsidP="001F1094">
      <w:pPr>
        <w:rPr>
          <w:rFonts w:eastAsia="Calibri"/>
          <w:sz w:val="22"/>
          <w:szCs w:val="22"/>
        </w:rPr>
      </w:pPr>
    </w:p>
    <w:p w14:paraId="1FF3EF47" w14:textId="09862083" w:rsidR="00EF20DC" w:rsidRPr="00EF20DC" w:rsidRDefault="00D81ED3" w:rsidP="001F1094">
      <w:pPr>
        <w:rPr>
          <w:rFonts w:eastAsia="Calibri"/>
          <w:sz w:val="22"/>
          <w:szCs w:val="22"/>
        </w:rPr>
      </w:pPr>
      <w:r>
        <w:rPr>
          <w:rFonts w:eastAsia="Calibri"/>
          <w:sz w:val="22"/>
          <w:szCs w:val="22"/>
        </w:rPr>
        <w:t xml:space="preserve">Perdozavus </w:t>
      </w:r>
      <w:r w:rsidRPr="00EF20DC">
        <w:rPr>
          <w:rFonts w:eastAsia="Calibri"/>
          <w:sz w:val="22"/>
          <w:szCs w:val="22"/>
        </w:rPr>
        <w:t xml:space="preserve">sorafenibo </w:t>
      </w:r>
      <w:r>
        <w:rPr>
          <w:rFonts w:eastAsia="Calibri"/>
          <w:sz w:val="22"/>
          <w:szCs w:val="22"/>
        </w:rPr>
        <w:t>s</w:t>
      </w:r>
      <w:r w:rsidR="00EF20DC" w:rsidRPr="00EF20DC">
        <w:rPr>
          <w:rFonts w:eastAsia="Calibri"/>
          <w:sz w:val="22"/>
          <w:szCs w:val="22"/>
        </w:rPr>
        <w:t xml:space="preserve">pecifinio </w:t>
      </w:r>
      <w:r w:rsidRPr="00EF20DC">
        <w:rPr>
          <w:rFonts w:eastAsia="Calibri"/>
          <w:sz w:val="22"/>
          <w:szCs w:val="22"/>
        </w:rPr>
        <w:t xml:space="preserve">gydymo </w:t>
      </w:r>
      <w:r w:rsidR="00EF20DC" w:rsidRPr="00EF20DC">
        <w:rPr>
          <w:rFonts w:eastAsia="Calibri"/>
          <w:sz w:val="22"/>
          <w:szCs w:val="22"/>
        </w:rPr>
        <w:t xml:space="preserve">nėra. Didžiausia klinikinių tyrimų metu tirta sorafenibo dozė buvo 800 mg 2 kartus per parą. Tokios dozės sukelti nepageidaujami reiškiniai pirmiausiai buvo viduriavimas ir odos </w:t>
      </w:r>
      <w:r w:rsidR="00EF20DC" w:rsidRPr="00672A1E">
        <w:rPr>
          <w:rFonts w:eastAsia="Calibri"/>
          <w:sz w:val="22"/>
          <w:szCs w:val="22"/>
        </w:rPr>
        <w:t>sutrikimai</w:t>
      </w:r>
      <w:r w:rsidR="00EF20DC" w:rsidRPr="00EF20DC">
        <w:rPr>
          <w:rFonts w:eastAsia="Calibri"/>
          <w:sz w:val="22"/>
          <w:szCs w:val="22"/>
        </w:rPr>
        <w:t xml:space="preserve">. Įtarus, kad perdozuota, sorafenibo vartojimą reikia </w:t>
      </w:r>
      <w:r w:rsidR="00600C38">
        <w:rPr>
          <w:rFonts w:eastAsia="Calibri"/>
          <w:sz w:val="22"/>
          <w:szCs w:val="22"/>
        </w:rPr>
        <w:t xml:space="preserve">laikinai </w:t>
      </w:r>
      <w:r w:rsidR="00EF20DC" w:rsidRPr="00EF20DC">
        <w:rPr>
          <w:rFonts w:eastAsia="Calibri"/>
          <w:sz w:val="22"/>
          <w:szCs w:val="22"/>
        </w:rPr>
        <w:t xml:space="preserve">nutraukti ir </w:t>
      </w:r>
      <w:r w:rsidR="00605DD7">
        <w:rPr>
          <w:rFonts w:eastAsia="Calibri"/>
          <w:sz w:val="22"/>
          <w:szCs w:val="22"/>
        </w:rPr>
        <w:t xml:space="preserve">prireikus </w:t>
      </w:r>
      <w:r w:rsidR="00EF20DC" w:rsidRPr="00EF20DC">
        <w:rPr>
          <w:rFonts w:eastAsia="Calibri"/>
          <w:sz w:val="22"/>
          <w:szCs w:val="22"/>
        </w:rPr>
        <w:t xml:space="preserve">pradėti palaikomąjį gydymą. </w:t>
      </w:r>
    </w:p>
    <w:p w14:paraId="6C2F447E" w14:textId="77777777" w:rsidR="00EF20DC" w:rsidRPr="00EF20DC" w:rsidRDefault="00EF20DC" w:rsidP="001F1094">
      <w:pPr>
        <w:rPr>
          <w:rFonts w:eastAsia="Calibri"/>
          <w:sz w:val="22"/>
          <w:szCs w:val="22"/>
        </w:rPr>
      </w:pPr>
    </w:p>
    <w:p w14:paraId="6C637D79" w14:textId="77777777" w:rsidR="00EF20DC" w:rsidRPr="00EF20DC" w:rsidRDefault="00EF20DC" w:rsidP="001F1094">
      <w:pPr>
        <w:rPr>
          <w:rFonts w:eastAsia="Calibri"/>
          <w:sz w:val="22"/>
          <w:szCs w:val="22"/>
        </w:rPr>
      </w:pPr>
    </w:p>
    <w:p w14:paraId="3FD173C8" w14:textId="77777777" w:rsidR="00EF20DC" w:rsidRPr="00EF20DC" w:rsidRDefault="00EF20DC" w:rsidP="001F1094">
      <w:pPr>
        <w:widowControl w:val="0"/>
        <w:tabs>
          <w:tab w:val="left" w:pos="567"/>
        </w:tabs>
        <w:autoSpaceDE w:val="0"/>
        <w:autoSpaceDN w:val="0"/>
        <w:adjustRightInd w:val="0"/>
        <w:rPr>
          <w:rFonts w:eastAsia="SimSun"/>
          <w:b/>
          <w:sz w:val="22"/>
          <w:szCs w:val="22"/>
          <w:lang w:eastAsia="zh-CN"/>
        </w:rPr>
      </w:pPr>
      <w:r w:rsidRPr="00EF20DC">
        <w:rPr>
          <w:rFonts w:eastAsia="SimSun"/>
          <w:b/>
          <w:sz w:val="22"/>
          <w:szCs w:val="22"/>
          <w:lang w:eastAsia="zh-CN"/>
        </w:rPr>
        <w:t>5.</w:t>
      </w:r>
      <w:r w:rsidRPr="00EF20DC">
        <w:rPr>
          <w:rFonts w:eastAsia="SimSun"/>
          <w:b/>
          <w:sz w:val="22"/>
          <w:szCs w:val="22"/>
          <w:lang w:eastAsia="zh-CN"/>
        </w:rPr>
        <w:tab/>
        <w:t>FARMAKOLOGINĖS SAVYBĖS</w:t>
      </w:r>
    </w:p>
    <w:p w14:paraId="61539DFD" w14:textId="77777777" w:rsidR="00EF20DC" w:rsidRPr="00EF20DC" w:rsidRDefault="00EF20DC" w:rsidP="001F1094">
      <w:pPr>
        <w:widowControl w:val="0"/>
        <w:tabs>
          <w:tab w:val="left" w:pos="567"/>
        </w:tabs>
        <w:autoSpaceDE w:val="0"/>
        <w:autoSpaceDN w:val="0"/>
        <w:adjustRightInd w:val="0"/>
        <w:rPr>
          <w:rFonts w:eastAsia="SimSun"/>
          <w:sz w:val="22"/>
          <w:szCs w:val="22"/>
          <w:lang w:eastAsia="zh-CN"/>
        </w:rPr>
      </w:pPr>
    </w:p>
    <w:p w14:paraId="5FE0E70C" w14:textId="77777777" w:rsidR="00EF20DC" w:rsidRPr="00EF20DC" w:rsidRDefault="00EF20DC" w:rsidP="001F1094">
      <w:pPr>
        <w:widowControl w:val="0"/>
        <w:tabs>
          <w:tab w:val="left" w:pos="567"/>
        </w:tabs>
        <w:autoSpaceDE w:val="0"/>
        <w:autoSpaceDN w:val="0"/>
        <w:adjustRightInd w:val="0"/>
        <w:rPr>
          <w:rFonts w:eastAsia="SimSun"/>
          <w:b/>
          <w:sz w:val="22"/>
          <w:szCs w:val="22"/>
          <w:lang w:eastAsia="zh-CN"/>
        </w:rPr>
      </w:pPr>
      <w:r w:rsidRPr="00EF20DC">
        <w:rPr>
          <w:rFonts w:eastAsia="SimSun"/>
          <w:b/>
          <w:sz w:val="22"/>
          <w:szCs w:val="22"/>
          <w:lang w:eastAsia="zh-CN"/>
        </w:rPr>
        <w:t>5.1</w:t>
      </w:r>
      <w:r w:rsidRPr="00EF20DC">
        <w:rPr>
          <w:rFonts w:eastAsia="SimSun"/>
          <w:b/>
          <w:sz w:val="22"/>
          <w:szCs w:val="22"/>
          <w:lang w:eastAsia="zh-CN"/>
        </w:rPr>
        <w:tab/>
        <w:t>Farmakodinaminės savybės</w:t>
      </w:r>
    </w:p>
    <w:p w14:paraId="520CA607" w14:textId="77777777" w:rsidR="00EF20DC" w:rsidRPr="00EF20DC" w:rsidRDefault="00EF20DC" w:rsidP="001F1094">
      <w:pPr>
        <w:rPr>
          <w:rFonts w:eastAsia="Calibri"/>
          <w:sz w:val="22"/>
          <w:szCs w:val="22"/>
        </w:rPr>
      </w:pPr>
    </w:p>
    <w:p w14:paraId="4A4A3F3F" w14:textId="0E50A822" w:rsidR="00EF20DC" w:rsidRPr="00EF20DC" w:rsidRDefault="00EF20DC" w:rsidP="001F1094">
      <w:pPr>
        <w:rPr>
          <w:rFonts w:eastAsia="Calibri"/>
          <w:sz w:val="22"/>
          <w:szCs w:val="22"/>
        </w:rPr>
      </w:pPr>
      <w:r w:rsidRPr="00EF20DC">
        <w:rPr>
          <w:rFonts w:eastAsia="Calibri"/>
          <w:sz w:val="22"/>
          <w:szCs w:val="22"/>
        </w:rPr>
        <w:t xml:space="preserve">Farmakoterapinė grupė – antinavikiniai </w:t>
      </w:r>
      <w:r w:rsidR="00605DD7">
        <w:rPr>
          <w:rFonts w:eastAsia="Calibri"/>
          <w:sz w:val="22"/>
          <w:szCs w:val="22"/>
        </w:rPr>
        <w:t xml:space="preserve">vaistiniai </w:t>
      </w:r>
      <w:r w:rsidRPr="00EF20DC">
        <w:rPr>
          <w:rFonts w:eastAsia="Calibri"/>
          <w:sz w:val="22"/>
          <w:szCs w:val="22"/>
        </w:rPr>
        <w:t>preparatai, proteinkinaz</w:t>
      </w:r>
      <w:r w:rsidR="00605DD7">
        <w:rPr>
          <w:rFonts w:eastAsia="Calibri"/>
          <w:sz w:val="22"/>
          <w:szCs w:val="22"/>
        </w:rPr>
        <w:t>ės</w:t>
      </w:r>
      <w:r w:rsidRPr="00EF20DC">
        <w:rPr>
          <w:rFonts w:eastAsia="Calibri"/>
          <w:sz w:val="22"/>
          <w:szCs w:val="22"/>
        </w:rPr>
        <w:t xml:space="preserve"> inhibitoriai, ATC kodas - L01</w:t>
      </w:r>
      <w:r w:rsidR="00291262">
        <w:rPr>
          <w:rFonts w:eastAsia="Calibri"/>
          <w:sz w:val="22"/>
          <w:szCs w:val="22"/>
        </w:rPr>
        <w:t>EX</w:t>
      </w:r>
      <w:r w:rsidRPr="00EF20DC">
        <w:rPr>
          <w:rFonts w:eastAsia="Calibri"/>
          <w:sz w:val="22"/>
          <w:szCs w:val="22"/>
        </w:rPr>
        <w:t>0</w:t>
      </w:r>
      <w:r w:rsidR="00291262">
        <w:rPr>
          <w:rFonts w:eastAsia="Calibri"/>
          <w:sz w:val="22"/>
          <w:szCs w:val="22"/>
        </w:rPr>
        <w:t>2</w:t>
      </w:r>
      <w:r w:rsidRPr="00EF20DC">
        <w:rPr>
          <w:rFonts w:eastAsia="Calibri"/>
          <w:sz w:val="22"/>
          <w:szCs w:val="22"/>
        </w:rPr>
        <w:t xml:space="preserve">. </w:t>
      </w:r>
    </w:p>
    <w:p w14:paraId="1D693286" w14:textId="77777777" w:rsidR="00EF20DC" w:rsidRPr="00EF20DC" w:rsidRDefault="00EF20DC" w:rsidP="001F1094">
      <w:pPr>
        <w:rPr>
          <w:rFonts w:eastAsia="Calibri"/>
          <w:sz w:val="22"/>
          <w:szCs w:val="22"/>
        </w:rPr>
      </w:pPr>
    </w:p>
    <w:p w14:paraId="67C401F7" w14:textId="77777777" w:rsidR="00EF20DC" w:rsidRPr="00EF20DC" w:rsidRDefault="00EF20DC" w:rsidP="001F1094">
      <w:pPr>
        <w:rPr>
          <w:rFonts w:eastAsia="Calibri"/>
          <w:sz w:val="22"/>
          <w:szCs w:val="22"/>
        </w:rPr>
      </w:pPr>
      <w:r w:rsidRPr="00EF20DC">
        <w:rPr>
          <w:rFonts w:eastAsia="Calibri"/>
          <w:sz w:val="22"/>
          <w:szCs w:val="22"/>
        </w:rPr>
        <w:t xml:space="preserve">Sorafenibas yra daugelio kinazių inhibitorius, kurio antiproliferacinės ir antiangiogeninės savybės įrodytos tyrimais </w:t>
      </w:r>
      <w:r w:rsidRPr="00EF20DC">
        <w:rPr>
          <w:rFonts w:eastAsia="Calibri"/>
          <w:i/>
          <w:sz w:val="22"/>
          <w:szCs w:val="22"/>
        </w:rPr>
        <w:t>in vitro</w:t>
      </w:r>
      <w:r w:rsidRPr="00EF20DC">
        <w:rPr>
          <w:rFonts w:eastAsia="Calibri"/>
          <w:sz w:val="22"/>
          <w:szCs w:val="22"/>
        </w:rPr>
        <w:t xml:space="preserve"> ir </w:t>
      </w:r>
      <w:r w:rsidRPr="00EF20DC">
        <w:rPr>
          <w:rFonts w:eastAsia="Calibri"/>
          <w:i/>
          <w:sz w:val="22"/>
          <w:szCs w:val="22"/>
        </w:rPr>
        <w:t>in vivo</w:t>
      </w:r>
      <w:r w:rsidRPr="00EF20DC">
        <w:rPr>
          <w:rFonts w:eastAsia="Calibri"/>
          <w:sz w:val="22"/>
          <w:szCs w:val="22"/>
        </w:rPr>
        <w:t xml:space="preserve">. </w:t>
      </w:r>
    </w:p>
    <w:p w14:paraId="658C3EEA" w14:textId="77777777" w:rsidR="00EF20DC" w:rsidRPr="00EF20DC" w:rsidRDefault="00EF20DC" w:rsidP="001F1094">
      <w:pPr>
        <w:rPr>
          <w:rFonts w:eastAsia="Calibri"/>
          <w:sz w:val="22"/>
          <w:szCs w:val="22"/>
        </w:rPr>
      </w:pPr>
    </w:p>
    <w:p w14:paraId="50567D36"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Veikimo mechanizmas ir farmakodinaminis poveikis </w:t>
      </w:r>
    </w:p>
    <w:p w14:paraId="210E512B" w14:textId="77777777" w:rsidR="00EF20DC" w:rsidRPr="00EF20DC" w:rsidRDefault="00EF20DC" w:rsidP="001F1094">
      <w:pPr>
        <w:rPr>
          <w:rFonts w:eastAsia="Calibri"/>
          <w:sz w:val="22"/>
          <w:szCs w:val="22"/>
        </w:rPr>
      </w:pPr>
      <w:r w:rsidRPr="00EF20DC">
        <w:rPr>
          <w:rFonts w:eastAsia="Calibri"/>
          <w:sz w:val="22"/>
          <w:szCs w:val="22"/>
        </w:rPr>
        <w:t xml:space="preserve">Sorafenibas yra daugelio kinazių inhibitorius, mažinantis naviko ląstelių proliferaciją </w:t>
      </w:r>
      <w:r w:rsidRPr="00EF20DC">
        <w:rPr>
          <w:rFonts w:eastAsia="Calibri"/>
          <w:i/>
          <w:sz w:val="22"/>
          <w:szCs w:val="22"/>
        </w:rPr>
        <w:t>in vitro</w:t>
      </w:r>
      <w:r w:rsidRPr="00EF20DC">
        <w:rPr>
          <w:rFonts w:eastAsia="Calibri"/>
          <w:sz w:val="22"/>
          <w:szCs w:val="22"/>
        </w:rPr>
        <w:t xml:space="preserve">. Pelėms, kurių užkrūčio liauka pašalinta, sorafenibas slopina daugelio įsodintų heterogeninių žmogaus navikų augimą mažindamas naviko angiogenezę. Sorafenibas slopina taikinių, esančių naviko ląstelėse (CRAF, BRAF, V600E BRAF, c-KIT ir FLT-3) ir jo kraujagyslėse (CRAF, VEGFR-2, VEGFR-3 ir PDGFR-β), aktyvumą. RAF kinazės yra serino ir treonino kinazės, o c-KIT, FLT-3, VEGFR-3 ir PDGFR-β kinazės yra receptorių tirozinkinazės. </w:t>
      </w:r>
    </w:p>
    <w:p w14:paraId="3D4C9C36" w14:textId="77777777" w:rsidR="00EF20DC" w:rsidRPr="00EF20DC" w:rsidRDefault="00EF20DC" w:rsidP="001F1094">
      <w:pPr>
        <w:rPr>
          <w:rFonts w:eastAsia="Calibri"/>
          <w:sz w:val="22"/>
          <w:szCs w:val="22"/>
        </w:rPr>
      </w:pPr>
    </w:p>
    <w:p w14:paraId="3F11A94C"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Klinikinis veiksmingumas </w:t>
      </w:r>
    </w:p>
    <w:p w14:paraId="24A63D95" w14:textId="4D822547" w:rsidR="0045758D" w:rsidRPr="00EF20DC" w:rsidRDefault="00EF20DC" w:rsidP="0045758D">
      <w:pPr>
        <w:rPr>
          <w:rFonts w:eastAsia="Calibri"/>
          <w:sz w:val="22"/>
          <w:szCs w:val="22"/>
        </w:rPr>
      </w:pPr>
      <w:r w:rsidRPr="00EF20DC">
        <w:rPr>
          <w:rFonts w:eastAsia="Calibri"/>
          <w:sz w:val="22"/>
          <w:szCs w:val="22"/>
        </w:rPr>
        <w:t>Sorafenibo klinikinis saugumas ir veiksmingumas buvo tiriamas pacientams, sergantiems kepenų ląstelių karcinoma (KLK)</w:t>
      </w:r>
      <w:r w:rsidR="0045758D">
        <w:rPr>
          <w:rFonts w:eastAsia="Calibri"/>
          <w:sz w:val="22"/>
          <w:szCs w:val="22"/>
        </w:rPr>
        <w:t>,</w:t>
      </w:r>
      <w:r w:rsidRPr="00EF20DC">
        <w:rPr>
          <w:rFonts w:eastAsia="Calibri"/>
          <w:sz w:val="22"/>
          <w:szCs w:val="22"/>
        </w:rPr>
        <w:t xml:space="preserve"> pacientams, sergantiems progresavusia inkstų ląstelių karcinoma (ILK)</w:t>
      </w:r>
      <w:r w:rsidR="0045758D" w:rsidRPr="0045758D">
        <w:rPr>
          <w:rFonts w:eastAsia="Calibri"/>
          <w:sz w:val="22"/>
          <w:szCs w:val="22"/>
        </w:rPr>
        <w:t xml:space="preserve"> </w:t>
      </w:r>
      <w:r w:rsidR="0045758D">
        <w:rPr>
          <w:rFonts w:eastAsia="Calibri"/>
          <w:sz w:val="22"/>
          <w:szCs w:val="22"/>
        </w:rPr>
        <w:t>ir</w:t>
      </w:r>
      <w:r w:rsidR="0045758D" w:rsidRPr="00501C99">
        <w:rPr>
          <w:rStyle w:val="Heading1Char"/>
        </w:rPr>
        <w:t xml:space="preserve"> </w:t>
      </w:r>
      <w:r w:rsidR="0045758D">
        <w:rPr>
          <w:rStyle w:val="fontstyle01"/>
        </w:rPr>
        <w:t>pacientams, sergantiems diferencijuota skydliaukės karcinoma (DSK)</w:t>
      </w:r>
      <w:r w:rsidR="0045758D" w:rsidRPr="00EF20DC">
        <w:rPr>
          <w:rFonts w:eastAsia="Calibri"/>
          <w:sz w:val="22"/>
          <w:szCs w:val="22"/>
        </w:rPr>
        <w:t xml:space="preserve">. </w:t>
      </w:r>
    </w:p>
    <w:p w14:paraId="2EA8E977" w14:textId="77777777" w:rsidR="00EF20DC" w:rsidRPr="00EF20DC" w:rsidRDefault="00EF20DC" w:rsidP="001F1094">
      <w:pPr>
        <w:rPr>
          <w:rFonts w:eastAsia="Calibri"/>
          <w:sz w:val="22"/>
          <w:szCs w:val="22"/>
        </w:rPr>
      </w:pPr>
    </w:p>
    <w:p w14:paraId="211136ED"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Kepenų ląstelių karcinoma </w:t>
      </w:r>
    </w:p>
    <w:p w14:paraId="2C74DA85" w14:textId="330FC4CA" w:rsidR="00EF20DC" w:rsidRPr="00EF20DC" w:rsidRDefault="00EF20DC" w:rsidP="001F1094">
      <w:pPr>
        <w:rPr>
          <w:rFonts w:eastAsia="Calibri"/>
          <w:sz w:val="22"/>
          <w:szCs w:val="22"/>
        </w:rPr>
      </w:pPr>
      <w:r w:rsidRPr="00EF20DC">
        <w:rPr>
          <w:rFonts w:eastAsia="Calibri"/>
          <w:sz w:val="22"/>
          <w:szCs w:val="22"/>
        </w:rPr>
        <w:t xml:space="preserve">3 tyrimas (tyrimas 100554) buvo III fazės, tarptautinis, daugiacentris, atsitiktinių imčių, atliktas dvigubai aklu būdu, poveikis lygintas su placebo sukeliamu poveikiu. Jame dalyvavo 602 pacientai, sergantys kepenų ląstelių karcinoma. Sorafenibo ir placebo grupėse demografiniai duomenys ir ligos ypatybės pradiniame taške buvo panašūs atsižvelgiant į ECOG (angl. </w:t>
      </w:r>
      <w:r w:rsidRPr="00EF20DC">
        <w:rPr>
          <w:rFonts w:eastAsia="Calibri"/>
          <w:i/>
          <w:sz w:val="22"/>
          <w:szCs w:val="22"/>
        </w:rPr>
        <w:t>Eastern Cooperative Oncology Group</w:t>
      </w:r>
      <w:r w:rsidRPr="00EF20DC">
        <w:rPr>
          <w:rFonts w:eastAsia="Calibri"/>
          <w:sz w:val="22"/>
          <w:szCs w:val="22"/>
        </w:rPr>
        <w:t xml:space="preserve">) </w:t>
      </w:r>
      <w:r w:rsidR="005123EF">
        <w:rPr>
          <w:rFonts w:eastAsia="Calibri"/>
          <w:sz w:val="22"/>
          <w:szCs w:val="22"/>
        </w:rPr>
        <w:t>funkcines klases</w:t>
      </w:r>
      <w:r w:rsidR="005123EF" w:rsidRPr="005123EF">
        <w:rPr>
          <w:rFonts w:eastAsia="Calibri"/>
          <w:sz w:val="22"/>
          <w:szCs w:val="22"/>
        </w:rPr>
        <w:t xml:space="preserve"> </w:t>
      </w:r>
      <w:r w:rsidRPr="00EF20DC">
        <w:rPr>
          <w:rFonts w:eastAsia="Calibri"/>
          <w:sz w:val="22"/>
          <w:szCs w:val="22"/>
        </w:rPr>
        <w:t>(0</w:t>
      </w:r>
      <w:r w:rsidR="005123EF">
        <w:rPr>
          <w:rFonts w:eastAsia="Calibri"/>
          <w:sz w:val="22"/>
          <w:szCs w:val="22"/>
        </w:rPr>
        <w:t xml:space="preserve"> balų</w:t>
      </w:r>
      <w:r w:rsidRPr="00EF20DC">
        <w:rPr>
          <w:rFonts w:eastAsia="Calibri"/>
          <w:sz w:val="22"/>
          <w:szCs w:val="22"/>
        </w:rPr>
        <w:t xml:space="preserve">: 54 % palyginti su 54 %; 1 </w:t>
      </w:r>
      <w:r w:rsidR="005123EF">
        <w:rPr>
          <w:rFonts w:eastAsia="Calibri"/>
          <w:sz w:val="22"/>
          <w:szCs w:val="22"/>
        </w:rPr>
        <w:t>balas</w:t>
      </w:r>
      <w:r w:rsidRPr="00EF20DC">
        <w:rPr>
          <w:rFonts w:eastAsia="Calibri"/>
          <w:sz w:val="22"/>
          <w:szCs w:val="22"/>
        </w:rPr>
        <w:t xml:space="preserve">: 38 % palyginti su 39 %; 2 </w:t>
      </w:r>
      <w:r w:rsidR="005123EF">
        <w:rPr>
          <w:rFonts w:eastAsia="Calibri"/>
          <w:sz w:val="22"/>
          <w:szCs w:val="22"/>
        </w:rPr>
        <w:t>balai</w:t>
      </w:r>
      <w:r w:rsidRPr="00EF20DC">
        <w:rPr>
          <w:rFonts w:eastAsia="Calibri"/>
          <w:sz w:val="22"/>
          <w:szCs w:val="22"/>
        </w:rPr>
        <w:t xml:space="preserve">: 8 % palyginti su 7 %), TNM stadijas (I stadija: &lt; 1 % palyginti su &lt; 1 %; II stadija: 10,4 % palyginti su 8,3 %; III stadija 37,8 % palyginti su 43,6 %; IV stadija: 50,8  palyginti su 46,9 %) ir </w:t>
      </w:r>
      <w:r w:rsidRPr="00F665DE">
        <w:rPr>
          <w:rFonts w:eastAsia="Calibri"/>
          <w:sz w:val="22"/>
          <w:szCs w:val="22"/>
        </w:rPr>
        <w:t>BCLC</w:t>
      </w:r>
      <w:r w:rsidRPr="00EF20DC">
        <w:rPr>
          <w:rFonts w:eastAsia="Calibri"/>
          <w:sz w:val="22"/>
          <w:szCs w:val="22"/>
        </w:rPr>
        <w:t xml:space="preserve"> </w:t>
      </w:r>
      <w:r w:rsidR="00F665DE" w:rsidRPr="00F665DE">
        <w:rPr>
          <w:rFonts w:eastAsia="Calibri"/>
          <w:sz w:val="22"/>
          <w:szCs w:val="22"/>
        </w:rPr>
        <w:t xml:space="preserve">(angl. </w:t>
      </w:r>
      <w:r w:rsidR="00F665DE" w:rsidRPr="00F665DE">
        <w:rPr>
          <w:rStyle w:val="acopre"/>
          <w:rFonts w:eastAsiaTheme="majorEastAsia"/>
          <w:i/>
          <w:sz w:val="22"/>
          <w:szCs w:val="22"/>
        </w:rPr>
        <w:t>Barcelona Clinic Liver Cancer</w:t>
      </w:r>
      <w:r w:rsidR="00F665DE" w:rsidRPr="00F665DE">
        <w:rPr>
          <w:rStyle w:val="acopre"/>
          <w:rFonts w:eastAsiaTheme="majorEastAsia"/>
          <w:sz w:val="22"/>
          <w:szCs w:val="22"/>
        </w:rPr>
        <w:t xml:space="preserve">) </w:t>
      </w:r>
      <w:r w:rsidRPr="00F665DE">
        <w:rPr>
          <w:rFonts w:eastAsia="Calibri"/>
          <w:sz w:val="22"/>
          <w:szCs w:val="22"/>
        </w:rPr>
        <w:t xml:space="preserve">stadijas (B stadija: 18,1 % palyginti su 16,8 %; </w:t>
      </w:r>
      <w:r w:rsidRPr="00EF20DC">
        <w:rPr>
          <w:rFonts w:eastAsia="Calibri"/>
          <w:sz w:val="22"/>
          <w:szCs w:val="22"/>
        </w:rPr>
        <w:t xml:space="preserve">C stadija: 81,6 % palyginti su 83,2 %; D stadija: &lt; 1 % palyginti su 0 %). </w:t>
      </w:r>
    </w:p>
    <w:p w14:paraId="19EFF18B" w14:textId="77777777" w:rsidR="00EF20DC" w:rsidRPr="00EF20DC" w:rsidRDefault="00EF20DC" w:rsidP="001F1094">
      <w:pPr>
        <w:rPr>
          <w:rFonts w:eastAsia="Calibri"/>
          <w:sz w:val="22"/>
          <w:szCs w:val="22"/>
        </w:rPr>
      </w:pPr>
    </w:p>
    <w:p w14:paraId="25121114" w14:textId="7B036B49" w:rsidR="00EF20DC" w:rsidRPr="00EF20DC" w:rsidRDefault="00EF20DC" w:rsidP="001F1094">
      <w:pPr>
        <w:rPr>
          <w:rFonts w:eastAsia="Calibri"/>
          <w:sz w:val="22"/>
          <w:szCs w:val="22"/>
        </w:rPr>
      </w:pPr>
      <w:r w:rsidRPr="00EF20DC">
        <w:rPr>
          <w:rFonts w:eastAsia="Calibri"/>
          <w:sz w:val="22"/>
          <w:szCs w:val="22"/>
        </w:rPr>
        <w:t xml:space="preserve">Tyrimas buvo sustabdytas, kai </w:t>
      </w:r>
      <w:r w:rsidR="00605DD7">
        <w:rPr>
          <w:rFonts w:eastAsia="Calibri"/>
          <w:sz w:val="22"/>
          <w:szCs w:val="22"/>
        </w:rPr>
        <w:t>planinė</w:t>
      </w:r>
      <w:r w:rsidRPr="00EF20DC">
        <w:rPr>
          <w:rFonts w:eastAsia="Calibri"/>
          <w:sz w:val="22"/>
          <w:szCs w:val="22"/>
        </w:rPr>
        <w:t xml:space="preserve"> </w:t>
      </w:r>
      <w:r w:rsidR="00605DD7">
        <w:rPr>
          <w:rFonts w:eastAsia="Calibri"/>
          <w:sz w:val="22"/>
          <w:szCs w:val="22"/>
        </w:rPr>
        <w:t>tarpinė</w:t>
      </w:r>
      <w:r w:rsidRPr="00EF20DC">
        <w:rPr>
          <w:rFonts w:eastAsia="Calibri"/>
          <w:sz w:val="22"/>
          <w:szCs w:val="22"/>
        </w:rPr>
        <w:t xml:space="preserve"> bendro išgyvenamumo analizė peržengė iš anksto nustatytą veiksmingumo ribą. Ši bendro išgyvenamumo analizė parodė statistiškai reikšmingą sorafenibo pranašumą </w:t>
      </w:r>
      <w:r w:rsidR="00D22E3F">
        <w:rPr>
          <w:rFonts w:eastAsia="Calibri"/>
          <w:sz w:val="22"/>
          <w:szCs w:val="22"/>
        </w:rPr>
        <w:t>palyginti su</w:t>
      </w:r>
      <w:r w:rsidRPr="00EF20DC">
        <w:rPr>
          <w:rFonts w:eastAsia="Calibri"/>
          <w:sz w:val="22"/>
          <w:szCs w:val="22"/>
        </w:rPr>
        <w:t xml:space="preserve"> placeb</w:t>
      </w:r>
      <w:r w:rsidR="00D22E3F">
        <w:rPr>
          <w:rFonts w:eastAsia="Calibri"/>
          <w:sz w:val="22"/>
          <w:szCs w:val="22"/>
        </w:rPr>
        <w:t>u,</w:t>
      </w:r>
      <w:r w:rsidRPr="00EF20DC">
        <w:rPr>
          <w:rFonts w:eastAsia="Calibri"/>
          <w:sz w:val="22"/>
          <w:szCs w:val="22"/>
        </w:rPr>
        <w:t xml:space="preserve"> bendram išgyvenamumui (RS</w:t>
      </w:r>
      <w:r w:rsidR="00600C38">
        <w:rPr>
          <w:rFonts w:eastAsia="Calibri"/>
          <w:sz w:val="22"/>
          <w:szCs w:val="22"/>
        </w:rPr>
        <w:t> </w:t>
      </w:r>
      <w:r w:rsidRPr="00EF20DC">
        <w:rPr>
          <w:rFonts w:eastAsia="Calibri"/>
          <w:sz w:val="22"/>
          <w:szCs w:val="22"/>
        </w:rPr>
        <w:t>=</w:t>
      </w:r>
      <w:r w:rsidR="00600C38">
        <w:rPr>
          <w:rFonts w:eastAsia="Calibri"/>
          <w:sz w:val="22"/>
          <w:szCs w:val="22"/>
        </w:rPr>
        <w:t> </w:t>
      </w:r>
      <w:r w:rsidRPr="00EF20DC">
        <w:rPr>
          <w:rFonts w:eastAsia="Calibri"/>
          <w:sz w:val="22"/>
          <w:szCs w:val="22"/>
        </w:rPr>
        <w:t>0,69, p</w:t>
      </w:r>
      <w:r w:rsidR="00600C38">
        <w:rPr>
          <w:rFonts w:eastAsia="Calibri"/>
          <w:sz w:val="22"/>
          <w:szCs w:val="22"/>
        </w:rPr>
        <w:t> </w:t>
      </w:r>
      <w:r w:rsidRPr="00EF20DC">
        <w:rPr>
          <w:rFonts w:eastAsia="Calibri"/>
          <w:sz w:val="22"/>
          <w:szCs w:val="22"/>
        </w:rPr>
        <w:t>=</w:t>
      </w:r>
      <w:r w:rsidR="00600C38">
        <w:rPr>
          <w:rFonts w:eastAsia="Calibri"/>
          <w:sz w:val="22"/>
          <w:szCs w:val="22"/>
        </w:rPr>
        <w:t> </w:t>
      </w:r>
      <w:r w:rsidRPr="00EF20DC">
        <w:rPr>
          <w:rFonts w:eastAsia="Calibri"/>
          <w:sz w:val="22"/>
          <w:szCs w:val="22"/>
        </w:rPr>
        <w:t xml:space="preserve">0,00058, žr. </w:t>
      </w:r>
      <w:r w:rsidR="0045758D">
        <w:rPr>
          <w:rFonts w:eastAsia="Calibri"/>
          <w:sz w:val="22"/>
          <w:szCs w:val="22"/>
        </w:rPr>
        <w:t>3</w:t>
      </w:r>
      <w:r w:rsidR="0045758D" w:rsidRPr="00EF20DC">
        <w:rPr>
          <w:rFonts w:eastAsia="Calibri"/>
          <w:sz w:val="22"/>
          <w:szCs w:val="22"/>
        </w:rPr>
        <w:t xml:space="preserve"> </w:t>
      </w:r>
      <w:r w:rsidRPr="00EF20DC">
        <w:rPr>
          <w:rFonts w:eastAsia="Calibri"/>
          <w:sz w:val="22"/>
          <w:szCs w:val="22"/>
        </w:rPr>
        <w:t xml:space="preserve">lentelę). </w:t>
      </w:r>
    </w:p>
    <w:p w14:paraId="4125ECDB" w14:textId="77777777" w:rsidR="00EF20DC" w:rsidRPr="00EF20DC" w:rsidRDefault="00EF20DC" w:rsidP="001F1094">
      <w:pPr>
        <w:rPr>
          <w:rFonts w:eastAsia="Calibri"/>
          <w:sz w:val="22"/>
          <w:szCs w:val="22"/>
        </w:rPr>
      </w:pPr>
    </w:p>
    <w:p w14:paraId="66FC5710" w14:textId="379FC144" w:rsidR="00EF20DC" w:rsidRPr="00EF20DC" w:rsidRDefault="00EF20DC" w:rsidP="001F1094">
      <w:pPr>
        <w:rPr>
          <w:rFonts w:eastAsia="Calibri"/>
          <w:sz w:val="22"/>
          <w:szCs w:val="22"/>
        </w:rPr>
      </w:pPr>
      <w:r w:rsidRPr="00EF20DC">
        <w:rPr>
          <w:rFonts w:eastAsia="Calibri"/>
          <w:sz w:val="22"/>
          <w:szCs w:val="22"/>
        </w:rPr>
        <w:t xml:space="preserve">Apie pacientus, </w:t>
      </w:r>
      <w:r w:rsidR="00DF077A">
        <w:rPr>
          <w:rFonts w:eastAsia="Calibri"/>
          <w:sz w:val="22"/>
          <w:szCs w:val="22"/>
        </w:rPr>
        <w:t>kuriems yra</w:t>
      </w:r>
      <w:r w:rsidRPr="00EF20DC">
        <w:rPr>
          <w:rFonts w:eastAsia="Calibri"/>
          <w:sz w:val="22"/>
          <w:szCs w:val="22"/>
        </w:rPr>
        <w:t xml:space="preserve"> </w:t>
      </w:r>
      <w:r w:rsidRPr="00EF20DC">
        <w:rPr>
          <w:rFonts w:eastAsia="Calibri"/>
          <w:i/>
          <w:sz w:val="22"/>
          <w:szCs w:val="22"/>
        </w:rPr>
        <w:t>Child Pugh</w:t>
      </w:r>
      <w:r w:rsidRPr="00EF20DC">
        <w:rPr>
          <w:rFonts w:eastAsia="Calibri"/>
          <w:sz w:val="22"/>
          <w:szCs w:val="22"/>
        </w:rPr>
        <w:t xml:space="preserve"> B klasės kepenų</w:t>
      </w:r>
      <w:r w:rsidR="00600C38">
        <w:rPr>
          <w:rFonts w:eastAsia="Calibri"/>
          <w:sz w:val="22"/>
          <w:szCs w:val="22"/>
        </w:rPr>
        <w:t xml:space="preserve"> funkcijos</w:t>
      </w:r>
      <w:r w:rsidRPr="00EF20DC">
        <w:rPr>
          <w:rFonts w:eastAsia="Calibri"/>
          <w:sz w:val="22"/>
          <w:szCs w:val="22"/>
        </w:rPr>
        <w:t xml:space="preserve"> sutrikim</w:t>
      </w:r>
      <w:r w:rsidR="007F4944">
        <w:rPr>
          <w:rFonts w:eastAsia="Calibri"/>
          <w:sz w:val="22"/>
          <w:szCs w:val="22"/>
        </w:rPr>
        <w:t>as</w:t>
      </w:r>
      <w:r w:rsidRPr="00EF20DC">
        <w:rPr>
          <w:rFonts w:eastAsia="Calibri"/>
          <w:sz w:val="22"/>
          <w:szCs w:val="22"/>
        </w:rPr>
        <w:t xml:space="preserve">, </w:t>
      </w:r>
      <w:r w:rsidR="00D22E3F" w:rsidRPr="00EF20DC">
        <w:rPr>
          <w:rFonts w:eastAsia="Calibri"/>
          <w:sz w:val="22"/>
          <w:szCs w:val="22"/>
        </w:rPr>
        <w:t xml:space="preserve">duomenų </w:t>
      </w:r>
      <w:r w:rsidR="00D22E3F">
        <w:rPr>
          <w:rFonts w:eastAsia="Calibri"/>
          <w:sz w:val="22"/>
          <w:szCs w:val="22"/>
        </w:rPr>
        <w:t xml:space="preserve">iš </w:t>
      </w:r>
      <w:r w:rsidRPr="00EF20DC">
        <w:rPr>
          <w:rFonts w:eastAsia="Calibri"/>
          <w:sz w:val="22"/>
          <w:szCs w:val="22"/>
        </w:rPr>
        <w:t>ši</w:t>
      </w:r>
      <w:r w:rsidR="00D22E3F">
        <w:rPr>
          <w:rFonts w:eastAsia="Calibri"/>
          <w:sz w:val="22"/>
          <w:szCs w:val="22"/>
        </w:rPr>
        <w:t>o</w:t>
      </w:r>
      <w:r w:rsidRPr="00EF20DC">
        <w:rPr>
          <w:rFonts w:eastAsia="Calibri"/>
          <w:sz w:val="22"/>
          <w:szCs w:val="22"/>
        </w:rPr>
        <w:t xml:space="preserve"> tyrim</w:t>
      </w:r>
      <w:r w:rsidR="00D22E3F">
        <w:rPr>
          <w:rFonts w:eastAsia="Calibri"/>
          <w:sz w:val="22"/>
          <w:szCs w:val="22"/>
        </w:rPr>
        <w:t>o</w:t>
      </w:r>
      <w:r w:rsidRPr="00EF20DC">
        <w:rPr>
          <w:rFonts w:eastAsia="Calibri"/>
          <w:sz w:val="22"/>
          <w:szCs w:val="22"/>
        </w:rPr>
        <w:t xml:space="preserve"> yra nedaug</w:t>
      </w:r>
      <w:r w:rsidR="00D22E3F">
        <w:rPr>
          <w:rFonts w:eastAsia="Calibri"/>
          <w:sz w:val="22"/>
          <w:szCs w:val="22"/>
        </w:rPr>
        <w:t xml:space="preserve"> ir tyrime</w:t>
      </w:r>
      <w:r w:rsidRPr="00EF20DC">
        <w:rPr>
          <w:rFonts w:eastAsia="Calibri"/>
          <w:sz w:val="22"/>
          <w:szCs w:val="22"/>
        </w:rPr>
        <w:t xml:space="preserve"> dalyvavo tik vienas pacientas, </w:t>
      </w:r>
      <w:r w:rsidR="007F4944">
        <w:rPr>
          <w:rFonts w:eastAsia="Calibri"/>
          <w:sz w:val="22"/>
          <w:szCs w:val="22"/>
        </w:rPr>
        <w:t xml:space="preserve">kuriam </w:t>
      </w:r>
      <w:r w:rsidR="00600C38">
        <w:rPr>
          <w:rFonts w:eastAsia="Calibri"/>
          <w:sz w:val="22"/>
          <w:szCs w:val="22"/>
        </w:rPr>
        <w:t>buvo</w:t>
      </w:r>
      <w:r w:rsidR="00600C38" w:rsidRPr="00EF20DC">
        <w:rPr>
          <w:rFonts w:eastAsia="Calibri"/>
          <w:sz w:val="22"/>
          <w:szCs w:val="22"/>
        </w:rPr>
        <w:t xml:space="preserve"> </w:t>
      </w:r>
      <w:r w:rsidRPr="00EF20DC">
        <w:rPr>
          <w:rFonts w:eastAsia="Calibri"/>
          <w:i/>
          <w:sz w:val="22"/>
          <w:szCs w:val="22"/>
        </w:rPr>
        <w:t>Child Pugh</w:t>
      </w:r>
      <w:r w:rsidRPr="00EF20DC">
        <w:rPr>
          <w:rFonts w:eastAsia="Calibri"/>
          <w:sz w:val="22"/>
          <w:szCs w:val="22"/>
        </w:rPr>
        <w:t xml:space="preserve"> C klasės kepenų </w:t>
      </w:r>
      <w:r w:rsidR="00600C38">
        <w:rPr>
          <w:rFonts w:eastAsia="Calibri"/>
          <w:sz w:val="22"/>
          <w:szCs w:val="22"/>
        </w:rPr>
        <w:t>funkcijos</w:t>
      </w:r>
      <w:r w:rsidR="00761B26">
        <w:rPr>
          <w:rFonts w:eastAsia="Calibri"/>
          <w:sz w:val="22"/>
          <w:szCs w:val="22"/>
        </w:rPr>
        <w:t xml:space="preserve"> </w:t>
      </w:r>
      <w:r w:rsidRPr="00EF20DC">
        <w:rPr>
          <w:rFonts w:eastAsia="Calibri"/>
          <w:sz w:val="22"/>
          <w:szCs w:val="22"/>
        </w:rPr>
        <w:t>sutrikim</w:t>
      </w:r>
      <w:r w:rsidR="007F4944">
        <w:rPr>
          <w:rFonts w:eastAsia="Calibri"/>
          <w:sz w:val="22"/>
          <w:szCs w:val="22"/>
        </w:rPr>
        <w:t>as</w:t>
      </w:r>
      <w:r w:rsidRPr="00EF20DC">
        <w:rPr>
          <w:rFonts w:eastAsia="Calibri"/>
          <w:sz w:val="22"/>
          <w:szCs w:val="22"/>
        </w:rPr>
        <w:t xml:space="preserve">. </w:t>
      </w:r>
    </w:p>
    <w:p w14:paraId="79A4E1EB" w14:textId="06C614AA" w:rsidR="00EF20DC" w:rsidRPr="00EF20DC" w:rsidRDefault="00EF20DC" w:rsidP="001F1094">
      <w:pPr>
        <w:rPr>
          <w:rFonts w:eastAsia="Calibri"/>
          <w:sz w:val="22"/>
          <w:szCs w:val="22"/>
        </w:rPr>
      </w:pPr>
    </w:p>
    <w:p w14:paraId="457BDDCC" w14:textId="4D37DB56" w:rsidR="00EF20DC" w:rsidRPr="00D22E3F" w:rsidRDefault="0045758D" w:rsidP="001F1094">
      <w:pPr>
        <w:rPr>
          <w:rFonts w:eastAsia="Calibri"/>
          <w:b/>
          <w:sz w:val="22"/>
          <w:szCs w:val="22"/>
        </w:rPr>
      </w:pPr>
      <w:r>
        <w:rPr>
          <w:rFonts w:eastAsia="Calibri"/>
          <w:b/>
          <w:sz w:val="22"/>
          <w:szCs w:val="22"/>
        </w:rPr>
        <w:t>3</w:t>
      </w:r>
      <w:r w:rsidRPr="00D22E3F">
        <w:rPr>
          <w:rFonts w:eastAsia="Calibri"/>
          <w:b/>
          <w:sz w:val="22"/>
          <w:szCs w:val="22"/>
        </w:rPr>
        <w:t xml:space="preserve"> </w:t>
      </w:r>
      <w:r w:rsidR="00EF20DC" w:rsidRPr="00D22E3F">
        <w:rPr>
          <w:rFonts w:eastAsia="Calibri"/>
          <w:b/>
          <w:sz w:val="22"/>
          <w:szCs w:val="22"/>
        </w:rPr>
        <w:t xml:space="preserve">lentelė: Kepenų ląstelių karcinomos 3 tyrimo (100554 tyrimas) veiksmingumo rezultatai </w:t>
      </w:r>
    </w:p>
    <w:p w14:paraId="3BF8A477" w14:textId="77777777" w:rsidR="00EF20DC" w:rsidRPr="00EF20DC" w:rsidRDefault="00EF20DC" w:rsidP="001F1094">
      <w:pPr>
        <w:keepNext/>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43"/>
        <w:gridCol w:w="1559"/>
        <w:gridCol w:w="1276"/>
        <w:gridCol w:w="1562"/>
      </w:tblGrid>
      <w:tr w:rsidR="00EF20DC" w:rsidRPr="00EF20DC" w14:paraId="22381A3D" w14:textId="77777777" w:rsidTr="00EF20DC">
        <w:tc>
          <w:tcPr>
            <w:tcW w:w="2972" w:type="dxa"/>
            <w:shd w:val="clear" w:color="auto" w:fill="auto"/>
          </w:tcPr>
          <w:p w14:paraId="4CCA3C67" w14:textId="77777777" w:rsidR="00EF20DC" w:rsidRPr="00EF20DC" w:rsidRDefault="00EF20DC" w:rsidP="001F1094">
            <w:pPr>
              <w:rPr>
                <w:rFonts w:eastAsia="Calibri"/>
                <w:sz w:val="22"/>
                <w:szCs w:val="22"/>
              </w:rPr>
            </w:pPr>
            <w:r w:rsidRPr="00EF20DC">
              <w:rPr>
                <w:rFonts w:eastAsia="Calibri"/>
                <w:sz w:val="22"/>
                <w:szCs w:val="22"/>
              </w:rPr>
              <w:t>Veiksmingumo parametras</w:t>
            </w:r>
          </w:p>
        </w:tc>
        <w:tc>
          <w:tcPr>
            <w:tcW w:w="1843" w:type="dxa"/>
            <w:shd w:val="clear" w:color="auto" w:fill="auto"/>
          </w:tcPr>
          <w:p w14:paraId="057C06BA" w14:textId="77777777" w:rsidR="00EF20DC" w:rsidRPr="00EF20DC" w:rsidRDefault="00EF20DC" w:rsidP="001F1094">
            <w:pPr>
              <w:keepNext/>
              <w:autoSpaceDE w:val="0"/>
              <w:autoSpaceDN w:val="0"/>
              <w:adjustRightInd w:val="0"/>
              <w:rPr>
                <w:rFonts w:eastAsia="Calibri"/>
                <w:color w:val="000000"/>
                <w:sz w:val="22"/>
                <w:szCs w:val="22"/>
              </w:rPr>
            </w:pPr>
            <w:r w:rsidRPr="00EF20DC">
              <w:rPr>
                <w:rFonts w:eastAsia="Calibri"/>
                <w:color w:val="000000"/>
                <w:sz w:val="22"/>
                <w:szCs w:val="22"/>
              </w:rPr>
              <w:t xml:space="preserve">Sorafenibas </w:t>
            </w:r>
          </w:p>
          <w:p w14:paraId="021AAFBE" w14:textId="77777777" w:rsidR="00EF20DC" w:rsidRPr="00EF20DC" w:rsidRDefault="00EF20DC" w:rsidP="001F1094">
            <w:pPr>
              <w:keepNext/>
              <w:rPr>
                <w:rFonts w:eastAsia="Calibri"/>
                <w:sz w:val="22"/>
                <w:szCs w:val="22"/>
              </w:rPr>
            </w:pPr>
            <w:r w:rsidRPr="00EF20DC">
              <w:rPr>
                <w:rFonts w:eastAsia="Calibri"/>
                <w:sz w:val="22"/>
                <w:szCs w:val="22"/>
              </w:rPr>
              <w:t xml:space="preserve">(N=299) </w:t>
            </w:r>
          </w:p>
        </w:tc>
        <w:tc>
          <w:tcPr>
            <w:tcW w:w="1559" w:type="dxa"/>
            <w:shd w:val="clear" w:color="auto" w:fill="auto"/>
          </w:tcPr>
          <w:p w14:paraId="54D4B8E8" w14:textId="77777777" w:rsidR="00EF20DC" w:rsidRPr="00EF20DC" w:rsidRDefault="00EF20DC" w:rsidP="001F1094">
            <w:pPr>
              <w:keepNext/>
              <w:autoSpaceDE w:val="0"/>
              <w:autoSpaceDN w:val="0"/>
              <w:adjustRightInd w:val="0"/>
              <w:rPr>
                <w:rFonts w:eastAsia="Calibri"/>
                <w:color w:val="000000"/>
                <w:sz w:val="22"/>
                <w:szCs w:val="22"/>
              </w:rPr>
            </w:pPr>
            <w:r w:rsidRPr="00EF20DC">
              <w:rPr>
                <w:rFonts w:eastAsia="Calibri"/>
                <w:color w:val="000000"/>
                <w:sz w:val="22"/>
                <w:szCs w:val="22"/>
              </w:rPr>
              <w:t>Placebo</w:t>
            </w:r>
          </w:p>
          <w:p w14:paraId="7FC66E8D" w14:textId="77777777" w:rsidR="00EF20DC" w:rsidRPr="00EF20DC" w:rsidRDefault="00EF20DC" w:rsidP="001F1094">
            <w:pPr>
              <w:keepNext/>
              <w:rPr>
                <w:rFonts w:eastAsia="Calibri"/>
                <w:sz w:val="22"/>
                <w:szCs w:val="22"/>
              </w:rPr>
            </w:pPr>
            <w:r w:rsidRPr="00EF20DC">
              <w:rPr>
                <w:rFonts w:eastAsia="Calibri"/>
                <w:sz w:val="22"/>
                <w:szCs w:val="22"/>
              </w:rPr>
              <w:t xml:space="preserve">(N=303) </w:t>
            </w:r>
          </w:p>
        </w:tc>
        <w:tc>
          <w:tcPr>
            <w:tcW w:w="1276" w:type="dxa"/>
            <w:shd w:val="clear" w:color="auto" w:fill="auto"/>
          </w:tcPr>
          <w:p w14:paraId="7A8C18FF" w14:textId="781371C1" w:rsidR="00EF20DC" w:rsidRPr="00EF20DC" w:rsidRDefault="00EF20DC" w:rsidP="001F1094">
            <w:pPr>
              <w:keepNext/>
              <w:autoSpaceDE w:val="0"/>
              <w:autoSpaceDN w:val="0"/>
              <w:adjustRightInd w:val="0"/>
              <w:rPr>
                <w:rFonts w:eastAsia="Calibri"/>
                <w:color w:val="000000"/>
              </w:rPr>
            </w:pPr>
            <w:r w:rsidRPr="00EF20DC">
              <w:rPr>
                <w:rFonts w:eastAsia="Calibri"/>
                <w:color w:val="000000"/>
                <w:sz w:val="22"/>
                <w:szCs w:val="22"/>
              </w:rPr>
              <w:t>P</w:t>
            </w:r>
            <w:r w:rsidR="001156E8">
              <w:rPr>
                <w:rFonts w:eastAsia="Calibri"/>
                <w:color w:val="000000"/>
                <w:sz w:val="22"/>
                <w:szCs w:val="22"/>
              </w:rPr>
              <w:t>-</w:t>
            </w:r>
            <w:r w:rsidRPr="00EF20DC">
              <w:rPr>
                <w:rFonts w:eastAsia="Calibri"/>
                <w:color w:val="000000"/>
                <w:sz w:val="22"/>
                <w:szCs w:val="22"/>
              </w:rPr>
              <w:t>vertė</w:t>
            </w:r>
          </w:p>
        </w:tc>
        <w:tc>
          <w:tcPr>
            <w:tcW w:w="1562" w:type="dxa"/>
            <w:shd w:val="clear" w:color="auto" w:fill="auto"/>
          </w:tcPr>
          <w:p w14:paraId="6BA7DF8D" w14:textId="77777777" w:rsidR="00EF20DC" w:rsidRPr="00EF20DC" w:rsidRDefault="00EF20DC" w:rsidP="001F1094">
            <w:pPr>
              <w:keepNext/>
              <w:autoSpaceDE w:val="0"/>
              <w:autoSpaceDN w:val="0"/>
              <w:adjustRightInd w:val="0"/>
              <w:rPr>
                <w:rFonts w:eastAsia="Calibri"/>
                <w:color w:val="000000"/>
              </w:rPr>
            </w:pPr>
            <w:r w:rsidRPr="00EF20DC">
              <w:rPr>
                <w:rFonts w:eastAsia="Calibri"/>
                <w:color w:val="000000"/>
              </w:rPr>
              <w:t>RS (95 % PI)</w:t>
            </w:r>
          </w:p>
        </w:tc>
      </w:tr>
      <w:tr w:rsidR="00EF20DC" w:rsidRPr="00EF20DC" w14:paraId="6C301B0A" w14:textId="77777777" w:rsidTr="00EF20DC">
        <w:tc>
          <w:tcPr>
            <w:tcW w:w="2972" w:type="dxa"/>
            <w:shd w:val="clear" w:color="auto" w:fill="auto"/>
          </w:tcPr>
          <w:p w14:paraId="5D534CEE" w14:textId="2362A64B" w:rsidR="00EF20DC" w:rsidRPr="00EF20DC" w:rsidRDefault="00EF20DC" w:rsidP="001156E8">
            <w:pPr>
              <w:rPr>
                <w:rFonts w:eastAsia="Calibri"/>
                <w:sz w:val="22"/>
                <w:szCs w:val="22"/>
              </w:rPr>
            </w:pPr>
            <w:r w:rsidRPr="00EF20DC">
              <w:rPr>
                <w:rFonts w:eastAsia="Calibri"/>
                <w:sz w:val="22"/>
                <w:szCs w:val="22"/>
              </w:rPr>
              <w:t>Bendras išgyvenamumas [</w:t>
            </w:r>
            <w:r w:rsidR="001156E8">
              <w:rPr>
                <w:rFonts w:eastAsia="Calibri"/>
                <w:sz w:val="22"/>
                <w:szCs w:val="22"/>
              </w:rPr>
              <w:t>mediana</w:t>
            </w:r>
            <w:r w:rsidRPr="00EF20DC">
              <w:rPr>
                <w:rFonts w:eastAsia="Calibri"/>
                <w:sz w:val="22"/>
                <w:szCs w:val="22"/>
              </w:rPr>
              <w:t>, savaitės (95</w:t>
            </w:r>
            <w:r w:rsidR="001156E8">
              <w:rPr>
                <w:rFonts w:eastAsia="Calibri"/>
                <w:sz w:val="22"/>
                <w:szCs w:val="22"/>
              </w:rPr>
              <w:t> </w:t>
            </w:r>
            <w:r w:rsidRPr="00EF20DC">
              <w:rPr>
                <w:rFonts w:eastAsia="Calibri"/>
                <w:sz w:val="22"/>
                <w:szCs w:val="22"/>
              </w:rPr>
              <w:t>% PI)]</w:t>
            </w:r>
          </w:p>
        </w:tc>
        <w:tc>
          <w:tcPr>
            <w:tcW w:w="1843" w:type="dxa"/>
            <w:shd w:val="clear" w:color="auto" w:fill="auto"/>
          </w:tcPr>
          <w:p w14:paraId="5FBB3E32" w14:textId="77777777" w:rsidR="00EF20DC" w:rsidRPr="00EF20DC" w:rsidRDefault="00EF20DC" w:rsidP="001F1094">
            <w:pPr>
              <w:keepNext/>
              <w:autoSpaceDE w:val="0"/>
              <w:autoSpaceDN w:val="0"/>
              <w:adjustRightInd w:val="0"/>
              <w:rPr>
                <w:rFonts w:eastAsia="Calibri"/>
                <w:color w:val="000000"/>
                <w:sz w:val="22"/>
                <w:szCs w:val="22"/>
              </w:rPr>
            </w:pPr>
            <w:r w:rsidRPr="00EF20DC">
              <w:rPr>
                <w:rFonts w:eastAsia="Calibri"/>
                <w:color w:val="000000"/>
                <w:sz w:val="22"/>
                <w:szCs w:val="22"/>
              </w:rPr>
              <w:t xml:space="preserve">46,3 </w:t>
            </w:r>
          </w:p>
          <w:p w14:paraId="2D4DE80C" w14:textId="77777777" w:rsidR="00EF20DC" w:rsidRPr="00EF20DC" w:rsidRDefault="00EF20DC" w:rsidP="001F1094">
            <w:pPr>
              <w:keepNext/>
              <w:rPr>
                <w:rFonts w:eastAsia="Calibri"/>
                <w:sz w:val="22"/>
                <w:szCs w:val="22"/>
              </w:rPr>
            </w:pPr>
            <w:r w:rsidRPr="00EF20DC">
              <w:rPr>
                <w:rFonts w:eastAsia="Calibri"/>
                <w:sz w:val="22"/>
                <w:szCs w:val="22"/>
              </w:rPr>
              <w:t>(40,9, 57,9)</w:t>
            </w:r>
          </w:p>
        </w:tc>
        <w:tc>
          <w:tcPr>
            <w:tcW w:w="1559" w:type="dxa"/>
            <w:shd w:val="clear" w:color="auto" w:fill="auto"/>
          </w:tcPr>
          <w:p w14:paraId="20CBCCB5" w14:textId="77777777" w:rsidR="00EF20DC" w:rsidRPr="00EF20DC" w:rsidRDefault="00EF20DC" w:rsidP="001F1094">
            <w:pPr>
              <w:keepNext/>
              <w:autoSpaceDE w:val="0"/>
              <w:autoSpaceDN w:val="0"/>
              <w:adjustRightInd w:val="0"/>
              <w:rPr>
                <w:rFonts w:eastAsia="Calibri"/>
                <w:color w:val="000000"/>
                <w:sz w:val="22"/>
                <w:szCs w:val="22"/>
              </w:rPr>
            </w:pPr>
            <w:r w:rsidRPr="00EF20DC">
              <w:rPr>
                <w:rFonts w:eastAsia="Calibri"/>
                <w:color w:val="000000"/>
                <w:sz w:val="22"/>
                <w:szCs w:val="22"/>
              </w:rPr>
              <w:t xml:space="preserve">34,4 </w:t>
            </w:r>
          </w:p>
          <w:p w14:paraId="45790602" w14:textId="77777777" w:rsidR="00EF20DC" w:rsidRPr="00EF20DC" w:rsidRDefault="00EF20DC" w:rsidP="001F1094">
            <w:pPr>
              <w:keepNext/>
              <w:rPr>
                <w:rFonts w:eastAsia="Calibri"/>
                <w:sz w:val="22"/>
                <w:szCs w:val="22"/>
              </w:rPr>
            </w:pPr>
            <w:r w:rsidRPr="00EF20DC">
              <w:rPr>
                <w:rFonts w:eastAsia="Calibri"/>
                <w:sz w:val="22"/>
                <w:szCs w:val="22"/>
              </w:rPr>
              <w:t>(29,4, 39,4)</w:t>
            </w:r>
          </w:p>
        </w:tc>
        <w:tc>
          <w:tcPr>
            <w:tcW w:w="1276" w:type="dxa"/>
            <w:shd w:val="clear" w:color="auto" w:fill="auto"/>
          </w:tcPr>
          <w:p w14:paraId="4EE854CA" w14:textId="77777777" w:rsidR="00EF20DC" w:rsidRPr="00EF20DC" w:rsidRDefault="00EF20DC" w:rsidP="001F1094">
            <w:pPr>
              <w:keepNext/>
              <w:autoSpaceDE w:val="0"/>
              <w:autoSpaceDN w:val="0"/>
              <w:adjustRightInd w:val="0"/>
              <w:rPr>
                <w:rFonts w:eastAsia="Calibri"/>
                <w:color w:val="000000"/>
                <w:sz w:val="22"/>
                <w:szCs w:val="22"/>
              </w:rPr>
            </w:pPr>
            <w:r w:rsidRPr="00EF20DC">
              <w:rPr>
                <w:rFonts w:eastAsia="Calibri"/>
                <w:color w:val="000000"/>
                <w:sz w:val="22"/>
                <w:szCs w:val="22"/>
              </w:rPr>
              <w:t>0,00058*</w:t>
            </w:r>
          </w:p>
        </w:tc>
        <w:tc>
          <w:tcPr>
            <w:tcW w:w="1562" w:type="dxa"/>
            <w:shd w:val="clear" w:color="auto" w:fill="auto"/>
          </w:tcPr>
          <w:p w14:paraId="4209AFF6" w14:textId="77777777" w:rsidR="00EF20DC" w:rsidRPr="00EF20DC" w:rsidRDefault="00EF20DC" w:rsidP="001F1094">
            <w:pPr>
              <w:keepNext/>
              <w:autoSpaceDE w:val="0"/>
              <w:autoSpaceDN w:val="0"/>
              <w:adjustRightInd w:val="0"/>
              <w:rPr>
                <w:rFonts w:eastAsia="Calibri"/>
                <w:color w:val="000000"/>
                <w:sz w:val="22"/>
                <w:szCs w:val="22"/>
              </w:rPr>
            </w:pPr>
            <w:r w:rsidRPr="00EF20DC">
              <w:rPr>
                <w:rFonts w:eastAsia="Calibri"/>
                <w:color w:val="000000"/>
                <w:sz w:val="22"/>
                <w:szCs w:val="22"/>
              </w:rPr>
              <w:t>0,69</w:t>
            </w:r>
          </w:p>
          <w:p w14:paraId="08B03D66" w14:textId="77777777" w:rsidR="00EF20DC" w:rsidRPr="00EF20DC" w:rsidRDefault="00EF20DC" w:rsidP="001F1094">
            <w:pPr>
              <w:keepNext/>
              <w:rPr>
                <w:rFonts w:eastAsia="Calibri"/>
                <w:sz w:val="22"/>
                <w:szCs w:val="22"/>
              </w:rPr>
            </w:pPr>
            <w:r w:rsidRPr="00EF20DC">
              <w:rPr>
                <w:rFonts w:eastAsia="Calibri"/>
                <w:sz w:val="22"/>
                <w:szCs w:val="22"/>
              </w:rPr>
              <w:t>(0,55, 0,87)</w:t>
            </w:r>
          </w:p>
        </w:tc>
      </w:tr>
      <w:tr w:rsidR="00EF20DC" w:rsidRPr="00EF20DC" w14:paraId="1CB2AF1D" w14:textId="77777777" w:rsidTr="00EF20DC">
        <w:tc>
          <w:tcPr>
            <w:tcW w:w="2972" w:type="dxa"/>
            <w:shd w:val="clear" w:color="auto" w:fill="auto"/>
          </w:tcPr>
          <w:p w14:paraId="0C8A3630" w14:textId="7CEF3227" w:rsidR="00EF20DC" w:rsidRPr="00EF20DC" w:rsidRDefault="00EF20DC" w:rsidP="001156E8">
            <w:pPr>
              <w:rPr>
                <w:rFonts w:eastAsia="Calibri"/>
                <w:sz w:val="22"/>
                <w:szCs w:val="22"/>
              </w:rPr>
            </w:pPr>
            <w:r w:rsidRPr="00EF20DC">
              <w:rPr>
                <w:rFonts w:eastAsia="Calibri"/>
                <w:sz w:val="22"/>
                <w:szCs w:val="22"/>
              </w:rPr>
              <w:t>Laikas iki ligos paūmėjimo (LLP) [</w:t>
            </w:r>
            <w:r w:rsidR="001156E8" w:rsidRPr="005B0A15">
              <w:rPr>
                <w:sz w:val="22"/>
                <w:szCs w:val="22"/>
              </w:rPr>
              <w:t>media</w:t>
            </w:r>
            <w:r w:rsidR="001156E8">
              <w:rPr>
                <w:sz w:val="22"/>
                <w:szCs w:val="22"/>
              </w:rPr>
              <w:t>na</w:t>
            </w:r>
            <w:r w:rsidRPr="00EF20DC">
              <w:rPr>
                <w:rFonts w:eastAsia="Calibri"/>
                <w:sz w:val="22"/>
                <w:szCs w:val="22"/>
              </w:rPr>
              <w:t>, savaitės (95</w:t>
            </w:r>
            <w:r w:rsidR="001156E8">
              <w:rPr>
                <w:rFonts w:eastAsia="Calibri"/>
                <w:sz w:val="22"/>
                <w:szCs w:val="22"/>
              </w:rPr>
              <w:t> </w:t>
            </w:r>
            <w:r w:rsidRPr="00EF20DC">
              <w:rPr>
                <w:rFonts w:eastAsia="Calibri"/>
                <w:sz w:val="22"/>
                <w:szCs w:val="22"/>
              </w:rPr>
              <w:t>% PI)]**</w:t>
            </w:r>
          </w:p>
        </w:tc>
        <w:tc>
          <w:tcPr>
            <w:tcW w:w="1843" w:type="dxa"/>
            <w:shd w:val="clear" w:color="auto" w:fill="auto"/>
          </w:tcPr>
          <w:p w14:paraId="2D4D841D" w14:textId="77777777" w:rsidR="00EF20DC" w:rsidRPr="00EF20DC" w:rsidRDefault="00EF20DC" w:rsidP="001F1094">
            <w:pPr>
              <w:keepNext/>
              <w:autoSpaceDE w:val="0"/>
              <w:autoSpaceDN w:val="0"/>
              <w:adjustRightInd w:val="0"/>
              <w:rPr>
                <w:rFonts w:eastAsia="Calibri"/>
                <w:color w:val="000000"/>
                <w:sz w:val="22"/>
                <w:szCs w:val="22"/>
              </w:rPr>
            </w:pPr>
            <w:r w:rsidRPr="00EF20DC">
              <w:rPr>
                <w:rFonts w:eastAsia="Calibri"/>
                <w:color w:val="000000"/>
                <w:sz w:val="22"/>
                <w:szCs w:val="22"/>
              </w:rPr>
              <w:t xml:space="preserve">24,0 </w:t>
            </w:r>
          </w:p>
          <w:p w14:paraId="11D21A9D" w14:textId="77777777" w:rsidR="00EF20DC" w:rsidRPr="00EF20DC" w:rsidRDefault="00EF20DC" w:rsidP="001F1094">
            <w:pPr>
              <w:keepNext/>
              <w:rPr>
                <w:rFonts w:eastAsia="Calibri"/>
                <w:sz w:val="22"/>
                <w:szCs w:val="22"/>
              </w:rPr>
            </w:pPr>
            <w:r w:rsidRPr="00EF20DC">
              <w:rPr>
                <w:rFonts w:eastAsia="Calibri"/>
                <w:sz w:val="22"/>
                <w:szCs w:val="22"/>
              </w:rPr>
              <w:t>(18,0, 30,0)</w:t>
            </w:r>
          </w:p>
        </w:tc>
        <w:tc>
          <w:tcPr>
            <w:tcW w:w="1559" w:type="dxa"/>
            <w:shd w:val="clear" w:color="auto" w:fill="auto"/>
          </w:tcPr>
          <w:p w14:paraId="4453B6DA" w14:textId="77777777" w:rsidR="00EF20DC" w:rsidRPr="00EF20DC" w:rsidRDefault="00EF20DC" w:rsidP="001F1094">
            <w:pPr>
              <w:keepNext/>
              <w:autoSpaceDE w:val="0"/>
              <w:autoSpaceDN w:val="0"/>
              <w:adjustRightInd w:val="0"/>
              <w:rPr>
                <w:rFonts w:eastAsia="Calibri"/>
                <w:color w:val="000000"/>
                <w:sz w:val="22"/>
                <w:szCs w:val="22"/>
              </w:rPr>
            </w:pPr>
            <w:r w:rsidRPr="00EF20DC">
              <w:rPr>
                <w:rFonts w:eastAsia="Calibri"/>
                <w:color w:val="000000"/>
                <w:sz w:val="22"/>
                <w:szCs w:val="22"/>
              </w:rPr>
              <w:t xml:space="preserve">12,3 </w:t>
            </w:r>
          </w:p>
          <w:p w14:paraId="5A9A9D6A" w14:textId="77777777" w:rsidR="00EF20DC" w:rsidRPr="00EF20DC" w:rsidRDefault="00EF20DC" w:rsidP="001F1094">
            <w:pPr>
              <w:keepNext/>
              <w:rPr>
                <w:rFonts w:eastAsia="Calibri"/>
                <w:sz w:val="22"/>
                <w:szCs w:val="22"/>
              </w:rPr>
            </w:pPr>
            <w:r w:rsidRPr="00EF20DC">
              <w:rPr>
                <w:rFonts w:eastAsia="Calibri"/>
                <w:sz w:val="22"/>
                <w:szCs w:val="22"/>
              </w:rPr>
              <w:t>(11,7, 17,1)</w:t>
            </w:r>
          </w:p>
        </w:tc>
        <w:tc>
          <w:tcPr>
            <w:tcW w:w="1276" w:type="dxa"/>
            <w:shd w:val="clear" w:color="auto" w:fill="auto"/>
          </w:tcPr>
          <w:p w14:paraId="7895CBA3" w14:textId="77777777" w:rsidR="00EF20DC" w:rsidRPr="00EF20DC" w:rsidRDefault="00EF20DC" w:rsidP="001F1094">
            <w:pPr>
              <w:keepNext/>
              <w:autoSpaceDE w:val="0"/>
              <w:autoSpaceDN w:val="0"/>
              <w:adjustRightInd w:val="0"/>
              <w:rPr>
                <w:rFonts w:eastAsia="Calibri"/>
                <w:color w:val="000000"/>
                <w:sz w:val="22"/>
                <w:szCs w:val="22"/>
              </w:rPr>
            </w:pPr>
            <w:r w:rsidRPr="00EF20DC">
              <w:rPr>
                <w:rFonts w:eastAsia="Calibri"/>
                <w:color w:val="000000"/>
                <w:sz w:val="22"/>
                <w:szCs w:val="22"/>
              </w:rPr>
              <w:t>0,000007</w:t>
            </w:r>
          </w:p>
        </w:tc>
        <w:tc>
          <w:tcPr>
            <w:tcW w:w="1562" w:type="dxa"/>
            <w:shd w:val="clear" w:color="auto" w:fill="auto"/>
          </w:tcPr>
          <w:p w14:paraId="25B22E24" w14:textId="77777777" w:rsidR="00EF20DC" w:rsidRPr="00EF20DC" w:rsidRDefault="00EF20DC" w:rsidP="001F1094">
            <w:pPr>
              <w:keepNext/>
              <w:autoSpaceDE w:val="0"/>
              <w:autoSpaceDN w:val="0"/>
              <w:adjustRightInd w:val="0"/>
              <w:rPr>
                <w:rFonts w:eastAsia="Calibri"/>
                <w:color w:val="000000"/>
                <w:sz w:val="22"/>
                <w:szCs w:val="22"/>
              </w:rPr>
            </w:pPr>
            <w:r w:rsidRPr="00EF20DC">
              <w:rPr>
                <w:rFonts w:eastAsia="Calibri"/>
                <w:color w:val="000000"/>
                <w:sz w:val="22"/>
                <w:szCs w:val="22"/>
              </w:rPr>
              <w:t>0,58</w:t>
            </w:r>
          </w:p>
          <w:p w14:paraId="3FA0F3B8" w14:textId="77777777" w:rsidR="00EF20DC" w:rsidRPr="00EF20DC" w:rsidRDefault="00EF20DC" w:rsidP="001F1094">
            <w:pPr>
              <w:keepNext/>
              <w:rPr>
                <w:rFonts w:eastAsia="Calibri"/>
                <w:sz w:val="22"/>
                <w:szCs w:val="22"/>
              </w:rPr>
            </w:pPr>
            <w:r w:rsidRPr="00EF20DC">
              <w:rPr>
                <w:rFonts w:eastAsia="Calibri"/>
                <w:sz w:val="22"/>
                <w:szCs w:val="22"/>
              </w:rPr>
              <w:t>(0,45, 0,74)</w:t>
            </w:r>
          </w:p>
        </w:tc>
      </w:tr>
    </w:tbl>
    <w:p w14:paraId="009598F3" w14:textId="3C5D8D85" w:rsidR="00EF20DC" w:rsidRPr="00EF20DC" w:rsidRDefault="00EF20DC" w:rsidP="001F1094">
      <w:pPr>
        <w:rPr>
          <w:rFonts w:eastAsia="Calibri"/>
          <w:sz w:val="20"/>
          <w:szCs w:val="20"/>
        </w:rPr>
      </w:pPr>
      <w:r w:rsidRPr="00EF20DC">
        <w:rPr>
          <w:rFonts w:eastAsia="Calibri"/>
          <w:sz w:val="20"/>
          <w:szCs w:val="20"/>
        </w:rPr>
        <w:t>PI</w:t>
      </w:r>
      <w:r w:rsidR="001156E8">
        <w:rPr>
          <w:rFonts w:eastAsia="Calibri"/>
          <w:sz w:val="20"/>
          <w:szCs w:val="20"/>
        </w:rPr>
        <w:t> </w:t>
      </w:r>
      <w:r w:rsidRPr="00EF20DC">
        <w:rPr>
          <w:rFonts w:eastAsia="Calibri"/>
          <w:sz w:val="20"/>
          <w:szCs w:val="20"/>
        </w:rPr>
        <w:t>=</w:t>
      </w:r>
      <w:r w:rsidR="001156E8">
        <w:rPr>
          <w:rFonts w:eastAsia="Calibri"/>
          <w:sz w:val="20"/>
          <w:szCs w:val="20"/>
        </w:rPr>
        <w:t> </w:t>
      </w:r>
      <w:r w:rsidR="00096887">
        <w:rPr>
          <w:rFonts w:eastAsia="Calibri"/>
          <w:sz w:val="20"/>
          <w:szCs w:val="20"/>
        </w:rPr>
        <w:t>pasikliautinasis</w:t>
      </w:r>
      <w:r w:rsidRPr="00EF20DC">
        <w:rPr>
          <w:rFonts w:eastAsia="Calibri"/>
          <w:sz w:val="20"/>
          <w:szCs w:val="20"/>
        </w:rPr>
        <w:t xml:space="preserve"> intervalas</w:t>
      </w:r>
      <w:r w:rsidR="00D22E3F">
        <w:rPr>
          <w:rFonts w:eastAsia="Calibri"/>
          <w:sz w:val="20"/>
          <w:szCs w:val="20"/>
        </w:rPr>
        <w:t xml:space="preserve">, </w:t>
      </w:r>
      <w:r w:rsidRPr="00EF20DC">
        <w:rPr>
          <w:rFonts w:eastAsia="Calibri"/>
          <w:sz w:val="20"/>
          <w:szCs w:val="20"/>
        </w:rPr>
        <w:t>RS</w:t>
      </w:r>
      <w:r w:rsidR="001156E8">
        <w:rPr>
          <w:rFonts w:eastAsia="Calibri"/>
          <w:sz w:val="20"/>
          <w:szCs w:val="20"/>
        </w:rPr>
        <w:t> </w:t>
      </w:r>
      <w:r w:rsidRPr="00EF20DC">
        <w:rPr>
          <w:rFonts w:eastAsia="Calibri"/>
          <w:sz w:val="20"/>
          <w:szCs w:val="20"/>
        </w:rPr>
        <w:t>=</w:t>
      </w:r>
      <w:r w:rsidR="001156E8">
        <w:rPr>
          <w:rFonts w:eastAsia="Calibri"/>
          <w:sz w:val="20"/>
          <w:szCs w:val="20"/>
        </w:rPr>
        <w:t> </w:t>
      </w:r>
      <w:r w:rsidRPr="00EF20DC">
        <w:rPr>
          <w:rFonts w:eastAsia="Calibri"/>
          <w:sz w:val="20"/>
          <w:szCs w:val="20"/>
        </w:rPr>
        <w:t>rizikos santykis (</w:t>
      </w:r>
      <w:r w:rsidR="00D22E3F">
        <w:rPr>
          <w:rFonts w:eastAsia="Calibri"/>
          <w:sz w:val="20"/>
          <w:szCs w:val="20"/>
        </w:rPr>
        <w:t>sorafenibas, palyginti su</w:t>
      </w:r>
      <w:r w:rsidRPr="00EF20DC">
        <w:rPr>
          <w:rFonts w:eastAsia="Calibri"/>
          <w:sz w:val="20"/>
          <w:szCs w:val="20"/>
        </w:rPr>
        <w:t xml:space="preserve"> placeb</w:t>
      </w:r>
      <w:r w:rsidR="00D22E3F">
        <w:rPr>
          <w:rFonts w:eastAsia="Calibri"/>
          <w:sz w:val="20"/>
          <w:szCs w:val="20"/>
        </w:rPr>
        <w:t>u</w:t>
      </w:r>
      <w:r w:rsidRPr="00EF20DC">
        <w:rPr>
          <w:rFonts w:eastAsia="Calibri"/>
          <w:sz w:val="20"/>
          <w:szCs w:val="20"/>
        </w:rPr>
        <w:t>)</w:t>
      </w:r>
    </w:p>
    <w:p w14:paraId="02B56FBE" w14:textId="77777777" w:rsidR="001156E8" w:rsidRDefault="00EF20DC" w:rsidP="001F1094">
      <w:pPr>
        <w:rPr>
          <w:rFonts w:eastAsia="Calibri"/>
          <w:sz w:val="20"/>
          <w:szCs w:val="20"/>
        </w:rPr>
      </w:pPr>
      <w:r w:rsidRPr="00EF20DC">
        <w:rPr>
          <w:rFonts w:eastAsia="Calibri"/>
          <w:sz w:val="20"/>
          <w:szCs w:val="20"/>
        </w:rPr>
        <w:t>* statistiškai reikšminga, nes p-vertė buvo mažesnė</w:t>
      </w:r>
      <w:r w:rsidR="00D22E3F">
        <w:rPr>
          <w:rFonts w:eastAsia="Calibri"/>
          <w:sz w:val="20"/>
          <w:szCs w:val="20"/>
        </w:rPr>
        <w:t>,</w:t>
      </w:r>
      <w:r w:rsidRPr="00EF20DC">
        <w:rPr>
          <w:rFonts w:eastAsia="Calibri"/>
          <w:sz w:val="20"/>
          <w:szCs w:val="20"/>
        </w:rPr>
        <w:t xml:space="preserve"> nei iš anksto nustatyta </w:t>
      </w:r>
      <w:r w:rsidRPr="00EF20DC">
        <w:rPr>
          <w:rFonts w:eastAsia="Calibri"/>
          <w:i/>
          <w:sz w:val="20"/>
          <w:szCs w:val="20"/>
        </w:rPr>
        <w:t>O’Brien Fleming</w:t>
      </w:r>
      <w:r w:rsidRPr="00EF20DC">
        <w:rPr>
          <w:rFonts w:eastAsia="Calibri"/>
          <w:sz w:val="20"/>
          <w:szCs w:val="20"/>
        </w:rPr>
        <w:t xml:space="preserve"> 0,0077 sustabdymo riba </w:t>
      </w:r>
    </w:p>
    <w:p w14:paraId="061959A7" w14:textId="058C8772" w:rsidR="00EF20DC" w:rsidRPr="00EF20DC" w:rsidRDefault="00EF20DC" w:rsidP="001F1094">
      <w:pPr>
        <w:rPr>
          <w:rFonts w:eastAsia="Calibri"/>
          <w:sz w:val="20"/>
          <w:szCs w:val="20"/>
        </w:rPr>
      </w:pPr>
      <w:r w:rsidRPr="00EF20DC">
        <w:rPr>
          <w:rFonts w:eastAsia="Calibri"/>
          <w:sz w:val="20"/>
          <w:szCs w:val="20"/>
        </w:rPr>
        <w:t xml:space="preserve">** nepriklausoma </w:t>
      </w:r>
      <w:r w:rsidR="00D22E3F">
        <w:rPr>
          <w:rFonts w:eastAsia="Calibri"/>
          <w:sz w:val="20"/>
          <w:szCs w:val="20"/>
        </w:rPr>
        <w:t>radiologinė</w:t>
      </w:r>
      <w:r w:rsidRPr="00EF20DC">
        <w:rPr>
          <w:rFonts w:eastAsia="Calibri"/>
          <w:sz w:val="20"/>
          <w:szCs w:val="20"/>
        </w:rPr>
        <w:t xml:space="preserve"> peržiūra </w:t>
      </w:r>
    </w:p>
    <w:p w14:paraId="15911810" w14:textId="6C0B044D" w:rsidR="00EF20DC" w:rsidRPr="00EF20DC" w:rsidRDefault="00EF20DC" w:rsidP="001F1094">
      <w:pPr>
        <w:rPr>
          <w:rFonts w:eastAsia="Calibri"/>
          <w:sz w:val="22"/>
          <w:szCs w:val="22"/>
        </w:rPr>
      </w:pPr>
    </w:p>
    <w:p w14:paraId="7A54EC38" w14:textId="6F65D3D3" w:rsidR="00EF20DC" w:rsidRPr="00EF20DC" w:rsidRDefault="00EF20DC" w:rsidP="001F1094">
      <w:pPr>
        <w:rPr>
          <w:rFonts w:eastAsia="Calibri"/>
          <w:sz w:val="22"/>
          <w:szCs w:val="22"/>
        </w:rPr>
      </w:pPr>
      <w:r w:rsidRPr="00EF20DC">
        <w:rPr>
          <w:rFonts w:eastAsia="Calibri"/>
          <w:sz w:val="22"/>
          <w:szCs w:val="22"/>
        </w:rPr>
        <w:t>Antro III fazės, tarptautinio, daugiacentrio, atsitiktinių imčių, placebu kontroliuojamo, dvigubai akl</w:t>
      </w:r>
      <w:r w:rsidR="00A856B4">
        <w:rPr>
          <w:rFonts w:eastAsia="Calibri"/>
          <w:sz w:val="22"/>
          <w:szCs w:val="22"/>
        </w:rPr>
        <w:t>o</w:t>
      </w:r>
      <w:r w:rsidRPr="00EF20DC">
        <w:rPr>
          <w:rFonts w:eastAsia="Calibri"/>
          <w:sz w:val="22"/>
          <w:szCs w:val="22"/>
        </w:rPr>
        <w:t xml:space="preserve"> </w:t>
      </w:r>
      <w:r w:rsidR="00A856B4">
        <w:rPr>
          <w:rFonts w:eastAsia="Calibri"/>
          <w:sz w:val="22"/>
          <w:szCs w:val="22"/>
        </w:rPr>
        <w:t xml:space="preserve">tyrimo </w:t>
      </w:r>
      <w:r w:rsidRPr="00EF20DC">
        <w:rPr>
          <w:rFonts w:eastAsia="Calibri"/>
          <w:sz w:val="22"/>
          <w:szCs w:val="22"/>
        </w:rPr>
        <w:t>(4 tyrimas, 11849) metu buvo įvertinta sorafenibo klinikinė nauda 226 pacientams, sergantiems progresavusia kepenų ląstelių karcinoma. Šis Kinijoje, Korėjoje ir Taivane atliktas tyrimas patvirtino 3-iojo tyrimo metu nustatytą palankų sorafenibo naudos ir rizikos santykį (RS (bendras išgyvenamumas): 0,68, p</w:t>
      </w:r>
      <w:r w:rsidR="00D25B58">
        <w:rPr>
          <w:rFonts w:eastAsia="Calibri"/>
          <w:sz w:val="22"/>
          <w:szCs w:val="22"/>
        </w:rPr>
        <w:t> </w:t>
      </w:r>
      <w:r w:rsidRPr="00EF20DC">
        <w:rPr>
          <w:rFonts w:eastAsia="Calibri"/>
          <w:sz w:val="22"/>
          <w:szCs w:val="22"/>
        </w:rPr>
        <w:t>=</w:t>
      </w:r>
      <w:r w:rsidR="00D25B58">
        <w:rPr>
          <w:rFonts w:eastAsia="Calibri"/>
          <w:sz w:val="22"/>
          <w:szCs w:val="22"/>
        </w:rPr>
        <w:t> </w:t>
      </w:r>
      <w:r w:rsidRPr="00EF20DC">
        <w:rPr>
          <w:rFonts w:eastAsia="Calibri"/>
          <w:sz w:val="22"/>
          <w:szCs w:val="22"/>
        </w:rPr>
        <w:t xml:space="preserve">0,01414). </w:t>
      </w:r>
    </w:p>
    <w:p w14:paraId="26F70914" w14:textId="77777777" w:rsidR="00EF20DC" w:rsidRPr="00EF20DC" w:rsidRDefault="00EF20DC" w:rsidP="001F1094">
      <w:pPr>
        <w:rPr>
          <w:rFonts w:eastAsia="Calibri"/>
          <w:sz w:val="22"/>
          <w:szCs w:val="22"/>
        </w:rPr>
      </w:pPr>
    </w:p>
    <w:p w14:paraId="6E23FD22" w14:textId="04F0558B" w:rsidR="00EF20DC" w:rsidRPr="00EF20DC" w:rsidRDefault="00EF20DC" w:rsidP="001F1094">
      <w:pPr>
        <w:rPr>
          <w:rFonts w:eastAsia="Calibri"/>
          <w:sz w:val="22"/>
          <w:szCs w:val="22"/>
        </w:rPr>
      </w:pPr>
      <w:r w:rsidRPr="00EF20DC">
        <w:rPr>
          <w:rFonts w:eastAsia="Calibri"/>
          <w:sz w:val="22"/>
          <w:szCs w:val="22"/>
        </w:rPr>
        <w:t xml:space="preserve">Atsižvelgiant į iš anksto nustatytus stratifikacijos veiksnius (ECOG </w:t>
      </w:r>
      <w:r w:rsidR="001B61EA">
        <w:rPr>
          <w:rFonts w:eastAsia="Calibri"/>
          <w:sz w:val="22"/>
          <w:szCs w:val="22"/>
        </w:rPr>
        <w:t>balus</w:t>
      </w:r>
      <w:r w:rsidRPr="00EF20DC">
        <w:rPr>
          <w:rFonts w:eastAsia="Calibri"/>
          <w:sz w:val="22"/>
          <w:szCs w:val="22"/>
        </w:rPr>
        <w:t>, makroskopinės kraujagyslių invazijos ir (arba) naviko išplitimo už kepenų buvimą ar nebuvimą), 3-ojo ir 4-ojo tyrimo metu sorafenibo RS buvo nuolat palankesnis</w:t>
      </w:r>
      <w:r w:rsidR="00D22E3F">
        <w:rPr>
          <w:rFonts w:eastAsia="Calibri"/>
          <w:sz w:val="22"/>
          <w:szCs w:val="22"/>
        </w:rPr>
        <w:t>,</w:t>
      </w:r>
      <w:r w:rsidRPr="00EF20DC">
        <w:rPr>
          <w:rFonts w:eastAsia="Calibri"/>
          <w:sz w:val="22"/>
          <w:szCs w:val="22"/>
        </w:rPr>
        <w:t xml:space="preserve"> nei placebo. </w:t>
      </w:r>
      <w:r w:rsidR="001B61EA">
        <w:rPr>
          <w:rFonts w:eastAsia="Calibri"/>
          <w:sz w:val="22"/>
          <w:szCs w:val="22"/>
        </w:rPr>
        <w:t>Apžvalginė</w:t>
      </w:r>
      <w:r w:rsidR="001B61EA" w:rsidRPr="00EF20DC">
        <w:rPr>
          <w:rFonts w:eastAsia="Calibri"/>
          <w:sz w:val="22"/>
          <w:szCs w:val="22"/>
        </w:rPr>
        <w:t xml:space="preserve"> </w:t>
      </w:r>
      <w:r w:rsidRPr="00EF20DC">
        <w:rPr>
          <w:rFonts w:eastAsia="Calibri"/>
          <w:sz w:val="22"/>
          <w:szCs w:val="22"/>
        </w:rPr>
        <w:t xml:space="preserve">pogrupių analizė </w:t>
      </w:r>
      <w:r w:rsidR="00D22E3F">
        <w:rPr>
          <w:rFonts w:eastAsia="Calibri"/>
          <w:sz w:val="22"/>
          <w:szCs w:val="22"/>
        </w:rPr>
        <w:t>parodė</w:t>
      </w:r>
      <w:r w:rsidRPr="00EF20DC">
        <w:rPr>
          <w:rFonts w:eastAsia="Calibri"/>
          <w:sz w:val="22"/>
          <w:szCs w:val="22"/>
        </w:rPr>
        <w:t>, kad pacientams, kurie prieš pradedant gydyti</w:t>
      </w:r>
      <w:r w:rsidR="00D25B58">
        <w:rPr>
          <w:rFonts w:eastAsia="Calibri"/>
          <w:sz w:val="22"/>
          <w:szCs w:val="22"/>
        </w:rPr>
        <w:t xml:space="preserve"> turėjo </w:t>
      </w:r>
      <w:r w:rsidR="00D25B58" w:rsidRPr="00EF20DC">
        <w:rPr>
          <w:rFonts w:eastAsia="Calibri"/>
          <w:sz w:val="22"/>
          <w:szCs w:val="22"/>
        </w:rPr>
        <w:t>atokių metastazių</w:t>
      </w:r>
      <w:r w:rsidRPr="00EF20DC">
        <w:rPr>
          <w:rFonts w:eastAsia="Calibri"/>
          <w:sz w:val="22"/>
          <w:szCs w:val="22"/>
        </w:rPr>
        <w:t xml:space="preserve">, gydymo poveikis </w:t>
      </w:r>
      <w:r w:rsidR="00D25B58">
        <w:rPr>
          <w:rFonts w:eastAsia="Calibri"/>
          <w:sz w:val="22"/>
          <w:szCs w:val="22"/>
        </w:rPr>
        <w:t>buvo</w:t>
      </w:r>
      <w:r w:rsidR="00D25B58" w:rsidRPr="00EF20DC">
        <w:rPr>
          <w:rFonts w:eastAsia="Calibri"/>
          <w:sz w:val="22"/>
          <w:szCs w:val="22"/>
        </w:rPr>
        <w:t xml:space="preserve"> </w:t>
      </w:r>
      <w:r w:rsidRPr="00EF20DC">
        <w:rPr>
          <w:rFonts w:eastAsia="Calibri"/>
          <w:sz w:val="22"/>
          <w:szCs w:val="22"/>
        </w:rPr>
        <w:t>mažiau ryškus.</w:t>
      </w:r>
    </w:p>
    <w:p w14:paraId="75B2FC62" w14:textId="77777777" w:rsidR="00EF20DC" w:rsidRPr="00EF20DC" w:rsidRDefault="00EF20DC" w:rsidP="001F1094">
      <w:pPr>
        <w:rPr>
          <w:rFonts w:eastAsia="Calibri"/>
          <w:sz w:val="22"/>
          <w:szCs w:val="22"/>
        </w:rPr>
      </w:pPr>
    </w:p>
    <w:p w14:paraId="6E891F54"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Inkstų ląstelių karcinoma </w:t>
      </w:r>
    </w:p>
    <w:p w14:paraId="1D83D0BB" w14:textId="130E6DB2" w:rsidR="00EF20DC" w:rsidRPr="00EF20DC" w:rsidRDefault="00EF20DC" w:rsidP="001F1094">
      <w:pPr>
        <w:rPr>
          <w:rFonts w:eastAsia="Calibri"/>
          <w:sz w:val="22"/>
          <w:szCs w:val="22"/>
        </w:rPr>
      </w:pPr>
      <w:r w:rsidRPr="00EF20DC">
        <w:rPr>
          <w:rFonts w:eastAsia="Calibri"/>
          <w:sz w:val="22"/>
          <w:szCs w:val="22"/>
        </w:rPr>
        <w:t>Sorafenibo veiksmingumas ir saugumas, gydant progresavusią inkstų ląstelių karcinomą, buvo nustatinėjamas dviem klinikiniais tyrimais</w:t>
      </w:r>
      <w:r w:rsidR="00E2344B">
        <w:rPr>
          <w:rFonts w:eastAsia="Calibri"/>
          <w:sz w:val="22"/>
          <w:szCs w:val="22"/>
        </w:rPr>
        <w:t>.</w:t>
      </w:r>
    </w:p>
    <w:p w14:paraId="64EB491C" w14:textId="77777777" w:rsidR="00EF20DC" w:rsidRPr="00EF20DC" w:rsidRDefault="00EF20DC" w:rsidP="001F1094">
      <w:pPr>
        <w:rPr>
          <w:rFonts w:eastAsia="Calibri"/>
          <w:sz w:val="22"/>
          <w:szCs w:val="22"/>
        </w:rPr>
      </w:pPr>
    </w:p>
    <w:p w14:paraId="31609356" w14:textId="75D72299" w:rsidR="00EF20DC" w:rsidRPr="00EF20DC" w:rsidRDefault="00EF20DC" w:rsidP="001F1094">
      <w:pPr>
        <w:rPr>
          <w:rFonts w:eastAsia="Calibri"/>
          <w:sz w:val="22"/>
          <w:szCs w:val="22"/>
        </w:rPr>
      </w:pPr>
      <w:r w:rsidRPr="00EF20DC">
        <w:rPr>
          <w:rFonts w:eastAsia="Calibri"/>
          <w:sz w:val="22"/>
          <w:szCs w:val="22"/>
        </w:rPr>
        <w:t>1-asis (tyrimas 11213) buvo III fazės, daugiacentris, atsitiktinių imčių, dvigubai akl</w:t>
      </w:r>
      <w:r w:rsidR="00E2344B">
        <w:rPr>
          <w:rFonts w:eastAsia="Calibri"/>
          <w:sz w:val="22"/>
          <w:szCs w:val="22"/>
        </w:rPr>
        <w:t>as,</w:t>
      </w:r>
      <w:r w:rsidRPr="00EF20DC">
        <w:rPr>
          <w:rFonts w:eastAsia="Calibri"/>
          <w:sz w:val="22"/>
          <w:szCs w:val="22"/>
        </w:rPr>
        <w:t xml:space="preserve"> placebo </w:t>
      </w:r>
      <w:r w:rsidR="00E2344B">
        <w:rPr>
          <w:rFonts w:eastAsia="Calibri"/>
          <w:sz w:val="22"/>
          <w:szCs w:val="22"/>
        </w:rPr>
        <w:t>kontroliuojamas tyrimas, kuriame</w:t>
      </w:r>
      <w:r w:rsidRPr="00EF20DC">
        <w:rPr>
          <w:rFonts w:eastAsia="Calibri"/>
          <w:sz w:val="22"/>
          <w:szCs w:val="22"/>
        </w:rPr>
        <w:t xml:space="preserve"> dalyvavo 903 pacientai. Į tyrimą buvo įtraukti tik tie pacientai, kuriems buvo aiški inkstų ląstelių karcinoma ir kurie pagal MSKCC (</w:t>
      </w:r>
      <w:r w:rsidR="00BB5CF3">
        <w:rPr>
          <w:rFonts w:eastAsia="Calibri"/>
          <w:sz w:val="22"/>
          <w:szCs w:val="22"/>
        </w:rPr>
        <w:t xml:space="preserve">angl. </w:t>
      </w:r>
      <w:r w:rsidRPr="00EF20DC">
        <w:rPr>
          <w:rFonts w:eastAsia="Calibri"/>
          <w:i/>
          <w:sz w:val="22"/>
          <w:szCs w:val="22"/>
        </w:rPr>
        <w:t>Memorial Sloan Kettering Cancer Center</w:t>
      </w:r>
      <w:r w:rsidRPr="00EF20DC">
        <w:rPr>
          <w:rFonts w:eastAsia="Calibri"/>
          <w:sz w:val="22"/>
          <w:szCs w:val="22"/>
        </w:rPr>
        <w:t>) buvo mažos arba vidutinės rizikos grupės. Svarbiausia vertinamoji baigtis buvo bendras išgyvenamumas ir išgyvenamumo, ligai neprogresuojant, trukmė (angl.</w:t>
      </w:r>
      <w:r w:rsidRPr="00EF20DC">
        <w:rPr>
          <w:rFonts w:eastAsia="Calibri"/>
          <w:i/>
          <w:sz w:val="22"/>
          <w:szCs w:val="22"/>
        </w:rPr>
        <w:t xml:space="preserve"> progression free surviving</w:t>
      </w:r>
      <w:r w:rsidR="00BB5CF3">
        <w:rPr>
          <w:rFonts w:eastAsia="Calibri"/>
          <w:i/>
          <w:sz w:val="22"/>
          <w:szCs w:val="22"/>
        </w:rPr>
        <w:t xml:space="preserve">, </w:t>
      </w:r>
      <w:r w:rsidR="00BB5CF3" w:rsidRPr="00BB5CF3">
        <w:rPr>
          <w:rFonts w:eastAsia="Calibri"/>
          <w:i/>
          <w:sz w:val="22"/>
          <w:szCs w:val="22"/>
        </w:rPr>
        <w:t>PFS</w:t>
      </w:r>
      <w:r w:rsidRPr="00EF20DC">
        <w:rPr>
          <w:rFonts w:eastAsia="Calibri"/>
          <w:sz w:val="22"/>
          <w:szCs w:val="22"/>
        </w:rPr>
        <w:t>). Maždaug pusės pacientų būklė pagal ECOG buvo 0</w:t>
      </w:r>
      <w:r w:rsidR="001B61EA">
        <w:rPr>
          <w:rFonts w:eastAsia="Calibri"/>
          <w:sz w:val="22"/>
          <w:szCs w:val="22"/>
        </w:rPr>
        <w:t xml:space="preserve"> balų</w:t>
      </w:r>
      <w:r w:rsidRPr="00EF20DC">
        <w:rPr>
          <w:rFonts w:eastAsia="Calibri"/>
          <w:sz w:val="22"/>
          <w:szCs w:val="22"/>
        </w:rPr>
        <w:t xml:space="preserve"> ir pusė tiriamųjų pagal MSKCC buvo mažos rizikos grupės. </w:t>
      </w:r>
    </w:p>
    <w:p w14:paraId="61010DC0" w14:textId="2148421E" w:rsidR="00EF20DC" w:rsidRPr="00EF20DC" w:rsidRDefault="00EF20DC" w:rsidP="001F1094">
      <w:pPr>
        <w:rPr>
          <w:rFonts w:eastAsia="Calibri"/>
          <w:sz w:val="22"/>
          <w:szCs w:val="22"/>
        </w:rPr>
      </w:pPr>
      <w:r w:rsidRPr="00EF20DC">
        <w:rPr>
          <w:rFonts w:eastAsia="Calibri"/>
          <w:sz w:val="22"/>
          <w:szCs w:val="22"/>
        </w:rPr>
        <w:t>Poveikis PFS buvo nustat</w:t>
      </w:r>
      <w:r w:rsidR="00BB5CF3">
        <w:rPr>
          <w:rFonts w:eastAsia="Calibri"/>
          <w:sz w:val="22"/>
          <w:szCs w:val="22"/>
        </w:rPr>
        <w:t>y</w:t>
      </w:r>
      <w:r w:rsidRPr="00EF20DC">
        <w:rPr>
          <w:rFonts w:eastAsia="Calibri"/>
          <w:sz w:val="22"/>
          <w:szCs w:val="22"/>
        </w:rPr>
        <w:t>tas atsižvelgiant į aklu būdu atliktą nepriklausomą r</w:t>
      </w:r>
      <w:r w:rsidR="00434111">
        <w:rPr>
          <w:rFonts w:eastAsia="Calibri"/>
          <w:sz w:val="22"/>
          <w:szCs w:val="22"/>
        </w:rPr>
        <w:t>adiologinę</w:t>
      </w:r>
      <w:r w:rsidRPr="00EF20DC">
        <w:rPr>
          <w:rFonts w:eastAsia="Calibri"/>
          <w:sz w:val="22"/>
          <w:szCs w:val="22"/>
        </w:rPr>
        <w:t xml:space="preserve"> peržiūrą, naudojant RECIST kriterijus. Į PFS analizę buvo įtraukti 769 pacientai po 342 reiškinio atvejo. Sorafenibu gydytų pacientų vidutinis PFS buvo 167 paros, placebo vartojusių tiriamųjų − 84 paros (RS = 0,44; 95 % PI:  0,35–0,55; p</w:t>
      </w:r>
      <w:r w:rsidR="00BB5CF3" w:rsidRPr="00CF26D8">
        <w:rPr>
          <w:rFonts w:eastAsia="Calibri"/>
          <w:sz w:val="22"/>
          <w:szCs w:val="22"/>
        </w:rPr>
        <w:t> </w:t>
      </w:r>
      <w:r w:rsidRPr="00EF20DC">
        <w:rPr>
          <w:rFonts w:eastAsia="Calibri"/>
          <w:sz w:val="22"/>
          <w:szCs w:val="22"/>
        </w:rPr>
        <w:t xml:space="preserve">&lt; 0,000001). Amžius, MSKCC prognozės grupė, ECOG </w:t>
      </w:r>
      <w:r w:rsidR="00BB5CF3" w:rsidRPr="001B61EA">
        <w:rPr>
          <w:rFonts w:eastAsia="Calibri"/>
          <w:sz w:val="22"/>
          <w:szCs w:val="22"/>
        </w:rPr>
        <w:t>f</w:t>
      </w:r>
      <w:r w:rsidR="00185AD6" w:rsidRPr="00D93D74">
        <w:rPr>
          <w:rFonts w:eastAsia="Calibri"/>
          <w:sz w:val="22"/>
          <w:szCs w:val="22"/>
        </w:rPr>
        <w:t>unk</w:t>
      </w:r>
      <w:r w:rsidR="00BB5CF3" w:rsidRPr="001B61EA">
        <w:rPr>
          <w:rFonts w:eastAsia="Calibri"/>
          <w:sz w:val="22"/>
          <w:szCs w:val="22"/>
        </w:rPr>
        <w:t xml:space="preserve">cinė klasė </w:t>
      </w:r>
      <w:r w:rsidRPr="001B61EA">
        <w:rPr>
          <w:rFonts w:eastAsia="Calibri"/>
          <w:sz w:val="22"/>
          <w:szCs w:val="22"/>
        </w:rPr>
        <w:t>(</w:t>
      </w:r>
      <w:r w:rsidR="00BB5CF3" w:rsidRPr="001B61EA">
        <w:rPr>
          <w:rFonts w:eastAsia="Calibri"/>
          <w:sz w:val="22"/>
          <w:szCs w:val="22"/>
        </w:rPr>
        <w:t xml:space="preserve">angl. </w:t>
      </w:r>
      <w:r w:rsidRPr="001B61EA">
        <w:rPr>
          <w:rFonts w:eastAsia="Calibri"/>
          <w:i/>
          <w:sz w:val="22"/>
          <w:szCs w:val="22"/>
        </w:rPr>
        <w:t>Performance</w:t>
      </w:r>
      <w:r w:rsidRPr="00EF20DC">
        <w:rPr>
          <w:rFonts w:eastAsia="Calibri"/>
          <w:i/>
          <w:sz w:val="22"/>
          <w:szCs w:val="22"/>
        </w:rPr>
        <w:t xml:space="preserve"> status</w:t>
      </w:r>
      <w:r w:rsidRPr="00EF20DC">
        <w:rPr>
          <w:rFonts w:eastAsia="Calibri"/>
          <w:sz w:val="22"/>
          <w:szCs w:val="22"/>
        </w:rPr>
        <w:t>) ir anks</w:t>
      </w:r>
      <w:r w:rsidR="00434111">
        <w:rPr>
          <w:rFonts w:eastAsia="Calibri"/>
          <w:sz w:val="22"/>
          <w:szCs w:val="22"/>
        </w:rPr>
        <w:t>čiau taikytas gydymas</w:t>
      </w:r>
      <w:r w:rsidRPr="00EF20DC">
        <w:rPr>
          <w:rFonts w:eastAsia="Calibri"/>
          <w:sz w:val="22"/>
          <w:szCs w:val="22"/>
        </w:rPr>
        <w:t xml:space="preserve"> gydomajam poveikiui įtakos nedarė. </w:t>
      </w:r>
    </w:p>
    <w:p w14:paraId="007971D8" w14:textId="6C1D4BC4" w:rsidR="00EF20DC" w:rsidRPr="00EF20DC" w:rsidRDefault="00EF20DC" w:rsidP="001F1094">
      <w:pPr>
        <w:rPr>
          <w:rFonts w:eastAsia="Calibri"/>
          <w:sz w:val="22"/>
          <w:szCs w:val="22"/>
        </w:rPr>
      </w:pPr>
    </w:p>
    <w:p w14:paraId="4E111EF2" w14:textId="36743E4E" w:rsidR="00EF20DC" w:rsidRPr="00EF20DC" w:rsidRDefault="00EF20DC" w:rsidP="001F1094">
      <w:pPr>
        <w:rPr>
          <w:rFonts w:eastAsia="Calibri"/>
          <w:sz w:val="22"/>
          <w:szCs w:val="22"/>
        </w:rPr>
      </w:pPr>
      <w:r w:rsidRPr="00EF20DC">
        <w:rPr>
          <w:rFonts w:eastAsia="Calibri"/>
          <w:sz w:val="22"/>
          <w:szCs w:val="22"/>
        </w:rPr>
        <w:t xml:space="preserve">Į </w:t>
      </w:r>
      <w:r w:rsidR="00434111">
        <w:rPr>
          <w:rFonts w:eastAsia="Calibri"/>
          <w:sz w:val="22"/>
          <w:szCs w:val="22"/>
        </w:rPr>
        <w:t>tarpinę</w:t>
      </w:r>
      <w:r w:rsidRPr="00EF20DC">
        <w:rPr>
          <w:rFonts w:eastAsia="Calibri"/>
          <w:sz w:val="22"/>
          <w:szCs w:val="22"/>
        </w:rPr>
        <w:t xml:space="preserve"> bendro išgyvenamumo analizę (antr</w:t>
      </w:r>
      <w:r w:rsidR="00434111">
        <w:rPr>
          <w:rFonts w:eastAsia="Calibri"/>
          <w:sz w:val="22"/>
          <w:szCs w:val="22"/>
        </w:rPr>
        <w:t>oji tarpinė</w:t>
      </w:r>
      <w:r w:rsidRPr="00EF20DC">
        <w:rPr>
          <w:rFonts w:eastAsia="Calibri"/>
          <w:sz w:val="22"/>
          <w:szCs w:val="22"/>
        </w:rPr>
        <w:t xml:space="preserve"> analizė) buvo įtraukti 907 tiriamieji po 367 mirties atvejo. Nominalinė šios analizės alfa reikšmė buvo 0,0094. </w:t>
      </w:r>
      <w:r w:rsidR="000E1627">
        <w:rPr>
          <w:rFonts w:eastAsia="Calibri"/>
          <w:sz w:val="22"/>
          <w:szCs w:val="22"/>
        </w:rPr>
        <w:t>S</w:t>
      </w:r>
      <w:r w:rsidRPr="00EF20DC">
        <w:rPr>
          <w:rFonts w:eastAsia="Calibri"/>
          <w:sz w:val="22"/>
          <w:szCs w:val="22"/>
        </w:rPr>
        <w:t>orafenibu gydytų pacientų išgyvenamumo trukmė</w:t>
      </w:r>
      <w:r w:rsidR="000E1627">
        <w:rPr>
          <w:rFonts w:eastAsia="Calibri"/>
          <w:sz w:val="22"/>
          <w:szCs w:val="22"/>
        </w:rPr>
        <w:t>s mediana</w:t>
      </w:r>
      <w:r w:rsidRPr="00EF20DC">
        <w:rPr>
          <w:rFonts w:eastAsia="Calibri"/>
          <w:sz w:val="22"/>
          <w:szCs w:val="22"/>
        </w:rPr>
        <w:t xml:space="preserve"> buvo 19,3 mėn., placebo vartojusių tiriamųjų − 15,9 mėn. (RS = 0,77; 95 % PI: 0,63–0,95; p</w:t>
      </w:r>
      <w:r w:rsidR="00185AD6">
        <w:rPr>
          <w:rFonts w:eastAsia="Calibri"/>
          <w:sz w:val="22"/>
          <w:szCs w:val="22"/>
        </w:rPr>
        <w:t> </w:t>
      </w:r>
      <w:r w:rsidRPr="00EF20DC">
        <w:rPr>
          <w:rFonts w:eastAsia="Calibri"/>
          <w:sz w:val="22"/>
          <w:szCs w:val="22"/>
        </w:rPr>
        <w:t xml:space="preserve">= 0,015). Analizės metu maždaug 200 pacientų </w:t>
      </w:r>
      <w:r w:rsidR="00434111">
        <w:rPr>
          <w:rFonts w:eastAsia="Calibri"/>
          <w:sz w:val="22"/>
          <w:szCs w:val="22"/>
        </w:rPr>
        <w:t>buvo perėję nuo</w:t>
      </w:r>
      <w:r w:rsidRPr="00EF20DC">
        <w:rPr>
          <w:rFonts w:eastAsia="Calibri"/>
          <w:sz w:val="22"/>
          <w:szCs w:val="22"/>
        </w:rPr>
        <w:t xml:space="preserve"> placeb</w:t>
      </w:r>
      <w:r w:rsidR="00434111">
        <w:rPr>
          <w:rFonts w:eastAsia="Calibri"/>
          <w:sz w:val="22"/>
          <w:szCs w:val="22"/>
        </w:rPr>
        <w:t>o prie gydymo</w:t>
      </w:r>
      <w:r w:rsidRPr="00EF20DC">
        <w:rPr>
          <w:rFonts w:eastAsia="Calibri"/>
          <w:sz w:val="22"/>
          <w:szCs w:val="22"/>
        </w:rPr>
        <w:t xml:space="preserve"> sorafenibu. </w:t>
      </w:r>
    </w:p>
    <w:p w14:paraId="01DCFB97" w14:textId="77777777" w:rsidR="00EF20DC" w:rsidRPr="00EF20DC" w:rsidRDefault="00EF20DC" w:rsidP="001F1094">
      <w:pPr>
        <w:rPr>
          <w:rFonts w:eastAsia="Calibri"/>
          <w:sz w:val="22"/>
          <w:szCs w:val="22"/>
        </w:rPr>
      </w:pPr>
    </w:p>
    <w:p w14:paraId="15AC8E59" w14:textId="6C14BB0A" w:rsidR="00EF20DC" w:rsidRPr="00EF20DC" w:rsidRDefault="00EF20DC" w:rsidP="001F1094">
      <w:pPr>
        <w:rPr>
          <w:rFonts w:eastAsia="Calibri"/>
          <w:sz w:val="22"/>
          <w:szCs w:val="22"/>
        </w:rPr>
      </w:pPr>
      <w:r w:rsidRPr="00EF20DC">
        <w:rPr>
          <w:rFonts w:eastAsia="Calibri"/>
          <w:sz w:val="22"/>
          <w:szCs w:val="22"/>
        </w:rPr>
        <w:t xml:space="preserve">2-asis tyrimas buvo II fazės, </w:t>
      </w:r>
      <w:r w:rsidR="00434111">
        <w:rPr>
          <w:rFonts w:eastAsia="Calibri"/>
          <w:sz w:val="22"/>
          <w:szCs w:val="22"/>
        </w:rPr>
        <w:t>nutraukimo tyrimas</w:t>
      </w:r>
      <w:r w:rsidRPr="00EF20DC">
        <w:rPr>
          <w:rFonts w:eastAsia="Calibri"/>
          <w:sz w:val="22"/>
          <w:szCs w:val="22"/>
        </w:rPr>
        <w:t>. Jame dalyvavo pacientai, kuriems buvo metastaz</w:t>
      </w:r>
      <w:r w:rsidR="00B72875">
        <w:rPr>
          <w:rFonts w:eastAsia="Calibri"/>
          <w:sz w:val="22"/>
          <w:szCs w:val="22"/>
        </w:rPr>
        <w:t>avęs</w:t>
      </w:r>
      <w:r w:rsidRPr="00EF20DC">
        <w:rPr>
          <w:rFonts w:eastAsia="Calibri"/>
          <w:sz w:val="22"/>
          <w:szCs w:val="22"/>
        </w:rPr>
        <w:t xml:space="preserve"> navikas, įskaitant inkstų ląstelių karcinomą. Pacientai, kurių liga gydant sorafenibu buvo stabili, atsitiktinių imčių būdu buvo suskirstyti į dvi grupes: vienos grupės tiriamieji buvo toliau gyd</w:t>
      </w:r>
      <w:r w:rsidR="001114B5">
        <w:rPr>
          <w:rFonts w:eastAsia="Calibri"/>
          <w:sz w:val="22"/>
          <w:szCs w:val="22"/>
        </w:rPr>
        <w:t>yt</w:t>
      </w:r>
      <w:r w:rsidRPr="00EF20DC">
        <w:rPr>
          <w:rFonts w:eastAsia="Calibri"/>
          <w:sz w:val="22"/>
          <w:szCs w:val="22"/>
        </w:rPr>
        <w:t>i sorafenibu, kitos − placebu. Sorafenibu gyd</w:t>
      </w:r>
      <w:r w:rsidR="001114B5">
        <w:rPr>
          <w:rFonts w:eastAsia="Calibri"/>
          <w:sz w:val="22"/>
          <w:szCs w:val="22"/>
        </w:rPr>
        <w:t>yt</w:t>
      </w:r>
      <w:r w:rsidRPr="00EF20DC">
        <w:rPr>
          <w:rFonts w:eastAsia="Calibri"/>
          <w:sz w:val="22"/>
          <w:szCs w:val="22"/>
        </w:rPr>
        <w:t>ų pacientų, kuriems buvo inkstų ląstelių karcinoma, PFS buvo reikšmingai ilgesnė (163 paros) negu vartojusių placebo (41 para) (p</w:t>
      </w:r>
      <w:r w:rsidR="00AA1D33">
        <w:rPr>
          <w:rFonts w:eastAsia="Calibri"/>
          <w:sz w:val="22"/>
          <w:szCs w:val="22"/>
        </w:rPr>
        <w:t> </w:t>
      </w:r>
      <w:r w:rsidRPr="00EF20DC">
        <w:rPr>
          <w:rFonts w:eastAsia="Calibri"/>
          <w:sz w:val="22"/>
          <w:szCs w:val="22"/>
        </w:rPr>
        <w:t xml:space="preserve">= 0,0001; RS = 0,29). </w:t>
      </w:r>
    </w:p>
    <w:p w14:paraId="7A82AD69" w14:textId="77777777" w:rsidR="0045758D" w:rsidRDefault="0045758D" w:rsidP="0045758D">
      <w:pPr>
        <w:rPr>
          <w:rFonts w:eastAsia="Calibri"/>
          <w:sz w:val="22"/>
          <w:szCs w:val="22"/>
        </w:rPr>
      </w:pPr>
    </w:p>
    <w:p w14:paraId="02437E93" w14:textId="77777777" w:rsidR="0045758D" w:rsidRPr="006D4AC3" w:rsidRDefault="0045758D" w:rsidP="0045758D">
      <w:pPr>
        <w:rPr>
          <w:rFonts w:eastAsia="Calibri"/>
          <w:sz w:val="22"/>
          <w:szCs w:val="22"/>
          <w:u w:val="single"/>
        </w:rPr>
      </w:pPr>
      <w:r w:rsidRPr="006D4AC3">
        <w:rPr>
          <w:rFonts w:eastAsia="Calibri"/>
          <w:sz w:val="22"/>
          <w:szCs w:val="22"/>
          <w:u w:val="single"/>
        </w:rPr>
        <w:t>Diferencijuota skydliaukės karcinoma (DSK)</w:t>
      </w:r>
    </w:p>
    <w:p w14:paraId="725B7064" w14:textId="77777777" w:rsidR="0045758D" w:rsidRDefault="0045758D" w:rsidP="0045758D">
      <w:pPr>
        <w:rPr>
          <w:rFonts w:eastAsia="Calibri"/>
          <w:sz w:val="22"/>
          <w:szCs w:val="22"/>
        </w:rPr>
      </w:pPr>
    </w:p>
    <w:p w14:paraId="38F3A5DD" w14:textId="72E649FB" w:rsidR="0045758D" w:rsidRPr="00E71EED" w:rsidRDefault="0045758D" w:rsidP="0045758D">
      <w:pPr>
        <w:rPr>
          <w:rFonts w:eastAsia="Calibri"/>
          <w:sz w:val="22"/>
          <w:szCs w:val="22"/>
        </w:rPr>
      </w:pPr>
      <w:r w:rsidRPr="006D4AC3">
        <w:rPr>
          <w:rFonts w:eastAsia="Calibri"/>
          <w:sz w:val="22"/>
          <w:szCs w:val="22"/>
        </w:rPr>
        <w:lastRenderedPageBreak/>
        <w:t>5 tyrimas (tyrimas 14295) buvo III fazės, tarptautinis, daugiacentris, atsitiktinių imčių, dvigubai koduotas, placebu kontroliuojamas tyrimas, kuriame dalyvavo 417 pacientų, sergančių vietiškai pažengusia ar metastazavusia DSK, atsparia radioaktyviajam jodui. P</w:t>
      </w:r>
      <w:r w:rsidR="007015F1">
        <w:rPr>
          <w:rFonts w:eastAsia="Calibri"/>
          <w:sz w:val="22"/>
          <w:szCs w:val="22"/>
        </w:rPr>
        <w:t>irminė</w:t>
      </w:r>
      <w:r w:rsidRPr="006D4AC3">
        <w:rPr>
          <w:rFonts w:eastAsia="Calibri"/>
          <w:sz w:val="22"/>
          <w:szCs w:val="22"/>
        </w:rPr>
        <w:t xml:space="preserve"> tyrimo vertinamoji baigtis buvo išgyvenamumas neprogresuojant ligai (INL), vertinant pagal koduotą nepriklausomą radiologinį tyrimą taikant RECIST kriterijus. </w:t>
      </w:r>
      <w:r>
        <w:rPr>
          <w:rFonts w:eastAsia="Calibri"/>
          <w:sz w:val="22"/>
          <w:szCs w:val="22"/>
        </w:rPr>
        <w:t>Antrinės vertinamosios baigtys</w:t>
      </w:r>
      <w:r w:rsidRPr="006D4AC3">
        <w:rPr>
          <w:rFonts w:eastAsia="Calibri"/>
          <w:sz w:val="22"/>
          <w:szCs w:val="22"/>
        </w:rPr>
        <w:t xml:space="preserve"> </w:t>
      </w:r>
      <w:r>
        <w:rPr>
          <w:rFonts w:eastAsia="Calibri"/>
          <w:sz w:val="22"/>
          <w:szCs w:val="22"/>
        </w:rPr>
        <w:t xml:space="preserve">buvo </w:t>
      </w:r>
      <w:r w:rsidRPr="006D4AC3">
        <w:rPr>
          <w:rFonts w:eastAsia="Calibri"/>
          <w:sz w:val="22"/>
          <w:szCs w:val="22"/>
        </w:rPr>
        <w:t>bendr</w:t>
      </w:r>
      <w:r>
        <w:rPr>
          <w:rFonts w:eastAsia="Calibri"/>
          <w:sz w:val="22"/>
          <w:szCs w:val="22"/>
        </w:rPr>
        <w:t>asis</w:t>
      </w:r>
      <w:r w:rsidRPr="006D4AC3">
        <w:rPr>
          <w:rFonts w:eastAsia="Calibri"/>
          <w:sz w:val="22"/>
          <w:szCs w:val="22"/>
        </w:rPr>
        <w:t xml:space="preserve"> išgyvenamumas (BI), naviko atsako dažnis ir atsako trukmė. </w:t>
      </w:r>
      <w:r w:rsidRPr="00E71EED">
        <w:rPr>
          <w:rFonts w:eastAsia="Calibri"/>
          <w:sz w:val="22"/>
          <w:szCs w:val="22"/>
        </w:rPr>
        <w:t>Po progresavimo pacientams buvo leidžiama vartoti sorafenibo atviro (neužkoduoto) tyrimo principu.</w:t>
      </w:r>
    </w:p>
    <w:p w14:paraId="762EF1AA" w14:textId="77777777" w:rsidR="0045758D" w:rsidRPr="00E71EED" w:rsidRDefault="0045758D" w:rsidP="0045758D">
      <w:pPr>
        <w:rPr>
          <w:rFonts w:eastAsia="Calibri"/>
          <w:sz w:val="22"/>
          <w:szCs w:val="22"/>
        </w:rPr>
      </w:pPr>
    </w:p>
    <w:p w14:paraId="01F9F38F" w14:textId="07B116ED" w:rsidR="0045758D" w:rsidRPr="00E71EED" w:rsidRDefault="0045758D" w:rsidP="0045758D">
      <w:pPr>
        <w:rPr>
          <w:rFonts w:eastAsia="Calibri"/>
          <w:sz w:val="22"/>
          <w:szCs w:val="22"/>
        </w:rPr>
      </w:pPr>
      <w:r w:rsidRPr="00E71EED">
        <w:rPr>
          <w:rFonts w:eastAsia="Calibri"/>
          <w:sz w:val="22"/>
          <w:szCs w:val="22"/>
        </w:rPr>
        <w:t>Pacientai dalyvavo tyrime, jeigu per 14 mėnesių nuo jų įtraukimo į tyrimą liga progresavo ir jie sirgo DSK, atsparia radioaktyviajam jodui (RAJ). Diferencijuota skydliaukės karcinoma (DSK), atspari RAJ, buvo apibrėžiama kaip pokytis, kuris neabsorbuoja jodo atliekant RAJ skenavimą arba skiriant kumuliacinio RAJ ≥</w:t>
      </w:r>
      <w:r w:rsidR="007015F1">
        <w:rPr>
          <w:rFonts w:eastAsia="Calibri"/>
          <w:sz w:val="22"/>
          <w:szCs w:val="22"/>
        </w:rPr>
        <w:t> </w:t>
      </w:r>
      <w:r w:rsidRPr="00E71EED">
        <w:rPr>
          <w:rFonts w:eastAsia="Calibri"/>
          <w:sz w:val="22"/>
          <w:szCs w:val="22"/>
        </w:rPr>
        <w:t>22,2 GBq, arba kuris progresavo po gydymo RAJ per 16 mėnesių nuo įtraukimo į tyrimą arba po dviejų gydymo RAJ kursų, taikytų su 16 mėnesių pertrauka.</w:t>
      </w:r>
    </w:p>
    <w:p w14:paraId="6D015E88" w14:textId="77777777" w:rsidR="0045758D" w:rsidRPr="00E71EED" w:rsidRDefault="0045758D" w:rsidP="0045758D">
      <w:pPr>
        <w:rPr>
          <w:rFonts w:eastAsia="Calibri"/>
          <w:sz w:val="22"/>
          <w:szCs w:val="22"/>
        </w:rPr>
      </w:pPr>
    </w:p>
    <w:p w14:paraId="68948057" w14:textId="77777777" w:rsidR="0045758D" w:rsidRPr="00E71EED" w:rsidRDefault="0045758D" w:rsidP="0045758D">
      <w:pPr>
        <w:rPr>
          <w:rFonts w:eastAsia="Calibri"/>
          <w:sz w:val="22"/>
          <w:szCs w:val="22"/>
        </w:rPr>
      </w:pPr>
      <w:r w:rsidRPr="00E71EED">
        <w:rPr>
          <w:rFonts w:eastAsia="Calibri"/>
          <w:sz w:val="22"/>
          <w:szCs w:val="22"/>
        </w:rPr>
        <w:t>Pradinės demografinės ir pacientų charakteristikos abiejose gydymo grupėse buvo gerai subalansuotos. Metastazių plaučiuose buvo 86 %, limfmazgiuose – 51 % ir kauluose – 27 % pacientų. Prieš įtraukimą į tyrimą bendrojo skirto radioaktyviojo jodo aktyvumo mediana buvo maždaug 14,8 GBq. Daugumai pacientų buvo papilinė karcinoma (56,8 %), kitiems nustatyta folikulinė (25,4 %) ir silpnai diferencijuota karcinoma (9,6 %).</w:t>
      </w:r>
    </w:p>
    <w:p w14:paraId="240C80F8" w14:textId="77777777" w:rsidR="0045758D" w:rsidRPr="00E71EED" w:rsidRDefault="0045758D" w:rsidP="0045758D">
      <w:pPr>
        <w:rPr>
          <w:rFonts w:eastAsia="Calibri"/>
          <w:sz w:val="22"/>
          <w:szCs w:val="22"/>
        </w:rPr>
      </w:pPr>
    </w:p>
    <w:p w14:paraId="0EBC6B23" w14:textId="77777777" w:rsidR="0045758D" w:rsidRPr="00E71EED" w:rsidRDefault="0045758D" w:rsidP="0045758D">
      <w:pPr>
        <w:rPr>
          <w:rFonts w:eastAsia="Calibri"/>
          <w:sz w:val="22"/>
          <w:szCs w:val="22"/>
        </w:rPr>
      </w:pPr>
      <w:r w:rsidRPr="00E71EED">
        <w:rPr>
          <w:rFonts w:eastAsia="Calibri"/>
          <w:sz w:val="22"/>
          <w:szCs w:val="22"/>
        </w:rPr>
        <w:t>INL laiko mediana buvo 10,8 mėnesio sorafenibo grupėje, palyginti su 5,8 mėnesio placebo grupėje (RS = 0,587; 95 % patikimumo intervalas (PI): 0,454, 0,758; vienpusė p-vertė &lt; 0,0001).</w:t>
      </w:r>
    </w:p>
    <w:p w14:paraId="6D66C44D" w14:textId="77777777" w:rsidR="0045758D" w:rsidRPr="00E71EED" w:rsidRDefault="0045758D" w:rsidP="0045758D">
      <w:pPr>
        <w:rPr>
          <w:rFonts w:eastAsia="Calibri"/>
          <w:sz w:val="22"/>
          <w:szCs w:val="22"/>
        </w:rPr>
      </w:pPr>
      <w:r w:rsidRPr="00E71EED">
        <w:rPr>
          <w:rFonts w:eastAsia="Calibri"/>
          <w:sz w:val="22"/>
          <w:szCs w:val="22"/>
        </w:rPr>
        <w:t>Sorafenibo poveikis INL buvo vienodas nepriklausomai nuo geografinio regiono, vyresnio ar jaunesnio nei 60 metų amžiaus, lyties, histologinio potipio ir kaulų metastazių buvimo ar nebuvimo.</w:t>
      </w:r>
    </w:p>
    <w:p w14:paraId="1A85ACB8" w14:textId="77777777" w:rsidR="0045758D" w:rsidRPr="00E71EED" w:rsidRDefault="0045758D" w:rsidP="0045758D">
      <w:pPr>
        <w:rPr>
          <w:rFonts w:eastAsia="Calibri"/>
          <w:sz w:val="22"/>
          <w:szCs w:val="22"/>
        </w:rPr>
      </w:pPr>
    </w:p>
    <w:p w14:paraId="153FD44E" w14:textId="77777777" w:rsidR="0045758D" w:rsidRPr="00E71EED" w:rsidRDefault="0045758D" w:rsidP="0045758D">
      <w:pPr>
        <w:rPr>
          <w:rFonts w:eastAsia="Calibri"/>
          <w:sz w:val="22"/>
          <w:szCs w:val="22"/>
          <w:lang w:val="pl-PL"/>
        </w:rPr>
      </w:pPr>
      <w:r w:rsidRPr="00E71EED">
        <w:rPr>
          <w:rFonts w:eastAsia="Calibri"/>
          <w:sz w:val="22"/>
          <w:szCs w:val="22"/>
        </w:rPr>
        <w:t xml:space="preserve">Praėjus 9 mėnesiams po galutinei INL analizei reikalingų duomenų registravimo nutraukimo, vertinant bendrąjį išgyvenamumą, statistiškai reikšmingo bendrojo išgyvenamumo skirtumo tarp gydymo grupių nenustatyta (RS buvo 0,884; 95 % PI: 0,633, 1,236, vienpusė p-vertė 0,236). </w:t>
      </w:r>
      <w:r w:rsidRPr="00E71EED">
        <w:rPr>
          <w:rFonts w:eastAsia="Calibri"/>
          <w:sz w:val="22"/>
          <w:szCs w:val="22"/>
          <w:lang w:val="pl-PL"/>
        </w:rPr>
        <w:t>BI mediana sorafenibo grupėje nepasiekta, o placebo grupėje ji buvo 36,5 mėnesio. Šimtas penkiasdešimt septyni (75 %) pacientai, atsitiktinių imčių būdu priskirti vartoti placebą, ir 61 (30 %) pacientas, atsitiktinių imčių būdu priskirtas vartoti sorafenibą, vartojo sorafenibą atviro (neužkoduoto) tyrimo principu.</w:t>
      </w:r>
    </w:p>
    <w:p w14:paraId="4CC0766C" w14:textId="77777777" w:rsidR="0045758D" w:rsidRPr="00E71EED" w:rsidRDefault="0045758D" w:rsidP="0045758D">
      <w:pPr>
        <w:rPr>
          <w:rFonts w:eastAsia="Calibri"/>
          <w:sz w:val="22"/>
          <w:szCs w:val="22"/>
          <w:lang w:val="pl-PL"/>
        </w:rPr>
      </w:pPr>
    </w:p>
    <w:p w14:paraId="0E8BEF05" w14:textId="77777777" w:rsidR="0045758D" w:rsidRPr="00E71EED" w:rsidRDefault="0045758D" w:rsidP="0045758D">
      <w:pPr>
        <w:rPr>
          <w:rFonts w:eastAsia="Calibri"/>
          <w:sz w:val="22"/>
          <w:szCs w:val="22"/>
          <w:lang w:val="pl-PL"/>
        </w:rPr>
      </w:pPr>
      <w:r w:rsidRPr="00E71EED">
        <w:rPr>
          <w:rFonts w:eastAsia="Calibri"/>
          <w:sz w:val="22"/>
          <w:szCs w:val="22"/>
          <w:lang w:val="pl-PL"/>
        </w:rPr>
        <w:t>Sorafenibo vartojusių pacientų gydymo trukmės mediana dvigubai koduotu laikotarpiu buvo 46 savaitės (ribos: 0,3-135), placebo vartojusių pacientų – 28 savaitės (ribos: 1,7–132).</w:t>
      </w:r>
    </w:p>
    <w:p w14:paraId="295D47DE" w14:textId="77777777" w:rsidR="0045758D" w:rsidRPr="00E71EED" w:rsidRDefault="0045758D" w:rsidP="0045758D">
      <w:pPr>
        <w:rPr>
          <w:rFonts w:eastAsia="Calibri"/>
          <w:sz w:val="22"/>
          <w:szCs w:val="22"/>
          <w:lang w:val="pl-PL"/>
        </w:rPr>
      </w:pPr>
    </w:p>
    <w:p w14:paraId="7A9ADA33" w14:textId="77777777" w:rsidR="0045758D" w:rsidRPr="00E71EED" w:rsidRDefault="0045758D" w:rsidP="0045758D">
      <w:pPr>
        <w:rPr>
          <w:rFonts w:eastAsia="Calibri"/>
          <w:sz w:val="22"/>
          <w:szCs w:val="22"/>
          <w:lang w:val="pt-PT"/>
        </w:rPr>
      </w:pPr>
      <w:r w:rsidRPr="00E71EED">
        <w:rPr>
          <w:rFonts w:eastAsia="Calibri"/>
          <w:sz w:val="22"/>
          <w:szCs w:val="22"/>
          <w:lang w:val="pt-PT"/>
        </w:rPr>
        <w:t>Visiško atsako (VA) pagal RECIST kriterijus nenustatyta. Bendras atsako dažnis (VA + dalinis atsakas (DA) vieno nepriklausomo radiologinio įvertinimo metu buvo didesnis sorafenibo grupėje (24 pacientai, 12,2 %) nei placebo grupėje (1 pacientas, 0,5 %), vienpusė p-vertė &lt; 0,0001. Sorafenibu gydytiems pacientams, kuriems pasireiškė DA, atsako trukmės mediana buvo 309 paros (95 % PI: 226,505 paros).</w:t>
      </w:r>
    </w:p>
    <w:p w14:paraId="21B1CC77" w14:textId="77777777" w:rsidR="0045758D" w:rsidRPr="00E71EED" w:rsidRDefault="0045758D" w:rsidP="0045758D">
      <w:pPr>
        <w:rPr>
          <w:rFonts w:eastAsia="Calibri"/>
          <w:sz w:val="22"/>
          <w:szCs w:val="22"/>
          <w:lang w:val="pt-PT"/>
        </w:rPr>
      </w:pPr>
    </w:p>
    <w:p w14:paraId="3CFDC779" w14:textId="77777777" w:rsidR="0045758D" w:rsidRPr="00E71EED" w:rsidRDefault="0045758D" w:rsidP="0045758D">
      <w:pPr>
        <w:rPr>
          <w:rFonts w:eastAsia="Calibri"/>
          <w:sz w:val="22"/>
          <w:szCs w:val="22"/>
          <w:lang w:val="pt-PT"/>
        </w:rPr>
      </w:pPr>
      <w:r w:rsidRPr="00E71EED">
        <w:rPr>
          <w:rFonts w:eastAsia="Calibri"/>
          <w:sz w:val="22"/>
          <w:szCs w:val="22"/>
          <w:lang w:val="pt-PT"/>
        </w:rPr>
        <w:t>Retrospektyvinė pogrupių analizė pagal didžiausią naviko dydį parodė, kad pacientams, kurių didžiausias naviko dydis buvo 1,5 cm arba didesnis, vertinant gydymo poveikį INL, sorafenibas buvo pranašesnis už placebą (SR 0,54 (95 % PI: 0,41-0,71)), o pacientams, kurių didžiausias navikų dydis buvo mažesnis nei 1,5 cm nustatytas skaičiumi mažesnis poveikis (SR 0,87 (95 % PI: 0,40-1,89)).</w:t>
      </w:r>
    </w:p>
    <w:p w14:paraId="6EDA496A" w14:textId="77777777" w:rsidR="0045758D" w:rsidRPr="00E71EED" w:rsidRDefault="0045758D" w:rsidP="0045758D">
      <w:pPr>
        <w:rPr>
          <w:rFonts w:eastAsia="Calibri"/>
          <w:sz w:val="22"/>
          <w:szCs w:val="22"/>
          <w:lang w:val="pt-PT"/>
        </w:rPr>
      </w:pPr>
    </w:p>
    <w:p w14:paraId="473F6D41" w14:textId="77777777" w:rsidR="0045758D" w:rsidRPr="00E71EED" w:rsidRDefault="0045758D" w:rsidP="0045758D">
      <w:pPr>
        <w:rPr>
          <w:rFonts w:eastAsia="Calibri"/>
          <w:sz w:val="22"/>
          <w:szCs w:val="22"/>
          <w:lang w:val="pt-PT"/>
        </w:rPr>
      </w:pPr>
      <w:r w:rsidRPr="00E71EED">
        <w:rPr>
          <w:rFonts w:eastAsia="Calibri"/>
          <w:sz w:val="22"/>
          <w:szCs w:val="22"/>
          <w:lang w:val="pt-PT"/>
        </w:rPr>
        <w:t>Retrospektyvinė pogrupių analizė pagal tyrimo pradžioje nustatytus skydliaukės karcinomos simptomus parodė, kad ir simptominiams, ir besimptomiams pacientams, vertinant gydymo poveikį INL, sorafenibas buvo pranašesnis už placebą. Pacientams, kuriems tyrimo pradžioje pasireiškė simptomų, išgyvenamumo neprogresuojant ligai SR buvo 0,39 (95 % PI: 0,21-0,72), o pacientams, kuriems tyrimo pradžioje simptomų nebuvo – 0,60 (95 % PI: 0,45-0,81).</w:t>
      </w:r>
    </w:p>
    <w:p w14:paraId="17DDB28C" w14:textId="77777777" w:rsidR="00EF20DC" w:rsidRPr="00E71EED" w:rsidRDefault="00EF20DC" w:rsidP="001F1094">
      <w:pPr>
        <w:rPr>
          <w:rFonts w:eastAsia="Calibri"/>
          <w:sz w:val="22"/>
          <w:szCs w:val="22"/>
          <w:lang w:val="pt-PT"/>
        </w:rPr>
      </w:pPr>
    </w:p>
    <w:p w14:paraId="2F17508B"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QT intervalo pailgėjimas </w:t>
      </w:r>
    </w:p>
    <w:p w14:paraId="2C79BA5E" w14:textId="3AF70681" w:rsidR="00EF20DC" w:rsidRPr="00EF20DC" w:rsidRDefault="00EF20DC" w:rsidP="001F1094">
      <w:pPr>
        <w:rPr>
          <w:rFonts w:eastAsia="Calibri"/>
          <w:sz w:val="22"/>
          <w:szCs w:val="22"/>
        </w:rPr>
      </w:pPr>
      <w:r w:rsidRPr="00EF20DC">
        <w:rPr>
          <w:rFonts w:eastAsia="Calibri"/>
          <w:sz w:val="22"/>
          <w:szCs w:val="22"/>
        </w:rPr>
        <w:lastRenderedPageBreak/>
        <w:t>Klinikinio farmakologinio tyrimo metu 31 pacientui buvo registruojami QT/QT</w:t>
      </w:r>
      <w:r w:rsidR="001114B5">
        <w:rPr>
          <w:rFonts w:eastAsia="Calibri"/>
          <w:sz w:val="22"/>
          <w:szCs w:val="22"/>
        </w:rPr>
        <w:t>c</w:t>
      </w:r>
      <w:r w:rsidRPr="00EF20DC">
        <w:rPr>
          <w:rFonts w:eastAsia="Calibri"/>
          <w:sz w:val="22"/>
          <w:szCs w:val="22"/>
        </w:rPr>
        <w:t xml:space="preserve"> matavimai prieš pradedant gydymą ir po gydymo. Po vieno 28 </w:t>
      </w:r>
      <w:r w:rsidR="00434111">
        <w:rPr>
          <w:rFonts w:eastAsia="Calibri"/>
          <w:sz w:val="22"/>
          <w:szCs w:val="22"/>
        </w:rPr>
        <w:t>parų</w:t>
      </w:r>
      <w:r w:rsidRPr="00EF20DC">
        <w:rPr>
          <w:rFonts w:eastAsia="Calibri"/>
          <w:sz w:val="22"/>
          <w:szCs w:val="22"/>
        </w:rPr>
        <w:t xml:space="preserve"> gydymo ciklo, esant didžiausiai sorafenibo koncentracijai, </w:t>
      </w:r>
      <w:r w:rsidRPr="00672A1E">
        <w:rPr>
          <w:rFonts w:eastAsia="Calibri"/>
          <w:sz w:val="22"/>
          <w:szCs w:val="22"/>
        </w:rPr>
        <w:t>QT</w:t>
      </w:r>
      <w:r w:rsidR="001114B5" w:rsidRPr="00672A1E">
        <w:rPr>
          <w:rFonts w:eastAsia="Calibri"/>
          <w:sz w:val="22"/>
          <w:szCs w:val="22"/>
        </w:rPr>
        <w:t>c</w:t>
      </w:r>
      <w:r w:rsidRPr="00672A1E">
        <w:rPr>
          <w:rFonts w:eastAsia="Calibri"/>
          <w:sz w:val="22"/>
          <w:szCs w:val="22"/>
        </w:rPr>
        <w:t xml:space="preserve">B </w:t>
      </w:r>
      <w:r w:rsidR="00672A1E" w:rsidRPr="00672A1E">
        <w:rPr>
          <w:rFonts w:eastAsia="Calibri"/>
          <w:sz w:val="22"/>
          <w:szCs w:val="22"/>
        </w:rPr>
        <w:t xml:space="preserve">(apskaičiuota pagal </w:t>
      </w:r>
      <w:r w:rsidR="00672A1E" w:rsidRPr="00672A1E">
        <w:rPr>
          <w:rStyle w:val="hgkelc"/>
          <w:sz w:val="22"/>
          <w:szCs w:val="22"/>
        </w:rPr>
        <w:t>Bazett formulę)</w:t>
      </w:r>
      <w:r w:rsidR="00672A1E" w:rsidRPr="00672A1E">
        <w:rPr>
          <w:rFonts w:eastAsia="Calibri"/>
          <w:sz w:val="22"/>
          <w:szCs w:val="22"/>
        </w:rPr>
        <w:t xml:space="preserve"> </w:t>
      </w:r>
      <w:r w:rsidRPr="00672A1E">
        <w:rPr>
          <w:rFonts w:eastAsia="Calibri"/>
          <w:sz w:val="22"/>
          <w:szCs w:val="22"/>
        </w:rPr>
        <w:t>pailgėjo 4 ± 19  ms, o QT</w:t>
      </w:r>
      <w:r w:rsidR="00F925D9" w:rsidRPr="00672A1E">
        <w:rPr>
          <w:rFonts w:eastAsia="Calibri"/>
          <w:sz w:val="22"/>
          <w:szCs w:val="22"/>
        </w:rPr>
        <w:t>c</w:t>
      </w:r>
      <w:r w:rsidRPr="00672A1E">
        <w:rPr>
          <w:rFonts w:eastAsia="Calibri"/>
          <w:sz w:val="22"/>
          <w:szCs w:val="22"/>
        </w:rPr>
        <w:t>F</w:t>
      </w:r>
      <w:r w:rsidR="00672A1E">
        <w:rPr>
          <w:rFonts w:eastAsia="Calibri"/>
          <w:sz w:val="22"/>
          <w:szCs w:val="22"/>
        </w:rPr>
        <w:t xml:space="preserve"> </w:t>
      </w:r>
      <w:r w:rsidR="00672A1E" w:rsidRPr="00672A1E">
        <w:rPr>
          <w:rFonts w:eastAsia="Calibri"/>
          <w:sz w:val="22"/>
          <w:szCs w:val="22"/>
        </w:rPr>
        <w:t xml:space="preserve">(apskaičiuota pagal </w:t>
      </w:r>
      <w:r w:rsidR="00672A1E" w:rsidRPr="00672A1E">
        <w:rPr>
          <w:rStyle w:val="hgkelc"/>
          <w:sz w:val="22"/>
          <w:szCs w:val="22"/>
        </w:rPr>
        <w:t>Fridericia formulę</w:t>
      </w:r>
      <w:r w:rsidR="00672A1E" w:rsidRPr="00672A1E">
        <w:rPr>
          <w:rFonts w:eastAsia="Calibri"/>
          <w:sz w:val="22"/>
          <w:szCs w:val="22"/>
        </w:rPr>
        <w:t>)</w:t>
      </w:r>
      <w:r w:rsidRPr="00672A1E">
        <w:rPr>
          <w:rFonts w:eastAsia="Calibri"/>
          <w:sz w:val="22"/>
          <w:szCs w:val="22"/>
        </w:rPr>
        <w:t> – 9 ± 18 ms, lyginant su placebo prieš pradedant gydymą. N</w:t>
      </w:r>
      <w:r w:rsidR="00192ED1" w:rsidRPr="00672A1E">
        <w:rPr>
          <w:rFonts w:eastAsia="Calibri"/>
          <w:sz w:val="22"/>
          <w:szCs w:val="22"/>
        </w:rPr>
        <w:t>ė</w:t>
      </w:r>
      <w:r w:rsidRPr="00672A1E">
        <w:rPr>
          <w:rFonts w:eastAsia="Calibri"/>
          <w:sz w:val="22"/>
          <w:szCs w:val="22"/>
        </w:rPr>
        <w:t xml:space="preserve"> vienam pacientui QT</w:t>
      </w:r>
      <w:r w:rsidR="00F925D9" w:rsidRPr="00672A1E">
        <w:rPr>
          <w:rFonts w:eastAsia="Calibri"/>
          <w:sz w:val="22"/>
          <w:szCs w:val="22"/>
        </w:rPr>
        <w:t>c</w:t>
      </w:r>
      <w:r w:rsidRPr="00672A1E">
        <w:rPr>
          <w:rFonts w:eastAsia="Calibri"/>
          <w:sz w:val="22"/>
          <w:szCs w:val="22"/>
        </w:rPr>
        <w:t>B</w:t>
      </w:r>
      <w:r w:rsidR="00B72875" w:rsidRPr="00672A1E">
        <w:rPr>
          <w:rFonts w:eastAsia="Calibri"/>
          <w:sz w:val="22"/>
          <w:szCs w:val="22"/>
        </w:rPr>
        <w:t xml:space="preserve"> </w:t>
      </w:r>
      <w:r w:rsidRPr="00672A1E">
        <w:rPr>
          <w:rFonts w:eastAsia="Calibri"/>
          <w:sz w:val="22"/>
          <w:szCs w:val="22"/>
        </w:rPr>
        <w:t>arba QT</w:t>
      </w:r>
      <w:r w:rsidR="00F925D9" w:rsidRPr="00672A1E">
        <w:rPr>
          <w:rFonts w:eastAsia="Calibri"/>
          <w:sz w:val="22"/>
          <w:szCs w:val="22"/>
        </w:rPr>
        <w:t>c</w:t>
      </w:r>
      <w:r w:rsidRPr="00672A1E">
        <w:rPr>
          <w:rFonts w:eastAsia="Calibri"/>
          <w:sz w:val="22"/>
          <w:szCs w:val="22"/>
        </w:rPr>
        <w:t>F nebuvo</w:t>
      </w:r>
      <w:r w:rsidRPr="00EF20DC">
        <w:rPr>
          <w:rFonts w:eastAsia="Calibri"/>
          <w:sz w:val="22"/>
          <w:szCs w:val="22"/>
        </w:rPr>
        <w:t xml:space="preserve"> &gt; 500 ms, po gydymo stebint EKG (žr. 4.4 skyrių). </w:t>
      </w:r>
    </w:p>
    <w:p w14:paraId="54EF61C4" w14:textId="77777777" w:rsidR="00EF20DC" w:rsidRPr="00EF20DC" w:rsidRDefault="00EF20DC" w:rsidP="001F1094">
      <w:pPr>
        <w:rPr>
          <w:rFonts w:eastAsia="Calibri"/>
          <w:sz w:val="22"/>
          <w:szCs w:val="22"/>
        </w:rPr>
      </w:pPr>
    </w:p>
    <w:p w14:paraId="7E869030" w14:textId="77777777" w:rsidR="00EF20DC" w:rsidRPr="00E040FC" w:rsidRDefault="00EF20DC" w:rsidP="001F1094">
      <w:pPr>
        <w:rPr>
          <w:rFonts w:eastAsia="Calibri"/>
          <w:sz w:val="22"/>
          <w:szCs w:val="22"/>
          <w:u w:val="single"/>
        </w:rPr>
      </w:pPr>
      <w:r w:rsidRPr="00E040FC">
        <w:rPr>
          <w:rFonts w:eastAsia="Calibri"/>
          <w:sz w:val="22"/>
          <w:szCs w:val="22"/>
          <w:u w:val="single"/>
        </w:rPr>
        <w:t xml:space="preserve">Vaikų populiacija </w:t>
      </w:r>
    </w:p>
    <w:p w14:paraId="0B568889" w14:textId="77777777" w:rsidR="00EF20DC" w:rsidRPr="00EF20DC" w:rsidRDefault="00EF20DC" w:rsidP="001F1094">
      <w:pPr>
        <w:rPr>
          <w:rFonts w:eastAsia="Calibri"/>
          <w:sz w:val="22"/>
          <w:szCs w:val="22"/>
        </w:rPr>
      </w:pPr>
      <w:r w:rsidRPr="00EF20DC">
        <w:rPr>
          <w:rFonts w:eastAsia="Calibri"/>
          <w:sz w:val="22"/>
          <w:szCs w:val="22"/>
        </w:rPr>
        <w:t xml:space="preserve">Europos vaistų agentūra atleido nuo įpareigojimo pateikti tyrimų su visais vaikų populiacijos pogrupiais duomenis, gydant inkstų ir inkstų geldelių karcinomą (išskyrus nefroblastomą, nefroblastomatozę, šviesių ląstelių sarkomą, mezoblastinę nefromą, inkstų meduliarinę karcinomą ir rabdoidinį inkstų naviką) bei kepenų ir intrahepatinę tulžies latakų karcinomą (išskyrus hepatoblastomą) ir diferencijuotą skydliaukės karcinomą (vartojimo vaikams informacija pateikiama 4.2 skyriuje). </w:t>
      </w:r>
    </w:p>
    <w:p w14:paraId="11C0B66E" w14:textId="77777777" w:rsidR="00EF20DC" w:rsidRPr="00EF20DC" w:rsidRDefault="00EF20DC" w:rsidP="001F1094">
      <w:pPr>
        <w:rPr>
          <w:rFonts w:eastAsia="Calibri"/>
          <w:sz w:val="22"/>
          <w:szCs w:val="22"/>
        </w:rPr>
      </w:pPr>
    </w:p>
    <w:p w14:paraId="29235874" w14:textId="77777777" w:rsidR="00EF20DC" w:rsidRPr="00EF20DC" w:rsidRDefault="00EF20DC" w:rsidP="001F1094">
      <w:pPr>
        <w:ind w:left="567" w:hanging="567"/>
        <w:rPr>
          <w:rFonts w:eastAsia="SimSun"/>
          <w:b/>
          <w:sz w:val="22"/>
          <w:szCs w:val="20"/>
        </w:rPr>
      </w:pPr>
      <w:r w:rsidRPr="00D11A28">
        <w:rPr>
          <w:rFonts w:eastAsia="SimSun"/>
          <w:b/>
          <w:sz w:val="22"/>
          <w:szCs w:val="20"/>
        </w:rPr>
        <w:t>5.2</w:t>
      </w:r>
      <w:r w:rsidRPr="00D11A28">
        <w:rPr>
          <w:rFonts w:eastAsia="SimSun"/>
          <w:b/>
          <w:sz w:val="22"/>
          <w:szCs w:val="20"/>
        </w:rPr>
        <w:tab/>
        <w:t>Farmakokinetinės savybės</w:t>
      </w:r>
    </w:p>
    <w:p w14:paraId="4C052059" w14:textId="77777777" w:rsidR="00EF20DC" w:rsidRPr="00EF20DC" w:rsidRDefault="00EF20DC" w:rsidP="001F1094">
      <w:pPr>
        <w:rPr>
          <w:rFonts w:eastAsia="Calibri"/>
          <w:sz w:val="22"/>
          <w:szCs w:val="22"/>
        </w:rPr>
      </w:pPr>
    </w:p>
    <w:p w14:paraId="7BB6D7BC"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Absorbcija ir pasiskirstymas </w:t>
      </w:r>
    </w:p>
    <w:p w14:paraId="307F4C98" w14:textId="77777777" w:rsidR="00EF20DC" w:rsidRPr="00EF20DC" w:rsidRDefault="00EF20DC" w:rsidP="001F1094">
      <w:pPr>
        <w:rPr>
          <w:rFonts w:eastAsia="Calibri"/>
          <w:sz w:val="22"/>
          <w:szCs w:val="22"/>
        </w:rPr>
      </w:pPr>
    </w:p>
    <w:p w14:paraId="1EAA4274" w14:textId="56B4A6DE" w:rsidR="00E040FC" w:rsidRDefault="00EF20DC" w:rsidP="001F1094">
      <w:pPr>
        <w:rPr>
          <w:rFonts w:eastAsia="Calibri"/>
          <w:sz w:val="22"/>
          <w:szCs w:val="22"/>
        </w:rPr>
      </w:pPr>
      <w:r w:rsidRPr="00EF20DC">
        <w:rPr>
          <w:rFonts w:eastAsia="Calibri"/>
          <w:sz w:val="22"/>
          <w:szCs w:val="22"/>
        </w:rPr>
        <w:t xml:space="preserve">Išgertų sorafenibo tablečių, palyginti su geriamuoju tirpalu, vidutinis </w:t>
      </w:r>
      <w:r w:rsidRPr="00672A1E">
        <w:rPr>
          <w:rFonts w:eastAsia="Calibri"/>
          <w:sz w:val="22"/>
          <w:szCs w:val="22"/>
        </w:rPr>
        <w:t xml:space="preserve">santykinis </w:t>
      </w:r>
      <w:r w:rsidR="00672A1E" w:rsidRPr="00672A1E">
        <w:rPr>
          <w:sz w:val="22"/>
          <w:szCs w:val="22"/>
        </w:rPr>
        <w:t>biologinis prieinamumas</w:t>
      </w:r>
      <w:r w:rsidR="00672A1E" w:rsidRPr="00672A1E">
        <w:rPr>
          <w:rFonts w:eastAsia="Calibri"/>
          <w:sz w:val="22"/>
          <w:szCs w:val="22"/>
        </w:rPr>
        <w:t xml:space="preserve"> </w:t>
      </w:r>
      <w:r w:rsidRPr="00672A1E">
        <w:rPr>
          <w:rFonts w:eastAsia="Calibri"/>
          <w:sz w:val="22"/>
          <w:szCs w:val="22"/>
        </w:rPr>
        <w:t xml:space="preserve">yra 38–49 %. Absoliutus </w:t>
      </w:r>
      <w:r w:rsidR="00672A1E" w:rsidRPr="00672A1E">
        <w:rPr>
          <w:rFonts w:eastAsia="Calibri"/>
          <w:sz w:val="22"/>
          <w:szCs w:val="22"/>
        </w:rPr>
        <w:t>biologinis prieinamumas</w:t>
      </w:r>
      <w:r w:rsidR="00672A1E" w:rsidRPr="00672A1E" w:rsidDel="00672A1E">
        <w:rPr>
          <w:rFonts w:eastAsia="Calibri"/>
          <w:sz w:val="22"/>
          <w:szCs w:val="22"/>
        </w:rPr>
        <w:t xml:space="preserve"> </w:t>
      </w:r>
      <w:r w:rsidRPr="00672A1E">
        <w:rPr>
          <w:rFonts w:eastAsia="Calibri"/>
          <w:sz w:val="22"/>
          <w:szCs w:val="22"/>
        </w:rPr>
        <w:t>nežinomas. Išgėrus</w:t>
      </w:r>
      <w:r w:rsidRPr="00EF20DC">
        <w:rPr>
          <w:rFonts w:eastAsia="Calibri"/>
          <w:sz w:val="22"/>
          <w:szCs w:val="22"/>
        </w:rPr>
        <w:t xml:space="preserve"> </w:t>
      </w:r>
      <w:r w:rsidR="00E040FC">
        <w:rPr>
          <w:rFonts w:eastAsia="Calibri"/>
          <w:sz w:val="22"/>
          <w:szCs w:val="22"/>
        </w:rPr>
        <w:t>s</w:t>
      </w:r>
      <w:r w:rsidRPr="00EF20DC">
        <w:rPr>
          <w:rFonts w:eastAsia="Calibri"/>
          <w:sz w:val="22"/>
          <w:szCs w:val="22"/>
        </w:rPr>
        <w:t xml:space="preserve">orafenibo, didžiausia koncentracija kraujo plazmoje </w:t>
      </w:r>
      <w:r w:rsidR="00410AFD">
        <w:rPr>
          <w:rFonts w:eastAsia="Calibri"/>
          <w:sz w:val="22"/>
          <w:szCs w:val="22"/>
        </w:rPr>
        <w:t>susidaro</w:t>
      </w:r>
      <w:r w:rsidR="00410AFD" w:rsidRPr="00EF20DC">
        <w:rPr>
          <w:rFonts w:eastAsia="Calibri"/>
          <w:sz w:val="22"/>
          <w:szCs w:val="22"/>
        </w:rPr>
        <w:t xml:space="preserve"> </w:t>
      </w:r>
      <w:r w:rsidRPr="00EF20DC">
        <w:rPr>
          <w:rFonts w:eastAsia="Calibri"/>
          <w:sz w:val="22"/>
          <w:szCs w:val="22"/>
        </w:rPr>
        <w:t>maždaug po 3 val. Išgerto valgant riebų maistą sorafenibo absorbuojama 30 % mažiau, negu išgerto nevalgius.</w:t>
      </w:r>
    </w:p>
    <w:p w14:paraId="04C430D0" w14:textId="1F936AC4" w:rsidR="00E040FC" w:rsidRDefault="00EF20DC" w:rsidP="001F1094">
      <w:pPr>
        <w:rPr>
          <w:rFonts w:eastAsia="Calibri"/>
          <w:sz w:val="22"/>
          <w:szCs w:val="22"/>
        </w:rPr>
      </w:pPr>
      <w:r w:rsidRPr="00EF20DC">
        <w:rPr>
          <w:rFonts w:eastAsia="Calibri"/>
          <w:sz w:val="22"/>
          <w:szCs w:val="22"/>
        </w:rPr>
        <w:t>Vartojant daugiau negu po 400 mg 2 kartus per parą sorafenibo, vidutinė didžiausia koncentracija kraujo plazmoje (C</w:t>
      </w:r>
      <w:r w:rsidRPr="00E040FC">
        <w:rPr>
          <w:rFonts w:eastAsia="Calibri"/>
          <w:sz w:val="22"/>
          <w:szCs w:val="22"/>
          <w:vertAlign w:val="subscript"/>
        </w:rPr>
        <w:t>max</w:t>
      </w:r>
      <w:r w:rsidRPr="00EF20DC">
        <w:rPr>
          <w:rFonts w:eastAsia="Calibri"/>
          <w:sz w:val="22"/>
          <w:szCs w:val="22"/>
        </w:rPr>
        <w:t>) ir AUC didėja mažiau negu proporcinga doz</w:t>
      </w:r>
      <w:r w:rsidR="00E040FC">
        <w:rPr>
          <w:rFonts w:eastAsia="Calibri"/>
          <w:sz w:val="22"/>
          <w:szCs w:val="22"/>
        </w:rPr>
        <w:t>ei</w:t>
      </w:r>
      <w:r w:rsidRPr="00EF20DC">
        <w:rPr>
          <w:rFonts w:eastAsia="Calibri"/>
          <w:sz w:val="22"/>
          <w:szCs w:val="22"/>
        </w:rPr>
        <w:t xml:space="preserve">. </w:t>
      </w:r>
      <w:r w:rsidRPr="00EF20DC">
        <w:rPr>
          <w:rFonts w:eastAsia="Calibri"/>
          <w:i/>
          <w:sz w:val="22"/>
          <w:szCs w:val="22"/>
        </w:rPr>
        <w:t>In vitro</w:t>
      </w:r>
      <w:r w:rsidRPr="00EF20DC">
        <w:rPr>
          <w:rFonts w:eastAsia="Calibri"/>
          <w:sz w:val="22"/>
          <w:szCs w:val="22"/>
        </w:rPr>
        <w:t xml:space="preserve"> prie žmogaus kraujo plazmos baltymų prisijungia 99,5 % sorafenibo. </w:t>
      </w:r>
    </w:p>
    <w:p w14:paraId="759158C7" w14:textId="7054CF46" w:rsidR="00EF20DC" w:rsidRPr="00EF20DC" w:rsidRDefault="00EF20DC" w:rsidP="001F1094">
      <w:pPr>
        <w:rPr>
          <w:rFonts w:eastAsia="Calibri"/>
          <w:sz w:val="22"/>
          <w:szCs w:val="22"/>
        </w:rPr>
      </w:pPr>
      <w:r w:rsidRPr="00EF20DC">
        <w:rPr>
          <w:rFonts w:eastAsia="Calibri"/>
          <w:sz w:val="22"/>
          <w:szCs w:val="22"/>
        </w:rPr>
        <w:t xml:space="preserve">7 paras vartojus kartotines sorafenibo dozes, </w:t>
      </w:r>
      <w:r w:rsidR="00E040FC">
        <w:rPr>
          <w:rFonts w:eastAsia="Calibri"/>
          <w:sz w:val="22"/>
          <w:szCs w:val="22"/>
        </w:rPr>
        <w:t>veikliosios medžiagos</w:t>
      </w:r>
      <w:r w:rsidRPr="00EF20DC">
        <w:rPr>
          <w:rFonts w:eastAsia="Calibri"/>
          <w:sz w:val="22"/>
          <w:szCs w:val="22"/>
        </w:rPr>
        <w:t xml:space="preserve"> organizme susikaupė 2,5–7 kartus daugiau negu </w:t>
      </w:r>
      <w:r w:rsidR="00E040FC">
        <w:rPr>
          <w:rFonts w:eastAsia="Calibri"/>
          <w:sz w:val="22"/>
          <w:szCs w:val="22"/>
        </w:rPr>
        <w:t>suvartojus</w:t>
      </w:r>
      <w:r w:rsidRPr="00EF20DC">
        <w:rPr>
          <w:rFonts w:eastAsia="Calibri"/>
          <w:sz w:val="22"/>
          <w:szCs w:val="22"/>
        </w:rPr>
        <w:t xml:space="preserve"> vien</w:t>
      </w:r>
      <w:r w:rsidR="00E040FC">
        <w:rPr>
          <w:rFonts w:eastAsia="Calibri"/>
          <w:sz w:val="22"/>
          <w:szCs w:val="22"/>
        </w:rPr>
        <w:t>ą</w:t>
      </w:r>
      <w:r w:rsidRPr="00EF20DC">
        <w:rPr>
          <w:rFonts w:eastAsia="Calibri"/>
          <w:sz w:val="22"/>
          <w:szCs w:val="22"/>
        </w:rPr>
        <w:t xml:space="preserve"> doz</w:t>
      </w:r>
      <w:r w:rsidR="00E040FC">
        <w:rPr>
          <w:rFonts w:eastAsia="Calibri"/>
          <w:sz w:val="22"/>
          <w:szCs w:val="22"/>
        </w:rPr>
        <w:t>ę</w:t>
      </w:r>
      <w:r w:rsidRPr="00EF20DC">
        <w:rPr>
          <w:rFonts w:eastAsia="Calibri"/>
          <w:sz w:val="22"/>
          <w:szCs w:val="22"/>
        </w:rPr>
        <w:t xml:space="preserve">. Pusiausvyrinė </w:t>
      </w:r>
      <w:r w:rsidR="00E040FC">
        <w:rPr>
          <w:rFonts w:eastAsia="Calibri"/>
          <w:sz w:val="22"/>
          <w:szCs w:val="22"/>
        </w:rPr>
        <w:t>apykaita</w:t>
      </w:r>
      <w:r w:rsidRPr="00EF20DC">
        <w:rPr>
          <w:rFonts w:eastAsia="Calibri"/>
          <w:sz w:val="22"/>
          <w:szCs w:val="22"/>
        </w:rPr>
        <w:t xml:space="preserve"> kraujo plazmoje nusistovi per 7 gydymo paras, santykis tarp vidutinės didžiausios ir vidutinės mažiausios koncentracijos yra mažesnis negu 2. </w:t>
      </w:r>
    </w:p>
    <w:p w14:paraId="1209453D" w14:textId="77777777" w:rsidR="0045758D" w:rsidRDefault="0045758D" w:rsidP="0045758D">
      <w:pPr>
        <w:rPr>
          <w:rFonts w:eastAsia="Calibri"/>
          <w:sz w:val="22"/>
          <w:szCs w:val="22"/>
        </w:rPr>
      </w:pPr>
    </w:p>
    <w:p w14:paraId="08B2033D" w14:textId="77777777" w:rsidR="0045758D" w:rsidRDefault="0045758D" w:rsidP="0045758D">
      <w:pPr>
        <w:rPr>
          <w:rFonts w:eastAsia="Calibri"/>
          <w:sz w:val="22"/>
          <w:szCs w:val="22"/>
        </w:rPr>
      </w:pPr>
      <w:r w:rsidRPr="002B649C">
        <w:rPr>
          <w:rFonts w:eastAsia="Calibri"/>
          <w:sz w:val="22"/>
          <w:szCs w:val="22"/>
        </w:rPr>
        <w:t xml:space="preserve">Diferencijuotu skydliaukės vėžiu, inkstų ląstelių karcinoma ir kepenų ląstelių karcinoma sergantiems pacientams, nusistovėjus pusiausvyros </w:t>
      </w:r>
      <w:r>
        <w:rPr>
          <w:rFonts w:eastAsia="Calibri"/>
          <w:sz w:val="22"/>
          <w:szCs w:val="22"/>
        </w:rPr>
        <w:t>apykaitai</w:t>
      </w:r>
      <w:r w:rsidRPr="002B649C">
        <w:rPr>
          <w:rFonts w:eastAsia="Calibri"/>
          <w:sz w:val="22"/>
          <w:szCs w:val="22"/>
        </w:rPr>
        <w:t>, buvo vertinama sorafenibo, vartojamo po 400</w:t>
      </w:r>
      <w:r>
        <w:rPr>
          <w:rFonts w:eastAsia="Calibri"/>
          <w:sz w:val="22"/>
          <w:szCs w:val="22"/>
        </w:rPr>
        <w:t> </w:t>
      </w:r>
      <w:r w:rsidRPr="002B649C">
        <w:rPr>
          <w:rFonts w:eastAsia="Calibri"/>
          <w:sz w:val="22"/>
          <w:szCs w:val="22"/>
        </w:rPr>
        <w:t>mg du kartus per parą, koncentracija. Didžiausia vidutinė koncentracija nustatyta diferencijuotu skydliaukės vėžiu sergantiems pacientams (maždaug du kartus didesnė už nustatytą inkstų ląstelių karcinoma ir kepenų ląstelių karcinoma sergantiems pacientams), nors buvo didelis kintamumas visų tipų navikų grupėse. Padidėjusios koncentracijos diferencijuotu skydliaukės vėžiu sergantiems pacientams priežastis nežinoma.</w:t>
      </w:r>
    </w:p>
    <w:p w14:paraId="6407B37E" w14:textId="77777777" w:rsidR="00EF20DC" w:rsidRPr="00EF20DC" w:rsidRDefault="00EF20DC" w:rsidP="001F1094">
      <w:pPr>
        <w:rPr>
          <w:rFonts w:eastAsia="Calibri"/>
          <w:sz w:val="22"/>
          <w:szCs w:val="22"/>
        </w:rPr>
      </w:pPr>
    </w:p>
    <w:p w14:paraId="167DC384"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Biotransformacija ir eliminacija </w:t>
      </w:r>
    </w:p>
    <w:p w14:paraId="71C25127" w14:textId="104795FA" w:rsidR="00EF20DC" w:rsidRPr="00EF20DC" w:rsidRDefault="00EF20DC" w:rsidP="001F1094">
      <w:pPr>
        <w:rPr>
          <w:rFonts w:eastAsia="Calibri"/>
          <w:sz w:val="22"/>
          <w:szCs w:val="22"/>
        </w:rPr>
      </w:pPr>
      <w:r w:rsidRPr="00EF20DC">
        <w:rPr>
          <w:rFonts w:eastAsia="Calibri"/>
          <w:sz w:val="22"/>
          <w:szCs w:val="22"/>
        </w:rPr>
        <w:t>Pusinės sorafenibo eliminacijos laikas yra 25–48 val</w:t>
      </w:r>
      <w:r w:rsidR="008903E0">
        <w:rPr>
          <w:rFonts w:eastAsia="Calibri"/>
          <w:sz w:val="22"/>
          <w:szCs w:val="22"/>
        </w:rPr>
        <w:t>andos.</w:t>
      </w:r>
      <w:r w:rsidRPr="00EF20DC">
        <w:rPr>
          <w:rFonts w:eastAsia="Calibri"/>
          <w:sz w:val="22"/>
          <w:szCs w:val="22"/>
        </w:rPr>
        <w:t xml:space="preserve"> Sorafenibas metabolizuojamas daugiausiai kepenyse, oksidacinio metabolizmo</w:t>
      </w:r>
      <w:r w:rsidR="00E040FC">
        <w:rPr>
          <w:rFonts w:eastAsia="Calibri"/>
          <w:sz w:val="22"/>
          <w:szCs w:val="22"/>
        </w:rPr>
        <w:t xml:space="preserve"> </w:t>
      </w:r>
      <w:r w:rsidR="006319C4" w:rsidRPr="00EF20DC">
        <w:rPr>
          <w:rFonts w:eastAsia="Calibri"/>
          <w:sz w:val="22"/>
          <w:szCs w:val="22"/>
        </w:rPr>
        <w:t>būdu</w:t>
      </w:r>
      <w:r w:rsidR="006319C4">
        <w:rPr>
          <w:rFonts w:eastAsia="Calibri"/>
          <w:sz w:val="22"/>
          <w:szCs w:val="22"/>
        </w:rPr>
        <w:t xml:space="preserve">, </w:t>
      </w:r>
      <w:r w:rsidR="00E040FC">
        <w:rPr>
          <w:rFonts w:eastAsia="Calibri"/>
          <w:sz w:val="22"/>
          <w:szCs w:val="22"/>
        </w:rPr>
        <w:t>dalyvaujant</w:t>
      </w:r>
      <w:r w:rsidRPr="00EF20DC">
        <w:rPr>
          <w:rFonts w:eastAsia="Calibri"/>
          <w:sz w:val="22"/>
          <w:szCs w:val="22"/>
        </w:rPr>
        <w:t xml:space="preserve"> CYP 3A4</w:t>
      </w:r>
      <w:r w:rsidR="006319C4">
        <w:rPr>
          <w:rFonts w:eastAsia="Calibri"/>
          <w:sz w:val="22"/>
          <w:szCs w:val="22"/>
        </w:rPr>
        <w:t>,</w:t>
      </w:r>
      <w:r w:rsidRPr="00EF20DC">
        <w:rPr>
          <w:rFonts w:eastAsia="Calibri"/>
          <w:sz w:val="22"/>
          <w:szCs w:val="22"/>
        </w:rPr>
        <w:t xml:space="preserve"> ir gliukuroni</w:t>
      </w:r>
      <w:r w:rsidR="00E040FC">
        <w:rPr>
          <w:rFonts w:eastAsia="Calibri"/>
          <w:sz w:val="22"/>
          <w:szCs w:val="22"/>
        </w:rPr>
        <w:t xml:space="preserve">zavimo </w:t>
      </w:r>
      <w:r w:rsidR="006319C4" w:rsidRPr="00EF20DC">
        <w:rPr>
          <w:rFonts w:eastAsia="Calibri"/>
          <w:sz w:val="22"/>
          <w:szCs w:val="22"/>
        </w:rPr>
        <w:t>būdu</w:t>
      </w:r>
      <w:r w:rsidR="006319C4">
        <w:rPr>
          <w:rFonts w:eastAsia="Calibri"/>
          <w:sz w:val="22"/>
          <w:szCs w:val="22"/>
        </w:rPr>
        <w:t xml:space="preserve">, </w:t>
      </w:r>
      <w:r w:rsidR="00E040FC">
        <w:rPr>
          <w:rFonts w:eastAsia="Calibri"/>
          <w:sz w:val="22"/>
          <w:szCs w:val="22"/>
        </w:rPr>
        <w:t>dalyvaujant</w:t>
      </w:r>
      <w:r w:rsidRPr="00EF20DC">
        <w:rPr>
          <w:rFonts w:eastAsia="Calibri"/>
          <w:sz w:val="22"/>
          <w:szCs w:val="22"/>
        </w:rPr>
        <w:t xml:space="preserve"> UGT 1A9. Bakterijų gliukuronidazė virškinimo trakte gali suardyti sorafenibo junginius, sudarydama sąlygas nekonjuguotos veikliosios medžiagos reabsorbcijai. Kartu vartojamas neomicinas veikia šį procesą, sumažindamas vidutinį sorafenibo </w:t>
      </w:r>
      <w:r w:rsidR="00672A1E" w:rsidRPr="00672A1E">
        <w:rPr>
          <w:rFonts w:eastAsia="Calibri"/>
          <w:sz w:val="22"/>
          <w:szCs w:val="22"/>
        </w:rPr>
        <w:t>biologinis prieinamumas</w:t>
      </w:r>
      <w:r w:rsidR="00672A1E" w:rsidRPr="00672A1E" w:rsidDel="00672A1E">
        <w:rPr>
          <w:rFonts w:eastAsia="Calibri"/>
          <w:sz w:val="22"/>
          <w:szCs w:val="22"/>
        </w:rPr>
        <w:t xml:space="preserve"> </w:t>
      </w:r>
      <w:r w:rsidRPr="00EF20DC">
        <w:rPr>
          <w:rFonts w:eastAsia="Calibri"/>
          <w:sz w:val="22"/>
          <w:szCs w:val="22"/>
        </w:rPr>
        <w:t xml:space="preserve">54 %. </w:t>
      </w:r>
    </w:p>
    <w:p w14:paraId="46B039D5" w14:textId="77777777" w:rsidR="00EF20DC" w:rsidRPr="00EF20DC" w:rsidRDefault="00EF20DC" w:rsidP="001F1094">
      <w:pPr>
        <w:rPr>
          <w:rFonts w:eastAsia="Calibri"/>
          <w:sz w:val="22"/>
          <w:szCs w:val="22"/>
        </w:rPr>
      </w:pPr>
    </w:p>
    <w:p w14:paraId="71A7732C" w14:textId="413A5C62" w:rsidR="00EF20DC" w:rsidRPr="00EF20DC" w:rsidRDefault="00E040FC" w:rsidP="001F1094">
      <w:pPr>
        <w:rPr>
          <w:rFonts w:eastAsia="Calibri"/>
          <w:sz w:val="22"/>
          <w:szCs w:val="22"/>
        </w:rPr>
      </w:pPr>
      <w:r>
        <w:rPr>
          <w:rFonts w:eastAsia="Calibri"/>
          <w:sz w:val="22"/>
          <w:szCs w:val="22"/>
        </w:rPr>
        <w:t>Nusistovėjus pusiausvyrinei apykaitai</w:t>
      </w:r>
      <w:r w:rsidR="00EF20DC" w:rsidRPr="00EF20DC">
        <w:rPr>
          <w:rFonts w:eastAsia="Calibri"/>
          <w:sz w:val="22"/>
          <w:szCs w:val="22"/>
        </w:rPr>
        <w:t xml:space="preserve"> sorafenibas </w:t>
      </w:r>
      <w:r w:rsidR="00410AFD">
        <w:rPr>
          <w:rFonts w:eastAsia="Calibri"/>
          <w:sz w:val="22"/>
          <w:szCs w:val="22"/>
        </w:rPr>
        <w:t xml:space="preserve">mėginyje </w:t>
      </w:r>
      <w:r w:rsidR="00EF20DC" w:rsidRPr="00EF20DC">
        <w:rPr>
          <w:rFonts w:eastAsia="Calibri"/>
          <w:sz w:val="22"/>
          <w:szCs w:val="22"/>
        </w:rPr>
        <w:t xml:space="preserve">sudaro 70–85 % kraujo plazmoje cirkuliuojančių </w:t>
      </w:r>
      <w:r w:rsidR="001F4D02">
        <w:rPr>
          <w:rFonts w:eastAsia="Calibri"/>
          <w:sz w:val="22"/>
          <w:szCs w:val="22"/>
        </w:rPr>
        <w:t>nustatytų komponentų</w:t>
      </w:r>
      <w:r w:rsidR="00EF20DC" w:rsidRPr="00EF20DC">
        <w:rPr>
          <w:rFonts w:eastAsia="Calibri"/>
          <w:sz w:val="22"/>
          <w:szCs w:val="22"/>
        </w:rPr>
        <w:t xml:space="preserve">. Identifikuoti 8 sorafenibo metabolitai, 5 jų </w:t>
      </w:r>
      <w:r w:rsidR="001F4D02">
        <w:rPr>
          <w:rFonts w:eastAsia="Calibri"/>
          <w:sz w:val="22"/>
          <w:szCs w:val="22"/>
        </w:rPr>
        <w:t>nustatyti</w:t>
      </w:r>
      <w:r w:rsidR="00EF20DC" w:rsidRPr="00EF20DC">
        <w:rPr>
          <w:rFonts w:eastAsia="Calibri"/>
          <w:sz w:val="22"/>
          <w:szCs w:val="22"/>
        </w:rPr>
        <w:t xml:space="preserve"> kraujo plazmoje. Svarbiausio metabolito, kurio būna kraujo plazmoje, t. y. piridino N-oksido, aktyvumas </w:t>
      </w:r>
      <w:r w:rsidR="00EF20DC" w:rsidRPr="00D76168">
        <w:rPr>
          <w:rFonts w:eastAsia="Calibri"/>
          <w:i/>
          <w:sz w:val="22"/>
          <w:szCs w:val="22"/>
        </w:rPr>
        <w:t>in vitro</w:t>
      </w:r>
      <w:r w:rsidR="00EF20DC" w:rsidRPr="00EF20DC">
        <w:rPr>
          <w:rFonts w:eastAsia="Calibri"/>
          <w:sz w:val="22"/>
          <w:szCs w:val="22"/>
        </w:rPr>
        <w:t xml:space="preserve"> yra panašus kaip sorafenibo. </w:t>
      </w:r>
      <w:r w:rsidR="001F4D02">
        <w:rPr>
          <w:rFonts w:eastAsia="Calibri"/>
          <w:sz w:val="22"/>
          <w:szCs w:val="22"/>
        </w:rPr>
        <w:t>Nusistovėjus pusiausvyrinei apykaitai</w:t>
      </w:r>
      <w:r w:rsidR="006319C4" w:rsidRPr="006319C4">
        <w:rPr>
          <w:rFonts w:eastAsia="Calibri"/>
          <w:sz w:val="22"/>
          <w:szCs w:val="22"/>
        </w:rPr>
        <w:t xml:space="preserve"> </w:t>
      </w:r>
      <w:r w:rsidR="006319C4">
        <w:rPr>
          <w:rFonts w:eastAsia="Calibri"/>
          <w:sz w:val="22"/>
          <w:szCs w:val="22"/>
        </w:rPr>
        <w:t>mėginyje</w:t>
      </w:r>
      <w:r w:rsidR="001F4D02" w:rsidRPr="00EF20DC">
        <w:rPr>
          <w:rFonts w:eastAsia="Calibri"/>
          <w:sz w:val="22"/>
          <w:szCs w:val="22"/>
        </w:rPr>
        <w:t xml:space="preserve"> </w:t>
      </w:r>
      <w:r w:rsidR="00EF20DC" w:rsidRPr="00EF20DC">
        <w:rPr>
          <w:rFonts w:eastAsia="Calibri"/>
          <w:sz w:val="22"/>
          <w:szCs w:val="22"/>
        </w:rPr>
        <w:t xml:space="preserve">šis metabolitas sudaro 9–16 % kraujo plazmoje cirkuliuojančių </w:t>
      </w:r>
      <w:r w:rsidR="001F4D02">
        <w:rPr>
          <w:rFonts w:eastAsia="Calibri"/>
          <w:sz w:val="22"/>
          <w:szCs w:val="22"/>
        </w:rPr>
        <w:t>nustatytų komponentų</w:t>
      </w:r>
      <w:r w:rsidR="00EF20DC" w:rsidRPr="00EF20DC">
        <w:rPr>
          <w:rFonts w:eastAsia="Calibri"/>
          <w:sz w:val="22"/>
          <w:szCs w:val="22"/>
        </w:rPr>
        <w:t xml:space="preserve">. </w:t>
      </w:r>
    </w:p>
    <w:p w14:paraId="3FFA542C" w14:textId="77777777" w:rsidR="00EF20DC" w:rsidRPr="00EF20DC" w:rsidRDefault="00EF20DC" w:rsidP="001F1094">
      <w:pPr>
        <w:rPr>
          <w:rFonts w:eastAsia="Calibri"/>
          <w:sz w:val="22"/>
          <w:szCs w:val="22"/>
        </w:rPr>
      </w:pPr>
    </w:p>
    <w:p w14:paraId="017BF920" w14:textId="77777777" w:rsidR="00EF20DC" w:rsidRPr="00EF20DC" w:rsidRDefault="00EF20DC" w:rsidP="001F1094">
      <w:pPr>
        <w:rPr>
          <w:rFonts w:eastAsia="Calibri"/>
          <w:sz w:val="22"/>
          <w:szCs w:val="22"/>
        </w:rPr>
      </w:pPr>
      <w:r w:rsidRPr="00EF20DC">
        <w:rPr>
          <w:rFonts w:eastAsia="Calibri"/>
          <w:sz w:val="22"/>
          <w:szCs w:val="22"/>
        </w:rPr>
        <w:t xml:space="preserve">Išgėrus 100 mg sorafenibo tirpalo pavidalu, 96 % dozės </w:t>
      </w:r>
      <w:r w:rsidR="001F4D02">
        <w:rPr>
          <w:rFonts w:eastAsia="Calibri"/>
          <w:sz w:val="22"/>
          <w:szCs w:val="22"/>
        </w:rPr>
        <w:t>buvo išskirta</w:t>
      </w:r>
      <w:r w:rsidRPr="00EF20DC">
        <w:rPr>
          <w:rFonts w:eastAsia="Calibri"/>
          <w:sz w:val="22"/>
          <w:szCs w:val="22"/>
        </w:rPr>
        <w:t xml:space="preserve"> per 14 parų, 77 % jos </w:t>
      </w:r>
      <w:r w:rsidR="001F4D02">
        <w:rPr>
          <w:rFonts w:eastAsia="Calibri"/>
          <w:sz w:val="22"/>
          <w:szCs w:val="22"/>
        </w:rPr>
        <w:t>buvo pašalinta</w:t>
      </w:r>
      <w:r w:rsidRPr="00EF20DC">
        <w:rPr>
          <w:rFonts w:eastAsia="Calibri"/>
          <w:sz w:val="22"/>
          <w:szCs w:val="22"/>
        </w:rPr>
        <w:t xml:space="preserve"> su išmatomis, 19 % − su šlapimu gl</w:t>
      </w:r>
      <w:r w:rsidR="003C64E6">
        <w:rPr>
          <w:rFonts w:eastAsia="Calibri"/>
          <w:sz w:val="22"/>
          <w:szCs w:val="22"/>
        </w:rPr>
        <w:t>i</w:t>
      </w:r>
      <w:r w:rsidRPr="00EF20DC">
        <w:rPr>
          <w:rFonts w:eastAsia="Calibri"/>
          <w:sz w:val="22"/>
          <w:szCs w:val="22"/>
        </w:rPr>
        <w:t>ukuroni</w:t>
      </w:r>
      <w:r w:rsidR="001F4D02">
        <w:rPr>
          <w:rFonts w:eastAsia="Calibri"/>
          <w:sz w:val="22"/>
          <w:szCs w:val="22"/>
        </w:rPr>
        <w:t>zuotų</w:t>
      </w:r>
      <w:r w:rsidRPr="00EF20DC">
        <w:rPr>
          <w:rFonts w:eastAsia="Calibri"/>
          <w:sz w:val="22"/>
          <w:szCs w:val="22"/>
        </w:rPr>
        <w:t xml:space="preserve"> metabolitų pavidalu. Nepakitęs sorafenibas, sudarantis 51 % dozės, </w:t>
      </w:r>
      <w:r w:rsidR="001F4D02">
        <w:rPr>
          <w:rFonts w:eastAsia="Calibri"/>
          <w:sz w:val="22"/>
          <w:szCs w:val="22"/>
        </w:rPr>
        <w:t>buvo išskirtas</w:t>
      </w:r>
      <w:r w:rsidRPr="00EF20DC">
        <w:rPr>
          <w:rFonts w:eastAsia="Calibri"/>
          <w:sz w:val="22"/>
          <w:szCs w:val="22"/>
        </w:rPr>
        <w:t xml:space="preserve"> ne su šlapimu, bet su išmatomis. Tai rodo, kad nepakitusios veikliosios medžiagos išskyrimas su tulžimi gali prisidėti prie </w:t>
      </w:r>
      <w:r w:rsidR="001F4D02">
        <w:rPr>
          <w:rFonts w:eastAsia="Calibri"/>
          <w:sz w:val="22"/>
          <w:szCs w:val="22"/>
        </w:rPr>
        <w:t>sorafenibo</w:t>
      </w:r>
      <w:r w:rsidRPr="00EF20DC">
        <w:rPr>
          <w:rFonts w:eastAsia="Calibri"/>
          <w:sz w:val="22"/>
          <w:szCs w:val="22"/>
        </w:rPr>
        <w:t xml:space="preserve"> eliminacijos. </w:t>
      </w:r>
    </w:p>
    <w:p w14:paraId="0C10EBA3" w14:textId="77777777" w:rsidR="00EF20DC" w:rsidRPr="00EF20DC" w:rsidRDefault="00EF20DC" w:rsidP="001F1094">
      <w:pPr>
        <w:rPr>
          <w:rFonts w:eastAsia="Calibri"/>
          <w:sz w:val="22"/>
          <w:szCs w:val="22"/>
        </w:rPr>
      </w:pPr>
    </w:p>
    <w:p w14:paraId="002C89BD" w14:textId="77777777" w:rsidR="00EF20DC" w:rsidRPr="00EF20DC" w:rsidRDefault="00EF20DC" w:rsidP="001F1094">
      <w:pPr>
        <w:rPr>
          <w:rFonts w:eastAsia="Calibri"/>
          <w:sz w:val="22"/>
          <w:szCs w:val="22"/>
          <w:u w:val="single"/>
        </w:rPr>
      </w:pPr>
      <w:r w:rsidRPr="00EF20DC">
        <w:rPr>
          <w:rFonts w:eastAsia="Calibri"/>
          <w:sz w:val="22"/>
          <w:szCs w:val="22"/>
          <w:u w:val="single"/>
        </w:rPr>
        <w:lastRenderedPageBreak/>
        <w:t>Farmakokinetika ypating</w:t>
      </w:r>
      <w:r w:rsidR="000D4328">
        <w:rPr>
          <w:rFonts w:eastAsia="Calibri"/>
          <w:sz w:val="22"/>
          <w:szCs w:val="22"/>
          <w:u w:val="single"/>
        </w:rPr>
        <w:t>ose populiacijose</w:t>
      </w:r>
      <w:r w:rsidRPr="00EF20DC">
        <w:rPr>
          <w:rFonts w:eastAsia="Calibri"/>
          <w:sz w:val="22"/>
          <w:szCs w:val="22"/>
          <w:u w:val="single"/>
        </w:rPr>
        <w:t xml:space="preserve"> </w:t>
      </w:r>
    </w:p>
    <w:p w14:paraId="47ACB525" w14:textId="77777777" w:rsidR="00EF20DC" w:rsidRPr="00EF20DC" w:rsidRDefault="00EF20DC" w:rsidP="001F1094">
      <w:pPr>
        <w:rPr>
          <w:rFonts w:eastAsia="Calibri"/>
          <w:sz w:val="22"/>
          <w:szCs w:val="22"/>
        </w:rPr>
      </w:pPr>
      <w:r w:rsidRPr="00EF20DC">
        <w:rPr>
          <w:rFonts w:eastAsia="Calibri"/>
          <w:sz w:val="22"/>
          <w:szCs w:val="22"/>
        </w:rPr>
        <w:t xml:space="preserve">Demografinių duomenų analizė rodo, kad nuo amžiaus (iki 65 metų), lyties ir kūno svorio </w:t>
      </w:r>
      <w:r w:rsidR="000D4328">
        <w:rPr>
          <w:rFonts w:eastAsia="Calibri"/>
          <w:sz w:val="22"/>
          <w:szCs w:val="22"/>
        </w:rPr>
        <w:t xml:space="preserve">vaistinio </w:t>
      </w:r>
      <w:r w:rsidRPr="00EF20DC">
        <w:rPr>
          <w:rFonts w:eastAsia="Calibri"/>
          <w:sz w:val="22"/>
          <w:szCs w:val="22"/>
        </w:rPr>
        <w:t xml:space="preserve">preparato farmakokinetika nepriklauso. </w:t>
      </w:r>
    </w:p>
    <w:p w14:paraId="47AE2558" w14:textId="77777777" w:rsidR="00EF20DC" w:rsidRPr="00EF20DC" w:rsidRDefault="00EF20DC" w:rsidP="001F1094">
      <w:pPr>
        <w:rPr>
          <w:rFonts w:eastAsia="Calibri"/>
          <w:sz w:val="22"/>
          <w:szCs w:val="22"/>
        </w:rPr>
      </w:pPr>
    </w:p>
    <w:p w14:paraId="7EDB89CA"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Vaikų populiacija </w:t>
      </w:r>
    </w:p>
    <w:p w14:paraId="47420F01" w14:textId="77777777" w:rsidR="00EF20DC" w:rsidRPr="00EF20DC" w:rsidRDefault="00EF20DC" w:rsidP="001F1094">
      <w:pPr>
        <w:rPr>
          <w:rFonts w:eastAsia="Calibri"/>
          <w:sz w:val="22"/>
          <w:szCs w:val="22"/>
        </w:rPr>
      </w:pPr>
      <w:r w:rsidRPr="00EF20DC">
        <w:rPr>
          <w:rFonts w:eastAsia="Calibri"/>
          <w:sz w:val="22"/>
          <w:szCs w:val="22"/>
        </w:rPr>
        <w:t xml:space="preserve">Vaikų organizme sorafenibo farmakokinetika netirta. </w:t>
      </w:r>
    </w:p>
    <w:p w14:paraId="4C4686AF" w14:textId="77777777" w:rsidR="00EF20DC" w:rsidRPr="00EF20DC" w:rsidRDefault="00EF20DC" w:rsidP="001F1094">
      <w:pPr>
        <w:rPr>
          <w:rFonts w:eastAsia="Calibri"/>
          <w:sz w:val="22"/>
          <w:szCs w:val="22"/>
        </w:rPr>
      </w:pPr>
    </w:p>
    <w:p w14:paraId="48A9C1F0" w14:textId="77777777" w:rsidR="00EF20DC" w:rsidRPr="00EF20DC" w:rsidRDefault="00EF20DC" w:rsidP="001F1094">
      <w:pPr>
        <w:rPr>
          <w:rFonts w:eastAsia="Calibri"/>
          <w:sz w:val="22"/>
          <w:szCs w:val="22"/>
          <w:u w:val="single"/>
        </w:rPr>
      </w:pPr>
      <w:r w:rsidRPr="00EF20DC">
        <w:rPr>
          <w:rFonts w:eastAsia="Calibri"/>
          <w:sz w:val="22"/>
          <w:szCs w:val="22"/>
          <w:u w:val="single"/>
        </w:rPr>
        <w:t xml:space="preserve">Rasė </w:t>
      </w:r>
    </w:p>
    <w:p w14:paraId="3381F047" w14:textId="76F6F909" w:rsidR="00EF20DC" w:rsidRPr="00EF20DC" w:rsidRDefault="00EF20DC" w:rsidP="001F1094">
      <w:pPr>
        <w:rPr>
          <w:rFonts w:eastAsia="Calibri"/>
          <w:sz w:val="22"/>
          <w:szCs w:val="22"/>
        </w:rPr>
      </w:pPr>
      <w:r w:rsidRPr="00EF20DC">
        <w:rPr>
          <w:rFonts w:eastAsia="Calibri"/>
          <w:sz w:val="22"/>
          <w:szCs w:val="22"/>
        </w:rPr>
        <w:t>Kliniškai svarbių farmakokinetiko</w:t>
      </w:r>
      <w:r w:rsidR="003C64E6">
        <w:rPr>
          <w:rFonts w:eastAsia="Calibri"/>
          <w:sz w:val="22"/>
          <w:szCs w:val="22"/>
        </w:rPr>
        <w:t>s rodmenų skirtumų</w:t>
      </w:r>
      <w:r w:rsidRPr="00EF20DC">
        <w:rPr>
          <w:rFonts w:eastAsia="Calibri"/>
          <w:sz w:val="22"/>
          <w:szCs w:val="22"/>
        </w:rPr>
        <w:t xml:space="preserve"> tarp baltaodžių ir azijiečių nėra. </w:t>
      </w:r>
    </w:p>
    <w:p w14:paraId="1AEB9056" w14:textId="77777777" w:rsidR="00EF20DC" w:rsidRPr="00EF20DC" w:rsidRDefault="00EF20DC" w:rsidP="001F1094">
      <w:pPr>
        <w:rPr>
          <w:rFonts w:eastAsia="Calibri"/>
          <w:sz w:val="22"/>
          <w:szCs w:val="22"/>
        </w:rPr>
      </w:pPr>
    </w:p>
    <w:p w14:paraId="5A0D0417" w14:textId="77777777" w:rsidR="00EF20DC" w:rsidRPr="00EF20DC" w:rsidRDefault="00EF20DC" w:rsidP="001F1094">
      <w:pPr>
        <w:rPr>
          <w:rFonts w:eastAsia="Calibri"/>
          <w:sz w:val="22"/>
          <w:szCs w:val="22"/>
          <w:u w:val="single"/>
        </w:rPr>
      </w:pPr>
      <w:r w:rsidRPr="00EF20DC">
        <w:rPr>
          <w:rFonts w:eastAsia="Calibri"/>
          <w:sz w:val="22"/>
          <w:szCs w:val="22"/>
          <w:u w:val="single"/>
        </w:rPr>
        <w:t>Sutrikusi inkstų funkcija</w:t>
      </w:r>
    </w:p>
    <w:p w14:paraId="4062BFD2" w14:textId="77777777" w:rsidR="00EF20DC" w:rsidRPr="00EF20DC" w:rsidRDefault="00EF20DC" w:rsidP="001F1094">
      <w:pPr>
        <w:rPr>
          <w:rFonts w:eastAsia="Calibri"/>
          <w:sz w:val="22"/>
          <w:szCs w:val="22"/>
        </w:rPr>
      </w:pPr>
      <w:r w:rsidRPr="00EF20DC">
        <w:rPr>
          <w:rFonts w:eastAsia="Calibri"/>
          <w:sz w:val="22"/>
          <w:szCs w:val="22"/>
        </w:rPr>
        <w:t>Keturių I fazės klinikinių tyrimų metu pacientų, kuriems buvo lengvas arba vidutinio sunkumo inkstų funkcijos sutrikimas, pastovi sorafenibo ekspozicija buvo panaši kaip pacientų, kurių inkstų funkcija normali. Klinikiniame farmakologiniame tyrime (viena 400 mg sorafenibo dozė) ryšio tarp sorafenibo ekspozicijos ir inkstų funkcijos pacientams</w:t>
      </w:r>
      <w:r w:rsidR="000D4328">
        <w:rPr>
          <w:rFonts w:eastAsia="Calibri"/>
          <w:sz w:val="22"/>
          <w:szCs w:val="22"/>
        </w:rPr>
        <w:t>, kurių</w:t>
      </w:r>
      <w:r w:rsidRPr="00EF20DC">
        <w:rPr>
          <w:rFonts w:eastAsia="Calibri"/>
          <w:sz w:val="22"/>
          <w:szCs w:val="22"/>
        </w:rPr>
        <w:t xml:space="preserve"> inkstų funkcija</w:t>
      </w:r>
      <w:r w:rsidR="000D4328">
        <w:rPr>
          <w:rFonts w:eastAsia="Calibri"/>
          <w:sz w:val="22"/>
          <w:szCs w:val="22"/>
        </w:rPr>
        <w:t xml:space="preserve"> normali</w:t>
      </w:r>
      <w:r w:rsidRPr="00EF20DC">
        <w:rPr>
          <w:rFonts w:eastAsia="Calibri"/>
          <w:sz w:val="22"/>
          <w:szCs w:val="22"/>
        </w:rPr>
        <w:t>,</w:t>
      </w:r>
      <w:r w:rsidR="000D4328">
        <w:rPr>
          <w:rFonts w:eastAsia="Calibri"/>
          <w:sz w:val="22"/>
          <w:szCs w:val="22"/>
        </w:rPr>
        <w:t xml:space="preserve"> ir pacientams, kuriems yra </w:t>
      </w:r>
      <w:r w:rsidRPr="00EF20DC">
        <w:rPr>
          <w:rFonts w:eastAsia="Calibri"/>
          <w:sz w:val="22"/>
          <w:szCs w:val="22"/>
        </w:rPr>
        <w:t>lengv</w:t>
      </w:r>
      <w:r w:rsidR="000D4328">
        <w:rPr>
          <w:rFonts w:eastAsia="Calibri"/>
          <w:sz w:val="22"/>
          <w:szCs w:val="22"/>
        </w:rPr>
        <w:t>as</w:t>
      </w:r>
      <w:r w:rsidRPr="00EF20DC">
        <w:rPr>
          <w:rFonts w:eastAsia="Calibri"/>
          <w:sz w:val="22"/>
          <w:szCs w:val="22"/>
        </w:rPr>
        <w:t>, vidutini</w:t>
      </w:r>
      <w:r w:rsidR="000D4328">
        <w:rPr>
          <w:rFonts w:eastAsia="Calibri"/>
          <w:sz w:val="22"/>
          <w:szCs w:val="22"/>
        </w:rPr>
        <w:t>o sunkumo</w:t>
      </w:r>
      <w:r w:rsidRPr="00EF20DC">
        <w:rPr>
          <w:rFonts w:eastAsia="Calibri"/>
          <w:sz w:val="22"/>
          <w:szCs w:val="22"/>
        </w:rPr>
        <w:t xml:space="preserve"> arba sunk</w:t>
      </w:r>
      <w:r w:rsidR="000D4328">
        <w:rPr>
          <w:rFonts w:eastAsia="Calibri"/>
          <w:sz w:val="22"/>
          <w:szCs w:val="22"/>
        </w:rPr>
        <w:t>us</w:t>
      </w:r>
      <w:r w:rsidRPr="00EF20DC">
        <w:rPr>
          <w:rFonts w:eastAsia="Calibri"/>
          <w:sz w:val="22"/>
          <w:szCs w:val="22"/>
        </w:rPr>
        <w:t xml:space="preserve"> inkstų funkcijos sutrikim</w:t>
      </w:r>
      <w:r w:rsidR="000D4328">
        <w:rPr>
          <w:rFonts w:eastAsia="Calibri"/>
          <w:sz w:val="22"/>
          <w:szCs w:val="22"/>
        </w:rPr>
        <w:t>as,</w:t>
      </w:r>
      <w:r w:rsidRPr="00EF20DC">
        <w:rPr>
          <w:rFonts w:eastAsia="Calibri"/>
          <w:sz w:val="22"/>
          <w:szCs w:val="22"/>
        </w:rPr>
        <w:t xml:space="preserve"> nenustatyta. Apie pacientus, kuriems reikia dializės, duomenų nėra. </w:t>
      </w:r>
    </w:p>
    <w:p w14:paraId="2765B07C" w14:textId="77777777" w:rsidR="00EF20DC" w:rsidRPr="00EF20DC" w:rsidRDefault="00EF20DC" w:rsidP="001F1094">
      <w:pPr>
        <w:rPr>
          <w:rFonts w:eastAsia="Calibri"/>
          <w:sz w:val="22"/>
          <w:szCs w:val="22"/>
        </w:rPr>
      </w:pPr>
    </w:p>
    <w:p w14:paraId="03304CAF" w14:textId="77777777" w:rsidR="00EF20DC" w:rsidRPr="00EF20DC" w:rsidRDefault="00EF20DC" w:rsidP="001F1094">
      <w:pPr>
        <w:rPr>
          <w:rFonts w:eastAsia="Calibri"/>
          <w:sz w:val="22"/>
          <w:szCs w:val="22"/>
          <w:u w:val="single"/>
        </w:rPr>
      </w:pPr>
      <w:r w:rsidRPr="00EF20DC">
        <w:rPr>
          <w:rFonts w:eastAsia="Calibri"/>
          <w:sz w:val="22"/>
          <w:szCs w:val="22"/>
          <w:u w:val="single"/>
        </w:rPr>
        <w:t>Sutrikusi kepenų funkcija</w:t>
      </w:r>
    </w:p>
    <w:p w14:paraId="6EFA7B8F" w14:textId="77777777" w:rsidR="00EF20DC" w:rsidRPr="00EF20DC" w:rsidRDefault="00EF20DC" w:rsidP="001F1094">
      <w:pPr>
        <w:rPr>
          <w:rFonts w:eastAsia="Calibri"/>
          <w:sz w:val="22"/>
          <w:szCs w:val="22"/>
        </w:rPr>
      </w:pPr>
      <w:r w:rsidRPr="00EF20DC">
        <w:rPr>
          <w:rFonts w:eastAsia="Calibri"/>
          <w:sz w:val="22"/>
          <w:szCs w:val="22"/>
        </w:rPr>
        <w:t xml:space="preserve">Pacientų, kuriems buvo kepenų ląstelių karcinoma ir </w:t>
      </w:r>
      <w:r w:rsidRPr="00EF20DC">
        <w:rPr>
          <w:rFonts w:eastAsia="Calibri"/>
          <w:i/>
          <w:sz w:val="22"/>
          <w:szCs w:val="22"/>
        </w:rPr>
        <w:t>Child Pugh</w:t>
      </w:r>
      <w:r w:rsidRPr="00EF20DC">
        <w:rPr>
          <w:rFonts w:eastAsia="Calibri"/>
          <w:sz w:val="22"/>
          <w:szCs w:val="22"/>
        </w:rPr>
        <w:t xml:space="preserve"> A arba B klasės (lengvas arba vidutinio sunkumo) kepenų funkcijos sutrikimas, organizme vaistinio preparato ekspozicijo</w:t>
      </w:r>
      <w:r w:rsidR="003C64E6">
        <w:rPr>
          <w:rFonts w:eastAsia="Calibri"/>
          <w:sz w:val="22"/>
          <w:szCs w:val="22"/>
        </w:rPr>
        <w:t>s</w:t>
      </w:r>
      <w:r w:rsidRPr="00EF20DC">
        <w:rPr>
          <w:rFonts w:eastAsia="Calibri"/>
          <w:sz w:val="22"/>
          <w:szCs w:val="22"/>
        </w:rPr>
        <w:t xml:space="preserve"> duomenys buvo panašūs į </w:t>
      </w:r>
      <w:r w:rsidR="000D4328" w:rsidRPr="00EF20DC">
        <w:rPr>
          <w:rFonts w:eastAsia="Calibri"/>
          <w:sz w:val="22"/>
          <w:szCs w:val="22"/>
        </w:rPr>
        <w:t>ekspozicijos</w:t>
      </w:r>
      <w:r w:rsidR="000D4328">
        <w:rPr>
          <w:rFonts w:eastAsia="Calibri"/>
          <w:sz w:val="22"/>
          <w:szCs w:val="22"/>
        </w:rPr>
        <w:t>, nustatytos pacientams, kurių kepenų funkcija normali,</w:t>
      </w:r>
      <w:r w:rsidR="000D4328" w:rsidRPr="00EF20DC">
        <w:rPr>
          <w:rFonts w:eastAsia="Calibri"/>
          <w:sz w:val="22"/>
          <w:szCs w:val="22"/>
        </w:rPr>
        <w:t xml:space="preserve"> </w:t>
      </w:r>
      <w:r w:rsidRPr="00EF20DC">
        <w:rPr>
          <w:rFonts w:eastAsia="Calibri"/>
          <w:sz w:val="22"/>
          <w:szCs w:val="22"/>
        </w:rPr>
        <w:t xml:space="preserve">duomenis ir neperžengė jų ribų. Kepenų ląstelių karcinoma nesergančių pacientų, kuriems buvo </w:t>
      </w:r>
      <w:r w:rsidRPr="00EF20DC">
        <w:rPr>
          <w:rFonts w:eastAsia="Calibri"/>
          <w:i/>
          <w:sz w:val="22"/>
          <w:szCs w:val="22"/>
        </w:rPr>
        <w:t>Child Pugh</w:t>
      </w:r>
      <w:r w:rsidRPr="00EF20DC">
        <w:rPr>
          <w:rFonts w:eastAsia="Calibri"/>
          <w:sz w:val="22"/>
          <w:szCs w:val="22"/>
        </w:rPr>
        <w:t xml:space="preserve"> A ir B klasių sutrikimai, sorafenibo farmakokinetika buvo panaši į sveikų savanorių. Apie ekspoziciją pacientų, kuriems yra </w:t>
      </w:r>
      <w:r w:rsidRPr="00EF20DC">
        <w:rPr>
          <w:rFonts w:eastAsia="Calibri"/>
          <w:i/>
          <w:sz w:val="22"/>
          <w:szCs w:val="22"/>
        </w:rPr>
        <w:t>Child Pugh</w:t>
      </w:r>
      <w:r w:rsidRPr="00EF20DC">
        <w:rPr>
          <w:rFonts w:eastAsia="Calibri"/>
          <w:sz w:val="22"/>
          <w:szCs w:val="22"/>
        </w:rPr>
        <w:t xml:space="preserve"> C klasės (sunkus) kepenų funkcijos sutrikimas, organizme duomenų nėra. Sorafenibas eliminuojamas daugiausia per kepenis, todėl minėtų pacientų organizme </w:t>
      </w:r>
      <w:r w:rsidR="000D4328">
        <w:rPr>
          <w:rFonts w:eastAsia="Calibri"/>
          <w:sz w:val="22"/>
          <w:szCs w:val="22"/>
        </w:rPr>
        <w:t>vaistinio preparato</w:t>
      </w:r>
      <w:r w:rsidRPr="00EF20DC">
        <w:rPr>
          <w:rFonts w:eastAsia="Calibri"/>
          <w:sz w:val="22"/>
          <w:szCs w:val="22"/>
        </w:rPr>
        <w:t xml:space="preserve"> ekspozicija gali būti didesnė. </w:t>
      </w:r>
    </w:p>
    <w:p w14:paraId="1A6320AE" w14:textId="77777777" w:rsidR="00EF20DC" w:rsidRPr="00EF20DC" w:rsidRDefault="00EF20DC" w:rsidP="001F1094">
      <w:pPr>
        <w:rPr>
          <w:rFonts w:eastAsia="Calibri"/>
          <w:sz w:val="22"/>
          <w:szCs w:val="22"/>
        </w:rPr>
      </w:pPr>
    </w:p>
    <w:p w14:paraId="67E963D6" w14:textId="77777777" w:rsidR="00EF20DC" w:rsidRPr="00EF20DC" w:rsidRDefault="00EF20DC" w:rsidP="001F1094">
      <w:pPr>
        <w:tabs>
          <w:tab w:val="left" w:pos="567"/>
        </w:tabs>
        <w:rPr>
          <w:rFonts w:eastAsia="SimSun"/>
          <w:b/>
          <w:sz w:val="22"/>
          <w:szCs w:val="22"/>
          <w:lang w:eastAsia="zh-CN"/>
        </w:rPr>
      </w:pPr>
      <w:r w:rsidRPr="00EF20DC">
        <w:rPr>
          <w:rFonts w:eastAsia="SimSun"/>
          <w:b/>
          <w:sz w:val="22"/>
          <w:szCs w:val="22"/>
          <w:lang w:eastAsia="zh-CN"/>
        </w:rPr>
        <w:t>5.3</w:t>
      </w:r>
      <w:r w:rsidRPr="00EF20DC">
        <w:rPr>
          <w:rFonts w:eastAsia="SimSun"/>
          <w:b/>
          <w:sz w:val="22"/>
          <w:szCs w:val="22"/>
          <w:lang w:eastAsia="zh-CN"/>
        </w:rPr>
        <w:tab/>
        <w:t>Ikiklinikinių saugumo tyrimų duomenys</w:t>
      </w:r>
    </w:p>
    <w:p w14:paraId="7FA80485" w14:textId="77777777" w:rsidR="00EF20DC" w:rsidRPr="00EF20DC" w:rsidRDefault="00EF20DC" w:rsidP="001F1094">
      <w:pPr>
        <w:rPr>
          <w:rFonts w:eastAsia="Calibri"/>
          <w:sz w:val="22"/>
          <w:szCs w:val="22"/>
        </w:rPr>
      </w:pPr>
    </w:p>
    <w:p w14:paraId="6BC26537" w14:textId="77777777" w:rsidR="00EF20DC" w:rsidRPr="00EF20DC" w:rsidRDefault="00EF20DC" w:rsidP="001F1094">
      <w:pPr>
        <w:rPr>
          <w:rFonts w:eastAsia="Calibri"/>
          <w:sz w:val="22"/>
          <w:szCs w:val="22"/>
        </w:rPr>
      </w:pPr>
      <w:r w:rsidRPr="00EF20DC">
        <w:rPr>
          <w:rFonts w:eastAsia="Calibri"/>
          <w:sz w:val="22"/>
          <w:szCs w:val="22"/>
        </w:rPr>
        <w:t>Ikiklinikinis sorafenibo saugumas nustatytas tyrimais su pelėmis, žiurkėmis, šunimis ir triušiais. Kartotinių dozių toksinio poveikio tyrimų metu įvairiuose gyvūnų organuose pokyčių (degeneracijos, regeneracijos) atsirado nuo ekspozicijos, kuri yra mažesnė už numatomą klinikinę ekspoziciją (remia</w:t>
      </w:r>
      <w:r w:rsidR="000D4328">
        <w:rPr>
          <w:rFonts w:eastAsia="Calibri"/>
          <w:sz w:val="22"/>
          <w:szCs w:val="22"/>
        </w:rPr>
        <w:t>ntis</w:t>
      </w:r>
      <w:r w:rsidRPr="00EF20DC">
        <w:rPr>
          <w:rFonts w:eastAsia="Calibri"/>
          <w:sz w:val="22"/>
          <w:szCs w:val="22"/>
        </w:rPr>
        <w:t xml:space="preserve"> AUC palyginimu). </w:t>
      </w:r>
    </w:p>
    <w:p w14:paraId="1BB1D569" w14:textId="7BBCBB83" w:rsidR="00EF20DC" w:rsidRPr="00EF20DC" w:rsidRDefault="00EF20DC" w:rsidP="001F1094">
      <w:pPr>
        <w:rPr>
          <w:rFonts w:eastAsia="Calibri"/>
          <w:sz w:val="22"/>
          <w:szCs w:val="22"/>
        </w:rPr>
      </w:pPr>
      <w:r w:rsidRPr="00EF20DC">
        <w:rPr>
          <w:rFonts w:eastAsia="Calibri"/>
          <w:sz w:val="22"/>
          <w:szCs w:val="22"/>
        </w:rPr>
        <w:t xml:space="preserve">Kartotines dozes gavusių jaunų augančių šunų kaulams ir dantims poveikis pasireiškė nuo ekspozicijos, kuri yra mažesnė už klinikinę ekspoziciją. Pastebėti pokyčiai </w:t>
      </w:r>
      <w:r w:rsidR="000B477C">
        <w:rPr>
          <w:rFonts w:eastAsia="Calibri"/>
          <w:sz w:val="22"/>
          <w:szCs w:val="22"/>
        </w:rPr>
        <w:t>buvo</w:t>
      </w:r>
      <w:r w:rsidR="000B477C" w:rsidRPr="00EF20DC">
        <w:rPr>
          <w:rFonts w:eastAsia="Calibri"/>
          <w:sz w:val="22"/>
          <w:szCs w:val="22"/>
        </w:rPr>
        <w:t xml:space="preserve"> </w:t>
      </w:r>
      <w:r w:rsidRPr="00EF20DC">
        <w:rPr>
          <w:rFonts w:eastAsia="Calibri"/>
          <w:sz w:val="22"/>
          <w:szCs w:val="22"/>
        </w:rPr>
        <w:t xml:space="preserve">nereguliarus šlaunikaulio augimo plokštelės sutankėjimas, mažas kaulų čiulpų ląstelių kiekis ir kartu augimo plokštelės pokytis bei dentino sudėties pokytis. Suaugusiems šunims tokių pokyčių vaistinis preparatas nesukėlė. </w:t>
      </w:r>
    </w:p>
    <w:p w14:paraId="1054DC50" w14:textId="77777777" w:rsidR="00EF20DC" w:rsidRPr="00EF20DC" w:rsidRDefault="00EF20DC" w:rsidP="001F1094">
      <w:pPr>
        <w:rPr>
          <w:rFonts w:eastAsia="Calibri"/>
          <w:sz w:val="22"/>
          <w:szCs w:val="22"/>
        </w:rPr>
      </w:pPr>
    </w:p>
    <w:p w14:paraId="2294A143" w14:textId="360B3C51" w:rsidR="00EF20DC" w:rsidRPr="00EF20DC" w:rsidRDefault="00EF20DC" w:rsidP="001F1094">
      <w:pPr>
        <w:rPr>
          <w:rFonts w:eastAsia="Calibri"/>
          <w:sz w:val="22"/>
          <w:szCs w:val="22"/>
        </w:rPr>
      </w:pPr>
      <w:r w:rsidRPr="00EF20DC">
        <w:rPr>
          <w:rFonts w:eastAsia="Calibri"/>
          <w:sz w:val="22"/>
          <w:szCs w:val="22"/>
        </w:rPr>
        <w:t xml:space="preserve">Įprastinių genotoksinio poveikio tyrimų metu nustatytos genotoksinės savybės: klastogeninio poveikio, esant metabolinei aktyvacijai, tyrimų su žinduolių ląstelėmis (kininių žiurkėnų kiaušidžių) </w:t>
      </w:r>
      <w:r w:rsidRPr="00EF20DC">
        <w:rPr>
          <w:rFonts w:eastAsia="Calibri"/>
          <w:i/>
          <w:sz w:val="22"/>
          <w:szCs w:val="22"/>
        </w:rPr>
        <w:t>in vitro</w:t>
      </w:r>
      <w:r w:rsidRPr="00EF20DC">
        <w:rPr>
          <w:rFonts w:eastAsia="Calibri"/>
          <w:sz w:val="22"/>
          <w:szCs w:val="22"/>
        </w:rPr>
        <w:t xml:space="preserve"> metu </w:t>
      </w:r>
      <w:r w:rsidR="000D4328">
        <w:rPr>
          <w:rFonts w:eastAsia="Calibri"/>
          <w:sz w:val="22"/>
          <w:szCs w:val="22"/>
        </w:rPr>
        <w:t>sorafenibas</w:t>
      </w:r>
      <w:r w:rsidRPr="00EF20DC">
        <w:rPr>
          <w:rFonts w:eastAsia="Calibri"/>
          <w:sz w:val="22"/>
          <w:szCs w:val="22"/>
        </w:rPr>
        <w:t xml:space="preserve"> didino chromosomų struktūrines aberacijas. </w:t>
      </w:r>
      <w:r w:rsidRPr="00EF20DC">
        <w:rPr>
          <w:rFonts w:eastAsia="Calibri"/>
          <w:i/>
          <w:sz w:val="22"/>
          <w:szCs w:val="22"/>
        </w:rPr>
        <w:t>Ames</w:t>
      </w:r>
      <w:r w:rsidRPr="00EF20DC">
        <w:rPr>
          <w:rFonts w:eastAsia="Calibri"/>
          <w:sz w:val="22"/>
          <w:szCs w:val="22"/>
        </w:rPr>
        <w:t xml:space="preserve"> testo ir tyrimų </w:t>
      </w:r>
      <w:r w:rsidRPr="00EF20DC">
        <w:rPr>
          <w:rFonts w:eastAsia="Calibri"/>
          <w:i/>
          <w:sz w:val="22"/>
          <w:szCs w:val="22"/>
        </w:rPr>
        <w:t>in vivo</w:t>
      </w:r>
      <w:r w:rsidRPr="00EF20DC">
        <w:rPr>
          <w:rFonts w:eastAsia="Calibri"/>
          <w:sz w:val="22"/>
          <w:szCs w:val="22"/>
        </w:rPr>
        <w:t xml:space="preserve"> su pelių mikrobranduoliais metu genotoksinio poveikio sorafenibas nedarė. Vienas tarpinis produktas, kuri</w:t>
      </w:r>
      <w:r w:rsidR="000B477C">
        <w:rPr>
          <w:rFonts w:eastAsia="Calibri"/>
          <w:sz w:val="22"/>
          <w:szCs w:val="22"/>
        </w:rPr>
        <w:t>s</w:t>
      </w:r>
      <w:r w:rsidRPr="00EF20DC">
        <w:rPr>
          <w:rFonts w:eastAsia="Calibri"/>
          <w:sz w:val="22"/>
          <w:szCs w:val="22"/>
        </w:rPr>
        <w:t xml:space="preserve"> </w:t>
      </w:r>
      <w:r w:rsidR="000B477C">
        <w:rPr>
          <w:rFonts w:eastAsia="Calibri"/>
          <w:sz w:val="22"/>
          <w:szCs w:val="22"/>
        </w:rPr>
        <w:t>susidaro</w:t>
      </w:r>
      <w:r w:rsidR="000B477C" w:rsidRPr="00EF20DC">
        <w:rPr>
          <w:rFonts w:eastAsia="Calibri"/>
          <w:sz w:val="22"/>
          <w:szCs w:val="22"/>
        </w:rPr>
        <w:t xml:space="preserve"> </w:t>
      </w:r>
      <w:r w:rsidRPr="00EF20DC">
        <w:rPr>
          <w:rFonts w:eastAsia="Calibri"/>
          <w:sz w:val="22"/>
          <w:szCs w:val="22"/>
        </w:rPr>
        <w:t>gamybos proceso metu ir kurio būna (&lt;</w:t>
      </w:r>
      <w:r w:rsidR="006319C4">
        <w:rPr>
          <w:rFonts w:eastAsia="Calibri"/>
          <w:sz w:val="22"/>
          <w:szCs w:val="22"/>
        </w:rPr>
        <w:t> </w:t>
      </w:r>
      <w:r w:rsidRPr="00EF20DC">
        <w:rPr>
          <w:rFonts w:eastAsia="Calibri"/>
          <w:sz w:val="22"/>
          <w:szCs w:val="22"/>
        </w:rPr>
        <w:t>0,15 %) galutinėje veikliojoje medžiagoje, bakterinių ląstelių tyrimų (</w:t>
      </w:r>
      <w:r w:rsidRPr="00EF20DC">
        <w:rPr>
          <w:rFonts w:eastAsia="Calibri"/>
          <w:i/>
          <w:sz w:val="22"/>
          <w:szCs w:val="22"/>
        </w:rPr>
        <w:t xml:space="preserve">Ames </w:t>
      </w:r>
      <w:r w:rsidRPr="00EF20DC">
        <w:rPr>
          <w:rFonts w:eastAsia="Calibri"/>
          <w:sz w:val="22"/>
          <w:szCs w:val="22"/>
        </w:rPr>
        <w:t xml:space="preserve">testas) </w:t>
      </w:r>
      <w:r w:rsidRPr="00EF20DC">
        <w:rPr>
          <w:rFonts w:eastAsia="Calibri"/>
          <w:i/>
          <w:sz w:val="22"/>
          <w:szCs w:val="22"/>
        </w:rPr>
        <w:t>in vitro</w:t>
      </w:r>
      <w:r w:rsidRPr="00EF20DC">
        <w:rPr>
          <w:rFonts w:eastAsia="Calibri"/>
          <w:sz w:val="22"/>
          <w:szCs w:val="22"/>
        </w:rPr>
        <w:t xml:space="preserve"> metu veikė mutageniškai. Be to, sorafenibo serijoje, kuri buvo naudojama daugelio įprastinio genotoksinio poveikio tyrimų metu, buvo 0,34 % </w:t>
      </w:r>
      <w:r w:rsidRPr="003C64E6">
        <w:rPr>
          <w:rFonts w:eastAsia="Calibri"/>
          <w:sz w:val="22"/>
          <w:szCs w:val="22"/>
        </w:rPr>
        <w:t>PAPE (</w:t>
      </w:r>
      <w:r w:rsidR="00514396">
        <w:rPr>
          <w:rFonts w:eastAsia="Calibri"/>
          <w:sz w:val="22"/>
          <w:szCs w:val="22"/>
        </w:rPr>
        <w:t xml:space="preserve">angl. </w:t>
      </w:r>
      <w:r w:rsidRPr="003C64E6">
        <w:rPr>
          <w:rFonts w:eastAsia="Calibri"/>
          <w:i/>
          <w:sz w:val="22"/>
          <w:szCs w:val="22"/>
        </w:rPr>
        <w:t>picolinamide phenyl</w:t>
      </w:r>
      <w:r w:rsidR="00514396">
        <w:rPr>
          <w:rFonts w:eastAsia="Calibri"/>
          <w:i/>
          <w:sz w:val="22"/>
          <w:szCs w:val="22"/>
        </w:rPr>
        <w:t xml:space="preserve"> </w:t>
      </w:r>
      <w:r w:rsidRPr="003C64E6">
        <w:rPr>
          <w:rFonts w:eastAsia="Calibri"/>
          <w:i/>
          <w:sz w:val="22"/>
          <w:szCs w:val="22"/>
        </w:rPr>
        <w:t>ether</w:t>
      </w:r>
      <w:r w:rsidRPr="003C64E6">
        <w:rPr>
          <w:rFonts w:eastAsia="Calibri"/>
          <w:sz w:val="22"/>
          <w:szCs w:val="22"/>
        </w:rPr>
        <w:t>)</w:t>
      </w:r>
      <w:r w:rsidRPr="00EF20DC">
        <w:rPr>
          <w:rFonts w:ascii="Calibri" w:eastAsia="Calibri" w:hAnsi="Calibri"/>
          <w:sz w:val="22"/>
          <w:szCs w:val="22"/>
        </w:rPr>
        <w:t xml:space="preserve">. </w:t>
      </w:r>
      <w:r w:rsidRPr="00EF20DC">
        <w:rPr>
          <w:rFonts w:eastAsia="Calibri"/>
          <w:sz w:val="22"/>
          <w:szCs w:val="22"/>
        </w:rPr>
        <w:t xml:space="preserve">Kancerogeninių sorafenibo tyrimų neatlikta. </w:t>
      </w:r>
    </w:p>
    <w:p w14:paraId="3AFB43A8" w14:textId="77777777" w:rsidR="00EF20DC" w:rsidRPr="00EF20DC" w:rsidRDefault="00EF20DC" w:rsidP="001F1094">
      <w:pPr>
        <w:rPr>
          <w:rFonts w:eastAsia="Calibri"/>
          <w:sz w:val="22"/>
          <w:szCs w:val="22"/>
        </w:rPr>
      </w:pPr>
    </w:p>
    <w:p w14:paraId="545F6656" w14:textId="6815C06C" w:rsidR="00EF20DC" w:rsidRPr="00EF20DC" w:rsidRDefault="00EF20DC" w:rsidP="001F1094">
      <w:pPr>
        <w:rPr>
          <w:rFonts w:eastAsia="Calibri"/>
          <w:sz w:val="22"/>
          <w:szCs w:val="22"/>
        </w:rPr>
      </w:pPr>
      <w:r w:rsidRPr="00EF20DC">
        <w:rPr>
          <w:rFonts w:eastAsia="Calibri"/>
          <w:sz w:val="22"/>
          <w:szCs w:val="22"/>
        </w:rPr>
        <w:t>Specifinių gyvūnų tyrimų, kurių metu būtų nustatinėtas sorafenibo poveikis vaisingumui, neatlikta. Vis dėlto nepageidaujamas poveikis vyrų ir moterų vaisingumui tikėtinas, kadangi kartotinių dozių poveikio tyrimų metu nuo ekspozicijos, kuri yra mažesnė už tikėtiną klinikinę (remia</w:t>
      </w:r>
      <w:r w:rsidR="00A2477F">
        <w:rPr>
          <w:rFonts w:eastAsia="Calibri"/>
          <w:sz w:val="22"/>
          <w:szCs w:val="22"/>
        </w:rPr>
        <w:t>ntis</w:t>
      </w:r>
      <w:r w:rsidRPr="00EF20DC">
        <w:rPr>
          <w:rFonts w:eastAsia="Calibri"/>
          <w:sz w:val="22"/>
          <w:szCs w:val="22"/>
        </w:rPr>
        <w:t xml:space="preserve"> AUC), atsirado pokyčių patelių ir patinų lyties organuose. Žiurkių patinams būdingi pokyčiai buvo sėklidžių, jų priedėlių, </w:t>
      </w:r>
      <w:r w:rsidRPr="00EF20DC">
        <w:rPr>
          <w:rFonts w:eastAsia="Calibri"/>
          <w:sz w:val="22"/>
          <w:szCs w:val="22"/>
        </w:rPr>
        <w:lastRenderedPageBreak/>
        <w:t xml:space="preserve">prostatos ir sėklinių pūslelių degeneracijos ir </w:t>
      </w:r>
      <w:r w:rsidR="00A1277A">
        <w:rPr>
          <w:rFonts w:eastAsia="Calibri"/>
          <w:sz w:val="22"/>
          <w:szCs w:val="22"/>
        </w:rPr>
        <w:t>retardacijos</w:t>
      </w:r>
      <w:r w:rsidRPr="00EF20DC">
        <w:rPr>
          <w:rFonts w:eastAsia="Calibri"/>
          <w:sz w:val="22"/>
          <w:szCs w:val="22"/>
        </w:rPr>
        <w:t xml:space="preserve"> požymiai, patelėms − centrinė geltonkūnio nekrozė ir kiaušidžių folikulų vystymosi stabdymas. Šunims </w:t>
      </w:r>
      <w:r w:rsidR="000B477C">
        <w:rPr>
          <w:rFonts w:eastAsia="Calibri"/>
          <w:sz w:val="22"/>
          <w:szCs w:val="22"/>
        </w:rPr>
        <w:t>stebėta</w:t>
      </w:r>
      <w:r w:rsidR="000B477C" w:rsidRPr="00EF20DC">
        <w:rPr>
          <w:rFonts w:eastAsia="Calibri"/>
          <w:sz w:val="22"/>
          <w:szCs w:val="22"/>
        </w:rPr>
        <w:t xml:space="preserve"> </w:t>
      </w:r>
      <w:r w:rsidRPr="00EF20DC">
        <w:rPr>
          <w:rFonts w:eastAsia="Calibri"/>
          <w:sz w:val="22"/>
          <w:szCs w:val="22"/>
        </w:rPr>
        <w:t xml:space="preserve">sėklidžių kanalėlių degeneracija ir oligospermija. </w:t>
      </w:r>
    </w:p>
    <w:p w14:paraId="6AE5D711" w14:textId="77777777" w:rsidR="00EF20DC" w:rsidRPr="00EF20DC" w:rsidRDefault="00EF20DC" w:rsidP="001F1094">
      <w:pPr>
        <w:rPr>
          <w:rFonts w:eastAsia="Calibri"/>
          <w:sz w:val="22"/>
          <w:szCs w:val="22"/>
        </w:rPr>
      </w:pPr>
    </w:p>
    <w:p w14:paraId="0E78A19D" w14:textId="77777777" w:rsidR="00EF20DC" w:rsidRPr="00EF20DC" w:rsidRDefault="00EF20DC" w:rsidP="001F1094">
      <w:pPr>
        <w:rPr>
          <w:rFonts w:eastAsia="Calibri"/>
          <w:sz w:val="22"/>
          <w:szCs w:val="22"/>
        </w:rPr>
      </w:pPr>
      <w:r w:rsidRPr="00EF20DC">
        <w:rPr>
          <w:rFonts w:eastAsia="Calibri"/>
          <w:sz w:val="22"/>
          <w:szCs w:val="22"/>
        </w:rPr>
        <w:t xml:space="preserve">Žiurkėms ir triušiams sorafenibo ekspozicija, mažesnė už klinikinę, darė embriotoksinį ir teratogeninį poveikį: sumažino patelės ir jos vaisiaus kūno svorį, padažnino vaisiaus rezorbciją, sukėlė išorės ir vidaus organų sklaidos trūkumų. </w:t>
      </w:r>
    </w:p>
    <w:p w14:paraId="44DCB005" w14:textId="77777777" w:rsidR="00EF20DC" w:rsidRPr="00EF20DC" w:rsidRDefault="00EF20DC" w:rsidP="001F1094">
      <w:pPr>
        <w:rPr>
          <w:rFonts w:eastAsia="Calibri"/>
          <w:sz w:val="22"/>
          <w:szCs w:val="22"/>
        </w:rPr>
      </w:pPr>
      <w:r w:rsidRPr="00EF20DC">
        <w:rPr>
          <w:rFonts w:eastAsia="Calibri"/>
          <w:sz w:val="22"/>
          <w:szCs w:val="22"/>
        </w:rPr>
        <w:t xml:space="preserve"> </w:t>
      </w:r>
    </w:p>
    <w:p w14:paraId="61597B31" w14:textId="77777777" w:rsidR="00EF20DC" w:rsidRPr="00EF20DC" w:rsidRDefault="00EF20DC" w:rsidP="001F1094">
      <w:pPr>
        <w:rPr>
          <w:rFonts w:eastAsia="Calibri"/>
          <w:sz w:val="22"/>
          <w:szCs w:val="22"/>
        </w:rPr>
      </w:pPr>
      <w:r w:rsidRPr="00EF20DC">
        <w:rPr>
          <w:rFonts w:eastAsia="Calibri"/>
          <w:sz w:val="22"/>
          <w:szCs w:val="22"/>
        </w:rPr>
        <w:t>Pavojaus aplinkai vertinimo tyrimai parodė, kad sorafenibo to</w:t>
      </w:r>
      <w:r w:rsidR="00A1277A">
        <w:rPr>
          <w:rFonts w:eastAsia="Calibri"/>
          <w:sz w:val="22"/>
          <w:szCs w:val="22"/>
        </w:rPr>
        <w:t>z</w:t>
      </w:r>
      <w:r w:rsidRPr="00EF20DC">
        <w:rPr>
          <w:rFonts w:eastAsia="Calibri"/>
          <w:sz w:val="22"/>
          <w:szCs w:val="22"/>
        </w:rPr>
        <w:t>ilatas gali būti patvarus, biologiškai besikaupiantis ir toksiškas aplinkai. Pavojaus aplinkai vertinimo informacija pateikiama šio vaist</w:t>
      </w:r>
      <w:r w:rsidR="00A2477F">
        <w:rPr>
          <w:rFonts w:eastAsia="Calibri"/>
          <w:sz w:val="22"/>
          <w:szCs w:val="22"/>
        </w:rPr>
        <w:t>inio preparato</w:t>
      </w:r>
      <w:r w:rsidRPr="00EF20DC">
        <w:rPr>
          <w:rFonts w:eastAsia="Calibri"/>
          <w:sz w:val="22"/>
          <w:szCs w:val="22"/>
        </w:rPr>
        <w:t xml:space="preserve"> santraukoje plačiajai visuomenei (EPAR) (žr. 6.6 skyrių). </w:t>
      </w:r>
    </w:p>
    <w:p w14:paraId="40D7FCAA" w14:textId="77777777" w:rsidR="00EF20DC" w:rsidRPr="00EF20DC" w:rsidRDefault="00EF20DC" w:rsidP="001F1094">
      <w:pPr>
        <w:rPr>
          <w:rFonts w:eastAsia="Calibri"/>
          <w:sz w:val="22"/>
          <w:szCs w:val="22"/>
        </w:rPr>
      </w:pPr>
    </w:p>
    <w:p w14:paraId="3904D4E2" w14:textId="77777777" w:rsidR="00EF20DC" w:rsidRPr="00EF20DC" w:rsidRDefault="00EF20DC" w:rsidP="001F1094">
      <w:pPr>
        <w:rPr>
          <w:rFonts w:eastAsia="Calibri"/>
          <w:sz w:val="22"/>
          <w:szCs w:val="22"/>
        </w:rPr>
      </w:pPr>
    </w:p>
    <w:p w14:paraId="0967B4C0" w14:textId="77777777" w:rsidR="00EF20DC" w:rsidRPr="00EF20DC" w:rsidRDefault="00EF20DC" w:rsidP="001F1094">
      <w:pPr>
        <w:tabs>
          <w:tab w:val="left" w:pos="567"/>
        </w:tabs>
        <w:rPr>
          <w:rFonts w:eastAsia="SimSun"/>
          <w:b/>
          <w:sz w:val="22"/>
          <w:szCs w:val="22"/>
          <w:lang w:eastAsia="zh-CN"/>
        </w:rPr>
      </w:pPr>
      <w:r w:rsidRPr="00EF20DC">
        <w:rPr>
          <w:rFonts w:eastAsia="SimSun"/>
          <w:b/>
          <w:sz w:val="22"/>
          <w:szCs w:val="22"/>
          <w:lang w:eastAsia="zh-CN"/>
        </w:rPr>
        <w:t>6.</w:t>
      </w:r>
      <w:r w:rsidRPr="00EF20DC">
        <w:rPr>
          <w:rFonts w:eastAsia="SimSun"/>
          <w:b/>
          <w:sz w:val="22"/>
          <w:szCs w:val="22"/>
          <w:lang w:eastAsia="zh-CN"/>
        </w:rPr>
        <w:tab/>
        <w:t>FARMACINĖ INFORMACIJA</w:t>
      </w:r>
    </w:p>
    <w:p w14:paraId="6A8DEAA3" w14:textId="77777777" w:rsidR="00EF20DC" w:rsidRPr="00EF20DC" w:rsidRDefault="00EF20DC" w:rsidP="001F1094">
      <w:pPr>
        <w:tabs>
          <w:tab w:val="left" w:pos="567"/>
        </w:tabs>
        <w:rPr>
          <w:rFonts w:eastAsia="SimSun"/>
          <w:b/>
          <w:sz w:val="22"/>
          <w:szCs w:val="22"/>
          <w:lang w:eastAsia="zh-CN"/>
        </w:rPr>
      </w:pPr>
    </w:p>
    <w:p w14:paraId="616F5497" w14:textId="77777777" w:rsidR="00EF20DC" w:rsidRPr="00EF20DC" w:rsidRDefault="00EF20DC" w:rsidP="001F1094">
      <w:pPr>
        <w:tabs>
          <w:tab w:val="left" w:pos="567"/>
        </w:tabs>
        <w:rPr>
          <w:rFonts w:eastAsia="SimSun"/>
          <w:b/>
          <w:sz w:val="22"/>
          <w:szCs w:val="22"/>
          <w:lang w:eastAsia="zh-CN"/>
        </w:rPr>
      </w:pPr>
      <w:r w:rsidRPr="00EF20DC">
        <w:rPr>
          <w:rFonts w:eastAsia="SimSun"/>
          <w:b/>
          <w:sz w:val="22"/>
          <w:szCs w:val="22"/>
          <w:lang w:eastAsia="zh-CN"/>
        </w:rPr>
        <w:t>6.1</w:t>
      </w:r>
      <w:r w:rsidRPr="00EF20DC">
        <w:rPr>
          <w:rFonts w:eastAsia="SimSun"/>
          <w:b/>
          <w:sz w:val="22"/>
          <w:szCs w:val="22"/>
          <w:lang w:eastAsia="zh-CN"/>
        </w:rPr>
        <w:tab/>
        <w:t>Pagalbinių medžiagų sąrašas</w:t>
      </w:r>
    </w:p>
    <w:p w14:paraId="070D1BD8" w14:textId="77777777" w:rsidR="00EF20DC" w:rsidRPr="00EF20DC" w:rsidRDefault="00EF20DC" w:rsidP="001F1094">
      <w:pPr>
        <w:rPr>
          <w:rFonts w:eastAsia="Calibri"/>
          <w:sz w:val="22"/>
          <w:szCs w:val="22"/>
        </w:rPr>
      </w:pPr>
      <w:r w:rsidRPr="00EF20DC">
        <w:rPr>
          <w:rFonts w:eastAsia="Calibri"/>
          <w:sz w:val="22"/>
          <w:szCs w:val="22"/>
        </w:rPr>
        <w:t xml:space="preserve"> </w:t>
      </w:r>
    </w:p>
    <w:p w14:paraId="1CF1F208" w14:textId="77777777" w:rsidR="00EF20DC" w:rsidRPr="00EF20DC" w:rsidRDefault="00EF20DC" w:rsidP="001F1094">
      <w:pPr>
        <w:rPr>
          <w:rFonts w:eastAsia="Calibri"/>
          <w:sz w:val="22"/>
          <w:szCs w:val="22"/>
          <w:u w:val="single"/>
        </w:rPr>
      </w:pPr>
      <w:r w:rsidRPr="00EF20DC">
        <w:rPr>
          <w:rFonts w:eastAsia="Calibri"/>
          <w:sz w:val="22"/>
          <w:szCs w:val="22"/>
          <w:u w:val="single"/>
        </w:rPr>
        <w:t>Tabletės šerdis</w:t>
      </w:r>
    </w:p>
    <w:p w14:paraId="08DED81A" w14:textId="77777777" w:rsidR="00A2477F" w:rsidRPr="00EF20DC" w:rsidRDefault="00A2477F" w:rsidP="001F1094">
      <w:pPr>
        <w:rPr>
          <w:rFonts w:eastAsia="Calibri"/>
          <w:sz w:val="22"/>
          <w:szCs w:val="22"/>
        </w:rPr>
      </w:pPr>
      <w:r w:rsidRPr="00EF20DC">
        <w:rPr>
          <w:rFonts w:eastAsia="Calibri"/>
          <w:sz w:val="22"/>
          <w:szCs w:val="22"/>
        </w:rPr>
        <w:t xml:space="preserve">Hipromeliozė </w:t>
      </w:r>
      <w:r>
        <w:rPr>
          <w:rFonts w:eastAsia="Calibri"/>
          <w:sz w:val="22"/>
          <w:szCs w:val="22"/>
        </w:rPr>
        <w:t>2910 (E464)</w:t>
      </w:r>
    </w:p>
    <w:p w14:paraId="681523F3" w14:textId="06BA2796" w:rsidR="00A2477F" w:rsidRPr="00EF20DC" w:rsidRDefault="00A2477F" w:rsidP="001F1094">
      <w:pPr>
        <w:rPr>
          <w:rFonts w:eastAsia="Calibri"/>
          <w:sz w:val="22"/>
          <w:szCs w:val="22"/>
        </w:rPr>
      </w:pPr>
      <w:r w:rsidRPr="00EF20DC">
        <w:rPr>
          <w:rFonts w:eastAsia="Calibri"/>
          <w:sz w:val="22"/>
          <w:szCs w:val="22"/>
        </w:rPr>
        <w:t xml:space="preserve">Kroskarmeliozės natrio druska </w:t>
      </w:r>
    </w:p>
    <w:p w14:paraId="0E111E90" w14:textId="77777777" w:rsidR="00EF20DC" w:rsidRPr="00EF20DC" w:rsidRDefault="00EF20DC" w:rsidP="001F1094">
      <w:pPr>
        <w:rPr>
          <w:rFonts w:eastAsia="Calibri"/>
          <w:sz w:val="22"/>
          <w:szCs w:val="22"/>
        </w:rPr>
      </w:pPr>
      <w:r w:rsidRPr="00EF20DC">
        <w:rPr>
          <w:rFonts w:eastAsia="Calibri"/>
          <w:sz w:val="22"/>
          <w:szCs w:val="22"/>
        </w:rPr>
        <w:t xml:space="preserve">Mikrokristalinė celiuliozė </w:t>
      </w:r>
      <w:r w:rsidR="00A2477F">
        <w:rPr>
          <w:rFonts w:eastAsia="Calibri"/>
          <w:sz w:val="22"/>
          <w:szCs w:val="22"/>
        </w:rPr>
        <w:t>(E460)</w:t>
      </w:r>
    </w:p>
    <w:p w14:paraId="41CE2266" w14:textId="77777777" w:rsidR="00A2477F" w:rsidRDefault="00A2477F" w:rsidP="001F1094">
      <w:pPr>
        <w:rPr>
          <w:rFonts w:eastAsia="Calibri"/>
          <w:sz w:val="22"/>
          <w:szCs w:val="22"/>
        </w:rPr>
      </w:pPr>
      <w:r w:rsidRPr="00EF20DC">
        <w:rPr>
          <w:rFonts w:eastAsia="Calibri"/>
          <w:sz w:val="22"/>
          <w:szCs w:val="22"/>
        </w:rPr>
        <w:t xml:space="preserve">Magnio stearatas </w:t>
      </w:r>
      <w:r>
        <w:rPr>
          <w:rFonts w:eastAsia="Calibri"/>
          <w:sz w:val="22"/>
          <w:szCs w:val="22"/>
        </w:rPr>
        <w:t>(E470b)</w:t>
      </w:r>
    </w:p>
    <w:p w14:paraId="1C0A83B7" w14:textId="0D2E0C76" w:rsidR="00EF20DC" w:rsidRPr="00EF20DC" w:rsidRDefault="00EF20DC" w:rsidP="001F1094">
      <w:pPr>
        <w:rPr>
          <w:rFonts w:eastAsia="Calibri"/>
          <w:sz w:val="22"/>
          <w:szCs w:val="22"/>
        </w:rPr>
      </w:pPr>
      <w:r w:rsidRPr="00EF20DC">
        <w:rPr>
          <w:rFonts w:eastAsia="Calibri"/>
          <w:sz w:val="22"/>
          <w:szCs w:val="22"/>
        </w:rPr>
        <w:t xml:space="preserve">Natrio laurilsulfatas </w:t>
      </w:r>
    </w:p>
    <w:p w14:paraId="5A6BC318" w14:textId="77777777" w:rsidR="00EF20DC" w:rsidRPr="00EF20DC" w:rsidRDefault="00EF20DC" w:rsidP="001F1094">
      <w:pPr>
        <w:rPr>
          <w:rFonts w:eastAsia="Calibri"/>
          <w:sz w:val="22"/>
          <w:szCs w:val="22"/>
          <w:u w:val="single"/>
        </w:rPr>
      </w:pPr>
    </w:p>
    <w:p w14:paraId="732851B9" w14:textId="77777777" w:rsidR="00EF20DC" w:rsidRPr="00EF20DC" w:rsidRDefault="00EF20DC" w:rsidP="001F1094">
      <w:pPr>
        <w:rPr>
          <w:rFonts w:eastAsia="Calibri"/>
          <w:sz w:val="22"/>
          <w:szCs w:val="22"/>
          <w:u w:val="single"/>
        </w:rPr>
      </w:pPr>
      <w:r w:rsidRPr="00EF20DC">
        <w:rPr>
          <w:rFonts w:eastAsia="Calibri"/>
          <w:sz w:val="22"/>
          <w:szCs w:val="22"/>
          <w:u w:val="single"/>
        </w:rPr>
        <w:t>Tabletės plėvelė</w:t>
      </w:r>
    </w:p>
    <w:p w14:paraId="6CD41686" w14:textId="77777777" w:rsidR="00A2477F" w:rsidRPr="00EF20DC" w:rsidRDefault="00A2477F" w:rsidP="001F1094">
      <w:pPr>
        <w:rPr>
          <w:rFonts w:eastAsia="Calibri"/>
          <w:sz w:val="22"/>
          <w:szCs w:val="22"/>
        </w:rPr>
      </w:pPr>
      <w:r w:rsidRPr="00EF20DC">
        <w:rPr>
          <w:rFonts w:eastAsia="Calibri"/>
          <w:sz w:val="22"/>
          <w:szCs w:val="22"/>
        </w:rPr>
        <w:t xml:space="preserve">Hipromeliozė </w:t>
      </w:r>
      <w:r>
        <w:rPr>
          <w:rFonts w:eastAsia="Calibri"/>
          <w:sz w:val="22"/>
          <w:szCs w:val="22"/>
        </w:rPr>
        <w:t>2910 (E464)</w:t>
      </w:r>
    </w:p>
    <w:p w14:paraId="1F70F750" w14:textId="77777777" w:rsidR="00A2477F" w:rsidRPr="00EF20DC" w:rsidRDefault="00A2477F" w:rsidP="001F1094">
      <w:pPr>
        <w:rPr>
          <w:rFonts w:eastAsia="Calibri"/>
          <w:sz w:val="22"/>
          <w:szCs w:val="22"/>
        </w:rPr>
      </w:pPr>
      <w:r w:rsidRPr="00EF20DC">
        <w:rPr>
          <w:rFonts w:eastAsia="Calibri"/>
          <w:sz w:val="22"/>
          <w:szCs w:val="22"/>
        </w:rPr>
        <w:t xml:space="preserve">Titano dioksidas (E171) </w:t>
      </w:r>
    </w:p>
    <w:p w14:paraId="4BCC6971" w14:textId="21478842" w:rsidR="00EF20DC" w:rsidRPr="00EF20DC" w:rsidRDefault="00EF20DC" w:rsidP="001F1094">
      <w:pPr>
        <w:rPr>
          <w:rFonts w:eastAsia="Calibri"/>
          <w:sz w:val="22"/>
          <w:szCs w:val="22"/>
        </w:rPr>
      </w:pPr>
      <w:r w:rsidRPr="00EF20DC">
        <w:rPr>
          <w:rFonts w:eastAsia="Calibri"/>
          <w:sz w:val="22"/>
          <w:szCs w:val="22"/>
        </w:rPr>
        <w:t xml:space="preserve">Makrogolis </w:t>
      </w:r>
      <w:r w:rsidR="00176242">
        <w:rPr>
          <w:rFonts w:eastAsia="Calibri"/>
          <w:sz w:val="22"/>
          <w:szCs w:val="22"/>
        </w:rPr>
        <w:t xml:space="preserve">3350 </w:t>
      </w:r>
      <w:r w:rsidR="00A2477F">
        <w:rPr>
          <w:rFonts w:eastAsia="Calibri"/>
          <w:sz w:val="22"/>
          <w:szCs w:val="22"/>
        </w:rPr>
        <w:t>(E1521)</w:t>
      </w:r>
    </w:p>
    <w:p w14:paraId="22FC494A" w14:textId="77777777" w:rsidR="00EF20DC" w:rsidRPr="00EF20DC" w:rsidRDefault="00EF20DC" w:rsidP="001F1094">
      <w:pPr>
        <w:rPr>
          <w:rFonts w:eastAsia="Calibri"/>
          <w:sz w:val="22"/>
          <w:szCs w:val="22"/>
        </w:rPr>
      </w:pPr>
    </w:p>
    <w:p w14:paraId="43945FB1" w14:textId="77777777" w:rsidR="00EF20DC" w:rsidRPr="00EF20DC" w:rsidRDefault="00EF20DC" w:rsidP="001F1094">
      <w:pPr>
        <w:ind w:left="567" w:hanging="567"/>
        <w:rPr>
          <w:rFonts w:eastAsia="SimSun"/>
          <w:b/>
          <w:sz w:val="22"/>
          <w:szCs w:val="20"/>
        </w:rPr>
      </w:pPr>
      <w:r w:rsidRPr="00EF20DC">
        <w:rPr>
          <w:rFonts w:eastAsia="SimSun"/>
          <w:b/>
          <w:sz w:val="22"/>
          <w:szCs w:val="20"/>
        </w:rPr>
        <w:t>6.2</w:t>
      </w:r>
      <w:r w:rsidRPr="00EF20DC">
        <w:rPr>
          <w:rFonts w:eastAsia="SimSun"/>
          <w:b/>
          <w:sz w:val="22"/>
          <w:szCs w:val="20"/>
        </w:rPr>
        <w:tab/>
        <w:t>Nesuderinamumas</w:t>
      </w:r>
    </w:p>
    <w:p w14:paraId="2E27F1E7" w14:textId="77777777" w:rsidR="00EF20DC" w:rsidRPr="00EF20DC" w:rsidRDefault="00EF20DC" w:rsidP="001F1094">
      <w:pPr>
        <w:tabs>
          <w:tab w:val="left" w:pos="567"/>
        </w:tabs>
        <w:rPr>
          <w:rFonts w:eastAsia="SimSun"/>
          <w:sz w:val="22"/>
          <w:szCs w:val="22"/>
          <w:lang w:eastAsia="zh-CN"/>
        </w:rPr>
      </w:pPr>
    </w:p>
    <w:p w14:paraId="4D77F446" w14:textId="77777777" w:rsidR="00EF20DC" w:rsidRPr="00EF20DC" w:rsidRDefault="00EF20DC" w:rsidP="001F1094">
      <w:pPr>
        <w:tabs>
          <w:tab w:val="left" w:pos="567"/>
        </w:tabs>
        <w:rPr>
          <w:rFonts w:eastAsia="SimSun"/>
          <w:sz w:val="22"/>
          <w:szCs w:val="22"/>
          <w:lang w:eastAsia="zh-CN"/>
        </w:rPr>
      </w:pPr>
      <w:r w:rsidRPr="00EF20DC">
        <w:rPr>
          <w:rFonts w:eastAsia="SimSun"/>
          <w:sz w:val="22"/>
          <w:szCs w:val="22"/>
          <w:lang w:eastAsia="zh-CN"/>
        </w:rPr>
        <w:t xml:space="preserve">Duomenys nebūtini. </w:t>
      </w:r>
    </w:p>
    <w:p w14:paraId="0DE2F49A" w14:textId="77777777" w:rsidR="00EF20DC" w:rsidRPr="00EF20DC" w:rsidRDefault="00EF20DC" w:rsidP="001F1094">
      <w:pPr>
        <w:tabs>
          <w:tab w:val="left" w:pos="567"/>
        </w:tabs>
        <w:rPr>
          <w:rFonts w:eastAsia="SimSun"/>
          <w:sz w:val="22"/>
          <w:szCs w:val="22"/>
          <w:lang w:eastAsia="zh-CN"/>
        </w:rPr>
      </w:pPr>
    </w:p>
    <w:p w14:paraId="56CE833F" w14:textId="77777777" w:rsidR="00EF20DC" w:rsidRPr="00EF20DC" w:rsidRDefault="00EF20DC" w:rsidP="001F1094">
      <w:pPr>
        <w:keepNext/>
        <w:tabs>
          <w:tab w:val="left" w:pos="567"/>
        </w:tabs>
        <w:jc w:val="both"/>
        <w:outlineLvl w:val="3"/>
        <w:rPr>
          <w:rFonts w:eastAsia="SimSun"/>
          <w:b/>
          <w:sz w:val="22"/>
          <w:szCs w:val="22"/>
        </w:rPr>
      </w:pPr>
      <w:r w:rsidRPr="00EF20DC">
        <w:rPr>
          <w:rFonts w:eastAsia="SimSun"/>
          <w:b/>
          <w:sz w:val="22"/>
          <w:szCs w:val="22"/>
        </w:rPr>
        <w:t>6.3</w:t>
      </w:r>
      <w:r w:rsidRPr="00EF20DC">
        <w:rPr>
          <w:rFonts w:eastAsia="SimSun"/>
          <w:b/>
          <w:sz w:val="22"/>
          <w:szCs w:val="22"/>
        </w:rPr>
        <w:tab/>
        <w:t>Tinkamumo laikas</w:t>
      </w:r>
    </w:p>
    <w:p w14:paraId="4B8DF6C8" w14:textId="77777777" w:rsidR="00EF20DC" w:rsidRPr="00EF20DC" w:rsidRDefault="00EF20DC" w:rsidP="001F1094">
      <w:pPr>
        <w:tabs>
          <w:tab w:val="left" w:pos="567"/>
        </w:tabs>
        <w:rPr>
          <w:rFonts w:eastAsia="SimSun"/>
          <w:sz w:val="22"/>
          <w:szCs w:val="22"/>
          <w:lang w:eastAsia="zh-CN"/>
        </w:rPr>
      </w:pPr>
    </w:p>
    <w:p w14:paraId="7EF15530" w14:textId="58DCEA39" w:rsidR="00EF20DC" w:rsidRPr="007A7735" w:rsidRDefault="008B0E4A" w:rsidP="001F1094">
      <w:pPr>
        <w:rPr>
          <w:rFonts w:eastAsia="Calibri"/>
          <w:sz w:val="22"/>
          <w:szCs w:val="22"/>
        </w:rPr>
      </w:pPr>
      <w:r>
        <w:rPr>
          <w:rFonts w:eastAsia="Calibri"/>
          <w:sz w:val="22"/>
          <w:szCs w:val="22"/>
        </w:rPr>
        <w:t>3</w:t>
      </w:r>
      <w:r w:rsidR="00EF20DC" w:rsidRPr="007A7735">
        <w:rPr>
          <w:rFonts w:eastAsia="Calibri"/>
          <w:sz w:val="22"/>
          <w:szCs w:val="22"/>
        </w:rPr>
        <w:t xml:space="preserve"> metai.</w:t>
      </w:r>
      <w:r w:rsidR="00EF20DC" w:rsidRPr="007A7735" w:rsidDel="00B4048C">
        <w:rPr>
          <w:rFonts w:eastAsia="Calibri"/>
          <w:sz w:val="22"/>
          <w:szCs w:val="22"/>
        </w:rPr>
        <w:t xml:space="preserve"> </w:t>
      </w:r>
    </w:p>
    <w:p w14:paraId="0B5DFD37" w14:textId="77777777" w:rsidR="00A2477F" w:rsidRPr="007A7735" w:rsidRDefault="00A2477F" w:rsidP="001F1094">
      <w:pPr>
        <w:rPr>
          <w:rFonts w:eastAsia="Calibri"/>
          <w:sz w:val="22"/>
          <w:szCs w:val="22"/>
        </w:rPr>
      </w:pPr>
    </w:p>
    <w:p w14:paraId="63BD3742" w14:textId="77777777" w:rsidR="00EF20DC" w:rsidRPr="00EF20DC" w:rsidRDefault="00EF20DC" w:rsidP="001F1094">
      <w:pPr>
        <w:numPr>
          <w:ilvl w:val="1"/>
          <w:numId w:val="3"/>
        </w:numPr>
        <w:autoSpaceDE w:val="0"/>
        <w:autoSpaceDN w:val="0"/>
        <w:adjustRightInd w:val="0"/>
        <w:ind w:left="573" w:hanging="573"/>
        <w:rPr>
          <w:b/>
          <w:bCs/>
          <w:sz w:val="22"/>
          <w:szCs w:val="22"/>
          <w:lang w:eastAsia="lt-LT"/>
        </w:rPr>
      </w:pPr>
      <w:r w:rsidRPr="00EF20DC">
        <w:rPr>
          <w:b/>
          <w:bCs/>
          <w:sz w:val="22"/>
          <w:szCs w:val="22"/>
          <w:lang w:eastAsia="lt-LT"/>
        </w:rPr>
        <w:t xml:space="preserve">Specialios laikymo sąlygos </w:t>
      </w:r>
    </w:p>
    <w:p w14:paraId="6CFDBEF5" w14:textId="77777777" w:rsidR="00EF20DC" w:rsidRPr="00EF20DC" w:rsidRDefault="00EF20DC" w:rsidP="001F1094">
      <w:pPr>
        <w:autoSpaceDE w:val="0"/>
        <w:autoSpaceDN w:val="0"/>
        <w:adjustRightInd w:val="0"/>
        <w:rPr>
          <w:sz w:val="22"/>
          <w:szCs w:val="22"/>
          <w:lang w:eastAsia="lt-LT"/>
        </w:rPr>
      </w:pPr>
    </w:p>
    <w:p w14:paraId="05F9E102" w14:textId="77777777" w:rsidR="00064E11" w:rsidRPr="007A7735" w:rsidRDefault="00064E11" w:rsidP="001F1094">
      <w:pPr>
        <w:rPr>
          <w:rFonts w:eastAsia="Calibri"/>
          <w:sz w:val="22"/>
          <w:szCs w:val="22"/>
        </w:rPr>
      </w:pPr>
      <w:r w:rsidRPr="007A7735">
        <w:rPr>
          <w:rFonts w:eastAsia="Calibri"/>
          <w:sz w:val="22"/>
          <w:szCs w:val="22"/>
        </w:rPr>
        <w:t>Šiam vaistiniam preparatui specialių laikymo sąlygų nereikia.</w:t>
      </w:r>
    </w:p>
    <w:p w14:paraId="5E39D04F" w14:textId="77777777" w:rsidR="00064E11" w:rsidRPr="007A7735" w:rsidRDefault="00064E11" w:rsidP="001F1094">
      <w:pPr>
        <w:rPr>
          <w:rFonts w:eastAsia="Calibri"/>
          <w:sz w:val="22"/>
          <w:szCs w:val="22"/>
        </w:rPr>
      </w:pPr>
    </w:p>
    <w:p w14:paraId="73FE7152" w14:textId="77777777" w:rsidR="00EF20DC" w:rsidRPr="007A7735" w:rsidRDefault="00EF20DC" w:rsidP="001F1094">
      <w:pPr>
        <w:rPr>
          <w:rFonts w:eastAsia="Calibri"/>
          <w:sz w:val="22"/>
          <w:szCs w:val="22"/>
        </w:rPr>
      </w:pPr>
    </w:p>
    <w:p w14:paraId="034E3953" w14:textId="77777777" w:rsidR="00EF20DC" w:rsidRPr="00EF20DC" w:rsidRDefault="00EF20DC" w:rsidP="001F1094">
      <w:pPr>
        <w:autoSpaceDE w:val="0"/>
        <w:autoSpaceDN w:val="0"/>
        <w:adjustRightInd w:val="0"/>
        <w:ind w:left="567" w:hanging="567"/>
        <w:rPr>
          <w:b/>
          <w:bCs/>
          <w:sz w:val="22"/>
          <w:szCs w:val="22"/>
          <w:lang w:eastAsia="lt-LT"/>
        </w:rPr>
      </w:pPr>
      <w:r w:rsidRPr="00EF20DC">
        <w:rPr>
          <w:b/>
          <w:bCs/>
          <w:sz w:val="22"/>
          <w:szCs w:val="22"/>
          <w:lang w:eastAsia="lt-LT"/>
        </w:rPr>
        <w:t>6.5</w:t>
      </w:r>
      <w:r w:rsidRPr="00EF20DC">
        <w:rPr>
          <w:b/>
          <w:bCs/>
          <w:sz w:val="22"/>
          <w:szCs w:val="22"/>
          <w:lang w:eastAsia="lt-LT"/>
        </w:rPr>
        <w:tab/>
        <w:t>Talpyklės pobūdis ir jos turinys</w:t>
      </w:r>
    </w:p>
    <w:p w14:paraId="6AF9D33B" w14:textId="77777777" w:rsidR="00EF20DC" w:rsidRPr="00CA4084" w:rsidRDefault="00EF20DC" w:rsidP="001F1094">
      <w:pPr>
        <w:rPr>
          <w:rFonts w:eastAsia="Calibri"/>
          <w:sz w:val="22"/>
          <w:szCs w:val="22"/>
          <w:u w:val="single"/>
        </w:rPr>
      </w:pPr>
    </w:p>
    <w:p w14:paraId="3E420416" w14:textId="71B65200" w:rsidR="008B1A26" w:rsidRDefault="00B01BCF" w:rsidP="001F1094">
      <w:pPr>
        <w:rPr>
          <w:rFonts w:eastAsia="Calibri"/>
          <w:sz w:val="22"/>
          <w:szCs w:val="22"/>
        </w:rPr>
      </w:pPr>
      <w:r>
        <w:rPr>
          <w:rFonts w:eastAsia="Calibri"/>
          <w:sz w:val="22"/>
          <w:szCs w:val="22"/>
        </w:rPr>
        <w:t>28, 30, 56</w:t>
      </w:r>
      <w:r w:rsidR="00732DBB">
        <w:rPr>
          <w:rFonts w:eastAsia="Calibri"/>
          <w:sz w:val="22"/>
          <w:szCs w:val="22"/>
        </w:rPr>
        <w:t>,</w:t>
      </w:r>
      <w:r>
        <w:rPr>
          <w:rFonts w:eastAsia="Calibri"/>
          <w:sz w:val="22"/>
          <w:szCs w:val="22"/>
        </w:rPr>
        <w:t xml:space="preserve"> </w:t>
      </w:r>
      <w:r w:rsidR="001D6111" w:rsidRPr="007A7735">
        <w:rPr>
          <w:rFonts w:eastAsia="Calibri"/>
          <w:sz w:val="22"/>
          <w:szCs w:val="22"/>
        </w:rPr>
        <w:t>60</w:t>
      </w:r>
      <w:r w:rsidR="00795D66">
        <w:rPr>
          <w:rFonts w:eastAsia="Calibri"/>
          <w:sz w:val="22"/>
          <w:szCs w:val="22"/>
        </w:rPr>
        <w:t xml:space="preserve">, </w:t>
      </w:r>
      <w:r w:rsidR="00462FDF">
        <w:rPr>
          <w:rFonts w:eastAsia="Calibri"/>
          <w:sz w:val="22"/>
          <w:szCs w:val="22"/>
        </w:rPr>
        <w:t xml:space="preserve">sudėtinė pakuotė po </w:t>
      </w:r>
      <w:r w:rsidR="004E06E6">
        <w:rPr>
          <w:rFonts w:eastAsia="Calibri"/>
          <w:sz w:val="22"/>
          <w:szCs w:val="22"/>
        </w:rPr>
        <w:t>84</w:t>
      </w:r>
      <w:r w:rsidR="00756235">
        <w:rPr>
          <w:rFonts w:eastAsia="Calibri"/>
          <w:sz w:val="22"/>
          <w:szCs w:val="22"/>
        </w:rPr>
        <w:t xml:space="preserve"> </w:t>
      </w:r>
      <w:r w:rsidR="004E06E6">
        <w:rPr>
          <w:rFonts w:eastAsia="Calibri"/>
          <w:sz w:val="22"/>
          <w:szCs w:val="22"/>
        </w:rPr>
        <w:t>(</w:t>
      </w:r>
      <w:r w:rsidR="00C51901">
        <w:rPr>
          <w:rFonts w:eastAsia="Calibri"/>
          <w:sz w:val="22"/>
          <w:szCs w:val="22"/>
        </w:rPr>
        <w:t>3 pak</w:t>
      </w:r>
      <w:r w:rsidR="00E46F37">
        <w:rPr>
          <w:rFonts w:eastAsia="Calibri"/>
          <w:sz w:val="22"/>
          <w:szCs w:val="22"/>
        </w:rPr>
        <w:t>uotės</w:t>
      </w:r>
      <w:r w:rsidR="00C51901">
        <w:rPr>
          <w:rFonts w:eastAsia="Calibri"/>
          <w:sz w:val="22"/>
          <w:szCs w:val="22"/>
        </w:rPr>
        <w:t xml:space="preserve"> po 28)</w:t>
      </w:r>
      <w:r w:rsidR="00462FDF">
        <w:rPr>
          <w:rFonts w:eastAsia="Calibri"/>
          <w:sz w:val="22"/>
          <w:szCs w:val="22"/>
        </w:rPr>
        <w:t>,</w:t>
      </w:r>
      <w:r w:rsidR="00C51901">
        <w:rPr>
          <w:rFonts w:eastAsia="Calibri"/>
          <w:sz w:val="22"/>
          <w:szCs w:val="22"/>
        </w:rPr>
        <w:t xml:space="preserve"> </w:t>
      </w:r>
      <w:r w:rsidR="00E46F37">
        <w:rPr>
          <w:rFonts w:eastAsia="Calibri"/>
          <w:sz w:val="22"/>
          <w:szCs w:val="22"/>
        </w:rPr>
        <w:t xml:space="preserve">sudėtinė pakuotė </w:t>
      </w:r>
      <w:r w:rsidR="00462FDF">
        <w:rPr>
          <w:rFonts w:eastAsia="Calibri"/>
          <w:sz w:val="22"/>
          <w:szCs w:val="22"/>
        </w:rPr>
        <w:t>po</w:t>
      </w:r>
      <w:r w:rsidR="00C51901">
        <w:rPr>
          <w:rFonts w:eastAsia="Calibri"/>
          <w:sz w:val="22"/>
          <w:szCs w:val="22"/>
        </w:rPr>
        <w:t xml:space="preserve"> 112</w:t>
      </w:r>
      <w:r w:rsidR="00756235">
        <w:rPr>
          <w:rFonts w:eastAsia="Calibri"/>
          <w:sz w:val="22"/>
          <w:szCs w:val="22"/>
        </w:rPr>
        <w:t xml:space="preserve"> (4 pak</w:t>
      </w:r>
      <w:r w:rsidR="00E46F37">
        <w:rPr>
          <w:rFonts w:eastAsia="Calibri"/>
          <w:sz w:val="22"/>
          <w:szCs w:val="22"/>
        </w:rPr>
        <w:t>uotės</w:t>
      </w:r>
      <w:r w:rsidR="00756235">
        <w:rPr>
          <w:rFonts w:eastAsia="Calibri"/>
          <w:sz w:val="22"/>
          <w:szCs w:val="22"/>
        </w:rPr>
        <w:t xml:space="preserve"> po 28)</w:t>
      </w:r>
      <w:r w:rsidR="00E46F37">
        <w:rPr>
          <w:rFonts w:eastAsia="Calibri"/>
          <w:sz w:val="22"/>
          <w:szCs w:val="22"/>
        </w:rPr>
        <w:t>, sudėtinė pakuotė</w:t>
      </w:r>
      <w:r w:rsidR="00756235">
        <w:rPr>
          <w:rFonts w:eastAsia="Calibri"/>
          <w:sz w:val="22"/>
          <w:szCs w:val="22"/>
        </w:rPr>
        <w:t xml:space="preserve"> </w:t>
      </w:r>
      <w:r w:rsidR="00462FDF">
        <w:rPr>
          <w:rFonts w:eastAsia="Calibri"/>
          <w:sz w:val="22"/>
          <w:szCs w:val="22"/>
        </w:rPr>
        <w:t>po</w:t>
      </w:r>
      <w:r w:rsidR="00756235">
        <w:rPr>
          <w:rFonts w:eastAsia="Calibri"/>
          <w:sz w:val="22"/>
          <w:szCs w:val="22"/>
        </w:rPr>
        <w:t xml:space="preserve"> 120 (4 pak</w:t>
      </w:r>
      <w:r w:rsidR="00E46F37">
        <w:rPr>
          <w:rFonts w:eastAsia="Calibri"/>
          <w:sz w:val="22"/>
          <w:szCs w:val="22"/>
        </w:rPr>
        <w:t>uotės</w:t>
      </w:r>
      <w:r w:rsidR="00756235">
        <w:rPr>
          <w:rFonts w:eastAsia="Calibri"/>
          <w:sz w:val="22"/>
          <w:szCs w:val="22"/>
        </w:rPr>
        <w:t xml:space="preserve"> po 30) </w:t>
      </w:r>
      <w:r w:rsidR="00462FDF">
        <w:rPr>
          <w:rFonts w:eastAsia="Calibri"/>
          <w:sz w:val="22"/>
          <w:szCs w:val="22"/>
        </w:rPr>
        <w:t>plėvele dengtų tablečių</w:t>
      </w:r>
      <w:r w:rsidR="00DB2DB2">
        <w:rPr>
          <w:rFonts w:eastAsia="Calibri"/>
          <w:sz w:val="22"/>
          <w:szCs w:val="22"/>
        </w:rPr>
        <w:t xml:space="preserve"> aliuminio-OPA/Al/PVC</w:t>
      </w:r>
      <w:r w:rsidR="00DF619A">
        <w:rPr>
          <w:rFonts w:eastAsia="Calibri"/>
          <w:sz w:val="22"/>
          <w:szCs w:val="22"/>
        </w:rPr>
        <w:t xml:space="preserve"> lizdinėse plokštelėse</w:t>
      </w:r>
      <w:r w:rsidR="008B1A26">
        <w:rPr>
          <w:rFonts w:eastAsia="Calibri"/>
          <w:sz w:val="22"/>
          <w:szCs w:val="22"/>
        </w:rPr>
        <w:t>.</w:t>
      </w:r>
    </w:p>
    <w:p w14:paraId="6FC47863" w14:textId="77777777" w:rsidR="008B1A26" w:rsidRDefault="008B1A26" w:rsidP="001F1094">
      <w:pPr>
        <w:rPr>
          <w:rFonts w:eastAsia="Calibri"/>
          <w:sz w:val="22"/>
          <w:szCs w:val="22"/>
        </w:rPr>
      </w:pPr>
    </w:p>
    <w:p w14:paraId="60791DD8" w14:textId="0E413D9C" w:rsidR="000B187E" w:rsidRDefault="000B187E" w:rsidP="000B187E">
      <w:pPr>
        <w:rPr>
          <w:rFonts w:eastAsia="Calibri"/>
          <w:sz w:val="22"/>
          <w:szCs w:val="22"/>
        </w:rPr>
      </w:pPr>
      <w:r>
        <w:rPr>
          <w:rFonts w:eastAsia="Calibri"/>
          <w:sz w:val="22"/>
          <w:szCs w:val="22"/>
        </w:rPr>
        <w:t xml:space="preserve">28 x 1, 30 x 1, 56 x 1, </w:t>
      </w:r>
      <w:r w:rsidRPr="007A7735">
        <w:rPr>
          <w:rFonts w:eastAsia="Calibri"/>
          <w:sz w:val="22"/>
          <w:szCs w:val="22"/>
        </w:rPr>
        <w:t>60</w:t>
      </w:r>
      <w:r w:rsidR="00AF72D0">
        <w:rPr>
          <w:rFonts w:eastAsia="Calibri"/>
          <w:sz w:val="22"/>
          <w:szCs w:val="22"/>
        </w:rPr>
        <w:t> </w:t>
      </w:r>
      <w:r>
        <w:rPr>
          <w:rFonts w:eastAsia="Calibri"/>
          <w:sz w:val="22"/>
          <w:szCs w:val="22"/>
        </w:rPr>
        <w:t>x</w:t>
      </w:r>
      <w:r w:rsidR="00AF72D0">
        <w:rPr>
          <w:rFonts w:eastAsia="Calibri"/>
          <w:sz w:val="22"/>
          <w:szCs w:val="22"/>
        </w:rPr>
        <w:t> 1</w:t>
      </w:r>
      <w:r>
        <w:rPr>
          <w:rFonts w:eastAsia="Calibri"/>
          <w:sz w:val="22"/>
          <w:szCs w:val="22"/>
        </w:rPr>
        <w:t>, sudėtinė pakuotė po 84</w:t>
      </w:r>
      <w:r w:rsidR="00AF72D0">
        <w:rPr>
          <w:rFonts w:eastAsia="Calibri"/>
          <w:sz w:val="22"/>
          <w:szCs w:val="22"/>
        </w:rPr>
        <w:t> x 1</w:t>
      </w:r>
      <w:r>
        <w:rPr>
          <w:rFonts w:eastAsia="Calibri"/>
          <w:sz w:val="22"/>
          <w:szCs w:val="22"/>
        </w:rPr>
        <w:t xml:space="preserve"> (3 pak</w:t>
      </w:r>
      <w:r w:rsidR="00E46F37">
        <w:rPr>
          <w:rFonts w:eastAsia="Calibri"/>
          <w:sz w:val="22"/>
          <w:szCs w:val="22"/>
        </w:rPr>
        <w:t>uotės</w:t>
      </w:r>
      <w:r>
        <w:rPr>
          <w:rFonts w:eastAsia="Calibri"/>
          <w:sz w:val="22"/>
          <w:szCs w:val="22"/>
        </w:rPr>
        <w:t xml:space="preserve"> po 28</w:t>
      </w:r>
      <w:r w:rsidR="00AF72D0">
        <w:rPr>
          <w:rFonts w:eastAsia="Calibri"/>
          <w:sz w:val="22"/>
          <w:szCs w:val="22"/>
        </w:rPr>
        <w:t> x </w:t>
      </w:r>
      <w:r w:rsidR="00E46F37">
        <w:rPr>
          <w:rFonts w:eastAsia="Calibri"/>
          <w:sz w:val="22"/>
          <w:szCs w:val="22"/>
        </w:rPr>
        <w:t>1</w:t>
      </w:r>
      <w:r>
        <w:rPr>
          <w:rFonts w:eastAsia="Calibri"/>
          <w:sz w:val="22"/>
          <w:szCs w:val="22"/>
        </w:rPr>
        <w:t xml:space="preserve">), </w:t>
      </w:r>
      <w:r w:rsidR="00E46F37">
        <w:rPr>
          <w:rFonts w:eastAsia="Calibri"/>
          <w:sz w:val="22"/>
          <w:szCs w:val="22"/>
        </w:rPr>
        <w:t xml:space="preserve">sudėtinė pakuotė </w:t>
      </w:r>
      <w:r>
        <w:rPr>
          <w:rFonts w:eastAsia="Calibri"/>
          <w:sz w:val="22"/>
          <w:szCs w:val="22"/>
        </w:rPr>
        <w:t>po 112</w:t>
      </w:r>
      <w:r w:rsidR="00A0184F">
        <w:rPr>
          <w:rFonts w:eastAsia="Calibri"/>
          <w:sz w:val="22"/>
          <w:szCs w:val="22"/>
        </w:rPr>
        <w:t> x 1</w:t>
      </w:r>
      <w:r>
        <w:rPr>
          <w:rFonts w:eastAsia="Calibri"/>
          <w:sz w:val="22"/>
          <w:szCs w:val="22"/>
        </w:rPr>
        <w:t xml:space="preserve"> (4 pak</w:t>
      </w:r>
      <w:r w:rsidR="00E46F37">
        <w:rPr>
          <w:rFonts w:eastAsia="Calibri"/>
          <w:sz w:val="22"/>
          <w:szCs w:val="22"/>
        </w:rPr>
        <w:t>uotės</w:t>
      </w:r>
      <w:r>
        <w:rPr>
          <w:rFonts w:eastAsia="Calibri"/>
          <w:sz w:val="22"/>
          <w:szCs w:val="22"/>
        </w:rPr>
        <w:t xml:space="preserve"> po 28</w:t>
      </w:r>
      <w:r w:rsidR="00A0184F">
        <w:rPr>
          <w:rFonts w:eastAsia="Calibri"/>
          <w:sz w:val="22"/>
          <w:szCs w:val="22"/>
        </w:rPr>
        <w:t> x 1</w:t>
      </w:r>
      <w:r>
        <w:rPr>
          <w:rFonts w:eastAsia="Calibri"/>
          <w:sz w:val="22"/>
          <w:szCs w:val="22"/>
        </w:rPr>
        <w:t>)</w:t>
      </w:r>
      <w:r w:rsidR="006F63EA">
        <w:rPr>
          <w:rFonts w:eastAsia="Calibri"/>
          <w:sz w:val="22"/>
          <w:szCs w:val="22"/>
        </w:rPr>
        <w:t>,</w:t>
      </w:r>
      <w:r>
        <w:rPr>
          <w:rFonts w:eastAsia="Calibri"/>
          <w:sz w:val="22"/>
          <w:szCs w:val="22"/>
        </w:rPr>
        <w:t xml:space="preserve"> </w:t>
      </w:r>
      <w:r w:rsidR="00E46F37">
        <w:rPr>
          <w:rFonts w:eastAsia="Calibri"/>
          <w:sz w:val="22"/>
          <w:szCs w:val="22"/>
        </w:rPr>
        <w:t xml:space="preserve">sudėtinė pakuotė </w:t>
      </w:r>
      <w:r>
        <w:rPr>
          <w:rFonts w:eastAsia="Calibri"/>
          <w:sz w:val="22"/>
          <w:szCs w:val="22"/>
        </w:rPr>
        <w:t>po 120</w:t>
      </w:r>
      <w:r w:rsidR="00A0184F">
        <w:rPr>
          <w:rFonts w:eastAsia="Calibri"/>
          <w:sz w:val="22"/>
          <w:szCs w:val="22"/>
        </w:rPr>
        <w:t> x 1</w:t>
      </w:r>
      <w:r>
        <w:rPr>
          <w:rFonts w:eastAsia="Calibri"/>
          <w:sz w:val="22"/>
          <w:szCs w:val="22"/>
        </w:rPr>
        <w:t xml:space="preserve"> (4 pak</w:t>
      </w:r>
      <w:r w:rsidR="00E46F37">
        <w:rPr>
          <w:rFonts w:eastAsia="Calibri"/>
          <w:sz w:val="22"/>
          <w:szCs w:val="22"/>
        </w:rPr>
        <w:t>uotės</w:t>
      </w:r>
      <w:r>
        <w:rPr>
          <w:rFonts w:eastAsia="Calibri"/>
          <w:sz w:val="22"/>
          <w:szCs w:val="22"/>
        </w:rPr>
        <w:t xml:space="preserve"> po 30</w:t>
      </w:r>
      <w:r w:rsidR="00A0184F">
        <w:rPr>
          <w:rFonts w:eastAsia="Calibri"/>
          <w:sz w:val="22"/>
          <w:szCs w:val="22"/>
        </w:rPr>
        <w:t> x </w:t>
      </w:r>
      <w:r w:rsidR="00B97FF0">
        <w:rPr>
          <w:rFonts w:eastAsia="Calibri"/>
          <w:sz w:val="22"/>
          <w:szCs w:val="22"/>
        </w:rPr>
        <w:t>1</w:t>
      </w:r>
      <w:r>
        <w:rPr>
          <w:rFonts w:eastAsia="Calibri"/>
          <w:sz w:val="22"/>
          <w:szCs w:val="22"/>
        </w:rPr>
        <w:t xml:space="preserve">) plėvele dengtų tablečių </w:t>
      </w:r>
      <w:r w:rsidR="00946206">
        <w:rPr>
          <w:rFonts w:eastAsia="SimSun"/>
          <w:sz w:val="22"/>
          <w:szCs w:val="22"/>
          <w:lang w:eastAsia="zh-CN"/>
        </w:rPr>
        <w:t xml:space="preserve">perforuotose </w:t>
      </w:r>
      <w:r w:rsidR="00946206" w:rsidRPr="007B3FB6">
        <w:rPr>
          <w:rFonts w:eastAsia="SimSun"/>
          <w:sz w:val="22"/>
          <w:szCs w:val="22"/>
          <w:lang w:eastAsia="zh-CN"/>
        </w:rPr>
        <w:t xml:space="preserve">dalomosiose </w:t>
      </w:r>
      <w:r>
        <w:rPr>
          <w:rFonts w:eastAsia="Calibri"/>
          <w:sz w:val="22"/>
          <w:szCs w:val="22"/>
        </w:rPr>
        <w:t>aliuminio-OPA/Al/PVC lizdinėse plokštelėse.</w:t>
      </w:r>
    </w:p>
    <w:p w14:paraId="4891C4E5" w14:textId="77777777" w:rsidR="00475C08" w:rsidRDefault="00475C08" w:rsidP="001F1094">
      <w:pPr>
        <w:rPr>
          <w:i/>
          <w:sz w:val="22"/>
          <w:szCs w:val="22"/>
          <w:u w:val="single"/>
          <w:lang w:eastAsia="en-GB"/>
        </w:rPr>
      </w:pPr>
    </w:p>
    <w:p w14:paraId="518E127F" w14:textId="5E42D39D" w:rsidR="00EF20DC" w:rsidRPr="00EF20DC" w:rsidRDefault="00EF20DC" w:rsidP="001F1094">
      <w:pPr>
        <w:rPr>
          <w:rFonts w:eastAsia="SimSun"/>
          <w:sz w:val="22"/>
          <w:szCs w:val="22"/>
          <w:lang w:eastAsia="zh-CN"/>
        </w:rPr>
      </w:pPr>
      <w:r w:rsidRPr="00EF20DC">
        <w:rPr>
          <w:rFonts w:eastAsia="Calibri"/>
          <w:sz w:val="22"/>
          <w:szCs w:val="22"/>
          <w:lang w:eastAsia="en-GB"/>
        </w:rPr>
        <w:t>Gali būti tiekiamos ne visų dydžių pakuotės.</w:t>
      </w:r>
    </w:p>
    <w:p w14:paraId="52687E55" w14:textId="77777777" w:rsidR="00CA4084" w:rsidRDefault="00CA4084" w:rsidP="001F1094">
      <w:pPr>
        <w:ind w:left="567" w:hanging="567"/>
        <w:rPr>
          <w:rFonts w:eastAsia="SimSun"/>
          <w:b/>
          <w:sz w:val="22"/>
          <w:szCs w:val="20"/>
        </w:rPr>
      </w:pPr>
    </w:p>
    <w:p w14:paraId="0DC367D0" w14:textId="77777777" w:rsidR="00EF20DC" w:rsidRPr="00EF20DC" w:rsidRDefault="00EF20DC" w:rsidP="001F1094">
      <w:pPr>
        <w:ind w:left="567" w:hanging="567"/>
        <w:rPr>
          <w:rFonts w:eastAsia="SimSun"/>
          <w:b/>
          <w:sz w:val="22"/>
          <w:szCs w:val="20"/>
        </w:rPr>
      </w:pPr>
      <w:r w:rsidRPr="00EF20DC">
        <w:rPr>
          <w:rFonts w:eastAsia="SimSun"/>
          <w:b/>
          <w:sz w:val="22"/>
          <w:szCs w:val="20"/>
        </w:rPr>
        <w:t>6.6</w:t>
      </w:r>
      <w:r w:rsidRPr="00EF20DC">
        <w:rPr>
          <w:rFonts w:eastAsia="SimSun"/>
          <w:b/>
          <w:sz w:val="22"/>
          <w:szCs w:val="20"/>
        </w:rPr>
        <w:tab/>
        <w:t>Specialūs reikalavimai atliekoms tvarkyti</w:t>
      </w:r>
    </w:p>
    <w:p w14:paraId="1C723D61" w14:textId="77777777" w:rsidR="00EF20DC" w:rsidRPr="00EF20DC" w:rsidRDefault="00EF20DC" w:rsidP="001F1094">
      <w:pPr>
        <w:rPr>
          <w:rFonts w:eastAsia="SimSun"/>
          <w:sz w:val="22"/>
          <w:szCs w:val="22"/>
          <w:lang w:eastAsia="zh-CN"/>
        </w:rPr>
      </w:pPr>
    </w:p>
    <w:p w14:paraId="65A96929" w14:textId="77777777" w:rsidR="00EF20DC" w:rsidRPr="00EF20DC" w:rsidRDefault="00EF20DC" w:rsidP="001F1094">
      <w:pPr>
        <w:rPr>
          <w:rFonts w:eastAsia="SimSun"/>
          <w:sz w:val="22"/>
          <w:szCs w:val="22"/>
          <w:lang w:eastAsia="zh-CN"/>
        </w:rPr>
      </w:pPr>
      <w:r w:rsidRPr="00EF20DC">
        <w:rPr>
          <w:rFonts w:eastAsia="SimSun"/>
          <w:sz w:val="22"/>
          <w:szCs w:val="22"/>
          <w:lang w:eastAsia="zh-CN"/>
        </w:rPr>
        <w:t>Šis vaistinis preparatas gali turėti kenksmingą poveikį aplinkai. Nesuvartotą vaistinį preparatą ar atliekas reikia tvarkyti laikantis vietinių reikalavimų.</w:t>
      </w:r>
    </w:p>
    <w:p w14:paraId="2F342934" w14:textId="77777777" w:rsidR="00EF20DC" w:rsidRPr="00EF20DC" w:rsidRDefault="00EF20DC" w:rsidP="001F1094">
      <w:pPr>
        <w:rPr>
          <w:rFonts w:eastAsia="SimSun"/>
          <w:sz w:val="22"/>
          <w:szCs w:val="22"/>
          <w:lang w:eastAsia="zh-CN"/>
        </w:rPr>
      </w:pPr>
    </w:p>
    <w:p w14:paraId="7F1D8B86" w14:textId="77777777" w:rsidR="00EF20DC" w:rsidRPr="00EF20DC" w:rsidRDefault="00EF20DC" w:rsidP="001F1094">
      <w:pPr>
        <w:tabs>
          <w:tab w:val="left" w:pos="567"/>
        </w:tabs>
        <w:rPr>
          <w:rFonts w:eastAsia="SimSun"/>
          <w:sz w:val="22"/>
          <w:szCs w:val="22"/>
          <w:lang w:eastAsia="zh-CN"/>
        </w:rPr>
      </w:pPr>
    </w:p>
    <w:p w14:paraId="2B7E9981" w14:textId="77777777" w:rsidR="00EF20DC" w:rsidRPr="00EF20DC" w:rsidRDefault="00EF20DC" w:rsidP="001F1094">
      <w:pPr>
        <w:ind w:left="567" w:hanging="567"/>
        <w:rPr>
          <w:rFonts w:eastAsia="SimSun"/>
          <w:b/>
          <w:sz w:val="22"/>
          <w:szCs w:val="20"/>
          <w:lang w:eastAsia="zh-CN"/>
        </w:rPr>
      </w:pPr>
      <w:r w:rsidRPr="00EF20DC">
        <w:rPr>
          <w:rFonts w:eastAsia="SimSun"/>
          <w:b/>
          <w:sz w:val="22"/>
          <w:szCs w:val="20"/>
          <w:lang w:eastAsia="zh-CN"/>
        </w:rPr>
        <w:t>7.</w:t>
      </w:r>
      <w:r w:rsidRPr="00EF20DC">
        <w:rPr>
          <w:rFonts w:eastAsia="SimSun"/>
          <w:b/>
          <w:sz w:val="22"/>
          <w:szCs w:val="20"/>
          <w:lang w:eastAsia="zh-CN"/>
        </w:rPr>
        <w:tab/>
        <w:t>REGISTRUOTOJAS</w:t>
      </w:r>
    </w:p>
    <w:p w14:paraId="32D3AD3A" w14:textId="77777777" w:rsidR="00B95884" w:rsidRPr="00B95884" w:rsidRDefault="00B95884" w:rsidP="001F1094">
      <w:pPr>
        <w:tabs>
          <w:tab w:val="left" w:pos="567"/>
        </w:tabs>
        <w:suppressAutoHyphens/>
        <w:rPr>
          <w:rFonts w:eastAsia="SimSun"/>
          <w:color w:val="000000"/>
          <w:sz w:val="22"/>
          <w:szCs w:val="22"/>
          <w:lang w:val="sl-SI" w:eastAsia="ar-SA"/>
        </w:rPr>
      </w:pPr>
    </w:p>
    <w:p w14:paraId="7DA948DB" w14:textId="6DA357D7" w:rsidR="00B95884" w:rsidRPr="00B95884" w:rsidRDefault="00A07BA7" w:rsidP="001F1094">
      <w:pPr>
        <w:tabs>
          <w:tab w:val="left" w:pos="425"/>
          <w:tab w:val="left" w:pos="567"/>
        </w:tabs>
        <w:suppressAutoHyphens/>
        <w:rPr>
          <w:color w:val="000000"/>
          <w:sz w:val="22"/>
          <w:szCs w:val="22"/>
          <w:lang w:val="sl-SI" w:eastAsia="ar-SA"/>
        </w:rPr>
      </w:pPr>
      <w:r>
        <w:rPr>
          <w:color w:val="000000"/>
          <w:sz w:val="22"/>
          <w:szCs w:val="22"/>
          <w:lang w:val="sl-SI" w:eastAsia="ar-SA"/>
        </w:rPr>
        <w:t>Sandoz</w:t>
      </w:r>
      <w:r w:rsidR="00B95884" w:rsidRPr="00B95884">
        <w:rPr>
          <w:color w:val="000000"/>
          <w:sz w:val="22"/>
          <w:szCs w:val="22"/>
          <w:lang w:val="sl-SI" w:eastAsia="ar-SA"/>
        </w:rPr>
        <w:t xml:space="preserve"> d.d.</w:t>
      </w:r>
    </w:p>
    <w:p w14:paraId="625D0200" w14:textId="77777777" w:rsidR="00B95884" w:rsidRPr="00B95884" w:rsidRDefault="00B95884" w:rsidP="001F1094">
      <w:pPr>
        <w:tabs>
          <w:tab w:val="left" w:pos="425"/>
          <w:tab w:val="left" w:pos="567"/>
        </w:tabs>
        <w:suppressAutoHyphens/>
        <w:rPr>
          <w:color w:val="000000"/>
          <w:sz w:val="22"/>
          <w:szCs w:val="22"/>
          <w:lang w:val="sl-SI" w:eastAsia="ar-SA"/>
        </w:rPr>
      </w:pPr>
      <w:r w:rsidRPr="00B95884">
        <w:rPr>
          <w:color w:val="000000"/>
          <w:sz w:val="22"/>
          <w:szCs w:val="22"/>
          <w:lang w:val="sl-SI" w:eastAsia="ar-SA"/>
        </w:rPr>
        <w:t>Verovškova 57</w:t>
      </w:r>
    </w:p>
    <w:p w14:paraId="2522B15D" w14:textId="44BD1C7B" w:rsidR="00B95884" w:rsidRPr="00B95884" w:rsidRDefault="004C3091" w:rsidP="001F1094">
      <w:pPr>
        <w:tabs>
          <w:tab w:val="left" w:pos="425"/>
          <w:tab w:val="left" w:pos="567"/>
        </w:tabs>
        <w:suppressAutoHyphens/>
        <w:rPr>
          <w:color w:val="000000"/>
          <w:sz w:val="22"/>
          <w:szCs w:val="22"/>
          <w:lang w:val="sl-SI" w:eastAsia="ar-SA"/>
        </w:rPr>
      </w:pPr>
      <w:r>
        <w:rPr>
          <w:color w:val="000000"/>
          <w:sz w:val="22"/>
          <w:szCs w:val="22"/>
          <w:lang w:val="sl-SI" w:eastAsia="ar-SA"/>
        </w:rPr>
        <w:t>SI-</w:t>
      </w:r>
      <w:r w:rsidR="00B95884" w:rsidRPr="00B95884">
        <w:rPr>
          <w:color w:val="000000"/>
          <w:sz w:val="22"/>
          <w:szCs w:val="22"/>
          <w:lang w:val="sl-SI" w:eastAsia="ar-SA"/>
        </w:rPr>
        <w:t>1000 Ljubljana</w:t>
      </w:r>
    </w:p>
    <w:p w14:paraId="3EFAFDD3" w14:textId="77777777" w:rsidR="00B95884" w:rsidRPr="00B95884" w:rsidRDefault="00B95884" w:rsidP="001F1094">
      <w:pPr>
        <w:tabs>
          <w:tab w:val="left" w:pos="425"/>
          <w:tab w:val="left" w:pos="567"/>
        </w:tabs>
        <w:suppressAutoHyphens/>
        <w:rPr>
          <w:rFonts w:eastAsia="SimSun"/>
          <w:color w:val="000000"/>
          <w:sz w:val="22"/>
          <w:szCs w:val="22"/>
          <w:lang w:val="sl-SI" w:eastAsia="ar-SA"/>
        </w:rPr>
      </w:pPr>
      <w:r w:rsidRPr="00B95884">
        <w:rPr>
          <w:color w:val="000000"/>
          <w:sz w:val="22"/>
          <w:szCs w:val="22"/>
          <w:lang w:val="sl-SI" w:eastAsia="ar-SA"/>
        </w:rPr>
        <w:t>Slovėnija</w:t>
      </w:r>
    </w:p>
    <w:p w14:paraId="3DE8549B" w14:textId="77777777" w:rsidR="00EF20DC" w:rsidRDefault="00EF20DC" w:rsidP="001F1094">
      <w:pPr>
        <w:tabs>
          <w:tab w:val="left" w:pos="567"/>
        </w:tabs>
        <w:rPr>
          <w:rFonts w:eastAsia="SimSun"/>
          <w:color w:val="000000"/>
          <w:sz w:val="22"/>
          <w:szCs w:val="22"/>
          <w:lang w:val="sl-SI" w:eastAsia="ar-SA"/>
        </w:rPr>
      </w:pPr>
    </w:p>
    <w:p w14:paraId="150286B1" w14:textId="77777777" w:rsidR="00B95884" w:rsidRPr="00EF20DC" w:rsidRDefault="00B95884" w:rsidP="001F1094">
      <w:pPr>
        <w:tabs>
          <w:tab w:val="left" w:pos="567"/>
        </w:tabs>
        <w:rPr>
          <w:rFonts w:eastAsia="SimSun"/>
          <w:sz w:val="22"/>
          <w:szCs w:val="22"/>
          <w:lang w:eastAsia="zh-CN"/>
        </w:rPr>
      </w:pPr>
    </w:p>
    <w:p w14:paraId="1CF5F99D" w14:textId="77777777" w:rsidR="00EF20DC" w:rsidRPr="00EF20DC" w:rsidRDefault="00EF20DC" w:rsidP="001F1094">
      <w:pPr>
        <w:ind w:left="567" w:hanging="567"/>
        <w:rPr>
          <w:rFonts w:eastAsia="SimSun"/>
          <w:b/>
          <w:sz w:val="22"/>
          <w:szCs w:val="20"/>
          <w:lang w:eastAsia="zh-CN"/>
        </w:rPr>
      </w:pPr>
      <w:r w:rsidRPr="00EF20DC">
        <w:rPr>
          <w:rFonts w:eastAsia="SimSun"/>
          <w:b/>
          <w:sz w:val="22"/>
          <w:szCs w:val="20"/>
          <w:lang w:eastAsia="zh-CN"/>
        </w:rPr>
        <w:t>8.</w:t>
      </w:r>
      <w:r w:rsidRPr="00EF20DC">
        <w:rPr>
          <w:rFonts w:eastAsia="SimSun"/>
          <w:b/>
          <w:sz w:val="22"/>
          <w:szCs w:val="20"/>
          <w:lang w:eastAsia="zh-CN"/>
        </w:rPr>
        <w:tab/>
        <w:t xml:space="preserve">REGISTRACIJOS PAŽYMĖJIMO NUMERIS (-IAI) </w:t>
      </w:r>
    </w:p>
    <w:p w14:paraId="4607B5A3" w14:textId="77777777" w:rsidR="0000556E" w:rsidRDefault="0000556E" w:rsidP="001F1094">
      <w:pPr>
        <w:tabs>
          <w:tab w:val="left" w:pos="567"/>
        </w:tabs>
        <w:rPr>
          <w:rFonts w:eastAsia="SimSun"/>
          <w:sz w:val="22"/>
          <w:szCs w:val="22"/>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C7C5B" w14:paraId="22BB1A88" w14:textId="77777777" w:rsidTr="003C7C5B">
        <w:tc>
          <w:tcPr>
            <w:tcW w:w="4644" w:type="dxa"/>
          </w:tcPr>
          <w:p w14:paraId="70E518E2" w14:textId="6C13EC32" w:rsidR="003C7C5B" w:rsidRPr="003C7C5B" w:rsidRDefault="003C7C5B" w:rsidP="001F1094">
            <w:pPr>
              <w:tabs>
                <w:tab w:val="left" w:pos="567"/>
              </w:tabs>
              <w:rPr>
                <w:rFonts w:eastAsia="SimSun"/>
                <w:sz w:val="22"/>
                <w:szCs w:val="22"/>
                <w:u w:val="single"/>
                <w:lang w:val="lt-LT" w:eastAsia="zh-CN"/>
              </w:rPr>
            </w:pPr>
            <w:r w:rsidRPr="00CF26D8">
              <w:rPr>
                <w:rFonts w:eastAsia="SimSun"/>
                <w:sz w:val="22"/>
                <w:szCs w:val="22"/>
                <w:u w:val="single"/>
                <w:lang w:val="lt-LT" w:eastAsia="zh-CN"/>
              </w:rPr>
              <w:t>lizdin</w:t>
            </w:r>
            <w:r w:rsidRPr="003C7C5B">
              <w:rPr>
                <w:rFonts w:eastAsia="SimSun"/>
                <w:sz w:val="22"/>
                <w:szCs w:val="22"/>
                <w:u w:val="single"/>
                <w:lang w:val="lt-LT" w:eastAsia="zh-CN"/>
              </w:rPr>
              <w:t>ė plokštelė</w:t>
            </w:r>
          </w:p>
          <w:p w14:paraId="7CEF0FA7" w14:textId="654FB98B" w:rsidR="003C7C5B" w:rsidRPr="00556F71" w:rsidRDefault="003C7C5B" w:rsidP="003C7C5B">
            <w:pPr>
              <w:rPr>
                <w:bCs/>
                <w:sz w:val="22"/>
                <w:szCs w:val="22"/>
                <w:lang w:val="lt-LT"/>
              </w:rPr>
            </w:pPr>
            <w:r>
              <w:rPr>
                <w:sz w:val="22"/>
                <w:szCs w:val="22"/>
                <w:lang w:val="lt-LT"/>
              </w:rPr>
              <w:t>LT/1/21/4762/001</w:t>
            </w:r>
            <w:r w:rsidRPr="003C1C77">
              <w:rPr>
                <w:bCs/>
                <w:sz w:val="22"/>
                <w:szCs w:val="22"/>
                <w:lang w:val="lt-LT"/>
              </w:rPr>
              <w:t xml:space="preserve"> – N</w:t>
            </w:r>
            <w:r>
              <w:rPr>
                <w:bCs/>
                <w:sz w:val="22"/>
                <w:szCs w:val="22"/>
                <w:lang w:val="lt-LT"/>
              </w:rPr>
              <w:t>28</w:t>
            </w:r>
          </w:p>
          <w:p w14:paraId="7A38761F" w14:textId="2351F847" w:rsidR="003C7C5B" w:rsidRDefault="003C7C5B" w:rsidP="003C7C5B">
            <w:pPr>
              <w:rPr>
                <w:bCs/>
                <w:sz w:val="22"/>
                <w:szCs w:val="22"/>
                <w:lang w:val="lt-LT"/>
              </w:rPr>
            </w:pPr>
            <w:r>
              <w:rPr>
                <w:sz w:val="22"/>
                <w:szCs w:val="22"/>
                <w:lang w:val="lt-LT"/>
              </w:rPr>
              <w:t>LT/1/21/4762/002</w:t>
            </w:r>
            <w:r w:rsidRPr="003C1C77">
              <w:rPr>
                <w:bCs/>
                <w:sz w:val="22"/>
                <w:szCs w:val="22"/>
                <w:lang w:val="lt-LT"/>
              </w:rPr>
              <w:t xml:space="preserve"> – N</w:t>
            </w:r>
            <w:r>
              <w:rPr>
                <w:bCs/>
                <w:sz w:val="22"/>
                <w:szCs w:val="22"/>
                <w:lang w:val="lt-LT"/>
              </w:rPr>
              <w:t>30</w:t>
            </w:r>
          </w:p>
          <w:p w14:paraId="63187839" w14:textId="65FA37D6" w:rsidR="003C7C5B" w:rsidRPr="00556F71" w:rsidRDefault="003C7C5B" w:rsidP="003C7C5B">
            <w:pPr>
              <w:rPr>
                <w:bCs/>
                <w:sz w:val="22"/>
                <w:szCs w:val="22"/>
                <w:lang w:val="lt-LT"/>
              </w:rPr>
            </w:pPr>
            <w:r>
              <w:rPr>
                <w:sz w:val="22"/>
                <w:szCs w:val="22"/>
                <w:lang w:val="lt-LT"/>
              </w:rPr>
              <w:t>LT/1/21/4762/003</w:t>
            </w:r>
            <w:r w:rsidRPr="003C1C77">
              <w:rPr>
                <w:bCs/>
                <w:sz w:val="22"/>
                <w:szCs w:val="22"/>
                <w:lang w:val="lt-LT"/>
              </w:rPr>
              <w:t xml:space="preserve"> – N</w:t>
            </w:r>
            <w:r>
              <w:rPr>
                <w:bCs/>
                <w:sz w:val="22"/>
                <w:szCs w:val="22"/>
                <w:lang w:val="lt-LT"/>
              </w:rPr>
              <w:t>56</w:t>
            </w:r>
          </w:p>
          <w:p w14:paraId="3CC91160" w14:textId="23257060" w:rsidR="003C7C5B" w:rsidRDefault="003C7C5B" w:rsidP="003C7C5B">
            <w:pPr>
              <w:rPr>
                <w:bCs/>
                <w:sz w:val="22"/>
                <w:szCs w:val="22"/>
                <w:lang w:val="lt-LT"/>
              </w:rPr>
            </w:pPr>
            <w:r>
              <w:rPr>
                <w:sz w:val="22"/>
                <w:szCs w:val="22"/>
                <w:lang w:val="lt-LT"/>
              </w:rPr>
              <w:t>LT/1/21/4762/004</w:t>
            </w:r>
            <w:r w:rsidRPr="003C1C77">
              <w:rPr>
                <w:bCs/>
                <w:sz w:val="22"/>
                <w:szCs w:val="22"/>
                <w:lang w:val="lt-LT"/>
              </w:rPr>
              <w:t xml:space="preserve"> – N</w:t>
            </w:r>
            <w:r>
              <w:rPr>
                <w:bCs/>
                <w:sz w:val="22"/>
                <w:szCs w:val="22"/>
                <w:lang w:val="lt-LT"/>
              </w:rPr>
              <w:t>60</w:t>
            </w:r>
          </w:p>
          <w:p w14:paraId="08AC7495" w14:textId="6F48FDA1" w:rsidR="003C7C5B" w:rsidRDefault="003C7C5B" w:rsidP="003C7C5B">
            <w:pPr>
              <w:rPr>
                <w:bCs/>
                <w:sz w:val="22"/>
                <w:szCs w:val="22"/>
                <w:lang w:val="lt-LT"/>
              </w:rPr>
            </w:pPr>
            <w:r>
              <w:rPr>
                <w:bCs/>
                <w:sz w:val="22"/>
                <w:szCs w:val="22"/>
                <w:lang w:val="lt-LT"/>
              </w:rPr>
              <w:t>LT/1/21/4762/005</w:t>
            </w:r>
            <w:r w:rsidRPr="003126D9">
              <w:rPr>
                <w:bCs/>
                <w:sz w:val="22"/>
                <w:szCs w:val="22"/>
                <w:lang w:val="lt-LT"/>
              </w:rPr>
              <w:t xml:space="preserve"> – N</w:t>
            </w:r>
            <w:r>
              <w:rPr>
                <w:bCs/>
                <w:sz w:val="22"/>
                <w:szCs w:val="22"/>
                <w:lang w:val="lt-LT"/>
              </w:rPr>
              <w:t>84 (3x28)</w:t>
            </w:r>
          </w:p>
          <w:p w14:paraId="5B013066" w14:textId="36B87261" w:rsidR="003C7C5B" w:rsidRDefault="003C7C5B" w:rsidP="003C7C5B">
            <w:pPr>
              <w:rPr>
                <w:bCs/>
                <w:sz w:val="22"/>
                <w:szCs w:val="22"/>
                <w:lang w:val="lt-LT"/>
              </w:rPr>
            </w:pPr>
            <w:r>
              <w:rPr>
                <w:bCs/>
                <w:sz w:val="22"/>
                <w:szCs w:val="22"/>
                <w:lang w:val="lt-LT"/>
              </w:rPr>
              <w:t>LT/1/21/4762/006</w:t>
            </w:r>
            <w:r w:rsidRPr="003126D9">
              <w:rPr>
                <w:bCs/>
                <w:sz w:val="22"/>
                <w:szCs w:val="22"/>
                <w:lang w:val="lt-LT"/>
              </w:rPr>
              <w:t xml:space="preserve"> – N</w:t>
            </w:r>
            <w:r>
              <w:rPr>
                <w:bCs/>
                <w:sz w:val="22"/>
                <w:szCs w:val="22"/>
                <w:lang w:val="lt-LT"/>
              </w:rPr>
              <w:t>112 (4x28)</w:t>
            </w:r>
          </w:p>
          <w:p w14:paraId="5183BAD4" w14:textId="4FD66E28" w:rsidR="003C7C5B" w:rsidRDefault="003C7C5B" w:rsidP="003C7C5B">
            <w:pPr>
              <w:rPr>
                <w:rFonts w:eastAsia="SimSun"/>
                <w:sz w:val="22"/>
                <w:szCs w:val="22"/>
                <w:lang w:eastAsia="zh-CN"/>
              </w:rPr>
            </w:pPr>
            <w:r>
              <w:rPr>
                <w:bCs/>
                <w:sz w:val="22"/>
                <w:szCs w:val="22"/>
                <w:lang w:val="lt-LT"/>
              </w:rPr>
              <w:t>LT/1/21/4762/007</w:t>
            </w:r>
            <w:r w:rsidRPr="003126D9">
              <w:rPr>
                <w:bCs/>
                <w:sz w:val="22"/>
                <w:szCs w:val="22"/>
                <w:lang w:val="lt-LT"/>
              </w:rPr>
              <w:t xml:space="preserve"> – N</w:t>
            </w:r>
            <w:r>
              <w:rPr>
                <w:bCs/>
                <w:sz w:val="22"/>
                <w:szCs w:val="22"/>
                <w:lang w:val="lt-LT"/>
              </w:rPr>
              <w:t>120 (4x30)</w:t>
            </w:r>
          </w:p>
        </w:tc>
        <w:tc>
          <w:tcPr>
            <w:tcW w:w="4644" w:type="dxa"/>
          </w:tcPr>
          <w:p w14:paraId="5260FD20" w14:textId="4E88ECBD" w:rsidR="003C7C5B" w:rsidRPr="003C7C5B" w:rsidRDefault="003C7C5B" w:rsidP="003C7C5B">
            <w:pPr>
              <w:tabs>
                <w:tab w:val="left" w:pos="567"/>
              </w:tabs>
              <w:rPr>
                <w:rFonts w:eastAsia="SimSun"/>
                <w:sz w:val="22"/>
                <w:szCs w:val="22"/>
                <w:u w:val="single"/>
                <w:lang w:val="lt-LT" w:eastAsia="zh-CN"/>
              </w:rPr>
            </w:pPr>
            <w:r w:rsidRPr="003C7C5B">
              <w:rPr>
                <w:rFonts w:eastAsia="SimSun"/>
                <w:sz w:val="22"/>
                <w:szCs w:val="22"/>
                <w:u w:val="single"/>
                <w:lang w:eastAsia="zh-CN"/>
              </w:rPr>
              <w:t>dalomoji lizdin</w:t>
            </w:r>
            <w:r w:rsidRPr="003C7C5B">
              <w:rPr>
                <w:rFonts w:eastAsia="SimSun"/>
                <w:sz w:val="22"/>
                <w:szCs w:val="22"/>
                <w:u w:val="single"/>
                <w:lang w:val="lt-LT" w:eastAsia="zh-CN"/>
              </w:rPr>
              <w:t>ė plokštelė</w:t>
            </w:r>
          </w:p>
          <w:p w14:paraId="410DCA9B" w14:textId="60E93BF9" w:rsidR="003C7C5B" w:rsidRPr="003C1C77" w:rsidRDefault="003C7C5B" w:rsidP="003C7C5B">
            <w:pPr>
              <w:rPr>
                <w:bCs/>
                <w:sz w:val="22"/>
                <w:szCs w:val="22"/>
                <w:lang w:val="lt-LT"/>
              </w:rPr>
            </w:pPr>
            <w:r>
              <w:rPr>
                <w:sz w:val="22"/>
                <w:szCs w:val="22"/>
                <w:lang w:val="lt-LT"/>
              </w:rPr>
              <w:t>LT/1/21/4762/008</w:t>
            </w:r>
            <w:r w:rsidRPr="003C1C77">
              <w:rPr>
                <w:bCs/>
                <w:sz w:val="22"/>
                <w:szCs w:val="22"/>
                <w:lang w:val="lt-LT"/>
              </w:rPr>
              <w:t xml:space="preserve"> – N</w:t>
            </w:r>
            <w:r>
              <w:rPr>
                <w:bCs/>
                <w:sz w:val="22"/>
                <w:szCs w:val="22"/>
                <w:lang w:val="lt-LT"/>
              </w:rPr>
              <w:t>28x1</w:t>
            </w:r>
          </w:p>
          <w:p w14:paraId="49226D61" w14:textId="52880C88" w:rsidR="003C7C5B" w:rsidRDefault="003C7C5B" w:rsidP="003C7C5B">
            <w:pPr>
              <w:rPr>
                <w:bCs/>
                <w:sz w:val="22"/>
                <w:szCs w:val="22"/>
                <w:lang w:val="lt-LT"/>
              </w:rPr>
            </w:pPr>
            <w:r>
              <w:rPr>
                <w:sz w:val="22"/>
                <w:szCs w:val="22"/>
                <w:lang w:val="lt-LT"/>
              </w:rPr>
              <w:t>LT/1/21/4762/009</w:t>
            </w:r>
            <w:r w:rsidRPr="003C1C77">
              <w:rPr>
                <w:bCs/>
                <w:sz w:val="22"/>
                <w:szCs w:val="22"/>
                <w:lang w:val="lt-LT"/>
              </w:rPr>
              <w:t xml:space="preserve"> – N</w:t>
            </w:r>
            <w:r>
              <w:rPr>
                <w:bCs/>
                <w:sz w:val="22"/>
                <w:szCs w:val="22"/>
                <w:lang w:val="lt-LT"/>
              </w:rPr>
              <w:t>30x1</w:t>
            </w:r>
          </w:p>
          <w:p w14:paraId="48CB109C" w14:textId="5D4573F0" w:rsidR="003C7C5B" w:rsidRPr="009A0DD4" w:rsidRDefault="003C7C5B" w:rsidP="003C7C5B">
            <w:pPr>
              <w:rPr>
                <w:bCs/>
                <w:sz w:val="22"/>
                <w:szCs w:val="22"/>
                <w:lang w:val="lt-LT"/>
              </w:rPr>
            </w:pPr>
            <w:r>
              <w:rPr>
                <w:bCs/>
                <w:sz w:val="22"/>
                <w:szCs w:val="22"/>
                <w:lang w:val="lt-LT"/>
              </w:rPr>
              <w:t>LT/1/21/4762/010</w:t>
            </w:r>
            <w:r w:rsidRPr="009A0DD4">
              <w:rPr>
                <w:bCs/>
                <w:sz w:val="22"/>
                <w:szCs w:val="22"/>
                <w:lang w:val="lt-LT"/>
              </w:rPr>
              <w:t xml:space="preserve"> –</w:t>
            </w:r>
            <w:r>
              <w:rPr>
                <w:bCs/>
                <w:sz w:val="22"/>
                <w:szCs w:val="22"/>
                <w:lang w:val="lt-LT"/>
              </w:rPr>
              <w:t xml:space="preserve"> N56</w:t>
            </w:r>
            <w:r w:rsidRPr="009A0DD4">
              <w:rPr>
                <w:bCs/>
                <w:sz w:val="22"/>
                <w:szCs w:val="22"/>
                <w:lang w:val="lt-LT"/>
              </w:rPr>
              <w:t>x1</w:t>
            </w:r>
          </w:p>
          <w:p w14:paraId="3148F981" w14:textId="01BEFFFA" w:rsidR="003C7C5B" w:rsidRDefault="003C7C5B" w:rsidP="003C7C5B">
            <w:pPr>
              <w:rPr>
                <w:bCs/>
                <w:sz w:val="22"/>
                <w:szCs w:val="22"/>
                <w:lang w:val="lt-LT"/>
              </w:rPr>
            </w:pPr>
            <w:r>
              <w:rPr>
                <w:bCs/>
                <w:sz w:val="22"/>
                <w:szCs w:val="22"/>
                <w:lang w:val="lt-LT"/>
              </w:rPr>
              <w:t>LT/1/21/4762/011</w:t>
            </w:r>
            <w:r w:rsidRPr="009A0DD4">
              <w:rPr>
                <w:bCs/>
                <w:sz w:val="22"/>
                <w:szCs w:val="22"/>
                <w:lang w:val="lt-LT"/>
              </w:rPr>
              <w:t xml:space="preserve"> –</w:t>
            </w:r>
            <w:r>
              <w:rPr>
                <w:bCs/>
                <w:sz w:val="22"/>
                <w:szCs w:val="22"/>
                <w:lang w:val="lt-LT"/>
              </w:rPr>
              <w:t xml:space="preserve"> N60</w:t>
            </w:r>
            <w:r w:rsidRPr="009A0DD4">
              <w:rPr>
                <w:bCs/>
                <w:sz w:val="22"/>
                <w:szCs w:val="22"/>
                <w:lang w:val="lt-LT"/>
              </w:rPr>
              <w:t>x1</w:t>
            </w:r>
          </w:p>
          <w:p w14:paraId="5798929E" w14:textId="0137CF36" w:rsidR="003C7C5B" w:rsidRPr="003C1C77" w:rsidRDefault="003C7C5B" w:rsidP="003C7C5B">
            <w:pPr>
              <w:rPr>
                <w:bCs/>
                <w:sz w:val="22"/>
                <w:szCs w:val="22"/>
                <w:lang w:val="lt-LT"/>
              </w:rPr>
            </w:pPr>
            <w:r>
              <w:rPr>
                <w:sz w:val="22"/>
                <w:szCs w:val="22"/>
                <w:lang w:val="lt-LT"/>
              </w:rPr>
              <w:t>LT/1/21/4762/012</w:t>
            </w:r>
            <w:r w:rsidRPr="003C1C77">
              <w:rPr>
                <w:bCs/>
                <w:sz w:val="22"/>
                <w:szCs w:val="22"/>
                <w:lang w:val="lt-LT"/>
              </w:rPr>
              <w:t xml:space="preserve"> – N</w:t>
            </w:r>
            <w:r>
              <w:rPr>
                <w:bCs/>
                <w:sz w:val="22"/>
                <w:szCs w:val="22"/>
                <w:lang w:val="lt-LT"/>
              </w:rPr>
              <w:t>84x1 (3x(28x1))</w:t>
            </w:r>
          </w:p>
          <w:p w14:paraId="133D9F8D" w14:textId="6C118CAE" w:rsidR="003C7C5B" w:rsidRDefault="003C7C5B" w:rsidP="003C7C5B">
            <w:pPr>
              <w:rPr>
                <w:bCs/>
                <w:sz w:val="22"/>
                <w:szCs w:val="22"/>
                <w:lang w:val="lt-LT"/>
              </w:rPr>
            </w:pPr>
            <w:r>
              <w:rPr>
                <w:sz w:val="22"/>
                <w:szCs w:val="22"/>
                <w:lang w:val="lt-LT"/>
              </w:rPr>
              <w:t>LT/1/21/4762/013</w:t>
            </w:r>
            <w:r w:rsidRPr="003C1C77">
              <w:rPr>
                <w:bCs/>
                <w:sz w:val="22"/>
                <w:szCs w:val="22"/>
                <w:lang w:val="lt-LT"/>
              </w:rPr>
              <w:t xml:space="preserve"> – N</w:t>
            </w:r>
            <w:r>
              <w:rPr>
                <w:bCs/>
                <w:sz w:val="22"/>
                <w:szCs w:val="22"/>
                <w:lang w:val="lt-LT"/>
              </w:rPr>
              <w:t>112x1 (4x(28x1))</w:t>
            </w:r>
          </w:p>
          <w:p w14:paraId="45A33F2A" w14:textId="6BCCD0D3" w:rsidR="003C7C5B" w:rsidRPr="00E71EED" w:rsidRDefault="003C7C5B" w:rsidP="003C7C5B">
            <w:pPr>
              <w:tabs>
                <w:tab w:val="left" w:pos="567"/>
              </w:tabs>
              <w:rPr>
                <w:rFonts w:eastAsia="SimSun"/>
                <w:sz w:val="22"/>
                <w:szCs w:val="22"/>
                <w:lang w:val="pt-PT" w:eastAsia="zh-CN"/>
              </w:rPr>
            </w:pPr>
            <w:r>
              <w:rPr>
                <w:sz w:val="22"/>
                <w:szCs w:val="22"/>
                <w:lang w:val="lt-LT"/>
              </w:rPr>
              <w:t>LT/1/21/4762/014</w:t>
            </w:r>
            <w:r w:rsidRPr="003C1C77">
              <w:rPr>
                <w:bCs/>
                <w:sz w:val="22"/>
                <w:szCs w:val="22"/>
                <w:lang w:val="lt-LT"/>
              </w:rPr>
              <w:t xml:space="preserve"> – N</w:t>
            </w:r>
            <w:r>
              <w:rPr>
                <w:bCs/>
                <w:sz w:val="22"/>
                <w:szCs w:val="22"/>
                <w:lang w:val="lt-LT"/>
              </w:rPr>
              <w:t>120x1 (4x(30x1))</w:t>
            </w:r>
          </w:p>
        </w:tc>
      </w:tr>
    </w:tbl>
    <w:p w14:paraId="74F4E518" w14:textId="0337C756" w:rsidR="00EF20DC" w:rsidRDefault="00EF20DC" w:rsidP="001F1094">
      <w:pPr>
        <w:tabs>
          <w:tab w:val="left" w:pos="567"/>
        </w:tabs>
        <w:rPr>
          <w:rFonts w:eastAsia="SimSun"/>
          <w:sz w:val="22"/>
          <w:szCs w:val="22"/>
          <w:lang w:eastAsia="zh-CN"/>
        </w:rPr>
      </w:pPr>
    </w:p>
    <w:p w14:paraId="0DE6CED7" w14:textId="77777777" w:rsidR="003C7C5B" w:rsidRPr="00EF20DC" w:rsidRDefault="003C7C5B" w:rsidP="001F1094">
      <w:pPr>
        <w:tabs>
          <w:tab w:val="left" w:pos="567"/>
        </w:tabs>
        <w:rPr>
          <w:rFonts w:eastAsia="SimSun"/>
          <w:sz w:val="22"/>
          <w:szCs w:val="22"/>
          <w:lang w:eastAsia="zh-CN"/>
        </w:rPr>
      </w:pPr>
    </w:p>
    <w:p w14:paraId="7205CABE" w14:textId="77777777" w:rsidR="00EF20DC" w:rsidRPr="00EF20DC" w:rsidRDefault="00EF20DC" w:rsidP="001F1094">
      <w:pPr>
        <w:ind w:left="567" w:hanging="567"/>
        <w:rPr>
          <w:b/>
          <w:snapToGrid w:val="0"/>
          <w:sz w:val="22"/>
          <w:szCs w:val="20"/>
        </w:rPr>
      </w:pPr>
      <w:r w:rsidRPr="00EF20DC">
        <w:rPr>
          <w:rFonts w:eastAsia="SimSun"/>
          <w:b/>
          <w:sz w:val="22"/>
          <w:szCs w:val="20"/>
          <w:lang w:eastAsia="zh-CN"/>
        </w:rPr>
        <w:t>9.</w:t>
      </w:r>
      <w:r w:rsidRPr="00EF20DC">
        <w:rPr>
          <w:rFonts w:eastAsia="SimSun"/>
          <w:b/>
          <w:sz w:val="22"/>
          <w:szCs w:val="20"/>
          <w:lang w:eastAsia="zh-CN"/>
        </w:rPr>
        <w:tab/>
      </w:r>
      <w:r w:rsidRPr="00EF20DC">
        <w:rPr>
          <w:b/>
          <w:snapToGrid w:val="0"/>
          <w:sz w:val="22"/>
          <w:szCs w:val="20"/>
        </w:rPr>
        <w:t>REGISTRAVIMO / PERREGISTRAVIMO DATA</w:t>
      </w:r>
    </w:p>
    <w:p w14:paraId="633FD322" w14:textId="77777777" w:rsidR="00EF20DC" w:rsidRPr="00EF20DC" w:rsidRDefault="00EF20DC" w:rsidP="001F1094">
      <w:pPr>
        <w:tabs>
          <w:tab w:val="left" w:pos="567"/>
        </w:tabs>
        <w:rPr>
          <w:snapToGrid w:val="0"/>
          <w:sz w:val="22"/>
          <w:szCs w:val="22"/>
        </w:rPr>
      </w:pPr>
    </w:p>
    <w:p w14:paraId="164D6A85" w14:textId="74A63A98" w:rsidR="00422E1B" w:rsidRDefault="00485AB2" w:rsidP="001F1094">
      <w:pPr>
        <w:tabs>
          <w:tab w:val="left" w:pos="567"/>
        </w:tabs>
        <w:rPr>
          <w:noProof/>
          <w:snapToGrid w:val="0"/>
          <w:sz w:val="22"/>
        </w:rPr>
      </w:pPr>
      <w:r w:rsidRPr="00485AB2">
        <w:rPr>
          <w:noProof/>
          <w:snapToGrid w:val="0"/>
          <w:sz w:val="22"/>
        </w:rPr>
        <w:t xml:space="preserve">Registravimo data </w:t>
      </w:r>
      <w:r w:rsidR="0044531A">
        <w:rPr>
          <w:noProof/>
          <w:snapToGrid w:val="0"/>
          <w:sz w:val="22"/>
        </w:rPr>
        <w:t>2021 m. birželio 14 d.</w:t>
      </w:r>
    </w:p>
    <w:p w14:paraId="1465B318" w14:textId="32FC2059" w:rsidR="00EF20DC" w:rsidRDefault="00EF20DC" w:rsidP="001F1094">
      <w:pPr>
        <w:tabs>
          <w:tab w:val="left" w:pos="567"/>
        </w:tabs>
        <w:rPr>
          <w:rFonts w:eastAsia="SimSun"/>
          <w:sz w:val="22"/>
          <w:szCs w:val="22"/>
          <w:lang w:eastAsia="zh-CN"/>
        </w:rPr>
      </w:pPr>
    </w:p>
    <w:p w14:paraId="1C9467BA" w14:textId="77777777" w:rsidR="00B95884" w:rsidRPr="00EF20DC" w:rsidRDefault="00B95884" w:rsidP="001F1094">
      <w:pPr>
        <w:tabs>
          <w:tab w:val="left" w:pos="567"/>
        </w:tabs>
        <w:rPr>
          <w:rFonts w:eastAsia="SimSun"/>
          <w:sz w:val="22"/>
          <w:szCs w:val="22"/>
          <w:lang w:eastAsia="zh-CN"/>
        </w:rPr>
      </w:pPr>
    </w:p>
    <w:p w14:paraId="045C1368" w14:textId="77777777" w:rsidR="00EF20DC" w:rsidRPr="00EF20DC" w:rsidRDefault="00EF20DC" w:rsidP="001F1094">
      <w:pPr>
        <w:ind w:left="567" w:hanging="567"/>
        <w:rPr>
          <w:rFonts w:eastAsia="SimSun"/>
          <w:b/>
          <w:sz w:val="22"/>
          <w:szCs w:val="20"/>
          <w:lang w:eastAsia="zh-CN"/>
        </w:rPr>
      </w:pPr>
      <w:r w:rsidRPr="00EF20DC">
        <w:rPr>
          <w:rFonts w:eastAsia="SimSun"/>
          <w:b/>
          <w:sz w:val="22"/>
          <w:szCs w:val="20"/>
          <w:lang w:eastAsia="zh-CN"/>
        </w:rPr>
        <w:t>10.</w:t>
      </w:r>
      <w:r w:rsidRPr="00EF20DC">
        <w:rPr>
          <w:rFonts w:eastAsia="SimSun"/>
          <w:b/>
          <w:sz w:val="22"/>
          <w:szCs w:val="20"/>
          <w:lang w:eastAsia="zh-CN"/>
        </w:rPr>
        <w:tab/>
        <w:t>TEKSTO PERŽIŪROS DATA</w:t>
      </w:r>
    </w:p>
    <w:p w14:paraId="5B611F2C" w14:textId="77777777" w:rsidR="00EF20DC" w:rsidRPr="00EF20DC" w:rsidRDefault="00EF20DC" w:rsidP="001F1094">
      <w:pPr>
        <w:tabs>
          <w:tab w:val="left" w:pos="567"/>
        </w:tabs>
        <w:rPr>
          <w:snapToGrid w:val="0"/>
          <w:sz w:val="22"/>
          <w:szCs w:val="22"/>
        </w:rPr>
      </w:pPr>
    </w:p>
    <w:p w14:paraId="4B09B654" w14:textId="031F1F7A" w:rsidR="003D6784" w:rsidRDefault="00EC352E" w:rsidP="001F1094">
      <w:pPr>
        <w:tabs>
          <w:tab w:val="left" w:pos="567"/>
        </w:tabs>
        <w:rPr>
          <w:rFonts w:eastAsia="SimSun"/>
          <w:sz w:val="22"/>
          <w:szCs w:val="22"/>
        </w:rPr>
      </w:pPr>
      <w:r w:rsidRPr="00E71EED">
        <w:rPr>
          <w:rFonts w:eastAsia="SimSun"/>
          <w:sz w:val="22"/>
          <w:szCs w:val="22"/>
        </w:rPr>
        <w:t>2025 m. vasario 21 d.</w:t>
      </w:r>
    </w:p>
    <w:p w14:paraId="2E57108F" w14:textId="77777777" w:rsidR="00E71EED" w:rsidRPr="00EF20DC" w:rsidRDefault="00E71EED" w:rsidP="001F1094">
      <w:pPr>
        <w:tabs>
          <w:tab w:val="left" w:pos="567"/>
        </w:tabs>
        <w:rPr>
          <w:rFonts w:eastAsia="SimSun"/>
          <w:sz w:val="22"/>
          <w:szCs w:val="22"/>
          <w:lang w:eastAsia="zh-CN"/>
        </w:rPr>
      </w:pPr>
    </w:p>
    <w:p w14:paraId="47177273" w14:textId="5C0730B5" w:rsidR="00EF20DC" w:rsidRPr="00EF20DC" w:rsidRDefault="00EF20DC" w:rsidP="001F1094">
      <w:pPr>
        <w:tabs>
          <w:tab w:val="left" w:pos="567"/>
        </w:tabs>
        <w:rPr>
          <w:snapToGrid w:val="0"/>
          <w:color w:val="0000FF"/>
          <w:sz w:val="22"/>
          <w:szCs w:val="20"/>
          <w:u w:val="single"/>
        </w:rPr>
      </w:pPr>
      <w:r w:rsidRPr="00EF20DC">
        <w:rPr>
          <w:rFonts w:eastAsia="SimSun"/>
          <w:sz w:val="22"/>
          <w:szCs w:val="22"/>
          <w:lang w:eastAsia="zh-CN"/>
        </w:rPr>
        <w:t xml:space="preserve">Išsami informacija apie šį vaistinį preparatą pateikiama Valstybinės vaistų kontrolės tarnybos prie Lietuvos Respublikos sveikatos apsaugos ministerijos tinklalapyje </w:t>
      </w:r>
      <w:r w:rsidR="007015F1" w:rsidRPr="007015F1">
        <w:t>https://vvkt.lrv.lt/lt</w:t>
      </w:r>
      <w:r w:rsidR="007015F1">
        <w:t>.</w:t>
      </w:r>
    </w:p>
    <w:p w14:paraId="698E8383" w14:textId="77777777" w:rsidR="00EF20DC" w:rsidRPr="00EF20DC" w:rsidRDefault="00EF20DC" w:rsidP="001F1094">
      <w:pPr>
        <w:rPr>
          <w:rFonts w:eastAsia="Calibri"/>
          <w:sz w:val="22"/>
          <w:szCs w:val="22"/>
        </w:rPr>
      </w:pPr>
    </w:p>
    <w:p w14:paraId="1B581B59" w14:textId="77777777" w:rsidR="00EF20DC" w:rsidRPr="00EF20DC" w:rsidRDefault="00EF20DC" w:rsidP="001F1094">
      <w:pPr>
        <w:rPr>
          <w:rFonts w:eastAsia="Calibri"/>
          <w:sz w:val="22"/>
          <w:szCs w:val="22"/>
        </w:rPr>
      </w:pPr>
      <w:r w:rsidRPr="00EF20DC">
        <w:rPr>
          <w:rFonts w:eastAsia="Calibri"/>
          <w:sz w:val="22"/>
          <w:szCs w:val="22"/>
        </w:rPr>
        <w:br w:type="page"/>
      </w:r>
    </w:p>
    <w:p w14:paraId="1E1DE83F" w14:textId="77777777" w:rsidR="00EF20DC" w:rsidRPr="00EF20DC" w:rsidRDefault="00EF20DC" w:rsidP="001F1094">
      <w:pPr>
        <w:rPr>
          <w:rFonts w:eastAsia="Calibri"/>
          <w:sz w:val="22"/>
          <w:szCs w:val="22"/>
        </w:rPr>
      </w:pPr>
    </w:p>
    <w:p w14:paraId="7C63743A" w14:textId="77777777" w:rsidR="00EF20DC" w:rsidRPr="00EF20DC" w:rsidRDefault="00EF20DC" w:rsidP="001F1094">
      <w:pPr>
        <w:rPr>
          <w:rFonts w:eastAsia="Calibri"/>
          <w:sz w:val="22"/>
          <w:szCs w:val="22"/>
        </w:rPr>
      </w:pPr>
    </w:p>
    <w:p w14:paraId="0E6ECFE2" w14:textId="77777777" w:rsidR="00EF20DC" w:rsidRPr="00EF20DC" w:rsidRDefault="00EF20DC" w:rsidP="001F1094">
      <w:pPr>
        <w:rPr>
          <w:rFonts w:eastAsia="Calibri"/>
          <w:sz w:val="22"/>
          <w:szCs w:val="22"/>
        </w:rPr>
      </w:pPr>
    </w:p>
    <w:p w14:paraId="4C29B97D" w14:textId="77777777" w:rsidR="00EF20DC" w:rsidRPr="00EF20DC" w:rsidRDefault="00EF20DC" w:rsidP="001F1094">
      <w:pPr>
        <w:tabs>
          <w:tab w:val="left" w:pos="567"/>
        </w:tabs>
        <w:rPr>
          <w:rFonts w:eastAsia="SimSun"/>
          <w:sz w:val="22"/>
          <w:szCs w:val="22"/>
          <w:lang w:eastAsia="zh-CN"/>
        </w:rPr>
      </w:pPr>
    </w:p>
    <w:p w14:paraId="77BDC693" w14:textId="77777777" w:rsidR="00EF20DC" w:rsidRPr="00EF20DC" w:rsidRDefault="00EF20DC" w:rsidP="001F1094">
      <w:pPr>
        <w:tabs>
          <w:tab w:val="left" w:pos="567"/>
        </w:tabs>
        <w:rPr>
          <w:rFonts w:eastAsia="SimSun"/>
          <w:sz w:val="22"/>
          <w:szCs w:val="22"/>
          <w:lang w:eastAsia="zh-CN"/>
        </w:rPr>
      </w:pPr>
    </w:p>
    <w:p w14:paraId="4677F142" w14:textId="77777777" w:rsidR="00EF20DC" w:rsidRPr="00EF20DC" w:rsidRDefault="00EF20DC" w:rsidP="001F1094">
      <w:pPr>
        <w:tabs>
          <w:tab w:val="left" w:pos="567"/>
        </w:tabs>
        <w:rPr>
          <w:rFonts w:eastAsia="SimSun"/>
          <w:sz w:val="22"/>
          <w:szCs w:val="22"/>
          <w:lang w:eastAsia="zh-CN"/>
        </w:rPr>
      </w:pPr>
    </w:p>
    <w:p w14:paraId="026F548F" w14:textId="77777777" w:rsidR="00EF20DC" w:rsidRPr="00EF20DC" w:rsidRDefault="00EF20DC" w:rsidP="001F1094">
      <w:pPr>
        <w:tabs>
          <w:tab w:val="left" w:pos="567"/>
        </w:tabs>
        <w:rPr>
          <w:rFonts w:eastAsia="SimSun"/>
          <w:sz w:val="22"/>
          <w:szCs w:val="22"/>
          <w:lang w:eastAsia="zh-CN"/>
        </w:rPr>
      </w:pPr>
    </w:p>
    <w:p w14:paraId="040BB4CA" w14:textId="77777777" w:rsidR="00EF20DC" w:rsidRPr="00EF20DC" w:rsidRDefault="00EF20DC" w:rsidP="001F1094">
      <w:pPr>
        <w:tabs>
          <w:tab w:val="left" w:pos="567"/>
        </w:tabs>
        <w:rPr>
          <w:rFonts w:eastAsia="SimSun"/>
          <w:sz w:val="22"/>
          <w:szCs w:val="22"/>
          <w:lang w:eastAsia="zh-CN"/>
        </w:rPr>
      </w:pPr>
    </w:p>
    <w:p w14:paraId="50235DC2" w14:textId="77777777" w:rsidR="00EF20DC" w:rsidRPr="00EF20DC" w:rsidRDefault="00EF20DC" w:rsidP="001F1094">
      <w:pPr>
        <w:tabs>
          <w:tab w:val="left" w:pos="567"/>
        </w:tabs>
        <w:rPr>
          <w:rFonts w:eastAsia="SimSun"/>
          <w:sz w:val="22"/>
          <w:szCs w:val="22"/>
          <w:lang w:eastAsia="zh-CN"/>
        </w:rPr>
      </w:pPr>
    </w:p>
    <w:p w14:paraId="77D0CB08" w14:textId="77777777" w:rsidR="00EF20DC" w:rsidRPr="00EF20DC" w:rsidRDefault="00EF20DC" w:rsidP="001F1094">
      <w:pPr>
        <w:tabs>
          <w:tab w:val="left" w:pos="567"/>
        </w:tabs>
        <w:rPr>
          <w:rFonts w:eastAsia="SimSun"/>
          <w:sz w:val="22"/>
          <w:szCs w:val="22"/>
          <w:lang w:eastAsia="zh-CN"/>
        </w:rPr>
      </w:pPr>
    </w:p>
    <w:p w14:paraId="2009F495" w14:textId="77777777" w:rsidR="00EF20DC" w:rsidRPr="00EF20DC" w:rsidRDefault="00EF20DC" w:rsidP="001F1094">
      <w:pPr>
        <w:tabs>
          <w:tab w:val="left" w:pos="567"/>
        </w:tabs>
        <w:rPr>
          <w:rFonts w:eastAsia="SimSun"/>
          <w:sz w:val="22"/>
          <w:szCs w:val="22"/>
          <w:lang w:eastAsia="zh-CN"/>
        </w:rPr>
      </w:pPr>
    </w:p>
    <w:p w14:paraId="38F8C994" w14:textId="77777777" w:rsidR="00EF20DC" w:rsidRPr="00EF20DC" w:rsidRDefault="00EF20DC" w:rsidP="001F1094">
      <w:pPr>
        <w:tabs>
          <w:tab w:val="left" w:pos="567"/>
        </w:tabs>
        <w:rPr>
          <w:rFonts w:eastAsia="SimSun"/>
          <w:sz w:val="22"/>
          <w:szCs w:val="22"/>
          <w:lang w:eastAsia="zh-CN"/>
        </w:rPr>
      </w:pPr>
    </w:p>
    <w:p w14:paraId="3B59F740" w14:textId="77777777" w:rsidR="00EF20DC" w:rsidRPr="00EF20DC" w:rsidRDefault="00EF20DC" w:rsidP="001F1094">
      <w:pPr>
        <w:tabs>
          <w:tab w:val="left" w:pos="567"/>
        </w:tabs>
        <w:rPr>
          <w:rFonts w:eastAsia="SimSun"/>
          <w:sz w:val="22"/>
          <w:szCs w:val="22"/>
          <w:lang w:eastAsia="zh-CN"/>
        </w:rPr>
      </w:pPr>
    </w:p>
    <w:p w14:paraId="056F2CD8" w14:textId="77777777" w:rsidR="00EF20DC" w:rsidRPr="00EF20DC" w:rsidRDefault="00EF20DC" w:rsidP="001F1094">
      <w:pPr>
        <w:tabs>
          <w:tab w:val="left" w:pos="567"/>
        </w:tabs>
        <w:rPr>
          <w:rFonts w:eastAsia="SimSun"/>
          <w:sz w:val="22"/>
          <w:szCs w:val="22"/>
          <w:lang w:eastAsia="zh-CN"/>
        </w:rPr>
      </w:pPr>
    </w:p>
    <w:p w14:paraId="1517FEBD" w14:textId="77777777" w:rsidR="00EF20DC" w:rsidRPr="00EF20DC" w:rsidRDefault="00EF20DC" w:rsidP="001F1094">
      <w:pPr>
        <w:tabs>
          <w:tab w:val="left" w:pos="567"/>
        </w:tabs>
        <w:rPr>
          <w:rFonts w:eastAsia="SimSun"/>
          <w:sz w:val="22"/>
          <w:szCs w:val="22"/>
          <w:lang w:eastAsia="zh-CN"/>
        </w:rPr>
      </w:pPr>
    </w:p>
    <w:p w14:paraId="549448D7" w14:textId="77777777" w:rsidR="00EF20DC" w:rsidRPr="00EF20DC" w:rsidRDefault="00EF20DC" w:rsidP="001F1094">
      <w:pPr>
        <w:tabs>
          <w:tab w:val="left" w:pos="567"/>
        </w:tabs>
        <w:rPr>
          <w:rFonts w:eastAsia="SimSun"/>
          <w:sz w:val="22"/>
          <w:szCs w:val="22"/>
          <w:lang w:eastAsia="zh-CN"/>
        </w:rPr>
      </w:pPr>
    </w:p>
    <w:p w14:paraId="57BB3213" w14:textId="77777777" w:rsidR="00EF20DC" w:rsidRPr="00EF20DC" w:rsidRDefault="00EF20DC" w:rsidP="001F1094">
      <w:pPr>
        <w:tabs>
          <w:tab w:val="left" w:pos="567"/>
        </w:tabs>
        <w:rPr>
          <w:rFonts w:eastAsia="SimSun"/>
          <w:sz w:val="22"/>
          <w:szCs w:val="22"/>
          <w:lang w:eastAsia="zh-CN"/>
        </w:rPr>
      </w:pPr>
    </w:p>
    <w:p w14:paraId="437CF82A" w14:textId="77777777" w:rsidR="00EF20DC" w:rsidRPr="00EF20DC" w:rsidRDefault="00EF20DC" w:rsidP="001F1094">
      <w:pPr>
        <w:tabs>
          <w:tab w:val="left" w:pos="567"/>
        </w:tabs>
        <w:rPr>
          <w:rFonts w:eastAsia="SimSun"/>
          <w:sz w:val="22"/>
          <w:szCs w:val="22"/>
          <w:lang w:eastAsia="zh-CN"/>
        </w:rPr>
      </w:pPr>
    </w:p>
    <w:p w14:paraId="2C49475D" w14:textId="77777777" w:rsidR="00EF20DC" w:rsidRPr="00EF20DC" w:rsidRDefault="00EF20DC" w:rsidP="001F1094">
      <w:pPr>
        <w:tabs>
          <w:tab w:val="left" w:pos="567"/>
        </w:tabs>
        <w:rPr>
          <w:rFonts w:eastAsia="SimSun"/>
          <w:sz w:val="22"/>
          <w:szCs w:val="22"/>
          <w:lang w:eastAsia="zh-CN"/>
        </w:rPr>
      </w:pPr>
    </w:p>
    <w:p w14:paraId="1243880A" w14:textId="77777777" w:rsidR="00EF20DC" w:rsidRPr="00EF20DC" w:rsidRDefault="00EF20DC" w:rsidP="001F1094">
      <w:pPr>
        <w:keepNext/>
        <w:tabs>
          <w:tab w:val="left" w:pos="567"/>
        </w:tabs>
        <w:jc w:val="center"/>
        <w:outlineLvl w:val="1"/>
        <w:rPr>
          <w:rFonts w:eastAsia="Calibri"/>
          <w:b/>
          <w:sz w:val="22"/>
          <w:szCs w:val="22"/>
        </w:rPr>
      </w:pPr>
    </w:p>
    <w:p w14:paraId="43C6A586" w14:textId="77777777" w:rsidR="00EF20DC" w:rsidRPr="00EF20DC" w:rsidRDefault="00EF20DC" w:rsidP="001F1094">
      <w:pPr>
        <w:keepNext/>
        <w:tabs>
          <w:tab w:val="left" w:pos="567"/>
        </w:tabs>
        <w:jc w:val="center"/>
        <w:outlineLvl w:val="1"/>
        <w:rPr>
          <w:rFonts w:eastAsia="SimSun"/>
          <w:b/>
          <w:iCs/>
          <w:sz w:val="22"/>
          <w:szCs w:val="22"/>
        </w:rPr>
      </w:pPr>
    </w:p>
    <w:p w14:paraId="36C8E0DE" w14:textId="77777777" w:rsidR="00EF20DC" w:rsidRPr="00EF20DC" w:rsidRDefault="00EF20DC" w:rsidP="001F1094">
      <w:pPr>
        <w:keepNext/>
        <w:tabs>
          <w:tab w:val="left" w:pos="567"/>
        </w:tabs>
        <w:jc w:val="center"/>
        <w:outlineLvl w:val="1"/>
        <w:rPr>
          <w:rFonts w:eastAsia="SimSun"/>
          <w:b/>
          <w:iCs/>
          <w:sz w:val="22"/>
          <w:szCs w:val="22"/>
        </w:rPr>
      </w:pPr>
    </w:p>
    <w:p w14:paraId="536780A9" w14:textId="77777777" w:rsidR="00EF20DC" w:rsidRPr="00EF20DC" w:rsidRDefault="00EF20DC" w:rsidP="001F1094">
      <w:pPr>
        <w:keepNext/>
        <w:tabs>
          <w:tab w:val="left" w:pos="567"/>
        </w:tabs>
        <w:jc w:val="center"/>
        <w:outlineLvl w:val="1"/>
        <w:rPr>
          <w:rFonts w:eastAsia="SimSun"/>
          <w:b/>
          <w:iCs/>
          <w:sz w:val="22"/>
          <w:szCs w:val="22"/>
        </w:rPr>
      </w:pPr>
    </w:p>
    <w:p w14:paraId="44BFAF55" w14:textId="77777777" w:rsidR="00EF20DC" w:rsidRPr="00EF20DC" w:rsidRDefault="00EF20DC" w:rsidP="001F1094">
      <w:pPr>
        <w:keepNext/>
        <w:tabs>
          <w:tab w:val="left" w:pos="567"/>
        </w:tabs>
        <w:jc w:val="center"/>
        <w:outlineLvl w:val="1"/>
        <w:rPr>
          <w:rFonts w:eastAsia="SimSun"/>
          <w:b/>
          <w:iCs/>
          <w:sz w:val="22"/>
          <w:szCs w:val="22"/>
        </w:rPr>
      </w:pPr>
      <w:r w:rsidRPr="00EF20DC">
        <w:rPr>
          <w:rFonts w:eastAsia="SimSun"/>
          <w:b/>
          <w:iCs/>
          <w:sz w:val="22"/>
          <w:szCs w:val="22"/>
        </w:rPr>
        <w:t>II PRIEDAS</w:t>
      </w:r>
    </w:p>
    <w:p w14:paraId="08B624DA" w14:textId="77777777" w:rsidR="00EF20DC" w:rsidRPr="00EF20DC" w:rsidRDefault="00EF20DC" w:rsidP="001F1094">
      <w:pPr>
        <w:tabs>
          <w:tab w:val="left" w:pos="567"/>
        </w:tabs>
        <w:rPr>
          <w:rFonts w:eastAsia="SimSun"/>
          <w:b/>
          <w:i/>
          <w:sz w:val="22"/>
          <w:szCs w:val="22"/>
          <w:lang w:eastAsia="zh-CN"/>
        </w:rPr>
      </w:pPr>
    </w:p>
    <w:p w14:paraId="4EB071EC" w14:textId="77777777" w:rsidR="00EF20DC" w:rsidRPr="00EF20DC" w:rsidRDefault="00EF20DC" w:rsidP="001F1094">
      <w:pPr>
        <w:tabs>
          <w:tab w:val="left" w:pos="567"/>
        </w:tabs>
        <w:jc w:val="center"/>
        <w:rPr>
          <w:rFonts w:eastAsia="SimSun"/>
          <w:i/>
          <w:sz w:val="22"/>
          <w:szCs w:val="22"/>
          <w:lang w:eastAsia="zh-CN"/>
        </w:rPr>
      </w:pPr>
      <w:r w:rsidRPr="00EF20DC">
        <w:rPr>
          <w:rFonts w:eastAsia="SimSun"/>
          <w:b/>
          <w:sz w:val="22"/>
          <w:szCs w:val="22"/>
        </w:rPr>
        <w:t>REGISTRACIJOS SĄLYGOS</w:t>
      </w:r>
    </w:p>
    <w:p w14:paraId="620F4373" w14:textId="77777777" w:rsidR="00EF20DC" w:rsidRPr="00EF20DC" w:rsidRDefault="00EF20DC" w:rsidP="001F1094">
      <w:pPr>
        <w:tabs>
          <w:tab w:val="left" w:pos="567"/>
        </w:tabs>
        <w:rPr>
          <w:rFonts w:eastAsia="SimSun"/>
          <w:sz w:val="22"/>
          <w:szCs w:val="22"/>
          <w:lang w:eastAsia="zh-CN"/>
        </w:rPr>
      </w:pPr>
    </w:p>
    <w:p w14:paraId="7E9B6F03" w14:textId="77777777" w:rsidR="00EF20DC" w:rsidRPr="00EF20DC" w:rsidRDefault="00EF20DC" w:rsidP="001F1094">
      <w:pPr>
        <w:suppressLineNumbers/>
        <w:tabs>
          <w:tab w:val="left" w:pos="567"/>
        </w:tabs>
        <w:ind w:left="1980" w:hanging="562"/>
        <w:rPr>
          <w:rFonts w:eastAsia="SimSun"/>
          <w:b/>
          <w:sz w:val="22"/>
          <w:szCs w:val="22"/>
          <w:lang w:eastAsia="zh-CN"/>
        </w:rPr>
      </w:pPr>
      <w:r w:rsidRPr="00EF20DC">
        <w:rPr>
          <w:rFonts w:eastAsia="SimSun"/>
          <w:b/>
          <w:sz w:val="22"/>
          <w:szCs w:val="22"/>
          <w:lang w:eastAsia="zh-CN"/>
        </w:rPr>
        <w:t>A.</w:t>
      </w:r>
      <w:r w:rsidRPr="00EF20DC">
        <w:rPr>
          <w:rFonts w:eastAsia="SimSun"/>
          <w:b/>
          <w:sz w:val="22"/>
          <w:szCs w:val="22"/>
          <w:lang w:eastAsia="zh-CN"/>
        </w:rPr>
        <w:tab/>
        <w:t>GAMINTOJAS (-AI), ATSAKINGAS (-I) UŽ SERIJŲ IŠLEIDIMĄ</w:t>
      </w:r>
    </w:p>
    <w:p w14:paraId="2BFEB6EF" w14:textId="77777777" w:rsidR="00EF20DC" w:rsidRPr="00EF20DC" w:rsidRDefault="00EF20DC" w:rsidP="001F1094">
      <w:pPr>
        <w:suppressLineNumbers/>
        <w:tabs>
          <w:tab w:val="left" w:pos="567"/>
        </w:tabs>
        <w:ind w:left="1418"/>
        <w:rPr>
          <w:rFonts w:eastAsia="SimSun"/>
          <w:b/>
          <w:sz w:val="22"/>
          <w:szCs w:val="22"/>
          <w:lang w:eastAsia="zh-CN"/>
        </w:rPr>
      </w:pPr>
    </w:p>
    <w:p w14:paraId="65BCB794" w14:textId="77777777" w:rsidR="00EF20DC" w:rsidRPr="00EF20DC" w:rsidRDefault="00EF20DC" w:rsidP="001F1094">
      <w:pPr>
        <w:suppressLineNumbers/>
        <w:tabs>
          <w:tab w:val="left" w:pos="567"/>
        </w:tabs>
        <w:ind w:left="1980" w:hanging="562"/>
        <w:rPr>
          <w:rFonts w:eastAsia="SimSun"/>
          <w:b/>
          <w:sz w:val="22"/>
          <w:szCs w:val="22"/>
          <w:lang w:eastAsia="zh-CN"/>
        </w:rPr>
      </w:pPr>
      <w:r w:rsidRPr="00EF20DC">
        <w:rPr>
          <w:rFonts w:eastAsia="SimSun"/>
          <w:b/>
          <w:sz w:val="22"/>
          <w:szCs w:val="22"/>
          <w:lang w:eastAsia="zh-CN"/>
        </w:rPr>
        <w:t>B.</w:t>
      </w:r>
      <w:r w:rsidRPr="00EF20DC">
        <w:rPr>
          <w:rFonts w:eastAsia="SimSun"/>
          <w:b/>
          <w:sz w:val="22"/>
          <w:szCs w:val="22"/>
          <w:lang w:eastAsia="zh-CN"/>
        </w:rPr>
        <w:tab/>
        <w:t>TIEKIMO IR VARTOJIMO SĄLYGOS AR APRIBOJIMAI</w:t>
      </w:r>
    </w:p>
    <w:p w14:paraId="13DB90EB" w14:textId="77777777" w:rsidR="00EF20DC" w:rsidRPr="00EF20DC" w:rsidRDefault="00EF20DC" w:rsidP="001F1094">
      <w:pPr>
        <w:suppressLineNumbers/>
        <w:tabs>
          <w:tab w:val="left" w:pos="567"/>
        </w:tabs>
        <w:ind w:left="1418"/>
        <w:rPr>
          <w:rFonts w:eastAsia="SimSun"/>
          <w:b/>
          <w:sz w:val="22"/>
          <w:szCs w:val="22"/>
          <w:lang w:eastAsia="zh-CN"/>
        </w:rPr>
      </w:pPr>
    </w:p>
    <w:p w14:paraId="69534D47" w14:textId="77777777" w:rsidR="00EF20DC" w:rsidRPr="00EF20DC" w:rsidRDefault="00EF20DC" w:rsidP="001F1094">
      <w:pPr>
        <w:tabs>
          <w:tab w:val="left" w:pos="567"/>
        </w:tabs>
        <w:rPr>
          <w:rFonts w:eastAsia="SimSun"/>
          <w:b/>
          <w:sz w:val="22"/>
          <w:szCs w:val="22"/>
          <w:lang w:eastAsia="zh-CN"/>
        </w:rPr>
      </w:pPr>
      <w:r w:rsidRPr="00EF20DC">
        <w:rPr>
          <w:rFonts w:eastAsia="SimSun"/>
          <w:iCs/>
          <w:sz w:val="22"/>
          <w:szCs w:val="22"/>
          <w:lang w:eastAsia="zh-CN"/>
        </w:rPr>
        <w:br w:type="page"/>
      </w:r>
      <w:r w:rsidRPr="00EF20DC">
        <w:rPr>
          <w:rFonts w:eastAsia="SimSun"/>
          <w:b/>
          <w:sz w:val="22"/>
          <w:szCs w:val="22"/>
          <w:lang w:eastAsia="zh-CN"/>
        </w:rPr>
        <w:lastRenderedPageBreak/>
        <w:t>A.</w:t>
      </w:r>
      <w:r w:rsidRPr="00EF20DC">
        <w:rPr>
          <w:rFonts w:eastAsia="SimSun"/>
          <w:b/>
          <w:sz w:val="22"/>
          <w:szCs w:val="22"/>
          <w:lang w:eastAsia="zh-CN"/>
        </w:rPr>
        <w:tab/>
        <w:t>GAMINTOJAS (-AI), ATSAKINGAS (-I) UŽ SERIJŲ IŠLEIDIMĄ</w:t>
      </w:r>
    </w:p>
    <w:p w14:paraId="3BC888B1" w14:textId="77777777" w:rsidR="00EF20DC" w:rsidRPr="00EF20DC" w:rsidRDefault="00EF20DC" w:rsidP="001F1094">
      <w:pPr>
        <w:tabs>
          <w:tab w:val="left" w:pos="567"/>
        </w:tabs>
        <w:rPr>
          <w:rFonts w:eastAsia="SimSun"/>
          <w:sz w:val="22"/>
          <w:szCs w:val="22"/>
          <w:lang w:eastAsia="zh-CN"/>
        </w:rPr>
      </w:pPr>
    </w:p>
    <w:p w14:paraId="1730B75C" w14:textId="77777777" w:rsidR="00EF20DC" w:rsidRPr="00EF20DC" w:rsidRDefault="00EF20DC" w:rsidP="001F1094">
      <w:pPr>
        <w:tabs>
          <w:tab w:val="left" w:pos="567"/>
        </w:tabs>
        <w:rPr>
          <w:rFonts w:eastAsia="SimSun"/>
          <w:sz w:val="22"/>
          <w:szCs w:val="22"/>
          <w:u w:val="single"/>
          <w:lang w:eastAsia="zh-CN"/>
        </w:rPr>
      </w:pPr>
      <w:r w:rsidRPr="00EF20DC">
        <w:rPr>
          <w:rFonts w:eastAsia="SimSun"/>
          <w:sz w:val="22"/>
          <w:szCs w:val="22"/>
          <w:u w:val="single"/>
          <w:lang w:eastAsia="zh-CN"/>
        </w:rPr>
        <w:t>Gamintojo (-ų), atsakingo (-ų) už serijų išleidimą, pavadinimas (-ai) ir adresas (-ai)</w:t>
      </w:r>
    </w:p>
    <w:p w14:paraId="42F6FBB8" w14:textId="77777777" w:rsidR="00987E1E" w:rsidRPr="00987E1E" w:rsidRDefault="00987E1E" w:rsidP="001F1094">
      <w:pPr>
        <w:suppressAutoHyphens/>
        <w:rPr>
          <w:rFonts w:eastAsia="Calibri"/>
          <w:color w:val="000000"/>
          <w:sz w:val="22"/>
          <w:szCs w:val="22"/>
          <w:lang w:val="sl-SI" w:eastAsia="ar-SA"/>
        </w:rPr>
      </w:pPr>
    </w:p>
    <w:p w14:paraId="18239DA2" w14:textId="77777777" w:rsidR="00987E1E" w:rsidRPr="00987E1E" w:rsidRDefault="00987E1E" w:rsidP="001F1094">
      <w:pPr>
        <w:suppressAutoHyphens/>
        <w:rPr>
          <w:color w:val="000000"/>
          <w:sz w:val="22"/>
          <w:szCs w:val="22"/>
          <w:lang w:val="sl-SI" w:eastAsia="ar-SA"/>
        </w:rPr>
      </w:pPr>
      <w:r w:rsidRPr="00987E1E">
        <w:rPr>
          <w:color w:val="000000"/>
          <w:sz w:val="22"/>
          <w:szCs w:val="22"/>
          <w:lang w:val="sl-SI" w:eastAsia="ar-SA"/>
        </w:rPr>
        <w:t>Lek Pharmaceuticals d.d</w:t>
      </w:r>
      <w:r w:rsidR="00B34807">
        <w:rPr>
          <w:color w:val="000000"/>
          <w:sz w:val="22"/>
          <w:szCs w:val="22"/>
          <w:lang w:val="sl-SI" w:eastAsia="ar-SA"/>
        </w:rPr>
        <w:t>.</w:t>
      </w:r>
      <w:r w:rsidRPr="00987E1E">
        <w:rPr>
          <w:color w:val="000000"/>
          <w:sz w:val="22"/>
          <w:szCs w:val="22"/>
          <w:lang w:val="sl-SI" w:eastAsia="ar-SA"/>
        </w:rPr>
        <w:t xml:space="preserve"> </w:t>
      </w:r>
    </w:p>
    <w:p w14:paraId="296316E3" w14:textId="77777777" w:rsidR="00987E1E" w:rsidRPr="00987E1E" w:rsidRDefault="00987E1E" w:rsidP="001F1094">
      <w:pPr>
        <w:suppressAutoHyphens/>
        <w:rPr>
          <w:color w:val="000000"/>
          <w:sz w:val="22"/>
          <w:szCs w:val="22"/>
          <w:lang w:val="sl-SI" w:eastAsia="ar-SA"/>
        </w:rPr>
      </w:pPr>
      <w:r w:rsidRPr="00987E1E">
        <w:rPr>
          <w:color w:val="000000"/>
          <w:sz w:val="22"/>
          <w:szCs w:val="22"/>
          <w:lang w:val="sl-SI" w:eastAsia="ar-SA"/>
        </w:rPr>
        <w:t>Verovškova 57</w:t>
      </w:r>
    </w:p>
    <w:p w14:paraId="5971BD6F" w14:textId="77777777" w:rsidR="00987E1E" w:rsidRPr="00987E1E" w:rsidRDefault="00987E1E" w:rsidP="001F1094">
      <w:pPr>
        <w:suppressAutoHyphens/>
        <w:rPr>
          <w:color w:val="000000"/>
          <w:sz w:val="22"/>
          <w:szCs w:val="22"/>
          <w:lang w:val="sl-SI" w:eastAsia="ar-SA"/>
        </w:rPr>
      </w:pPr>
      <w:r w:rsidRPr="00987E1E">
        <w:rPr>
          <w:color w:val="000000"/>
          <w:sz w:val="22"/>
          <w:szCs w:val="22"/>
          <w:lang w:val="sl-SI" w:eastAsia="ar-SA"/>
        </w:rPr>
        <w:t>1526 Ljubljana</w:t>
      </w:r>
    </w:p>
    <w:p w14:paraId="7B7D2349" w14:textId="77777777" w:rsidR="00987E1E" w:rsidRPr="00987E1E" w:rsidRDefault="00987E1E" w:rsidP="001F1094">
      <w:pPr>
        <w:suppressAutoHyphens/>
        <w:rPr>
          <w:rFonts w:eastAsia="Calibri"/>
          <w:color w:val="000000"/>
          <w:sz w:val="22"/>
          <w:szCs w:val="22"/>
          <w:shd w:val="clear" w:color="auto" w:fill="FFFF00"/>
          <w:lang w:val="sl-SI" w:eastAsia="ar-SA"/>
        </w:rPr>
      </w:pPr>
      <w:r w:rsidRPr="00987E1E">
        <w:rPr>
          <w:color w:val="000000"/>
          <w:sz w:val="22"/>
          <w:szCs w:val="22"/>
          <w:lang w:val="sl-SI" w:eastAsia="ar-SA"/>
        </w:rPr>
        <w:t>Slovėnija</w:t>
      </w:r>
    </w:p>
    <w:p w14:paraId="0ABFB12B" w14:textId="77777777" w:rsidR="00987E1E" w:rsidRDefault="00987E1E" w:rsidP="001F1094">
      <w:pPr>
        <w:suppressAutoHyphens/>
        <w:rPr>
          <w:rFonts w:eastAsia="SimSun"/>
          <w:color w:val="000000"/>
          <w:sz w:val="22"/>
          <w:szCs w:val="22"/>
          <w:u w:val="single"/>
          <w:lang w:val="sl-SI" w:eastAsia="ar-SA"/>
        </w:rPr>
      </w:pPr>
    </w:p>
    <w:p w14:paraId="76FC65A8" w14:textId="77777777" w:rsidR="00987E1E" w:rsidRPr="00987E1E" w:rsidRDefault="00987E1E" w:rsidP="001F1094">
      <w:pPr>
        <w:suppressAutoHyphens/>
        <w:rPr>
          <w:rFonts w:eastAsia="SimSun"/>
          <w:color w:val="000000"/>
          <w:sz w:val="22"/>
          <w:szCs w:val="22"/>
          <w:lang w:val="sl-SI" w:eastAsia="ar-SA"/>
        </w:rPr>
      </w:pPr>
      <w:r w:rsidRPr="00987E1E">
        <w:rPr>
          <w:rFonts w:eastAsia="SimSun"/>
          <w:color w:val="000000"/>
          <w:sz w:val="22"/>
          <w:szCs w:val="22"/>
          <w:lang w:val="sl-SI" w:eastAsia="ar-SA"/>
        </w:rPr>
        <w:t>arba</w:t>
      </w:r>
    </w:p>
    <w:p w14:paraId="4BD4D039" w14:textId="77777777" w:rsidR="00987E1E" w:rsidRPr="00987E1E" w:rsidRDefault="00987E1E" w:rsidP="001F1094">
      <w:pPr>
        <w:suppressAutoHyphens/>
        <w:rPr>
          <w:rFonts w:eastAsia="SimSun"/>
          <w:color w:val="000000"/>
          <w:sz w:val="22"/>
          <w:szCs w:val="22"/>
          <w:u w:val="single"/>
          <w:lang w:val="sl-SI" w:eastAsia="ar-SA"/>
        </w:rPr>
      </w:pPr>
    </w:p>
    <w:p w14:paraId="3E44EDA7" w14:textId="77777777" w:rsidR="00987E1E" w:rsidRPr="00987E1E" w:rsidRDefault="00987E1E" w:rsidP="001F1094">
      <w:pPr>
        <w:suppressAutoHyphens/>
        <w:rPr>
          <w:color w:val="000000"/>
          <w:sz w:val="22"/>
          <w:szCs w:val="22"/>
          <w:lang w:val="sl-SI" w:eastAsia="ar-SA"/>
        </w:rPr>
      </w:pPr>
      <w:r w:rsidRPr="00987E1E">
        <w:rPr>
          <w:color w:val="000000"/>
          <w:sz w:val="22"/>
          <w:szCs w:val="22"/>
          <w:lang w:val="sl-SI" w:eastAsia="ar-SA"/>
        </w:rPr>
        <w:t>Remedica Ltd.</w:t>
      </w:r>
    </w:p>
    <w:p w14:paraId="755DFC6D" w14:textId="77777777" w:rsidR="00987E1E" w:rsidRPr="00987E1E" w:rsidRDefault="00987E1E" w:rsidP="001F1094">
      <w:pPr>
        <w:suppressAutoHyphens/>
        <w:rPr>
          <w:color w:val="000000"/>
          <w:sz w:val="22"/>
          <w:szCs w:val="22"/>
          <w:lang w:val="sl-SI" w:eastAsia="ar-SA"/>
        </w:rPr>
      </w:pPr>
      <w:r w:rsidRPr="00987E1E">
        <w:rPr>
          <w:color w:val="000000"/>
          <w:sz w:val="22"/>
          <w:szCs w:val="22"/>
          <w:lang w:val="sl-SI" w:eastAsia="ar-SA"/>
        </w:rPr>
        <w:t>Aharnon Street, Limassol Industrial Estate</w:t>
      </w:r>
    </w:p>
    <w:p w14:paraId="31A9DCDB" w14:textId="77777777" w:rsidR="00987E1E" w:rsidRPr="00987E1E" w:rsidRDefault="00987E1E" w:rsidP="001F1094">
      <w:pPr>
        <w:suppressAutoHyphens/>
        <w:rPr>
          <w:color w:val="000000"/>
          <w:sz w:val="22"/>
          <w:szCs w:val="22"/>
          <w:lang w:val="sl-SI" w:eastAsia="ar-SA"/>
        </w:rPr>
      </w:pPr>
      <w:r w:rsidRPr="00987E1E">
        <w:rPr>
          <w:color w:val="000000"/>
          <w:sz w:val="22"/>
          <w:szCs w:val="22"/>
          <w:lang w:val="sl-SI" w:eastAsia="ar-SA"/>
        </w:rPr>
        <w:t>3056 Limassol</w:t>
      </w:r>
    </w:p>
    <w:p w14:paraId="5C8A8FC1" w14:textId="632B127D" w:rsidR="00987E1E" w:rsidRPr="0007561E" w:rsidRDefault="00987E1E" w:rsidP="001F1094">
      <w:pPr>
        <w:suppressAutoHyphens/>
        <w:rPr>
          <w:color w:val="000000"/>
          <w:sz w:val="22"/>
          <w:lang w:val="sl-SI"/>
        </w:rPr>
      </w:pPr>
      <w:r w:rsidRPr="00987E1E">
        <w:rPr>
          <w:color w:val="000000"/>
          <w:sz w:val="22"/>
          <w:szCs w:val="22"/>
          <w:lang w:val="sl-SI" w:eastAsia="ar-SA"/>
        </w:rPr>
        <w:t>Kipras</w:t>
      </w:r>
    </w:p>
    <w:p w14:paraId="06712971" w14:textId="1AFBFE34" w:rsidR="003C4F0A" w:rsidRPr="0007561E" w:rsidRDefault="003C4F0A" w:rsidP="001F1094">
      <w:pPr>
        <w:suppressAutoHyphens/>
        <w:rPr>
          <w:color w:val="000000"/>
          <w:sz w:val="22"/>
          <w:lang w:val="sl-SI"/>
        </w:rPr>
      </w:pPr>
    </w:p>
    <w:p w14:paraId="5053DB5E" w14:textId="39A0E09E" w:rsidR="003C4F0A" w:rsidRDefault="003C4F0A" w:rsidP="001F1094">
      <w:pPr>
        <w:suppressAutoHyphens/>
        <w:rPr>
          <w:color w:val="000000"/>
          <w:sz w:val="22"/>
          <w:szCs w:val="22"/>
          <w:lang w:val="sl-SI" w:eastAsia="ar-SA"/>
        </w:rPr>
      </w:pPr>
      <w:r>
        <w:rPr>
          <w:color w:val="000000"/>
          <w:sz w:val="22"/>
          <w:szCs w:val="22"/>
          <w:lang w:val="sl-SI" w:eastAsia="ar-SA"/>
        </w:rPr>
        <w:t>arba</w:t>
      </w:r>
    </w:p>
    <w:p w14:paraId="38D4A48F" w14:textId="12EE20D0" w:rsidR="003C4F0A" w:rsidRDefault="003C4F0A" w:rsidP="001F1094">
      <w:pPr>
        <w:suppressAutoHyphens/>
        <w:rPr>
          <w:color w:val="000000"/>
          <w:sz w:val="22"/>
          <w:szCs w:val="22"/>
          <w:lang w:val="sl-SI" w:eastAsia="ar-SA"/>
        </w:rPr>
      </w:pPr>
    </w:p>
    <w:p w14:paraId="59B301E5" w14:textId="1F66BCE9" w:rsidR="003C4F0A" w:rsidRPr="007E1172" w:rsidRDefault="003C4F0A" w:rsidP="001F1094">
      <w:pPr>
        <w:suppressAutoHyphens/>
        <w:rPr>
          <w:color w:val="000000"/>
          <w:sz w:val="22"/>
          <w:szCs w:val="22"/>
          <w:lang w:val="sl-SI" w:eastAsia="ar-SA"/>
        </w:rPr>
      </w:pPr>
      <w:r w:rsidRPr="003C4F0A">
        <w:rPr>
          <w:color w:val="000000"/>
          <w:sz w:val="22"/>
          <w:szCs w:val="22"/>
          <w:lang w:val="sl-SI" w:eastAsia="ar-SA"/>
        </w:rPr>
        <w:t>PharOS MT Ltd.</w:t>
      </w:r>
    </w:p>
    <w:p w14:paraId="5C2F8FF0" w14:textId="377077D5" w:rsidR="003C4F0A" w:rsidRDefault="003C4F0A" w:rsidP="001F1094">
      <w:pPr>
        <w:suppressAutoHyphens/>
        <w:rPr>
          <w:color w:val="000000"/>
          <w:sz w:val="22"/>
          <w:szCs w:val="22"/>
          <w:lang w:val="sl-SI" w:eastAsia="ar-SA"/>
        </w:rPr>
      </w:pPr>
      <w:r w:rsidRPr="007E1172">
        <w:rPr>
          <w:color w:val="000000"/>
          <w:sz w:val="22"/>
          <w:szCs w:val="22"/>
          <w:lang w:val="sl-SI" w:eastAsia="ar-SA"/>
        </w:rPr>
        <w:t>H</w:t>
      </w:r>
      <w:r w:rsidRPr="003C4F0A">
        <w:rPr>
          <w:color w:val="000000"/>
          <w:sz w:val="22"/>
          <w:szCs w:val="22"/>
          <w:lang w:val="sl-SI" w:eastAsia="ar-SA"/>
        </w:rPr>
        <w:t>F62X, Hal Far Industrial Estate</w:t>
      </w:r>
      <w:r w:rsidRPr="007E1172">
        <w:rPr>
          <w:color w:val="000000"/>
          <w:sz w:val="22"/>
          <w:szCs w:val="22"/>
          <w:lang w:val="sl-SI" w:eastAsia="ar-SA"/>
        </w:rPr>
        <w:t xml:space="preserve"> </w:t>
      </w:r>
    </w:p>
    <w:p w14:paraId="7C470328" w14:textId="71DB266D" w:rsidR="003C4F0A" w:rsidRDefault="003C4F0A" w:rsidP="001F1094">
      <w:pPr>
        <w:suppressAutoHyphens/>
        <w:rPr>
          <w:color w:val="000000"/>
          <w:sz w:val="22"/>
          <w:szCs w:val="22"/>
          <w:lang w:val="sl-SI" w:eastAsia="ar-SA"/>
        </w:rPr>
      </w:pPr>
      <w:r w:rsidRPr="003C4F0A">
        <w:rPr>
          <w:color w:val="000000"/>
          <w:sz w:val="22"/>
          <w:szCs w:val="22"/>
          <w:lang w:val="sl-SI" w:eastAsia="ar-SA"/>
        </w:rPr>
        <w:t>Birzebbugia BBG3000</w:t>
      </w:r>
      <w:r w:rsidRPr="007E1172">
        <w:rPr>
          <w:color w:val="000000"/>
          <w:sz w:val="22"/>
          <w:szCs w:val="22"/>
          <w:lang w:val="sl-SI" w:eastAsia="ar-SA"/>
        </w:rPr>
        <w:t xml:space="preserve"> </w:t>
      </w:r>
    </w:p>
    <w:p w14:paraId="546D9478" w14:textId="6A2082CE" w:rsidR="003C4F0A" w:rsidRPr="007E1172" w:rsidRDefault="003C4F0A" w:rsidP="001F1094">
      <w:pPr>
        <w:suppressAutoHyphens/>
        <w:rPr>
          <w:color w:val="000000"/>
          <w:sz w:val="22"/>
          <w:szCs w:val="22"/>
          <w:lang w:val="sl-SI" w:eastAsia="ar-SA"/>
        </w:rPr>
      </w:pPr>
      <w:r w:rsidRPr="007E1172">
        <w:rPr>
          <w:color w:val="000000"/>
          <w:sz w:val="22"/>
          <w:szCs w:val="22"/>
          <w:lang w:val="sl-SI" w:eastAsia="ar-SA"/>
        </w:rPr>
        <w:t>Malta</w:t>
      </w:r>
    </w:p>
    <w:p w14:paraId="4AB9C2EB" w14:textId="77777777" w:rsidR="00987E1E" w:rsidRPr="00987E1E" w:rsidRDefault="00987E1E" w:rsidP="001F1094">
      <w:pPr>
        <w:suppressAutoHyphens/>
        <w:rPr>
          <w:rFonts w:eastAsia="Calibri"/>
          <w:color w:val="000000"/>
          <w:sz w:val="22"/>
          <w:szCs w:val="22"/>
          <w:shd w:val="clear" w:color="auto" w:fill="FFFF00"/>
          <w:lang w:val="sl-SI" w:eastAsia="ar-SA"/>
        </w:rPr>
      </w:pPr>
    </w:p>
    <w:p w14:paraId="5377891C" w14:textId="77777777" w:rsidR="00987E1E" w:rsidRPr="00987E1E" w:rsidRDefault="00987E1E" w:rsidP="001F1094">
      <w:pPr>
        <w:suppressAutoHyphens/>
        <w:rPr>
          <w:rFonts w:eastAsia="Calibri"/>
          <w:color w:val="000000"/>
          <w:sz w:val="22"/>
          <w:szCs w:val="22"/>
          <w:lang w:val="sl-SI" w:eastAsia="ar-SA"/>
        </w:rPr>
      </w:pPr>
      <w:r w:rsidRPr="00987E1E">
        <w:rPr>
          <w:rFonts w:eastAsia="Calibri"/>
          <w:color w:val="000000"/>
          <w:sz w:val="22"/>
          <w:szCs w:val="22"/>
          <w:lang w:val="sl-SI" w:eastAsia="ar-SA"/>
        </w:rPr>
        <w:t>Su pakuote pateikiamame lapelyje nurodomas gamintojo, atsakingo už konkrečios serijos išleidimą, pavadinimas ir adresas.</w:t>
      </w:r>
    </w:p>
    <w:p w14:paraId="2BD3EBE9" w14:textId="77777777" w:rsidR="00EF20DC" w:rsidRPr="00987E1E" w:rsidRDefault="00EF20DC" w:rsidP="001F1094">
      <w:pPr>
        <w:tabs>
          <w:tab w:val="left" w:pos="567"/>
        </w:tabs>
        <w:rPr>
          <w:rFonts w:eastAsia="Calibri"/>
          <w:snapToGrid w:val="0"/>
          <w:sz w:val="22"/>
          <w:szCs w:val="22"/>
          <w:lang w:val="sl-SI" w:eastAsia="lt-LT"/>
        </w:rPr>
      </w:pPr>
    </w:p>
    <w:p w14:paraId="7C0E2355" w14:textId="77777777" w:rsidR="00EF20DC" w:rsidRPr="00EF20DC" w:rsidRDefault="00EF20DC" w:rsidP="001F1094">
      <w:pPr>
        <w:tabs>
          <w:tab w:val="left" w:pos="567"/>
        </w:tabs>
        <w:rPr>
          <w:rFonts w:eastAsia="SimSun"/>
          <w:b/>
          <w:sz w:val="22"/>
          <w:szCs w:val="22"/>
          <w:lang w:eastAsia="zh-CN"/>
        </w:rPr>
      </w:pPr>
    </w:p>
    <w:p w14:paraId="456E5DFA" w14:textId="77777777" w:rsidR="00EF20DC" w:rsidRPr="00EF20DC" w:rsidRDefault="00EF20DC" w:rsidP="001F1094">
      <w:pPr>
        <w:suppressLineNumbers/>
        <w:tabs>
          <w:tab w:val="left" w:pos="567"/>
        </w:tabs>
        <w:ind w:left="567" w:hanging="567"/>
        <w:rPr>
          <w:rFonts w:eastAsia="SimSun"/>
          <w:sz w:val="22"/>
          <w:szCs w:val="22"/>
          <w:lang w:eastAsia="zh-CN"/>
        </w:rPr>
      </w:pPr>
      <w:r w:rsidRPr="00EF20DC">
        <w:rPr>
          <w:rFonts w:eastAsia="SimSun"/>
          <w:b/>
          <w:sz w:val="22"/>
          <w:szCs w:val="22"/>
          <w:lang w:eastAsia="zh-CN"/>
        </w:rPr>
        <w:t>B.</w:t>
      </w:r>
      <w:r w:rsidRPr="00EF20DC">
        <w:rPr>
          <w:rFonts w:eastAsia="SimSun"/>
          <w:b/>
          <w:sz w:val="22"/>
          <w:szCs w:val="22"/>
          <w:lang w:eastAsia="zh-CN"/>
        </w:rPr>
        <w:tab/>
        <w:t>TIEKIMO IR VARTOJIMO SĄLYGOS AR APRIBOJIMAI</w:t>
      </w:r>
    </w:p>
    <w:p w14:paraId="36182174" w14:textId="77777777" w:rsidR="00EF20DC" w:rsidRPr="00EF20DC" w:rsidRDefault="00EF20DC" w:rsidP="001F1094">
      <w:pPr>
        <w:tabs>
          <w:tab w:val="left" w:pos="567"/>
        </w:tabs>
        <w:rPr>
          <w:rFonts w:eastAsia="SimSun"/>
          <w:sz w:val="22"/>
          <w:szCs w:val="22"/>
          <w:lang w:eastAsia="zh-CN"/>
        </w:rPr>
      </w:pPr>
    </w:p>
    <w:p w14:paraId="56C82C9E" w14:textId="77777777" w:rsidR="00EF20DC" w:rsidRPr="00EF20DC" w:rsidRDefault="00EF20DC" w:rsidP="001F1094">
      <w:pPr>
        <w:tabs>
          <w:tab w:val="left" w:pos="567"/>
        </w:tabs>
        <w:spacing w:line="260" w:lineRule="exact"/>
        <w:rPr>
          <w:snapToGrid w:val="0"/>
          <w:sz w:val="22"/>
          <w:szCs w:val="22"/>
        </w:rPr>
      </w:pPr>
      <w:r w:rsidRPr="00EF20DC">
        <w:rPr>
          <w:snapToGrid w:val="0"/>
          <w:sz w:val="22"/>
          <w:szCs w:val="22"/>
        </w:rPr>
        <w:t>Receptinis vaistinis preparatas.</w:t>
      </w:r>
    </w:p>
    <w:p w14:paraId="58647C31" w14:textId="77777777" w:rsidR="00EF20DC" w:rsidRPr="00EF20DC" w:rsidRDefault="00EF20DC" w:rsidP="001F1094">
      <w:pPr>
        <w:tabs>
          <w:tab w:val="left" w:pos="567"/>
        </w:tabs>
        <w:rPr>
          <w:rFonts w:eastAsia="SimSun"/>
          <w:sz w:val="22"/>
          <w:szCs w:val="22"/>
          <w:lang w:eastAsia="zh-CN"/>
        </w:rPr>
      </w:pPr>
    </w:p>
    <w:p w14:paraId="21FD58FE" w14:textId="77777777" w:rsidR="00EF20DC" w:rsidRPr="00EF20DC" w:rsidRDefault="00EF20DC" w:rsidP="001F1094">
      <w:pPr>
        <w:tabs>
          <w:tab w:val="left" w:pos="567"/>
        </w:tabs>
        <w:rPr>
          <w:rFonts w:eastAsia="SimSun"/>
          <w:sz w:val="22"/>
          <w:szCs w:val="22"/>
          <w:lang w:eastAsia="zh-CN"/>
        </w:rPr>
      </w:pPr>
    </w:p>
    <w:p w14:paraId="0F4BBF0D" w14:textId="77777777" w:rsidR="00EF20DC" w:rsidRPr="00EF20DC" w:rsidRDefault="00EF20DC" w:rsidP="001F1094">
      <w:pPr>
        <w:tabs>
          <w:tab w:val="left" w:pos="567"/>
        </w:tabs>
        <w:rPr>
          <w:rFonts w:eastAsia="SimSun"/>
          <w:sz w:val="22"/>
          <w:szCs w:val="22"/>
          <w:lang w:eastAsia="zh-CN"/>
        </w:rPr>
      </w:pPr>
      <w:r w:rsidRPr="00EF20DC">
        <w:rPr>
          <w:rFonts w:eastAsia="SimSun"/>
          <w:sz w:val="22"/>
          <w:szCs w:val="22"/>
          <w:lang w:eastAsia="zh-CN"/>
        </w:rPr>
        <w:br w:type="page"/>
      </w:r>
    </w:p>
    <w:p w14:paraId="67ED00BB" w14:textId="77777777" w:rsidR="00EF20DC" w:rsidRPr="00EF20DC" w:rsidRDefault="00EF20DC" w:rsidP="001F1094">
      <w:pPr>
        <w:tabs>
          <w:tab w:val="left" w:pos="567"/>
        </w:tabs>
        <w:rPr>
          <w:rFonts w:eastAsia="SimSun"/>
          <w:sz w:val="22"/>
          <w:szCs w:val="22"/>
          <w:lang w:eastAsia="zh-CN"/>
        </w:rPr>
      </w:pPr>
    </w:p>
    <w:p w14:paraId="0A41E9D1" w14:textId="77777777" w:rsidR="00EF20DC" w:rsidRPr="00EF20DC" w:rsidRDefault="00EF20DC" w:rsidP="001F1094">
      <w:pPr>
        <w:tabs>
          <w:tab w:val="left" w:pos="567"/>
        </w:tabs>
        <w:rPr>
          <w:rFonts w:eastAsia="SimSun"/>
          <w:sz w:val="22"/>
          <w:szCs w:val="22"/>
          <w:lang w:eastAsia="zh-CN"/>
        </w:rPr>
      </w:pPr>
    </w:p>
    <w:p w14:paraId="1DB3AF46" w14:textId="77777777" w:rsidR="00EF20DC" w:rsidRPr="00EF20DC" w:rsidRDefault="00EF20DC" w:rsidP="001F1094">
      <w:pPr>
        <w:tabs>
          <w:tab w:val="left" w:pos="567"/>
        </w:tabs>
        <w:rPr>
          <w:rFonts w:eastAsia="SimSun"/>
          <w:sz w:val="22"/>
          <w:szCs w:val="22"/>
          <w:lang w:eastAsia="zh-CN"/>
        </w:rPr>
      </w:pPr>
    </w:p>
    <w:p w14:paraId="1157DAB0" w14:textId="77777777" w:rsidR="00EF20DC" w:rsidRPr="00EF20DC" w:rsidRDefault="00EF20DC" w:rsidP="001F1094">
      <w:pPr>
        <w:tabs>
          <w:tab w:val="left" w:pos="567"/>
        </w:tabs>
        <w:rPr>
          <w:rFonts w:eastAsia="SimSun"/>
          <w:sz w:val="22"/>
          <w:szCs w:val="22"/>
          <w:lang w:eastAsia="zh-CN"/>
        </w:rPr>
      </w:pPr>
    </w:p>
    <w:p w14:paraId="726D45A3" w14:textId="77777777" w:rsidR="00EF20DC" w:rsidRPr="00EF20DC" w:rsidRDefault="00EF20DC" w:rsidP="001F1094">
      <w:pPr>
        <w:tabs>
          <w:tab w:val="left" w:pos="567"/>
        </w:tabs>
        <w:rPr>
          <w:rFonts w:eastAsia="SimSun"/>
          <w:sz w:val="22"/>
          <w:szCs w:val="22"/>
          <w:lang w:eastAsia="zh-CN"/>
        </w:rPr>
      </w:pPr>
    </w:p>
    <w:p w14:paraId="651564CA" w14:textId="77777777" w:rsidR="00EF20DC" w:rsidRPr="00EF20DC" w:rsidRDefault="00EF20DC" w:rsidP="001F1094">
      <w:pPr>
        <w:tabs>
          <w:tab w:val="left" w:pos="567"/>
        </w:tabs>
        <w:rPr>
          <w:rFonts w:eastAsia="SimSun"/>
          <w:sz w:val="22"/>
          <w:szCs w:val="22"/>
          <w:lang w:eastAsia="zh-CN"/>
        </w:rPr>
      </w:pPr>
    </w:p>
    <w:p w14:paraId="00C88CDA" w14:textId="77777777" w:rsidR="00EF20DC" w:rsidRPr="00EF20DC" w:rsidRDefault="00EF20DC" w:rsidP="001F1094">
      <w:pPr>
        <w:tabs>
          <w:tab w:val="left" w:pos="567"/>
        </w:tabs>
        <w:rPr>
          <w:rFonts w:eastAsia="SimSun"/>
          <w:sz w:val="22"/>
          <w:szCs w:val="22"/>
          <w:lang w:eastAsia="zh-CN"/>
        </w:rPr>
      </w:pPr>
    </w:p>
    <w:p w14:paraId="28D03727" w14:textId="77777777" w:rsidR="00EF20DC" w:rsidRPr="00EF20DC" w:rsidRDefault="00EF20DC" w:rsidP="001F1094">
      <w:pPr>
        <w:tabs>
          <w:tab w:val="left" w:pos="567"/>
        </w:tabs>
        <w:rPr>
          <w:rFonts w:eastAsia="SimSun"/>
          <w:sz w:val="22"/>
          <w:szCs w:val="22"/>
          <w:lang w:eastAsia="zh-CN"/>
        </w:rPr>
      </w:pPr>
    </w:p>
    <w:p w14:paraId="56E0903C" w14:textId="77777777" w:rsidR="00EF20DC" w:rsidRPr="00EF20DC" w:rsidRDefault="00EF20DC" w:rsidP="001F1094">
      <w:pPr>
        <w:tabs>
          <w:tab w:val="left" w:pos="567"/>
        </w:tabs>
        <w:rPr>
          <w:rFonts w:eastAsia="SimSun"/>
          <w:sz w:val="22"/>
          <w:szCs w:val="22"/>
          <w:lang w:eastAsia="zh-CN"/>
        </w:rPr>
      </w:pPr>
    </w:p>
    <w:p w14:paraId="000A3491" w14:textId="77777777" w:rsidR="00EF20DC" w:rsidRPr="00EF20DC" w:rsidRDefault="00EF20DC" w:rsidP="001F1094">
      <w:pPr>
        <w:tabs>
          <w:tab w:val="left" w:pos="567"/>
        </w:tabs>
        <w:rPr>
          <w:rFonts w:eastAsia="SimSun"/>
          <w:sz w:val="22"/>
          <w:szCs w:val="22"/>
          <w:lang w:eastAsia="zh-CN"/>
        </w:rPr>
      </w:pPr>
    </w:p>
    <w:p w14:paraId="228F438B" w14:textId="77777777" w:rsidR="00EF20DC" w:rsidRPr="00EF20DC" w:rsidRDefault="00EF20DC" w:rsidP="001F1094">
      <w:pPr>
        <w:tabs>
          <w:tab w:val="left" w:pos="567"/>
        </w:tabs>
        <w:rPr>
          <w:rFonts w:eastAsia="SimSun"/>
          <w:sz w:val="22"/>
          <w:szCs w:val="22"/>
          <w:lang w:eastAsia="zh-CN"/>
        </w:rPr>
      </w:pPr>
    </w:p>
    <w:p w14:paraId="6D1EED0F" w14:textId="77777777" w:rsidR="00EF20DC" w:rsidRPr="00EF20DC" w:rsidRDefault="00EF20DC" w:rsidP="001F1094">
      <w:pPr>
        <w:tabs>
          <w:tab w:val="left" w:pos="567"/>
        </w:tabs>
        <w:rPr>
          <w:rFonts w:eastAsia="SimSun"/>
          <w:sz w:val="22"/>
          <w:szCs w:val="22"/>
          <w:lang w:eastAsia="zh-CN"/>
        </w:rPr>
      </w:pPr>
    </w:p>
    <w:p w14:paraId="56793D74" w14:textId="77777777" w:rsidR="00EF20DC" w:rsidRPr="00EF20DC" w:rsidRDefault="00EF20DC" w:rsidP="001F1094">
      <w:pPr>
        <w:tabs>
          <w:tab w:val="left" w:pos="567"/>
        </w:tabs>
        <w:rPr>
          <w:rFonts w:eastAsia="SimSun"/>
          <w:sz w:val="22"/>
          <w:szCs w:val="22"/>
          <w:lang w:eastAsia="zh-CN"/>
        </w:rPr>
      </w:pPr>
    </w:p>
    <w:p w14:paraId="04375F4A" w14:textId="77777777" w:rsidR="00EF20DC" w:rsidRPr="00EF20DC" w:rsidRDefault="00EF20DC" w:rsidP="001F1094">
      <w:pPr>
        <w:tabs>
          <w:tab w:val="left" w:pos="567"/>
        </w:tabs>
        <w:rPr>
          <w:rFonts w:eastAsia="SimSun"/>
          <w:sz w:val="22"/>
          <w:szCs w:val="22"/>
          <w:lang w:eastAsia="zh-CN"/>
        </w:rPr>
      </w:pPr>
    </w:p>
    <w:p w14:paraId="5B4F4CAF" w14:textId="77777777" w:rsidR="00EF20DC" w:rsidRPr="00EF20DC" w:rsidRDefault="00EF20DC" w:rsidP="001F1094">
      <w:pPr>
        <w:tabs>
          <w:tab w:val="left" w:pos="567"/>
        </w:tabs>
        <w:rPr>
          <w:rFonts w:eastAsia="SimSun"/>
          <w:sz w:val="22"/>
          <w:szCs w:val="22"/>
          <w:lang w:eastAsia="zh-CN"/>
        </w:rPr>
      </w:pPr>
    </w:p>
    <w:p w14:paraId="0C3DB543" w14:textId="77777777" w:rsidR="00EF20DC" w:rsidRPr="00EF20DC" w:rsidRDefault="00EF20DC" w:rsidP="001F1094">
      <w:pPr>
        <w:tabs>
          <w:tab w:val="left" w:pos="567"/>
        </w:tabs>
        <w:rPr>
          <w:rFonts w:eastAsia="SimSun"/>
          <w:sz w:val="22"/>
          <w:szCs w:val="22"/>
          <w:lang w:eastAsia="zh-CN"/>
        </w:rPr>
      </w:pPr>
    </w:p>
    <w:p w14:paraId="365F7D18" w14:textId="77777777" w:rsidR="00EF20DC" w:rsidRPr="00EF20DC" w:rsidRDefault="00EF20DC" w:rsidP="001F1094">
      <w:pPr>
        <w:tabs>
          <w:tab w:val="left" w:pos="567"/>
        </w:tabs>
        <w:rPr>
          <w:rFonts w:eastAsia="SimSun"/>
          <w:sz w:val="22"/>
          <w:szCs w:val="22"/>
          <w:lang w:eastAsia="zh-CN"/>
        </w:rPr>
      </w:pPr>
    </w:p>
    <w:p w14:paraId="084ECC93" w14:textId="77777777" w:rsidR="00EF20DC" w:rsidRPr="00EF20DC" w:rsidRDefault="00EF20DC" w:rsidP="001F1094">
      <w:pPr>
        <w:tabs>
          <w:tab w:val="left" w:pos="567"/>
        </w:tabs>
        <w:rPr>
          <w:rFonts w:eastAsia="SimSun"/>
          <w:sz w:val="22"/>
          <w:szCs w:val="22"/>
          <w:lang w:eastAsia="zh-CN"/>
        </w:rPr>
      </w:pPr>
    </w:p>
    <w:p w14:paraId="520AE87C" w14:textId="77777777" w:rsidR="00EF20DC" w:rsidRPr="00EF20DC" w:rsidRDefault="00EF20DC" w:rsidP="001F1094">
      <w:pPr>
        <w:tabs>
          <w:tab w:val="left" w:pos="567"/>
        </w:tabs>
        <w:rPr>
          <w:rFonts w:eastAsia="SimSun"/>
          <w:sz w:val="22"/>
          <w:szCs w:val="22"/>
          <w:lang w:eastAsia="zh-CN"/>
        </w:rPr>
      </w:pPr>
    </w:p>
    <w:p w14:paraId="0785C906" w14:textId="77777777" w:rsidR="00EF20DC" w:rsidRPr="00EF20DC" w:rsidRDefault="00EF20DC" w:rsidP="001F1094">
      <w:pPr>
        <w:tabs>
          <w:tab w:val="left" w:pos="567"/>
        </w:tabs>
        <w:rPr>
          <w:rFonts w:eastAsia="SimSun"/>
          <w:sz w:val="22"/>
          <w:szCs w:val="22"/>
          <w:lang w:eastAsia="zh-CN"/>
        </w:rPr>
      </w:pPr>
    </w:p>
    <w:p w14:paraId="327D94D7" w14:textId="77777777" w:rsidR="00EF20DC" w:rsidRPr="00EF20DC" w:rsidRDefault="00EF20DC" w:rsidP="001F1094">
      <w:pPr>
        <w:keepNext/>
        <w:tabs>
          <w:tab w:val="left" w:pos="567"/>
        </w:tabs>
        <w:jc w:val="center"/>
        <w:outlineLvl w:val="1"/>
        <w:rPr>
          <w:rFonts w:eastAsia="SimSun"/>
          <w:b/>
          <w:iCs/>
          <w:sz w:val="22"/>
          <w:szCs w:val="22"/>
        </w:rPr>
      </w:pPr>
    </w:p>
    <w:p w14:paraId="16C3D5A6" w14:textId="77777777" w:rsidR="00EF20DC" w:rsidRPr="00EF20DC" w:rsidRDefault="00EF20DC" w:rsidP="001F1094">
      <w:pPr>
        <w:keepNext/>
        <w:tabs>
          <w:tab w:val="left" w:pos="567"/>
        </w:tabs>
        <w:jc w:val="center"/>
        <w:outlineLvl w:val="1"/>
        <w:rPr>
          <w:rFonts w:eastAsia="SimSun"/>
          <w:b/>
          <w:iCs/>
          <w:sz w:val="22"/>
          <w:szCs w:val="22"/>
        </w:rPr>
      </w:pPr>
    </w:p>
    <w:p w14:paraId="71E7F71A" w14:textId="77777777" w:rsidR="00EF20DC" w:rsidRPr="00EF20DC" w:rsidRDefault="00EF20DC" w:rsidP="001F1094">
      <w:pPr>
        <w:keepNext/>
        <w:tabs>
          <w:tab w:val="left" w:pos="567"/>
        </w:tabs>
        <w:jc w:val="center"/>
        <w:outlineLvl w:val="1"/>
        <w:rPr>
          <w:rFonts w:eastAsia="SimSun"/>
          <w:b/>
          <w:iCs/>
          <w:sz w:val="22"/>
          <w:szCs w:val="22"/>
        </w:rPr>
      </w:pPr>
    </w:p>
    <w:p w14:paraId="6AFF8A51" w14:textId="77777777" w:rsidR="00EF20DC" w:rsidRPr="00EF20DC" w:rsidRDefault="00EF20DC" w:rsidP="001F1094">
      <w:pPr>
        <w:keepNext/>
        <w:tabs>
          <w:tab w:val="left" w:pos="567"/>
        </w:tabs>
        <w:jc w:val="center"/>
        <w:outlineLvl w:val="1"/>
        <w:rPr>
          <w:rFonts w:eastAsia="SimSun"/>
          <w:b/>
          <w:iCs/>
          <w:sz w:val="22"/>
          <w:szCs w:val="22"/>
        </w:rPr>
      </w:pPr>
      <w:r w:rsidRPr="00EF20DC">
        <w:rPr>
          <w:rFonts w:eastAsia="SimSun"/>
          <w:b/>
          <w:iCs/>
          <w:sz w:val="22"/>
          <w:szCs w:val="22"/>
        </w:rPr>
        <w:t>III PRIEDAS</w:t>
      </w:r>
    </w:p>
    <w:p w14:paraId="686A3897" w14:textId="77777777" w:rsidR="00EF20DC" w:rsidRPr="00EF20DC" w:rsidRDefault="00EF20DC" w:rsidP="001F1094">
      <w:pPr>
        <w:tabs>
          <w:tab w:val="left" w:pos="567"/>
        </w:tabs>
        <w:rPr>
          <w:rFonts w:eastAsia="SimSun"/>
          <w:sz w:val="22"/>
          <w:szCs w:val="22"/>
          <w:lang w:eastAsia="zh-CN"/>
        </w:rPr>
      </w:pPr>
    </w:p>
    <w:p w14:paraId="4E09D9BD" w14:textId="77777777" w:rsidR="00EF20DC" w:rsidRPr="00EF20DC" w:rsidRDefault="00EF20DC" w:rsidP="001F1094">
      <w:pPr>
        <w:keepNext/>
        <w:tabs>
          <w:tab w:val="left" w:pos="567"/>
        </w:tabs>
        <w:jc w:val="center"/>
        <w:outlineLvl w:val="1"/>
        <w:rPr>
          <w:rFonts w:eastAsia="SimSun"/>
          <w:b/>
          <w:iCs/>
          <w:sz w:val="22"/>
          <w:szCs w:val="22"/>
        </w:rPr>
      </w:pPr>
      <w:r w:rsidRPr="00EF20DC">
        <w:rPr>
          <w:rFonts w:eastAsia="SimSun"/>
          <w:b/>
          <w:iCs/>
          <w:sz w:val="22"/>
          <w:szCs w:val="22"/>
        </w:rPr>
        <w:t>ŽENKLINIMAS IR PAKUOTĖS LAPELIS</w:t>
      </w:r>
    </w:p>
    <w:p w14:paraId="6AF2FC2D" w14:textId="77777777" w:rsidR="00EF20DC" w:rsidRPr="00EF20DC" w:rsidRDefault="00EF20DC" w:rsidP="001F1094">
      <w:pPr>
        <w:tabs>
          <w:tab w:val="left" w:pos="567"/>
        </w:tabs>
        <w:rPr>
          <w:rFonts w:eastAsia="SimSun"/>
          <w:sz w:val="22"/>
          <w:szCs w:val="22"/>
          <w:lang w:eastAsia="zh-CN"/>
        </w:rPr>
      </w:pPr>
      <w:r w:rsidRPr="00EF20DC">
        <w:rPr>
          <w:rFonts w:eastAsia="SimSun"/>
          <w:sz w:val="22"/>
          <w:szCs w:val="22"/>
          <w:lang w:eastAsia="zh-CN"/>
        </w:rPr>
        <w:br w:type="page"/>
      </w:r>
    </w:p>
    <w:p w14:paraId="06C1465C" w14:textId="77777777" w:rsidR="00EF20DC" w:rsidRPr="00EF20DC" w:rsidRDefault="00EF20DC" w:rsidP="001F1094">
      <w:pPr>
        <w:tabs>
          <w:tab w:val="left" w:pos="567"/>
        </w:tabs>
        <w:rPr>
          <w:rFonts w:eastAsia="SimSun"/>
          <w:sz w:val="22"/>
          <w:szCs w:val="22"/>
          <w:lang w:eastAsia="zh-CN"/>
        </w:rPr>
      </w:pPr>
    </w:p>
    <w:p w14:paraId="3FB4DC36" w14:textId="77777777" w:rsidR="00EF20DC" w:rsidRPr="00EF20DC" w:rsidRDefault="00EF20DC" w:rsidP="001F1094">
      <w:pPr>
        <w:tabs>
          <w:tab w:val="left" w:pos="567"/>
        </w:tabs>
        <w:rPr>
          <w:rFonts w:eastAsia="SimSun"/>
          <w:sz w:val="22"/>
          <w:szCs w:val="22"/>
          <w:lang w:eastAsia="zh-CN"/>
        </w:rPr>
      </w:pPr>
    </w:p>
    <w:p w14:paraId="1870E494" w14:textId="77777777" w:rsidR="00EF20DC" w:rsidRPr="00EF20DC" w:rsidRDefault="00EF20DC" w:rsidP="001F1094">
      <w:pPr>
        <w:tabs>
          <w:tab w:val="left" w:pos="567"/>
        </w:tabs>
        <w:rPr>
          <w:rFonts w:eastAsia="SimSun"/>
          <w:sz w:val="22"/>
          <w:szCs w:val="22"/>
          <w:lang w:eastAsia="zh-CN"/>
        </w:rPr>
      </w:pPr>
    </w:p>
    <w:p w14:paraId="3DFDB6E4" w14:textId="77777777" w:rsidR="00EF20DC" w:rsidRPr="00EF20DC" w:rsidRDefault="00EF20DC" w:rsidP="001F1094">
      <w:pPr>
        <w:tabs>
          <w:tab w:val="left" w:pos="567"/>
        </w:tabs>
        <w:rPr>
          <w:rFonts w:eastAsia="SimSun"/>
          <w:sz w:val="22"/>
          <w:szCs w:val="22"/>
          <w:lang w:eastAsia="zh-CN"/>
        </w:rPr>
      </w:pPr>
    </w:p>
    <w:p w14:paraId="495E1A5A" w14:textId="77777777" w:rsidR="00EF20DC" w:rsidRPr="00EF20DC" w:rsidRDefault="00EF20DC" w:rsidP="001F1094">
      <w:pPr>
        <w:tabs>
          <w:tab w:val="left" w:pos="567"/>
        </w:tabs>
        <w:rPr>
          <w:rFonts w:eastAsia="SimSun"/>
          <w:sz w:val="22"/>
          <w:szCs w:val="22"/>
          <w:lang w:eastAsia="zh-CN"/>
        </w:rPr>
      </w:pPr>
    </w:p>
    <w:p w14:paraId="3A25BA26" w14:textId="77777777" w:rsidR="00EF20DC" w:rsidRPr="00EF20DC" w:rsidRDefault="00EF20DC" w:rsidP="001F1094">
      <w:pPr>
        <w:tabs>
          <w:tab w:val="left" w:pos="567"/>
        </w:tabs>
        <w:rPr>
          <w:rFonts w:eastAsia="SimSun"/>
          <w:sz w:val="22"/>
          <w:szCs w:val="22"/>
          <w:lang w:eastAsia="zh-CN"/>
        </w:rPr>
      </w:pPr>
    </w:p>
    <w:p w14:paraId="54631A45" w14:textId="77777777" w:rsidR="00EF20DC" w:rsidRPr="00EF20DC" w:rsidRDefault="00EF20DC" w:rsidP="001F1094">
      <w:pPr>
        <w:tabs>
          <w:tab w:val="left" w:pos="567"/>
        </w:tabs>
        <w:rPr>
          <w:rFonts w:eastAsia="SimSun"/>
          <w:sz w:val="22"/>
          <w:szCs w:val="22"/>
          <w:lang w:eastAsia="zh-CN"/>
        </w:rPr>
      </w:pPr>
    </w:p>
    <w:p w14:paraId="78F3BA6E" w14:textId="77777777" w:rsidR="00EF20DC" w:rsidRPr="00EF20DC" w:rsidRDefault="00EF20DC" w:rsidP="001F1094">
      <w:pPr>
        <w:tabs>
          <w:tab w:val="left" w:pos="567"/>
        </w:tabs>
        <w:rPr>
          <w:rFonts w:eastAsia="SimSun"/>
          <w:sz w:val="22"/>
          <w:szCs w:val="22"/>
          <w:lang w:eastAsia="zh-CN"/>
        </w:rPr>
      </w:pPr>
    </w:p>
    <w:p w14:paraId="39440758" w14:textId="77777777" w:rsidR="00EF20DC" w:rsidRPr="00EF20DC" w:rsidRDefault="00EF20DC" w:rsidP="001F1094">
      <w:pPr>
        <w:tabs>
          <w:tab w:val="left" w:pos="567"/>
        </w:tabs>
        <w:rPr>
          <w:rFonts w:eastAsia="SimSun"/>
          <w:sz w:val="22"/>
          <w:szCs w:val="22"/>
          <w:lang w:eastAsia="zh-CN"/>
        </w:rPr>
      </w:pPr>
    </w:p>
    <w:p w14:paraId="01DA9EB4" w14:textId="77777777" w:rsidR="00EF20DC" w:rsidRPr="00EF20DC" w:rsidRDefault="00EF20DC" w:rsidP="001F1094">
      <w:pPr>
        <w:tabs>
          <w:tab w:val="left" w:pos="567"/>
        </w:tabs>
        <w:rPr>
          <w:rFonts w:eastAsia="SimSun"/>
          <w:sz w:val="22"/>
          <w:szCs w:val="22"/>
          <w:lang w:eastAsia="zh-CN"/>
        </w:rPr>
      </w:pPr>
    </w:p>
    <w:p w14:paraId="3B0709CD" w14:textId="77777777" w:rsidR="00EF20DC" w:rsidRPr="00EF20DC" w:rsidRDefault="00EF20DC" w:rsidP="001F1094">
      <w:pPr>
        <w:tabs>
          <w:tab w:val="left" w:pos="567"/>
        </w:tabs>
        <w:rPr>
          <w:rFonts w:eastAsia="SimSun"/>
          <w:sz w:val="22"/>
          <w:szCs w:val="22"/>
          <w:lang w:eastAsia="zh-CN"/>
        </w:rPr>
      </w:pPr>
    </w:p>
    <w:p w14:paraId="180FCFF9" w14:textId="77777777" w:rsidR="00EF20DC" w:rsidRPr="00EF20DC" w:rsidRDefault="00EF20DC" w:rsidP="001F1094">
      <w:pPr>
        <w:tabs>
          <w:tab w:val="left" w:pos="567"/>
        </w:tabs>
        <w:rPr>
          <w:rFonts w:eastAsia="SimSun"/>
          <w:sz w:val="22"/>
          <w:szCs w:val="22"/>
          <w:lang w:eastAsia="zh-CN"/>
        </w:rPr>
      </w:pPr>
    </w:p>
    <w:p w14:paraId="31AA4D6A" w14:textId="77777777" w:rsidR="00EF20DC" w:rsidRPr="00EF20DC" w:rsidRDefault="00EF20DC" w:rsidP="001F1094">
      <w:pPr>
        <w:tabs>
          <w:tab w:val="left" w:pos="567"/>
        </w:tabs>
        <w:rPr>
          <w:rFonts w:eastAsia="SimSun"/>
          <w:sz w:val="22"/>
          <w:szCs w:val="22"/>
          <w:lang w:eastAsia="zh-CN"/>
        </w:rPr>
      </w:pPr>
    </w:p>
    <w:p w14:paraId="6D6899B2" w14:textId="77777777" w:rsidR="00EF20DC" w:rsidRPr="00EF20DC" w:rsidRDefault="00EF20DC" w:rsidP="001F1094">
      <w:pPr>
        <w:tabs>
          <w:tab w:val="left" w:pos="567"/>
        </w:tabs>
        <w:rPr>
          <w:rFonts w:eastAsia="SimSun"/>
          <w:sz w:val="22"/>
          <w:szCs w:val="22"/>
          <w:lang w:eastAsia="zh-CN"/>
        </w:rPr>
      </w:pPr>
    </w:p>
    <w:p w14:paraId="60DD38B9" w14:textId="77777777" w:rsidR="00EF20DC" w:rsidRPr="00EF20DC" w:rsidRDefault="00EF20DC" w:rsidP="001F1094">
      <w:pPr>
        <w:tabs>
          <w:tab w:val="left" w:pos="567"/>
        </w:tabs>
        <w:rPr>
          <w:rFonts w:eastAsia="SimSun"/>
          <w:sz w:val="22"/>
          <w:szCs w:val="22"/>
          <w:lang w:eastAsia="zh-CN"/>
        </w:rPr>
      </w:pPr>
    </w:p>
    <w:p w14:paraId="21D6032D" w14:textId="77777777" w:rsidR="00EF20DC" w:rsidRPr="00EF20DC" w:rsidRDefault="00EF20DC" w:rsidP="001F1094">
      <w:pPr>
        <w:tabs>
          <w:tab w:val="left" w:pos="567"/>
        </w:tabs>
        <w:rPr>
          <w:rFonts w:eastAsia="SimSun"/>
          <w:sz w:val="22"/>
          <w:szCs w:val="22"/>
          <w:lang w:eastAsia="zh-CN"/>
        </w:rPr>
      </w:pPr>
    </w:p>
    <w:p w14:paraId="2A449364" w14:textId="77777777" w:rsidR="00EF20DC" w:rsidRPr="00EF20DC" w:rsidRDefault="00EF20DC" w:rsidP="001F1094">
      <w:pPr>
        <w:tabs>
          <w:tab w:val="left" w:pos="567"/>
        </w:tabs>
        <w:rPr>
          <w:rFonts w:eastAsia="SimSun"/>
          <w:sz w:val="22"/>
          <w:szCs w:val="22"/>
          <w:lang w:eastAsia="zh-CN"/>
        </w:rPr>
      </w:pPr>
    </w:p>
    <w:p w14:paraId="23D72617" w14:textId="77777777" w:rsidR="00EF20DC" w:rsidRPr="00EF20DC" w:rsidRDefault="00EF20DC" w:rsidP="001F1094">
      <w:pPr>
        <w:tabs>
          <w:tab w:val="left" w:pos="567"/>
        </w:tabs>
        <w:rPr>
          <w:rFonts w:eastAsia="SimSun"/>
          <w:sz w:val="22"/>
          <w:szCs w:val="22"/>
          <w:lang w:eastAsia="zh-CN"/>
        </w:rPr>
      </w:pPr>
    </w:p>
    <w:p w14:paraId="0FDD1421" w14:textId="77777777" w:rsidR="00EF20DC" w:rsidRPr="00EF20DC" w:rsidRDefault="00EF20DC" w:rsidP="001F1094">
      <w:pPr>
        <w:tabs>
          <w:tab w:val="left" w:pos="567"/>
        </w:tabs>
        <w:rPr>
          <w:rFonts w:eastAsia="SimSun"/>
          <w:sz w:val="22"/>
          <w:szCs w:val="22"/>
          <w:lang w:eastAsia="zh-CN"/>
        </w:rPr>
      </w:pPr>
    </w:p>
    <w:p w14:paraId="2F59EC50" w14:textId="77777777" w:rsidR="00EF20DC" w:rsidRPr="00EF20DC" w:rsidRDefault="00EF20DC" w:rsidP="001F1094">
      <w:pPr>
        <w:tabs>
          <w:tab w:val="left" w:pos="567"/>
        </w:tabs>
        <w:rPr>
          <w:rFonts w:eastAsia="SimSun"/>
          <w:sz w:val="22"/>
          <w:szCs w:val="22"/>
          <w:lang w:eastAsia="zh-CN"/>
        </w:rPr>
      </w:pPr>
    </w:p>
    <w:p w14:paraId="27CB86FD" w14:textId="77777777" w:rsidR="00EF20DC" w:rsidRPr="00EF20DC" w:rsidRDefault="00EF20DC" w:rsidP="001F1094">
      <w:pPr>
        <w:tabs>
          <w:tab w:val="left" w:pos="567"/>
        </w:tabs>
        <w:rPr>
          <w:rFonts w:eastAsia="SimSun"/>
          <w:sz w:val="22"/>
          <w:szCs w:val="22"/>
          <w:lang w:eastAsia="zh-CN"/>
        </w:rPr>
      </w:pPr>
    </w:p>
    <w:p w14:paraId="46066E27" w14:textId="77777777" w:rsidR="00EF20DC" w:rsidRPr="00EF20DC" w:rsidRDefault="00EF20DC" w:rsidP="001F1094">
      <w:pPr>
        <w:tabs>
          <w:tab w:val="left" w:pos="567"/>
        </w:tabs>
        <w:rPr>
          <w:rFonts w:eastAsia="SimSun"/>
          <w:sz w:val="22"/>
          <w:szCs w:val="22"/>
          <w:lang w:eastAsia="zh-CN"/>
        </w:rPr>
      </w:pPr>
    </w:p>
    <w:p w14:paraId="7FBCAAA0" w14:textId="77777777" w:rsidR="00EF20DC" w:rsidRPr="00EF20DC" w:rsidRDefault="00EF20DC" w:rsidP="001F1094">
      <w:pPr>
        <w:keepNext/>
        <w:tabs>
          <w:tab w:val="left" w:pos="567"/>
        </w:tabs>
        <w:jc w:val="center"/>
        <w:outlineLvl w:val="1"/>
        <w:rPr>
          <w:rFonts w:eastAsia="SimSun"/>
          <w:b/>
          <w:iCs/>
          <w:sz w:val="22"/>
          <w:szCs w:val="22"/>
        </w:rPr>
      </w:pPr>
    </w:p>
    <w:p w14:paraId="03EAC1E0" w14:textId="77777777" w:rsidR="00EF20DC" w:rsidRPr="00EF20DC" w:rsidRDefault="00EF20DC" w:rsidP="001F1094">
      <w:pPr>
        <w:keepNext/>
        <w:tabs>
          <w:tab w:val="left" w:pos="567"/>
        </w:tabs>
        <w:jc w:val="center"/>
        <w:outlineLvl w:val="1"/>
        <w:rPr>
          <w:rFonts w:eastAsia="SimSun"/>
          <w:b/>
          <w:iCs/>
          <w:sz w:val="22"/>
          <w:szCs w:val="22"/>
        </w:rPr>
      </w:pPr>
      <w:r w:rsidRPr="00EF20DC">
        <w:rPr>
          <w:rFonts w:eastAsia="SimSun"/>
          <w:b/>
          <w:iCs/>
          <w:sz w:val="22"/>
          <w:szCs w:val="22"/>
        </w:rPr>
        <w:t>A. ŽENKLINIMAS</w:t>
      </w:r>
    </w:p>
    <w:p w14:paraId="601C6AB1" w14:textId="77777777" w:rsidR="00EF20DC" w:rsidRPr="00EF20DC" w:rsidRDefault="00EF20DC" w:rsidP="001F1094">
      <w:pPr>
        <w:tabs>
          <w:tab w:val="left" w:pos="567"/>
        </w:tabs>
        <w:rPr>
          <w:rFonts w:eastAsia="SimSun"/>
          <w:sz w:val="22"/>
          <w:szCs w:val="22"/>
          <w:lang w:eastAsia="zh-CN"/>
        </w:rPr>
      </w:pPr>
      <w:r w:rsidRPr="00EF20DC">
        <w:rPr>
          <w:rFonts w:eastAsia="SimSun"/>
          <w:sz w:val="22"/>
          <w:szCs w:val="22"/>
          <w:lang w:eastAsia="zh-CN"/>
        </w:rPr>
        <w:br w:type="page"/>
      </w:r>
    </w:p>
    <w:p w14:paraId="3D35EA9B"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EF20DC">
        <w:rPr>
          <w:rFonts w:eastAsia="SimSun"/>
          <w:b/>
          <w:sz w:val="22"/>
          <w:szCs w:val="22"/>
          <w:lang w:eastAsia="zh-CN"/>
        </w:rPr>
        <w:lastRenderedPageBreak/>
        <w:t>INFORMACIJA ANT IŠORINĖS PAKUOTĖS</w:t>
      </w:r>
    </w:p>
    <w:p w14:paraId="58762223"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p>
    <w:p w14:paraId="47086CC9" w14:textId="468A41CF" w:rsidR="00EF20DC" w:rsidRPr="00EF20DC" w:rsidRDefault="00B469AF" w:rsidP="001F1094">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 xml:space="preserve">IŠORINĖ </w:t>
      </w:r>
      <w:r w:rsidR="00EF20DC" w:rsidRPr="00EF20DC">
        <w:rPr>
          <w:rFonts w:eastAsia="SimSun"/>
          <w:b/>
          <w:sz w:val="22"/>
          <w:szCs w:val="22"/>
          <w:lang w:eastAsia="zh-CN"/>
        </w:rPr>
        <w:t>KARTONO DĖŽUTĖ</w:t>
      </w:r>
    </w:p>
    <w:p w14:paraId="29422D38" w14:textId="77777777" w:rsidR="00EF20DC" w:rsidRDefault="00EF20DC" w:rsidP="001F1094">
      <w:pPr>
        <w:tabs>
          <w:tab w:val="left" w:pos="567"/>
        </w:tabs>
        <w:rPr>
          <w:rFonts w:eastAsia="SimSun"/>
          <w:sz w:val="22"/>
          <w:szCs w:val="22"/>
          <w:lang w:eastAsia="zh-CN"/>
        </w:rPr>
      </w:pPr>
    </w:p>
    <w:p w14:paraId="6ACD7AC8" w14:textId="77777777" w:rsidR="00987E1E" w:rsidRPr="00EF20DC" w:rsidRDefault="00987E1E" w:rsidP="001F1094">
      <w:pPr>
        <w:tabs>
          <w:tab w:val="left" w:pos="567"/>
        </w:tabs>
        <w:rPr>
          <w:rFonts w:eastAsia="SimSun"/>
          <w:sz w:val="22"/>
          <w:szCs w:val="22"/>
          <w:lang w:eastAsia="zh-CN"/>
        </w:rPr>
      </w:pPr>
    </w:p>
    <w:p w14:paraId="67EC48C2"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w:t>
      </w:r>
      <w:r w:rsidRPr="00EF20DC">
        <w:rPr>
          <w:rFonts w:eastAsia="SimSun"/>
          <w:b/>
          <w:sz w:val="22"/>
          <w:szCs w:val="22"/>
          <w:lang w:eastAsia="zh-CN"/>
        </w:rPr>
        <w:tab/>
      </w:r>
      <w:r w:rsidRPr="00EF20DC">
        <w:rPr>
          <w:rFonts w:eastAsia="SimSun"/>
          <w:b/>
          <w:caps/>
          <w:sz w:val="22"/>
          <w:szCs w:val="22"/>
          <w:lang w:eastAsia="zh-CN"/>
        </w:rPr>
        <w:t>VAISTINIO</w:t>
      </w:r>
      <w:r w:rsidRPr="00EF20DC">
        <w:rPr>
          <w:rFonts w:eastAsia="SimSun"/>
          <w:b/>
          <w:sz w:val="22"/>
          <w:szCs w:val="22"/>
          <w:lang w:eastAsia="zh-CN"/>
        </w:rPr>
        <w:t xml:space="preserve"> PREPARATO PAVADINIMAS</w:t>
      </w:r>
    </w:p>
    <w:p w14:paraId="6EB02F4A" w14:textId="77777777" w:rsidR="00EF20DC" w:rsidRPr="00EF20DC" w:rsidRDefault="00EF20DC" w:rsidP="001F1094">
      <w:pPr>
        <w:tabs>
          <w:tab w:val="left" w:pos="567"/>
        </w:tabs>
        <w:rPr>
          <w:rFonts w:eastAsia="SimSun"/>
          <w:sz w:val="22"/>
          <w:szCs w:val="22"/>
          <w:lang w:eastAsia="zh-CN"/>
        </w:rPr>
      </w:pPr>
    </w:p>
    <w:p w14:paraId="78130A8A" w14:textId="2908901F" w:rsidR="00EF20DC" w:rsidRPr="00EF20DC" w:rsidRDefault="00EF20DC" w:rsidP="001F1094">
      <w:pPr>
        <w:rPr>
          <w:rFonts w:eastAsia="Calibri"/>
          <w:sz w:val="22"/>
          <w:szCs w:val="22"/>
        </w:rPr>
      </w:pPr>
      <w:r w:rsidRPr="00EF20DC">
        <w:rPr>
          <w:rFonts w:eastAsia="Calibri"/>
          <w:bCs/>
          <w:sz w:val="22"/>
          <w:szCs w:val="22"/>
          <w:shd w:val="clear" w:color="auto" w:fill="FFFFFF"/>
        </w:rPr>
        <w:t xml:space="preserve">Sorafenib </w:t>
      </w:r>
      <w:r w:rsidR="00D71A25">
        <w:rPr>
          <w:rFonts w:eastAsia="Calibri"/>
          <w:bCs/>
          <w:sz w:val="22"/>
          <w:szCs w:val="22"/>
          <w:shd w:val="clear" w:color="auto" w:fill="FFFFFF"/>
        </w:rPr>
        <w:t>Sandoz</w:t>
      </w:r>
      <w:r w:rsidRPr="00EF20DC">
        <w:rPr>
          <w:rFonts w:eastAsia="Calibri"/>
          <w:bCs/>
          <w:sz w:val="22"/>
          <w:szCs w:val="22"/>
          <w:shd w:val="clear" w:color="auto" w:fill="FFFFFF"/>
        </w:rPr>
        <w:t xml:space="preserve"> </w:t>
      </w:r>
      <w:r w:rsidR="00830ACA">
        <w:rPr>
          <w:rFonts w:eastAsia="Calibri"/>
          <w:sz w:val="22"/>
          <w:szCs w:val="22"/>
        </w:rPr>
        <w:t>4</w:t>
      </w:r>
      <w:r w:rsidRPr="00EF20DC">
        <w:rPr>
          <w:rFonts w:eastAsia="Calibri"/>
          <w:sz w:val="22"/>
          <w:szCs w:val="22"/>
        </w:rPr>
        <w:t xml:space="preserve">00 mg plėvele dengtos tabletės </w:t>
      </w:r>
    </w:p>
    <w:p w14:paraId="0D883643" w14:textId="77777777" w:rsidR="00EF20DC" w:rsidRPr="00EF20DC" w:rsidRDefault="00D11A28" w:rsidP="001F1094">
      <w:pPr>
        <w:tabs>
          <w:tab w:val="left" w:pos="567"/>
        </w:tabs>
        <w:rPr>
          <w:rFonts w:eastAsia="SimSun"/>
          <w:sz w:val="22"/>
          <w:szCs w:val="22"/>
          <w:lang w:eastAsia="zh-CN"/>
        </w:rPr>
      </w:pPr>
      <w:r>
        <w:rPr>
          <w:rFonts w:eastAsia="SimSun"/>
          <w:sz w:val="22"/>
          <w:szCs w:val="22"/>
          <w:lang w:eastAsia="zh-CN"/>
        </w:rPr>
        <w:t>s</w:t>
      </w:r>
      <w:r w:rsidR="00EF20DC" w:rsidRPr="00EF20DC">
        <w:rPr>
          <w:rFonts w:eastAsia="SimSun"/>
          <w:sz w:val="22"/>
          <w:szCs w:val="22"/>
          <w:lang w:eastAsia="zh-CN"/>
        </w:rPr>
        <w:t>orafenibum</w:t>
      </w:r>
    </w:p>
    <w:p w14:paraId="3D9671FF" w14:textId="77777777" w:rsidR="00EF20DC" w:rsidRPr="00EF20DC" w:rsidRDefault="00EF20DC" w:rsidP="001F1094">
      <w:pPr>
        <w:tabs>
          <w:tab w:val="left" w:pos="567"/>
        </w:tabs>
        <w:rPr>
          <w:rFonts w:eastAsia="SimSun"/>
          <w:sz w:val="22"/>
          <w:szCs w:val="22"/>
          <w:lang w:eastAsia="zh-CN"/>
        </w:rPr>
      </w:pPr>
    </w:p>
    <w:p w14:paraId="4FA00C51" w14:textId="77777777" w:rsidR="00EF20DC" w:rsidRPr="00EF20DC" w:rsidRDefault="00EF20DC" w:rsidP="001F1094">
      <w:pPr>
        <w:tabs>
          <w:tab w:val="left" w:pos="567"/>
        </w:tabs>
        <w:rPr>
          <w:rFonts w:eastAsia="SimSun"/>
          <w:sz w:val="22"/>
          <w:szCs w:val="22"/>
          <w:lang w:eastAsia="zh-CN"/>
        </w:rPr>
      </w:pPr>
    </w:p>
    <w:p w14:paraId="4A05609C"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2.</w:t>
      </w:r>
      <w:r w:rsidRPr="00EF20DC">
        <w:rPr>
          <w:rFonts w:eastAsia="SimSun"/>
          <w:b/>
          <w:sz w:val="22"/>
          <w:szCs w:val="22"/>
          <w:lang w:eastAsia="zh-CN"/>
        </w:rPr>
        <w:tab/>
        <w:t>VEIKLIOJI (-IOS) MEDŽIAGA (-OS) IR JOS (-Ų) KIEKIS (-IAI)</w:t>
      </w:r>
    </w:p>
    <w:p w14:paraId="4B580AB3" w14:textId="77777777" w:rsidR="00EF20DC" w:rsidRPr="00EF20DC" w:rsidRDefault="00EF20DC" w:rsidP="001F1094">
      <w:pPr>
        <w:tabs>
          <w:tab w:val="left" w:pos="567"/>
        </w:tabs>
        <w:autoSpaceDE w:val="0"/>
        <w:autoSpaceDN w:val="0"/>
        <w:adjustRightInd w:val="0"/>
        <w:rPr>
          <w:rFonts w:eastAsia="Calibri"/>
          <w:sz w:val="22"/>
          <w:szCs w:val="22"/>
          <w:lang w:eastAsia="lt-LT"/>
        </w:rPr>
      </w:pPr>
    </w:p>
    <w:p w14:paraId="0B9F608E" w14:textId="438F732F" w:rsidR="00EF20DC" w:rsidRPr="00EF20DC" w:rsidRDefault="00EF20DC" w:rsidP="001F1094">
      <w:pPr>
        <w:rPr>
          <w:rFonts w:eastAsia="Calibri"/>
          <w:sz w:val="22"/>
          <w:szCs w:val="22"/>
        </w:rPr>
      </w:pPr>
      <w:r w:rsidRPr="00C54896">
        <w:rPr>
          <w:rFonts w:eastAsia="Calibri"/>
          <w:sz w:val="22"/>
          <w:szCs w:val="22"/>
        </w:rPr>
        <w:t xml:space="preserve">Kiekvienoje tabletėje yra </w:t>
      </w:r>
      <w:r w:rsidR="00B31CD7">
        <w:rPr>
          <w:rFonts w:eastAsia="Calibri"/>
          <w:sz w:val="22"/>
          <w:szCs w:val="22"/>
        </w:rPr>
        <w:t>4</w:t>
      </w:r>
      <w:r w:rsidRPr="00C54896">
        <w:rPr>
          <w:rFonts w:eastAsia="Calibri"/>
          <w:sz w:val="22"/>
          <w:szCs w:val="22"/>
        </w:rPr>
        <w:t>00 mg sorafenibo (to</w:t>
      </w:r>
      <w:r w:rsidR="003C64E6" w:rsidRPr="00C54896">
        <w:rPr>
          <w:rFonts w:eastAsia="Calibri"/>
          <w:sz w:val="22"/>
          <w:szCs w:val="22"/>
        </w:rPr>
        <w:t>z</w:t>
      </w:r>
      <w:r w:rsidRPr="00C54896">
        <w:rPr>
          <w:rFonts w:eastAsia="Calibri"/>
          <w:sz w:val="22"/>
          <w:szCs w:val="22"/>
        </w:rPr>
        <w:t>ilato pavidalu).</w:t>
      </w:r>
      <w:r w:rsidRPr="00EF20DC">
        <w:rPr>
          <w:rFonts w:eastAsia="Calibri"/>
          <w:sz w:val="22"/>
          <w:szCs w:val="22"/>
        </w:rPr>
        <w:t xml:space="preserve"> </w:t>
      </w:r>
    </w:p>
    <w:p w14:paraId="7C47CDCC" w14:textId="77777777" w:rsidR="00EF20DC" w:rsidRPr="00EF20DC" w:rsidRDefault="00EF20DC" w:rsidP="001F1094">
      <w:pPr>
        <w:tabs>
          <w:tab w:val="left" w:pos="567"/>
        </w:tabs>
        <w:rPr>
          <w:rFonts w:eastAsia="SimSun"/>
          <w:sz w:val="22"/>
          <w:szCs w:val="22"/>
          <w:lang w:eastAsia="zh-CN"/>
        </w:rPr>
      </w:pPr>
    </w:p>
    <w:p w14:paraId="69AEFD5F" w14:textId="77777777" w:rsidR="00EF20DC" w:rsidRPr="00EF20DC" w:rsidRDefault="00EF20DC" w:rsidP="001F1094">
      <w:pPr>
        <w:tabs>
          <w:tab w:val="left" w:pos="567"/>
        </w:tabs>
        <w:rPr>
          <w:rFonts w:eastAsia="SimSun"/>
          <w:sz w:val="22"/>
          <w:szCs w:val="22"/>
          <w:lang w:eastAsia="zh-CN"/>
        </w:rPr>
      </w:pPr>
    </w:p>
    <w:p w14:paraId="793B25DC"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3.</w:t>
      </w:r>
      <w:r w:rsidRPr="00EF20DC">
        <w:rPr>
          <w:rFonts w:eastAsia="SimSun"/>
          <w:b/>
          <w:sz w:val="22"/>
          <w:szCs w:val="22"/>
          <w:lang w:eastAsia="zh-CN"/>
        </w:rPr>
        <w:tab/>
        <w:t>PAGALBINIŲ MEDŽIAGŲ SĄRAŠAS</w:t>
      </w:r>
    </w:p>
    <w:p w14:paraId="6D286EE4" w14:textId="77777777" w:rsidR="00EF20DC" w:rsidRPr="00EF20DC" w:rsidRDefault="00EF20DC" w:rsidP="001F1094">
      <w:pPr>
        <w:tabs>
          <w:tab w:val="left" w:pos="567"/>
        </w:tabs>
        <w:rPr>
          <w:rFonts w:eastAsia="SimSun"/>
          <w:sz w:val="22"/>
          <w:szCs w:val="22"/>
          <w:lang w:eastAsia="zh-CN"/>
        </w:rPr>
      </w:pPr>
    </w:p>
    <w:p w14:paraId="43331857" w14:textId="77777777" w:rsidR="00EF20DC" w:rsidRPr="00EF20DC" w:rsidRDefault="00EF20DC" w:rsidP="001F1094">
      <w:pPr>
        <w:tabs>
          <w:tab w:val="left" w:pos="567"/>
        </w:tabs>
        <w:rPr>
          <w:rFonts w:eastAsia="SimSun"/>
          <w:sz w:val="22"/>
          <w:szCs w:val="22"/>
          <w:lang w:eastAsia="zh-CN"/>
        </w:rPr>
      </w:pPr>
    </w:p>
    <w:p w14:paraId="1A3990A8"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4.</w:t>
      </w:r>
      <w:r w:rsidRPr="00EF20DC">
        <w:rPr>
          <w:rFonts w:eastAsia="SimSun"/>
          <w:b/>
          <w:sz w:val="22"/>
          <w:szCs w:val="22"/>
          <w:lang w:eastAsia="zh-CN"/>
        </w:rPr>
        <w:tab/>
        <w:t>FARMACINĖ FORMA IR KIEKIS PAKUOTĖJE</w:t>
      </w:r>
    </w:p>
    <w:p w14:paraId="2D6F48B6" w14:textId="77777777" w:rsidR="00EF20DC" w:rsidRDefault="00EF20DC" w:rsidP="001F1094">
      <w:pPr>
        <w:tabs>
          <w:tab w:val="left" w:pos="567"/>
        </w:tabs>
        <w:rPr>
          <w:rFonts w:eastAsia="SimSun"/>
          <w:sz w:val="22"/>
          <w:szCs w:val="22"/>
          <w:lang w:eastAsia="zh-CN"/>
        </w:rPr>
      </w:pPr>
    </w:p>
    <w:p w14:paraId="21453321" w14:textId="77777777" w:rsidR="00987E1E" w:rsidRPr="00EF20DC" w:rsidRDefault="00987E1E" w:rsidP="001F1094">
      <w:pPr>
        <w:tabs>
          <w:tab w:val="left" w:pos="567"/>
        </w:tabs>
        <w:rPr>
          <w:rFonts w:eastAsia="SimSun"/>
          <w:sz w:val="22"/>
          <w:szCs w:val="22"/>
          <w:lang w:eastAsia="zh-CN"/>
        </w:rPr>
      </w:pPr>
      <w:r w:rsidRPr="00A07BA7">
        <w:rPr>
          <w:rFonts w:eastAsia="SimSun"/>
          <w:sz w:val="22"/>
          <w:szCs w:val="22"/>
          <w:highlight w:val="lightGray"/>
          <w:lang w:eastAsia="zh-CN"/>
        </w:rPr>
        <w:t>Plėvele dengta tabletė</w:t>
      </w:r>
    </w:p>
    <w:p w14:paraId="76C737A0" w14:textId="77777777" w:rsidR="00EF20DC" w:rsidRDefault="00EF20DC" w:rsidP="001F1094">
      <w:pPr>
        <w:tabs>
          <w:tab w:val="left" w:pos="567"/>
        </w:tabs>
        <w:rPr>
          <w:rFonts w:eastAsia="SimSun"/>
          <w:sz w:val="22"/>
          <w:szCs w:val="22"/>
          <w:lang w:eastAsia="zh-CN"/>
        </w:rPr>
      </w:pPr>
    </w:p>
    <w:p w14:paraId="53ADEFA2" w14:textId="77777777" w:rsidR="00F371E2" w:rsidRPr="00A07BA7" w:rsidRDefault="00F371E2" w:rsidP="001F1094">
      <w:pPr>
        <w:rPr>
          <w:rFonts w:eastAsia="Calibri"/>
          <w:sz w:val="22"/>
          <w:szCs w:val="22"/>
        </w:rPr>
      </w:pPr>
      <w:r w:rsidRPr="00A07BA7">
        <w:rPr>
          <w:rFonts w:eastAsia="Calibri"/>
          <w:sz w:val="22"/>
          <w:szCs w:val="22"/>
        </w:rPr>
        <w:t xml:space="preserve">28 </w:t>
      </w:r>
      <w:r w:rsidRPr="00A07BA7">
        <w:rPr>
          <w:rFonts w:eastAsia="Calibri"/>
          <w:sz w:val="22"/>
          <w:szCs w:val="22"/>
          <w:highlight w:val="lightGray"/>
        </w:rPr>
        <w:t>plėvele dengtos</w:t>
      </w:r>
      <w:r w:rsidRPr="00A07BA7">
        <w:rPr>
          <w:rFonts w:eastAsia="Calibri"/>
          <w:sz w:val="22"/>
          <w:szCs w:val="22"/>
        </w:rPr>
        <w:t xml:space="preserve"> tabletės</w:t>
      </w:r>
    </w:p>
    <w:p w14:paraId="457246EF" w14:textId="201EBCE8" w:rsidR="002D0B64" w:rsidRPr="00A07BA7" w:rsidRDefault="002D0B64" w:rsidP="002D0B64">
      <w:pPr>
        <w:rPr>
          <w:rFonts w:eastAsia="Calibri"/>
          <w:sz w:val="22"/>
          <w:szCs w:val="22"/>
          <w:highlight w:val="lightGray"/>
        </w:rPr>
      </w:pPr>
      <w:r w:rsidRPr="00A07BA7">
        <w:rPr>
          <w:rFonts w:eastAsia="Calibri"/>
          <w:sz w:val="22"/>
          <w:szCs w:val="22"/>
          <w:highlight w:val="lightGray"/>
        </w:rPr>
        <w:t>28 </w:t>
      </w:r>
      <w:r w:rsidR="004D302D" w:rsidRPr="00A07BA7">
        <w:rPr>
          <w:rFonts w:eastAsia="Calibri"/>
          <w:sz w:val="22"/>
          <w:szCs w:val="22"/>
          <w:highlight w:val="lightGray"/>
        </w:rPr>
        <w:t>x</w:t>
      </w:r>
      <w:r w:rsidRPr="00A07BA7">
        <w:rPr>
          <w:rFonts w:eastAsia="Calibri"/>
          <w:sz w:val="22"/>
          <w:szCs w:val="22"/>
          <w:highlight w:val="lightGray"/>
        </w:rPr>
        <w:t> </w:t>
      </w:r>
      <w:r w:rsidR="004D302D" w:rsidRPr="00A07BA7">
        <w:rPr>
          <w:rFonts w:eastAsia="Calibri"/>
          <w:sz w:val="22"/>
          <w:szCs w:val="22"/>
          <w:highlight w:val="lightGray"/>
        </w:rPr>
        <w:t>1</w:t>
      </w:r>
      <w:r w:rsidRPr="00A07BA7">
        <w:rPr>
          <w:rFonts w:eastAsia="Calibri"/>
          <w:sz w:val="22"/>
          <w:szCs w:val="22"/>
          <w:highlight w:val="lightGray"/>
        </w:rPr>
        <w:t xml:space="preserve"> plėvele dengtos tabletės</w:t>
      </w:r>
    </w:p>
    <w:p w14:paraId="3610A35A" w14:textId="5D5CBE64" w:rsidR="004D302D" w:rsidRPr="00A07BA7" w:rsidRDefault="004D302D" w:rsidP="004D302D">
      <w:pPr>
        <w:rPr>
          <w:rFonts w:eastAsia="Calibri"/>
          <w:sz w:val="22"/>
          <w:szCs w:val="22"/>
          <w:highlight w:val="lightGray"/>
        </w:rPr>
      </w:pPr>
      <w:r w:rsidRPr="00A07BA7">
        <w:rPr>
          <w:rFonts w:eastAsia="Calibri"/>
          <w:sz w:val="22"/>
          <w:szCs w:val="22"/>
          <w:highlight w:val="lightGray"/>
        </w:rPr>
        <w:t>30 plėvele dengtų tablečių</w:t>
      </w:r>
    </w:p>
    <w:p w14:paraId="1F02642C" w14:textId="5A5A2A56" w:rsidR="004D302D" w:rsidRPr="00A07BA7" w:rsidRDefault="004D302D" w:rsidP="004D302D">
      <w:pPr>
        <w:rPr>
          <w:rFonts w:eastAsia="Calibri"/>
          <w:sz w:val="22"/>
          <w:szCs w:val="22"/>
          <w:highlight w:val="lightGray"/>
        </w:rPr>
      </w:pPr>
      <w:r w:rsidRPr="00A07BA7">
        <w:rPr>
          <w:rFonts w:eastAsia="Calibri"/>
          <w:sz w:val="22"/>
          <w:szCs w:val="22"/>
          <w:highlight w:val="lightGray"/>
        </w:rPr>
        <w:t>30 </w:t>
      </w:r>
      <w:r w:rsidR="006942DE" w:rsidRPr="00A07BA7">
        <w:rPr>
          <w:rFonts w:eastAsia="Calibri"/>
          <w:sz w:val="22"/>
          <w:szCs w:val="22"/>
          <w:highlight w:val="lightGray"/>
        </w:rPr>
        <w:t>x 1</w:t>
      </w:r>
      <w:r w:rsidRPr="00A07BA7">
        <w:rPr>
          <w:rFonts w:eastAsia="Calibri"/>
          <w:sz w:val="22"/>
          <w:szCs w:val="22"/>
          <w:highlight w:val="lightGray"/>
        </w:rPr>
        <w:t xml:space="preserve"> plėvele dengtų tablečių</w:t>
      </w:r>
    </w:p>
    <w:p w14:paraId="52CEF317" w14:textId="59CEE31F" w:rsidR="00F371E2" w:rsidRPr="00A07BA7" w:rsidRDefault="00F371E2" w:rsidP="001F1094">
      <w:pPr>
        <w:rPr>
          <w:rFonts w:eastAsia="Calibri"/>
          <w:sz w:val="22"/>
          <w:szCs w:val="22"/>
          <w:highlight w:val="lightGray"/>
        </w:rPr>
      </w:pPr>
      <w:r w:rsidRPr="00A07BA7">
        <w:rPr>
          <w:rFonts w:eastAsia="Calibri"/>
          <w:sz w:val="22"/>
          <w:szCs w:val="22"/>
          <w:highlight w:val="lightGray"/>
        </w:rPr>
        <w:t>56 plėvele dengtos tabletės</w:t>
      </w:r>
    </w:p>
    <w:p w14:paraId="6850A001" w14:textId="77777777" w:rsidR="00F371E2" w:rsidRPr="00A07BA7" w:rsidRDefault="00F371E2" w:rsidP="001F1094">
      <w:pPr>
        <w:rPr>
          <w:rFonts w:eastAsia="Calibri"/>
          <w:sz w:val="22"/>
          <w:szCs w:val="22"/>
          <w:highlight w:val="lightGray"/>
        </w:rPr>
      </w:pPr>
      <w:r w:rsidRPr="00A07BA7">
        <w:rPr>
          <w:rFonts w:eastAsia="Calibri"/>
          <w:sz w:val="22"/>
          <w:szCs w:val="22"/>
          <w:highlight w:val="lightGray"/>
        </w:rPr>
        <w:t>56 x 1 plėvele dengtos tabletės</w:t>
      </w:r>
    </w:p>
    <w:p w14:paraId="3D9F3203" w14:textId="4991C130" w:rsidR="00196411" w:rsidRPr="00A07BA7" w:rsidRDefault="00BF35B1" w:rsidP="00196411">
      <w:pPr>
        <w:rPr>
          <w:rFonts w:eastAsia="Calibri"/>
          <w:sz w:val="22"/>
          <w:szCs w:val="22"/>
          <w:highlight w:val="lightGray"/>
        </w:rPr>
      </w:pPr>
      <w:r w:rsidRPr="00A07BA7">
        <w:rPr>
          <w:rFonts w:eastAsia="Calibri"/>
          <w:sz w:val="22"/>
          <w:szCs w:val="22"/>
          <w:highlight w:val="lightGray"/>
        </w:rPr>
        <w:t>6</w:t>
      </w:r>
      <w:r w:rsidR="00196411" w:rsidRPr="00A07BA7">
        <w:rPr>
          <w:rFonts w:eastAsia="Calibri"/>
          <w:sz w:val="22"/>
          <w:szCs w:val="22"/>
          <w:highlight w:val="lightGray"/>
        </w:rPr>
        <w:t>0 plėvele dengtų tablečių</w:t>
      </w:r>
    </w:p>
    <w:p w14:paraId="1F4E61BA" w14:textId="49EC0078" w:rsidR="00196411" w:rsidRPr="00A07BA7" w:rsidRDefault="00BF35B1" w:rsidP="00196411">
      <w:pPr>
        <w:rPr>
          <w:rFonts w:eastAsia="Calibri"/>
          <w:sz w:val="22"/>
          <w:szCs w:val="22"/>
        </w:rPr>
      </w:pPr>
      <w:r w:rsidRPr="00A07BA7">
        <w:rPr>
          <w:rFonts w:eastAsia="Calibri"/>
          <w:sz w:val="22"/>
          <w:szCs w:val="22"/>
          <w:highlight w:val="lightGray"/>
        </w:rPr>
        <w:t>6</w:t>
      </w:r>
      <w:r w:rsidR="00196411" w:rsidRPr="00A07BA7">
        <w:rPr>
          <w:rFonts w:eastAsia="Calibri"/>
          <w:sz w:val="22"/>
          <w:szCs w:val="22"/>
          <w:highlight w:val="lightGray"/>
        </w:rPr>
        <w:t>0 x 1 plėvele dengtų tablečių</w:t>
      </w:r>
    </w:p>
    <w:p w14:paraId="3657A34C" w14:textId="77777777" w:rsidR="00987E1E" w:rsidRDefault="00987E1E" w:rsidP="001F1094">
      <w:pPr>
        <w:tabs>
          <w:tab w:val="left" w:pos="567"/>
        </w:tabs>
        <w:rPr>
          <w:rFonts w:eastAsia="SimSun"/>
          <w:sz w:val="22"/>
          <w:szCs w:val="22"/>
          <w:lang w:eastAsia="zh-CN"/>
        </w:rPr>
      </w:pPr>
    </w:p>
    <w:p w14:paraId="5B20628A" w14:textId="77777777" w:rsidR="00987E1E" w:rsidRPr="00EF20DC" w:rsidRDefault="00987E1E" w:rsidP="001F1094">
      <w:pPr>
        <w:tabs>
          <w:tab w:val="left" w:pos="567"/>
        </w:tabs>
        <w:rPr>
          <w:rFonts w:eastAsia="SimSun"/>
          <w:sz w:val="22"/>
          <w:szCs w:val="22"/>
          <w:lang w:eastAsia="zh-CN"/>
        </w:rPr>
      </w:pPr>
    </w:p>
    <w:p w14:paraId="0471305D"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5.</w:t>
      </w:r>
      <w:r w:rsidRPr="00EF20DC">
        <w:rPr>
          <w:rFonts w:eastAsia="SimSun"/>
          <w:b/>
          <w:sz w:val="22"/>
          <w:szCs w:val="22"/>
          <w:lang w:eastAsia="zh-CN"/>
        </w:rPr>
        <w:tab/>
        <w:t>VARTOJIMO METODAS IR BŪDAS (-AI)</w:t>
      </w:r>
    </w:p>
    <w:p w14:paraId="0559064D" w14:textId="77777777" w:rsidR="00EF20DC" w:rsidRPr="00EF20DC" w:rsidRDefault="00EF20DC" w:rsidP="001F1094">
      <w:pPr>
        <w:tabs>
          <w:tab w:val="left" w:pos="567"/>
        </w:tabs>
        <w:rPr>
          <w:rFonts w:eastAsia="SimSun"/>
          <w:sz w:val="22"/>
          <w:szCs w:val="22"/>
          <w:lang w:eastAsia="zh-CN"/>
        </w:rPr>
      </w:pPr>
    </w:p>
    <w:p w14:paraId="43537963" w14:textId="77777777" w:rsidR="00EF20DC" w:rsidRPr="00EF20DC" w:rsidRDefault="00EF20DC" w:rsidP="001F1094">
      <w:pPr>
        <w:tabs>
          <w:tab w:val="left" w:pos="567"/>
        </w:tabs>
        <w:rPr>
          <w:rFonts w:eastAsia="SimSun"/>
          <w:sz w:val="22"/>
          <w:szCs w:val="22"/>
          <w:lang w:eastAsia="zh-CN"/>
        </w:rPr>
      </w:pPr>
      <w:r w:rsidRPr="00EF20DC">
        <w:rPr>
          <w:rFonts w:eastAsia="SimSun"/>
          <w:sz w:val="22"/>
          <w:szCs w:val="22"/>
          <w:lang w:eastAsia="zh-CN"/>
        </w:rPr>
        <w:t xml:space="preserve">Vartoti per burną </w:t>
      </w:r>
    </w:p>
    <w:p w14:paraId="74649464" w14:textId="77777777" w:rsidR="00EF20DC" w:rsidRPr="00EF20DC" w:rsidRDefault="00EF20DC" w:rsidP="001F1094">
      <w:pPr>
        <w:tabs>
          <w:tab w:val="left" w:pos="567"/>
        </w:tabs>
        <w:rPr>
          <w:rFonts w:eastAsia="SimSun"/>
          <w:sz w:val="22"/>
          <w:szCs w:val="22"/>
          <w:lang w:eastAsia="zh-CN"/>
        </w:rPr>
      </w:pPr>
      <w:r w:rsidRPr="00D76168">
        <w:rPr>
          <w:rFonts w:eastAsia="SimSun"/>
          <w:sz w:val="22"/>
          <w:szCs w:val="22"/>
          <w:lang w:eastAsia="zh-CN"/>
        </w:rPr>
        <w:t>Prieš vartojimą perskaitykite pakuotės lapelį</w:t>
      </w:r>
      <w:r w:rsidRPr="00B60FD6">
        <w:rPr>
          <w:rFonts w:eastAsia="SimSun"/>
          <w:sz w:val="22"/>
          <w:szCs w:val="22"/>
          <w:lang w:eastAsia="zh-CN"/>
        </w:rPr>
        <w:t>.</w:t>
      </w:r>
    </w:p>
    <w:p w14:paraId="519DC0D4" w14:textId="77777777" w:rsidR="00EF20DC" w:rsidRPr="00EF20DC" w:rsidRDefault="00EF20DC" w:rsidP="001F1094">
      <w:pPr>
        <w:tabs>
          <w:tab w:val="left" w:pos="567"/>
        </w:tabs>
        <w:rPr>
          <w:rFonts w:eastAsia="SimSun"/>
          <w:sz w:val="22"/>
          <w:szCs w:val="22"/>
          <w:lang w:eastAsia="zh-CN"/>
        </w:rPr>
      </w:pPr>
    </w:p>
    <w:p w14:paraId="2BFB72A3" w14:textId="77777777" w:rsidR="00EF20DC" w:rsidRPr="00EF20DC" w:rsidRDefault="00EF20DC" w:rsidP="001F1094">
      <w:pPr>
        <w:tabs>
          <w:tab w:val="left" w:pos="567"/>
        </w:tabs>
        <w:rPr>
          <w:rFonts w:eastAsia="SimSun"/>
          <w:sz w:val="22"/>
          <w:szCs w:val="22"/>
          <w:lang w:eastAsia="zh-CN"/>
        </w:rPr>
      </w:pPr>
    </w:p>
    <w:p w14:paraId="6869A716"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EF20DC">
        <w:rPr>
          <w:rFonts w:eastAsia="SimSun"/>
          <w:b/>
          <w:sz w:val="22"/>
          <w:szCs w:val="22"/>
          <w:lang w:eastAsia="zh-CN"/>
        </w:rPr>
        <w:t>6.</w:t>
      </w:r>
      <w:r w:rsidRPr="00EF20DC">
        <w:rPr>
          <w:rFonts w:eastAsia="SimSun"/>
          <w:b/>
          <w:sz w:val="22"/>
          <w:szCs w:val="22"/>
          <w:lang w:eastAsia="zh-CN"/>
        </w:rPr>
        <w:tab/>
        <w:t>SPECIALUS ĮSPĖJIMAS, KAD VAISTINĮ PREPARATĄ BŪTINA LAIKYTI VAIKAMS NEPASTEBIMOJE IR NEPASIEKIAMOJE VIETOJE</w:t>
      </w:r>
    </w:p>
    <w:p w14:paraId="383BE8F5" w14:textId="77777777" w:rsidR="00EF20DC" w:rsidRPr="00EF20DC" w:rsidRDefault="00EF20DC" w:rsidP="001F1094">
      <w:pPr>
        <w:tabs>
          <w:tab w:val="left" w:pos="567"/>
        </w:tabs>
        <w:rPr>
          <w:rFonts w:eastAsia="SimSun"/>
          <w:sz w:val="22"/>
          <w:szCs w:val="22"/>
          <w:lang w:eastAsia="zh-CN"/>
        </w:rPr>
      </w:pPr>
    </w:p>
    <w:p w14:paraId="6D64E368" w14:textId="77777777" w:rsidR="00EF20DC" w:rsidRPr="00EF20DC" w:rsidRDefault="00EF20DC" w:rsidP="001F1094">
      <w:pPr>
        <w:tabs>
          <w:tab w:val="left" w:pos="567"/>
        </w:tabs>
        <w:rPr>
          <w:rFonts w:eastAsia="SimSun"/>
          <w:sz w:val="22"/>
          <w:szCs w:val="22"/>
          <w:lang w:eastAsia="zh-CN"/>
        </w:rPr>
      </w:pPr>
      <w:r w:rsidRPr="00EF20DC">
        <w:rPr>
          <w:rFonts w:eastAsia="SimSun"/>
          <w:sz w:val="22"/>
          <w:szCs w:val="22"/>
          <w:lang w:eastAsia="zh-CN"/>
        </w:rPr>
        <w:t>Laikyti vaikams nepastebimoje ir nepasiekiamoje vietoje.</w:t>
      </w:r>
    </w:p>
    <w:p w14:paraId="5274F5E8" w14:textId="77777777" w:rsidR="00EF20DC" w:rsidRPr="00EF20DC" w:rsidRDefault="00EF20DC" w:rsidP="001F1094">
      <w:pPr>
        <w:tabs>
          <w:tab w:val="left" w:pos="567"/>
        </w:tabs>
        <w:rPr>
          <w:rFonts w:eastAsia="SimSun"/>
          <w:sz w:val="22"/>
          <w:szCs w:val="22"/>
          <w:lang w:eastAsia="zh-CN"/>
        </w:rPr>
      </w:pPr>
    </w:p>
    <w:p w14:paraId="6C0A9920" w14:textId="77777777" w:rsidR="00EF20DC" w:rsidRPr="00EF20DC" w:rsidRDefault="00EF20DC" w:rsidP="001F1094">
      <w:pPr>
        <w:tabs>
          <w:tab w:val="left" w:pos="567"/>
        </w:tabs>
        <w:rPr>
          <w:rFonts w:eastAsia="SimSun"/>
          <w:sz w:val="22"/>
          <w:szCs w:val="22"/>
          <w:lang w:eastAsia="zh-CN"/>
        </w:rPr>
      </w:pPr>
    </w:p>
    <w:p w14:paraId="6DA14447"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7.</w:t>
      </w:r>
      <w:r w:rsidRPr="00EF20DC">
        <w:rPr>
          <w:rFonts w:eastAsia="SimSun"/>
          <w:b/>
          <w:sz w:val="22"/>
          <w:szCs w:val="22"/>
          <w:lang w:eastAsia="zh-CN"/>
        </w:rPr>
        <w:tab/>
        <w:t>KITAS (-I) SPECIALUS (-ŪS) ĮSPĖJIMAS (-AI) (JEI REIKIA)</w:t>
      </w:r>
    </w:p>
    <w:p w14:paraId="5EC5481C" w14:textId="77777777" w:rsidR="00EF20DC" w:rsidRPr="00EF20DC" w:rsidRDefault="00EF20DC" w:rsidP="001F1094">
      <w:pPr>
        <w:tabs>
          <w:tab w:val="left" w:pos="567"/>
        </w:tabs>
        <w:rPr>
          <w:color w:val="212121"/>
          <w:sz w:val="22"/>
          <w:szCs w:val="22"/>
          <w:shd w:val="clear" w:color="auto" w:fill="FFFFFF"/>
          <w:lang w:eastAsia="lt-LT"/>
        </w:rPr>
      </w:pPr>
    </w:p>
    <w:p w14:paraId="516C3ECD" w14:textId="77777777" w:rsidR="00EF20DC" w:rsidRPr="00EF20DC" w:rsidRDefault="00EF20DC" w:rsidP="001F1094">
      <w:pPr>
        <w:tabs>
          <w:tab w:val="left" w:pos="567"/>
        </w:tabs>
        <w:rPr>
          <w:rFonts w:eastAsia="SimSun"/>
          <w:sz w:val="22"/>
          <w:szCs w:val="22"/>
          <w:lang w:eastAsia="zh-CN"/>
        </w:rPr>
      </w:pPr>
    </w:p>
    <w:p w14:paraId="40B21624"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8.</w:t>
      </w:r>
      <w:r w:rsidRPr="00EF20DC">
        <w:rPr>
          <w:rFonts w:eastAsia="SimSun"/>
          <w:b/>
          <w:sz w:val="22"/>
          <w:szCs w:val="22"/>
          <w:lang w:eastAsia="zh-CN"/>
        </w:rPr>
        <w:tab/>
        <w:t>TINKAMUMO LAIKAS</w:t>
      </w:r>
    </w:p>
    <w:p w14:paraId="0B082A7D" w14:textId="77777777" w:rsidR="00EF20DC" w:rsidRPr="00EF20DC" w:rsidRDefault="00EF20DC" w:rsidP="001F1094">
      <w:pPr>
        <w:tabs>
          <w:tab w:val="left" w:pos="567"/>
        </w:tabs>
        <w:rPr>
          <w:rFonts w:eastAsia="SimSun"/>
          <w:sz w:val="22"/>
          <w:szCs w:val="22"/>
          <w:lang w:eastAsia="zh-CN"/>
        </w:rPr>
      </w:pPr>
    </w:p>
    <w:p w14:paraId="5352B4DB" w14:textId="77777777" w:rsidR="00EF20DC" w:rsidRPr="00EF20DC" w:rsidRDefault="00EF20DC" w:rsidP="001F1094">
      <w:pPr>
        <w:tabs>
          <w:tab w:val="left" w:pos="567"/>
        </w:tabs>
        <w:rPr>
          <w:rFonts w:eastAsia="SimSun"/>
          <w:sz w:val="22"/>
          <w:szCs w:val="22"/>
          <w:lang w:eastAsia="zh-CN"/>
        </w:rPr>
      </w:pPr>
      <w:r w:rsidRPr="00EF20DC">
        <w:rPr>
          <w:rFonts w:eastAsia="SimSun"/>
          <w:sz w:val="22"/>
          <w:szCs w:val="22"/>
          <w:lang w:eastAsia="zh-CN"/>
        </w:rPr>
        <w:lastRenderedPageBreak/>
        <w:t>EXP{mm MMMM}</w:t>
      </w:r>
    </w:p>
    <w:p w14:paraId="26F11F49" w14:textId="77777777" w:rsidR="00EF20DC" w:rsidRPr="00EF20DC" w:rsidRDefault="00EF20DC" w:rsidP="001F1094">
      <w:pPr>
        <w:tabs>
          <w:tab w:val="left" w:pos="567"/>
        </w:tabs>
        <w:rPr>
          <w:rFonts w:eastAsia="SimSun"/>
          <w:sz w:val="22"/>
          <w:szCs w:val="22"/>
          <w:lang w:eastAsia="zh-CN"/>
        </w:rPr>
      </w:pPr>
    </w:p>
    <w:p w14:paraId="0B49F250" w14:textId="77777777" w:rsidR="00EF20DC" w:rsidRPr="00EF20DC" w:rsidRDefault="00EF20DC" w:rsidP="001F1094">
      <w:pPr>
        <w:tabs>
          <w:tab w:val="left" w:pos="567"/>
        </w:tabs>
        <w:rPr>
          <w:rFonts w:eastAsia="SimSun"/>
          <w:sz w:val="22"/>
          <w:szCs w:val="22"/>
          <w:lang w:eastAsia="zh-CN"/>
        </w:rPr>
      </w:pPr>
    </w:p>
    <w:p w14:paraId="2EE1A2C8" w14:textId="77777777" w:rsidR="00EF20DC" w:rsidRPr="00EF20DC" w:rsidRDefault="00EF20DC" w:rsidP="001F1094">
      <w:pPr>
        <w:keepNext/>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9.</w:t>
      </w:r>
      <w:r w:rsidRPr="00EF20DC">
        <w:rPr>
          <w:rFonts w:eastAsia="SimSun"/>
          <w:b/>
          <w:sz w:val="22"/>
          <w:szCs w:val="22"/>
          <w:lang w:eastAsia="zh-CN"/>
        </w:rPr>
        <w:tab/>
        <w:t>SPECIALIOS LAIKYMO SĄLYGOS</w:t>
      </w:r>
    </w:p>
    <w:p w14:paraId="212EA395" w14:textId="77777777" w:rsidR="00EF20DC" w:rsidRPr="00EF20DC" w:rsidRDefault="00EF20DC" w:rsidP="001F1094">
      <w:pPr>
        <w:rPr>
          <w:sz w:val="22"/>
          <w:szCs w:val="20"/>
          <w:lang w:eastAsia="lt-LT"/>
        </w:rPr>
      </w:pPr>
    </w:p>
    <w:p w14:paraId="21721E79" w14:textId="77777777" w:rsidR="00EF20DC" w:rsidRPr="00EF20DC" w:rsidRDefault="00EF20DC" w:rsidP="001F1094">
      <w:pPr>
        <w:tabs>
          <w:tab w:val="left" w:pos="567"/>
        </w:tabs>
        <w:rPr>
          <w:rFonts w:eastAsia="SimSun"/>
          <w:sz w:val="22"/>
          <w:szCs w:val="22"/>
          <w:lang w:eastAsia="zh-CN"/>
        </w:rPr>
      </w:pPr>
    </w:p>
    <w:p w14:paraId="3207D0B7"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sz w:val="22"/>
          <w:szCs w:val="22"/>
          <w:lang w:eastAsia="zh-CN"/>
        </w:rPr>
      </w:pPr>
      <w:r w:rsidRPr="00EF20DC">
        <w:rPr>
          <w:rFonts w:eastAsia="SimSun"/>
          <w:b/>
          <w:sz w:val="22"/>
          <w:szCs w:val="22"/>
          <w:lang w:eastAsia="zh-CN"/>
        </w:rPr>
        <w:t>10.</w:t>
      </w:r>
      <w:r w:rsidRPr="00EF20DC">
        <w:rPr>
          <w:rFonts w:eastAsia="SimSun"/>
          <w:b/>
          <w:sz w:val="22"/>
          <w:szCs w:val="22"/>
          <w:lang w:eastAsia="zh-CN"/>
        </w:rPr>
        <w:tab/>
        <w:t>SPECIALIOS ATSARGUMO PRIEMONĖS DĖL NESUVARTOTO VAISTINIO PREPARATO AR JO ATLIEKŲ TVARKYMO (JEI REIKIA)</w:t>
      </w:r>
    </w:p>
    <w:p w14:paraId="70DEBE44" w14:textId="77777777" w:rsidR="00EF20DC" w:rsidRPr="00EF20DC" w:rsidRDefault="00EF20DC" w:rsidP="001F1094">
      <w:pPr>
        <w:tabs>
          <w:tab w:val="left" w:pos="567"/>
        </w:tabs>
        <w:rPr>
          <w:rFonts w:eastAsia="SimSun"/>
          <w:sz w:val="22"/>
          <w:szCs w:val="22"/>
          <w:lang w:eastAsia="zh-CN"/>
        </w:rPr>
      </w:pPr>
    </w:p>
    <w:p w14:paraId="2C3622FA" w14:textId="77777777" w:rsidR="00EF20DC" w:rsidRPr="00EF20DC" w:rsidRDefault="00EF20DC" w:rsidP="001F1094">
      <w:pPr>
        <w:tabs>
          <w:tab w:val="left" w:pos="567"/>
        </w:tabs>
        <w:rPr>
          <w:rFonts w:eastAsia="SimSun"/>
          <w:sz w:val="22"/>
          <w:szCs w:val="22"/>
          <w:lang w:eastAsia="zh-CN"/>
        </w:rPr>
      </w:pPr>
    </w:p>
    <w:p w14:paraId="33E8966E"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11.</w:t>
      </w:r>
      <w:r w:rsidRPr="00EF20DC">
        <w:rPr>
          <w:rFonts w:eastAsia="SimSun"/>
          <w:b/>
          <w:sz w:val="22"/>
          <w:szCs w:val="22"/>
          <w:lang w:eastAsia="zh-CN"/>
        </w:rPr>
        <w:tab/>
      </w:r>
      <w:r w:rsidRPr="00EF20DC">
        <w:rPr>
          <w:rFonts w:eastAsia="SimSun"/>
          <w:b/>
          <w:caps/>
          <w:sz w:val="22"/>
          <w:szCs w:val="22"/>
          <w:lang w:eastAsia="zh-CN"/>
        </w:rPr>
        <w:t>rEGISTRUOTOJO PAVADINIMAS IR ADRESAS</w:t>
      </w:r>
    </w:p>
    <w:p w14:paraId="7CDFC9FB" w14:textId="77777777" w:rsidR="00EF20DC" w:rsidRPr="00EF20DC" w:rsidRDefault="00EF20DC" w:rsidP="001F1094">
      <w:pPr>
        <w:tabs>
          <w:tab w:val="left" w:pos="567"/>
        </w:tabs>
        <w:rPr>
          <w:rFonts w:eastAsia="SimSun"/>
          <w:sz w:val="22"/>
          <w:szCs w:val="22"/>
          <w:lang w:eastAsia="zh-CN"/>
        </w:rPr>
      </w:pPr>
    </w:p>
    <w:p w14:paraId="3054A216" w14:textId="487D5780" w:rsidR="00F371E2" w:rsidRPr="00F371E2" w:rsidRDefault="00E653EA" w:rsidP="001F1094">
      <w:pPr>
        <w:tabs>
          <w:tab w:val="left" w:pos="425"/>
          <w:tab w:val="left" w:pos="567"/>
        </w:tabs>
        <w:suppressAutoHyphens/>
        <w:rPr>
          <w:color w:val="000000"/>
          <w:sz w:val="22"/>
          <w:szCs w:val="22"/>
          <w:lang w:val="sl-SI" w:eastAsia="ar-SA"/>
        </w:rPr>
      </w:pPr>
      <w:r>
        <w:rPr>
          <w:color w:val="000000"/>
          <w:sz w:val="22"/>
          <w:szCs w:val="22"/>
          <w:lang w:val="sl-SI" w:eastAsia="ar-SA"/>
        </w:rPr>
        <w:t>Sandoz</w:t>
      </w:r>
      <w:r w:rsidR="00F371E2" w:rsidRPr="00F371E2">
        <w:rPr>
          <w:color w:val="000000"/>
          <w:sz w:val="22"/>
          <w:szCs w:val="22"/>
          <w:lang w:val="sl-SI" w:eastAsia="ar-SA"/>
        </w:rPr>
        <w:t xml:space="preserve"> d.d.</w:t>
      </w:r>
    </w:p>
    <w:p w14:paraId="39DB023B" w14:textId="77777777" w:rsidR="00F371E2" w:rsidRPr="00F371E2" w:rsidRDefault="00F371E2" w:rsidP="001F1094">
      <w:pPr>
        <w:tabs>
          <w:tab w:val="left" w:pos="425"/>
          <w:tab w:val="left" w:pos="567"/>
        </w:tabs>
        <w:suppressAutoHyphens/>
        <w:rPr>
          <w:color w:val="000000"/>
          <w:sz w:val="22"/>
          <w:szCs w:val="22"/>
          <w:lang w:val="sl-SI" w:eastAsia="ar-SA"/>
        </w:rPr>
      </w:pPr>
      <w:r w:rsidRPr="00F371E2">
        <w:rPr>
          <w:color w:val="000000"/>
          <w:sz w:val="22"/>
          <w:szCs w:val="22"/>
          <w:lang w:val="sl-SI" w:eastAsia="ar-SA"/>
        </w:rPr>
        <w:t>Verovškova 57</w:t>
      </w:r>
    </w:p>
    <w:p w14:paraId="21F15BEA" w14:textId="579A370C" w:rsidR="00F371E2" w:rsidRPr="00F371E2" w:rsidRDefault="004C3091" w:rsidP="001F1094">
      <w:pPr>
        <w:tabs>
          <w:tab w:val="left" w:pos="425"/>
          <w:tab w:val="left" w:pos="567"/>
        </w:tabs>
        <w:suppressAutoHyphens/>
        <w:rPr>
          <w:color w:val="000000"/>
          <w:sz w:val="22"/>
          <w:szCs w:val="22"/>
          <w:lang w:val="sl-SI" w:eastAsia="ar-SA"/>
        </w:rPr>
      </w:pPr>
      <w:r>
        <w:rPr>
          <w:color w:val="000000"/>
          <w:sz w:val="22"/>
          <w:szCs w:val="22"/>
          <w:lang w:val="sl-SI" w:eastAsia="ar-SA"/>
        </w:rPr>
        <w:t>SI-</w:t>
      </w:r>
      <w:r w:rsidR="00F371E2" w:rsidRPr="00F371E2">
        <w:rPr>
          <w:color w:val="000000"/>
          <w:sz w:val="22"/>
          <w:szCs w:val="22"/>
          <w:lang w:val="sl-SI" w:eastAsia="ar-SA"/>
        </w:rPr>
        <w:t>1000 Ljubljana</w:t>
      </w:r>
    </w:p>
    <w:p w14:paraId="435FE89D" w14:textId="77777777" w:rsidR="00F371E2" w:rsidRPr="00F371E2" w:rsidRDefault="00F371E2" w:rsidP="001F1094">
      <w:pPr>
        <w:tabs>
          <w:tab w:val="left" w:pos="425"/>
          <w:tab w:val="left" w:pos="567"/>
        </w:tabs>
        <w:suppressAutoHyphens/>
        <w:rPr>
          <w:rFonts w:eastAsia="SimSun"/>
          <w:color w:val="000000"/>
          <w:sz w:val="22"/>
          <w:szCs w:val="22"/>
          <w:lang w:val="sl-SI" w:eastAsia="ar-SA"/>
        </w:rPr>
      </w:pPr>
      <w:r w:rsidRPr="00F371E2">
        <w:rPr>
          <w:color w:val="000000"/>
          <w:sz w:val="22"/>
          <w:szCs w:val="22"/>
          <w:lang w:val="sl-SI" w:eastAsia="ar-SA"/>
        </w:rPr>
        <w:t>Slovėnija</w:t>
      </w:r>
    </w:p>
    <w:p w14:paraId="516BA940" w14:textId="77777777" w:rsidR="00EF20DC" w:rsidRPr="00EF20DC" w:rsidRDefault="00EF20DC" w:rsidP="001F1094">
      <w:pPr>
        <w:tabs>
          <w:tab w:val="left" w:pos="567"/>
        </w:tabs>
        <w:rPr>
          <w:rFonts w:eastAsia="SimSun"/>
          <w:sz w:val="22"/>
          <w:szCs w:val="22"/>
          <w:lang w:eastAsia="zh-CN"/>
        </w:rPr>
      </w:pPr>
    </w:p>
    <w:p w14:paraId="2A48CA67" w14:textId="77777777" w:rsidR="00EF20DC" w:rsidRPr="00EF20DC" w:rsidRDefault="00EF20DC" w:rsidP="001F1094">
      <w:pPr>
        <w:tabs>
          <w:tab w:val="left" w:pos="567"/>
        </w:tabs>
        <w:rPr>
          <w:rFonts w:eastAsia="SimSun"/>
          <w:sz w:val="22"/>
          <w:szCs w:val="22"/>
          <w:lang w:eastAsia="zh-CN"/>
        </w:rPr>
      </w:pPr>
    </w:p>
    <w:p w14:paraId="45899634"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12.</w:t>
      </w:r>
      <w:r w:rsidRPr="00EF20DC">
        <w:rPr>
          <w:rFonts w:eastAsia="SimSun"/>
          <w:b/>
          <w:sz w:val="22"/>
          <w:szCs w:val="22"/>
          <w:lang w:eastAsia="zh-CN"/>
        </w:rPr>
        <w:tab/>
        <w:t xml:space="preserve">REGISTRACIJOS PAŽYMĖJIMO NUMERIS (-IAI) </w:t>
      </w:r>
    </w:p>
    <w:p w14:paraId="4A5418FD" w14:textId="18BC6A4E" w:rsidR="00EF20DC" w:rsidRDefault="00EF20DC" w:rsidP="001F1094">
      <w:pPr>
        <w:tabs>
          <w:tab w:val="left" w:pos="567"/>
        </w:tabs>
        <w:rPr>
          <w:rFonts w:eastAsia="SimSun"/>
          <w:sz w:val="22"/>
          <w:szCs w:val="22"/>
          <w:lang w:eastAsia="zh-CN"/>
        </w:rPr>
      </w:pPr>
    </w:p>
    <w:p w14:paraId="478BE1D1" w14:textId="77777777" w:rsidR="003C7C5B" w:rsidRPr="003C7C5B" w:rsidRDefault="003C7C5B" w:rsidP="003C7C5B">
      <w:pPr>
        <w:rPr>
          <w:rFonts w:eastAsia="Calibri"/>
          <w:sz w:val="22"/>
          <w:szCs w:val="22"/>
          <w:highlight w:val="lightGray"/>
        </w:rPr>
      </w:pPr>
      <w:r w:rsidRPr="003C7C5B">
        <w:rPr>
          <w:rFonts w:eastAsia="SimSun"/>
          <w:sz w:val="22"/>
          <w:szCs w:val="22"/>
          <w:lang w:eastAsia="zh-CN"/>
        </w:rPr>
        <w:t xml:space="preserve">LT/1/21/4762/001 </w:t>
      </w:r>
      <w:r w:rsidRPr="003C7C5B">
        <w:rPr>
          <w:rFonts w:eastAsia="Calibri"/>
          <w:sz w:val="22"/>
          <w:szCs w:val="22"/>
          <w:highlight w:val="lightGray"/>
        </w:rPr>
        <w:t>– N28</w:t>
      </w:r>
    </w:p>
    <w:p w14:paraId="545DE4C7" w14:textId="77777777" w:rsidR="003C7C5B" w:rsidRPr="003C7C5B" w:rsidRDefault="003C7C5B" w:rsidP="003C7C5B">
      <w:pPr>
        <w:rPr>
          <w:rFonts w:eastAsia="Calibri"/>
          <w:sz w:val="22"/>
          <w:szCs w:val="22"/>
          <w:highlight w:val="lightGray"/>
        </w:rPr>
      </w:pPr>
      <w:r w:rsidRPr="003C7C5B">
        <w:rPr>
          <w:rFonts w:eastAsia="Calibri"/>
          <w:sz w:val="22"/>
          <w:szCs w:val="22"/>
          <w:highlight w:val="lightGray"/>
        </w:rPr>
        <w:t>LT/1/21/4762/008 – N28x1</w:t>
      </w:r>
    </w:p>
    <w:p w14:paraId="5C62E3F8" w14:textId="77777777" w:rsidR="003C7C5B" w:rsidRPr="003C7C5B" w:rsidRDefault="003C7C5B" w:rsidP="003C7C5B">
      <w:pPr>
        <w:rPr>
          <w:rFonts w:eastAsia="Calibri"/>
          <w:sz w:val="22"/>
          <w:szCs w:val="22"/>
          <w:highlight w:val="lightGray"/>
        </w:rPr>
      </w:pPr>
      <w:r w:rsidRPr="003C7C5B">
        <w:rPr>
          <w:rFonts w:eastAsia="Calibri"/>
          <w:sz w:val="22"/>
          <w:szCs w:val="22"/>
          <w:highlight w:val="lightGray"/>
        </w:rPr>
        <w:t>LT/1/21/4762/002 – N30</w:t>
      </w:r>
    </w:p>
    <w:p w14:paraId="01D351FB" w14:textId="77777777" w:rsidR="003C7C5B" w:rsidRPr="003C7C5B" w:rsidRDefault="003C7C5B" w:rsidP="003C7C5B">
      <w:pPr>
        <w:rPr>
          <w:rFonts w:eastAsia="Calibri"/>
          <w:sz w:val="22"/>
          <w:szCs w:val="22"/>
          <w:highlight w:val="lightGray"/>
        </w:rPr>
      </w:pPr>
      <w:r w:rsidRPr="003C7C5B">
        <w:rPr>
          <w:rFonts w:eastAsia="Calibri"/>
          <w:sz w:val="22"/>
          <w:szCs w:val="22"/>
          <w:highlight w:val="lightGray"/>
        </w:rPr>
        <w:t>LT/1/21/4762/009 – N30x1</w:t>
      </w:r>
    </w:p>
    <w:p w14:paraId="58D08127" w14:textId="77777777" w:rsidR="003C7C5B" w:rsidRPr="003C7C5B" w:rsidRDefault="003C7C5B" w:rsidP="003C7C5B">
      <w:pPr>
        <w:rPr>
          <w:rFonts w:eastAsia="Calibri"/>
          <w:sz w:val="22"/>
          <w:szCs w:val="22"/>
          <w:highlight w:val="lightGray"/>
        </w:rPr>
      </w:pPr>
      <w:r w:rsidRPr="003C7C5B">
        <w:rPr>
          <w:rFonts w:eastAsia="Calibri"/>
          <w:sz w:val="22"/>
          <w:szCs w:val="22"/>
          <w:highlight w:val="lightGray"/>
        </w:rPr>
        <w:t>LT/1/21/4762/003 – N56</w:t>
      </w:r>
    </w:p>
    <w:p w14:paraId="520A4C70" w14:textId="77777777" w:rsidR="003C7C5B" w:rsidRPr="003C7C5B" w:rsidRDefault="003C7C5B" w:rsidP="003C7C5B">
      <w:pPr>
        <w:rPr>
          <w:rFonts w:eastAsia="Calibri"/>
          <w:sz w:val="22"/>
          <w:szCs w:val="22"/>
          <w:highlight w:val="lightGray"/>
        </w:rPr>
      </w:pPr>
      <w:r w:rsidRPr="003C7C5B">
        <w:rPr>
          <w:rFonts w:eastAsia="Calibri"/>
          <w:sz w:val="22"/>
          <w:szCs w:val="22"/>
          <w:highlight w:val="lightGray"/>
        </w:rPr>
        <w:t>LT/1/21/4762/010 – N56x1</w:t>
      </w:r>
    </w:p>
    <w:p w14:paraId="51F789C3" w14:textId="77777777" w:rsidR="003C7C5B" w:rsidRPr="003C7C5B" w:rsidRDefault="003C7C5B" w:rsidP="003C7C5B">
      <w:pPr>
        <w:rPr>
          <w:rFonts w:eastAsia="Calibri"/>
          <w:sz w:val="22"/>
          <w:szCs w:val="22"/>
          <w:highlight w:val="lightGray"/>
        </w:rPr>
      </w:pPr>
      <w:r w:rsidRPr="003C7C5B">
        <w:rPr>
          <w:rFonts w:eastAsia="Calibri"/>
          <w:sz w:val="22"/>
          <w:szCs w:val="22"/>
          <w:highlight w:val="lightGray"/>
        </w:rPr>
        <w:t>LT/1/21/4762/004 – N60</w:t>
      </w:r>
    </w:p>
    <w:p w14:paraId="45173E07" w14:textId="77777777" w:rsidR="003C7C5B" w:rsidRPr="003C7C5B" w:rsidRDefault="003C7C5B" w:rsidP="003C7C5B">
      <w:pPr>
        <w:rPr>
          <w:rFonts w:eastAsia="SimSun"/>
          <w:sz w:val="22"/>
          <w:szCs w:val="22"/>
          <w:lang w:eastAsia="zh-CN"/>
        </w:rPr>
      </w:pPr>
      <w:r w:rsidRPr="003C7C5B">
        <w:rPr>
          <w:rFonts w:eastAsia="Calibri"/>
          <w:sz w:val="22"/>
          <w:szCs w:val="22"/>
          <w:highlight w:val="lightGray"/>
        </w:rPr>
        <w:t>LT/1/21/4762/011 – N60x1</w:t>
      </w:r>
    </w:p>
    <w:p w14:paraId="61C13DED" w14:textId="77777777" w:rsidR="003C7C5B" w:rsidRPr="00EF20DC" w:rsidRDefault="003C7C5B" w:rsidP="003C7C5B">
      <w:pPr>
        <w:tabs>
          <w:tab w:val="left" w:pos="567"/>
        </w:tabs>
        <w:rPr>
          <w:rFonts w:eastAsia="SimSun"/>
          <w:sz w:val="22"/>
          <w:szCs w:val="22"/>
          <w:lang w:eastAsia="zh-CN"/>
        </w:rPr>
      </w:pPr>
    </w:p>
    <w:p w14:paraId="3C5446E5" w14:textId="77777777" w:rsidR="00F371E2" w:rsidRPr="00EF20DC" w:rsidRDefault="00F371E2" w:rsidP="001F1094">
      <w:pPr>
        <w:tabs>
          <w:tab w:val="left" w:pos="567"/>
        </w:tabs>
        <w:rPr>
          <w:rFonts w:eastAsia="SimSun"/>
          <w:sz w:val="22"/>
          <w:szCs w:val="22"/>
          <w:lang w:eastAsia="zh-CN"/>
        </w:rPr>
      </w:pPr>
    </w:p>
    <w:p w14:paraId="08308866"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13.</w:t>
      </w:r>
      <w:r w:rsidRPr="00EF20DC">
        <w:rPr>
          <w:rFonts w:eastAsia="SimSun"/>
          <w:b/>
          <w:sz w:val="22"/>
          <w:szCs w:val="22"/>
          <w:lang w:eastAsia="zh-CN"/>
        </w:rPr>
        <w:tab/>
        <w:t xml:space="preserve">SERIJOS NUMERIS </w:t>
      </w:r>
    </w:p>
    <w:p w14:paraId="48ED764A" w14:textId="77777777" w:rsidR="00EF20DC" w:rsidRPr="00EF20DC" w:rsidRDefault="00EF20DC" w:rsidP="001F1094">
      <w:pPr>
        <w:tabs>
          <w:tab w:val="left" w:pos="567"/>
        </w:tabs>
        <w:rPr>
          <w:rFonts w:eastAsia="SimSun"/>
          <w:sz w:val="22"/>
          <w:szCs w:val="22"/>
          <w:lang w:eastAsia="zh-CN"/>
        </w:rPr>
      </w:pPr>
    </w:p>
    <w:p w14:paraId="58DFC86D" w14:textId="77777777" w:rsidR="00EF20DC" w:rsidRPr="00EF20DC" w:rsidRDefault="00EF20DC" w:rsidP="001F1094">
      <w:pPr>
        <w:tabs>
          <w:tab w:val="left" w:pos="567"/>
        </w:tabs>
        <w:rPr>
          <w:rFonts w:eastAsia="SimSun"/>
          <w:sz w:val="22"/>
          <w:szCs w:val="22"/>
          <w:lang w:eastAsia="zh-CN"/>
        </w:rPr>
      </w:pPr>
      <w:r w:rsidRPr="00EF20DC">
        <w:rPr>
          <w:rFonts w:eastAsia="SimSun"/>
          <w:sz w:val="22"/>
          <w:szCs w:val="22"/>
          <w:lang w:eastAsia="zh-CN"/>
        </w:rPr>
        <w:t xml:space="preserve">Lot </w:t>
      </w:r>
    </w:p>
    <w:p w14:paraId="1C18EBBF" w14:textId="77777777" w:rsidR="00EF20DC" w:rsidRPr="00EF20DC" w:rsidRDefault="00EF20DC" w:rsidP="001F1094">
      <w:pPr>
        <w:tabs>
          <w:tab w:val="left" w:pos="567"/>
        </w:tabs>
        <w:rPr>
          <w:rFonts w:eastAsia="SimSun"/>
          <w:sz w:val="22"/>
          <w:szCs w:val="22"/>
          <w:lang w:eastAsia="zh-CN"/>
        </w:rPr>
      </w:pPr>
    </w:p>
    <w:p w14:paraId="0318B251" w14:textId="77777777" w:rsidR="00EF20DC" w:rsidRPr="00EF20DC" w:rsidRDefault="00EF20DC" w:rsidP="001F1094">
      <w:pPr>
        <w:tabs>
          <w:tab w:val="left" w:pos="567"/>
        </w:tabs>
        <w:rPr>
          <w:rFonts w:eastAsia="SimSun"/>
          <w:sz w:val="22"/>
          <w:szCs w:val="22"/>
          <w:lang w:eastAsia="zh-CN"/>
        </w:rPr>
      </w:pPr>
    </w:p>
    <w:p w14:paraId="657D7C2E"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14.</w:t>
      </w:r>
      <w:r w:rsidRPr="00EF20DC">
        <w:rPr>
          <w:rFonts w:eastAsia="SimSun"/>
          <w:b/>
          <w:sz w:val="22"/>
          <w:szCs w:val="22"/>
          <w:lang w:eastAsia="zh-CN"/>
        </w:rPr>
        <w:tab/>
        <w:t>PARDAVIMO (IŠDAVIMO) TVARKA</w:t>
      </w:r>
    </w:p>
    <w:p w14:paraId="1A11D7BE" w14:textId="77777777" w:rsidR="00EF20DC" w:rsidRPr="00EF20DC" w:rsidRDefault="00EF20DC" w:rsidP="001F1094">
      <w:pPr>
        <w:tabs>
          <w:tab w:val="left" w:pos="567"/>
        </w:tabs>
        <w:rPr>
          <w:rFonts w:eastAsia="SimSun"/>
          <w:sz w:val="22"/>
          <w:szCs w:val="22"/>
          <w:lang w:eastAsia="zh-CN"/>
        </w:rPr>
      </w:pPr>
    </w:p>
    <w:p w14:paraId="398E5523" w14:textId="77777777" w:rsidR="00EF20DC" w:rsidRPr="00EF20DC" w:rsidRDefault="00EF20DC" w:rsidP="001F1094">
      <w:pPr>
        <w:tabs>
          <w:tab w:val="left" w:pos="567"/>
        </w:tabs>
        <w:rPr>
          <w:rFonts w:eastAsia="SimSun"/>
          <w:sz w:val="22"/>
          <w:szCs w:val="22"/>
          <w:lang w:eastAsia="zh-CN"/>
        </w:rPr>
      </w:pPr>
      <w:r w:rsidRPr="00EF20DC">
        <w:rPr>
          <w:rFonts w:eastAsia="SimSun"/>
          <w:sz w:val="22"/>
          <w:szCs w:val="22"/>
          <w:lang w:eastAsia="zh-CN"/>
        </w:rPr>
        <w:t>Receptinis vaistas</w:t>
      </w:r>
    </w:p>
    <w:p w14:paraId="2464F3A3" w14:textId="77777777" w:rsidR="00EF20DC" w:rsidRPr="00EF20DC" w:rsidRDefault="00EF20DC" w:rsidP="001F1094">
      <w:pPr>
        <w:tabs>
          <w:tab w:val="left" w:pos="567"/>
        </w:tabs>
        <w:rPr>
          <w:rFonts w:eastAsia="SimSun"/>
          <w:sz w:val="22"/>
          <w:szCs w:val="22"/>
          <w:lang w:eastAsia="zh-CN"/>
        </w:rPr>
      </w:pPr>
    </w:p>
    <w:p w14:paraId="4FE37879" w14:textId="77777777" w:rsidR="00EF20DC" w:rsidRPr="00EF20DC" w:rsidRDefault="00EF20DC" w:rsidP="001F1094">
      <w:pPr>
        <w:tabs>
          <w:tab w:val="left" w:pos="567"/>
        </w:tabs>
        <w:rPr>
          <w:rFonts w:eastAsia="SimSun"/>
          <w:sz w:val="22"/>
          <w:szCs w:val="22"/>
          <w:lang w:eastAsia="zh-CN"/>
        </w:rPr>
      </w:pPr>
    </w:p>
    <w:p w14:paraId="6491A600" w14:textId="77777777" w:rsidR="00EF20DC" w:rsidRPr="00EF20DC" w:rsidRDefault="00EF20DC" w:rsidP="001F1094">
      <w:pPr>
        <w:suppressLineNumbers/>
        <w:pBdr>
          <w:top w:val="single" w:sz="4" w:space="2"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15.</w:t>
      </w:r>
      <w:r w:rsidRPr="00EF20DC">
        <w:rPr>
          <w:rFonts w:eastAsia="SimSun"/>
          <w:b/>
          <w:sz w:val="22"/>
          <w:szCs w:val="22"/>
          <w:lang w:eastAsia="zh-CN"/>
        </w:rPr>
        <w:tab/>
        <w:t>VARTOJIMO INSTRUKCIJA</w:t>
      </w:r>
    </w:p>
    <w:p w14:paraId="429A4B5B" w14:textId="77777777" w:rsidR="00EF20DC" w:rsidRPr="00EF20DC" w:rsidRDefault="00EF20DC" w:rsidP="001F1094">
      <w:pPr>
        <w:tabs>
          <w:tab w:val="left" w:pos="567"/>
        </w:tabs>
        <w:rPr>
          <w:rFonts w:eastAsia="SimSun"/>
          <w:sz w:val="22"/>
          <w:szCs w:val="22"/>
          <w:lang w:eastAsia="zh-CN"/>
        </w:rPr>
      </w:pPr>
    </w:p>
    <w:p w14:paraId="3449B77A" w14:textId="77777777" w:rsidR="00EF20DC" w:rsidRPr="00EF20DC" w:rsidRDefault="00EF20DC" w:rsidP="001F1094">
      <w:pPr>
        <w:tabs>
          <w:tab w:val="left" w:pos="567"/>
        </w:tabs>
        <w:rPr>
          <w:rFonts w:eastAsia="SimSun"/>
          <w:sz w:val="22"/>
          <w:szCs w:val="22"/>
          <w:lang w:eastAsia="zh-CN"/>
        </w:rPr>
      </w:pPr>
    </w:p>
    <w:p w14:paraId="0B109FDC" w14:textId="77777777" w:rsidR="00EF20DC" w:rsidRPr="00EF20DC" w:rsidRDefault="00EF20DC" w:rsidP="001F1094">
      <w:pPr>
        <w:suppressLineNumbers/>
        <w:pBdr>
          <w:top w:val="single" w:sz="4" w:space="1" w:color="auto"/>
          <w:left w:val="single" w:sz="4" w:space="4" w:color="auto"/>
          <w:bottom w:val="single" w:sz="4" w:space="0" w:color="auto"/>
          <w:right w:val="single" w:sz="4" w:space="4" w:color="auto"/>
        </w:pBdr>
        <w:tabs>
          <w:tab w:val="left" w:pos="567"/>
        </w:tabs>
        <w:rPr>
          <w:rFonts w:eastAsia="Calibri"/>
          <w:sz w:val="22"/>
          <w:szCs w:val="22"/>
        </w:rPr>
      </w:pPr>
      <w:r w:rsidRPr="00EF20DC">
        <w:rPr>
          <w:rFonts w:eastAsia="SimSun"/>
          <w:b/>
          <w:sz w:val="22"/>
          <w:szCs w:val="22"/>
          <w:lang w:eastAsia="zh-CN"/>
        </w:rPr>
        <w:t>16.</w:t>
      </w:r>
      <w:r w:rsidRPr="00EF20DC">
        <w:rPr>
          <w:rFonts w:eastAsia="SimSun"/>
          <w:b/>
          <w:sz w:val="22"/>
          <w:szCs w:val="22"/>
          <w:lang w:eastAsia="zh-CN"/>
        </w:rPr>
        <w:tab/>
        <w:t>INFORMACIJA BRAILIO RAŠTU</w:t>
      </w:r>
    </w:p>
    <w:p w14:paraId="17D17AEA" w14:textId="77777777" w:rsidR="00EF20DC" w:rsidRPr="00EF20DC" w:rsidRDefault="00EF20DC" w:rsidP="001F1094">
      <w:pPr>
        <w:tabs>
          <w:tab w:val="left" w:pos="567"/>
        </w:tabs>
        <w:autoSpaceDE w:val="0"/>
        <w:autoSpaceDN w:val="0"/>
        <w:adjustRightInd w:val="0"/>
        <w:rPr>
          <w:rFonts w:eastAsia="Calibri"/>
          <w:sz w:val="22"/>
          <w:szCs w:val="22"/>
          <w:lang w:eastAsia="lt-LT"/>
        </w:rPr>
      </w:pPr>
    </w:p>
    <w:p w14:paraId="5A651B21" w14:textId="488DC80F" w:rsidR="00EF20DC" w:rsidRPr="00EF20DC" w:rsidRDefault="00EF20DC" w:rsidP="001F1094">
      <w:pPr>
        <w:tabs>
          <w:tab w:val="left" w:pos="567"/>
        </w:tabs>
        <w:autoSpaceDE w:val="0"/>
        <w:autoSpaceDN w:val="0"/>
        <w:adjustRightInd w:val="0"/>
        <w:rPr>
          <w:rFonts w:eastAsia="Calibri"/>
          <w:sz w:val="22"/>
          <w:szCs w:val="22"/>
          <w:lang w:eastAsia="lt-LT"/>
        </w:rPr>
      </w:pPr>
      <w:r w:rsidRPr="00EF20DC">
        <w:rPr>
          <w:rFonts w:eastAsia="Calibri"/>
          <w:sz w:val="22"/>
          <w:szCs w:val="22"/>
          <w:lang w:eastAsia="lt-LT"/>
        </w:rPr>
        <w:t>Sorafenib</w:t>
      </w:r>
      <w:r w:rsidR="00F371E2">
        <w:rPr>
          <w:rFonts w:eastAsia="Calibri"/>
          <w:sz w:val="22"/>
          <w:szCs w:val="22"/>
          <w:lang w:eastAsia="lt-LT"/>
        </w:rPr>
        <w:t xml:space="preserve"> </w:t>
      </w:r>
      <w:r w:rsidR="00D71A25">
        <w:rPr>
          <w:rFonts w:eastAsia="Calibri"/>
          <w:sz w:val="22"/>
          <w:szCs w:val="22"/>
          <w:lang w:eastAsia="lt-LT"/>
        </w:rPr>
        <w:t>Sandoz</w:t>
      </w:r>
      <w:r w:rsidR="00F371E2">
        <w:rPr>
          <w:rFonts w:eastAsia="Calibri"/>
          <w:sz w:val="22"/>
          <w:szCs w:val="22"/>
          <w:lang w:eastAsia="lt-LT"/>
        </w:rPr>
        <w:t xml:space="preserve"> </w:t>
      </w:r>
      <w:r w:rsidR="0093742E">
        <w:rPr>
          <w:rFonts w:eastAsia="Calibri"/>
          <w:sz w:val="22"/>
          <w:szCs w:val="22"/>
          <w:lang w:eastAsia="lt-LT"/>
        </w:rPr>
        <w:t>4</w:t>
      </w:r>
      <w:r w:rsidRPr="00EF20DC">
        <w:rPr>
          <w:rFonts w:eastAsia="Calibri"/>
          <w:sz w:val="22"/>
          <w:szCs w:val="22"/>
          <w:lang w:eastAsia="lt-LT"/>
        </w:rPr>
        <w:t xml:space="preserve">00 mg </w:t>
      </w:r>
    </w:p>
    <w:p w14:paraId="73CE9CB3" w14:textId="77777777" w:rsidR="00EF20DC" w:rsidRPr="00EF20DC" w:rsidRDefault="00EF20DC" w:rsidP="001F1094">
      <w:pPr>
        <w:tabs>
          <w:tab w:val="left" w:pos="567"/>
        </w:tabs>
        <w:rPr>
          <w:rFonts w:eastAsia="Calibri"/>
          <w:sz w:val="22"/>
          <w:szCs w:val="22"/>
          <w:highlight w:val="lightGray"/>
        </w:rPr>
      </w:pPr>
    </w:p>
    <w:p w14:paraId="585E6574" w14:textId="77777777" w:rsidR="00EF20DC" w:rsidRPr="00EF20DC" w:rsidRDefault="00EF20DC" w:rsidP="001F1094">
      <w:pPr>
        <w:tabs>
          <w:tab w:val="left" w:pos="567"/>
        </w:tabs>
        <w:rPr>
          <w:rFonts w:eastAsia="Calibri"/>
          <w:sz w:val="22"/>
          <w:szCs w:val="22"/>
          <w:highlight w:val="lightGray"/>
        </w:rPr>
      </w:pPr>
    </w:p>
    <w:p w14:paraId="3866F8AB" w14:textId="77777777" w:rsidR="00EF20DC" w:rsidRPr="00EF20DC" w:rsidRDefault="00EF20DC" w:rsidP="001F1094">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sz w:val="22"/>
          <w:szCs w:val="22"/>
          <w:lang w:bidi="lt-LT"/>
        </w:rPr>
      </w:pPr>
      <w:r w:rsidRPr="00EF20DC">
        <w:rPr>
          <w:b/>
          <w:snapToGrid w:val="0"/>
          <w:sz w:val="22"/>
          <w:szCs w:val="22"/>
          <w:lang w:bidi="lt-LT"/>
        </w:rPr>
        <w:t>17.</w:t>
      </w:r>
      <w:r w:rsidRPr="00EF20DC">
        <w:rPr>
          <w:b/>
          <w:snapToGrid w:val="0"/>
          <w:sz w:val="22"/>
          <w:szCs w:val="22"/>
          <w:lang w:bidi="lt-LT"/>
        </w:rPr>
        <w:tab/>
        <w:t>UNIKALUS IDENTIFIKATORIUS – 2D BRŪKŠNINIS KODAS</w:t>
      </w:r>
    </w:p>
    <w:p w14:paraId="615E96AE" w14:textId="77777777" w:rsidR="00EF20DC" w:rsidRPr="00EF20DC" w:rsidRDefault="00EF20DC" w:rsidP="001F1094">
      <w:pPr>
        <w:tabs>
          <w:tab w:val="left" w:pos="567"/>
        </w:tabs>
        <w:spacing w:line="260" w:lineRule="exact"/>
        <w:rPr>
          <w:rFonts w:eastAsia="Calibri"/>
          <w:sz w:val="22"/>
          <w:szCs w:val="22"/>
          <w:highlight w:val="lightGray"/>
        </w:rPr>
      </w:pPr>
    </w:p>
    <w:p w14:paraId="04C773E5" w14:textId="77777777" w:rsidR="00EF20DC" w:rsidRPr="00EF20DC" w:rsidRDefault="00EF20DC" w:rsidP="001F1094">
      <w:pPr>
        <w:tabs>
          <w:tab w:val="left" w:pos="567"/>
        </w:tabs>
        <w:spacing w:line="260" w:lineRule="exact"/>
        <w:rPr>
          <w:snapToGrid w:val="0"/>
          <w:sz w:val="22"/>
          <w:szCs w:val="22"/>
          <w:shd w:val="clear" w:color="auto" w:fill="CCCCCC"/>
          <w:lang w:bidi="lt-LT"/>
        </w:rPr>
      </w:pPr>
      <w:r w:rsidRPr="00EF20DC">
        <w:rPr>
          <w:rFonts w:eastAsia="Calibri"/>
          <w:sz w:val="22"/>
          <w:szCs w:val="22"/>
          <w:highlight w:val="lightGray"/>
        </w:rPr>
        <w:lastRenderedPageBreak/>
        <w:t>2D brūkšninis kodas su nurodytu unikaliu identifikatoriumi.</w:t>
      </w:r>
    </w:p>
    <w:p w14:paraId="72B5D422" w14:textId="77777777" w:rsidR="00EF20DC" w:rsidRPr="00EF20DC" w:rsidRDefault="00EF20DC" w:rsidP="001F1094">
      <w:pPr>
        <w:tabs>
          <w:tab w:val="left" w:pos="567"/>
        </w:tabs>
        <w:spacing w:line="260" w:lineRule="exact"/>
        <w:rPr>
          <w:snapToGrid w:val="0"/>
          <w:sz w:val="22"/>
          <w:szCs w:val="22"/>
          <w:lang w:bidi="lt-LT"/>
        </w:rPr>
      </w:pPr>
    </w:p>
    <w:p w14:paraId="4498022E" w14:textId="77777777" w:rsidR="00EF20DC" w:rsidRPr="00EF20DC" w:rsidRDefault="00EF20DC" w:rsidP="001F1094">
      <w:pPr>
        <w:tabs>
          <w:tab w:val="left" w:pos="567"/>
        </w:tabs>
        <w:spacing w:line="260" w:lineRule="exact"/>
        <w:rPr>
          <w:snapToGrid w:val="0"/>
          <w:sz w:val="22"/>
          <w:szCs w:val="22"/>
          <w:lang w:bidi="lt-LT"/>
        </w:rPr>
      </w:pPr>
    </w:p>
    <w:p w14:paraId="169872DC" w14:textId="77777777" w:rsidR="00EF20DC" w:rsidRPr="00EF20DC" w:rsidRDefault="00EF20DC" w:rsidP="001F1094">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sz w:val="22"/>
          <w:szCs w:val="22"/>
          <w:lang w:bidi="lt-LT"/>
        </w:rPr>
      </w:pPr>
      <w:r w:rsidRPr="00EF20DC">
        <w:rPr>
          <w:b/>
          <w:snapToGrid w:val="0"/>
          <w:sz w:val="22"/>
          <w:szCs w:val="22"/>
          <w:lang w:bidi="lt-LT"/>
        </w:rPr>
        <w:t>18.</w:t>
      </w:r>
      <w:r w:rsidRPr="00EF20DC">
        <w:rPr>
          <w:b/>
          <w:snapToGrid w:val="0"/>
          <w:sz w:val="22"/>
          <w:szCs w:val="22"/>
          <w:lang w:bidi="lt-LT"/>
        </w:rPr>
        <w:tab/>
        <w:t>UNIKALUS IDENTIFIKATORIUS – ŽMONĖMS SUPRANTAMI DUOMENYS</w:t>
      </w:r>
    </w:p>
    <w:p w14:paraId="717B14B8" w14:textId="77777777" w:rsidR="00EF20DC" w:rsidRPr="00EF20DC" w:rsidRDefault="00EF20DC" w:rsidP="001F1094">
      <w:pPr>
        <w:tabs>
          <w:tab w:val="left" w:pos="567"/>
        </w:tabs>
        <w:spacing w:line="260" w:lineRule="exact"/>
        <w:rPr>
          <w:snapToGrid w:val="0"/>
          <w:sz w:val="22"/>
          <w:szCs w:val="22"/>
          <w:lang w:bidi="lt-LT"/>
        </w:rPr>
      </w:pPr>
    </w:p>
    <w:p w14:paraId="19D6DCE5" w14:textId="74257CF1" w:rsidR="00EF20DC" w:rsidRPr="00EF20DC" w:rsidRDefault="00EF20DC" w:rsidP="001F1094">
      <w:pPr>
        <w:tabs>
          <w:tab w:val="left" w:pos="567"/>
        </w:tabs>
        <w:spacing w:line="260" w:lineRule="exact"/>
        <w:rPr>
          <w:snapToGrid w:val="0"/>
          <w:sz w:val="22"/>
          <w:szCs w:val="22"/>
          <w:lang w:bidi="lt-LT"/>
        </w:rPr>
      </w:pPr>
      <w:r w:rsidRPr="00EF20DC">
        <w:rPr>
          <w:snapToGrid w:val="0"/>
          <w:sz w:val="22"/>
          <w:szCs w:val="22"/>
          <w:lang w:bidi="lt-LT"/>
        </w:rPr>
        <w:t>PC</w:t>
      </w:r>
      <w:r w:rsidR="00655AA0">
        <w:rPr>
          <w:snapToGrid w:val="0"/>
          <w:sz w:val="22"/>
          <w:szCs w:val="22"/>
          <w:lang w:bidi="lt-LT"/>
        </w:rPr>
        <w:t>:</w:t>
      </w:r>
      <w:r w:rsidRPr="00EF20DC">
        <w:rPr>
          <w:snapToGrid w:val="0"/>
          <w:sz w:val="22"/>
          <w:szCs w:val="22"/>
          <w:lang w:bidi="lt-LT"/>
        </w:rPr>
        <w:t xml:space="preserve"> </w:t>
      </w:r>
      <w:r w:rsidR="009C0CC7" w:rsidRPr="00A07BA7">
        <w:rPr>
          <w:snapToGrid w:val="0"/>
          <w:sz w:val="22"/>
          <w:szCs w:val="20"/>
        </w:rPr>
        <w:t>{numeris}</w:t>
      </w:r>
    </w:p>
    <w:p w14:paraId="62E4EF04" w14:textId="5D371CCA" w:rsidR="00EF20DC" w:rsidRPr="00EF20DC" w:rsidRDefault="00EF20DC" w:rsidP="001F1094">
      <w:pPr>
        <w:tabs>
          <w:tab w:val="left" w:pos="567"/>
        </w:tabs>
        <w:spacing w:line="260" w:lineRule="exact"/>
        <w:rPr>
          <w:snapToGrid w:val="0"/>
          <w:sz w:val="22"/>
          <w:szCs w:val="22"/>
          <w:lang w:bidi="lt-LT"/>
        </w:rPr>
      </w:pPr>
      <w:r w:rsidRPr="00EF20DC">
        <w:rPr>
          <w:snapToGrid w:val="0"/>
          <w:sz w:val="22"/>
          <w:szCs w:val="22"/>
          <w:lang w:bidi="lt-LT"/>
        </w:rPr>
        <w:t>SN</w:t>
      </w:r>
      <w:r w:rsidR="00655AA0">
        <w:rPr>
          <w:snapToGrid w:val="0"/>
          <w:sz w:val="22"/>
          <w:szCs w:val="22"/>
          <w:lang w:bidi="lt-LT"/>
        </w:rPr>
        <w:t>:</w:t>
      </w:r>
      <w:r w:rsidRPr="00EF20DC">
        <w:rPr>
          <w:snapToGrid w:val="0"/>
          <w:sz w:val="22"/>
          <w:szCs w:val="22"/>
          <w:lang w:bidi="lt-LT"/>
        </w:rPr>
        <w:t xml:space="preserve"> </w:t>
      </w:r>
      <w:r w:rsidR="009C0CC7" w:rsidRPr="00A07BA7">
        <w:rPr>
          <w:snapToGrid w:val="0"/>
          <w:sz w:val="22"/>
          <w:szCs w:val="20"/>
        </w:rPr>
        <w:t>{numeris}</w:t>
      </w:r>
    </w:p>
    <w:p w14:paraId="03B264A4" w14:textId="1CA1AA36" w:rsidR="00EF20DC" w:rsidRPr="00A07BA7" w:rsidRDefault="00EF20DC" w:rsidP="001F1094">
      <w:pPr>
        <w:tabs>
          <w:tab w:val="left" w:pos="567"/>
        </w:tabs>
        <w:spacing w:line="260" w:lineRule="exact"/>
        <w:rPr>
          <w:snapToGrid w:val="0"/>
          <w:sz w:val="22"/>
          <w:szCs w:val="20"/>
        </w:rPr>
      </w:pPr>
      <w:r w:rsidRPr="005F6B46">
        <w:rPr>
          <w:rFonts w:eastAsia="Calibri"/>
          <w:sz w:val="22"/>
          <w:szCs w:val="22"/>
          <w:highlight w:val="lightGray"/>
        </w:rPr>
        <w:t>NN</w:t>
      </w:r>
      <w:r w:rsidR="00655AA0" w:rsidRPr="005F6B46">
        <w:rPr>
          <w:rFonts w:eastAsia="Calibri"/>
          <w:sz w:val="22"/>
          <w:szCs w:val="22"/>
          <w:highlight w:val="lightGray"/>
        </w:rPr>
        <w:t>:</w:t>
      </w:r>
      <w:r w:rsidRPr="005F6B46">
        <w:rPr>
          <w:rFonts w:eastAsia="Calibri"/>
          <w:sz w:val="22"/>
          <w:szCs w:val="22"/>
          <w:highlight w:val="lightGray"/>
        </w:rPr>
        <w:t xml:space="preserve"> </w:t>
      </w:r>
      <w:r w:rsidR="009C0CC7" w:rsidRPr="005F6B46">
        <w:rPr>
          <w:snapToGrid w:val="0"/>
          <w:sz w:val="22"/>
          <w:szCs w:val="20"/>
          <w:highlight w:val="lightGray"/>
        </w:rPr>
        <w:t>{numeris}</w:t>
      </w:r>
    </w:p>
    <w:p w14:paraId="010B8801" w14:textId="1710A3D5" w:rsidR="007D4CA2" w:rsidRPr="00A07BA7" w:rsidRDefault="007D4CA2">
      <w:pPr>
        <w:spacing w:after="160" w:line="259" w:lineRule="auto"/>
        <w:rPr>
          <w:snapToGrid w:val="0"/>
          <w:sz w:val="22"/>
          <w:szCs w:val="20"/>
        </w:rPr>
      </w:pPr>
      <w:r w:rsidRPr="00A07BA7">
        <w:rPr>
          <w:snapToGrid w:val="0"/>
          <w:sz w:val="22"/>
          <w:szCs w:val="20"/>
        </w:rPr>
        <w:br w:type="page"/>
      </w:r>
    </w:p>
    <w:p w14:paraId="1CF5DED0"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EF20DC">
        <w:rPr>
          <w:rFonts w:eastAsia="SimSun"/>
          <w:b/>
          <w:sz w:val="22"/>
          <w:szCs w:val="22"/>
          <w:lang w:eastAsia="zh-CN"/>
        </w:rPr>
        <w:lastRenderedPageBreak/>
        <w:t>INFORMACIJA ANT IŠORINĖS PAKUOTĖS</w:t>
      </w:r>
    </w:p>
    <w:p w14:paraId="1F719D51" w14:textId="0680CB0E" w:rsidR="007D4CA2" w:rsidRDefault="007D4CA2" w:rsidP="007D4CA2">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p>
    <w:p w14:paraId="7D1CC394" w14:textId="6B8BA138" w:rsidR="004E0F36" w:rsidRDefault="0069385E" w:rsidP="004E0F36">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84 (3 pak</w:t>
      </w:r>
      <w:r w:rsidR="0046778E">
        <w:rPr>
          <w:rFonts w:eastAsia="SimSun"/>
          <w:b/>
          <w:sz w:val="22"/>
          <w:szCs w:val="22"/>
          <w:lang w:eastAsia="zh-CN"/>
        </w:rPr>
        <w:t>eliai</w:t>
      </w:r>
      <w:r>
        <w:rPr>
          <w:rFonts w:eastAsia="SimSun"/>
          <w:b/>
          <w:sz w:val="22"/>
          <w:szCs w:val="22"/>
          <w:lang w:eastAsia="zh-CN"/>
        </w:rPr>
        <w:t xml:space="preserve"> po 28),</w:t>
      </w:r>
      <w:r w:rsidRPr="0069385E">
        <w:rPr>
          <w:rFonts w:eastAsia="SimSun"/>
          <w:b/>
          <w:sz w:val="22"/>
          <w:szCs w:val="22"/>
          <w:lang w:eastAsia="zh-CN"/>
        </w:rPr>
        <w:t xml:space="preserve"> </w:t>
      </w:r>
      <w:r>
        <w:rPr>
          <w:rFonts w:eastAsia="SimSun"/>
          <w:b/>
          <w:sz w:val="22"/>
          <w:szCs w:val="22"/>
          <w:lang w:eastAsia="zh-CN"/>
        </w:rPr>
        <w:t>84 </w:t>
      </w:r>
      <w:r w:rsidR="00E8484B">
        <w:rPr>
          <w:rFonts w:eastAsia="SimSun"/>
          <w:b/>
          <w:sz w:val="22"/>
          <w:szCs w:val="22"/>
          <w:lang w:eastAsia="zh-CN"/>
        </w:rPr>
        <w:t>x 1</w:t>
      </w:r>
      <w:r>
        <w:rPr>
          <w:rFonts w:eastAsia="SimSun"/>
          <w:b/>
          <w:sz w:val="22"/>
          <w:szCs w:val="22"/>
          <w:lang w:eastAsia="zh-CN"/>
        </w:rPr>
        <w:t xml:space="preserve"> (3 pa</w:t>
      </w:r>
      <w:r w:rsidR="0046778E">
        <w:rPr>
          <w:rFonts w:eastAsia="SimSun"/>
          <w:b/>
          <w:sz w:val="22"/>
          <w:szCs w:val="22"/>
          <w:lang w:eastAsia="zh-CN"/>
        </w:rPr>
        <w:t>keliai</w:t>
      </w:r>
      <w:r>
        <w:rPr>
          <w:rFonts w:eastAsia="SimSun"/>
          <w:b/>
          <w:sz w:val="22"/>
          <w:szCs w:val="22"/>
          <w:lang w:eastAsia="zh-CN"/>
        </w:rPr>
        <w:t xml:space="preserve"> po 28</w:t>
      </w:r>
      <w:r w:rsidR="00E8484B">
        <w:rPr>
          <w:rFonts w:eastAsia="SimSun"/>
          <w:b/>
          <w:sz w:val="22"/>
          <w:szCs w:val="22"/>
          <w:lang w:eastAsia="zh-CN"/>
        </w:rPr>
        <w:t> x 1</w:t>
      </w:r>
      <w:r>
        <w:rPr>
          <w:rFonts w:eastAsia="SimSun"/>
          <w:b/>
          <w:sz w:val="22"/>
          <w:szCs w:val="22"/>
          <w:lang w:eastAsia="zh-CN"/>
        </w:rPr>
        <w:t>)</w:t>
      </w:r>
      <w:r w:rsidR="00E8484B" w:rsidRPr="00E8484B">
        <w:rPr>
          <w:rFonts w:eastAsia="SimSun"/>
          <w:b/>
          <w:sz w:val="22"/>
          <w:szCs w:val="22"/>
          <w:lang w:eastAsia="zh-CN"/>
        </w:rPr>
        <w:t xml:space="preserve"> </w:t>
      </w:r>
      <w:r w:rsidR="00E8484B">
        <w:rPr>
          <w:rFonts w:eastAsia="SimSun"/>
          <w:b/>
          <w:sz w:val="22"/>
          <w:szCs w:val="22"/>
          <w:lang w:eastAsia="zh-CN"/>
        </w:rPr>
        <w:t>112 (4 pak</w:t>
      </w:r>
      <w:r w:rsidR="0046778E">
        <w:rPr>
          <w:rFonts w:eastAsia="SimSun"/>
          <w:b/>
          <w:sz w:val="22"/>
          <w:szCs w:val="22"/>
          <w:lang w:eastAsia="zh-CN"/>
        </w:rPr>
        <w:t>eliai</w:t>
      </w:r>
      <w:r w:rsidR="00E8484B">
        <w:rPr>
          <w:rFonts w:eastAsia="SimSun"/>
          <w:b/>
          <w:sz w:val="22"/>
          <w:szCs w:val="22"/>
          <w:lang w:eastAsia="zh-CN"/>
        </w:rPr>
        <w:t xml:space="preserve"> po 28),</w:t>
      </w:r>
      <w:r w:rsidR="00E8484B" w:rsidRPr="0069385E">
        <w:rPr>
          <w:rFonts w:eastAsia="SimSun"/>
          <w:b/>
          <w:sz w:val="22"/>
          <w:szCs w:val="22"/>
          <w:lang w:eastAsia="zh-CN"/>
        </w:rPr>
        <w:t xml:space="preserve"> </w:t>
      </w:r>
      <w:r w:rsidR="00E8484B">
        <w:rPr>
          <w:rFonts w:eastAsia="SimSun"/>
          <w:b/>
          <w:sz w:val="22"/>
          <w:szCs w:val="22"/>
          <w:lang w:eastAsia="zh-CN"/>
        </w:rPr>
        <w:t>112 x 1 (4 pak</w:t>
      </w:r>
      <w:r w:rsidR="0046778E">
        <w:rPr>
          <w:rFonts w:eastAsia="SimSun"/>
          <w:b/>
          <w:sz w:val="22"/>
          <w:szCs w:val="22"/>
          <w:lang w:eastAsia="zh-CN"/>
        </w:rPr>
        <w:t>eliai</w:t>
      </w:r>
      <w:r w:rsidR="00E8484B">
        <w:rPr>
          <w:rFonts w:eastAsia="SimSun"/>
          <w:b/>
          <w:sz w:val="22"/>
          <w:szCs w:val="22"/>
          <w:lang w:eastAsia="zh-CN"/>
        </w:rPr>
        <w:t xml:space="preserve"> po 28 x 1)</w:t>
      </w:r>
      <w:r w:rsidR="004E0F36">
        <w:rPr>
          <w:rFonts w:eastAsia="SimSun"/>
          <w:b/>
          <w:sz w:val="22"/>
          <w:szCs w:val="22"/>
          <w:lang w:eastAsia="zh-CN"/>
        </w:rPr>
        <w:t>, 120 (4 pak</w:t>
      </w:r>
      <w:r w:rsidR="0046778E">
        <w:rPr>
          <w:rFonts w:eastAsia="SimSun"/>
          <w:b/>
          <w:sz w:val="22"/>
          <w:szCs w:val="22"/>
          <w:lang w:eastAsia="zh-CN"/>
        </w:rPr>
        <w:t>eliai</w:t>
      </w:r>
      <w:r w:rsidR="004E0F36">
        <w:rPr>
          <w:rFonts w:eastAsia="SimSun"/>
          <w:b/>
          <w:sz w:val="22"/>
          <w:szCs w:val="22"/>
          <w:lang w:eastAsia="zh-CN"/>
        </w:rPr>
        <w:t xml:space="preserve"> po 30),</w:t>
      </w:r>
      <w:r w:rsidR="004E0F36" w:rsidRPr="0069385E">
        <w:rPr>
          <w:rFonts w:eastAsia="SimSun"/>
          <w:b/>
          <w:sz w:val="22"/>
          <w:szCs w:val="22"/>
          <w:lang w:eastAsia="zh-CN"/>
        </w:rPr>
        <w:t xml:space="preserve"> </w:t>
      </w:r>
      <w:r w:rsidR="004E0F36">
        <w:rPr>
          <w:rFonts w:eastAsia="SimSun"/>
          <w:b/>
          <w:sz w:val="22"/>
          <w:szCs w:val="22"/>
          <w:lang w:eastAsia="zh-CN"/>
        </w:rPr>
        <w:t>120 x 1 (4 pak</w:t>
      </w:r>
      <w:r w:rsidR="00492A0C">
        <w:rPr>
          <w:rFonts w:eastAsia="SimSun"/>
          <w:b/>
          <w:sz w:val="22"/>
          <w:szCs w:val="22"/>
          <w:lang w:eastAsia="zh-CN"/>
        </w:rPr>
        <w:t>eliai</w:t>
      </w:r>
      <w:r w:rsidR="004E0F36">
        <w:rPr>
          <w:rFonts w:eastAsia="SimSun"/>
          <w:b/>
          <w:sz w:val="22"/>
          <w:szCs w:val="22"/>
          <w:lang w:eastAsia="zh-CN"/>
        </w:rPr>
        <w:t xml:space="preserve"> po 30 x 1) plėvele dengtų tablečių sudėtinės pakuotės</w:t>
      </w:r>
      <w:r w:rsidR="002555F4">
        <w:rPr>
          <w:rFonts w:eastAsia="SimSun"/>
          <w:b/>
          <w:sz w:val="22"/>
          <w:szCs w:val="22"/>
          <w:lang w:eastAsia="zh-CN"/>
        </w:rPr>
        <w:t xml:space="preserve"> (suvyniotos į paketą)</w:t>
      </w:r>
    </w:p>
    <w:p w14:paraId="656C0F2F" w14:textId="77777777" w:rsidR="00BA34BA" w:rsidRPr="00EF20DC" w:rsidRDefault="00BA34BA" w:rsidP="007D4CA2">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p>
    <w:p w14:paraId="64ACF867" w14:textId="77F82A6F" w:rsidR="007D4CA2" w:rsidRPr="00EF20DC" w:rsidRDefault="00C30E94" w:rsidP="007D4CA2">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S</w:t>
      </w:r>
      <w:r w:rsidR="004C62E5">
        <w:rPr>
          <w:rFonts w:eastAsia="SimSun"/>
          <w:b/>
          <w:sz w:val="22"/>
          <w:szCs w:val="22"/>
          <w:lang w:eastAsia="zh-CN"/>
        </w:rPr>
        <w:t xml:space="preserve">UDĖTINĖS PAKUOTĖS </w:t>
      </w:r>
      <w:r w:rsidR="007D4CA2">
        <w:rPr>
          <w:rFonts w:eastAsia="SimSun"/>
          <w:b/>
          <w:sz w:val="22"/>
          <w:szCs w:val="22"/>
          <w:lang w:eastAsia="zh-CN"/>
        </w:rPr>
        <w:t xml:space="preserve">IŠORINĖ </w:t>
      </w:r>
      <w:r w:rsidR="004C62E5">
        <w:rPr>
          <w:rFonts w:eastAsia="SimSun"/>
          <w:b/>
          <w:sz w:val="22"/>
          <w:szCs w:val="22"/>
          <w:lang w:eastAsia="zh-CN"/>
        </w:rPr>
        <w:t>ETIKETĖ</w:t>
      </w:r>
      <w:r w:rsidR="00BA34BA">
        <w:rPr>
          <w:rFonts w:eastAsia="SimSun"/>
          <w:b/>
          <w:sz w:val="22"/>
          <w:szCs w:val="22"/>
          <w:lang w:eastAsia="zh-CN"/>
        </w:rPr>
        <w:t xml:space="preserve"> (ĮSKAITANT MĖLYNĄJĮ LANGELĮ)</w:t>
      </w:r>
    </w:p>
    <w:p w14:paraId="5AC2684D" w14:textId="77777777" w:rsidR="007D4CA2" w:rsidRDefault="007D4CA2" w:rsidP="007D4CA2">
      <w:pPr>
        <w:tabs>
          <w:tab w:val="left" w:pos="567"/>
        </w:tabs>
        <w:rPr>
          <w:rFonts w:eastAsia="SimSun"/>
          <w:sz w:val="22"/>
          <w:szCs w:val="22"/>
          <w:lang w:eastAsia="zh-CN"/>
        </w:rPr>
      </w:pPr>
    </w:p>
    <w:p w14:paraId="6F28267D" w14:textId="77777777" w:rsidR="007D4CA2" w:rsidRPr="00EF20DC" w:rsidRDefault="007D4CA2" w:rsidP="007D4CA2">
      <w:pPr>
        <w:tabs>
          <w:tab w:val="left" w:pos="567"/>
        </w:tabs>
        <w:rPr>
          <w:rFonts w:eastAsia="SimSun"/>
          <w:sz w:val="22"/>
          <w:szCs w:val="22"/>
          <w:lang w:eastAsia="zh-CN"/>
        </w:rPr>
      </w:pPr>
    </w:p>
    <w:p w14:paraId="7259856A"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w:t>
      </w:r>
      <w:r w:rsidRPr="00EF20DC">
        <w:rPr>
          <w:rFonts w:eastAsia="SimSun"/>
          <w:b/>
          <w:sz w:val="22"/>
          <w:szCs w:val="22"/>
          <w:lang w:eastAsia="zh-CN"/>
        </w:rPr>
        <w:tab/>
      </w:r>
      <w:r w:rsidRPr="00EF20DC">
        <w:rPr>
          <w:rFonts w:eastAsia="SimSun"/>
          <w:b/>
          <w:caps/>
          <w:sz w:val="22"/>
          <w:szCs w:val="22"/>
          <w:lang w:eastAsia="zh-CN"/>
        </w:rPr>
        <w:t>VAISTINIO</w:t>
      </w:r>
      <w:r w:rsidRPr="00EF20DC">
        <w:rPr>
          <w:rFonts w:eastAsia="SimSun"/>
          <w:b/>
          <w:sz w:val="22"/>
          <w:szCs w:val="22"/>
          <w:lang w:eastAsia="zh-CN"/>
        </w:rPr>
        <w:t xml:space="preserve"> PREPARATO PAVADINIMAS</w:t>
      </w:r>
    </w:p>
    <w:p w14:paraId="6F602506" w14:textId="77777777" w:rsidR="007D4CA2" w:rsidRPr="00EF20DC" w:rsidRDefault="007D4CA2" w:rsidP="007D4CA2">
      <w:pPr>
        <w:tabs>
          <w:tab w:val="left" w:pos="567"/>
        </w:tabs>
        <w:rPr>
          <w:rFonts w:eastAsia="SimSun"/>
          <w:sz w:val="22"/>
          <w:szCs w:val="22"/>
          <w:lang w:eastAsia="zh-CN"/>
        </w:rPr>
      </w:pPr>
    </w:p>
    <w:p w14:paraId="56793836" w14:textId="0240B647" w:rsidR="007D4CA2" w:rsidRPr="00EF20DC" w:rsidRDefault="007D4CA2" w:rsidP="007D4CA2">
      <w:pPr>
        <w:rPr>
          <w:rFonts w:eastAsia="Calibri"/>
          <w:sz w:val="22"/>
          <w:szCs w:val="22"/>
        </w:rPr>
      </w:pPr>
      <w:r w:rsidRPr="00EF20DC">
        <w:rPr>
          <w:rFonts w:eastAsia="Calibri"/>
          <w:bCs/>
          <w:sz w:val="22"/>
          <w:szCs w:val="22"/>
          <w:shd w:val="clear" w:color="auto" w:fill="FFFFFF"/>
        </w:rPr>
        <w:t xml:space="preserve">Sorafenib </w:t>
      </w:r>
      <w:r w:rsidR="00D71A25">
        <w:rPr>
          <w:rFonts w:eastAsia="Calibri"/>
          <w:bCs/>
          <w:sz w:val="22"/>
          <w:szCs w:val="22"/>
          <w:shd w:val="clear" w:color="auto" w:fill="FFFFFF"/>
        </w:rPr>
        <w:t>Sandoz</w:t>
      </w:r>
      <w:r w:rsidRPr="00EF20DC">
        <w:rPr>
          <w:rFonts w:eastAsia="Calibri"/>
          <w:bCs/>
          <w:sz w:val="22"/>
          <w:szCs w:val="22"/>
          <w:shd w:val="clear" w:color="auto" w:fill="FFFFFF"/>
        </w:rPr>
        <w:t xml:space="preserve"> </w:t>
      </w:r>
      <w:r>
        <w:rPr>
          <w:rFonts w:eastAsia="Calibri"/>
          <w:sz w:val="22"/>
          <w:szCs w:val="22"/>
        </w:rPr>
        <w:t>4</w:t>
      </w:r>
      <w:r w:rsidRPr="00EF20DC">
        <w:rPr>
          <w:rFonts w:eastAsia="Calibri"/>
          <w:sz w:val="22"/>
          <w:szCs w:val="22"/>
        </w:rPr>
        <w:t xml:space="preserve">00 mg plėvele dengtos tabletės </w:t>
      </w:r>
    </w:p>
    <w:p w14:paraId="036E5227" w14:textId="77777777" w:rsidR="007D4CA2" w:rsidRPr="00EF20DC" w:rsidRDefault="007D4CA2" w:rsidP="007D4CA2">
      <w:pPr>
        <w:tabs>
          <w:tab w:val="left" w:pos="567"/>
        </w:tabs>
        <w:rPr>
          <w:rFonts w:eastAsia="SimSun"/>
          <w:sz w:val="22"/>
          <w:szCs w:val="22"/>
          <w:lang w:eastAsia="zh-CN"/>
        </w:rPr>
      </w:pPr>
      <w:r>
        <w:rPr>
          <w:rFonts w:eastAsia="SimSun"/>
          <w:sz w:val="22"/>
          <w:szCs w:val="22"/>
          <w:lang w:eastAsia="zh-CN"/>
        </w:rPr>
        <w:t>s</w:t>
      </w:r>
      <w:r w:rsidRPr="00EF20DC">
        <w:rPr>
          <w:rFonts w:eastAsia="SimSun"/>
          <w:sz w:val="22"/>
          <w:szCs w:val="22"/>
          <w:lang w:eastAsia="zh-CN"/>
        </w:rPr>
        <w:t>orafenibum</w:t>
      </w:r>
    </w:p>
    <w:p w14:paraId="3A52502D" w14:textId="77777777" w:rsidR="007D4CA2" w:rsidRPr="00EF20DC" w:rsidRDefault="007D4CA2" w:rsidP="007D4CA2">
      <w:pPr>
        <w:tabs>
          <w:tab w:val="left" w:pos="567"/>
        </w:tabs>
        <w:rPr>
          <w:rFonts w:eastAsia="SimSun"/>
          <w:sz w:val="22"/>
          <w:szCs w:val="22"/>
          <w:lang w:eastAsia="zh-CN"/>
        </w:rPr>
      </w:pPr>
    </w:p>
    <w:p w14:paraId="02DA960F" w14:textId="77777777" w:rsidR="007D4CA2" w:rsidRPr="00EF20DC" w:rsidRDefault="007D4CA2" w:rsidP="007D4CA2">
      <w:pPr>
        <w:tabs>
          <w:tab w:val="left" w:pos="567"/>
        </w:tabs>
        <w:rPr>
          <w:rFonts w:eastAsia="SimSun"/>
          <w:sz w:val="22"/>
          <w:szCs w:val="22"/>
          <w:lang w:eastAsia="zh-CN"/>
        </w:rPr>
      </w:pPr>
    </w:p>
    <w:p w14:paraId="16BB6A69"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2.</w:t>
      </w:r>
      <w:r w:rsidRPr="00EF20DC">
        <w:rPr>
          <w:rFonts w:eastAsia="SimSun"/>
          <w:b/>
          <w:sz w:val="22"/>
          <w:szCs w:val="22"/>
          <w:lang w:eastAsia="zh-CN"/>
        </w:rPr>
        <w:tab/>
        <w:t>VEIKLIOJI (-IOS) MEDŽIAGA (-OS) IR JOS (-Ų) KIEKIS (-IAI)</w:t>
      </w:r>
    </w:p>
    <w:p w14:paraId="2EEDF106" w14:textId="77777777" w:rsidR="007D4CA2" w:rsidRPr="00EF20DC" w:rsidRDefault="007D4CA2" w:rsidP="007D4CA2">
      <w:pPr>
        <w:tabs>
          <w:tab w:val="left" w:pos="567"/>
        </w:tabs>
        <w:autoSpaceDE w:val="0"/>
        <w:autoSpaceDN w:val="0"/>
        <w:adjustRightInd w:val="0"/>
        <w:rPr>
          <w:rFonts w:eastAsia="Calibri"/>
          <w:sz w:val="22"/>
          <w:szCs w:val="22"/>
          <w:lang w:eastAsia="lt-LT"/>
        </w:rPr>
      </w:pPr>
    </w:p>
    <w:p w14:paraId="79444A78" w14:textId="77777777" w:rsidR="007D4CA2" w:rsidRPr="00EF20DC" w:rsidRDefault="007D4CA2" w:rsidP="007D4CA2">
      <w:pPr>
        <w:rPr>
          <w:rFonts w:eastAsia="Calibri"/>
          <w:sz w:val="22"/>
          <w:szCs w:val="22"/>
        </w:rPr>
      </w:pPr>
      <w:r w:rsidRPr="00C54896">
        <w:rPr>
          <w:rFonts w:eastAsia="Calibri"/>
          <w:sz w:val="22"/>
          <w:szCs w:val="22"/>
        </w:rPr>
        <w:t xml:space="preserve">Kiekvienoje tabletėje yra </w:t>
      </w:r>
      <w:r>
        <w:rPr>
          <w:rFonts w:eastAsia="Calibri"/>
          <w:sz w:val="22"/>
          <w:szCs w:val="22"/>
        </w:rPr>
        <w:t>4</w:t>
      </w:r>
      <w:r w:rsidRPr="00C54896">
        <w:rPr>
          <w:rFonts w:eastAsia="Calibri"/>
          <w:sz w:val="22"/>
          <w:szCs w:val="22"/>
        </w:rPr>
        <w:t>00 mg sorafenibo (tozilato pavidalu).</w:t>
      </w:r>
      <w:r w:rsidRPr="00EF20DC">
        <w:rPr>
          <w:rFonts w:eastAsia="Calibri"/>
          <w:sz w:val="22"/>
          <w:szCs w:val="22"/>
        </w:rPr>
        <w:t xml:space="preserve"> </w:t>
      </w:r>
    </w:p>
    <w:p w14:paraId="4BE9CEE3" w14:textId="77777777" w:rsidR="007D4CA2" w:rsidRPr="00EF20DC" w:rsidRDefault="007D4CA2" w:rsidP="007D4CA2">
      <w:pPr>
        <w:tabs>
          <w:tab w:val="left" w:pos="567"/>
        </w:tabs>
        <w:rPr>
          <w:rFonts w:eastAsia="SimSun"/>
          <w:sz w:val="22"/>
          <w:szCs w:val="22"/>
          <w:lang w:eastAsia="zh-CN"/>
        </w:rPr>
      </w:pPr>
    </w:p>
    <w:p w14:paraId="63B2A684" w14:textId="77777777" w:rsidR="007D4CA2" w:rsidRPr="00EF20DC" w:rsidRDefault="007D4CA2" w:rsidP="007D4CA2">
      <w:pPr>
        <w:tabs>
          <w:tab w:val="left" w:pos="567"/>
        </w:tabs>
        <w:rPr>
          <w:rFonts w:eastAsia="SimSun"/>
          <w:sz w:val="22"/>
          <w:szCs w:val="22"/>
          <w:lang w:eastAsia="zh-CN"/>
        </w:rPr>
      </w:pPr>
    </w:p>
    <w:p w14:paraId="57AAFDCD"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3.</w:t>
      </w:r>
      <w:r w:rsidRPr="00EF20DC">
        <w:rPr>
          <w:rFonts w:eastAsia="SimSun"/>
          <w:b/>
          <w:sz w:val="22"/>
          <w:szCs w:val="22"/>
          <w:lang w:eastAsia="zh-CN"/>
        </w:rPr>
        <w:tab/>
        <w:t>PAGALBINIŲ MEDŽIAGŲ SĄRAŠAS</w:t>
      </w:r>
    </w:p>
    <w:p w14:paraId="55D7983C" w14:textId="77777777" w:rsidR="007D4CA2" w:rsidRPr="00EF20DC" w:rsidRDefault="007D4CA2" w:rsidP="007D4CA2">
      <w:pPr>
        <w:tabs>
          <w:tab w:val="left" w:pos="567"/>
        </w:tabs>
        <w:rPr>
          <w:rFonts w:eastAsia="SimSun"/>
          <w:sz w:val="22"/>
          <w:szCs w:val="22"/>
          <w:lang w:eastAsia="zh-CN"/>
        </w:rPr>
      </w:pPr>
    </w:p>
    <w:p w14:paraId="4AF80BD0" w14:textId="77777777" w:rsidR="007D4CA2" w:rsidRPr="00EF20DC" w:rsidRDefault="007D4CA2" w:rsidP="007D4CA2">
      <w:pPr>
        <w:tabs>
          <w:tab w:val="left" w:pos="567"/>
        </w:tabs>
        <w:rPr>
          <w:rFonts w:eastAsia="SimSun"/>
          <w:sz w:val="22"/>
          <w:szCs w:val="22"/>
          <w:lang w:eastAsia="zh-CN"/>
        </w:rPr>
      </w:pPr>
    </w:p>
    <w:p w14:paraId="28EA187C"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4.</w:t>
      </w:r>
      <w:r w:rsidRPr="00EF20DC">
        <w:rPr>
          <w:rFonts w:eastAsia="SimSun"/>
          <w:b/>
          <w:sz w:val="22"/>
          <w:szCs w:val="22"/>
          <w:lang w:eastAsia="zh-CN"/>
        </w:rPr>
        <w:tab/>
        <w:t>FARMACINĖ FORMA IR KIEKIS PAKUOTĖJE</w:t>
      </w:r>
    </w:p>
    <w:p w14:paraId="37BA126E" w14:textId="77777777" w:rsidR="007D4CA2" w:rsidRDefault="007D4CA2" w:rsidP="007D4CA2">
      <w:pPr>
        <w:tabs>
          <w:tab w:val="left" w:pos="567"/>
        </w:tabs>
        <w:rPr>
          <w:rFonts w:eastAsia="SimSun"/>
          <w:sz w:val="22"/>
          <w:szCs w:val="22"/>
          <w:lang w:eastAsia="zh-CN"/>
        </w:rPr>
      </w:pPr>
    </w:p>
    <w:p w14:paraId="7861E771" w14:textId="77777777" w:rsidR="007D4CA2" w:rsidRPr="00EF20DC" w:rsidRDefault="007D4CA2" w:rsidP="007D4CA2">
      <w:pPr>
        <w:tabs>
          <w:tab w:val="left" w:pos="567"/>
        </w:tabs>
        <w:rPr>
          <w:rFonts w:eastAsia="SimSun"/>
          <w:sz w:val="22"/>
          <w:szCs w:val="22"/>
          <w:lang w:eastAsia="zh-CN"/>
        </w:rPr>
      </w:pPr>
      <w:r w:rsidRPr="002D0B64">
        <w:rPr>
          <w:rFonts w:eastAsia="SimSun"/>
          <w:sz w:val="22"/>
          <w:szCs w:val="22"/>
          <w:lang w:eastAsia="zh-CN"/>
        </w:rPr>
        <w:t>Plėvele dengta tabletė</w:t>
      </w:r>
    </w:p>
    <w:p w14:paraId="5EF8BFF4" w14:textId="5D02CD2A" w:rsidR="007D4CA2" w:rsidRDefault="007D4CA2" w:rsidP="007D4CA2">
      <w:pPr>
        <w:tabs>
          <w:tab w:val="left" w:pos="567"/>
        </w:tabs>
        <w:rPr>
          <w:rFonts w:eastAsia="SimSun"/>
          <w:sz w:val="22"/>
          <w:szCs w:val="22"/>
          <w:lang w:eastAsia="zh-CN"/>
        </w:rPr>
      </w:pPr>
    </w:p>
    <w:p w14:paraId="2E1C909E" w14:textId="77E540D1" w:rsidR="00371591" w:rsidRPr="00A07BA7" w:rsidRDefault="00371591" w:rsidP="007D4CA2">
      <w:pPr>
        <w:tabs>
          <w:tab w:val="left" w:pos="567"/>
        </w:tabs>
        <w:rPr>
          <w:rFonts w:eastAsia="Calibri"/>
          <w:sz w:val="22"/>
          <w:szCs w:val="22"/>
        </w:rPr>
      </w:pPr>
      <w:r w:rsidRPr="00A07BA7">
        <w:rPr>
          <w:rFonts w:eastAsia="SimSun"/>
          <w:bCs/>
          <w:sz w:val="22"/>
          <w:szCs w:val="22"/>
          <w:lang w:eastAsia="zh-CN"/>
        </w:rPr>
        <w:t>84 (3 pak</w:t>
      </w:r>
      <w:r w:rsidR="00CC75D1">
        <w:rPr>
          <w:rFonts w:eastAsia="SimSun"/>
          <w:bCs/>
          <w:sz w:val="22"/>
          <w:szCs w:val="22"/>
          <w:lang w:eastAsia="zh-CN"/>
        </w:rPr>
        <w:t>uotės</w:t>
      </w:r>
      <w:r w:rsidRPr="00A07BA7">
        <w:rPr>
          <w:rFonts w:eastAsia="SimSun"/>
          <w:bCs/>
          <w:sz w:val="22"/>
          <w:szCs w:val="22"/>
          <w:lang w:eastAsia="zh-CN"/>
        </w:rPr>
        <w:t xml:space="preserve"> po 28) </w:t>
      </w:r>
      <w:r w:rsidRPr="00A07BA7">
        <w:rPr>
          <w:rFonts w:eastAsia="Calibri"/>
          <w:sz w:val="22"/>
          <w:szCs w:val="22"/>
          <w:highlight w:val="lightGray"/>
        </w:rPr>
        <w:t>plėvele dengtų</w:t>
      </w:r>
      <w:r w:rsidRPr="00A07BA7">
        <w:rPr>
          <w:rFonts w:eastAsia="Calibri"/>
          <w:sz w:val="22"/>
          <w:szCs w:val="22"/>
        </w:rPr>
        <w:t xml:space="preserve"> tablečių sudėtinė pakuotė</w:t>
      </w:r>
    </w:p>
    <w:p w14:paraId="29271F96" w14:textId="30F48624" w:rsidR="00371591" w:rsidRPr="0046778E" w:rsidRDefault="00371591" w:rsidP="007D4CA2">
      <w:pPr>
        <w:tabs>
          <w:tab w:val="left" w:pos="567"/>
        </w:tabs>
        <w:rPr>
          <w:rFonts w:eastAsia="SimSun"/>
          <w:bCs/>
          <w:sz w:val="22"/>
          <w:szCs w:val="22"/>
          <w:highlight w:val="lightGray"/>
          <w:lang w:eastAsia="zh-CN"/>
        </w:rPr>
      </w:pPr>
      <w:r w:rsidRPr="0046778E">
        <w:rPr>
          <w:rFonts w:eastAsia="SimSun"/>
          <w:bCs/>
          <w:sz w:val="22"/>
          <w:szCs w:val="22"/>
          <w:highlight w:val="lightGray"/>
          <w:lang w:eastAsia="zh-CN"/>
        </w:rPr>
        <w:t>84 x 1 (3 pak</w:t>
      </w:r>
      <w:r w:rsidR="00CC75D1">
        <w:rPr>
          <w:rFonts w:eastAsia="SimSun"/>
          <w:bCs/>
          <w:sz w:val="22"/>
          <w:szCs w:val="22"/>
          <w:highlight w:val="lightGray"/>
          <w:lang w:eastAsia="zh-CN"/>
        </w:rPr>
        <w:t>uotės</w:t>
      </w:r>
      <w:r w:rsidRPr="0046778E">
        <w:rPr>
          <w:rFonts w:eastAsia="SimSun"/>
          <w:bCs/>
          <w:sz w:val="22"/>
          <w:szCs w:val="22"/>
          <w:highlight w:val="lightGray"/>
          <w:lang w:eastAsia="zh-CN"/>
        </w:rPr>
        <w:t xml:space="preserve"> po 28 x 1) </w:t>
      </w:r>
      <w:r w:rsidRPr="0046778E">
        <w:rPr>
          <w:rFonts w:eastAsia="Calibri"/>
          <w:sz w:val="22"/>
          <w:szCs w:val="22"/>
          <w:highlight w:val="lightGray"/>
        </w:rPr>
        <w:t>plėvele dengtų tablečių sudėtinė pakuotė</w:t>
      </w:r>
      <w:r w:rsidRPr="0046778E">
        <w:rPr>
          <w:rFonts w:eastAsia="SimSun"/>
          <w:bCs/>
          <w:sz w:val="22"/>
          <w:szCs w:val="22"/>
          <w:highlight w:val="lightGray"/>
          <w:lang w:eastAsia="zh-CN"/>
        </w:rPr>
        <w:t xml:space="preserve"> </w:t>
      </w:r>
    </w:p>
    <w:p w14:paraId="4408F29D" w14:textId="155D5727" w:rsidR="00057608" w:rsidRPr="0046778E" w:rsidRDefault="00371591" w:rsidP="007D4CA2">
      <w:pPr>
        <w:tabs>
          <w:tab w:val="left" w:pos="567"/>
        </w:tabs>
        <w:rPr>
          <w:rFonts w:eastAsia="Calibri"/>
          <w:sz w:val="22"/>
          <w:szCs w:val="22"/>
          <w:highlight w:val="lightGray"/>
        </w:rPr>
      </w:pPr>
      <w:r w:rsidRPr="0046778E">
        <w:rPr>
          <w:rFonts w:eastAsia="SimSun"/>
          <w:bCs/>
          <w:sz w:val="22"/>
          <w:szCs w:val="22"/>
          <w:highlight w:val="lightGray"/>
          <w:lang w:eastAsia="zh-CN"/>
        </w:rPr>
        <w:t>112 (4 pak</w:t>
      </w:r>
      <w:r w:rsidR="00CC75D1">
        <w:rPr>
          <w:rFonts w:eastAsia="SimSun"/>
          <w:bCs/>
          <w:sz w:val="22"/>
          <w:szCs w:val="22"/>
          <w:highlight w:val="lightGray"/>
          <w:lang w:eastAsia="zh-CN"/>
        </w:rPr>
        <w:t>uotės</w:t>
      </w:r>
      <w:r w:rsidRPr="0046778E">
        <w:rPr>
          <w:rFonts w:eastAsia="SimSun"/>
          <w:bCs/>
          <w:sz w:val="22"/>
          <w:szCs w:val="22"/>
          <w:highlight w:val="lightGray"/>
          <w:lang w:eastAsia="zh-CN"/>
        </w:rPr>
        <w:t xml:space="preserve"> po 28)</w:t>
      </w:r>
      <w:r w:rsidR="00057608" w:rsidRPr="0046778E">
        <w:rPr>
          <w:rFonts w:eastAsia="Calibri"/>
          <w:sz w:val="22"/>
          <w:szCs w:val="22"/>
          <w:highlight w:val="lightGray"/>
        </w:rPr>
        <w:t xml:space="preserve"> plėvele dengtų tablečių sudėtinė pakuotė</w:t>
      </w:r>
    </w:p>
    <w:p w14:paraId="2E04E965" w14:textId="38E527B2" w:rsidR="00057608" w:rsidRPr="0046778E" w:rsidRDefault="00371591" w:rsidP="007D4CA2">
      <w:pPr>
        <w:tabs>
          <w:tab w:val="left" w:pos="567"/>
        </w:tabs>
        <w:rPr>
          <w:rFonts w:eastAsia="Calibri"/>
          <w:sz w:val="22"/>
          <w:szCs w:val="22"/>
          <w:highlight w:val="lightGray"/>
        </w:rPr>
      </w:pPr>
      <w:r w:rsidRPr="0046778E">
        <w:rPr>
          <w:rFonts w:eastAsia="SimSun"/>
          <w:bCs/>
          <w:sz w:val="22"/>
          <w:szCs w:val="22"/>
          <w:highlight w:val="lightGray"/>
          <w:lang w:eastAsia="zh-CN"/>
        </w:rPr>
        <w:t>112 x 1 (4 pak</w:t>
      </w:r>
      <w:r w:rsidR="00CC75D1">
        <w:rPr>
          <w:rFonts w:eastAsia="SimSun"/>
          <w:bCs/>
          <w:sz w:val="22"/>
          <w:szCs w:val="22"/>
          <w:highlight w:val="lightGray"/>
          <w:lang w:eastAsia="zh-CN"/>
        </w:rPr>
        <w:t>uotės</w:t>
      </w:r>
      <w:r w:rsidRPr="0046778E">
        <w:rPr>
          <w:rFonts w:eastAsia="SimSun"/>
          <w:bCs/>
          <w:sz w:val="22"/>
          <w:szCs w:val="22"/>
          <w:highlight w:val="lightGray"/>
          <w:lang w:eastAsia="zh-CN"/>
        </w:rPr>
        <w:t xml:space="preserve"> po 28 x 1)</w:t>
      </w:r>
      <w:r w:rsidR="00057608" w:rsidRPr="0046778E">
        <w:rPr>
          <w:rFonts w:eastAsia="Calibri"/>
          <w:sz w:val="22"/>
          <w:szCs w:val="22"/>
          <w:highlight w:val="lightGray"/>
        </w:rPr>
        <w:t xml:space="preserve"> plėvele dengtų tablečių sudėtinė pakuotė</w:t>
      </w:r>
    </w:p>
    <w:p w14:paraId="3CD04D7B" w14:textId="4A3097CD" w:rsidR="0046778E" w:rsidRPr="0046778E" w:rsidRDefault="00371591" w:rsidP="007D4CA2">
      <w:pPr>
        <w:tabs>
          <w:tab w:val="left" w:pos="567"/>
        </w:tabs>
        <w:rPr>
          <w:rFonts w:eastAsia="Calibri"/>
          <w:sz w:val="22"/>
          <w:szCs w:val="22"/>
          <w:highlight w:val="lightGray"/>
        </w:rPr>
      </w:pPr>
      <w:r w:rsidRPr="0046778E">
        <w:rPr>
          <w:rFonts w:eastAsia="SimSun"/>
          <w:bCs/>
          <w:sz w:val="22"/>
          <w:szCs w:val="22"/>
          <w:highlight w:val="lightGray"/>
          <w:lang w:eastAsia="zh-CN"/>
        </w:rPr>
        <w:t>120 (4 pak</w:t>
      </w:r>
      <w:r w:rsidR="00CC75D1">
        <w:rPr>
          <w:rFonts w:eastAsia="SimSun"/>
          <w:bCs/>
          <w:sz w:val="22"/>
          <w:szCs w:val="22"/>
          <w:highlight w:val="lightGray"/>
          <w:lang w:eastAsia="zh-CN"/>
        </w:rPr>
        <w:t>uotės</w:t>
      </w:r>
      <w:r w:rsidRPr="0046778E">
        <w:rPr>
          <w:rFonts w:eastAsia="SimSun"/>
          <w:bCs/>
          <w:sz w:val="22"/>
          <w:szCs w:val="22"/>
          <w:highlight w:val="lightGray"/>
          <w:lang w:eastAsia="zh-CN"/>
        </w:rPr>
        <w:t xml:space="preserve"> po 30)</w:t>
      </w:r>
      <w:r w:rsidR="00057608" w:rsidRPr="0046778E">
        <w:rPr>
          <w:rFonts w:eastAsia="Calibri"/>
          <w:sz w:val="22"/>
          <w:szCs w:val="22"/>
          <w:highlight w:val="lightGray"/>
        </w:rPr>
        <w:t xml:space="preserve"> plėvele dengtų tablečių sudėtinė pakuotė</w:t>
      </w:r>
    </w:p>
    <w:p w14:paraId="4F859C86" w14:textId="453C7FE5" w:rsidR="00371591" w:rsidRPr="00371591" w:rsidRDefault="00371591" w:rsidP="007D4CA2">
      <w:pPr>
        <w:tabs>
          <w:tab w:val="left" w:pos="567"/>
        </w:tabs>
        <w:rPr>
          <w:rFonts w:eastAsia="SimSun"/>
          <w:bCs/>
          <w:sz w:val="22"/>
          <w:szCs w:val="22"/>
          <w:lang w:eastAsia="zh-CN"/>
        </w:rPr>
      </w:pPr>
      <w:r w:rsidRPr="0046778E">
        <w:rPr>
          <w:rFonts w:eastAsia="SimSun"/>
          <w:bCs/>
          <w:sz w:val="22"/>
          <w:szCs w:val="22"/>
          <w:highlight w:val="lightGray"/>
          <w:lang w:eastAsia="zh-CN"/>
        </w:rPr>
        <w:t>120 x 1 (4 pak</w:t>
      </w:r>
      <w:r w:rsidR="00CC75D1">
        <w:rPr>
          <w:rFonts w:eastAsia="SimSun"/>
          <w:bCs/>
          <w:sz w:val="22"/>
          <w:szCs w:val="22"/>
          <w:highlight w:val="lightGray"/>
          <w:lang w:eastAsia="zh-CN"/>
        </w:rPr>
        <w:t>uotės</w:t>
      </w:r>
      <w:r w:rsidRPr="0046778E">
        <w:rPr>
          <w:rFonts w:eastAsia="SimSun"/>
          <w:bCs/>
          <w:sz w:val="22"/>
          <w:szCs w:val="22"/>
          <w:highlight w:val="lightGray"/>
          <w:lang w:eastAsia="zh-CN"/>
        </w:rPr>
        <w:t xml:space="preserve"> po 30 x 1) plėvele dengtų tablečių</w:t>
      </w:r>
    </w:p>
    <w:p w14:paraId="5611796A" w14:textId="2CF12359" w:rsidR="007D4CA2" w:rsidRDefault="007D4CA2" w:rsidP="007D4CA2">
      <w:pPr>
        <w:tabs>
          <w:tab w:val="left" w:pos="567"/>
        </w:tabs>
        <w:rPr>
          <w:rFonts w:eastAsia="SimSun"/>
          <w:sz w:val="22"/>
          <w:szCs w:val="22"/>
          <w:lang w:eastAsia="zh-CN"/>
        </w:rPr>
      </w:pPr>
    </w:p>
    <w:p w14:paraId="39E5CA19" w14:textId="77777777" w:rsidR="0046778E" w:rsidRPr="00EF20DC" w:rsidRDefault="0046778E" w:rsidP="007D4CA2">
      <w:pPr>
        <w:tabs>
          <w:tab w:val="left" w:pos="567"/>
        </w:tabs>
        <w:rPr>
          <w:rFonts w:eastAsia="SimSun"/>
          <w:sz w:val="22"/>
          <w:szCs w:val="22"/>
          <w:lang w:eastAsia="zh-CN"/>
        </w:rPr>
      </w:pPr>
    </w:p>
    <w:p w14:paraId="776BC340"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5.</w:t>
      </w:r>
      <w:r w:rsidRPr="00EF20DC">
        <w:rPr>
          <w:rFonts w:eastAsia="SimSun"/>
          <w:b/>
          <w:sz w:val="22"/>
          <w:szCs w:val="22"/>
          <w:lang w:eastAsia="zh-CN"/>
        </w:rPr>
        <w:tab/>
        <w:t>VARTOJIMO METODAS IR BŪDAS (-AI)</w:t>
      </w:r>
    </w:p>
    <w:p w14:paraId="7C2E7617" w14:textId="77777777" w:rsidR="007D4CA2" w:rsidRPr="00EF20DC" w:rsidRDefault="007D4CA2" w:rsidP="007D4CA2">
      <w:pPr>
        <w:tabs>
          <w:tab w:val="left" w:pos="567"/>
        </w:tabs>
        <w:rPr>
          <w:rFonts w:eastAsia="SimSun"/>
          <w:sz w:val="22"/>
          <w:szCs w:val="22"/>
          <w:lang w:eastAsia="zh-CN"/>
        </w:rPr>
      </w:pPr>
    </w:p>
    <w:p w14:paraId="1D755CB3" w14:textId="77777777" w:rsidR="007D4CA2" w:rsidRPr="00EF20DC" w:rsidRDefault="007D4CA2" w:rsidP="007D4CA2">
      <w:pPr>
        <w:tabs>
          <w:tab w:val="left" w:pos="567"/>
        </w:tabs>
        <w:rPr>
          <w:rFonts w:eastAsia="SimSun"/>
          <w:sz w:val="22"/>
          <w:szCs w:val="22"/>
          <w:lang w:eastAsia="zh-CN"/>
        </w:rPr>
      </w:pPr>
      <w:r w:rsidRPr="00EF20DC">
        <w:rPr>
          <w:rFonts w:eastAsia="SimSun"/>
          <w:sz w:val="22"/>
          <w:szCs w:val="22"/>
          <w:lang w:eastAsia="zh-CN"/>
        </w:rPr>
        <w:t xml:space="preserve">Vartoti per burną </w:t>
      </w:r>
    </w:p>
    <w:p w14:paraId="3A71FABF" w14:textId="77777777" w:rsidR="007D4CA2" w:rsidRPr="00EF20DC" w:rsidRDefault="007D4CA2" w:rsidP="007D4CA2">
      <w:pPr>
        <w:tabs>
          <w:tab w:val="left" w:pos="567"/>
        </w:tabs>
        <w:rPr>
          <w:rFonts w:eastAsia="SimSun"/>
          <w:sz w:val="22"/>
          <w:szCs w:val="22"/>
          <w:lang w:eastAsia="zh-CN"/>
        </w:rPr>
      </w:pPr>
      <w:r w:rsidRPr="00D76168">
        <w:rPr>
          <w:rFonts w:eastAsia="SimSun"/>
          <w:sz w:val="22"/>
          <w:szCs w:val="22"/>
          <w:lang w:eastAsia="zh-CN"/>
        </w:rPr>
        <w:t>Prieš vartojimą perskaitykite pakuotės lapelį</w:t>
      </w:r>
      <w:r w:rsidRPr="00B60FD6">
        <w:rPr>
          <w:rFonts w:eastAsia="SimSun"/>
          <w:sz w:val="22"/>
          <w:szCs w:val="22"/>
          <w:lang w:eastAsia="zh-CN"/>
        </w:rPr>
        <w:t>.</w:t>
      </w:r>
    </w:p>
    <w:p w14:paraId="41AD424F" w14:textId="77777777" w:rsidR="007D4CA2" w:rsidRPr="00EF20DC" w:rsidRDefault="007D4CA2" w:rsidP="007D4CA2">
      <w:pPr>
        <w:tabs>
          <w:tab w:val="left" w:pos="567"/>
        </w:tabs>
        <w:rPr>
          <w:rFonts w:eastAsia="SimSun"/>
          <w:sz w:val="22"/>
          <w:szCs w:val="22"/>
          <w:lang w:eastAsia="zh-CN"/>
        </w:rPr>
      </w:pPr>
    </w:p>
    <w:p w14:paraId="2ED5B122" w14:textId="77777777" w:rsidR="007D4CA2" w:rsidRPr="00EF20DC" w:rsidRDefault="007D4CA2" w:rsidP="007D4CA2">
      <w:pPr>
        <w:tabs>
          <w:tab w:val="left" w:pos="567"/>
        </w:tabs>
        <w:rPr>
          <w:rFonts w:eastAsia="SimSun"/>
          <w:sz w:val="22"/>
          <w:szCs w:val="22"/>
          <w:lang w:eastAsia="zh-CN"/>
        </w:rPr>
      </w:pPr>
    </w:p>
    <w:p w14:paraId="56F9366C"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EF20DC">
        <w:rPr>
          <w:rFonts w:eastAsia="SimSun"/>
          <w:b/>
          <w:sz w:val="22"/>
          <w:szCs w:val="22"/>
          <w:lang w:eastAsia="zh-CN"/>
        </w:rPr>
        <w:t>6.</w:t>
      </w:r>
      <w:r w:rsidRPr="00EF20DC">
        <w:rPr>
          <w:rFonts w:eastAsia="SimSun"/>
          <w:b/>
          <w:sz w:val="22"/>
          <w:szCs w:val="22"/>
          <w:lang w:eastAsia="zh-CN"/>
        </w:rPr>
        <w:tab/>
        <w:t>SPECIALUS ĮSPĖJIMAS, KAD VAISTINĮ PREPARATĄ BŪTINA LAIKYTI VAIKAMS NEPASTEBIMOJE IR NEPASIEKIAMOJE VIETOJE</w:t>
      </w:r>
    </w:p>
    <w:p w14:paraId="31A9BB9B" w14:textId="77777777" w:rsidR="007D4CA2" w:rsidRPr="00EF20DC" w:rsidRDefault="007D4CA2" w:rsidP="007D4CA2">
      <w:pPr>
        <w:tabs>
          <w:tab w:val="left" w:pos="567"/>
        </w:tabs>
        <w:rPr>
          <w:rFonts w:eastAsia="SimSun"/>
          <w:sz w:val="22"/>
          <w:szCs w:val="22"/>
          <w:lang w:eastAsia="zh-CN"/>
        </w:rPr>
      </w:pPr>
    </w:p>
    <w:p w14:paraId="578EF223" w14:textId="77777777" w:rsidR="007D4CA2" w:rsidRPr="00EF20DC" w:rsidRDefault="007D4CA2" w:rsidP="007D4CA2">
      <w:pPr>
        <w:tabs>
          <w:tab w:val="left" w:pos="567"/>
        </w:tabs>
        <w:rPr>
          <w:rFonts w:eastAsia="SimSun"/>
          <w:sz w:val="22"/>
          <w:szCs w:val="22"/>
          <w:lang w:eastAsia="zh-CN"/>
        </w:rPr>
      </w:pPr>
      <w:r w:rsidRPr="00EF20DC">
        <w:rPr>
          <w:rFonts w:eastAsia="SimSun"/>
          <w:sz w:val="22"/>
          <w:szCs w:val="22"/>
          <w:lang w:eastAsia="zh-CN"/>
        </w:rPr>
        <w:t>Laikyti vaikams nepastebimoje ir nepasiekiamoje vietoje.</w:t>
      </w:r>
    </w:p>
    <w:p w14:paraId="21EC17D6" w14:textId="77777777" w:rsidR="007D4CA2" w:rsidRPr="00EF20DC" w:rsidRDefault="007D4CA2" w:rsidP="007D4CA2">
      <w:pPr>
        <w:tabs>
          <w:tab w:val="left" w:pos="567"/>
        </w:tabs>
        <w:rPr>
          <w:rFonts w:eastAsia="SimSun"/>
          <w:sz w:val="22"/>
          <w:szCs w:val="22"/>
          <w:lang w:eastAsia="zh-CN"/>
        </w:rPr>
      </w:pPr>
    </w:p>
    <w:p w14:paraId="795B2E87" w14:textId="77777777" w:rsidR="007D4CA2" w:rsidRPr="00EF20DC" w:rsidRDefault="007D4CA2" w:rsidP="007D4CA2">
      <w:pPr>
        <w:tabs>
          <w:tab w:val="left" w:pos="567"/>
        </w:tabs>
        <w:rPr>
          <w:rFonts w:eastAsia="SimSun"/>
          <w:sz w:val="22"/>
          <w:szCs w:val="22"/>
          <w:lang w:eastAsia="zh-CN"/>
        </w:rPr>
      </w:pPr>
    </w:p>
    <w:p w14:paraId="3A14DD51"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7.</w:t>
      </w:r>
      <w:r w:rsidRPr="00EF20DC">
        <w:rPr>
          <w:rFonts w:eastAsia="SimSun"/>
          <w:b/>
          <w:sz w:val="22"/>
          <w:szCs w:val="22"/>
          <w:lang w:eastAsia="zh-CN"/>
        </w:rPr>
        <w:tab/>
        <w:t>KITAS (-I) SPECIALUS (-ŪS) ĮSPĖJIMAS (-AI) (JEI REIKIA)</w:t>
      </w:r>
    </w:p>
    <w:p w14:paraId="4D7B3209" w14:textId="77777777" w:rsidR="007D4CA2" w:rsidRPr="00EF20DC" w:rsidRDefault="007D4CA2" w:rsidP="007D4CA2">
      <w:pPr>
        <w:tabs>
          <w:tab w:val="left" w:pos="567"/>
        </w:tabs>
        <w:rPr>
          <w:color w:val="212121"/>
          <w:sz w:val="22"/>
          <w:szCs w:val="22"/>
          <w:shd w:val="clear" w:color="auto" w:fill="FFFFFF"/>
          <w:lang w:eastAsia="lt-LT"/>
        </w:rPr>
      </w:pPr>
    </w:p>
    <w:p w14:paraId="0A3B534C" w14:textId="77777777" w:rsidR="007D4CA2" w:rsidRPr="00EF20DC" w:rsidRDefault="007D4CA2" w:rsidP="007D4CA2">
      <w:pPr>
        <w:tabs>
          <w:tab w:val="left" w:pos="567"/>
        </w:tabs>
        <w:rPr>
          <w:rFonts w:eastAsia="SimSun"/>
          <w:sz w:val="22"/>
          <w:szCs w:val="22"/>
          <w:lang w:eastAsia="zh-CN"/>
        </w:rPr>
      </w:pPr>
    </w:p>
    <w:p w14:paraId="20F73DCA"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lastRenderedPageBreak/>
        <w:t>8.</w:t>
      </w:r>
      <w:r w:rsidRPr="00EF20DC">
        <w:rPr>
          <w:rFonts w:eastAsia="SimSun"/>
          <w:b/>
          <w:sz w:val="22"/>
          <w:szCs w:val="22"/>
          <w:lang w:eastAsia="zh-CN"/>
        </w:rPr>
        <w:tab/>
        <w:t>TINKAMUMO LAIKAS</w:t>
      </w:r>
    </w:p>
    <w:p w14:paraId="480A242E" w14:textId="77777777" w:rsidR="007D4CA2" w:rsidRPr="00EF20DC" w:rsidRDefault="007D4CA2" w:rsidP="007D4CA2">
      <w:pPr>
        <w:tabs>
          <w:tab w:val="left" w:pos="567"/>
        </w:tabs>
        <w:rPr>
          <w:rFonts w:eastAsia="SimSun"/>
          <w:sz w:val="22"/>
          <w:szCs w:val="22"/>
          <w:lang w:eastAsia="zh-CN"/>
        </w:rPr>
      </w:pPr>
    </w:p>
    <w:p w14:paraId="481AE296" w14:textId="77777777" w:rsidR="007D4CA2" w:rsidRPr="00EF20DC" w:rsidRDefault="007D4CA2" w:rsidP="007D4CA2">
      <w:pPr>
        <w:tabs>
          <w:tab w:val="left" w:pos="567"/>
        </w:tabs>
        <w:rPr>
          <w:rFonts w:eastAsia="SimSun"/>
          <w:sz w:val="22"/>
          <w:szCs w:val="22"/>
          <w:lang w:eastAsia="zh-CN"/>
        </w:rPr>
      </w:pPr>
      <w:r w:rsidRPr="00EF20DC">
        <w:rPr>
          <w:rFonts w:eastAsia="SimSun"/>
          <w:sz w:val="22"/>
          <w:szCs w:val="22"/>
          <w:lang w:eastAsia="zh-CN"/>
        </w:rPr>
        <w:t>EXP{mm MMMM}</w:t>
      </w:r>
    </w:p>
    <w:p w14:paraId="4A736138" w14:textId="77777777" w:rsidR="007D4CA2" w:rsidRPr="00EF20DC" w:rsidRDefault="007D4CA2" w:rsidP="007D4CA2">
      <w:pPr>
        <w:tabs>
          <w:tab w:val="left" w:pos="567"/>
        </w:tabs>
        <w:rPr>
          <w:rFonts w:eastAsia="SimSun"/>
          <w:sz w:val="22"/>
          <w:szCs w:val="22"/>
          <w:lang w:eastAsia="zh-CN"/>
        </w:rPr>
      </w:pPr>
    </w:p>
    <w:p w14:paraId="47657B2F" w14:textId="77777777" w:rsidR="007D4CA2" w:rsidRPr="00EF20DC" w:rsidRDefault="007D4CA2" w:rsidP="007D4CA2">
      <w:pPr>
        <w:tabs>
          <w:tab w:val="left" w:pos="567"/>
        </w:tabs>
        <w:rPr>
          <w:rFonts w:eastAsia="SimSun"/>
          <w:sz w:val="22"/>
          <w:szCs w:val="22"/>
          <w:lang w:eastAsia="zh-CN"/>
        </w:rPr>
      </w:pPr>
    </w:p>
    <w:p w14:paraId="1B338BC0" w14:textId="77777777" w:rsidR="007D4CA2" w:rsidRPr="00EF20DC" w:rsidRDefault="007D4CA2" w:rsidP="007D4CA2">
      <w:pPr>
        <w:keepNext/>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9.</w:t>
      </w:r>
      <w:r w:rsidRPr="00EF20DC">
        <w:rPr>
          <w:rFonts w:eastAsia="SimSun"/>
          <w:b/>
          <w:sz w:val="22"/>
          <w:szCs w:val="22"/>
          <w:lang w:eastAsia="zh-CN"/>
        </w:rPr>
        <w:tab/>
        <w:t>SPECIALIOS LAIKYMO SĄLYGOS</w:t>
      </w:r>
    </w:p>
    <w:p w14:paraId="2384F7C7" w14:textId="77777777" w:rsidR="007D4CA2" w:rsidRPr="00EF20DC" w:rsidRDefault="007D4CA2" w:rsidP="007D4CA2">
      <w:pPr>
        <w:rPr>
          <w:sz w:val="22"/>
          <w:szCs w:val="20"/>
          <w:lang w:eastAsia="lt-LT"/>
        </w:rPr>
      </w:pPr>
    </w:p>
    <w:p w14:paraId="3F225B85" w14:textId="77777777" w:rsidR="007D4CA2" w:rsidRPr="00EF20DC" w:rsidRDefault="007D4CA2" w:rsidP="007D4CA2">
      <w:pPr>
        <w:tabs>
          <w:tab w:val="left" w:pos="567"/>
        </w:tabs>
        <w:rPr>
          <w:rFonts w:eastAsia="SimSun"/>
          <w:sz w:val="22"/>
          <w:szCs w:val="22"/>
          <w:lang w:eastAsia="zh-CN"/>
        </w:rPr>
      </w:pPr>
    </w:p>
    <w:p w14:paraId="241DC912"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sz w:val="22"/>
          <w:szCs w:val="22"/>
          <w:lang w:eastAsia="zh-CN"/>
        </w:rPr>
      </w:pPr>
      <w:r w:rsidRPr="00EF20DC">
        <w:rPr>
          <w:rFonts w:eastAsia="SimSun"/>
          <w:b/>
          <w:sz w:val="22"/>
          <w:szCs w:val="22"/>
          <w:lang w:eastAsia="zh-CN"/>
        </w:rPr>
        <w:t>10.</w:t>
      </w:r>
      <w:r w:rsidRPr="00EF20DC">
        <w:rPr>
          <w:rFonts w:eastAsia="SimSun"/>
          <w:b/>
          <w:sz w:val="22"/>
          <w:szCs w:val="22"/>
          <w:lang w:eastAsia="zh-CN"/>
        </w:rPr>
        <w:tab/>
        <w:t>SPECIALIOS ATSARGUMO PRIEMONĖS DĖL NESUVARTOTO VAISTINIO PREPARATO AR JO ATLIEKŲ TVARKYMO (JEI REIKIA)</w:t>
      </w:r>
    </w:p>
    <w:p w14:paraId="25B78385" w14:textId="77777777" w:rsidR="007D4CA2" w:rsidRPr="00EF20DC" w:rsidRDefault="007D4CA2" w:rsidP="007D4CA2">
      <w:pPr>
        <w:tabs>
          <w:tab w:val="left" w:pos="567"/>
        </w:tabs>
        <w:rPr>
          <w:rFonts w:eastAsia="SimSun"/>
          <w:sz w:val="22"/>
          <w:szCs w:val="22"/>
          <w:lang w:eastAsia="zh-CN"/>
        </w:rPr>
      </w:pPr>
    </w:p>
    <w:p w14:paraId="0C3D3FD7" w14:textId="77777777" w:rsidR="007D4CA2" w:rsidRPr="00EF20DC" w:rsidRDefault="007D4CA2" w:rsidP="007D4CA2">
      <w:pPr>
        <w:tabs>
          <w:tab w:val="left" w:pos="567"/>
        </w:tabs>
        <w:rPr>
          <w:rFonts w:eastAsia="SimSun"/>
          <w:sz w:val="22"/>
          <w:szCs w:val="22"/>
          <w:lang w:eastAsia="zh-CN"/>
        </w:rPr>
      </w:pPr>
    </w:p>
    <w:p w14:paraId="24C6C943"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11.</w:t>
      </w:r>
      <w:r w:rsidRPr="00EF20DC">
        <w:rPr>
          <w:rFonts w:eastAsia="SimSun"/>
          <w:b/>
          <w:sz w:val="22"/>
          <w:szCs w:val="22"/>
          <w:lang w:eastAsia="zh-CN"/>
        </w:rPr>
        <w:tab/>
      </w:r>
      <w:r w:rsidRPr="00EF20DC">
        <w:rPr>
          <w:rFonts w:eastAsia="SimSun"/>
          <w:b/>
          <w:caps/>
          <w:sz w:val="22"/>
          <w:szCs w:val="22"/>
          <w:lang w:eastAsia="zh-CN"/>
        </w:rPr>
        <w:t>rEGISTRUOTOJO PAVADINIMAS IR ADRESAS</w:t>
      </w:r>
    </w:p>
    <w:p w14:paraId="7923E4FB" w14:textId="77777777" w:rsidR="007D4CA2" w:rsidRPr="00EF20DC" w:rsidRDefault="007D4CA2" w:rsidP="007D4CA2">
      <w:pPr>
        <w:tabs>
          <w:tab w:val="left" w:pos="567"/>
        </w:tabs>
        <w:rPr>
          <w:rFonts w:eastAsia="SimSun"/>
          <w:sz w:val="22"/>
          <w:szCs w:val="22"/>
          <w:lang w:eastAsia="zh-CN"/>
        </w:rPr>
      </w:pPr>
    </w:p>
    <w:p w14:paraId="7114629F" w14:textId="77777777" w:rsidR="007D4CA2" w:rsidRPr="00F371E2" w:rsidRDefault="007D4CA2" w:rsidP="007D4CA2">
      <w:pPr>
        <w:tabs>
          <w:tab w:val="left" w:pos="425"/>
          <w:tab w:val="left" w:pos="567"/>
        </w:tabs>
        <w:suppressAutoHyphens/>
        <w:rPr>
          <w:color w:val="000000"/>
          <w:sz w:val="22"/>
          <w:szCs w:val="22"/>
          <w:lang w:val="sl-SI" w:eastAsia="ar-SA"/>
        </w:rPr>
      </w:pPr>
      <w:r>
        <w:rPr>
          <w:color w:val="000000"/>
          <w:sz w:val="22"/>
          <w:szCs w:val="22"/>
          <w:lang w:val="sl-SI" w:eastAsia="ar-SA"/>
        </w:rPr>
        <w:t>Sandoz</w:t>
      </w:r>
      <w:r w:rsidRPr="00F371E2">
        <w:rPr>
          <w:color w:val="000000"/>
          <w:sz w:val="22"/>
          <w:szCs w:val="22"/>
          <w:lang w:val="sl-SI" w:eastAsia="ar-SA"/>
        </w:rPr>
        <w:t xml:space="preserve"> d.d.</w:t>
      </w:r>
    </w:p>
    <w:p w14:paraId="36186E44" w14:textId="77777777" w:rsidR="007D4CA2" w:rsidRPr="00F371E2" w:rsidRDefault="007D4CA2" w:rsidP="007D4CA2">
      <w:pPr>
        <w:tabs>
          <w:tab w:val="left" w:pos="425"/>
          <w:tab w:val="left" w:pos="567"/>
        </w:tabs>
        <w:suppressAutoHyphens/>
        <w:rPr>
          <w:color w:val="000000"/>
          <w:sz w:val="22"/>
          <w:szCs w:val="22"/>
          <w:lang w:val="sl-SI" w:eastAsia="ar-SA"/>
        </w:rPr>
      </w:pPr>
      <w:r w:rsidRPr="00F371E2">
        <w:rPr>
          <w:color w:val="000000"/>
          <w:sz w:val="22"/>
          <w:szCs w:val="22"/>
          <w:lang w:val="sl-SI" w:eastAsia="ar-SA"/>
        </w:rPr>
        <w:t>Verovškova 57</w:t>
      </w:r>
    </w:p>
    <w:p w14:paraId="624AEDF5" w14:textId="77777777" w:rsidR="007D4CA2" w:rsidRPr="00F371E2" w:rsidRDefault="007D4CA2" w:rsidP="007D4CA2">
      <w:pPr>
        <w:tabs>
          <w:tab w:val="left" w:pos="425"/>
          <w:tab w:val="left" w:pos="567"/>
        </w:tabs>
        <w:suppressAutoHyphens/>
        <w:rPr>
          <w:color w:val="000000"/>
          <w:sz w:val="22"/>
          <w:szCs w:val="22"/>
          <w:lang w:val="sl-SI" w:eastAsia="ar-SA"/>
        </w:rPr>
      </w:pPr>
      <w:r>
        <w:rPr>
          <w:color w:val="000000"/>
          <w:sz w:val="22"/>
          <w:szCs w:val="22"/>
          <w:lang w:val="sl-SI" w:eastAsia="ar-SA"/>
        </w:rPr>
        <w:t>SI-</w:t>
      </w:r>
      <w:r w:rsidRPr="00F371E2">
        <w:rPr>
          <w:color w:val="000000"/>
          <w:sz w:val="22"/>
          <w:szCs w:val="22"/>
          <w:lang w:val="sl-SI" w:eastAsia="ar-SA"/>
        </w:rPr>
        <w:t>1000 Ljubljana</w:t>
      </w:r>
    </w:p>
    <w:p w14:paraId="6F97C63D" w14:textId="77777777" w:rsidR="007D4CA2" w:rsidRPr="00F371E2" w:rsidRDefault="007D4CA2" w:rsidP="007D4CA2">
      <w:pPr>
        <w:tabs>
          <w:tab w:val="left" w:pos="425"/>
          <w:tab w:val="left" w:pos="567"/>
        </w:tabs>
        <w:suppressAutoHyphens/>
        <w:rPr>
          <w:rFonts w:eastAsia="SimSun"/>
          <w:color w:val="000000"/>
          <w:sz w:val="22"/>
          <w:szCs w:val="22"/>
          <w:lang w:val="sl-SI" w:eastAsia="ar-SA"/>
        </w:rPr>
      </w:pPr>
      <w:r w:rsidRPr="00F371E2">
        <w:rPr>
          <w:color w:val="000000"/>
          <w:sz w:val="22"/>
          <w:szCs w:val="22"/>
          <w:lang w:val="sl-SI" w:eastAsia="ar-SA"/>
        </w:rPr>
        <w:t>Slovėnija</w:t>
      </w:r>
    </w:p>
    <w:p w14:paraId="2C9D0421" w14:textId="77777777" w:rsidR="007D4CA2" w:rsidRPr="00EF20DC" w:rsidRDefault="007D4CA2" w:rsidP="007D4CA2">
      <w:pPr>
        <w:tabs>
          <w:tab w:val="left" w:pos="567"/>
        </w:tabs>
        <w:rPr>
          <w:rFonts w:eastAsia="SimSun"/>
          <w:sz w:val="22"/>
          <w:szCs w:val="22"/>
          <w:lang w:eastAsia="zh-CN"/>
        </w:rPr>
      </w:pPr>
    </w:p>
    <w:p w14:paraId="1EB4241B" w14:textId="77777777" w:rsidR="007D4CA2" w:rsidRPr="00EF20DC" w:rsidRDefault="007D4CA2" w:rsidP="007D4CA2">
      <w:pPr>
        <w:tabs>
          <w:tab w:val="left" w:pos="567"/>
        </w:tabs>
        <w:rPr>
          <w:rFonts w:eastAsia="SimSun"/>
          <w:sz w:val="22"/>
          <w:szCs w:val="22"/>
          <w:lang w:eastAsia="zh-CN"/>
        </w:rPr>
      </w:pPr>
    </w:p>
    <w:p w14:paraId="7FD9E989"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12.</w:t>
      </w:r>
      <w:r w:rsidRPr="00EF20DC">
        <w:rPr>
          <w:rFonts w:eastAsia="SimSun"/>
          <w:b/>
          <w:sz w:val="22"/>
          <w:szCs w:val="22"/>
          <w:lang w:eastAsia="zh-CN"/>
        </w:rPr>
        <w:tab/>
        <w:t xml:space="preserve">REGISTRACIJOS PAŽYMĖJIMO NUMERIS (-IAI) </w:t>
      </w:r>
    </w:p>
    <w:p w14:paraId="65E122C8" w14:textId="77777777" w:rsidR="007D4CA2" w:rsidRPr="00EF20DC" w:rsidRDefault="007D4CA2" w:rsidP="007D4CA2">
      <w:pPr>
        <w:tabs>
          <w:tab w:val="left" w:pos="567"/>
        </w:tabs>
        <w:rPr>
          <w:rFonts w:eastAsia="SimSun"/>
          <w:sz w:val="22"/>
          <w:szCs w:val="22"/>
          <w:lang w:eastAsia="zh-CN"/>
        </w:rPr>
      </w:pPr>
    </w:p>
    <w:p w14:paraId="793A48B8" w14:textId="77777777" w:rsidR="003C7C5B" w:rsidRPr="003C7C5B" w:rsidRDefault="003C7C5B" w:rsidP="003C7C5B">
      <w:pPr>
        <w:tabs>
          <w:tab w:val="left" w:pos="567"/>
        </w:tabs>
        <w:rPr>
          <w:rFonts w:eastAsia="SimSun"/>
          <w:bCs/>
          <w:sz w:val="22"/>
          <w:szCs w:val="22"/>
          <w:highlight w:val="lightGray"/>
          <w:lang w:eastAsia="zh-CN"/>
        </w:rPr>
      </w:pPr>
      <w:r w:rsidRPr="003C7C5B">
        <w:rPr>
          <w:rFonts w:eastAsia="SimSun"/>
          <w:sz w:val="22"/>
          <w:szCs w:val="22"/>
          <w:lang w:eastAsia="zh-CN"/>
        </w:rPr>
        <w:t xml:space="preserve">LT/1/21/4762/005 </w:t>
      </w:r>
      <w:r w:rsidRPr="003C7C5B">
        <w:rPr>
          <w:rFonts w:eastAsia="SimSun"/>
          <w:bCs/>
          <w:sz w:val="22"/>
          <w:szCs w:val="22"/>
          <w:highlight w:val="lightGray"/>
          <w:lang w:eastAsia="zh-CN"/>
        </w:rPr>
        <w:t>– N84 (3x28)</w:t>
      </w:r>
    </w:p>
    <w:p w14:paraId="23A7C964" w14:textId="77777777" w:rsidR="003C7C5B" w:rsidRPr="003C7C5B" w:rsidRDefault="003C7C5B" w:rsidP="003C7C5B">
      <w:pPr>
        <w:tabs>
          <w:tab w:val="left" w:pos="567"/>
        </w:tabs>
        <w:rPr>
          <w:rFonts w:eastAsia="SimSun"/>
          <w:bCs/>
          <w:sz w:val="22"/>
          <w:szCs w:val="22"/>
          <w:highlight w:val="lightGray"/>
          <w:lang w:eastAsia="zh-CN"/>
        </w:rPr>
      </w:pPr>
      <w:r w:rsidRPr="003C7C5B">
        <w:rPr>
          <w:rFonts w:eastAsia="SimSun"/>
          <w:bCs/>
          <w:sz w:val="22"/>
          <w:szCs w:val="22"/>
          <w:highlight w:val="lightGray"/>
          <w:lang w:eastAsia="zh-CN"/>
        </w:rPr>
        <w:t>LT/1/21/4762/012 – N84x1 (3x(28x1))</w:t>
      </w:r>
    </w:p>
    <w:p w14:paraId="4C04AEAF" w14:textId="77777777" w:rsidR="003C7C5B" w:rsidRPr="003C7C5B" w:rsidRDefault="003C7C5B" w:rsidP="003C7C5B">
      <w:pPr>
        <w:tabs>
          <w:tab w:val="left" w:pos="567"/>
        </w:tabs>
        <w:rPr>
          <w:rFonts w:eastAsia="SimSun"/>
          <w:bCs/>
          <w:sz w:val="22"/>
          <w:szCs w:val="22"/>
          <w:highlight w:val="lightGray"/>
          <w:lang w:eastAsia="zh-CN"/>
        </w:rPr>
      </w:pPr>
      <w:r w:rsidRPr="003C7C5B">
        <w:rPr>
          <w:rFonts w:eastAsia="SimSun"/>
          <w:bCs/>
          <w:sz w:val="22"/>
          <w:szCs w:val="22"/>
          <w:highlight w:val="lightGray"/>
          <w:lang w:eastAsia="zh-CN"/>
        </w:rPr>
        <w:t>LT/1/21/4762/006 – N112 (4x28)</w:t>
      </w:r>
    </w:p>
    <w:p w14:paraId="3C328886" w14:textId="77777777" w:rsidR="003C7C5B" w:rsidRPr="003C7C5B" w:rsidRDefault="003C7C5B" w:rsidP="003C7C5B">
      <w:pPr>
        <w:tabs>
          <w:tab w:val="left" w:pos="567"/>
        </w:tabs>
        <w:rPr>
          <w:rFonts w:eastAsia="SimSun"/>
          <w:bCs/>
          <w:sz w:val="22"/>
          <w:szCs w:val="22"/>
          <w:highlight w:val="lightGray"/>
          <w:lang w:eastAsia="zh-CN"/>
        </w:rPr>
      </w:pPr>
      <w:r w:rsidRPr="003C7C5B">
        <w:rPr>
          <w:rFonts w:eastAsia="SimSun"/>
          <w:bCs/>
          <w:sz w:val="22"/>
          <w:szCs w:val="22"/>
          <w:highlight w:val="lightGray"/>
          <w:lang w:eastAsia="zh-CN"/>
        </w:rPr>
        <w:t>LT/1/21/4762/013 – N112x1 (4x(28x1))</w:t>
      </w:r>
    </w:p>
    <w:p w14:paraId="01CBBF95" w14:textId="77777777" w:rsidR="003C7C5B" w:rsidRPr="003C7C5B" w:rsidRDefault="003C7C5B" w:rsidP="003C7C5B">
      <w:pPr>
        <w:tabs>
          <w:tab w:val="left" w:pos="567"/>
        </w:tabs>
        <w:rPr>
          <w:rFonts w:eastAsia="SimSun"/>
          <w:bCs/>
          <w:sz w:val="22"/>
          <w:szCs w:val="22"/>
          <w:highlight w:val="lightGray"/>
          <w:lang w:eastAsia="zh-CN"/>
        </w:rPr>
      </w:pPr>
      <w:r w:rsidRPr="003C7C5B">
        <w:rPr>
          <w:rFonts w:eastAsia="SimSun"/>
          <w:bCs/>
          <w:sz w:val="22"/>
          <w:szCs w:val="22"/>
          <w:highlight w:val="lightGray"/>
          <w:lang w:eastAsia="zh-CN"/>
        </w:rPr>
        <w:t>LT/1/21/4762/007 – N120 (4x30)</w:t>
      </w:r>
    </w:p>
    <w:p w14:paraId="09002FCC" w14:textId="0D987B18" w:rsidR="007D4CA2" w:rsidRPr="003C7C5B" w:rsidRDefault="003C7C5B" w:rsidP="003C7C5B">
      <w:pPr>
        <w:tabs>
          <w:tab w:val="left" w:pos="567"/>
        </w:tabs>
        <w:rPr>
          <w:rFonts w:eastAsia="SimSun"/>
          <w:bCs/>
          <w:sz w:val="22"/>
          <w:szCs w:val="22"/>
          <w:highlight w:val="lightGray"/>
          <w:lang w:eastAsia="zh-CN"/>
        </w:rPr>
      </w:pPr>
      <w:r w:rsidRPr="003C7C5B">
        <w:rPr>
          <w:rFonts w:eastAsia="SimSun"/>
          <w:bCs/>
          <w:sz w:val="22"/>
          <w:szCs w:val="22"/>
          <w:highlight w:val="lightGray"/>
          <w:lang w:eastAsia="zh-CN"/>
        </w:rPr>
        <w:t>LT/1/21/4762/014 – N120x1 (4x(30x1))</w:t>
      </w:r>
    </w:p>
    <w:p w14:paraId="2DB70037" w14:textId="77777777" w:rsidR="003C7C5B" w:rsidRDefault="003C7C5B" w:rsidP="003C7C5B">
      <w:pPr>
        <w:tabs>
          <w:tab w:val="left" w:pos="567"/>
        </w:tabs>
        <w:rPr>
          <w:rFonts w:eastAsia="SimSun"/>
          <w:sz w:val="22"/>
          <w:szCs w:val="22"/>
          <w:lang w:eastAsia="zh-CN"/>
        </w:rPr>
      </w:pPr>
    </w:p>
    <w:p w14:paraId="35D96350" w14:textId="77777777" w:rsidR="003C7C5B" w:rsidRPr="00EF20DC" w:rsidRDefault="003C7C5B" w:rsidP="003C7C5B">
      <w:pPr>
        <w:tabs>
          <w:tab w:val="left" w:pos="567"/>
        </w:tabs>
        <w:rPr>
          <w:rFonts w:eastAsia="SimSun"/>
          <w:sz w:val="22"/>
          <w:szCs w:val="22"/>
          <w:lang w:eastAsia="zh-CN"/>
        </w:rPr>
      </w:pPr>
    </w:p>
    <w:p w14:paraId="6736501E"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13.</w:t>
      </w:r>
      <w:r w:rsidRPr="00EF20DC">
        <w:rPr>
          <w:rFonts w:eastAsia="SimSun"/>
          <w:b/>
          <w:sz w:val="22"/>
          <w:szCs w:val="22"/>
          <w:lang w:eastAsia="zh-CN"/>
        </w:rPr>
        <w:tab/>
        <w:t xml:space="preserve">SERIJOS NUMERIS </w:t>
      </w:r>
    </w:p>
    <w:p w14:paraId="29AC72C8" w14:textId="77777777" w:rsidR="007D4CA2" w:rsidRPr="00EF20DC" w:rsidRDefault="007D4CA2" w:rsidP="007D4CA2">
      <w:pPr>
        <w:tabs>
          <w:tab w:val="left" w:pos="567"/>
        </w:tabs>
        <w:rPr>
          <w:rFonts w:eastAsia="SimSun"/>
          <w:sz w:val="22"/>
          <w:szCs w:val="22"/>
          <w:lang w:eastAsia="zh-CN"/>
        </w:rPr>
      </w:pPr>
    </w:p>
    <w:p w14:paraId="57BC1B00" w14:textId="77777777" w:rsidR="007D4CA2" w:rsidRPr="00EF20DC" w:rsidRDefault="007D4CA2" w:rsidP="007D4CA2">
      <w:pPr>
        <w:tabs>
          <w:tab w:val="left" w:pos="567"/>
        </w:tabs>
        <w:rPr>
          <w:rFonts w:eastAsia="SimSun"/>
          <w:sz w:val="22"/>
          <w:szCs w:val="22"/>
          <w:lang w:eastAsia="zh-CN"/>
        </w:rPr>
      </w:pPr>
      <w:r w:rsidRPr="00EF20DC">
        <w:rPr>
          <w:rFonts w:eastAsia="SimSun"/>
          <w:sz w:val="22"/>
          <w:szCs w:val="22"/>
          <w:lang w:eastAsia="zh-CN"/>
        </w:rPr>
        <w:t xml:space="preserve">Lot </w:t>
      </w:r>
    </w:p>
    <w:p w14:paraId="6664BF9D" w14:textId="77777777" w:rsidR="007D4CA2" w:rsidRPr="00EF20DC" w:rsidRDefault="007D4CA2" w:rsidP="007D4CA2">
      <w:pPr>
        <w:tabs>
          <w:tab w:val="left" w:pos="567"/>
        </w:tabs>
        <w:rPr>
          <w:rFonts w:eastAsia="SimSun"/>
          <w:sz w:val="22"/>
          <w:szCs w:val="22"/>
          <w:lang w:eastAsia="zh-CN"/>
        </w:rPr>
      </w:pPr>
    </w:p>
    <w:p w14:paraId="4217EA76" w14:textId="77777777" w:rsidR="007D4CA2" w:rsidRPr="00EF20DC" w:rsidRDefault="007D4CA2" w:rsidP="007D4CA2">
      <w:pPr>
        <w:tabs>
          <w:tab w:val="left" w:pos="567"/>
        </w:tabs>
        <w:rPr>
          <w:rFonts w:eastAsia="SimSun"/>
          <w:sz w:val="22"/>
          <w:szCs w:val="22"/>
          <w:lang w:eastAsia="zh-CN"/>
        </w:rPr>
      </w:pPr>
    </w:p>
    <w:p w14:paraId="2A8A9772" w14:textId="77777777" w:rsidR="007D4CA2" w:rsidRPr="00EF20DC" w:rsidRDefault="007D4CA2" w:rsidP="007D4CA2">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14.</w:t>
      </w:r>
      <w:r w:rsidRPr="00EF20DC">
        <w:rPr>
          <w:rFonts w:eastAsia="SimSun"/>
          <w:b/>
          <w:sz w:val="22"/>
          <w:szCs w:val="22"/>
          <w:lang w:eastAsia="zh-CN"/>
        </w:rPr>
        <w:tab/>
        <w:t>PARDAVIMO (IŠDAVIMO) TVARKA</w:t>
      </w:r>
    </w:p>
    <w:p w14:paraId="21E0BD71" w14:textId="77777777" w:rsidR="007D4CA2" w:rsidRPr="00EF20DC" w:rsidRDefault="007D4CA2" w:rsidP="007D4CA2">
      <w:pPr>
        <w:tabs>
          <w:tab w:val="left" w:pos="567"/>
        </w:tabs>
        <w:rPr>
          <w:rFonts w:eastAsia="SimSun"/>
          <w:sz w:val="22"/>
          <w:szCs w:val="22"/>
          <w:lang w:eastAsia="zh-CN"/>
        </w:rPr>
      </w:pPr>
    </w:p>
    <w:p w14:paraId="45D06766" w14:textId="77777777" w:rsidR="007D4CA2" w:rsidRPr="00EF20DC" w:rsidRDefault="007D4CA2" w:rsidP="007D4CA2">
      <w:pPr>
        <w:tabs>
          <w:tab w:val="left" w:pos="567"/>
        </w:tabs>
        <w:rPr>
          <w:rFonts w:eastAsia="SimSun"/>
          <w:sz w:val="22"/>
          <w:szCs w:val="22"/>
          <w:lang w:eastAsia="zh-CN"/>
        </w:rPr>
      </w:pPr>
      <w:r w:rsidRPr="00EF20DC">
        <w:rPr>
          <w:rFonts w:eastAsia="SimSun"/>
          <w:sz w:val="22"/>
          <w:szCs w:val="22"/>
          <w:lang w:eastAsia="zh-CN"/>
        </w:rPr>
        <w:t>Receptinis vaistas</w:t>
      </w:r>
    </w:p>
    <w:p w14:paraId="671B9B9B" w14:textId="77777777" w:rsidR="007D4CA2" w:rsidRPr="00EF20DC" w:rsidRDefault="007D4CA2" w:rsidP="007D4CA2">
      <w:pPr>
        <w:tabs>
          <w:tab w:val="left" w:pos="567"/>
        </w:tabs>
        <w:rPr>
          <w:rFonts w:eastAsia="SimSun"/>
          <w:sz w:val="22"/>
          <w:szCs w:val="22"/>
          <w:lang w:eastAsia="zh-CN"/>
        </w:rPr>
      </w:pPr>
    </w:p>
    <w:p w14:paraId="292D6433" w14:textId="77777777" w:rsidR="007D4CA2" w:rsidRPr="00EF20DC" w:rsidRDefault="007D4CA2" w:rsidP="007D4CA2">
      <w:pPr>
        <w:tabs>
          <w:tab w:val="left" w:pos="567"/>
        </w:tabs>
        <w:rPr>
          <w:rFonts w:eastAsia="SimSun"/>
          <w:sz w:val="22"/>
          <w:szCs w:val="22"/>
          <w:lang w:eastAsia="zh-CN"/>
        </w:rPr>
      </w:pPr>
    </w:p>
    <w:p w14:paraId="4D69B8AA" w14:textId="77777777" w:rsidR="007D4CA2" w:rsidRPr="00EF20DC" w:rsidRDefault="007D4CA2" w:rsidP="007D4CA2">
      <w:pPr>
        <w:suppressLineNumbers/>
        <w:pBdr>
          <w:top w:val="single" w:sz="4" w:space="2"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15.</w:t>
      </w:r>
      <w:r w:rsidRPr="00EF20DC">
        <w:rPr>
          <w:rFonts w:eastAsia="SimSun"/>
          <w:b/>
          <w:sz w:val="22"/>
          <w:szCs w:val="22"/>
          <w:lang w:eastAsia="zh-CN"/>
        </w:rPr>
        <w:tab/>
        <w:t>VARTOJIMO INSTRUKCIJA</w:t>
      </w:r>
    </w:p>
    <w:p w14:paraId="6BDE3E2D" w14:textId="77777777" w:rsidR="007D4CA2" w:rsidRPr="00EF20DC" w:rsidRDefault="007D4CA2" w:rsidP="007D4CA2">
      <w:pPr>
        <w:tabs>
          <w:tab w:val="left" w:pos="567"/>
        </w:tabs>
        <w:rPr>
          <w:rFonts w:eastAsia="SimSun"/>
          <w:sz w:val="22"/>
          <w:szCs w:val="22"/>
          <w:lang w:eastAsia="zh-CN"/>
        </w:rPr>
      </w:pPr>
    </w:p>
    <w:p w14:paraId="48043E2E" w14:textId="77777777" w:rsidR="007D4CA2" w:rsidRPr="00EF20DC" w:rsidRDefault="007D4CA2" w:rsidP="007D4CA2">
      <w:pPr>
        <w:tabs>
          <w:tab w:val="left" w:pos="567"/>
        </w:tabs>
        <w:rPr>
          <w:rFonts w:eastAsia="SimSun"/>
          <w:sz w:val="22"/>
          <w:szCs w:val="22"/>
          <w:lang w:eastAsia="zh-CN"/>
        </w:rPr>
      </w:pPr>
    </w:p>
    <w:p w14:paraId="65D25209" w14:textId="77777777" w:rsidR="007D4CA2" w:rsidRPr="00EF20DC" w:rsidRDefault="007D4CA2" w:rsidP="007D4CA2">
      <w:pPr>
        <w:suppressLineNumbers/>
        <w:pBdr>
          <w:top w:val="single" w:sz="4" w:space="1" w:color="auto"/>
          <w:left w:val="single" w:sz="4" w:space="4" w:color="auto"/>
          <w:bottom w:val="single" w:sz="4" w:space="0" w:color="auto"/>
          <w:right w:val="single" w:sz="4" w:space="4" w:color="auto"/>
        </w:pBdr>
        <w:tabs>
          <w:tab w:val="left" w:pos="567"/>
        </w:tabs>
        <w:rPr>
          <w:rFonts w:eastAsia="Calibri"/>
          <w:sz w:val="22"/>
          <w:szCs w:val="22"/>
        </w:rPr>
      </w:pPr>
      <w:r w:rsidRPr="00EF20DC">
        <w:rPr>
          <w:rFonts w:eastAsia="SimSun"/>
          <w:b/>
          <w:sz w:val="22"/>
          <w:szCs w:val="22"/>
          <w:lang w:eastAsia="zh-CN"/>
        </w:rPr>
        <w:t>16.</w:t>
      </w:r>
      <w:r w:rsidRPr="00EF20DC">
        <w:rPr>
          <w:rFonts w:eastAsia="SimSun"/>
          <w:b/>
          <w:sz w:val="22"/>
          <w:szCs w:val="22"/>
          <w:lang w:eastAsia="zh-CN"/>
        </w:rPr>
        <w:tab/>
        <w:t>INFORMACIJA BRAILIO RAŠTU</w:t>
      </w:r>
    </w:p>
    <w:p w14:paraId="50A20F9D" w14:textId="77777777" w:rsidR="007D4CA2" w:rsidRPr="00EF20DC" w:rsidRDefault="007D4CA2" w:rsidP="007D4CA2">
      <w:pPr>
        <w:tabs>
          <w:tab w:val="left" w:pos="567"/>
        </w:tabs>
        <w:autoSpaceDE w:val="0"/>
        <w:autoSpaceDN w:val="0"/>
        <w:adjustRightInd w:val="0"/>
        <w:rPr>
          <w:rFonts w:eastAsia="Calibri"/>
          <w:sz w:val="22"/>
          <w:szCs w:val="22"/>
          <w:lang w:eastAsia="lt-LT"/>
        </w:rPr>
      </w:pPr>
    </w:p>
    <w:p w14:paraId="743DECE6" w14:textId="079D7892" w:rsidR="007D4CA2" w:rsidRPr="00EF20DC" w:rsidRDefault="007D4CA2" w:rsidP="007D4CA2">
      <w:pPr>
        <w:tabs>
          <w:tab w:val="left" w:pos="567"/>
        </w:tabs>
        <w:autoSpaceDE w:val="0"/>
        <w:autoSpaceDN w:val="0"/>
        <w:adjustRightInd w:val="0"/>
        <w:rPr>
          <w:rFonts w:eastAsia="Calibri"/>
          <w:sz w:val="22"/>
          <w:szCs w:val="22"/>
          <w:lang w:eastAsia="lt-LT"/>
        </w:rPr>
      </w:pPr>
      <w:r w:rsidRPr="00EF20DC">
        <w:rPr>
          <w:rFonts w:eastAsia="Calibri"/>
          <w:sz w:val="22"/>
          <w:szCs w:val="22"/>
          <w:lang w:eastAsia="lt-LT"/>
        </w:rPr>
        <w:t>Sorafenib</w:t>
      </w:r>
      <w:r>
        <w:rPr>
          <w:rFonts w:eastAsia="Calibri"/>
          <w:sz w:val="22"/>
          <w:szCs w:val="22"/>
          <w:lang w:eastAsia="lt-LT"/>
        </w:rPr>
        <w:t xml:space="preserve"> </w:t>
      </w:r>
      <w:r w:rsidR="00D71A25">
        <w:rPr>
          <w:rFonts w:eastAsia="Calibri"/>
          <w:sz w:val="22"/>
          <w:szCs w:val="22"/>
          <w:lang w:eastAsia="lt-LT"/>
        </w:rPr>
        <w:t>Sandoz</w:t>
      </w:r>
      <w:r>
        <w:rPr>
          <w:rFonts w:eastAsia="Calibri"/>
          <w:sz w:val="22"/>
          <w:szCs w:val="22"/>
          <w:lang w:eastAsia="lt-LT"/>
        </w:rPr>
        <w:t xml:space="preserve"> 4</w:t>
      </w:r>
      <w:r w:rsidRPr="00EF20DC">
        <w:rPr>
          <w:rFonts w:eastAsia="Calibri"/>
          <w:sz w:val="22"/>
          <w:szCs w:val="22"/>
          <w:lang w:eastAsia="lt-LT"/>
        </w:rPr>
        <w:t xml:space="preserve">00 mg </w:t>
      </w:r>
    </w:p>
    <w:p w14:paraId="06B61EDB" w14:textId="77777777" w:rsidR="007D4CA2" w:rsidRPr="00EF20DC" w:rsidRDefault="007D4CA2" w:rsidP="007D4CA2">
      <w:pPr>
        <w:tabs>
          <w:tab w:val="left" w:pos="567"/>
        </w:tabs>
        <w:rPr>
          <w:rFonts w:eastAsia="Calibri"/>
          <w:sz w:val="22"/>
          <w:szCs w:val="22"/>
          <w:highlight w:val="lightGray"/>
        </w:rPr>
      </w:pPr>
    </w:p>
    <w:p w14:paraId="13CA6F3C" w14:textId="77777777" w:rsidR="007D4CA2" w:rsidRPr="00EF20DC" w:rsidRDefault="007D4CA2" w:rsidP="007D4CA2">
      <w:pPr>
        <w:tabs>
          <w:tab w:val="left" w:pos="567"/>
        </w:tabs>
        <w:rPr>
          <w:rFonts w:eastAsia="Calibri"/>
          <w:sz w:val="22"/>
          <w:szCs w:val="22"/>
          <w:highlight w:val="lightGray"/>
        </w:rPr>
      </w:pPr>
    </w:p>
    <w:p w14:paraId="581A02B3" w14:textId="77777777" w:rsidR="007D4CA2" w:rsidRPr="00EF20DC" w:rsidRDefault="007D4CA2" w:rsidP="007D4CA2">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sz w:val="22"/>
          <w:szCs w:val="22"/>
          <w:lang w:bidi="lt-LT"/>
        </w:rPr>
      </w:pPr>
      <w:r w:rsidRPr="00EF20DC">
        <w:rPr>
          <w:b/>
          <w:snapToGrid w:val="0"/>
          <w:sz w:val="22"/>
          <w:szCs w:val="22"/>
          <w:lang w:bidi="lt-LT"/>
        </w:rPr>
        <w:t>17.</w:t>
      </w:r>
      <w:r w:rsidRPr="00EF20DC">
        <w:rPr>
          <w:b/>
          <w:snapToGrid w:val="0"/>
          <w:sz w:val="22"/>
          <w:szCs w:val="22"/>
          <w:lang w:bidi="lt-LT"/>
        </w:rPr>
        <w:tab/>
        <w:t>UNIKALUS IDENTIFIKATORIUS – 2D BRŪKŠNINIS KODAS</w:t>
      </w:r>
    </w:p>
    <w:p w14:paraId="78E665D0" w14:textId="77777777" w:rsidR="007D4CA2" w:rsidRPr="00EF20DC" w:rsidRDefault="007D4CA2" w:rsidP="007D4CA2">
      <w:pPr>
        <w:tabs>
          <w:tab w:val="left" w:pos="567"/>
        </w:tabs>
        <w:spacing w:line="260" w:lineRule="exact"/>
        <w:rPr>
          <w:rFonts w:eastAsia="Calibri"/>
          <w:sz w:val="22"/>
          <w:szCs w:val="22"/>
          <w:highlight w:val="lightGray"/>
        </w:rPr>
      </w:pPr>
    </w:p>
    <w:p w14:paraId="39DCE622" w14:textId="77777777" w:rsidR="007D4CA2" w:rsidRPr="00EF20DC" w:rsidRDefault="007D4CA2" w:rsidP="007D4CA2">
      <w:pPr>
        <w:tabs>
          <w:tab w:val="left" w:pos="567"/>
        </w:tabs>
        <w:spacing w:line="260" w:lineRule="exact"/>
        <w:rPr>
          <w:snapToGrid w:val="0"/>
          <w:sz w:val="22"/>
          <w:szCs w:val="22"/>
          <w:shd w:val="clear" w:color="auto" w:fill="CCCCCC"/>
          <w:lang w:bidi="lt-LT"/>
        </w:rPr>
      </w:pPr>
      <w:r w:rsidRPr="00EF20DC">
        <w:rPr>
          <w:rFonts w:eastAsia="Calibri"/>
          <w:sz w:val="22"/>
          <w:szCs w:val="22"/>
          <w:highlight w:val="lightGray"/>
        </w:rPr>
        <w:lastRenderedPageBreak/>
        <w:t>2D brūkšninis kodas su nurodytu unikaliu identifikatoriumi.</w:t>
      </w:r>
    </w:p>
    <w:p w14:paraId="6A756CB5" w14:textId="77777777" w:rsidR="007D4CA2" w:rsidRPr="00EF20DC" w:rsidRDefault="007D4CA2" w:rsidP="007D4CA2">
      <w:pPr>
        <w:tabs>
          <w:tab w:val="left" w:pos="567"/>
        </w:tabs>
        <w:spacing w:line="260" w:lineRule="exact"/>
        <w:rPr>
          <w:snapToGrid w:val="0"/>
          <w:sz w:val="22"/>
          <w:szCs w:val="22"/>
          <w:lang w:bidi="lt-LT"/>
        </w:rPr>
      </w:pPr>
    </w:p>
    <w:p w14:paraId="35D84B19" w14:textId="77777777" w:rsidR="007D4CA2" w:rsidRPr="00EF20DC" w:rsidRDefault="007D4CA2" w:rsidP="007D4CA2">
      <w:pPr>
        <w:tabs>
          <w:tab w:val="left" w:pos="567"/>
        </w:tabs>
        <w:spacing w:line="260" w:lineRule="exact"/>
        <w:rPr>
          <w:snapToGrid w:val="0"/>
          <w:sz w:val="22"/>
          <w:szCs w:val="22"/>
          <w:lang w:bidi="lt-LT"/>
        </w:rPr>
      </w:pPr>
    </w:p>
    <w:p w14:paraId="45C5D4C6" w14:textId="77777777" w:rsidR="007D4CA2" w:rsidRPr="00EF20DC" w:rsidRDefault="007D4CA2" w:rsidP="007D4CA2">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sz w:val="22"/>
          <w:szCs w:val="22"/>
          <w:lang w:bidi="lt-LT"/>
        </w:rPr>
      </w:pPr>
      <w:r w:rsidRPr="00EF20DC">
        <w:rPr>
          <w:b/>
          <w:snapToGrid w:val="0"/>
          <w:sz w:val="22"/>
          <w:szCs w:val="22"/>
          <w:lang w:bidi="lt-LT"/>
        </w:rPr>
        <w:t>18.</w:t>
      </w:r>
      <w:r w:rsidRPr="00EF20DC">
        <w:rPr>
          <w:b/>
          <w:snapToGrid w:val="0"/>
          <w:sz w:val="22"/>
          <w:szCs w:val="22"/>
          <w:lang w:bidi="lt-LT"/>
        </w:rPr>
        <w:tab/>
        <w:t>UNIKALUS IDENTIFIKATORIUS – ŽMONĖMS SUPRANTAMI DUOMENYS</w:t>
      </w:r>
    </w:p>
    <w:p w14:paraId="51808FD6" w14:textId="77777777" w:rsidR="007D4CA2" w:rsidRPr="00EF20DC" w:rsidRDefault="007D4CA2" w:rsidP="007D4CA2">
      <w:pPr>
        <w:tabs>
          <w:tab w:val="left" w:pos="567"/>
        </w:tabs>
        <w:spacing w:line="260" w:lineRule="exact"/>
        <w:rPr>
          <w:snapToGrid w:val="0"/>
          <w:sz w:val="22"/>
          <w:szCs w:val="22"/>
          <w:lang w:bidi="lt-LT"/>
        </w:rPr>
      </w:pPr>
    </w:p>
    <w:p w14:paraId="4C1AF1C3" w14:textId="77777777" w:rsidR="007D4CA2" w:rsidRPr="00EF20DC" w:rsidRDefault="007D4CA2" w:rsidP="007D4CA2">
      <w:pPr>
        <w:tabs>
          <w:tab w:val="left" w:pos="567"/>
        </w:tabs>
        <w:spacing w:line="260" w:lineRule="exact"/>
        <w:rPr>
          <w:snapToGrid w:val="0"/>
          <w:sz w:val="22"/>
          <w:szCs w:val="22"/>
          <w:lang w:bidi="lt-LT"/>
        </w:rPr>
      </w:pPr>
      <w:r w:rsidRPr="00EF20DC">
        <w:rPr>
          <w:snapToGrid w:val="0"/>
          <w:sz w:val="22"/>
          <w:szCs w:val="22"/>
          <w:lang w:bidi="lt-LT"/>
        </w:rPr>
        <w:t>PC</w:t>
      </w:r>
      <w:r>
        <w:rPr>
          <w:snapToGrid w:val="0"/>
          <w:sz w:val="22"/>
          <w:szCs w:val="22"/>
          <w:lang w:bidi="lt-LT"/>
        </w:rPr>
        <w:t>:</w:t>
      </w:r>
      <w:r w:rsidRPr="00EF20DC">
        <w:rPr>
          <w:snapToGrid w:val="0"/>
          <w:sz w:val="22"/>
          <w:szCs w:val="22"/>
          <w:lang w:bidi="lt-LT"/>
        </w:rPr>
        <w:t xml:space="preserve"> </w:t>
      </w:r>
      <w:r w:rsidRPr="00A07BA7">
        <w:rPr>
          <w:snapToGrid w:val="0"/>
          <w:sz w:val="22"/>
          <w:szCs w:val="20"/>
        </w:rPr>
        <w:t>{numeris}</w:t>
      </w:r>
    </w:p>
    <w:p w14:paraId="40B9AAB2" w14:textId="77777777" w:rsidR="007D4CA2" w:rsidRPr="00EF20DC" w:rsidRDefault="007D4CA2" w:rsidP="007D4CA2">
      <w:pPr>
        <w:tabs>
          <w:tab w:val="left" w:pos="567"/>
        </w:tabs>
        <w:spacing w:line="260" w:lineRule="exact"/>
        <w:rPr>
          <w:snapToGrid w:val="0"/>
          <w:sz w:val="22"/>
          <w:szCs w:val="22"/>
          <w:lang w:bidi="lt-LT"/>
        </w:rPr>
      </w:pPr>
      <w:r w:rsidRPr="00EF20DC">
        <w:rPr>
          <w:snapToGrid w:val="0"/>
          <w:sz w:val="22"/>
          <w:szCs w:val="22"/>
          <w:lang w:bidi="lt-LT"/>
        </w:rPr>
        <w:t>SN</w:t>
      </w:r>
      <w:r>
        <w:rPr>
          <w:snapToGrid w:val="0"/>
          <w:sz w:val="22"/>
          <w:szCs w:val="22"/>
          <w:lang w:bidi="lt-LT"/>
        </w:rPr>
        <w:t>:</w:t>
      </w:r>
      <w:r w:rsidRPr="00EF20DC">
        <w:rPr>
          <w:snapToGrid w:val="0"/>
          <w:sz w:val="22"/>
          <w:szCs w:val="22"/>
          <w:lang w:bidi="lt-LT"/>
        </w:rPr>
        <w:t xml:space="preserve"> </w:t>
      </w:r>
      <w:r w:rsidRPr="00A07BA7">
        <w:rPr>
          <w:snapToGrid w:val="0"/>
          <w:sz w:val="22"/>
          <w:szCs w:val="20"/>
        </w:rPr>
        <w:t>{numeris}</w:t>
      </w:r>
    </w:p>
    <w:p w14:paraId="2DD634E0" w14:textId="2D79DE53" w:rsidR="007D4CA2" w:rsidRPr="00A07BA7" w:rsidRDefault="007D4CA2" w:rsidP="007D4CA2">
      <w:pPr>
        <w:tabs>
          <w:tab w:val="left" w:pos="567"/>
        </w:tabs>
        <w:spacing w:line="260" w:lineRule="exact"/>
        <w:rPr>
          <w:snapToGrid w:val="0"/>
          <w:sz w:val="22"/>
          <w:szCs w:val="20"/>
        </w:rPr>
      </w:pPr>
      <w:r w:rsidRPr="00F64F10">
        <w:rPr>
          <w:rFonts w:eastAsia="Calibri"/>
          <w:sz w:val="22"/>
          <w:szCs w:val="22"/>
        </w:rPr>
        <w:t>NN</w:t>
      </w:r>
      <w:r>
        <w:rPr>
          <w:rFonts w:eastAsia="Calibri"/>
          <w:sz w:val="22"/>
          <w:szCs w:val="22"/>
        </w:rPr>
        <w:t>:</w:t>
      </w:r>
      <w:r w:rsidRPr="00F64F10">
        <w:rPr>
          <w:rFonts w:eastAsia="Calibri"/>
          <w:sz w:val="22"/>
          <w:szCs w:val="22"/>
        </w:rPr>
        <w:t xml:space="preserve"> </w:t>
      </w:r>
      <w:r w:rsidRPr="00A07BA7">
        <w:rPr>
          <w:snapToGrid w:val="0"/>
          <w:sz w:val="22"/>
          <w:szCs w:val="20"/>
        </w:rPr>
        <w:t>{numeris}</w:t>
      </w:r>
    </w:p>
    <w:p w14:paraId="3752DA1D" w14:textId="2802ECCD" w:rsidR="005019F9" w:rsidRPr="00A07BA7" w:rsidRDefault="005019F9">
      <w:pPr>
        <w:spacing w:after="160" w:line="259" w:lineRule="auto"/>
        <w:rPr>
          <w:snapToGrid w:val="0"/>
          <w:sz w:val="22"/>
          <w:szCs w:val="20"/>
        </w:rPr>
      </w:pPr>
      <w:r w:rsidRPr="00A07BA7">
        <w:rPr>
          <w:snapToGrid w:val="0"/>
          <w:sz w:val="22"/>
          <w:szCs w:val="20"/>
        </w:rPr>
        <w:br w:type="page"/>
      </w:r>
    </w:p>
    <w:p w14:paraId="1717B0A3"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sidRPr="00EF20DC">
        <w:rPr>
          <w:rFonts w:eastAsia="SimSun"/>
          <w:b/>
          <w:sz w:val="22"/>
          <w:szCs w:val="22"/>
          <w:lang w:eastAsia="zh-CN"/>
        </w:rPr>
        <w:lastRenderedPageBreak/>
        <w:t>INFORMACIJA ANT IŠORINĖS PAKUOTĖS</w:t>
      </w:r>
    </w:p>
    <w:p w14:paraId="02E00BC0" w14:textId="77777777" w:rsidR="005019F9" w:rsidRDefault="005019F9" w:rsidP="005019F9">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p>
    <w:p w14:paraId="682F7082" w14:textId="77777777" w:rsidR="005019F9" w:rsidRDefault="005019F9" w:rsidP="005019F9">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84 (3 pakeliai po 28),</w:t>
      </w:r>
      <w:r w:rsidRPr="0069385E">
        <w:rPr>
          <w:rFonts w:eastAsia="SimSun"/>
          <w:b/>
          <w:sz w:val="22"/>
          <w:szCs w:val="22"/>
          <w:lang w:eastAsia="zh-CN"/>
        </w:rPr>
        <w:t xml:space="preserve"> </w:t>
      </w:r>
      <w:r>
        <w:rPr>
          <w:rFonts w:eastAsia="SimSun"/>
          <w:b/>
          <w:sz w:val="22"/>
          <w:szCs w:val="22"/>
          <w:lang w:eastAsia="zh-CN"/>
        </w:rPr>
        <w:t>84 x 1 (3 pakeliai po 28 x 1)</w:t>
      </w:r>
      <w:r w:rsidRPr="00E8484B">
        <w:rPr>
          <w:rFonts w:eastAsia="SimSun"/>
          <w:b/>
          <w:sz w:val="22"/>
          <w:szCs w:val="22"/>
          <w:lang w:eastAsia="zh-CN"/>
        </w:rPr>
        <w:t xml:space="preserve"> </w:t>
      </w:r>
      <w:r>
        <w:rPr>
          <w:rFonts w:eastAsia="SimSun"/>
          <w:b/>
          <w:sz w:val="22"/>
          <w:szCs w:val="22"/>
          <w:lang w:eastAsia="zh-CN"/>
        </w:rPr>
        <w:t>112 (4 pakeliai po 28),</w:t>
      </w:r>
      <w:r w:rsidRPr="0069385E">
        <w:rPr>
          <w:rFonts w:eastAsia="SimSun"/>
          <w:b/>
          <w:sz w:val="22"/>
          <w:szCs w:val="22"/>
          <w:lang w:eastAsia="zh-CN"/>
        </w:rPr>
        <w:t xml:space="preserve"> </w:t>
      </w:r>
      <w:r>
        <w:rPr>
          <w:rFonts w:eastAsia="SimSun"/>
          <w:b/>
          <w:sz w:val="22"/>
          <w:szCs w:val="22"/>
          <w:lang w:eastAsia="zh-CN"/>
        </w:rPr>
        <w:t>112 x 1 (4 pakeliai po 28 x 1), 120 (4 pakeliai po 30),</w:t>
      </w:r>
      <w:r w:rsidRPr="0069385E">
        <w:rPr>
          <w:rFonts w:eastAsia="SimSun"/>
          <w:b/>
          <w:sz w:val="22"/>
          <w:szCs w:val="22"/>
          <w:lang w:eastAsia="zh-CN"/>
        </w:rPr>
        <w:t xml:space="preserve"> </w:t>
      </w:r>
      <w:r>
        <w:rPr>
          <w:rFonts w:eastAsia="SimSun"/>
          <w:b/>
          <w:sz w:val="22"/>
          <w:szCs w:val="22"/>
          <w:lang w:eastAsia="zh-CN"/>
        </w:rPr>
        <w:t>120 x 1 (4 pakeliai po 30 x 1) plėvele dengtų tablečių sudėtinės pakuotės (suvyniotos į paketą)</w:t>
      </w:r>
    </w:p>
    <w:p w14:paraId="7EFC0810"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p>
    <w:p w14:paraId="25CE40AE" w14:textId="4D7D555E"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rPr>
          <w:rFonts w:eastAsia="SimSun"/>
          <w:b/>
          <w:sz w:val="22"/>
          <w:szCs w:val="22"/>
          <w:lang w:eastAsia="zh-CN"/>
        </w:rPr>
      </w:pPr>
      <w:r>
        <w:rPr>
          <w:rFonts w:eastAsia="SimSun"/>
          <w:b/>
          <w:sz w:val="22"/>
          <w:szCs w:val="22"/>
          <w:lang w:eastAsia="zh-CN"/>
        </w:rPr>
        <w:t xml:space="preserve">SUDĖTINĖS PAKUOTĖS </w:t>
      </w:r>
      <w:r w:rsidR="00612060">
        <w:rPr>
          <w:rFonts w:eastAsia="SimSun"/>
          <w:b/>
          <w:sz w:val="22"/>
          <w:szCs w:val="22"/>
          <w:lang w:eastAsia="zh-CN"/>
        </w:rPr>
        <w:t>TARPINĖ KARTONO DĖŽUTĖ</w:t>
      </w:r>
      <w:r>
        <w:rPr>
          <w:rFonts w:eastAsia="SimSun"/>
          <w:b/>
          <w:sz w:val="22"/>
          <w:szCs w:val="22"/>
          <w:lang w:eastAsia="zh-CN"/>
        </w:rPr>
        <w:t xml:space="preserve"> (</w:t>
      </w:r>
      <w:r w:rsidR="00612060">
        <w:rPr>
          <w:rFonts w:eastAsia="SimSun"/>
          <w:b/>
          <w:sz w:val="22"/>
          <w:szCs w:val="22"/>
          <w:lang w:eastAsia="zh-CN"/>
        </w:rPr>
        <w:t xml:space="preserve">BE </w:t>
      </w:r>
      <w:r>
        <w:rPr>
          <w:rFonts w:eastAsia="SimSun"/>
          <w:b/>
          <w:sz w:val="22"/>
          <w:szCs w:val="22"/>
          <w:lang w:eastAsia="zh-CN"/>
        </w:rPr>
        <w:t>MĖLYN</w:t>
      </w:r>
      <w:r w:rsidR="00612060">
        <w:rPr>
          <w:rFonts w:eastAsia="SimSun"/>
          <w:b/>
          <w:sz w:val="22"/>
          <w:szCs w:val="22"/>
          <w:lang w:eastAsia="zh-CN"/>
        </w:rPr>
        <w:t>OJO</w:t>
      </w:r>
      <w:r>
        <w:rPr>
          <w:rFonts w:eastAsia="SimSun"/>
          <w:b/>
          <w:sz w:val="22"/>
          <w:szCs w:val="22"/>
          <w:lang w:eastAsia="zh-CN"/>
        </w:rPr>
        <w:t xml:space="preserve"> LANGEL</w:t>
      </w:r>
      <w:r w:rsidR="00612060">
        <w:rPr>
          <w:rFonts w:eastAsia="SimSun"/>
          <w:b/>
          <w:sz w:val="22"/>
          <w:szCs w:val="22"/>
          <w:lang w:eastAsia="zh-CN"/>
        </w:rPr>
        <w:t>O</w:t>
      </w:r>
      <w:r>
        <w:rPr>
          <w:rFonts w:eastAsia="SimSun"/>
          <w:b/>
          <w:sz w:val="22"/>
          <w:szCs w:val="22"/>
          <w:lang w:eastAsia="zh-CN"/>
        </w:rPr>
        <w:t>)</w:t>
      </w:r>
    </w:p>
    <w:p w14:paraId="74941838" w14:textId="77777777" w:rsidR="005019F9" w:rsidRDefault="005019F9" w:rsidP="005019F9">
      <w:pPr>
        <w:tabs>
          <w:tab w:val="left" w:pos="567"/>
        </w:tabs>
        <w:rPr>
          <w:rFonts w:eastAsia="SimSun"/>
          <w:sz w:val="22"/>
          <w:szCs w:val="22"/>
          <w:lang w:eastAsia="zh-CN"/>
        </w:rPr>
      </w:pPr>
    </w:p>
    <w:p w14:paraId="70720158" w14:textId="77777777" w:rsidR="005019F9" w:rsidRPr="00EF20DC" w:rsidRDefault="005019F9" w:rsidP="005019F9">
      <w:pPr>
        <w:tabs>
          <w:tab w:val="left" w:pos="567"/>
        </w:tabs>
        <w:rPr>
          <w:rFonts w:eastAsia="SimSun"/>
          <w:sz w:val="22"/>
          <w:szCs w:val="22"/>
          <w:lang w:eastAsia="zh-CN"/>
        </w:rPr>
      </w:pPr>
    </w:p>
    <w:p w14:paraId="60AA877A"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w:t>
      </w:r>
      <w:r w:rsidRPr="00EF20DC">
        <w:rPr>
          <w:rFonts w:eastAsia="SimSun"/>
          <w:b/>
          <w:sz w:val="22"/>
          <w:szCs w:val="22"/>
          <w:lang w:eastAsia="zh-CN"/>
        </w:rPr>
        <w:tab/>
      </w:r>
      <w:r w:rsidRPr="00EF20DC">
        <w:rPr>
          <w:rFonts w:eastAsia="SimSun"/>
          <w:b/>
          <w:caps/>
          <w:sz w:val="22"/>
          <w:szCs w:val="22"/>
          <w:lang w:eastAsia="zh-CN"/>
        </w:rPr>
        <w:t>VAISTINIO</w:t>
      </w:r>
      <w:r w:rsidRPr="00EF20DC">
        <w:rPr>
          <w:rFonts w:eastAsia="SimSun"/>
          <w:b/>
          <w:sz w:val="22"/>
          <w:szCs w:val="22"/>
          <w:lang w:eastAsia="zh-CN"/>
        </w:rPr>
        <w:t xml:space="preserve"> PREPARATO PAVADINIMAS</w:t>
      </w:r>
    </w:p>
    <w:p w14:paraId="091C2C90" w14:textId="77777777" w:rsidR="005019F9" w:rsidRPr="00EF20DC" w:rsidRDefault="005019F9" w:rsidP="005019F9">
      <w:pPr>
        <w:tabs>
          <w:tab w:val="left" w:pos="567"/>
        </w:tabs>
        <w:rPr>
          <w:rFonts w:eastAsia="SimSun"/>
          <w:sz w:val="22"/>
          <w:szCs w:val="22"/>
          <w:lang w:eastAsia="zh-CN"/>
        </w:rPr>
      </w:pPr>
    </w:p>
    <w:p w14:paraId="18E6509B" w14:textId="3F27240D" w:rsidR="005019F9" w:rsidRPr="00EF20DC" w:rsidRDefault="005019F9" w:rsidP="005019F9">
      <w:pPr>
        <w:rPr>
          <w:rFonts w:eastAsia="Calibri"/>
          <w:sz w:val="22"/>
          <w:szCs w:val="22"/>
        </w:rPr>
      </w:pPr>
      <w:r w:rsidRPr="00EF20DC">
        <w:rPr>
          <w:rFonts w:eastAsia="Calibri"/>
          <w:bCs/>
          <w:sz w:val="22"/>
          <w:szCs w:val="22"/>
          <w:shd w:val="clear" w:color="auto" w:fill="FFFFFF"/>
        </w:rPr>
        <w:t xml:space="preserve">Sorafenib </w:t>
      </w:r>
      <w:r w:rsidR="00D71A25">
        <w:rPr>
          <w:rFonts w:eastAsia="Calibri"/>
          <w:bCs/>
          <w:sz w:val="22"/>
          <w:szCs w:val="22"/>
          <w:shd w:val="clear" w:color="auto" w:fill="FFFFFF"/>
        </w:rPr>
        <w:t>Sandoz</w:t>
      </w:r>
      <w:r w:rsidRPr="00EF20DC">
        <w:rPr>
          <w:rFonts w:eastAsia="Calibri"/>
          <w:bCs/>
          <w:sz w:val="22"/>
          <w:szCs w:val="22"/>
          <w:shd w:val="clear" w:color="auto" w:fill="FFFFFF"/>
        </w:rPr>
        <w:t xml:space="preserve"> </w:t>
      </w:r>
      <w:r>
        <w:rPr>
          <w:rFonts w:eastAsia="Calibri"/>
          <w:sz w:val="22"/>
          <w:szCs w:val="22"/>
        </w:rPr>
        <w:t>4</w:t>
      </w:r>
      <w:r w:rsidRPr="00EF20DC">
        <w:rPr>
          <w:rFonts w:eastAsia="Calibri"/>
          <w:sz w:val="22"/>
          <w:szCs w:val="22"/>
        </w:rPr>
        <w:t xml:space="preserve">00 mg plėvele dengtos tabletės </w:t>
      </w:r>
    </w:p>
    <w:p w14:paraId="56AEF7F0" w14:textId="77777777" w:rsidR="005019F9" w:rsidRPr="00EF20DC" w:rsidRDefault="005019F9" w:rsidP="005019F9">
      <w:pPr>
        <w:tabs>
          <w:tab w:val="left" w:pos="567"/>
        </w:tabs>
        <w:rPr>
          <w:rFonts w:eastAsia="SimSun"/>
          <w:sz w:val="22"/>
          <w:szCs w:val="22"/>
          <w:lang w:eastAsia="zh-CN"/>
        </w:rPr>
      </w:pPr>
      <w:r>
        <w:rPr>
          <w:rFonts w:eastAsia="SimSun"/>
          <w:sz w:val="22"/>
          <w:szCs w:val="22"/>
          <w:lang w:eastAsia="zh-CN"/>
        </w:rPr>
        <w:t>s</w:t>
      </w:r>
      <w:r w:rsidRPr="00EF20DC">
        <w:rPr>
          <w:rFonts w:eastAsia="SimSun"/>
          <w:sz w:val="22"/>
          <w:szCs w:val="22"/>
          <w:lang w:eastAsia="zh-CN"/>
        </w:rPr>
        <w:t>orafenibum</w:t>
      </w:r>
    </w:p>
    <w:p w14:paraId="116AA3C8" w14:textId="77777777" w:rsidR="005019F9" w:rsidRPr="00EF20DC" w:rsidRDefault="005019F9" w:rsidP="005019F9">
      <w:pPr>
        <w:tabs>
          <w:tab w:val="left" w:pos="567"/>
        </w:tabs>
        <w:rPr>
          <w:rFonts w:eastAsia="SimSun"/>
          <w:sz w:val="22"/>
          <w:szCs w:val="22"/>
          <w:lang w:eastAsia="zh-CN"/>
        </w:rPr>
      </w:pPr>
    </w:p>
    <w:p w14:paraId="4319F138" w14:textId="77777777" w:rsidR="005019F9" w:rsidRPr="00EF20DC" w:rsidRDefault="005019F9" w:rsidP="005019F9">
      <w:pPr>
        <w:tabs>
          <w:tab w:val="left" w:pos="567"/>
        </w:tabs>
        <w:rPr>
          <w:rFonts w:eastAsia="SimSun"/>
          <w:sz w:val="22"/>
          <w:szCs w:val="22"/>
          <w:lang w:eastAsia="zh-CN"/>
        </w:rPr>
      </w:pPr>
    </w:p>
    <w:p w14:paraId="5547C8B6"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2.</w:t>
      </w:r>
      <w:r w:rsidRPr="00EF20DC">
        <w:rPr>
          <w:rFonts w:eastAsia="SimSun"/>
          <w:b/>
          <w:sz w:val="22"/>
          <w:szCs w:val="22"/>
          <w:lang w:eastAsia="zh-CN"/>
        </w:rPr>
        <w:tab/>
        <w:t>VEIKLIOJI (-IOS) MEDŽIAGA (-OS) IR JOS (-Ų) KIEKIS (-IAI)</w:t>
      </w:r>
    </w:p>
    <w:p w14:paraId="3DEBC004" w14:textId="77777777" w:rsidR="005019F9" w:rsidRPr="00EF20DC" w:rsidRDefault="005019F9" w:rsidP="005019F9">
      <w:pPr>
        <w:tabs>
          <w:tab w:val="left" w:pos="567"/>
        </w:tabs>
        <w:autoSpaceDE w:val="0"/>
        <w:autoSpaceDN w:val="0"/>
        <w:adjustRightInd w:val="0"/>
        <w:rPr>
          <w:rFonts w:eastAsia="Calibri"/>
          <w:sz w:val="22"/>
          <w:szCs w:val="22"/>
          <w:lang w:eastAsia="lt-LT"/>
        </w:rPr>
      </w:pPr>
    </w:p>
    <w:p w14:paraId="18322163" w14:textId="77777777" w:rsidR="005019F9" w:rsidRPr="00EF20DC" w:rsidRDefault="005019F9" w:rsidP="005019F9">
      <w:pPr>
        <w:rPr>
          <w:rFonts w:eastAsia="Calibri"/>
          <w:sz w:val="22"/>
          <w:szCs w:val="22"/>
        </w:rPr>
      </w:pPr>
      <w:r w:rsidRPr="00C54896">
        <w:rPr>
          <w:rFonts w:eastAsia="Calibri"/>
          <w:sz w:val="22"/>
          <w:szCs w:val="22"/>
        </w:rPr>
        <w:t xml:space="preserve">Kiekvienoje tabletėje yra </w:t>
      </w:r>
      <w:r>
        <w:rPr>
          <w:rFonts w:eastAsia="Calibri"/>
          <w:sz w:val="22"/>
          <w:szCs w:val="22"/>
        </w:rPr>
        <w:t>4</w:t>
      </w:r>
      <w:r w:rsidRPr="00C54896">
        <w:rPr>
          <w:rFonts w:eastAsia="Calibri"/>
          <w:sz w:val="22"/>
          <w:szCs w:val="22"/>
        </w:rPr>
        <w:t>00 mg sorafenibo (tozilato pavidalu).</w:t>
      </w:r>
      <w:r w:rsidRPr="00EF20DC">
        <w:rPr>
          <w:rFonts w:eastAsia="Calibri"/>
          <w:sz w:val="22"/>
          <w:szCs w:val="22"/>
        </w:rPr>
        <w:t xml:space="preserve"> </w:t>
      </w:r>
    </w:p>
    <w:p w14:paraId="563794D3" w14:textId="77777777" w:rsidR="005019F9" w:rsidRPr="00EF20DC" w:rsidRDefault="005019F9" w:rsidP="005019F9">
      <w:pPr>
        <w:tabs>
          <w:tab w:val="left" w:pos="567"/>
        </w:tabs>
        <w:rPr>
          <w:rFonts w:eastAsia="SimSun"/>
          <w:sz w:val="22"/>
          <w:szCs w:val="22"/>
          <w:lang w:eastAsia="zh-CN"/>
        </w:rPr>
      </w:pPr>
    </w:p>
    <w:p w14:paraId="2D5555E5" w14:textId="77777777" w:rsidR="005019F9" w:rsidRPr="00EF20DC" w:rsidRDefault="005019F9" w:rsidP="005019F9">
      <w:pPr>
        <w:tabs>
          <w:tab w:val="left" w:pos="567"/>
        </w:tabs>
        <w:rPr>
          <w:rFonts w:eastAsia="SimSun"/>
          <w:sz w:val="22"/>
          <w:szCs w:val="22"/>
          <w:lang w:eastAsia="zh-CN"/>
        </w:rPr>
      </w:pPr>
    </w:p>
    <w:p w14:paraId="3DCCF39B"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3.</w:t>
      </w:r>
      <w:r w:rsidRPr="00EF20DC">
        <w:rPr>
          <w:rFonts w:eastAsia="SimSun"/>
          <w:b/>
          <w:sz w:val="22"/>
          <w:szCs w:val="22"/>
          <w:lang w:eastAsia="zh-CN"/>
        </w:rPr>
        <w:tab/>
        <w:t>PAGALBINIŲ MEDŽIAGŲ SĄRAŠAS</w:t>
      </w:r>
    </w:p>
    <w:p w14:paraId="7AAA4ABC" w14:textId="77777777" w:rsidR="005019F9" w:rsidRPr="00EF20DC" w:rsidRDefault="005019F9" w:rsidP="005019F9">
      <w:pPr>
        <w:tabs>
          <w:tab w:val="left" w:pos="567"/>
        </w:tabs>
        <w:rPr>
          <w:rFonts w:eastAsia="SimSun"/>
          <w:sz w:val="22"/>
          <w:szCs w:val="22"/>
          <w:lang w:eastAsia="zh-CN"/>
        </w:rPr>
      </w:pPr>
    </w:p>
    <w:p w14:paraId="72020ECC" w14:textId="77777777" w:rsidR="005019F9" w:rsidRPr="00EF20DC" w:rsidRDefault="005019F9" w:rsidP="005019F9">
      <w:pPr>
        <w:tabs>
          <w:tab w:val="left" w:pos="567"/>
        </w:tabs>
        <w:rPr>
          <w:rFonts w:eastAsia="SimSun"/>
          <w:sz w:val="22"/>
          <w:szCs w:val="22"/>
          <w:lang w:eastAsia="zh-CN"/>
        </w:rPr>
      </w:pPr>
    </w:p>
    <w:p w14:paraId="53FE95BB"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4.</w:t>
      </w:r>
      <w:r w:rsidRPr="00EF20DC">
        <w:rPr>
          <w:rFonts w:eastAsia="SimSun"/>
          <w:b/>
          <w:sz w:val="22"/>
          <w:szCs w:val="22"/>
          <w:lang w:eastAsia="zh-CN"/>
        </w:rPr>
        <w:tab/>
        <w:t>FARMACINĖ FORMA IR KIEKIS PAKUOTĖJE</w:t>
      </w:r>
    </w:p>
    <w:p w14:paraId="68C2F6E1" w14:textId="77777777" w:rsidR="005019F9" w:rsidRDefault="005019F9" w:rsidP="005019F9">
      <w:pPr>
        <w:tabs>
          <w:tab w:val="left" w:pos="567"/>
        </w:tabs>
        <w:rPr>
          <w:rFonts w:eastAsia="SimSun"/>
          <w:sz w:val="22"/>
          <w:szCs w:val="22"/>
          <w:lang w:eastAsia="zh-CN"/>
        </w:rPr>
      </w:pPr>
    </w:p>
    <w:p w14:paraId="1A860EAD" w14:textId="77777777" w:rsidR="005019F9" w:rsidRPr="00EF20DC" w:rsidRDefault="005019F9" w:rsidP="005019F9">
      <w:pPr>
        <w:tabs>
          <w:tab w:val="left" w:pos="567"/>
        </w:tabs>
        <w:rPr>
          <w:rFonts w:eastAsia="SimSun"/>
          <w:sz w:val="22"/>
          <w:szCs w:val="22"/>
          <w:lang w:eastAsia="zh-CN"/>
        </w:rPr>
      </w:pPr>
      <w:r w:rsidRPr="00A07BA7">
        <w:rPr>
          <w:rFonts w:eastAsia="SimSun"/>
          <w:sz w:val="22"/>
          <w:szCs w:val="22"/>
          <w:highlight w:val="lightGray"/>
          <w:lang w:eastAsia="zh-CN"/>
        </w:rPr>
        <w:t>Plėvele dengta tabletė</w:t>
      </w:r>
    </w:p>
    <w:p w14:paraId="23EDBCC5" w14:textId="77777777" w:rsidR="005019F9" w:rsidRDefault="005019F9" w:rsidP="005019F9">
      <w:pPr>
        <w:tabs>
          <w:tab w:val="left" w:pos="567"/>
        </w:tabs>
        <w:rPr>
          <w:rFonts w:eastAsia="SimSun"/>
          <w:sz w:val="22"/>
          <w:szCs w:val="22"/>
          <w:lang w:eastAsia="zh-CN"/>
        </w:rPr>
      </w:pPr>
    </w:p>
    <w:p w14:paraId="0CEF5394" w14:textId="77777777" w:rsidR="00A000CF" w:rsidRPr="003E36BB" w:rsidRDefault="00A000CF" w:rsidP="00A000CF">
      <w:pPr>
        <w:rPr>
          <w:rFonts w:eastAsia="Calibri"/>
          <w:sz w:val="22"/>
          <w:szCs w:val="22"/>
        </w:rPr>
      </w:pPr>
      <w:r w:rsidRPr="00A07BA7">
        <w:rPr>
          <w:rFonts w:eastAsia="Calibri"/>
          <w:sz w:val="22"/>
          <w:szCs w:val="22"/>
        </w:rPr>
        <w:t xml:space="preserve">28 </w:t>
      </w:r>
      <w:r w:rsidRPr="00A07BA7">
        <w:rPr>
          <w:rFonts w:eastAsia="Calibri"/>
          <w:sz w:val="22"/>
          <w:szCs w:val="22"/>
          <w:highlight w:val="lightGray"/>
        </w:rPr>
        <w:t>plėvele dengtos</w:t>
      </w:r>
      <w:r w:rsidRPr="00A07BA7">
        <w:rPr>
          <w:rFonts w:eastAsia="Calibri"/>
          <w:sz w:val="22"/>
          <w:szCs w:val="22"/>
        </w:rPr>
        <w:t xml:space="preserve"> tabletės</w:t>
      </w:r>
    </w:p>
    <w:p w14:paraId="54660DC9" w14:textId="77777777" w:rsidR="00A000CF" w:rsidRPr="003E36BB" w:rsidRDefault="00A000CF" w:rsidP="00A000CF">
      <w:pPr>
        <w:rPr>
          <w:rFonts w:eastAsia="Calibri"/>
          <w:sz w:val="22"/>
          <w:szCs w:val="22"/>
        </w:rPr>
      </w:pPr>
      <w:r w:rsidRPr="002D0B64">
        <w:rPr>
          <w:rFonts w:eastAsia="Calibri"/>
          <w:sz w:val="22"/>
          <w:szCs w:val="22"/>
          <w:highlight w:val="lightGray"/>
        </w:rPr>
        <w:t>28</w:t>
      </w:r>
      <w:r>
        <w:rPr>
          <w:rFonts w:eastAsia="Calibri"/>
          <w:sz w:val="22"/>
          <w:szCs w:val="22"/>
          <w:highlight w:val="lightGray"/>
        </w:rPr>
        <w:t> x 1</w:t>
      </w:r>
      <w:r w:rsidRPr="002D0B64">
        <w:rPr>
          <w:rFonts w:eastAsia="Calibri"/>
          <w:sz w:val="22"/>
          <w:szCs w:val="22"/>
          <w:highlight w:val="lightGray"/>
        </w:rPr>
        <w:t xml:space="preserve"> plėvele dengtos tabletės</w:t>
      </w:r>
    </w:p>
    <w:p w14:paraId="6A2BBA9F" w14:textId="77777777" w:rsidR="00A000CF" w:rsidRPr="007A7735" w:rsidRDefault="00A000CF" w:rsidP="00A000CF">
      <w:pPr>
        <w:rPr>
          <w:rFonts w:eastAsia="Calibri"/>
          <w:sz w:val="22"/>
          <w:szCs w:val="22"/>
          <w:highlight w:val="lightGray"/>
        </w:rPr>
      </w:pPr>
      <w:r>
        <w:rPr>
          <w:rFonts w:eastAsia="Calibri"/>
          <w:sz w:val="22"/>
          <w:szCs w:val="22"/>
          <w:highlight w:val="lightGray"/>
        </w:rPr>
        <w:t>30</w:t>
      </w:r>
      <w:r w:rsidRPr="007A7735">
        <w:rPr>
          <w:rFonts w:eastAsia="Calibri"/>
          <w:sz w:val="22"/>
          <w:szCs w:val="22"/>
          <w:highlight w:val="lightGray"/>
        </w:rPr>
        <w:t xml:space="preserve"> plėvele dengtų tablečių</w:t>
      </w:r>
    </w:p>
    <w:p w14:paraId="2AA36777" w14:textId="77777777" w:rsidR="00A000CF" w:rsidRPr="007A7735" w:rsidRDefault="00A000CF" w:rsidP="00A000CF">
      <w:pPr>
        <w:rPr>
          <w:rFonts w:eastAsia="Calibri"/>
          <w:sz w:val="22"/>
          <w:szCs w:val="22"/>
          <w:highlight w:val="lightGray"/>
        </w:rPr>
      </w:pPr>
      <w:r>
        <w:rPr>
          <w:rFonts w:eastAsia="Calibri"/>
          <w:sz w:val="22"/>
          <w:szCs w:val="22"/>
          <w:highlight w:val="lightGray"/>
        </w:rPr>
        <w:t>30 x 1</w:t>
      </w:r>
      <w:r w:rsidRPr="007A7735">
        <w:rPr>
          <w:rFonts w:eastAsia="Calibri"/>
          <w:sz w:val="22"/>
          <w:szCs w:val="22"/>
          <w:highlight w:val="lightGray"/>
        </w:rPr>
        <w:t xml:space="preserve"> plėvele dengtų tablečių</w:t>
      </w:r>
    </w:p>
    <w:p w14:paraId="0261F8CE" w14:textId="77777777" w:rsidR="00A000CF" w:rsidRDefault="00A000CF" w:rsidP="00A000CF">
      <w:pPr>
        <w:tabs>
          <w:tab w:val="left" w:pos="567"/>
        </w:tabs>
        <w:rPr>
          <w:rFonts w:eastAsia="SimSun"/>
          <w:sz w:val="22"/>
          <w:szCs w:val="22"/>
          <w:lang w:eastAsia="zh-CN"/>
        </w:rPr>
      </w:pPr>
    </w:p>
    <w:p w14:paraId="2DDAE93A" w14:textId="77777777" w:rsidR="00215C68" w:rsidRPr="00215C68" w:rsidRDefault="00215C68" w:rsidP="00215C68">
      <w:pPr>
        <w:rPr>
          <w:noProof/>
          <w:snapToGrid w:val="0"/>
          <w:sz w:val="22"/>
          <w:szCs w:val="20"/>
        </w:rPr>
      </w:pPr>
      <w:r w:rsidRPr="00A07BA7">
        <w:rPr>
          <w:noProof/>
          <w:snapToGrid w:val="0"/>
          <w:sz w:val="22"/>
          <w:szCs w:val="20"/>
          <w:highlight w:val="lightGray"/>
        </w:rPr>
        <w:t>Sudėtinės pakuotės sudedamoji dalis, negali būti parduodama atskirai.</w:t>
      </w:r>
      <w:r w:rsidRPr="00215C68">
        <w:rPr>
          <w:noProof/>
          <w:snapToGrid w:val="0"/>
          <w:sz w:val="22"/>
          <w:szCs w:val="20"/>
        </w:rPr>
        <w:t xml:space="preserve"> </w:t>
      </w:r>
    </w:p>
    <w:p w14:paraId="5A18ADF8" w14:textId="77777777" w:rsidR="005019F9" w:rsidRDefault="005019F9" w:rsidP="005019F9">
      <w:pPr>
        <w:tabs>
          <w:tab w:val="left" w:pos="567"/>
        </w:tabs>
        <w:rPr>
          <w:rFonts w:eastAsia="SimSun"/>
          <w:sz w:val="22"/>
          <w:szCs w:val="22"/>
          <w:lang w:eastAsia="zh-CN"/>
        </w:rPr>
      </w:pPr>
    </w:p>
    <w:p w14:paraId="7FD6EC24" w14:textId="77777777" w:rsidR="005019F9" w:rsidRPr="00EF20DC" w:rsidRDefault="005019F9" w:rsidP="005019F9">
      <w:pPr>
        <w:tabs>
          <w:tab w:val="left" w:pos="567"/>
        </w:tabs>
        <w:rPr>
          <w:rFonts w:eastAsia="SimSun"/>
          <w:sz w:val="22"/>
          <w:szCs w:val="22"/>
          <w:lang w:eastAsia="zh-CN"/>
        </w:rPr>
      </w:pPr>
    </w:p>
    <w:p w14:paraId="732E143D"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5.</w:t>
      </w:r>
      <w:r w:rsidRPr="00EF20DC">
        <w:rPr>
          <w:rFonts w:eastAsia="SimSun"/>
          <w:b/>
          <w:sz w:val="22"/>
          <w:szCs w:val="22"/>
          <w:lang w:eastAsia="zh-CN"/>
        </w:rPr>
        <w:tab/>
        <w:t>VARTOJIMO METODAS IR BŪDAS (-AI)</w:t>
      </w:r>
    </w:p>
    <w:p w14:paraId="49CB6F68" w14:textId="77777777" w:rsidR="005019F9" w:rsidRPr="00EF20DC" w:rsidRDefault="005019F9" w:rsidP="005019F9">
      <w:pPr>
        <w:tabs>
          <w:tab w:val="left" w:pos="567"/>
        </w:tabs>
        <w:rPr>
          <w:rFonts w:eastAsia="SimSun"/>
          <w:sz w:val="22"/>
          <w:szCs w:val="22"/>
          <w:lang w:eastAsia="zh-CN"/>
        </w:rPr>
      </w:pPr>
    </w:p>
    <w:p w14:paraId="1C7DBD61" w14:textId="77777777" w:rsidR="005019F9" w:rsidRPr="00EF20DC" w:rsidRDefault="005019F9" w:rsidP="005019F9">
      <w:pPr>
        <w:tabs>
          <w:tab w:val="left" w:pos="567"/>
        </w:tabs>
        <w:rPr>
          <w:rFonts w:eastAsia="SimSun"/>
          <w:sz w:val="22"/>
          <w:szCs w:val="22"/>
          <w:lang w:eastAsia="zh-CN"/>
        </w:rPr>
      </w:pPr>
      <w:r w:rsidRPr="00EF20DC">
        <w:rPr>
          <w:rFonts w:eastAsia="SimSun"/>
          <w:sz w:val="22"/>
          <w:szCs w:val="22"/>
          <w:lang w:eastAsia="zh-CN"/>
        </w:rPr>
        <w:t xml:space="preserve">Vartoti per burną </w:t>
      </w:r>
    </w:p>
    <w:p w14:paraId="1ED6E87D" w14:textId="77777777" w:rsidR="005019F9" w:rsidRPr="00EF20DC" w:rsidRDefault="005019F9" w:rsidP="005019F9">
      <w:pPr>
        <w:tabs>
          <w:tab w:val="left" w:pos="567"/>
        </w:tabs>
        <w:rPr>
          <w:rFonts w:eastAsia="SimSun"/>
          <w:sz w:val="22"/>
          <w:szCs w:val="22"/>
          <w:lang w:eastAsia="zh-CN"/>
        </w:rPr>
      </w:pPr>
      <w:r w:rsidRPr="00D76168">
        <w:rPr>
          <w:rFonts w:eastAsia="SimSun"/>
          <w:sz w:val="22"/>
          <w:szCs w:val="22"/>
          <w:lang w:eastAsia="zh-CN"/>
        </w:rPr>
        <w:t>Prieš vartojimą perskaitykite pakuotės lapelį</w:t>
      </w:r>
      <w:r w:rsidRPr="00B60FD6">
        <w:rPr>
          <w:rFonts w:eastAsia="SimSun"/>
          <w:sz w:val="22"/>
          <w:szCs w:val="22"/>
          <w:lang w:eastAsia="zh-CN"/>
        </w:rPr>
        <w:t>.</w:t>
      </w:r>
    </w:p>
    <w:p w14:paraId="35A1CA5E" w14:textId="77777777" w:rsidR="005019F9" w:rsidRPr="00EF20DC" w:rsidRDefault="005019F9" w:rsidP="005019F9">
      <w:pPr>
        <w:tabs>
          <w:tab w:val="left" w:pos="567"/>
        </w:tabs>
        <w:rPr>
          <w:rFonts w:eastAsia="SimSun"/>
          <w:sz w:val="22"/>
          <w:szCs w:val="22"/>
          <w:lang w:eastAsia="zh-CN"/>
        </w:rPr>
      </w:pPr>
    </w:p>
    <w:p w14:paraId="1ADD5284" w14:textId="77777777" w:rsidR="005019F9" w:rsidRPr="00EF20DC" w:rsidRDefault="005019F9" w:rsidP="005019F9">
      <w:pPr>
        <w:tabs>
          <w:tab w:val="left" w:pos="567"/>
        </w:tabs>
        <w:rPr>
          <w:rFonts w:eastAsia="SimSun"/>
          <w:sz w:val="22"/>
          <w:szCs w:val="22"/>
          <w:lang w:eastAsia="zh-CN"/>
        </w:rPr>
      </w:pPr>
    </w:p>
    <w:p w14:paraId="37B347AD"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 w:val="22"/>
          <w:szCs w:val="22"/>
          <w:lang w:eastAsia="zh-CN"/>
        </w:rPr>
      </w:pPr>
      <w:r w:rsidRPr="00EF20DC">
        <w:rPr>
          <w:rFonts w:eastAsia="SimSun"/>
          <w:b/>
          <w:sz w:val="22"/>
          <w:szCs w:val="22"/>
          <w:lang w:eastAsia="zh-CN"/>
        </w:rPr>
        <w:t>6.</w:t>
      </w:r>
      <w:r w:rsidRPr="00EF20DC">
        <w:rPr>
          <w:rFonts w:eastAsia="SimSun"/>
          <w:b/>
          <w:sz w:val="22"/>
          <w:szCs w:val="22"/>
          <w:lang w:eastAsia="zh-CN"/>
        </w:rPr>
        <w:tab/>
        <w:t>SPECIALUS ĮSPĖJIMAS, KAD VAISTINĮ PREPARATĄ BŪTINA LAIKYTI VAIKAMS NEPASTEBIMOJE IR NEPASIEKIAMOJE VIETOJE</w:t>
      </w:r>
    </w:p>
    <w:p w14:paraId="73D19AC0" w14:textId="77777777" w:rsidR="005019F9" w:rsidRPr="00EF20DC" w:rsidRDefault="005019F9" w:rsidP="005019F9">
      <w:pPr>
        <w:tabs>
          <w:tab w:val="left" w:pos="567"/>
        </w:tabs>
        <w:rPr>
          <w:rFonts w:eastAsia="SimSun"/>
          <w:sz w:val="22"/>
          <w:szCs w:val="22"/>
          <w:lang w:eastAsia="zh-CN"/>
        </w:rPr>
      </w:pPr>
    </w:p>
    <w:p w14:paraId="4B2AAEF6" w14:textId="77777777" w:rsidR="005019F9" w:rsidRPr="00EF20DC" w:rsidRDefault="005019F9" w:rsidP="005019F9">
      <w:pPr>
        <w:tabs>
          <w:tab w:val="left" w:pos="567"/>
        </w:tabs>
        <w:rPr>
          <w:rFonts w:eastAsia="SimSun"/>
          <w:sz w:val="22"/>
          <w:szCs w:val="22"/>
          <w:lang w:eastAsia="zh-CN"/>
        </w:rPr>
      </w:pPr>
      <w:r w:rsidRPr="00EF20DC">
        <w:rPr>
          <w:rFonts w:eastAsia="SimSun"/>
          <w:sz w:val="22"/>
          <w:szCs w:val="22"/>
          <w:lang w:eastAsia="zh-CN"/>
        </w:rPr>
        <w:t>Laikyti vaikams nepastebimoje ir nepasiekiamoje vietoje.</w:t>
      </w:r>
    </w:p>
    <w:p w14:paraId="3F86ECE8" w14:textId="77777777" w:rsidR="005019F9" w:rsidRPr="00EF20DC" w:rsidRDefault="005019F9" w:rsidP="005019F9">
      <w:pPr>
        <w:tabs>
          <w:tab w:val="left" w:pos="567"/>
        </w:tabs>
        <w:rPr>
          <w:rFonts w:eastAsia="SimSun"/>
          <w:sz w:val="22"/>
          <w:szCs w:val="22"/>
          <w:lang w:eastAsia="zh-CN"/>
        </w:rPr>
      </w:pPr>
    </w:p>
    <w:p w14:paraId="363B5C72" w14:textId="77777777" w:rsidR="005019F9" w:rsidRPr="00EF20DC" w:rsidRDefault="005019F9" w:rsidP="005019F9">
      <w:pPr>
        <w:tabs>
          <w:tab w:val="left" w:pos="567"/>
        </w:tabs>
        <w:rPr>
          <w:rFonts w:eastAsia="SimSun"/>
          <w:sz w:val="22"/>
          <w:szCs w:val="22"/>
          <w:lang w:eastAsia="zh-CN"/>
        </w:rPr>
      </w:pPr>
    </w:p>
    <w:p w14:paraId="1E5644ED"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7.</w:t>
      </w:r>
      <w:r w:rsidRPr="00EF20DC">
        <w:rPr>
          <w:rFonts w:eastAsia="SimSun"/>
          <w:b/>
          <w:sz w:val="22"/>
          <w:szCs w:val="22"/>
          <w:lang w:eastAsia="zh-CN"/>
        </w:rPr>
        <w:tab/>
        <w:t>KITAS (-I) SPECIALUS (-ŪS) ĮSPĖJIMAS (-AI) (JEI REIKIA)</w:t>
      </w:r>
    </w:p>
    <w:p w14:paraId="6E9F04D2" w14:textId="77777777" w:rsidR="005019F9" w:rsidRPr="00EF20DC" w:rsidRDefault="005019F9" w:rsidP="005019F9">
      <w:pPr>
        <w:tabs>
          <w:tab w:val="left" w:pos="567"/>
        </w:tabs>
        <w:rPr>
          <w:color w:val="212121"/>
          <w:sz w:val="22"/>
          <w:szCs w:val="22"/>
          <w:shd w:val="clear" w:color="auto" w:fill="FFFFFF"/>
          <w:lang w:eastAsia="lt-LT"/>
        </w:rPr>
      </w:pPr>
    </w:p>
    <w:p w14:paraId="6588EC7D" w14:textId="77777777" w:rsidR="005019F9" w:rsidRPr="00EF20DC" w:rsidRDefault="005019F9" w:rsidP="005019F9">
      <w:pPr>
        <w:tabs>
          <w:tab w:val="left" w:pos="567"/>
        </w:tabs>
        <w:rPr>
          <w:rFonts w:eastAsia="SimSun"/>
          <w:sz w:val="22"/>
          <w:szCs w:val="22"/>
          <w:lang w:eastAsia="zh-CN"/>
        </w:rPr>
      </w:pPr>
    </w:p>
    <w:p w14:paraId="50E56F85"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lastRenderedPageBreak/>
        <w:t>8.</w:t>
      </w:r>
      <w:r w:rsidRPr="00EF20DC">
        <w:rPr>
          <w:rFonts w:eastAsia="SimSun"/>
          <w:b/>
          <w:sz w:val="22"/>
          <w:szCs w:val="22"/>
          <w:lang w:eastAsia="zh-CN"/>
        </w:rPr>
        <w:tab/>
        <w:t>TINKAMUMO LAIKAS</w:t>
      </w:r>
    </w:p>
    <w:p w14:paraId="0CF421AD" w14:textId="77777777" w:rsidR="005019F9" w:rsidRPr="00EF20DC" w:rsidRDefault="005019F9" w:rsidP="005019F9">
      <w:pPr>
        <w:tabs>
          <w:tab w:val="left" w:pos="567"/>
        </w:tabs>
        <w:rPr>
          <w:rFonts w:eastAsia="SimSun"/>
          <w:sz w:val="22"/>
          <w:szCs w:val="22"/>
          <w:lang w:eastAsia="zh-CN"/>
        </w:rPr>
      </w:pPr>
    </w:p>
    <w:p w14:paraId="0CBCB3F5" w14:textId="77777777" w:rsidR="005019F9" w:rsidRPr="00EF20DC" w:rsidRDefault="005019F9" w:rsidP="005019F9">
      <w:pPr>
        <w:tabs>
          <w:tab w:val="left" w:pos="567"/>
        </w:tabs>
        <w:rPr>
          <w:rFonts w:eastAsia="SimSun"/>
          <w:sz w:val="22"/>
          <w:szCs w:val="22"/>
          <w:lang w:eastAsia="zh-CN"/>
        </w:rPr>
      </w:pPr>
      <w:r w:rsidRPr="00EF20DC">
        <w:rPr>
          <w:rFonts w:eastAsia="SimSun"/>
          <w:sz w:val="22"/>
          <w:szCs w:val="22"/>
          <w:lang w:eastAsia="zh-CN"/>
        </w:rPr>
        <w:t>EXP{mm MMMM}</w:t>
      </w:r>
    </w:p>
    <w:p w14:paraId="3E5063C5" w14:textId="77777777" w:rsidR="005019F9" w:rsidRPr="00EF20DC" w:rsidRDefault="005019F9" w:rsidP="005019F9">
      <w:pPr>
        <w:tabs>
          <w:tab w:val="left" w:pos="567"/>
        </w:tabs>
        <w:rPr>
          <w:rFonts w:eastAsia="SimSun"/>
          <w:sz w:val="22"/>
          <w:szCs w:val="22"/>
          <w:lang w:eastAsia="zh-CN"/>
        </w:rPr>
      </w:pPr>
    </w:p>
    <w:p w14:paraId="2D104506" w14:textId="77777777" w:rsidR="005019F9" w:rsidRPr="00EF20DC" w:rsidRDefault="005019F9" w:rsidP="005019F9">
      <w:pPr>
        <w:tabs>
          <w:tab w:val="left" w:pos="567"/>
        </w:tabs>
        <w:rPr>
          <w:rFonts w:eastAsia="SimSun"/>
          <w:sz w:val="22"/>
          <w:szCs w:val="22"/>
          <w:lang w:eastAsia="zh-CN"/>
        </w:rPr>
      </w:pPr>
    </w:p>
    <w:p w14:paraId="6434C374" w14:textId="77777777" w:rsidR="005019F9" w:rsidRPr="00EF20DC" w:rsidRDefault="005019F9" w:rsidP="005019F9">
      <w:pPr>
        <w:keepNext/>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9.</w:t>
      </w:r>
      <w:r w:rsidRPr="00EF20DC">
        <w:rPr>
          <w:rFonts w:eastAsia="SimSun"/>
          <w:b/>
          <w:sz w:val="22"/>
          <w:szCs w:val="22"/>
          <w:lang w:eastAsia="zh-CN"/>
        </w:rPr>
        <w:tab/>
        <w:t>SPECIALIOS LAIKYMO SĄLYGOS</w:t>
      </w:r>
    </w:p>
    <w:p w14:paraId="573B35E5" w14:textId="77777777" w:rsidR="005019F9" w:rsidRPr="00EF20DC" w:rsidRDefault="005019F9" w:rsidP="005019F9">
      <w:pPr>
        <w:rPr>
          <w:sz w:val="22"/>
          <w:szCs w:val="20"/>
          <w:lang w:eastAsia="lt-LT"/>
        </w:rPr>
      </w:pPr>
    </w:p>
    <w:p w14:paraId="158F7C98" w14:textId="77777777" w:rsidR="005019F9" w:rsidRPr="00EF20DC" w:rsidRDefault="005019F9" w:rsidP="005019F9">
      <w:pPr>
        <w:tabs>
          <w:tab w:val="left" w:pos="567"/>
        </w:tabs>
        <w:rPr>
          <w:rFonts w:eastAsia="SimSun"/>
          <w:sz w:val="22"/>
          <w:szCs w:val="22"/>
          <w:lang w:eastAsia="zh-CN"/>
        </w:rPr>
      </w:pPr>
    </w:p>
    <w:p w14:paraId="3CAB83FF"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sz w:val="22"/>
          <w:szCs w:val="22"/>
          <w:lang w:eastAsia="zh-CN"/>
        </w:rPr>
      </w:pPr>
      <w:r w:rsidRPr="00EF20DC">
        <w:rPr>
          <w:rFonts w:eastAsia="SimSun"/>
          <w:b/>
          <w:sz w:val="22"/>
          <w:szCs w:val="22"/>
          <w:lang w:eastAsia="zh-CN"/>
        </w:rPr>
        <w:t>10.</w:t>
      </w:r>
      <w:r w:rsidRPr="00EF20DC">
        <w:rPr>
          <w:rFonts w:eastAsia="SimSun"/>
          <w:b/>
          <w:sz w:val="22"/>
          <w:szCs w:val="22"/>
          <w:lang w:eastAsia="zh-CN"/>
        </w:rPr>
        <w:tab/>
        <w:t>SPECIALIOS ATSARGUMO PRIEMONĖS DĖL NESUVARTOTO VAISTINIO PREPARATO AR JO ATLIEKŲ TVARKYMO (JEI REIKIA)</w:t>
      </w:r>
    </w:p>
    <w:p w14:paraId="1AF3B0FF" w14:textId="77777777" w:rsidR="005019F9" w:rsidRPr="00EF20DC" w:rsidRDefault="005019F9" w:rsidP="005019F9">
      <w:pPr>
        <w:tabs>
          <w:tab w:val="left" w:pos="567"/>
        </w:tabs>
        <w:rPr>
          <w:rFonts w:eastAsia="SimSun"/>
          <w:sz w:val="22"/>
          <w:szCs w:val="22"/>
          <w:lang w:eastAsia="zh-CN"/>
        </w:rPr>
      </w:pPr>
    </w:p>
    <w:p w14:paraId="11D9D492" w14:textId="77777777" w:rsidR="005019F9" w:rsidRPr="00EF20DC" w:rsidRDefault="005019F9" w:rsidP="005019F9">
      <w:pPr>
        <w:tabs>
          <w:tab w:val="left" w:pos="567"/>
        </w:tabs>
        <w:rPr>
          <w:rFonts w:eastAsia="SimSun"/>
          <w:sz w:val="22"/>
          <w:szCs w:val="22"/>
          <w:lang w:eastAsia="zh-CN"/>
        </w:rPr>
      </w:pPr>
    </w:p>
    <w:p w14:paraId="6CBCA5C6"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11.</w:t>
      </w:r>
      <w:r w:rsidRPr="00EF20DC">
        <w:rPr>
          <w:rFonts w:eastAsia="SimSun"/>
          <w:b/>
          <w:sz w:val="22"/>
          <w:szCs w:val="22"/>
          <w:lang w:eastAsia="zh-CN"/>
        </w:rPr>
        <w:tab/>
      </w:r>
      <w:r w:rsidRPr="00EF20DC">
        <w:rPr>
          <w:rFonts w:eastAsia="SimSun"/>
          <w:b/>
          <w:caps/>
          <w:sz w:val="22"/>
          <w:szCs w:val="22"/>
          <w:lang w:eastAsia="zh-CN"/>
        </w:rPr>
        <w:t>rEGISTRUOTOJO PAVADINIMAS IR ADRESAS</w:t>
      </w:r>
    </w:p>
    <w:p w14:paraId="1C309ABD" w14:textId="77777777" w:rsidR="005019F9" w:rsidRPr="00EF20DC" w:rsidRDefault="005019F9" w:rsidP="005019F9">
      <w:pPr>
        <w:tabs>
          <w:tab w:val="left" w:pos="567"/>
        </w:tabs>
        <w:rPr>
          <w:rFonts w:eastAsia="SimSun"/>
          <w:sz w:val="22"/>
          <w:szCs w:val="22"/>
          <w:lang w:eastAsia="zh-CN"/>
        </w:rPr>
      </w:pPr>
    </w:p>
    <w:p w14:paraId="0FACF73D" w14:textId="77777777" w:rsidR="005019F9" w:rsidRPr="00F371E2" w:rsidRDefault="005019F9" w:rsidP="005019F9">
      <w:pPr>
        <w:tabs>
          <w:tab w:val="left" w:pos="425"/>
          <w:tab w:val="left" w:pos="567"/>
        </w:tabs>
        <w:suppressAutoHyphens/>
        <w:rPr>
          <w:color w:val="000000"/>
          <w:sz w:val="22"/>
          <w:szCs w:val="22"/>
          <w:lang w:val="sl-SI" w:eastAsia="ar-SA"/>
        </w:rPr>
      </w:pPr>
      <w:r>
        <w:rPr>
          <w:color w:val="000000"/>
          <w:sz w:val="22"/>
          <w:szCs w:val="22"/>
          <w:lang w:val="sl-SI" w:eastAsia="ar-SA"/>
        </w:rPr>
        <w:t>Sandoz</w:t>
      </w:r>
      <w:r w:rsidRPr="00F371E2">
        <w:rPr>
          <w:color w:val="000000"/>
          <w:sz w:val="22"/>
          <w:szCs w:val="22"/>
          <w:lang w:val="sl-SI" w:eastAsia="ar-SA"/>
        </w:rPr>
        <w:t xml:space="preserve"> d.d.</w:t>
      </w:r>
    </w:p>
    <w:p w14:paraId="7995A9EF" w14:textId="77777777" w:rsidR="005019F9" w:rsidRPr="00F371E2" w:rsidRDefault="005019F9" w:rsidP="005019F9">
      <w:pPr>
        <w:tabs>
          <w:tab w:val="left" w:pos="425"/>
          <w:tab w:val="left" w:pos="567"/>
        </w:tabs>
        <w:suppressAutoHyphens/>
        <w:rPr>
          <w:color w:val="000000"/>
          <w:sz w:val="22"/>
          <w:szCs w:val="22"/>
          <w:lang w:val="sl-SI" w:eastAsia="ar-SA"/>
        </w:rPr>
      </w:pPr>
      <w:r w:rsidRPr="00F371E2">
        <w:rPr>
          <w:color w:val="000000"/>
          <w:sz w:val="22"/>
          <w:szCs w:val="22"/>
          <w:lang w:val="sl-SI" w:eastAsia="ar-SA"/>
        </w:rPr>
        <w:t>Verovškova 57</w:t>
      </w:r>
    </w:p>
    <w:p w14:paraId="7DA540AA" w14:textId="77777777" w:rsidR="005019F9" w:rsidRPr="00F371E2" w:rsidRDefault="005019F9" w:rsidP="005019F9">
      <w:pPr>
        <w:tabs>
          <w:tab w:val="left" w:pos="425"/>
          <w:tab w:val="left" w:pos="567"/>
        </w:tabs>
        <w:suppressAutoHyphens/>
        <w:rPr>
          <w:color w:val="000000"/>
          <w:sz w:val="22"/>
          <w:szCs w:val="22"/>
          <w:lang w:val="sl-SI" w:eastAsia="ar-SA"/>
        </w:rPr>
      </w:pPr>
      <w:r>
        <w:rPr>
          <w:color w:val="000000"/>
          <w:sz w:val="22"/>
          <w:szCs w:val="22"/>
          <w:lang w:val="sl-SI" w:eastAsia="ar-SA"/>
        </w:rPr>
        <w:t>SI-</w:t>
      </w:r>
      <w:r w:rsidRPr="00F371E2">
        <w:rPr>
          <w:color w:val="000000"/>
          <w:sz w:val="22"/>
          <w:szCs w:val="22"/>
          <w:lang w:val="sl-SI" w:eastAsia="ar-SA"/>
        </w:rPr>
        <w:t>1000 Ljubljana</w:t>
      </w:r>
    </w:p>
    <w:p w14:paraId="47AEA9ED" w14:textId="77777777" w:rsidR="005019F9" w:rsidRPr="00F371E2" w:rsidRDefault="005019F9" w:rsidP="005019F9">
      <w:pPr>
        <w:tabs>
          <w:tab w:val="left" w:pos="425"/>
          <w:tab w:val="left" w:pos="567"/>
        </w:tabs>
        <w:suppressAutoHyphens/>
        <w:rPr>
          <w:rFonts w:eastAsia="SimSun"/>
          <w:color w:val="000000"/>
          <w:sz w:val="22"/>
          <w:szCs w:val="22"/>
          <w:lang w:val="sl-SI" w:eastAsia="ar-SA"/>
        </w:rPr>
      </w:pPr>
      <w:r w:rsidRPr="00F371E2">
        <w:rPr>
          <w:color w:val="000000"/>
          <w:sz w:val="22"/>
          <w:szCs w:val="22"/>
          <w:lang w:val="sl-SI" w:eastAsia="ar-SA"/>
        </w:rPr>
        <w:t>Slovėnija</w:t>
      </w:r>
    </w:p>
    <w:p w14:paraId="12B9BFCB" w14:textId="77777777" w:rsidR="005019F9" w:rsidRPr="00EF20DC" w:rsidRDefault="005019F9" w:rsidP="005019F9">
      <w:pPr>
        <w:tabs>
          <w:tab w:val="left" w:pos="567"/>
        </w:tabs>
        <w:rPr>
          <w:rFonts w:eastAsia="SimSun"/>
          <w:sz w:val="22"/>
          <w:szCs w:val="22"/>
          <w:lang w:eastAsia="zh-CN"/>
        </w:rPr>
      </w:pPr>
    </w:p>
    <w:p w14:paraId="7AFF884A" w14:textId="77777777" w:rsidR="005019F9" w:rsidRPr="00EF20DC" w:rsidRDefault="005019F9" w:rsidP="005019F9">
      <w:pPr>
        <w:tabs>
          <w:tab w:val="left" w:pos="567"/>
        </w:tabs>
        <w:rPr>
          <w:rFonts w:eastAsia="SimSun"/>
          <w:sz w:val="22"/>
          <w:szCs w:val="22"/>
          <w:lang w:eastAsia="zh-CN"/>
        </w:rPr>
      </w:pPr>
    </w:p>
    <w:p w14:paraId="381C6BE7"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12.</w:t>
      </w:r>
      <w:r w:rsidRPr="00EF20DC">
        <w:rPr>
          <w:rFonts w:eastAsia="SimSun"/>
          <w:b/>
          <w:sz w:val="22"/>
          <w:szCs w:val="22"/>
          <w:lang w:eastAsia="zh-CN"/>
        </w:rPr>
        <w:tab/>
        <w:t xml:space="preserve">REGISTRACIJOS PAŽYMĖJIMO NUMERIS (-IAI) </w:t>
      </w:r>
    </w:p>
    <w:p w14:paraId="356461D9" w14:textId="1AA643DB" w:rsidR="005019F9" w:rsidRDefault="005019F9" w:rsidP="005019F9">
      <w:pPr>
        <w:tabs>
          <w:tab w:val="left" w:pos="567"/>
        </w:tabs>
        <w:rPr>
          <w:rFonts w:eastAsia="SimSun"/>
          <w:sz w:val="22"/>
          <w:szCs w:val="22"/>
          <w:lang w:eastAsia="zh-CN"/>
        </w:rPr>
      </w:pPr>
    </w:p>
    <w:p w14:paraId="27A7E066" w14:textId="77777777" w:rsidR="007D01B3" w:rsidRPr="007D01B3" w:rsidRDefault="007D01B3" w:rsidP="007D01B3">
      <w:pPr>
        <w:tabs>
          <w:tab w:val="left" w:pos="567"/>
        </w:tabs>
        <w:rPr>
          <w:rFonts w:eastAsia="SimSun"/>
          <w:bCs/>
          <w:sz w:val="22"/>
          <w:szCs w:val="22"/>
          <w:highlight w:val="lightGray"/>
          <w:lang w:eastAsia="zh-CN"/>
        </w:rPr>
      </w:pPr>
      <w:r w:rsidRPr="007D01B3">
        <w:rPr>
          <w:rFonts w:eastAsia="SimSun"/>
          <w:sz w:val="22"/>
          <w:szCs w:val="22"/>
          <w:lang w:eastAsia="zh-CN"/>
        </w:rPr>
        <w:t xml:space="preserve">LT/1/21/4762/005 </w:t>
      </w:r>
      <w:r w:rsidRPr="007D01B3">
        <w:rPr>
          <w:rFonts w:eastAsia="SimSun"/>
          <w:bCs/>
          <w:sz w:val="22"/>
          <w:szCs w:val="22"/>
          <w:highlight w:val="lightGray"/>
          <w:lang w:eastAsia="zh-CN"/>
        </w:rPr>
        <w:t>– N84 (3x28)</w:t>
      </w:r>
    </w:p>
    <w:p w14:paraId="6E5880B8" w14:textId="77777777" w:rsidR="007D01B3" w:rsidRPr="007D01B3" w:rsidRDefault="007D01B3" w:rsidP="007D01B3">
      <w:pPr>
        <w:tabs>
          <w:tab w:val="left" w:pos="567"/>
        </w:tabs>
        <w:rPr>
          <w:rFonts w:eastAsia="SimSun"/>
          <w:bCs/>
          <w:sz w:val="22"/>
          <w:szCs w:val="22"/>
          <w:highlight w:val="lightGray"/>
          <w:lang w:eastAsia="zh-CN"/>
        </w:rPr>
      </w:pPr>
      <w:r w:rsidRPr="007D01B3">
        <w:rPr>
          <w:rFonts w:eastAsia="SimSun"/>
          <w:bCs/>
          <w:sz w:val="22"/>
          <w:szCs w:val="22"/>
          <w:highlight w:val="lightGray"/>
          <w:lang w:eastAsia="zh-CN"/>
        </w:rPr>
        <w:t>LT/1/21/4762/012 – N84x1 (3x(28x1))</w:t>
      </w:r>
    </w:p>
    <w:p w14:paraId="544F179E" w14:textId="77777777" w:rsidR="007D01B3" w:rsidRPr="007D01B3" w:rsidRDefault="007D01B3" w:rsidP="007D01B3">
      <w:pPr>
        <w:tabs>
          <w:tab w:val="left" w:pos="567"/>
        </w:tabs>
        <w:rPr>
          <w:rFonts w:eastAsia="SimSun"/>
          <w:bCs/>
          <w:sz w:val="22"/>
          <w:szCs w:val="22"/>
          <w:highlight w:val="lightGray"/>
          <w:lang w:eastAsia="zh-CN"/>
        </w:rPr>
      </w:pPr>
      <w:r w:rsidRPr="007D01B3">
        <w:rPr>
          <w:rFonts w:eastAsia="SimSun"/>
          <w:bCs/>
          <w:sz w:val="22"/>
          <w:szCs w:val="22"/>
          <w:highlight w:val="lightGray"/>
          <w:lang w:eastAsia="zh-CN"/>
        </w:rPr>
        <w:t>LT/1/21/4762/006 – N112 (4x28)</w:t>
      </w:r>
    </w:p>
    <w:p w14:paraId="7949DD24" w14:textId="77777777" w:rsidR="007D01B3" w:rsidRPr="007D01B3" w:rsidRDefault="007D01B3" w:rsidP="007D01B3">
      <w:pPr>
        <w:tabs>
          <w:tab w:val="left" w:pos="567"/>
        </w:tabs>
        <w:rPr>
          <w:rFonts w:eastAsia="SimSun"/>
          <w:bCs/>
          <w:sz w:val="22"/>
          <w:szCs w:val="22"/>
          <w:highlight w:val="lightGray"/>
          <w:lang w:eastAsia="zh-CN"/>
        </w:rPr>
      </w:pPr>
      <w:r w:rsidRPr="007D01B3">
        <w:rPr>
          <w:rFonts w:eastAsia="SimSun"/>
          <w:bCs/>
          <w:sz w:val="22"/>
          <w:szCs w:val="22"/>
          <w:highlight w:val="lightGray"/>
          <w:lang w:eastAsia="zh-CN"/>
        </w:rPr>
        <w:t>LT/1/21/4762/013 – N112x1 (4x(28x1))</w:t>
      </w:r>
    </w:p>
    <w:p w14:paraId="21B598A1" w14:textId="77777777" w:rsidR="007D01B3" w:rsidRPr="007D01B3" w:rsidRDefault="007D01B3" w:rsidP="007D01B3">
      <w:pPr>
        <w:tabs>
          <w:tab w:val="left" w:pos="567"/>
        </w:tabs>
        <w:rPr>
          <w:rFonts w:eastAsia="SimSun"/>
          <w:bCs/>
          <w:sz w:val="22"/>
          <w:szCs w:val="22"/>
          <w:highlight w:val="lightGray"/>
          <w:lang w:eastAsia="zh-CN"/>
        </w:rPr>
      </w:pPr>
      <w:r w:rsidRPr="007D01B3">
        <w:rPr>
          <w:rFonts w:eastAsia="SimSun"/>
          <w:bCs/>
          <w:sz w:val="22"/>
          <w:szCs w:val="22"/>
          <w:highlight w:val="lightGray"/>
          <w:lang w:eastAsia="zh-CN"/>
        </w:rPr>
        <w:t>LT/1/21/4762/007 – N120 (4x30)</w:t>
      </w:r>
    </w:p>
    <w:p w14:paraId="7785E3AD" w14:textId="1CB5AE4F" w:rsidR="007D01B3" w:rsidRPr="007D01B3" w:rsidRDefault="007D01B3" w:rsidP="007D01B3">
      <w:pPr>
        <w:tabs>
          <w:tab w:val="left" w:pos="567"/>
        </w:tabs>
        <w:rPr>
          <w:rFonts w:eastAsia="SimSun"/>
          <w:bCs/>
          <w:sz w:val="22"/>
          <w:szCs w:val="22"/>
          <w:highlight w:val="lightGray"/>
          <w:lang w:eastAsia="zh-CN"/>
        </w:rPr>
      </w:pPr>
      <w:r w:rsidRPr="007D01B3">
        <w:rPr>
          <w:rFonts w:eastAsia="SimSun"/>
          <w:bCs/>
          <w:sz w:val="22"/>
          <w:szCs w:val="22"/>
          <w:highlight w:val="lightGray"/>
          <w:lang w:eastAsia="zh-CN"/>
        </w:rPr>
        <w:t>LT/1/21/4762/014 – N120x1 (4x(30x1))</w:t>
      </w:r>
    </w:p>
    <w:p w14:paraId="00ECE02C" w14:textId="77777777" w:rsidR="007D01B3" w:rsidRPr="00EF20DC" w:rsidRDefault="007D01B3" w:rsidP="007D01B3">
      <w:pPr>
        <w:tabs>
          <w:tab w:val="left" w:pos="567"/>
        </w:tabs>
        <w:rPr>
          <w:rFonts w:eastAsia="SimSun"/>
          <w:sz w:val="22"/>
          <w:szCs w:val="22"/>
          <w:lang w:eastAsia="zh-CN"/>
        </w:rPr>
      </w:pPr>
    </w:p>
    <w:p w14:paraId="670A8F02" w14:textId="77777777" w:rsidR="005019F9" w:rsidRPr="00EF20DC" w:rsidRDefault="005019F9" w:rsidP="005019F9">
      <w:pPr>
        <w:tabs>
          <w:tab w:val="left" w:pos="567"/>
        </w:tabs>
        <w:rPr>
          <w:rFonts w:eastAsia="SimSun"/>
          <w:sz w:val="22"/>
          <w:szCs w:val="22"/>
          <w:lang w:eastAsia="zh-CN"/>
        </w:rPr>
      </w:pPr>
    </w:p>
    <w:p w14:paraId="1B1D1D04"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13.</w:t>
      </w:r>
      <w:r w:rsidRPr="00EF20DC">
        <w:rPr>
          <w:rFonts w:eastAsia="SimSun"/>
          <w:b/>
          <w:sz w:val="22"/>
          <w:szCs w:val="22"/>
          <w:lang w:eastAsia="zh-CN"/>
        </w:rPr>
        <w:tab/>
        <w:t xml:space="preserve">SERIJOS NUMERIS </w:t>
      </w:r>
    </w:p>
    <w:p w14:paraId="46EEDB66" w14:textId="77777777" w:rsidR="005019F9" w:rsidRPr="00EF20DC" w:rsidRDefault="005019F9" w:rsidP="005019F9">
      <w:pPr>
        <w:tabs>
          <w:tab w:val="left" w:pos="567"/>
        </w:tabs>
        <w:rPr>
          <w:rFonts w:eastAsia="SimSun"/>
          <w:sz w:val="22"/>
          <w:szCs w:val="22"/>
          <w:lang w:eastAsia="zh-CN"/>
        </w:rPr>
      </w:pPr>
    </w:p>
    <w:p w14:paraId="5463B3B1" w14:textId="77777777" w:rsidR="005019F9" w:rsidRPr="00EF20DC" w:rsidRDefault="005019F9" w:rsidP="005019F9">
      <w:pPr>
        <w:tabs>
          <w:tab w:val="left" w:pos="567"/>
        </w:tabs>
        <w:rPr>
          <w:rFonts w:eastAsia="SimSun"/>
          <w:sz w:val="22"/>
          <w:szCs w:val="22"/>
          <w:lang w:eastAsia="zh-CN"/>
        </w:rPr>
      </w:pPr>
      <w:r w:rsidRPr="00EF20DC">
        <w:rPr>
          <w:rFonts w:eastAsia="SimSun"/>
          <w:sz w:val="22"/>
          <w:szCs w:val="22"/>
          <w:lang w:eastAsia="zh-CN"/>
        </w:rPr>
        <w:t xml:space="preserve">Lot </w:t>
      </w:r>
    </w:p>
    <w:p w14:paraId="0FF16CC3" w14:textId="77777777" w:rsidR="005019F9" w:rsidRPr="00EF20DC" w:rsidRDefault="005019F9" w:rsidP="005019F9">
      <w:pPr>
        <w:tabs>
          <w:tab w:val="left" w:pos="567"/>
        </w:tabs>
        <w:rPr>
          <w:rFonts w:eastAsia="SimSun"/>
          <w:sz w:val="22"/>
          <w:szCs w:val="22"/>
          <w:lang w:eastAsia="zh-CN"/>
        </w:rPr>
      </w:pPr>
    </w:p>
    <w:p w14:paraId="3BE6380D" w14:textId="77777777" w:rsidR="005019F9" w:rsidRPr="00EF20DC" w:rsidRDefault="005019F9" w:rsidP="005019F9">
      <w:pPr>
        <w:tabs>
          <w:tab w:val="left" w:pos="567"/>
        </w:tabs>
        <w:rPr>
          <w:rFonts w:eastAsia="SimSun"/>
          <w:sz w:val="22"/>
          <w:szCs w:val="22"/>
          <w:lang w:eastAsia="zh-CN"/>
        </w:rPr>
      </w:pPr>
    </w:p>
    <w:p w14:paraId="0A0121F1" w14:textId="77777777" w:rsidR="005019F9" w:rsidRPr="00EF20DC" w:rsidRDefault="005019F9" w:rsidP="005019F9">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14.</w:t>
      </w:r>
      <w:r w:rsidRPr="00EF20DC">
        <w:rPr>
          <w:rFonts w:eastAsia="SimSun"/>
          <w:b/>
          <w:sz w:val="22"/>
          <w:szCs w:val="22"/>
          <w:lang w:eastAsia="zh-CN"/>
        </w:rPr>
        <w:tab/>
        <w:t>PARDAVIMO (IŠDAVIMO) TVARKA</w:t>
      </w:r>
    </w:p>
    <w:p w14:paraId="687FDE82" w14:textId="77777777" w:rsidR="005019F9" w:rsidRPr="00EF20DC" w:rsidRDefault="005019F9" w:rsidP="005019F9">
      <w:pPr>
        <w:tabs>
          <w:tab w:val="left" w:pos="567"/>
        </w:tabs>
        <w:rPr>
          <w:rFonts w:eastAsia="SimSun"/>
          <w:sz w:val="22"/>
          <w:szCs w:val="22"/>
          <w:lang w:eastAsia="zh-CN"/>
        </w:rPr>
      </w:pPr>
    </w:p>
    <w:p w14:paraId="0C8817C4" w14:textId="77777777" w:rsidR="005019F9" w:rsidRPr="00EF20DC" w:rsidRDefault="005019F9" w:rsidP="005019F9">
      <w:pPr>
        <w:tabs>
          <w:tab w:val="left" w:pos="567"/>
        </w:tabs>
        <w:rPr>
          <w:rFonts w:eastAsia="SimSun"/>
          <w:sz w:val="22"/>
          <w:szCs w:val="22"/>
          <w:lang w:eastAsia="zh-CN"/>
        </w:rPr>
      </w:pPr>
      <w:r w:rsidRPr="00EF20DC">
        <w:rPr>
          <w:rFonts w:eastAsia="SimSun"/>
          <w:sz w:val="22"/>
          <w:szCs w:val="22"/>
          <w:lang w:eastAsia="zh-CN"/>
        </w:rPr>
        <w:t>Receptinis vaistas</w:t>
      </w:r>
    </w:p>
    <w:p w14:paraId="5C047B50" w14:textId="77777777" w:rsidR="005019F9" w:rsidRPr="00EF20DC" w:rsidRDefault="005019F9" w:rsidP="005019F9">
      <w:pPr>
        <w:tabs>
          <w:tab w:val="left" w:pos="567"/>
        </w:tabs>
        <w:rPr>
          <w:rFonts w:eastAsia="SimSun"/>
          <w:sz w:val="22"/>
          <w:szCs w:val="22"/>
          <w:lang w:eastAsia="zh-CN"/>
        </w:rPr>
      </w:pPr>
    </w:p>
    <w:p w14:paraId="32FBA659" w14:textId="77777777" w:rsidR="005019F9" w:rsidRPr="00EF20DC" w:rsidRDefault="005019F9" w:rsidP="005019F9">
      <w:pPr>
        <w:tabs>
          <w:tab w:val="left" w:pos="567"/>
        </w:tabs>
        <w:rPr>
          <w:rFonts w:eastAsia="SimSun"/>
          <w:sz w:val="22"/>
          <w:szCs w:val="22"/>
          <w:lang w:eastAsia="zh-CN"/>
        </w:rPr>
      </w:pPr>
    </w:p>
    <w:p w14:paraId="7B296897" w14:textId="77777777" w:rsidR="005019F9" w:rsidRPr="00EF20DC" w:rsidRDefault="005019F9" w:rsidP="005019F9">
      <w:pPr>
        <w:suppressLineNumbers/>
        <w:pBdr>
          <w:top w:val="single" w:sz="4" w:space="2" w:color="auto"/>
          <w:left w:val="single" w:sz="4" w:space="4" w:color="auto"/>
          <w:bottom w:val="single" w:sz="4" w:space="1" w:color="auto"/>
          <w:right w:val="single" w:sz="4" w:space="4" w:color="auto"/>
        </w:pBdr>
        <w:tabs>
          <w:tab w:val="left" w:pos="567"/>
        </w:tabs>
        <w:outlineLvl w:val="0"/>
        <w:rPr>
          <w:rFonts w:eastAsia="SimSun"/>
          <w:sz w:val="22"/>
          <w:szCs w:val="22"/>
          <w:lang w:eastAsia="zh-CN"/>
        </w:rPr>
      </w:pPr>
      <w:r w:rsidRPr="00EF20DC">
        <w:rPr>
          <w:rFonts w:eastAsia="SimSun"/>
          <w:b/>
          <w:sz w:val="22"/>
          <w:szCs w:val="22"/>
          <w:lang w:eastAsia="zh-CN"/>
        </w:rPr>
        <w:t>15.</w:t>
      </w:r>
      <w:r w:rsidRPr="00EF20DC">
        <w:rPr>
          <w:rFonts w:eastAsia="SimSun"/>
          <w:b/>
          <w:sz w:val="22"/>
          <w:szCs w:val="22"/>
          <w:lang w:eastAsia="zh-CN"/>
        </w:rPr>
        <w:tab/>
        <w:t>VARTOJIMO INSTRUKCIJA</w:t>
      </w:r>
    </w:p>
    <w:p w14:paraId="7E9E54E6" w14:textId="77777777" w:rsidR="005019F9" w:rsidRPr="00EF20DC" w:rsidRDefault="005019F9" w:rsidP="005019F9">
      <w:pPr>
        <w:tabs>
          <w:tab w:val="left" w:pos="567"/>
        </w:tabs>
        <w:rPr>
          <w:rFonts w:eastAsia="SimSun"/>
          <w:sz w:val="22"/>
          <w:szCs w:val="22"/>
          <w:lang w:eastAsia="zh-CN"/>
        </w:rPr>
      </w:pPr>
    </w:p>
    <w:p w14:paraId="1B2BF910" w14:textId="77777777" w:rsidR="005019F9" w:rsidRPr="00EF20DC" w:rsidRDefault="005019F9" w:rsidP="005019F9">
      <w:pPr>
        <w:tabs>
          <w:tab w:val="left" w:pos="567"/>
        </w:tabs>
        <w:rPr>
          <w:rFonts w:eastAsia="SimSun"/>
          <w:sz w:val="22"/>
          <w:szCs w:val="22"/>
          <w:lang w:eastAsia="zh-CN"/>
        </w:rPr>
      </w:pPr>
    </w:p>
    <w:p w14:paraId="00FE97E2" w14:textId="77777777" w:rsidR="005019F9" w:rsidRPr="00EF20DC" w:rsidRDefault="005019F9" w:rsidP="005019F9">
      <w:pPr>
        <w:suppressLineNumbers/>
        <w:pBdr>
          <w:top w:val="single" w:sz="4" w:space="1" w:color="auto"/>
          <w:left w:val="single" w:sz="4" w:space="4" w:color="auto"/>
          <w:bottom w:val="single" w:sz="4" w:space="0" w:color="auto"/>
          <w:right w:val="single" w:sz="4" w:space="4" w:color="auto"/>
        </w:pBdr>
        <w:tabs>
          <w:tab w:val="left" w:pos="567"/>
        </w:tabs>
        <w:rPr>
          <w:rFonts w:eastAsia="Calibri"/>
          <w:sz w:val="22"/>
          <w:szCs w:val="22"/>
        </w:rPr>
      </w:pPr>
      <w:r w:rsidRPr="00EF20DC">
        <w:rPr>
          <w:rFonts w:eastAsia="SimSun"/>
          <w:b/>
          <w:sz w:val="22"/>
          <w:szCs w:val="22"/>
          <w:lang w:eastAsia="zh-CN"/>
        </w:rPr>
        <w:t>16.</w:t>
      </w:r>
      <w:r w:rsidRPr="00EF20DC">
        <w:rPr>
          <w:rFonts w:eastAsia="SimSun"/>
          <w:b/>
          <w:sz w:val="22"/>
          <w:szCs w:val="22"/>
          <w:lang w:eastAsia="zh-CN"/>
        </w:rPr>
        <w:tab/>
        <w:t>INFORMACIJA BRAILIO RAŠTU</w:t>
      </w:r>
    </w:p>
    <w:p w14:paraId="42156E00" w14:textId="77777777" w:rsidR="005019F9" w:rsidRPr="00EF20DC" w:rsidRDefault="005019F9" w:rsidP="005019F9">
      <w:pPr>
        <w:tabs>
          <w:tab w:val="left" w:pos="567"/>
        </w:tabs>
        <w:autoSpaceDE w:val="0"/>
        <w:autoSpaceDN w:val="0"/>
        <w:adjustRightInd w:val="0"/>
        <w:rPr>
          <w:rFonts w:eastAsia="Calibri"/>
          <w:sz w:val="22"/>
          <w:szCs w:val="22"/>
          <w:lang w:eastAsia="lt-LT"/>
        </w:rPr>
      </w:pPr>
    </w:p>
    <w:p w14:paraId="4B29D8FB" w14:textId="5B9EDB3B" w:rsidR="005019F9" w:rsidRPr="00EF20DC" w:rsidRDefault="005019F9" w:rsidP="005019F9">
      <w:pPr>
        <w:tabs>
          <w:tab w:val="left" w:pos="567"/>
        </w:tabs>
        <w:autoSpaceDE w:val="0"/>
        <w:autoSpaceDN w:val="0"/>
        <w:adjustRightInd w:val="0"/>
        <w:rPr>
          <w:rFonts w:eastAsia="Calibri"/>
          <w:sz w:val="22"/>
          <w:szCs w:val="22"/>
          <w:lang w:eastAsia="lt-LT"/>
        </w:rPr>
      </w:pPr>
      <w:r w:rsidRPr="00EF20DC">
        <w:rPr>
          <w:rFonts w:eastAsia="Calibri"/>
          <w:sz w:val="22"/>
          <w:szCs w:val="22"/>
          <w:lang w:eastAsia="lt-LT"/>
        </w:rPr>
        <w:t>Sorafenib</w:t>
      </w:r>
      <w:r>
        <w:rPr>
          <w:rFonts w:eastAsia="Calibri"/>
          <w:sz w:val="22"/>
          <w:szCs w:val="22"/>
          <w:lang w:eastAsia="lt-LT"/>
        </w:rPr>
        <w:t xml:space="preserve"> </w:t>
      </w:r>
      <w:r w:rsidR="00D71A25">
        <w:rPr>
          <w:rFonts w:eastAsia="Calibri"/>
          <w:sz w:val="22"/>
          <w:szCs w:val="22"/>
          <w:lang w:eastAsia="lt-LT"/>
        </w:rPr>
        <w:t>Sandoz</w:t>
      </w:r>
      <w:r>
        <w:rPr>
          <w:rFonts w:eastAsia="Calibri"/>
          <w:sz w:val="22"/>
          <w:szCs w:val="22"/>
          <w:lang w:eastAsia="lt-LT"/>
        </w:rPr>
        <w:t xml:space="preserve"> 4</w:t>
      </w:r>
      <w:r w:rsidRPr="00EF20DC">
        <w:rPr>
          <w:rFonts w:eastAsia="Calibri"/>
          <w:sz w:val="22"/>
          <w:szCs w:val="22"/>
          <w:lang w:eastAsia="lt-LT"/>
        </w:rPr>
        <w:t xml:space="preserve">00 mg </w:t>
      </w:r>
    </w:p>
    <w:p w14:paraId="1F75F877" w14:textId="77777777" w:rsidR="005019F9" w:rsidRPr="00EF20DC" w:rsidRDefault="005019F9" w:rsidP="005019F9">
      <w:pPr>
        <w:tabs>
          <w:tab w:val="left" w:pos="567"/>
        </w:tabs>
        <w:rPr>
          <w:rFonts w:eastAsia="Calibri"/>
          <w:sz w:val="22"/>
          <w:szCs w:val="22"/>
          <w:highlight w:val="lightGray"/>
        </w:rPr>
      </w:pPr>
    </w:p>
    <w:p w14:paraId="0BC9BA8F" w14:textId="77777777" w:rsidR="005019F9" w:rsidRPr="00EF20DC" w:rsidRDefault="005019F9" w:rsidP="005019F9">
      <w:pPr>
        <w:tabs>
          <w:tab w:val="left" w:pos="567"/>
        </w:tabs>
        <w:rPr>
          <w:rFonts w:eastAsia="Calibri"/>
          <w:sz w:val="22"/>
          <w:szCs w:val="22"/>
          <w:highlight w:val="lightGray"/>
        </w:rPr>
      </w:pPr>
    </w:p>
    <w:p w14:paraId="5506C4CF" w14:textId="77777777" w:rsidR="005019F9" w:rsidRPr="00EF20DC" w:rsidRDefault="005019F9" w:rsidP="005019F9">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sz w:val="22"/>
          <w:szCs w:val="22"/>
          <w:lang w:bidi="lt-LT"/>
        </w:rPr>
      </w:pPr>
      <w:r w:rsidRPr="00EF20DC">
        <w:rPr>
          <w:b/>
          <w:snapToGrid w:val="0"/>
          <w:sz w:val="22"/>
          <w:szCs w:val="22"/>
          <w:lang w:bidi="lt-LT"/>
        </w:rPr>
        <w:t>17.</w:t>
      </w:r>
      <w:r w:rsidRPr="00EF20DC">
        <w:rPr>
          <w:b/>
          <w:snapToGrid w:val="0"/>
          <w:sz w:val="22"/>
          <w:szCs w:val="22"/>
          <w:lang w:bidi="lt-LT"/>
        </w:rPr>
        <w:tab/>
        <w:t>UNIKALUS IDENTIFIKATORIUS – 2D BRŪKŠNINIS KODAS</w:t>
      </w:r>
    </w:p>
    <w:p w14:paraId="7FB91043" w14:textId="77777777" w:rsidR="005019F9" w:rsidRPr="00EF20DC" w:rsidRDefault="005019F9" w:rsidP="005019F9">
      <w:pPr>
        <w:tabs>
          <w:tab w:val="left" w:pos="567"/>
        </w:tabs>
        <w:spacing w:line="260" w:lineRule="exact"/>
        <w:rPr>
          <w:rFonts w:eastAsia="Calibri"/>
          <w:sz w:val="22"/>
          <w:szCs w:val="22"/>
          <w:highlight w:val="lightGray"/>
        </w:rPr>
      </w:pPr>
    </w:p>
    <w:p w14:paraId="1AE3B33E" w14:textId="77777777" w:rsidR="005019F9" w:rsidRPr="00EF20DC" w:rsidRDefault="005019F9" w:rsidP="005019F9">
      <w:pPr>
        <w:tabs>
          <w:tab w:val="left" w:pos="567"/>
        </w:tabs>
        <w:spacing w:line="260" w:lineRule="exact"/>
        <w:rPr>
          <w:snapToGrid w:val="0"/>
          <w:sz w:val="22"/>
          <w:szCs w:val="22"/>
          <w:lang w:bidi="lt-LT"/>
        </w:rPr>
      </w:pPr>
    </w:p>
    <w:p w14:paraId="2C6008F9" w14:textId="77777777" w:rsidR="005019F9" w:rsidRPr="00EF20DC" w:rsidRDefault="005019F9" w:rsidP="005019F9">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napToGrid w:val="0"/>
          <w:sz w:val="22"/>
          <w:szCs w:val="22"/>
          <w:lang w:bidi="lt-LT"/>
        </w:rPr>
      </w:pPr>
      <w:r w:rsidRPr="00EF20DC">
        <w:rPr>
          <w:b/>
          <w:snapToGrid w:val="0"/>
          <w:sz w:val="22"/>
          <w:szCs w:val="22"/>
          <w:lang w:bidi="lt-LT"/>
        </w:rPr>
        <w:t>18.</w:t>
      </w:r>
      <w:r w:rsidRPr="00EF20DC">
        <w:rPr>
          <w:b/>
          <w:snapToGrid w:val="0"/>
          <w:sz w:val="22"/>
          <w:szCs w:val="22"/>
          <w:lang w:bidi="lt-LT"/>
        </w:rPr>
        <w:tab/>
        <w:t>UNIKALUS IDENTIFIKATORIUS – ŽMONĖMS SUPRANTAMI DUOMENYS</w:t>
      </w:r>
    </w:p>
    <w:p w14:paraId="35A543D4" w14:textId="77777777" w:rsidR="005019F9" w:rsidRPr="00A07BA7" w:rsidRDefault="005019F9" w:rsidP="005019F9">
      <w:pPr>
        <w:tabs>
          <w:tab w:val="left" w:pos="567"/>
        </w:tabs>
        <w:spacing w:line="260" w:lineRule="exact"/>
        <w:rPr>
          <w:snapToGrid w:val="0"/>
          <w:sz w:val="22"/>
          <w:szCs w:val="20"/>
        </w:rPr>
      </w:pPr>
      <w:r w:rsidRPr="00EF20DC">
        <w:rPr>
          <w:snapToGrid w:val="0"/>
          <w:sz w:val="22"/>
          <w:szCs w:val="22"/>
        </w:rPr>
        <w:br w:type="page"/>
      </w:r>
    </w:p>
    <w:p w14:paraId="6DCBA88A" w14:textId="3D28E40B" w:rsidR="00EF20DC" w:rsidRPr="00EF20DC" w:rsidRDefault="00EF20DC" w:rsidP="001F1094">
      <w:pPr>
        <w:pBdr>
          <w:top w:val="single" w:sz="4" w:space="1" w:color="auto"/>
          <w:left w:val="single" w:sz="4" w:space="4" w:color="auto"/>
          <w:bottom w:val="single" w:sz="4" w:space="1" w:color="auto"/>
          <w:right w:val="single" w:sz="4" w:space="4" w:color="auto"/>
        </w:pBdr>
        <w:tabs>
          <w:tab w:val="left" w:pos="567"/>
        </w:tabs>
        <w:rPr>
          <w:rFonts w:eastAsia="SimSun"/>
          <w:sz w:val="22"/>
          <w:szCs w:val="22"/>
          <w:lang w:eastAsia="zh-CN"/>
        </w:rPr>
      </w:pPr>
      <w:r w:rsidRPr="00EF20DC">
        <w:rPr>
          <w:rFonts w:eastAsia="SimSun"/>
          <w:b/>
          <w:sz w:val="22"/>
          <w:szCs w:val="22"/>
          <w:lang w:eastAsia="zh-CN"/>
        </w:rPr>
        <w:lastRenderedPageBreak/>
        <w:t>MINIMALI INFORMACIJA ANT LIZDINIŲ PLOKŠTELIŲ ARBA DVISLUOKSNIŲ JUOSTELIŲ</w:t>
      </w:r>
      <w:r w:rsidRPr="00EF20DC">
        <w:rPr>
          <w:rFonts w:eastAsia="SimSun"/>
          <w:b/>
          <w:sz w:val="22"/>
          <w:szCs w:val="22"/>
          <w:lang w:eastAsia="zh-CN"/>
        </w:rPr>
        <w:br/>
      </w:r>
      <w:r w:rsidRPr="00EF20DC">
        <w:rPr>
          <w:rFonts w:eastAsia="SimSun"/>
          <w:b/>
          <w:sz w:val="22"/>
          <w:szCs w:val="22"/>
          <w:lang w:eastAsia="zh-CN"/>
        </w:rPr>
        <w:br/>
      </w:r>
      <w:r w:rsidRPr="00EF20DC">
        <w:rPr>
          <w:rFonts w:eastAsia="SimSun"/>
          <w:b/>
          <w:caps/>
          <w:sz w:val="22"/>
          <w:szCs w:val="22"/>
          <w:lang w:eastAsia="zh-CN"/>
        </w:rPr>
        <w:t>Lizdinė plokštelė</w:t>
      </w:r>
    </w:p>
    <w:p w14:paraId="390DA27B" w14:textId="77777777" w:rsidR="00EF20DC" w:rsidRPr="00EF20DC" w:rsidRDefault="00EF20DC" w:rsidP="001F1094">
      <w:pPr>
        <w:tabs>
          <w:tab w:val="left" w:pos="567"/>
        </w:tabs>
        <w:rPr>
          <w:rFonts w:eastAsia="SimSun"/>
          <w:sz w:val="22"/>
          <w:szCs w:val="22"/>
          <w:lang w:eastAsia="zh-CN"/>
        </w:rPr>
      </w:pPr>
    </w:p>
    <w:p w14:paraId="5B1F1555" w14:textId="77777777" w:rsidR="00EF20DC" w:rsidRPr="00EF20DC" w:rsidRDefault="00EF20DC" w:rsidP="001F1094">
      <w:pPr>
        <w:tabs>
          <w:tab w:val="left" w:pos="567"/>
        </w:tabs>
        <w:rPr>
          <w:rFonts w:eastAsia="SimSun"/>
          <w:sz w:val="22"/>
          <w:szCs w:val="22"/>
          <w:lang w:eastAsia="zh-CN"/>
        </w:rPr>
      </w:pPr>
    </w:p>
    <w:p w14:paraId="5282571D"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1.</w:t>
      </w:r>
      <w:r w:rsidRPr="00EF20DC">
        <w:rPr>
          <w:rFonts w:eastAsia="SimSun"/>
          <w:b/>
          <w:sz w:val="22"/>
          <w:szCs w:val="22"/>
          <w:lang w:eastAsia="zh-CN"/>
        </w:rPr>
        <w:tab/>
      </w:r>
      <w:r w:rsidRPr="00EF20DC">
        <w:rPr>
          <w:rFonts w:eastAsia="SimSun"/>
          <w:b/>
          <w:caps/>
          <w:sz w:val="22"/>
          <w:szCs w:val="22"/>
          <w:lang w:eastAsia="zh-CN"/>
        </w:rPr>
        <w:t>VAISTINIO</w:t>
      </w:r>
      <w:r w:rsidRPr="00EF20DC">
        <w:rPr>
          <w:rFonts w:eastAsia="SimSun"/>
          <w:b/>
          <w:sz w:val="22"/>
          <w:szCs w:val="22"/>
          <w:lang w:eastAsia="zh-CN"/>
        </w:rPr>
        <w:t xml:space="preserve"> PREPARATO PAVADINIMAS</w:t>
      </w:r>
    </w:p>
    <w:p w14:paraId="6D54C953" w14:textId="77777777" w:rsidR="00EF20DC" w:rsidRPr="00EF20DC" w:rsidRDefault="00EF20DC" w:rsidP="001F1094">
      <w:pPr>
        <w:tabs>
          <w:tab w:val="left" w:pos="567"/>
        </w:tabs>
        <w:rPr>
          <w:rFonts w:eastAsia="SimSun"/>
          <w:sz w:val="22"/>
          <w:szCs w:val="22"/>
          <w:lang w:eastAsia="zh-CN"/>
        </w:rPr>
      </w:pPr>
    </w:p>
    <w:p w14:paraId="68BC7487" w14:textId="784D5327" w:rsidR="00EF20DC" w:rsidRPr="00EF20DC" w:rsidRDefault="00EF20DC" w:rsidP="001F1094">
      <w:pPr>
        <w:rPr>
          <w:rFonts w:eastAsia="Calibri"/>
          <w:sz w:val="22"/>
          <w:szCs w:val="22"/>
        </w:rPr>
      </w:pPr>
      <w:r w:rsidRPr="00EF20DC">
        <w:rPr>
          <w:rFonts w:eastAsia="Calibri"/>
          <w:bCs/>
          <w:sz w:val="22"/>
          <w:szCs w:val="22"/>
          <w:shd w:val="clear" w:color="auto" w:fill="FFFFFF"/>
        </w:rPr>
        <w:t xml:space="preserve">Sorafenib </w:t>
      </w:r>
      <w:r w:rsidR="00D71A25">
        <w:rPr>
          <w:rFonts w:eastAsia="Calibri"/>
          <w:bCs/>
          <w:sz w:val="22"/>
          <w:szCs w:val="22"/>
          <w:shd w:val="clear" w:color="auto" w:fill="FFFFFF"/>
        </w:rPr>
        <w:t>Sandoz</w:t>
      </w:r>
      <w:r w:rsidRPr="00EF20DC">
        <w:rPr>
          <w:rFonts w:eastAsia="Calibri"/>
          <w:bCs/>
          <w:sz w:val="22"/>
          <w:szCs w:val="22"/>
          <w:shd w:val="clear" w:color="auto" w:fill="FFFFFF"/>
        </w:rPr>
        <w:t xml:space="preserve"> </w:t>
      </w:r>
      <w:r w:rsidRPr="00EF20DC">
        <w:rPr>
          <w:rFonts w:eastAsia="Calibri"/>
          <w:sz w:val="22"/>
          <w:szCs w:val="22"/>
        </w:rPr>
        <w:t xml:space="preserve">200 mg tabletės </w:t>
      </w:r>
    </w:p>
    <w:p w14:paraId="20CF5728" w14:textId="77777777" w:rsidR="00EF20DC" w:rsidRPr="00EF20DC" w:rsidRDefault="00D11A28" w:rsidP="001F1094">
      <w:pPr>
        <w:tabs>
          <w:tab w:val="left" w:pos="567"/>
        </w:tabs>
        <w:rPr>
          <w:rFonts w:eastAsia="SimSun"/>
          <w:sz w:val="22"/>
          <w:szCs w:val="22"/>
          <w:lang w:eastAsia="zh-CN"/>
        </w:rPr>
      </w:pPr>
      <w:r>
        <w:rPr>
          <w:rFonts w:eastAsia="SimSun"/>
          <w:sz w:val="22"/>
          <w:szCs w:val="22"/>
          <w:lang w:eastAsia="zh-CN"/>
        </w:rPr>
        <w:t>s</w:t>
      </w:r>
      <w:r w:rsidR="00EF20DC" w:rsidRPr="00EF20DC">
        <w:rPr>
          <w:rFonts w:eastAsia="SimSun"/>
          <w:sz w:val="22"/>
          <w:szCs w:val="22"/>
          <w:lang w:eastAsia="zh-CN"/>
        </w:rPr>
        <w:t>orafenibum</w:t>
      </w:r>
    </w:p>
    <w:p w14:paraId="4D4F5386" w14:textId="77777777" w:rsidR="00EF20DC" w:rsidRPr="00EF20DC" w:rsidRDefault="00EF20DC" w:rsidP="001F1094">
      <w:pPr>
        <w:tabs>
          <w:tab w:val="left" w:pos="567"/>
        </w:tabs>
        <w:rPr>
          <w:rFonts w:eastAsia="SimSun"/>
          <w:sz w:val="22"/>
          <w:szCs w:val="22"/>
          <w:lang w:eastAsia="zh-CN"/>
        </w:rPr>
      </w:pPr>
    </w:p>
    <w:p w14:paraId="77442C25" w14:textId="77777777" w:rsidR="00EF20DC" w:rsidRPr="00EF20DC" w:rsidRDefault="00EF20DC" w:rsidP="001F1094">
      <w:pPr>
        <w:tabs>
          <w:tab w:val="left" w:pos="567"/>
        </w:tabs>
        <w:rPr>
          <w:rFonts w:eastAsia="SimSun"/>
          <w:sz w:val="22"/>
          <w:szCs w:val="22"/>
          <w:lang w:eastAsia="zh-CN"/>
        </w:rPr>
      </w:pPr>
    </w:p>
    <w:p w14:paraId="0D5E79EF"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2.</w:t>
      </w:r>
      <w:r w:rsidRPr="00EF20DC">
        <w:rPr>
          <w:rFonts w:eastAsia="SimSun"/>
          <w:b/>
          <w:sz w:val="22"/>
          <w:szCs w:val="22"/>
          <w:lang w:eastAsia="zh-CN"/>
        </w:rPr>
        <w:tab/>
      </w:r>
      <w:r w:rsidRPr="00EF20DC">
        <w:rPr>
          <w:rFonts w:eastAsia="SimSun"/>
          <w:b/>
          <w:caps/>
          <w:sz w:val="22"/>
          <w:szCs w:val="22"/>
          <w:lang w:eastAsia="zh-CN"/>
        </w:rPr>
        <w:t>REGISTRUOTOJO pavadinimas</w:t>
      </w:r>
    </w:p>
    <w:p w14:paraId="7C788E47" w14:textId="77777777" w:rsidR="00EF20DC" w:rsidRPr="00EF20DC" w:rsidRDefault="00EF20DC" w:rsidP="001F1094">
      <w:pPr>
        <w:tabs>
          <w:tab w:val="left" w:pos="567"/>
        </w:tabs>
        <w:rPr>
          <w:rFonts w:eastAsia="SimSun"/>
          <w:sz w:val="22"/>
          <w:szCs w:val="22"/>
          <w:lang w:eastAsia="zh-CN"/>
        </w:rPr>
      </w:pPr>
    </w:p>
    <w:p w14:paraId="37F72C6F" w14:textId="52735690" w:rsidR="00EF20DC" w:rsidRPr="00EF20DC" w:rsidRDefault="00A07BA7" w:rsidP="001F1094">
      <w:pPr>
        <w:tabs>
          <w:tab w:val="left" w:pos="567"/>
        </w:tabs>
        <w:rPr>
          <w:rFonts w:eastAsia="SimSun"/>
          <w:sz w:val="22"/>
          <w:szCs w:val="22"/>
        </w:rPr>
      </w:pPr>
      <w:r>
        <w:rPr>
          <w:rFonts w:eastAsia="SimSun"/>
          <w:sz w:val="22"/>
          <w:szCs w:val="22"/>
        </w:rPr>
        <w:t>SANDOZ</w:t>
      </w:r>
    </w:p>
    <w:p w14:paraId="207074DE" w14:textId="77777777" w:rsidR="00EF20DC" w:rsidRPr="00EF20DC" w:rsidRDefault="00EF20DC" w:rsidP="001F1094">
      <w:pPr>
        <w:tabs>
          <w:tab w:val="left" w:pos="567"/>
        </w:tabs>
        <w:rPr>
          <w:rFonts w:eastAsia="SimSun"/>
          <w:sz w:val="22"/>
          <w:szCs w:val="22"/>
          <w:lang w:eastAsia="zh-CN"/>
        </w:rPr>
      </w:pPr>
    </w:p>
    <w:p w14:paraId="15403A9F" w14:textId="77777777" w:rsidR="00EF20DC" w:rsidRPr="00EF20DC" w:rsidRDefault="00EF20DC" w:rsidP="001F1094">
      <w:pPr>
        <w:tabs>
          <w:tab w:val="left" w:pos="567"/>
        </w:tabs>
        <w:rPr>
          <w:rFonts w:eastAsia="SimSun"/>
          <w:sz w:val="22"/>
          <w:szCs w:val="22"/>
          <w:lang w:eastAsia="zh-CN"/>
        </w:rPr>
      </w:pPr>
    </w:p>
    <w:p w14:paraId="5C15B4A9" w14:textId="77777777" w:rsidR="00EF20DC" w:rsidRPr="00EF20DC" w:rsidRDefault="00EF20DC" w:rsidP="001F1094">
      <w:pPr>
        <w:suppressLineNumbers/>
        <w:pBdr>
          <w:top w:val="single" w:sz="4" w:space="1" w:color="auto"/>
          <w:left w:val="single" w:sz="4" w:space="4" w:color="auto"/>
          <w:bottom w:val="single" w:sz="4" w:space="2"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3.</w:t>
      </w:r>
      <w:r w:rsidRPr="00EF20DC">
        <w:rPr>
          <w:rFonts w:eastAsia="SimSun"/>
          <w:b/>
          <w:sz w:val="22"/>
          <w:szCs w:val="22"/>
          <w:lang w:eastAsia="zh-CN"/>
        </w:rPr>
        <w:tab/>
        <w:t>TINKAMUMO LAIKAS</w:t>
      </w:r>
    </w:p>
    <w:p w14:paraId="47C09B80" w14:textId="77777777" w:rsidR="00EF20DC" w:rsidRPr="00EF20DC" w:rsidRDefault="00EF20DC" w:rsidP="001F1094">
      <w:pPr>
        <w:tabs>
          <w:tab w:val="left" w:pos="567"/>
        </w:tabs>
        <w:rPr>
          <w:rFonts w:eastAsia="SimSun"/>
          <w:sz w:val="22"/>
          <w:szCs w:val="22"/>
          <w:lang w:eastAsia="zh-CN"/>
        </w:rPr>
      </w:pPr>
    </w:p>
    <w:p w14:paraId="431A4AC0" w14:textId="77777777" w:rsidR="00EF20DC" w:rsidRPr="00EF20DC" w:rsidRDefault="00EF20DC" w:rsidP="001F1094">
      <w:pPr>
        <w:tabs>
          <w:tab w:val="left" w:pos="567"/>
        </w:tabs>
        <w:rPr>
          <w:rFonts w:eastAsia="SimSun"/>
          <w:sz w:val="22"/>
          <w:szCs w:val="22"/>
          <w:lang w:eastAsia="zh-CN"/>
        </w:rPr>
      </w:pPr>
      <w:r w:rsidRPr="00A07BA7">
        <w:rPr>
          <w:rFonts w:eastAsia="SimSun"/>
          <w:sz w:val="22"/>
          <w:highlight w:val="lightGray"/>
        </w:rPr>
        <w:t>EXP</w:t>
      </w:r>
      <w:r w:rsidRPr="00EF20DC">
        <w:rPr>
          <w:rFonts w:eastAsia="SimSun"/>
          <w:sz w:val="22"/>
          <w:szCs w:val="22"/>
          <w:lang w:eastAsia="zh-CN"/>
        </w:rPr>
        <w:t xml:space="preserve"> {mm MMMM}</w:t>
      </w:r>
    </w:p>
    <w:p w14:paraId="62B28C01" w14:textId="77777777" w:rsidR="00EF20DC" w:rsidRPr="00EF20DC" w:rsidRDefault="00EF20DC" w:rsidP="001F1094">
      <w:pPr>
        <w:tabs>
          <w:tab w:val="left" w:pos="567"/>
        </w:tabs>
        <w:rPr>
          <w:rFonts w:eastAsia="SimSun"/>
          <w:sz w:val="22"/>
          <w:szCs w:val="22"/>
          <w:lang w:eastAsia="zh-CN"/>
        </w:rPr>
      </w:pPr>
    </w:p>
    <w:p w14:paraId="76B1DD8C" w14:textId="77777777" w:rsidR="00EF20DC" w:rsidRPr="00EF20DC" w:rsidRDefault="00EF20DC" w:rsidP="001F1094">
      <w:pPr>
        <w:tabs>
          <w:tab w:val="left" w:pos="567"/>
        </w:tabs>
        <w:rPr>
          <w:rFonts w:eastAsia="SimSun"/>
          <w:sz w:val="22"/>
          <w:szCs w:val="22"/>
          <w:lang w:eastAsia="zh-CN"/>
        </w:rPr>
      </w:pPr>
    </w:p>
    <w:p w14:paraId="208D463D"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4.</w:t>
      </w:r>
      <w:r w:rsidRPr="00EF20DC">
        <w:rPr>
          <w:rFonts w:eastAsia="SimSun"/>
          <w:b/>
          <w:sz w:val="22"/>
          <w:szCs w:val="22"/>
          <w:lang w:eastAsia="zh-CN"/>
        </w:rPr>
        <w:tab/>
        <w:t>SERIJOS NUMERIS</w:t>
      </w:r>
    </w:p>
    <w:p w14:paraId="66CC47BB" w14:textId="77777777" w:rsidR="00EF20DC" w:rsidRPr="00EF20DC" w:rsidRDefault="00EF20DC" w:rsidP="001F1094">
      <w:pPr>
        <w:tabs>
          <w:tab w:val="left" w:pos="567"/>
        </w:tabs>
        <w:rPr>
          <w:rFonts w:eastAsia="SimSun"/>
          <w:sz w:val="22"/>
          <w:szCs w:val="22"/>
          <w:lang w:eastAsia="zh-CN"/>
        </w:rPr>
      </w:pPr>
    </w:p>
    <w:p w14:paraId="45E8CC44" w14:textId="77777777" w:rsidR="00EF20DC" w:rsidRPr="00EF20DC" w:rsidRDefault="00EF20DC" w:rsidP="001F1094">
      <w:pPr>
        <w:tabs>
          <w:tab w:val="left" w:pos="567"/>
        </w:tabs>
        <w:rPr>
          <w:rFonts w:eastAsia="SimSun"/>
          <w:sz w:val="22"/>
          <w:szCs w:val="22"/>
          <w:lang w:eastAsia="zh-CN"/>
        </w:rPr>
      </w:pPr>
      <w:r w:rsidRPr="00A07BA7">
        <w:rPr>
          <w:rFonts w:eastAsia="SimSun"/>
          <w:sz w:val="22"/>
          <w:highlight w:val="lightGray"/>
        </w:rPr>
        <w:t>Lot</w:t>
      </w:r>
    </w:p>
    <w:p w14:paraId="0EF125CC" w14:textId="77777777" w:rsidR="00EF20DC" w:rsidRPr="00EF20DC" w:rsidRDefault="00EF20DC" w:rsidP="001F1094">
      <w:pPr>
        <w:tabs>
          <w:tab w:val="left" w:pos="567"/>
        </w:tabs>
        <w:rPr>
          <w:rFonts w:eastAsia="SimSun"/>
          <w:sz w:val="22"/>
          <w:szCs w:val="22"/>
          <w:lang w:eastAsia="zh-CN"/>
        </w:rPr>
      </w:pPr>
    </w:p>
    <w:p w14:paraId="5443B576" w14:textId="77777777" w:rsidR="00EF20DC" w:rsidRPr="00EF20DC" w:rsidRDefault="00EF20DC" w:rsidP="001F1094">
      <w:pPr>
        <w:tabs>
          <w:tab w:val="left" w:pos="567"/>
        </w:tabs>
        <w:rPr>
          <w:rFonts w:eastAsia="SimSun"/>
          <w:sz w:val="22"/>
          <w:szCs w:val="22"/>
          <w:lang w:eastAsia="zh-CN"/>
        </w:rPr>
      </w:pPr>
    </w:p>
    <w:p w14:paraId="44954C1B" w14:textId="77777777" w:rsidR="00EF20DC" w:rsidRPr="00EF20DC" w:rsidRDefault="00EF20DC" w:rsidP="001F1094">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 w:val="22"/>
          <w:szCs w:val="22"/>
          <w:lang w:eastAsia="zh-CN"/>
        </w:rPr>
      </w:pPr>
      <w:r w:rsidRPr="00EF20DC">
        <w:rPr>
          <w:rFonts w:eastAsia="SimSun"/>
          <w:b/>
          <w:sz w:val="22"/>
          <w:szCs w:val="22"/>
          <w:lang w:eastAsia="zh-CN"/>
        </w:rPr>
        <w:t>5.</w:t>
      </w:r>
      <w:r w:rsidRPr="00EF20DC">
        <w:rPr>
          <w:rFonts w:eastAsia="SimSun"/>
          <w:b/>
          <w:sz w:val="22"/>
          <w:szCs w:val="22"/>
          <w:lang w:eastAsia="zh-CN"/>
        </w:rPr>
        <w:tab/>
        <w:t>KITA</w:t>
      </w:r>
    </w:p>
    <w:p w14:paraId="2E95724A" w14:textId="77777777" w:rsidR="00EF20DC" w:rsidRDefault="00EF20DC" w:rsidP="001F1094">
      <w:pPr>
        <w:tabs>
          <w:tab w:val="left" w:pos="567"/>
        </w:tabs>
        <w:rPr>
          <w:rFonts w:eastAsia="SimSun"/>
          <w:sz w:val="22"/>
          <w:szCs w:val="22"/>
          <w:lang w:eastAsia="zh-CN"/>
        </w:rPr>
      </w:pPr>
    </w:p>
    <w:p w14:paraId="364E497D" w14:textId="709F9072" w:rsidR="00DE4C51" w:rsidRDefault="001A23BF" w:rsidP="001F1094">
      <w:pPr>
        <w:shd w:val="clear" w:color="auto" w:fill="BFBFBF" w:themeFill="background1" w:themeFillShade="BF"/>
        <w:tabs>
          <w:tab w:val="left" w:pos="567"/>
        </w:tabs>
        <w:rPr>
          <w:rFonts w:eastAsia="SimSun"/>
          <w:sz w:val="22"/>
          <w:szCs w:val="22"/>
          <w:lang w:eastAsia="zh-CN"/>
        </w:rPr>
      </w:pPr>
      <w:r>
        <w:rPr>
          <w:i/>
          <w:sz w:val="22"/>
          <w:szCs w:val="22"/>
          <w:u w:val="single"/>
          <w:lang w:eastAsia="en-GB"/>
        </w:rPr>
        <w:t>2</w:t>
      </w:r>
      <w:r w:rsidR="00913CCC">
        <w:rPr>
          <w:i/>
          <w:sz w:val="22"/>
          <w:szCs w:val="22"/>
          <w:u w:val="single"/>
          <w:lang w:eastAsia="en-GB"/>
        </w:rPr>
        <w:t>8 x 1, 56 x 1,</w:t>
      </w:r>
      <w:r w:rsidR="00515420">
        <w:rPr>
          <w:i/>
          <w:sz w:val="22"/>
          <w:szCs w:val="22"/>
          <w:u w:val="single"/>
          <w:lang w:eastAsia="en-GB"/>
        </w:rPr>
        <w:t xml:space="preserve"> sudėtinės pakuo</w:t>
      </w:r>
      <w:r w:rsidR="00241A90">
        <w:rPr>
          <w:i/>
          <w:sz w:val="22"/>
          <w:szCs w:val="22"/>
          <w:u w:val="single"/>
          <w:lang w:eastAsia="en-GB"/>
        </w:rPr>
        <w:t>t</w:t>
      </w:r>
      <w:r w:rsidR="00515420">
        <w:rPr>
          <w:i/>
          <w:sz w:val="22"/>
          <w:szCs w:val="22"/>
          <w:u w:val="single"/>
          <w:lang w:eastAsia="en-GB"/>
        </w:rPr>
        <w:t>ės po 84</w:t>
      </w:r>
      <w:r w:rsidR="00241A90">
        <w:rPr>
          <w:i/>
          <w:sz w:val="22"/>
          <w:szCs w:val="22"/>
          <w:u w:val="single"/>
          <w:lang w:eastAsia="en-GB"/>
        </w:rPr>
        <w:t> x 1</w:t>
      </w:r>
      <w:r w:rsidR="00515420">
        <w:rPr>
          <w:i/>
          <w:sz w:val="22"/>
          <w:szCs w:val="22"/>
          <w:u w:val="single"/>
          <w:lang w:eastAsia="en-GB"/>
        </w:rPr>
        <w:t xml:space="preserve"> (3 pak</w:t>
      </w:r>
      <w:r w:rsidR="00CC75D1">
        <w:rPr>
          <w:i/>
          <w:sz w:val="22"/>
          <w:szCs w:val="22"/>
          <w:u w:val="single"/>
          <w:lang w:eastAsia="en-GB"/>
        </w:rPr>
        <w:t>uotės</w:t>
      </w:r>
      <w:r w:rsidR="00515420">
        <w:rPr>
          <w:i/>
          <w:sz w:val="22"/>
          <w:szCs w:val="22"/>
          <w:u w:val="single"/>
          <w:lang w:eastAsia="en-GB"/>
        </w:rPr>
        <w:t xml:space="preserve"> </w:t>
      </w:r>
      <w:r w:rsidR="00241A90">
        <w:rPr>
          <w:i/>
          <w:sz w:val="22"/>
          <w:szCs w:val="22"/>
          <w:u w:val="single"/>
          <w:lang w:eastAsia="en-GB"/>
        </w:rPr>
        <w:t xml:space="preserve">po </w:t>
      </w:r>
      <w:r w:rsidR="00967AEF">
        <w:rPr>
          <w:i/>
          <w:sz w:val="22"/>
          <w:szCs w:val="22"/>
          <w:u w:val="single"/>
          <w:lang w:eastAsia="en-GB"/>
        </w:rPr>
        <w:t>28 x 1) sudėtinės pakuotės po 112 x 1 (4 pak</w:t>
      </w:r>
      <w:r w:rsidR="00CC75D1">
        <w:rPr>
          <w:i/>
          <w:sz w:val="22"/>
          <w:szCs w:val="22"/>
          <w:u w:val="single"/>
          <w:lang w:eastAsia="en-GB"/>
        </w:rPr>
        <w:t>uotės</w:t>
      </w:r>
      <w:r w:rsidR="00967AEF">
        <w:rPr>
          <w:i/>
          <w:sz w:val="22"/>
          <w:szCs w:val="22"/>
          <w:u w:val="single"/>
          <w:lang w:eastAsia="en-GB"/>
        </w:rPr>
        <w:t xml:space="preserve"> po 28 x 1) plėvele den</w:t>
      </w:r>
      <w:r w:rsidR="00B96303">
        <w:rPr>
          <w:i/>
          <w:sz w:val="22"/>
          <w:szCs w:val="22"/>
          <w:u w:val="single"/>
          <w:lang w:eastAsia="en-GB"/>
        </w:rPr>
        <w:t xml:space="preserve">gtų tablečių </w:t>
      </w:r>
      <w:r w:rsidR="005B06D3">
        <w:rPr>
          <w:i/>
          <w:sz w:val="22"/>
          <w:szCs w:val="22"/>
          <w:u w:val="single"/>
          <w:lang w:eastAsia="en-GB"/>
        </w:rPr>
        <w:t>pakuočių dydžiam</w:t>
      </w:r>
      <w:r w:rsidR="00800EB1">
        <w:rPr>
          <w:i/>
          <w:sz w:val="22"/>
          <w:szCs w:val="22"/>
          <w:u w:val="single"/>
          <w:lang w:eastAsia="en-GB"/>
        </w:rPr>
        <w:t>s</w:t>
      </w:r>
      <w:r w:rsidR="00DE4C51" w:rsidRPr="003E36BB">
        <w:rPr>
          <w:i/>
          <w:sz w:val="22"/>
          <w:szCs w:val="22"/>
          <w:u w:val="single"/>
          <w:lang w:eastAsia="en-GB"/>
        </w:rPr>
        <w:t>:</w:t>
      </w:r>
    </w:p>
    <w:p w14:paraId="74661A9F" w14:textId="77777777" w:rsidR="00DE4C51" w:rsidRPr="007A7735" w:rsidRDefault="00DE4C51" w:rsidP="001F1094">
      <w:pPr>
        <w:tabs>
          <w:tab w:val="left" w:pos="567"/>
        </w:tabs>
        <w:rPr>
          <w:rFonts w:eastAsia="SimSun"/>
          <w:sz w:val="22"/>
          <w:szCs w:val="22"/>
          <w:highlight w:val="lightGray"/>
        </w:rPr>
      </w:pPr>
      <w:r w:rsidRPr="007A7735">
        <w:rPr>
          <w:rFonts w:eastAsia="SimSun"/>
          <w:sz w:val="22"/>
          <w:szCs w:val="22"/>
          <w:highlight w:val="lightGray"/>
        </w:rPr>
        <w:t>P</w:t>
      </w:r>
    </w:p>
    <w:p w14:paraId="0C183A47" w14:textId="77777777" w:rsidR="00DE4C51" w:rsidRPr="007A7735" w:rsidRDefault="00DE4C51" w:rsidP="001F1094">
      <w:pPr>
        <w:tabs>
          <w:tab w:val="left" w:pos="567"/>
        </w:tabs>
        <w:rPr>
          <w:rFonts w:eastAsia="SimSun"/>
          <w:sz w:val="22"/>
          <w:szCs w:val="22"/>
          <w:highlight w:val="lightGray"/>
        </w:rPr>
      </w:pPr>
      <w:r w:rsidRPr="007A7735">
        <w:rPr>
          <w:rFonts w:eastAsia="SimSun"/>
          <w:sz w:val="22"/>
          <w:szCs w:val="22"/>
          <w:highlight w:val="lightGray"/>
        </w:rPr>
        <w:t>A</w:t>
      </w:r>
    </w:p>
    <w:p w14:paraId="18807AA8" w14:textId="77777777" w:rsidR="00DE4C51" w:rsidRPr="007A7735" w:rsidRDefault="00DE4C51" w:rsidP="001F1094">
      <w:pPr>
        <w:tabs>
          <w:tab w:val="left" w:pos="567"/>
        </w:tabs>
        <w:rPr>
          <w:rFonts w:eastAsia="SimSun"/>
          <w:sz w:val="22"/>
          <w:szCs w:val="22"/>
          <w:highlight w:val="lightGray"/>
        </w:rPr>
      </w:pPr>
      <w:r w:rsidRPr="007A7735">
        <w:rPr>
          <w:rFonts w:eastAsia="SimSun"/>
          <w:sz w:val="22"/>
          <w:szCs w:val="22"/>
          <w:highlight w:val="lightGray"/>
        </w:rPr>
        <w:t>T</w:t>
      </w:r>
    </w:p>
    <w:p w14:paraId="13EE2FBD" w14:textId="77777777" w:rsidR="00DE4C51" w:rsidRPr="007A7735" w:rsidRDefault="00DE4C51" w:rsidP="001F1094">
      <w:pPr>
        <w:tabs>
          <w:tab w:val="left" w:pos="567"/>
        </w:tabs>
        <w:rPr>
          <w:rFonts w:eastAsia="SimSun"/>
          <w:sz w:val="22"/>
          <w:szCs w:val="22"/>
          <w:highlight w:val="lightGray"/>
        </w:rPr>
      </w:pPr>
      <w:r w:rsidRPr="007A7735">
        <w:rPr>
          <w:rFonts w:eastAsia="SimSun"/>
          <w:sz w:val="22"/>
          <w:szCs w:val="22"/>
          <w:highlight w:val="lightGray"/>
        </w:rPr>
        <w:t>K</w:t>
      </w:r>
    </w:p>
    <w:p w14:paraId="33AA1BAF" w14:textId="77777777" w:rsidR="00DE4C51" w:rsidRPr="007A7735" w:rsidRDefault="00DE4C51" w:rsidP="001F1094">
      <w:pPr>
        <w:tabs>
          <w:tab w:val="left" w:pos="567"/>
        </w:tabs>
        <w:rPr>
          <w:rFonts w:eastAsia="SimSun"/>
          <w:sz w:val="22"/>
          <w:szCs w:val="22"/>
          <w:highlight w:val="lightGray"/>
        </w:rPr>
      </w:pPr>
      <w:r w:rsidRPr="007A7735">
        <w:rPr>
          <w:rFonts w:eastAsia="SimSun"/>
          <w:sz w:val="22"/>
          <w:szCs w:val="22"/>
          <w:highlight w:val="lightGray"/>
        </w:rPr>
        <w:t>Pn</w:t>
      </w:r>
    </w:p>
    <w:p w14:paraId="1FF4E0FE" w14:textId="77777777" w:rsidR="00DE4C51" w:rsidRPr="007A7735" w:rsidRDefault="00DE4C51" w:rsidP="001F1094">
      <w:pPr>
        <w:tabs>
          <w:tab w:val="left" w:pos="567"/>
        </w:tabs>
        <w:rPr>
          <w:rFonts w:eastAsia="SimSun"/>
          <w:sz w:val="22"/>
          <w:szCs w:val="22"/>
          <w:highlight w:val="lightGray"/>
        </w:rPr>
      </w:pPr>
      <w:r w:rsidRPr="007A7735">
        <w:rPr>
          <w:rFonts w:eastAsia="SimSun"/>
          <w:sz w:val="22"/>
          <w:szCs w:val="22"/>
          <w:highlight w:val="lightGray"/>
        </w:rPr>
        <w:t>Š</w:t>
      </w:r>
    </w:p>
    <w:p w14:paraId="106830A4" w14:textId="77777777" w:rsidR="00DE4C51" w:rsidRDefault="00DE4C51" w:rsidP="001F1094">
      <w:pPr>
        <w:tabs>
          <w:tab w:val="left" w:pos="567"/>
        </w:tabs>
        <w:rPr>
          <w:rFonts w:eastAsia="SimSun"/>
          <w:sz w:val="22"/>
          <w:szCs w:val="22"/>
        </w:rPr>
      </w:pPr>
      <w:r w:rsidRPr="007A7735">
        <w:rPr>
          <w:rFonts w:eastAsia="SimSun"/>
          <w:sz w:val="22"/>
          <w:szCs w:val="22"/>
          <w:highlight w:val="lightGray"/>
        </w:rPr>
        <w:t>S</w:t>
      </w:r>
    </w:p>
    <w:p w14:paraId="081EB82E" w14:textId="77777777" w:rsidR="00EF20DC" w:rsidRPr="00EF20DC" w:rsidRDefault="00EF20DC" w:rsidP="001F1094">
      <w:pPr>
        <w:rPr>
          <w:rFonts w:eastAsia="SimSun"/>
          <w:sz w:val="22"/>
          <w:szCs w:val="22"/>
          <w:lang w:eastAsia="zh-CN"/>
        </w:rPr>
      </w:pPr>
      <w:r w:rsidRPr="00EF20DC">
        <w:rPr>
          <w:rFonts w:eastAsia="SimSun"/>
          <w:sz w:val="22"/>
          <w:szCs w:val="22"/>
          <w:lang w:eastAsia="zh-CN"/>
        </w:rPr>
        <w:br w:type="page"/>
      </w:r>
    </w:p>
    <w:p w14:paraId="1D8C83D2" w14:textId="77777777" w:rsidR="00EF20DC" w:rsidRPr="00EF20DC" w:rsidRDefault="00EF20DC" w:rsidP="001F1094">
      <w:pPr>
        <w:tabs>
          <w:tab w:val="left" w:pos="567"/>
        </w:tabs>
        <w:rPr>
          <w:rFonts w:eastAsia="SimSun"/>
          <w:sz w:val="22"/>
          <w:szCs w:val="22"/>
          <w:lang w:eastAsia="zh-CN"/>
        </w:rPr>
      </w:pPr>
    </w:p>
    <w:p w14:paraId="32A9D13A" w14:textId="77777777" w:rsidR="00EF20DC" w:rsidRPr="00EF20DC" w:rsidRDefault="00EF20DC" w:rsidP="001F1094">
      <w:pPr>
        <w:tabs>
          <w:tab w:val="left" w:pos="567"/>
        </w:tabs>
        <w:rPr>
          <w:rFonts w:eastAsia="SimSun"/>
          <w:sz w:val="22"/>
          <w:szCs w:val="22"/>
          <w:lang w:eastAsia="zh-CN"/>
        </w:rPr>
      </w:pPr>
    </w:p>
    <w:p w14:paraId="37CC71EA" w14:textId="77777777" w:rsidR="00EF20DC" w:rsidRPr="00EF20DC" w:rsidRDefault="00EF20DC" w:rsidP="001F1094">
      <w:pPr>
        <w:tabs>
          <w:tab w:val="left" w:pos="567"/>
        </w:tabs>
        <w:rPr>
          <w:rFonts w:eastAsia="SimSun"/>
          <w:sz w:val="22"/>
          <w:szCs w:val="22"/>
          <w:lang w:eastAsia="zh-CN"/>
        </w:rPr>
      </w:pPr>
    </w:p>
    <w:p w14:paraId="393B01AA" w14:textId="77777777" w:rsidR="00EF20DC" w:rsidRPr="00EF20DC" w:rsidRDefault="00EF20DC" w:rsidP="001F1094">
      <w:pPr>
        <w:tabs>
          <w:tab w:val="left" w:pos="567"/>
        </w:tabs>
        <w:rPr>
          <w:rFonts w:eastAsia="SimSun"/>
          <w:sz w:val="22"/>
          <w:szCs w:val="22"/>
          <w:lang w:eastAsia="zh-CN"/>
        </w:rPr>
      </w:pPr>
    </w:p>
    <w:p w14:paraId="27BBA090" w14:textId="77777777" w:rsidR="00EF20DC" w:rsidRPr="00EF20DC" w:rsidRDefault="00EF20DC" w:rsidP="001F1094">
      <w:pPr>
        <w:tabs>
          <w:tab w:val="left" w:pos="567"/>
        </w:tabs>
        <w:rPr>
          <w:rFonts w:eastAsia="SimSun"/>
          <w:sz w:val="22"/>
          <w:szCs w:val="22"/>
          <w:lang w:eastAsia="zh-CN"/>
        </w:rPr>
      </w:pPr>
    </w:p>
    <w:p w14:paraId="640B8AED" w14:textId="77777777" w:rsidR="00EF20DC" w:rsidRPr="00EF20DC" w:rsidRDefault="00EF20DC" w:rsidP="001F1094">
      <w:pPr>
        <w:tabs>
          <w:tab w:val="left" w:pos="567"/>
        </w:tabs>
        <w:rPr>
          <w:rFonts w:eastAsia="SimSun"/>
          <w:sz w:val="22"/>
          <w:szCs w:val="22"/>
          <w:lang w:eastAsia="zh-CN"/>
        </w:rPr>
      </w:pPr>
    </w:p>
    <w:p w14:paraId="29DDA567" w14:textId="77777777" w:rsidR="00EF20DC" w:rsidRPr="00EF20DC" w:rsidRDefault="00EF20DC" w:rsidP="001F1094">
      <w:pPr>
        <w:tabs>
          <w:tab w:val="left" w:pos="567"/>
        </w:tabs>
        <w:rPr>
          <w:rFonts w:eastAsia="SimSun"/>
          <w:sz w:val="22"/>
          <w:szCs w:val="22"/>
          <w:lang w:eastAsia="zh-CN"/>
        </w:rPr>
      </w:pPr>
    </w:p>
    <w:p w14:paraId="371F2B33" w14:textId="77777777" w:rsidR="00EF20DC" w:rsidRPr="00EF20DC" w:rsidRDefault="00EF20DC" w:rsidP="001F1094">
      <w:pPr>
        <w:tabs>
          <w:tab w:val="left" w:pos="567"/>
        </w:tabs>
        <w:rPr>
          <w:rFonts w:eastAsia="SimSun"/>
          <w:sz w:val="22"/>
          <w:szCs w:val="22"/>
          <w:lang w:eastAsia="zh-CN"/>
        </w:rPr>
      </w:pPr>
    </w:p>
    <w:p w14:paraId="41C901A5" w14:textId="77777777" w:rsidR="00EF20DC" w:rsidRPr="00EF20DC" w:rsidRDefault="00EF20DC" w:rsidP="001F1094">
      <w:pPr>
        <w:tabs>
          <w:tab w:val="left" w:pos="567"/>
        </w:tabs>
        <w:rPr>
          <w:rFonts w:eastAsia="SimSun"/>
          <w:sz w:val="22"/>
          <w:szCs w:val="22"/>
          <w:lang w:eastAsia="zh-CN"/>
        </w:rPr>
      </w:pPr>
    </w:p>
    <w:p w14:paraId="5750E0AB" w14:textId="77777777" w:rsidR="00EF20DC" w:rsidRPr="00EF20DC" w:rsidRDefault="00EF20DC" w:rsidP="001F1094">
      <w:pPr>
        <w:tabs>
          <w:tab w:val="left" w:pos="567"/>
        </w:tabs>
        <w:rPr>
          <w:rFonts w:eastAsia="SimSun"/>
          <w:sz w:val="22"/>
          <w:szCs w:val="22"/>
          <w:lang w:eastAsia="zh-CN"/>
        </w:rPr>
      </w:pPr>
    </w:p>
    <w:p w14:paraId="54C7F622" w14:textId="77777777" w:rsidR="00EF20DC" w:rsidRPr="00EF20DC" w:rsidRDefault="00EF20DC" w:rsidP="001F1094">
      <w:pPr>
        <w:tabs>
          <w:tab w:val="left" w:pos="567"/>
        </w:tabs>
        <w:rPr>
          <w:rFonts w:eastAsia="SimSun"/>
          <w:sz w:val="22"/>
          <w:szCs w:val="22"/>
          <w:lang w:eastAsia="zh-CN"/>
        </w:rPr>
      </w:pPr>
    </w:p>
    <w:p w14:paraId="163A536A" w14:textId="77777777" w:rsidR="00EF20DC" w:rsidRPr="00EF20DC" w:rsidRDefault="00EF20DC" w:rsidP="001F1094">
      <w:pPr>
        <w:tabs>
          <w:tab w:val="left" w:pos="567"/>
        </w:tabs>
        <w:rPr>
          <w:rFonts w:eastAsia="SimSun"/>
          <w:sz w:val="22"/>
          <w:szCs w:val="22"/>
          <w:lang w:eastAsia="zh-CN"/>
        </w:rPr>
      </w:pPr>
    </w:p>
    <w:p w14:paraId="569ED3E9" w14:textId="77777777" w:rsidR="00EF20DC" w:rsidRPr="00EF20DC" w:rsidRDefault="00EF20DC" w:rsidP="001F1094">
      <w:pPr>
        <w:tabs>
          <w:tab w:val="left" w:pos="567"/>
        </w:tabs>
        <w:rPr>
          <w:rFonts w:eastAsia="SimSun"/>
          <w:sz w:val="22"/>
          <w:szCs w:val="22"/>
          <w:lang w:eastAsia="zh-CN"/>
        </w:rPr>
      </w:pPr>
    </w:p>
    <w:p w14:paraId="263479A6" w14:textId="77777777" w:rsidR="00EF20DC" w:rsidRPr="00EF20DC" w:rsidRDefault="00EF20DC" w:rsidP="001F1094">
      <w:pPr>
        <w:tabs>
          <w:tab w:val="left" w:pos="567"/>
        </w:tabs>
        <w:rPr>
          <w:rFonts w:eastAsia="SimSun"/>
          <w:sz w:val="22"/>
          <w:szCs w:val="22"/>
          <w:lang w:eastAsia="zh-CN"/>
        </w:rPr>
      </w:pPr>
    </w:p>
    <w:p w14:paraId="462B8D47" w14:textId="77777777" w:rsidR="00EF20DC" w:rsidRPr="00EF20DC" w:rsidRDefault="00EF20DC" w:rsidP="001F1094">
      <w:pPr>
        <w:tabs>
          <w:tab w:val="left" w:pos="567"/>
        </w:tabs>
        <w:rPr>
          <w:rFonts w:eastAsia="SimSun"/>
          <w:sz w:val="22"/>
          <w:szCs w:val="22"/>
          <w:lang w:eastAsia="zh-CN"/>
        </w:rPr>
      </w:pPr>
    </w:p>
    <w:p w14:paraId="0FD7AA92" w14:textId="77777777" w:rsidR="00EF20DC" w:rsidRPr="00EF20DC" w:rsidRDefault="00EF20DC" w:rsidP="001F1094">
      <w:pPr>
        <w:tabs>
          <w:tab w:val="left" w:pos="567"/>
        </w:tabs>
        <w:rPr>
          <w:rFonts w:eastAsia="SimSun"/>
          <w:sz w:val="22"/>
          <w:szCs w:val="22"/>
          <w:lang w:eastAsia="zh-CN"/>
        </w:rPr>
      </w:pPr>
    </w:p>
    <w:p w14:paraId="5FB76B58" w14:textId="77777777" w:rsidR="00EF20DC" w:rsidRPr="00EF20DC" w:rsidRDefault="00EF20DC" w:rsidP="001F1094">
      <w:pPr>
        <w:tabs>
          <w:tab w:val="left" w:pos="567"/>
        </w:tabs>
        <w:rPr>
          <w:rFonts w:eastAsia="SimSun"/>
          <w:sz w:val="22"/>
          <w:szCs w:val="22"/>
          <w:lang w:eastAsia="zh-CN"/>
        </w:rPr>
      </w:pPr>
    </w:p>
    <w:p w14:paraId="1A9DF3AD" w14:textId="77777777" w:rsidR="00EF20DC" w:rsidRPr="00EF20DC" w:rsidRDefault="00EF20DC" w:rsidP="001F1094">
      <w:pPr>
        <w:tabs>
          <w:tab w:val="left" w:pos="567"/>
        </w:tabs>
        <w:rPr>
          <w:rFonts w:eastAsia="SimSun"/>
          <w:sz w:val="22"/>
          <w:szCs w:val="22"/>
          <w:lang w:eastAsia="zh-CN"/>
        </w:rPr>
      </w:pPr>
    </w:p>
    <w:p w14:paraId="3899EC1F" w14:textId="77777777" w:rsidR="00EF20DC" w:rsidRPr="00EF20DC" w:rsidRDefault="00EF20DC" w:rsidP="001F1094">
      <w:pPr>
        <w:tabs>
          <w:tab w:val="left" w:pos="567"/>
        </w:tabs>
        <w:rPr>
          <w:rFonts w:eastAsia="SimSun"/>
          <w:sz w:val="22"/>
          <w:szCs w:val="22"/>
          <w:lang w:eastAsia="zh-CN"/>
        </w:rPr>
      </w:pPr>
    </w:p>
    <w:p w14:paraId="0404248D" w14:textId="77777777" w:rsidR="00EF20DC" w:rsidRPr="00EF20DC" w:rsidRDefault="00EF20DC" w:rsidP="001F1094">
      <w:pPr>
        <w:tabs>
          <w:tab w:val="left" w:pos="567"/>
        </w:tabs>
        <w:rPr>
          <w:rFonts w:eastAsia="SimSun"/>
          <w:sz w:val="22"/>
          <w:szCs w:val="22"/>
          <w:lang w:eastAsia="zh-CN"/>
        </w:rPr>
      </w:pPr>
    </w:p>
    <w:p w14:paraId="2DFAED0C" w14:textId="77777777" w:rsidR="00EF20DC" w:rsidRPr="00EF20DC" w:rsidRDefault="00EF20DC" w:rsidP="001F1094">
      <w:pPr>
        <w:tabs>
          <w:tab w:val="left" w:pos="567"/>
        </w:tabs>
        <w:rPr>
          <w:rFonts w:eastAsia="SimSun"/>
          <w:sz w:val="22"/>
          <w:szCs w:val="22"/>
          <w:lang w:eastAsia="zh-CN"/>
        </w:rPr>
      </w:pPr>
    </w:p>
    <w:p w14:paraId="0E64A534" w14:textId="77777777" w:rsidR="00EF20DC" w:rsidRPr="00EF20DC" w:rsidRDefault="00EF20DC" w:rsidP="001F1094">
      <w:pPr>
        <w:tabs>
          <w:tab w:val="left" w:pos="567"/>
        </w:tabs>
        <w:rPr>
          <w:rFonts w:eastAsia="SimSun"/>
          <w:sz w:val="22"/>
          <w:szCs w:val="22"/>
          <w:lang w:eastAsia="zh-CN"/>
        </w:rPr>
      </w:pPr>
    </w:p>
    <w:p w14:paraId="46226613" w14:textId="77777777" w:rsidR="00EF20DC" w:rsidRPr="00EF20DC" w:rsidRDefault="00EF20DC" w:rsidP="001F1094">
      <w:pPr>
        <w:tabs>
          <w:tab w:val="left" w:pos="567"/>
        </w:tabs>
        <w:rPr>
          <w:rFonts w:eastAsia="SimSun"/>
          <w:sz w:val="22"/>
          <w:szCs w:val="22"/>
          <w:lang w:eastAsia="zh-CN"/>
        </w:rPr>
      </w:pPr>
    </w:p>
    <w:p w14:paraId="30B2CADC" w14:textId="77777777" w:rsidR="00EF20DC" w:rsidRPr="00EF20DC" w:rsidRDefault="00EF20DC" w:rsidP="001F1094">
      <w:pPr>
        <w:keepNext/>
        <w:tabs>
          <w:tab w:val="left" w:pos="567"/>
        </w:tabs>
        <w:jc w:val="center"/>
        <w:outlineLvl w:val="1"/>
        <w:rPr>
          <w:rFonts w:eastAsia="SimSun"/>
          <w:b/>
          <w:iCs/>
          <w:sz w:val="22"/>
          <w:szCs w:val="22"/>
        </w:rPr>
      </w:pPr>
      <w:r w:rsidRPr="00EF20DC">
        <w:rPr>
          <w:rFonts w:eastAsia="SimSun"/>
          <w:b/>
          <w:iCs/>
          <w:sz w:val="22"/>
          <w:szCs w:val="22"/>
        </w:rPr>
        <w:t>B. PAKUOTĖS LAPELIS</w:t>
      </w:r>
    </w:p>
    <w:p w14:paraId="561D193C" w14:textId="77777777" w:rsidR="00EF20DC" w:rsidRPr="00EF20DC" w:rsidRDefault="00EF20DC" w:rsidP="001F1094">
      <w:pPr>
        <w:keepNext/>
        <w:tabs>
          <w:tab w:val="left" w:pos="567"/>
        </w:tabs>
        <w:jc w:val="center"/>
        <w:outlineLvl w:val="1"/>
        <w:rPr>
          <w:rFonts w:eastAsia="SimSun"/>
          <w:b/>
          <w:iCs/>
          <w:sz w:val="22"/>
          <w:szCs w:val="22"/>
        </w:rPr>
      </w:pPr>
      <w:r w:rsidRPr="00EF20DC">
        <w:rPr>
          <w:rFonts w:eastAsia="SimSun"/>
          <w:i/>
          <w:sz w:val="22"/>
          <w:szCs w:val="22"/>
        </w:rPr>
        <w:br w:type="page"/>
      </w:r>
      <w:r w:rsidRPr="00EF20DC">
        <w:rPr>
          <w:rFonts w:eastAsia="SimSun"/>
          <w:b/>
          <w:iCs/>
          <w:sz w:val="22"/>
          <w:szCs w:val="22"/>
        </w:rPr>
        <w:lastRenderedPageBreak/>
        <w:t xml:space="preserve">Pakuotės lapelis: informacija </w:t>
      </w:r>
      <w:r w:rsidR="00DE4C51">
        <w:rPr>
          <w:rFonts w:eastAsia="SimSun"/>
          <w:b/>
          <w:iCs/>
          <w:sz w:val="22"/>
          <w:szCs w:val="22"/>
        </w:rPr>
        <w:t>pacientui</w:t>
      </w:r>
    </w:p>
    <w:p w14:paraId="355DFF4B" w14:textId="77777777" w:rsidR="00EF20DC" w:rsidRPr="00EF20DC" w:rsidRDefault="00EF20DC" w:rsidP="001F1094">
      <w:pPr>
        <w:jc w:val="center"/>
        <w:rPr>
          <w:rFonts w:eastAsia="Calibri"/>
          <w:bCs/>
          <w:sz w:val="22"/>
          <w:szCs w:val="22"/>
          <w:shd w:val="clear" w:color="auto" w:fill="FFFFFF"/>
        </w:rPr>
      </w:pPr>
    </w:p>
    <w:p w14:paraId="7217BAAF" w14:textId="497BEE83" w:rsidR="00EF20DC" w:rsidRPr="00EF20DC" w:rsidRDefault="00EF20DC" w:rsidP="001F1094">
      <w:pPr>
        <w:jc w:val="center"/>
        <w:rPr>
          <w:rFonts w:eastAsia="Calibri"/>
          <w:b/>
          <w:sz w:val="22"/>
          <w:szCs w:val="22"/>
        </w:rPr>
      </w:pPr>
      <w:r w:rsidRPr="00EF20DC">
        <w:rPr>
          <w:rFonts w:eastAsia="Calibri"/>
          <w:b/>
          <w:bCs/>
          <w:sz w:val="22"/>
          <w:szCs w:val="22"/>
          <w:shd w:val="clear" w:color="auto" w:fill="FFFFFF"/>
        </w:rPr>
        <w:t xml:space="preserve">Sorafenib </w:t>
      </w:r>
      <w:r w:rsidR="00D71A25">
        <w:rPr>
          <w:rFonts w:eastAsia="Calibri"/>
          <w:b/>
          <w:bCs/>
          <w:sz w:val="22"/>
          <w:szCs w:val="22"/>
          <w:shd w:val="clear" w:color="auto" w:fill="FFFFFF"/>
        </w:rPr>
        <w:t>Sandoz</w:t>
      </w:r>
      <w:r w:rsidRPr="00EF20DC">
        <w:rPr>
          <w:rFonts w:eastAsia="Calibri"/>
          <w:b/>
          <w:bCs/>
          <w:sz w:val="22"/>
          <w:szCs w:val="22"/>
          <w:shd w:val="clear" w:color="auto" w:fill="FFFFFF"/>
        </w:rPr>
        <w:t xml:space="preserve"> </w:t>
      </w:r>
      <w:r w:rsidR="0091657E">
        <w:rPr>
          <w:rFonts w:eastAsia="Calibri"/>
          <w:b/>
          <w:sz w:val="22"/>
          <w:szCs w:val="22"/>
        </w:rPr>
        <w:t>4</w:t>
      </w:r>
      <w:r w:rsidRPr="00EF20DC">
        <w:rPr>
          <w:rFonts w:eastAsia="Calibri"/>
          <w:b/>
          <w:sz w:val="22"/>
          <w:szCs w:val="22"/>
        </w:rPr>
        <w:t>00 mg plėvele dengtos tabletės</w:t>
      </w:r>
    </w:p>
    <w:p w14:paraId="1361AEA2" w14:textId="77777777" w:rsidR="00EF20DC" w:rsidRPr="00EF20DC" w:rsidRDefault="00D11A28" w:rsidP="001F1094">
      <w:pPr>
        <w:numPr>
          <w:ilvl w:val="12"/>
          <w:numId w:val="0"/>
        </w:numPr>
        <w:tabs>
          <w:tab w:val="left" w:pos="567"/>
        </w:tabs>
        <w:jc w:val="center"/>
        <w:rPr>
          <w:rFonts w:eastAsia="SimSun"/>
          <w:sz w:val="22"/>
          <w:szCs w:val="22"/>
          <w:lang w:eastAsia="zh-CN"/>
        </w:rPr>
      </w:pPr>
      <w:r>
        <w:rPr>
          <w:rFonts w:eastAsia="SimSun"/>
          <w:sz w:val="22"/>
          <w:szCs w:val="22"/>
          <w:lang w:eastAsia="zh-CN"/>
        </w:rPr>
        <w:t>s</w:t>
      </w:r>
      <w:r w:rsidR="00EF20DC" w:rsidRPr="00EF20DC">
        <w:rPr>
          <w:rFonts w:eastAsia="SimSun"/>
          <w:sz w:val="22"/>
          <w:szCs w:val="22"/>
          <w:lang w:eastAsia="zh-CN"/>
        </w:rPr>
        <w:t>orafenibas</w:t>
      </w:r>
    </w:p>
    <w:p w14:paraId="2575356D" w14:textId="77777777" w:rsidR="00EF20DC" w:rsidRPr="00EF20DC" w:rsidRDefault="00EF20DC" w:rsidP="001F1094">
      <w:pPr>
        <w:tabs>
          <w:tab w:val="left" w:pos="567"/>
        </w:tabs>
        <w:rPr>
          <w:rFonts w:eastAsia="SimSun"/>
          <w:sz w:val="22"/>
          <w:szCs w:val="22"/>
          <w:lang w:eastAsia="zh-CN"/>
        </w:rPr>
      </w:pPr>
    </w:p>
    <w:p w14:paraId="1C8F4F65" w14:textId="77777777" w:rsidR="00EF20DC" w:rsidRPr="00EF20DC" w:rsidRDefault="00EF20DC" w:rsidP="001F1094">
      <w:pPr>
        <w:tabs>
          <w:tab w:val="left" w:pos="567"/>
        </w:tabs>
        <w:suppressAutoHyphens/>
        <w:rPr>
          <w:rFonts w:eastAsia="SimSun"/>
          <w:sz w:val="22"/>
          <w:szCs w:val="22"/>
          <w:lang w:eastAsia="zh-CN"/>
        </w:rPr>
      </w:pPr>
      <w:r w:rsidRPr="00EF20DC">
        <w:rPr>
          <w:rFonts w:eastAsia="SimSun"/>
          <w:b/>
          <w:sz w:val="22"/>
          <w:szCs w:val="22"/>
          <w:lang w:eastAsia="zh-CN"/>
        </w:rPr>
        <w:t>Atidžiai perskaitykite visą šį lapelį, prieš pradėdami vartoti vaistą, nes jame pateikiama Jums svarbi informacija.</w:t>
      </w:r>
    </w:p>
    <w:p w14:paraId="40E5A364" w14:textId="77777777" w:rsidR="00EF20DC" w:rsidRPr="00EF20DC" w:rsidRDefault="00EF20DC" w:rsidP="001F1094">
      <w:pPr>
        <w:numPr>
          <w:ilvl w:val="0"/>
          <w:numId w:val="16"/>
        </w:numPr>
        <w:tabs>
          <w:tab w:val="left" w:pos="567"/>
        </w:tabs>
        <w:ind w:left="567" w:hanging="567"/>
        <w:rPr>
          <w:rFonts w:eastAsia="SimSun"/>
          <w:sz w:val="22"/>
          <w:szCs w:val="22"/>
          <w:lang w:eastAsia="zh-CN"/>
        </w:rPr>
      </w:pPr>
      <w:r w:rsidRPr="00EF20DC">
        <w:rPr>
          <w:rFonts w:eastAsia="SimSun"/>
          <w:sz w:val="22"/>
          <w:szCs w:val="22"/>
          <w:lang w:eastAsia="zh-CN"/>
        </w:rPr>
        <w:t xml:space="preserve">Neišmeskite šio lapelio, nes vėl gali prireikti jį perskaityti. </w:t>
      </w:r>
    </w:p>
    <w:p w14:paraId="44BA1B07" w14:textId="77777777" w:rsidR="00EF20DC" w:rsidRPr="00EF20DC" w:rsidRDefault="00EF20DC" w:rsidP="001F1094">
      <w:pPr>
        <w:numPr>
          <w:ilvl w:val="0"/>
          <w:numId w:val="16"/>
        </w:numPr>
        <w:tabs>
          <w:tab w:val="left" w:pos="567"/>
        </w:tabs>
        <w:ind w:left="567" w:hanging="567"/>
        <w:rPr>
          <w:rFonts w:eastAsia="SimSun"/>
          <w:sz w:val="22"/>
          <w:szCs w:val="22"/>
          <w:lang w:eastAsia="zh-CN"/>
        </w:rPr>
      </w:pPr>
      <w:r w:rsidRPr="00EF20DC">
        <w:rPr>
          <w:rFonts w:eastAsia="SimSun"/>
          <w:sz w:val="22"/>
          <w:szCs w:val="22"/>
          <w:lang w:eastAsia="zh-CN"/>
        </w:rPr>
        <w:t>Jeigu kiltų daugiau klausimų, kreipkitės į gydytoją arba vaistininką.</w:t>
      </w:r>
    </w:p>
    <w:p w14:paraId="32ABC45E" w14:textId="77777777" w:rsidR="00EF20DC" w:rsidRPr="00EF20DC" w:rsidRDefault="00EF20DC" w:rsidP="001F1094">
      <w:pPr>
        <w:numPr>
          <w:ilvl w:val="1"/>
          <w:numId w:val="17"/>
        </w:numPr>
        <w:tabs>
          <w:tab w:val="left" w:pos="567"/>
        </w:tabs>
        <w:ind w:left="567" w:hanging="567"/>
        <w:rPr>
          <w:rFonts w:eastAsia="SimSun"/>
          <w:sz w:val="22"/>
          <w:szCs w:val="22"/>
          <w:lang w:eastAsia="zh-CN"/>
        </w:rPr>
      </w:pPr>
      <w:r w:rsidRPr="00EF20DC">
        <w:rPr>
          <w:rFonts w:eastAsia="SimSun"/>
          <w:sz w:val="22"/>
          <w:szCs w:val="22"/>
          <w:lang w:eastAsia="zh-CN"/>
        </w:rPr>
        <w:t>Šis vaistas skirtas tik Jums, todėl kitiems žmonėms jo duoti negalima. Vaistas gali jiems pakenkti (net tiems, kurių ligos požymiai yra tokie patys kaip Jūsų).</w:t>
      </w:r>
      <w:r w:rsidRPr="00EF20DC">
        <w:rPr>
          <w:rFonts w:eastAsia="Calibri"/>
          <w:sz w:val="22"/>
          <w:szCs w:val="22"/>
        </w:rPr>
        <w:t xml:space="preserve"> </w:t>
      </w:r>
    </w:p>
    <w:p w14:paraId="0299286A" w14:textId="77777777" w:rsidR="00EF20DC" w:rsidRPr="00EF20DC" w:rsidRDefault="00EF20DC" w:rsidP="001F1094">
      <w:pPr>
        <w:numPr>
          <w:ilvl w:val="1"/>
          <w:numId w:val="17"/>
        </w:numPr>
        <w:tabs>
          <w:tab w:val="left" w:pos="567"/>
        </w:tabs>
        <w:ind w:left="567" w:hanging="567"/>
        <w:rPr>
          <w:rFonts w:eastAsia="SimSun"/>
          <w:sz w:val="22"/>
          <w:szCs w:val="22"/>
          <w:lang w:eastAsia="zh-CN"/>
        </w:rPr>
      </w:pPr>
      <w:r w:rsidRPr="00EF20DC">
        <w:rPr>
          <w:rFonts w:eastAsia="SimSun"/>
          <w:sz w:val="22"/>
          <w:szCs w:val="22"/>
          <w:lang w:eastAsia="zh-CN"/>
        </w:rPr>
        <w:t>Jeigu pasireiškė šalutinis poveikis (net jeigu jis šiame lapelyje nenurodytas), kreipkitės į gydytoją arba vaistininką. Žr. 4 skyrių.</w:t>
      </w:r>
    </w:p>
    <w:p w14:paraId="48B00AF4" w14:textId="77777777" w:rsidR="00EF20DC" w:rsidRPr="00EF20DC" w:rsidRDefault="00EF20DC" w:rsidP="001F1094">
      <w:pPr>
        <w:tabs>
          <w:tab w:val="left" w:pos="567"/>
        </w:tabs>
        <w:rPr>
          <w:rFonts w:eastAsia="SimSun"/>
          <w:sz w:val="22"/>
          <w:szCs w:val="22"/>
          <w:lang w:eastAsia="zh-CN"/>
        </w:rPr>
      </w:pPr>
    </w:p>
    <w:p w14:paraId="24A0FF12" w14:textId="77777777" w:rsidR="00EF20DC" w:rsidRPr="00EF20DC" w:rsidRDefault="00EF20DC" w:rsidP="001F1094">
      <w:pPr>
        <w:rPr>
          <w:rFonts w:eastAsia="SimSun"/>
          <w:b/>
          <w:sz w:val="22"/>
          <w:szCs w:val="20"/>
        </w:rPr>
      </w:pPr>
      <w:r w:rsidRPr="00EF20DC">
        <w:rPr>
          <w:rFonts w:eastAsia="SimSun"/>
          <w:b/>
          <w:sz w:val="22"/>
          <w:szCs w:val="20"/>
        </w:rPr>
        <w:t>Apie ką rašoma šiame lapelyje?</w:t>
      </w:r>
    </w:p>
    <w:p w14:paraId="4F662A82" w14:textId="77777777" w:rsidR="00EF20DC" w:rsidRPr="00EF20DC" w:rsidRDefault="00EF20DC" w:rsidP="001F1094">
      <w:pPr>
        <w:tabs>
          <w:tab w:val="left" w:pos="567"/>
        </w:tabs>
        <w:spacing w:line="260" w:lineRule="exact"/>
        <w:rPr>
          <w:rFonts w:eastAsia="SimSun"/>
          <w:sz w:val="22"/>
          <w:szCs w:val="22"/>
        </w:rPr>
      </w:pPr>
    </w:p>
    <w:p w14:paraId="1D799652" w14:textId="3279EE6F" w:rsidR="00EF20DC" w:rsidRPr="00EF20DC" w:rsidRDefault="00EF20DC" w:rsidP="001F1094">
      <w:pPr>
        <w:numPr>
          <w:ilvl w:val="12"/>
          <w:numId w:val="0"/>
        </w:numPr>
        <w:tabs>
          <w:tab w:val="left" w:pos="567"/>
        </w:tabs>
        <w:rPr>
          <w:rFonts w:eastAsia="SimSun"/>
          <w:sz w:val="22"/>
          <w:szCs w:val="22"/>
          <w:lang w:eastAsia="zh-CN"/>
        </w:rPr>
      </w:pPr>
      <w:r w:rsidRPr="00EF20DC">
        <w:rPr>
          <w:rFonts w:eastAsia="SimSun"/>
          <w:sz w:val="22"/>
          <w:szCs w:val="22"/>
          <w:lang w:eastAsia="zh-CN"/>
        </w:rPr>
        <w:t>1.</w:t>
      </w:r>
      <w:r w:rsidRPr="00EF20DC">
        <w:rPr>
          <w:rFonts w:eastAsia="SimSun"/>
          <w:sz w:val="22"/>
          <w:szCs w:val="22"/>
          <w:lang w:eastAsia="zh-CN"/>
        </w:rPr>
        <w:tab/>
        <w:t xml:space="preserve">Kas yra Sorafenib </w:t>
      </w:r>
      <w:r w:rsidR="00D71A25">
        <w:rPr>
          <w:rFonts w:eastAsia="SimSun"/>
          <w:sz w:val="22"/>
          <w:szCs w:val="22"/>
          <w:lang w:eastAsia="zh-CN"/>
        </w:rPr>
        <w:t>Sandoz</w:t>
      </w:r>
      <w:r w:rsidRPr="00EF20DC">
        <w:rPr>
          <w:rFonts w:eastAsia="SimSun"/>
          <w:sz w:val="22"/>
          <w:szCs w:val="22"/>
          <w:lang w:eastAsia="zh-CN"/>
        </w:rPr>
        <w:t xml:space="preserve"> ir kam jis vartojamas </w:t>
      </w:r>
    </w:p>
    <w:p w14:paraId="5C887A24" w14:textId="0ABCDFCF" w:rsidR="00EF20DC" w:rsidRPr="00EF20DC" w:rsidRDefault="00EF20DC" w:rsidP="001F1094">
      <w:pPr>
        <w:numPr>
          <w:ilvl w:val="12"/>
          <w:numId w:val="0"/>
        </w:numPr>
        <w:tabs>
          <w:tab w:val="left" w:pos="567"/>
        </w:tabs>
        <w:rPr>
          <w:rFonts w:eastAsia="SimSun"/>
          <w:sz w:val="22"/>
          <w:szCs w:val="22"/>
          <w:lang w:eastAsia="zh-CN"/>
        </w:rPr>
      </w:pPr>
      <w:r w:rsidRPr="00EF20DC">
        <w:rPr>
          <w:rFonts w:eastAsia="SimSun"/>
          <w:sz w:val="22"/>
          <w:szCs w:val="22"/>
          <w:lang w:eastAsia="zh-CN"/>
        </w:rPr>
        <w:t>2.</w:t>
      </w:r>
      <w:r w:rsidRPr="00EF20DC">
        <w:rPr>
          <w:rFonts w:eastAsia="SimSun"/>
          <w:sz w:val="22"/>
          <w:szCs w:val="22"/>
          <w:lang w:eastAsia="zh-CN"/>
        </w:rPr>
        <w:tab/>
        <w:t xml:space="preserve">Kas žinotina prieš vartojant Sorafenib </w:t>
      </w:r>
      <w:r w:rsidR="00D71A25">
        <w:rPr>
          <w:rFonts w:eastAsia="SimSun"/>
          <w:sz w:val="22"/>
          <w:szCs w:val="22"/>
          <w:lang w:eastAsia="zh-CN"/>
        </w:rPr>
        <w:t>Sandoz</w:t>
      </w:r>
      <w:r w:rsidRPr="00EF20DC">
        <w:rPr>
          <w:rFonts w:eastAsia="SimSun"/>
          <w:sz w:val="22"/>
          <w:szCs w:val="22"/>
          <w:lang w:eastAsia="zh-CN"/>
        </w:rPr>
        <w:t xml:space="preserve"> </w:t>
      </w:r>
    </w:p>
    <w:p w14:paraId="7AC29350" w14:textId="0AE2C69E" w:rsidR="00EF20DC" w:rsidRPr="00EF20DC" w:rsidRDefault="00EF20DC" w:rsidP="001F1094">
      <w:pPr>
        <w:numPr>
          <w:ilvl w:val="12"/>
          <w:numId w:val="0"/>
        </w:numPr>
        <w:tabs>
          <w:tab w:val="left" w:pos="567"/>
        </w:tabs>
        <w:rPr>
          <w:rFonts w:eastAsia="SimSun"/>
          <w:sz w:val="22"/>
          <w:szCs w:val="22"/>
          <w:lang w:eastAsia="zh-CN"/>
        </w:rPr>
      </w:pPr>
      <w:r w:rsidRPr="00EF20DC">
        <w:rPr>
          <w:rFonts w:eastAsia="SimSun"/>
          <w:sz w:val="22"/>
          <w:szCs w:val="22"/>
          <w:lang w:eastAsia="zh-CN"/>
        </w:rPr>
        <w:t>3.</w:t>
      </w:r>
      <w:r w:rsidRPr="00EF20DC">
        <w:rPr>
          <w:rFonts w:eastAsia="SimSun"/>
          <w:sz w:val="22"/>
          <w:szCs w:val="22"/>
          <w:lang w:eastAsia="zh-CN"/>
        </w:rPr>
        <w:tab/>
        <w:t xml:space="preserve">Kaip vartoti Sorafenib </w:t>
      </w:r>
      <w:r w:rsidR="00D71A25">
        <w:rPr>
          <w:rFonts w:eastAsia="SimSun"/>
          <w:sz w:val="22"/>
          <w:szCs w:val="22"/>
          <w:lang w:eastAsia="zh-CN"/>
        </w:rPr>
        <w:t>Sandoz</w:t>
      </w:r>
      <w:r w:rsidRPr="00EF20DC">
        <w:rPr>
          <w:rFonts w:eastAsia="SimSun"/>
          <w:sz w:val="22"/>
          <w:szCs w:val="22"/>
          <w:lang w:eastAsia="zh-CN"/>
        </w:rPr>
        <w:t xml:space="preserve"> </w:t>
      </w:r>
    </w:p>
    <w:p w14:paraId="159A54E8" w14:textId="77777777" w:rsidR="00EF20DC" w:rsidRPr="00EF20DC" w:rsidRDefault="00EF20DC" w:rsidP="001F1094">
      <w:pPr>
        <w:numPr>
          <w:ilvl w:val="12"/>
          <w:numId w:val="0"/>
        </w:numPr>
        <w:tabs>
          <w:tab w:val="left" w:pos="567"/>
        </w:tabs>
        <w:rPr>
          <w:rFonts w:eastAsia="SimSun"/>
          <w:sz w:val="22"/>
          <w:szCs w:val="22"/>
          <w:lang w:eastAsia="zh-CN"/>
        </w:rPr>
      </w:pPr>
      <w:r w:rsidRPr="00EF20DC">
        <w:rPr>
          <w:rFonts w:eastAsia="SimSun"/>
          <w:sz w:val="22"/>
          <w:szCs w:val="22"/>
          <w:lang w:eastAsia="zh-CN"/>
        </w:rPr>
        <w:t>4.</w:t>
      </w:r>
      <w:r w:rsidRPr="00EF20DC">
        <w:rPr>
          <w:rFonts w:eastAsia="SimSun"/>
          <w:sz w:val="22"/>
          <w:szCs w:val="22"/>
          <w:lang w:eastAsia="zh-CN"/>
        </w:rPr>
        <w:tab/>
        <w:t xml:space="preserve">Galimas šalutinis poveikis </w:t>
      </w:r>
    </w:p>
    <w:p w14:paraId="5CB81109" w14:textId="38EA5AA4" w:rsidR="00EF20DC" w:rsidRPr="00EF20DC" w:rsidRDefault="00EF20DC" w:rsidP="001F1094">
      <w:pPr>
        <w:numPr>
          <w:ilvl w:val="12"/>
          <w:numId w:val="0"/>
        </w:numPr>
        <w:tabs>
          <w:tab w:val="left" w:pos="567"/>
        </w:tabs>
        <w:rPr>
          <w:rFonts w:eastAsia="SimSun"/>
          <w:sz w:val="22"/>
          <w:szCs w:val="22"/>
          <w:lang w:eastAsia="zh-CN"/>
        </w:rPr>
      </w:pPr>
      <w:r w:rsidRPr="00EF20DC">
        <w:rPr>
          <w:rFonts w:eastAsia="SimSun"/>
          <w:sz w:val="22"/>
          <w:szCs w:val="22"/>
          <w:lang w:eastAsia="zh-CN"/>
        </w:rPr>
        <w:t>5.</w:t>
      </w:r>
      <w:r w:rsidRPr="00EF20DC">
        <w:rPr>
          <w:rFonts w:eastAsia="SimSun"/>
          <w:sz w:val="22"/>
          <w:szCs w:val="22"/>
          <w:lang w:eastAsia="zh-CN"/>
        </w:rPr>
        <w:tab/>
        <w:t xml:space="preserve">Kaip laikyti Sorafenib </w:t>
      </w:r>
      <w:r w:rsidR="00D71A25">
        <w:rPr>
          <w:rFonts w:eastAsia="SimSun"/>
          <w:sz w:val="22"/>
          <w:szCs w:val="22"/>
          <w:lang w:eastAsia="zh-CN"/>
        </w:rPr>
        <w:t>Sandoz</w:t>
      </w:r>
      <w:r w:rsidRPr="00EF20DC">
        <w:rPr>
          <w:rFonts w:eastAsia="SimSun"/>
          <w:sz w:val="22"/>
          <w:szCs w:val="22"/>
          <w:lang w:eastAsia="zh-CN"/>
        </w:rPr>
        <w:t xml:space="preserve"> </w:t>
      </w:r>
    </w:p>
    <w:p w14:paraId="1C726E6C" w14:textId="77777777" w:rsidR="00EF20DC" w:rsidRPr="00EF20DC" w:rsidRDefault="00EF20DC" w:rsidP="001F1094">
      <w:pPr>
        <w:numPr>
          <w:ilvl w:val="12"/>
          <w:numId w:val="0"/>
        </w:numPr>
        <w:tabs>
          <w:tab w:val="left" w:pos="567"/>
        </w:tabs>
        <w:rPr>
          <w:rFonts w:eastAsia="SimSun"/>
          <w:sz w:val="22"/>
          <w:szCs w:val="22"/>
          <w:lang w:eastAsia="zh-CN"/>
        </w:rPr>
      </w:pPr>
      <w:r w:rsidRPr="00EF20DC">
        <w:rPr>
          <w:rFonts w:eastAsia="SimSun"/>
          <w:sz w:val="22"/>
          <w:szCs w:val="22"/>
          <w:lang w:eastAsia="zh-CN"/>
        </w:rPr>
        <w:t>6.</w:t>
      </w:r>
      <w:r w:rsidRPr="00EF20DC">
        <w:rPr>
          <w:rFonts w:eastAsia="SimSun"/>
          <w:sz w:val="22"/>
          <w:szCs w:val="22"/>
          <w:lang w:eastAsia="zh-CN"/>
        </w:rPr>
        <w:tab/>
        <w:t>Pakuotės turinys ir kita informacija</w:t>
      </w:r>
    </w:p>
    <w:p w14:paraId="6D02EB24" w14:textId="77777777" w:rsidR="00EF20DC" w:rsidRPr="00EF20DC" w:rsidRDefault="00EF20DC" w:rsidP="001F1094">
      <w:pPr>
        <w:numPr>
          <w:ilvl w:val="12"/>
          <w:numId w:val="0"/>
        </w:numPr>
        <w:tabs>
          <w:tab w:val="left" w:pos="567"/>
        </w:tabs>
        <w:rPr>
          <w:rFonts w:eastAsia="SimSun"/>
          <w:sz w:val="22"/>
          <w:szCs w:val="22"/>
          <w:lang w:eastAsia="zh-CN"/>
        </w:rPr>
      </w:pPr>
    </w:p>
    <w:p w14:paraId="2403AFFA" w14:textId="77777777" w:rsidR="00EF20DC" w:rsidRPr="00EF20DC" w:rsidRDefault="00EF20DC" w:rsidP="001F1094">
      <w:pPr>
        <w:numPr>
          <w:ilvl w:val="12"/>
          <w:numId w:val="0"/>
        </w:numPr>
        <w:tabs>
          <w:tab w:val="left" w:pos="567"/>
        </w:tabs>
        <w:rPr>
          <w:rFonts w:eastAsia="SimSun"/>
          <w:sz w:val="22"/>
          <w:szCs w:val="22"/>
          <w:lang w:eastAsia="zh-CN"/>
        </w:rPr>
      </w:pPr>
    </w:p>
    <w:p w14:paraId="3C82D2E0" w14:textId="11A404BF" w:rsidR="00EF20DC" w:rsidRPr="00EF20DC" w:rsidRDefault="00EF20DC" w:rsidP="001F1094">
      <w:pPr>
        <w:keepNext/>
        <w:tabs>
          <w:tab w:val="left" w:pos="567"/>
        </w:tabs>
        <w:jc w:val="both"/>
        <w:outlineLvl w:val="3"/>
        <w:rPr>
          <w:rFonts w:eastAsia="SimSun"/>
          <w:b/>
          <w:sz w:val="22"/>
          <w:szCs w:val="22"/>
        </w:rPr>
      </w:pPr>
      <w:r w:rsidRPr="00EF20DC">
        <w:rPr>
          <w:rFonts w:eastAsia="SimSun"/>
          <w:b/>
          <w:sz w:val="22"/>
          <w:szCs w:val="22"/>
        </w:rPr>
        <w:t>1.</w:t>
      </w:r>
      <w:r w:rsidRPr="00EF20DC">
        <w:rPr>
          <w:rFonts w:eastAsia="SimSun"/>
          <w:b/>
          <w:sz w:val="22"/>
          <w:szCs w:val="22"/>
        </w:rPr>
        <w:tab/>
        <w:t xml:space="preserve">Kas yra Sorafenib </w:t>
      </w:r>
      <w:r w:rsidR="00D71A25">
        <w:rPr>
          <w:rFonts w:eastAsia="SimSun"/>
          <w:b/>
          <w:sz w:val="22"/>
          <w:szCs w:val="22"/>
        </w:rPr>
        <w:t>Sandoz</w:t>
      </w:r>
      <w:r w:rsidRPr="00EF20DC">
        <w:rPr>
          <w:rFonts w:eastAsia="SimSun"/>
          <w:b/>
          <w:sz w:val="22"/>
          <w:szCs w:val="22"/>
        </w:rPr>
        <w:t xml:space="preserve"> ir kam jis vartojamas</w:t>
      </w:r>
    </w:p>
    <w:p w14:paraId="01E0B90A" w14:textId="77777777" w:rsidR="00EF20DC" w:rsidRPr="00EF20DC" w:rsidRDefault="00EF20DC" w:rsidP="001F1094">
      <w:pPr>
        <w:numPr>
          <w:ilvl w:val="12"/>
          <w:numId w:val="0"/>
        </w:numPr>
        <w:tabs>
          <w:tab w:val="left" w:pos="567"/>
        </w:tabs>
        <w:rPr>
          <w:rFonts w:eastAsia="SimSun"/>
          <w:sz w:val="22"/>
          <w:szCs w:val="22"/>
          <w:lang w:eastAsia="zh-CN"/>
        </w:rPr>
      </w:pPr>
    </w:p>
    <w:p w14:paraId="25276A0F" w14:textId="5C56CB95" w:rsidR="00EF20DC" w:rsidRPr="00EF20DC" w:rsidRDefault="00EF20DC" w:rsidP="001F1094">
      <w:pPr>
        <w:rPr>
          <w:rFonts w:eastAsia="Calibri"/>
          <w:sz w:val="22"/>
          <w:szCs w:val="22"/>
        </w:rPr>
      </w:pPr>
      <w:r w:rsidRPr="00EF20DC">
        <w:rPr>
          <w:rFonts w:eastAsia="Calibri"/>
          <w:sz w:val="22"/>
          <w:szCs w:val="22"/>
        </w:rPr>
        <w:t xml:space="preserve">Sorafenib </w:t>
      </w:r>
      <w:r w:rsidR="00D71A25">
        <w:rPr>
          <w:rFonts w:eastAsia="Calibri"/>
          <w:sz w:val="22"/>
          <w:szCs w:val="22"/>
        </w:rPr>
        <w:t>Sandoz</w:t>
      </w:r>
      <w:r w:rsidR="00DE4C51">
        <w:rPr>
          <w:rFonts w:eastAsia="Calibri"/>
          <w:sz w:val="22"/>
          <w:szCs w:val="22"/>
        </w:rPr>
        <w:t xml:space="preserve"> vartojamas </w:t>
      </w:r>
      <w:r w:rsidRPr="00EF20DC">
        <w:rPr>
          <w:rFonts w:eastAsia="Calibri"/>
          <w:sz w:val="22"/>
          <w:szCs w:val="22"/>
        </w:rPr>
        <w:t>kepenų vėž</w:t>
      </w:r>
      <w:r w:rsidR="00DE4C51">
        <w:rPr>
          <w:rFonts w:eastAsia="Calibri"/>
          <w:sz w:val="22"/>
          <w:szCs w:val="22"/>
        </w:rPr>
        <w:t>io</w:t>
      </w:r>
      <w:r w:rsidRPr="00EF20DC">
        <w:rPr>
          <w:rFonts w:eastAsia="Calibri"/>
          <w:sz w:val="22"/>
          <w:szCs w:val="22"/>
        </w:rPr>
        <w:t xml:space="preserve"> (</w:t>
      </w:r>
      <w:r w:rsidRPr="00DE4C51">
        <w:rPr>
          <w:rFonts w:eastAsia="Calibri"/>
          <w:i/>
          <w:sz w:val="22"/>
          <w:szCs w:val="22"/>
        </w:rPr>
        <w:t>kepenų ląstelių karcinom</w:t>
      </w:r>
      <w:r w:rsidR="00DE4C51" w:rsidRPr="00DE4C51">
        <w:rPr>
          <w:rFonts w:eastAsia="Calibri"/>
          <w:i/>
          <w:sz w:val="22"/>
          <w:szCs w:val="22"/>
        </w:rPr>
        <w:t>os</w:t>
      </w:r>
      <w:r w:rsidRPr="00EF20DC">
        <w:rPr>
          <w:rFonts w:eastAsia="Calibri"/>
          <w:sz w:val="22"/>
          <w:szCs w:val="22"/>
        </w:rPr>
        <w:t>)</w:t>
      </w:r>
      <w:r w:rsidR="0062277E">
        <w:rPr>
          <w:rFonts w:eastAsia="Calibri"/>
          <w:sz w:val="22"/>
          <w:szCs w:val="22"/>
        </w:rPr>
        <w:t xml:space="preserve"> gydymui</w:t>
      </w:r>
      <w:r w:rsidRPr="00EF20DC">
        <w:rPr>
          <w:rFonts w:eastAsia="Calibri"/>
          <w:sz w:val="22"/>
          <w:szCs w:val="22"/>
        </w:rPr>
        <w:t xml:space="preserve">. </w:t>
      </w:r>
    </w:p>
    <w:p w14:paraId="741C887B" w14:textId="08CCF5D0" w:rsidR="00EF20DC" w:rsidRPr="00EF20DC" w:rsidRDefault="00EF20DC" w:rsidP="001F1094">
      <w:pPr>
        <w:rPr>
          <w:rFonts w:eastAsia="Calibri"/>
          <w:sz w:val="22"/>
          <w:szCs w:val="22"/>
        </w:rPr>
      </w:pPr>
      <w:r w:rsidRPr="00EF20DC">
        <w:rPr>
          <w:rFonts w:eastAsia="Calibri"/>
          <w:sz w:val="22"/>
          <w:szCs w:val="22"/>
        </w:rPr>
        <w:t xml:space="preserve">Sorafenib </w:t>
      </w:r>
      <w:r w:rsidR="00D71A25">
        <w:rPr>
          <w:rFonts w:eastAsia="Calibri"/>
          <w:sz w:val="22"/>
          <w:szCs w:val="22"/>
        </w:rPr>
        <w:t>Sandoz</w:t>
      </w:r>
      <w:r w:rsidRPr="00EF20DC">
        <w:rPr>
          <w:rFonts w:eastAsia="Calibri"/>
          <w:sz w:val="22"/>
          <w:szCs w:val="22"/>
        </w:rPr>
        <w:t xml:space="preserve"> taip pat </w:t>
      </w:r>
      <w:r w:rsidR="00DE4C51">
        <w:rPr>
          <w:rFonts w:eastAsia="Calibri"/>
          <w:sz w:val="22"/>
          <w:szCs w:val="22"/>
        </w:rPr>
        <w:t xml:space="preserve">vartojamas </w:t>
      </w:r>
      <w:r w:rsidRPr="00EF20DC">
        <w:rPr>
          <w:rFonts w:eastAsia="Calibri"/>
          <w:sz w:val="22"/>
          <w:szCs w:val="22"/>
        </w:rPr>
        <w:t>progres</w:t>
      </w:r>
      <w:r w:rsidR="00DE4C51">
        <w:rPr>
          <w:rFonts w:eastAsia="Calibri"/>
          <w:sz w:val="22"/>
          <w:szCs w:val="22"/>
        </w:rPr>
        <w:t>avusio</w:t>
      </w:r>
      <w:r w:rsidRPr="00EF20DC">
        <w:rPr>
          <w:rFonts w:eastAsia="Calibri"/>
          <w:sz w:val="22"/>
          <w:szCs w:val="22"/>
        </w:rPr>
        <w:t xml:space="preserve"> inkstų vėž</w:t>
      </w:r>
      <w:r w:rsidR="00DE4C51">
        <w:rPr>
          <w:rFonts w:eastAsia="Calibri"/>
          <w:sz w:val="22"/>
          <w:szCs w:val="22"/>
        </w:rPr>
        <w:t>io</w:t>
      </w:r>
      <w:r w:rsidRPr="00EF20DC">
        <w:rPr>
          <w:rFonts w:eastAsia="Calibri"/>
          <w:sz w:val="22"/>
          <w:szCs w:val="22"/>
        </w:rPr>
        <w:t xml:space="preserve"> (progres</w:t>
      </w:r>
      <w:r w:rsidR="00DE4C51">
        <w:rPr>
          <w:rFonts w:eastAsia="Calibri"/>
          <w:sz w:val="22"/>
          <w:szCs w:val="22"/>
        </w:rPr>
        <w:t>avusios</w:t>
      </w:r>
      <w:r w:rsidRPr="00EF20DC">
        <w:rPr>
          <w:rFonts w:eastAsia="Calibri"/>
          <w:sz w:val="22"/>
          <w:szCs w:val="22"/>
        </w:rPr>
        <w:t xml:space="preserve"> inkstų ląstelių karcinom</w:t>
      </w:r>
      <w:r w:rsidR="00DE4C51">
        <w:rPr>
          <w:rFonts w:eastAsia="Calibri"/>
          <w:sz w:val="22"/>
          <w:szCs w:val="22"/>
        </w:rPr>
        <w:t>os</w:t>
      </w:r>
      <w:r w:rsidRPr="00EF20DC">
        <w:rPr>
          <w:rFonts w:eastAsia="Calibri"/>
          <w:sz w:val="22"/>
          <w:szCs w:val="22"/>
        </w:rPr>
        <w:t>)</w:t>
      </w:r>
      <w:r w:rsidR="0062277E">
        <w:rPr>
          <w:rFonts w:eastAsia="Calibri"/>
          <w:sz w:val="22"/>
          <w:szCs w:val="22"/>
        </w:rPr>
        <w:t xml:space="preserve"> gydymui</w:t>
      </w:r>
      <w:r w:rsidRPr="00EF20DC">
        <w:rPr>
          <w:rFonts w:eastAsia="Calibri"/>
          <w:sz w:val="22"/>
          <w:szCs w:val="22"/>
        </w:rPr>
        <w:t xml:space="preserve"> tuo atveju, jeigu </w:t>
      </w:r>
      <w:r w:rsidR="00DE4C51">
        <w:rPr>
          <w:rFonts w:eastAsia="Calibri"/>
          <w:sz w:val="22"/>
          <w:szCs w:val="22"/>
        </w:rPr>
        <w:t>įprastinis gydymas nepadėjo sustabdyti</w:t>
      </w:r>
      <w:r w:rsidRPr="00EF20DC">
        <w:rPr>
          <w:rFonts w:eastAsia="Calibri"/>
          <w:sz w:val="22"/>
          <w:szCs w:val="22"/>
        </w:rPr>
        <w:t xml:space="preserve"> ligos progresavimo arba yra </w:t>
      </w:r>
      <w:r w:rsidR="001D22F7">
        <w:rPr>
          <w:rFonts w:eastAsia="Calibri"/>
          <w:sz w:val="22"/>
          <w:szCs w:val="22"/>
        </w:rPr>
        <w:t xml:space="preserve">laikomas </w:t>
      </w:r>
      <w:r w:rsidRPr="00EF20DC">
        <w:rPr>
          <w:rFonts w:eastAsia="Calibri"/>
          <w:sz w:val="22"/>
          <w:szCs w:val="22"/>
        </w:rPr>
        <w:t>netinkam</w:t>
      </w:r>
      <w:r w:rsidR="001D22F7">
        <w:rPr>
          <w:rFonts w:eastAsia="Calibri"/>
          <w:sz w:val="22"/>
          <w:szCs w:val="22"/>
        </w:rPr>
        <w:t>u</w:t>
      </w:r>
      <w:r w:rsidRPr="00EF20DC">
        <w:rPr>
          <w:rFonts w:eastAsia="Calibri"/>
          <w:sz w:val="22"/>
          <w:szCs w:val="22"/>
        </w:rPr>
        <w:t xml:space="preserve">. </w:t>
      </w:r>
    </w:p>
    <w:p w14:paraId="19E22C2B" w14:textId="77777777" w:rsidR="00802AD0" w:rsidRPr="00EF20DC" w:rsidRDefault="00802AD0" w:rsidP="00802AD0">
      <w:pPr>
        <w:rPr>
          <w:rFonts w:eastAsia="Calibri"/>
          <w:sz w:val="22"/>
          <w:szCs w:val="22"/>
        </w:rPr>
      </w:pPr>
      <w:r w:rsidRPr="00EF20DC">
        <w:rPr>
          <w:rFonts w:eastAsia="Calibri"/>
          <w:sz w:val="22"/>
          <w:szCs w:val="22"/>
        </w:rPr>
        <w:t xml:space="preserve">Sorafenib </w:t>
      </w:r>
      <w:r>
        <w:rPr>
          <w:rFonts w:eastAsia="Calibri"/>
          <w:sz w:val="22"/>
          <w:szCs w:val="22"/>
        </w:rPr>
        <w:t>Sandoz</w:t>
      </w:r>
      <w:r>
        <w:rPr>
          <w:rStyle w:val="fontstyle01"/>
        </w:rPr>
        <w:t xml:space="preserve"> vartojamas gydyti nuo skydliaukės vėžio (</w:t>
      </w:r>
      <w:r>
        <w:rPr>
          <w:rStyle w:val="fontstyle21"/>
        </w:rPr>
        <w:t>diferencijuotos skydliaukės karcinomos</w:t>
      </w:r>
      <w:r>
        <w:rPr>
          <w:rStyle w:val="fontstyle01"/>
        </w:rPr>
        <w:t>).</w:t>
      </w:r>
    </w:p>
    <w:p w14:paraId="05ACCF06" w14:textId="77777777" w:rsidR="00EF20DC" w:rsidRPr="00EF20DC" w:rsidRDefault="00EF20DC" w:rsidP="001F1094">
      <w:pPr>
        <w:rPr>
          <w:rFonts w:eastAsia="Calibri"/>
          <w:sz w:val="22"/>
          <w:szCs w:val="22"/>
        </w:rPr>
      </w:pPr>
    </w:p>
    <w:p w14:paraId="518EC1DD" w14:textId="39FEE881" w:rsidR="00EF20DC" w:rsidRPr="00EF20DC" w:rsidRDefault="00EF20DC" w:rsidP="001F1094">
      <w:pPr>
        <w:rPr>
          <w:rFonts w:eastAsia="Calibri"/>
          <w:sz w:val="22"/>
          <w:szCs w:val="22"/>
        </w:rPr>
      </w:pPr>
      <w:r w:rsidRPr="00EF20DC">
        <w:rPr>
          <w:rFonts w:eastAsia="Calibri"/>
          <w:sz w:val="22"/>
          <w:szCs w:val="22"/>
        </w:rPr>
        <w:t xml:space="preserve">Sorafenib </w:t>
      </w:r>
      <w:r w:rsidR="00D71A25">
        <w:rPr>
          <w:rFonts w:eastAsia="Calibri"/>
          <w:sz w:val="22"/>
          <w:szCs w:val="22"/>
        </w:rPr>
        <w:t>Sandoz</w:t>
      </w:r>
      <w:r w:rsidRPr="00EF20DC">
        <w:rPr>
          <w:rFonts w:eastAsia="Calibri"/>
          <w:sz w:val="22"/>
          <w:szCs w:val="22"/>
        </w:rPr>
        <w:t xml:space="preserve"> yra vadinamasis </w:t>
      </w:r>
      <w:r w:rsidRPr="0010181A">
        <w:rPr>
          <w:rFonts w:eastAsia="Calibri"/>
          <w:i/>
          <w:sz w:val="22"/>
          <w:szCs w:val="22"/>
        </w:rPr>
        <w:t>daugelio kinazių inhibitorius</w:t>
      </w:r>
      <w:r w:rsidRPr="00EF20DC">
        <w:rPr>
          <w:rFonts w:eastAsia="Calibri"/>
          <w:sz w:val="22"/>
          <w:szCs w:val="22"/>
        </w:rPr>
        <w:t>. Jis lėtina vėžio ląstelių augimą ir stabdo j</w:t>
      </w:r>
      <w:r w:rsidR="0010181A">
        <w:rPr>
          <w:rFonts w:eastAsia="Calibri"/>
          <w:sz w:val="22"/>
          <w:szCs w:val="22"/>
        </w:rPr>
        <w:t>ų</w:t>
      </w:r>
      <w:r w:rsidRPr="00EF20DC">
        <w:rPr>
          <w:rFonts w:eastAsia="Calibri"/>
          <w:sz w:val="22"/>
          <w:szCs w:val="22"/>
        </w:rPr>
        <w:t xml:space="preserve"> aprūpinimą krauju, kuris palaiko tokių ląstelių augimą. </w:t>
      </w:r>
    </w:p>
    <w:p w14:paraId="6CB02D53" w14:textId="77777777" w:rsidR="00EF20DC" w:rsidRPr="00EF20DC" w:rsidRDefault="00EF20DC" w:rsidP="001F1094">
      <w:pPr>
        <w:rPr>
          <w:rFonts w:eastAsia="Calibri"/>
          <w:sz w:val="22"/>
          <w:szCs w:val="22"/>
        </w:rPr>
      </w:pPr>
    </w:p>
    <w:p w14:paraId="3DC7B486" w14:textId="77777777" w:rsidR="00EF20DC" w:rsidRPr="00EF20DC" w:rsidRDefault="00EF20DC" w:rsidP="001F1094">
      <w:pPr>
        <w:rPr>
          <w:rFonts w:eastAsia="Calibri"/>
          <w:sz w:val="22"/>
          <w:szCs w:val="22"/>
        </w:rPr>
      </w:pPr>
    </w:p>
    <w:p w14:paraId="31655DC2" w14:textId="032A82B2" w:rsidR="00EF20DC" w:rsidRPr="00EF20DC" w:rsidRDefault="00EF20DC" w:rsidP="001F1094">
      <w:pPr>
        <w:keepNext/>
        <w:tabs>
          <w:tab w:val="left" w:pos="567"/>
        </w:tabs>
        <w:jc w:val="both"/>
        <w:outlineLvl w:val="3"/>
        <w:rPr>
          <w:rFonts w:eastAsia="SimSun"/>
          <w:b/>
          <w:sz w:val="22"/>
          <w:szCs w:val="22"/>
        </w:rPr>
      </w:pPr>
      <w:r w:rsidRPr="00EF20DC">
        <w:rPr>
          <w:rFonts w:eastAsia="SimSun"/>
          <w:b/>
          <w:sz w:val="22"/>
          <w:szCs w:val="22"/>
        </w:rPr>
        <w:t>2.</w:t>
      </w:r>
      <w:r w:rsidRPr="00EF20DC">
        <w:rPr>
          <w:rFonts w:eastAsia="SimSun"/>
          <w:b/>
          <w:sz w:val="22"/>
          <w:szCs w:val="22"/>
        </w:rPr>
        <w:tab/>
        <w:t xml:space="preserve">Kas žinotina prieš vartojant Sorafenib </w:t>
      </w:r>
      <w:r w:rsidR="00D71A25">
        <w:rPr>
          <w:rFonts w:eastAsia="SimSun"/>
          <w:b/>
          <w:sz w:val="22"/>
          <w:szCs w:val="22"/>
        </w:rPr>
        <w:t>Sandoz</w:t>
      </w:r>
      <w:r w:rsidRPr="00EF20DC">
        <w:rPr>
          <w:rFonts w:eastAsia="SimSun"/>
          <w:b/>
          <w:sz w:val="22"/>
          <w:szCs w:val="22"/>
        </w:rPr>
        <w:t xml:space="preserve"> </w:t>
      </w:r>
    </w:p>
    <w:p w14:paraId="18CAB698" w14:textId="77777777" w:rsidR="00EF20DC" w:rsidRPr="00EF20DC" w:rsidRDefault="00EF20DC" w:rsidP="001F1094">
      <w:pPr>
        <w:numPr>
          <w:ilvl w:val="12"/>
          <w:numId w:val="0"/>
        </w:numPr>
        <w:tabs>
          <w:tab w:val="left" w:pos="567"/>
        </w:tabs>
        <w:rPr>
          <w:rFonts w:eastAsia="SimSun"/>
          <w:sz w:val="22"/>
          <w:szCs w:val="22"/>
          <w:lang w:eastAsia="zh-CN"/>
        </w:rPr>
      </w:pPr>
    </w:p>
    <w:p w14:paraId="33CB93E6" w14:textId="5F4C4EBE" w:rsidR="00EF20DC" w:rsidRPr="00EF20DC" w:rsidRDefault="00EF20DC" w:rsidP="001F1094">
      <w:pPr>
        <w:rPr>
          <w:rFonts w:eastAsia="SimSun"/>
          <w:b/>
          <w:sz w:val="22"/>
          <w:szCs w:val="20"/>
        </w:rPr>
      </w:pPr>
      <w:r w:rsidRPr="00EF20DC">
        <w:rPr>
          <w:rFonts w:eastAsia="SimSun"/>
          <w:b/>
          <w:sz w:val="22"/>
          <w:szCs w:val="20"/>
        </w:rPr>
        <w:t xml:space="preserve">Sorafenib </w:t>
      </w:r>
      <w:r w:rsidR="00D71A25">
        <w:rPr>
          <w:rFonts w:eastAsia="SimSun"/>
          <w:b/>
          <w:sz w:val="22"/>
          <w:szCs w:val="20"/>
        </w:rPr>
        <w:t>Sandoz</w:t>
      </w:r>
      <w:r w:rsidRPr="00EF20DC">
        <w:rPr>
          <w:rFonts w:eastAsia="SimSun"/>
          <w:b/>
          <w:sz w:val="22"/>
          <w:szCs w:val="20"/>
        </w:rPr>
        <w:t xml:space="preserve"> vartoti </w:t>
      </w:r>
      <w:r w:rsidR="00CF26D8">
        <w:rPr>
          <w:rFonts w:eastAsia="SimSun"/>
          <w:b/>
          <w:sz w:val="22"/>
          <w:szCs w:val="20"/>
        </w:rPr>
        <w:t>draudžiama</w:t>
      </w:r>
      <w:r w:rsidRPr="00EF20DC">
        <w:rPr>
          <w:rFonts w:eastAsia="SimSun"/>
          <w:b/>
          <w:sz w:val="22"/>
          <w:szCs w:val="20"/>
        </w:rPr>
        <w:t>:</w:t>
      </w:r>
    </w:p>
    <w:p w14:paraId="23F5BE9D" w14:textId="77777777" w:rsidR="00EF20DC" w:rsidRPr="00EF20DC" w:rsidRDefault="00EF20DC" w:rsidP="001F1094">
      <w:pPr>
        <w:numPr>
          <w:ilvl w:val="0"/>
          <w:numId w:val="2"/>
        </w:numPr>
        <w:spacing w:after="160" w:line="259" w:lineRule="auto"/>
        <w:ind w:left="567" w:hanging="567"/>
        <w:contextualSpacing/>
        <w:rPr>
          <w:rFonts w:eastAsia="Calibri"/>
          <w:sz w:val="22"/>
          <w:szCs w:val="22"/>
        </w:rPr>
      </w:pPr>
      <w:r w:rsidRPr="00EF20DC">
        <w:rPr>
          <w:rFonts w:eastAsia="Calibri"/>
          <w:b/>
          <w:sz w:val="22"/>
          <w:szCs w:val="22"/>
        </w:rPr>
        <w:t>jeigu yra alergija</w:t>
      </w:r>
      <w:r w:rsidRPr="00EF20DC">
        <w:rPr>
          <w:rFonts w:eastAsia="Calibri"/>
          <w:sz w:val="22"/>
          <w:szCs w:val="22"/>
        </w:rPr>
        <w:t xml:space="preserve"> sorafenibui arba bet kuriai pagalbinei šio vaisto medžiagai (jos išvardytos 6 skyriuje). </w:t>
      </w:r>
    </w:p>
    <w:p w14:paraId="259E61A2" w14:textId="77777777" w:rsidR="00EF20DC" w:rsidRPr="00EF20DC" w:rsidRDefault="00EF20DC" w:rsidP="001F1094">
      <w:pPr>
        <w:rPr>
          <w:rFonts w:eastAsia="Calibri"/>
          <w:sz w:val="22"/>
          <w:szCs w:val="22"/>
        </w:rPr>
      </w:pPr>
    </w:p>
    <w:p w14:paraId="48143A19" w14:textId="77777777" w:rsidR="00EF20DC" w:rsidRPr="00EF20DC" w:rsidRDefault="00EF20DC" w:rsidP="001F1094">
      <w:pPr>
        <w:rPr>
          <w:rFonts w:eastAsia="Calibri"/>
          <w:b/>
          <w:sz w:val="22"/>
          <w:szCs w:val="22"/>
        </w:rPr>
      </w:pPr>
      <w:r w:rsidRPr="00EF20DC">
        <w:rPr>
          <w:rFonts w:eastAsia="Calibri"/>
          <w:b/>
          <w:sz w:val="22"/>
          <w:szCs w:val="22"/>
        </w:rPr>
        <w:t xml:space="preserve">Įspėjimai ir atsargumo priemonės </w:t>
      </w:r>
    </w:p>
    <w:p w14:paraId="4B05BE67" w14:textId="2C1CD2B6" w:rsidR="00EF20DC" w:rsidRPr="00EF20DC" w:rsidRDefault="00EF20DC" w:rsidP="001F1094">
      <w:pPr>
        <w:rPr>
          <w:rFonts w:eastAsia="Calibri"/>
          <w:sz w:val="22"/>
          <w:szCs w:val="22"/>
        </w:rPr>
      </w:pPr>
      <w:r w:rsidRPr="00EF20DC">
        <w:rPr>
          <w:rFonts w:eastAsia="Calibri"/>
          <w:sz w:val="22"/>
          <w:szCs w:val="22"/>
        </w:rPr>
        <w:t xml:space="preserve">Pasitarkite su gydytoju arba vaistininku, prieš pradėdami vartoti Sorafenib </w:t>
      </w:r>
      <w:r w:rsidR="00D71A25">
        <w:rPr>
          <w:rFonts w:eastAsia="Calibri"/>
          <w:sz w:val="22"/>
          <w:szCs w:val="22"/>
        </w:rPr>
        <w:t>Sandoz</w:t>
      </w:r>
      <w:r w:rsidRPr="00EF20DC">
        <w:rPr>
          <w:rFonts w:eastAsia="Calibri"/>
          <w:sz w:val="22"/>
          <w:szCs w:val="22"/>
        </w:rPr>
        <w:t xml:space="preserve">. </w:t>
      </w:r>
    </w:p>
    <w:p w14:paraId="36664FC8" w14:textId="77777777" w:rsidR="00EF20DC" w:rsidRPr="00EF20DC" w:rsidRDefault="00EF20DC" w:rsidP="001F1094">
      <w:pPr>
        <w:rPr>
          <w:rFonts w:eastAsia="Calibri"/>
          <w:sz w:val="22"/>
          <w:szCs w:val="22"/>
        </w:rPr>
      </w:pPr>
    </w:p>
    <w:p w14:paraId="0E0F87BF" w14:textId="68CC648F" w:rsidR="00EF20DC" w:rsidRPr="00EF20DC" w:rsidRDefault="00EF20DC" w:rsidP="001F1094">
      <w:pPr>
        <w:rPr>
          <w:rFonts w:eastAsia="Calibri"/>
          <w:b/>
          <w:sz w:val="22"/>
          <w:szCs w:val="22"/>
        </w:rPr>
      </w:pPr>
      <w:r w:rsidRPr="00EF20DC">
        <w:rPr>
          <w:rFonts w:eastAsia="Calibri"/>
          <w:b/>
          <w:sz w:val="22"/>
          <w:szCs w:val="22"/>
        </w:rPr>
        <w:t xml:space="preserve">Specialių atsargumo priemonių vartojant Sorafenib </w:t>
      </w:r>
      <w:r w:rsidR="00D71A25">
        <w:rPr>
          <w:rFonts w:eastAsia="Calibri"/>
          <w:b/>
          <w:sz w:val="22"/>
          <w:szCs w:val="22"/>
        </w:rPr>
        <w:t>Sandoz</w:t>
      </w:r>
      <w:r w:rsidRPr="00EF20DC">
        <w:rPr>
          <w:rFonts w:eastAsia="Calibri"/>
          <w:b/>
          <w:sz w:val="22"/>
          <w:szCs w:val="22"/>
        </w:rPr>
        <w:t xml:space="preserve"> reikia</w:t>
      </w:r>
      <w:r w:rsidR="00146814">
        <w:rPr>
          <w:rFonts w:eastAsia="Calibri"/>
          <w:b/>
          <w:sz w:val="22"/>
          <w:szCs w:val="22"/>
        </w:rPr>
        <w:t>:</w:t>
      </w:r>
      <w:r w:rsidRPr="00EF20DC">
        <w:rPr>
          <w:rFonts w:eastAsia="Calibri"/>
          <w:b/>
          <w:sz w:val="22"/>
          <w:szCs w:val="22"/>
        </w:rPr>
        <w:t xml:space="preserve"> </w:t>
      </w:r>
    </w:p>
    <w:p w14:paraId="04D766EF" w14:textId="043AB6FE" w:rsidR="00EF20DC" w:rsidRPr="00EF20DC" w:rsidRDefault="00EF20DC" w:rsidP="001F1094">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atsiranda odos sutrikimų</w:t>
      </w:r>
      <w:r w:rsidRPr="00EF20DC">
        <w:rPr>
          <w:rFonts w:eastAsia="Calibri"/>
          <w:sz w:val="22"/>
          <w:szCs w:val="22"/>
        </w:rPr>
        <w:t xml:space="preserve">. Sorafenib </w:t>
      </w:r>
      <w:r w:rsidR="00D71A25">
        <w:rPr>
          <w:rFonts w:eastAsia="Calibri"/>
          <w:sz w:val="22"/>
          <w:szCs w:val="22"/>
        </w:rPr>
        <w:t>Sandoz</w:t>
      </w:r>
      <w:r w:rsidRPr="00EF20DC">
        <w:rPr>
          <w:rFonts w:eastAsia="Calibri"/>
          <w:sz w:val="22"/>
          <w:szCs w:val="22"/>
        </w:rPr>
        <w:t xml:space="preserve"> gali sukelti išbėrimą ir odos, ypač plaštakų ir pėdų, reakciją. Tokią reakciją paprastai gali išgydyti Jūsų gydytojas. Jeigu jos nuslopinti nepavyksta, </w:t>
      </w:r>
      <w:r w:rsidR="0010181A">
        <w:rPr>
          <w:rFonts w:eastAsia="Calibri"/>
          <w:sz w:val="22"/>
          <w:szCs w:val="22"/>
        </w:rPr>
        <w:t xml:space="preserve">Jūsų </w:t>
      </w:r>
      <w:r w:rsidRPr="00EF20DC">
        <w:rPr>
          <w:rFonts w:eastAsia="Calibri"/>
          <w:sz w:val="22"/>
          <w:szCs w:val="22"/>
        </w:rPr>
        <w:t xml:space="preserve">gydytojas gali gydymą </w:t>
      </w:r>
      <w:r w:rsidR="00B61D91">
        <w:rPr>
          <w:rFonts w:eastAsia="Calibri"/>
          <w:sz w:val="22"/>
          <w:szCs w:val="22"/>
        </w:rPr>
        <w:t>laikinai</w:t>
      </w:r>
      <w:r w:rsidRPr="00EF20DC">
        <w:rPr>
          <w:rFonts w:eastAsia="Calibri"/>
          <w:sz w:val="22"/>
          <w:szCs w:val="22"/>
        </w:rPr>
        <w:t xml:space="preserve"> arba visiškai nutraukti. </w:t>
      </w:r>
    </w:p>
    <w:p w14:paraId="5694894F" w14:textId="30E261CD" w:rsidR="00EF20DC" w:rsidRDefault="00EF20DC" w:rsidP="001F1094">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 xml:space="preserve">Jeigu </w:t>
      </w:r>
      <w:r w:rsidR="00B61D91">
        <w:rPr>
          <w:rFonts w:eastAsia="Calibri"/>
          <w:b/>
          <w:sz w:val="22"/>
          <w:szCs w:val="22"/>
        </w:rPr>
        <w:t xml:space="preserve">Jūsų </w:t>
      </w:r>
      <w:r w:rsidRPr="00EF20DC">
        <w:rPr>
          <w:rFonts w:eastAsia="Calibri"/>
          <w:b/>
          <w:sz w:val="22"/>
          <w:szCs w:val="22"/>
        </w:rPr>
        <w:t>didelis</w:t>
      </w:r>
      <w:r w:rsidR="0010181A">
        <w:rPr>
          <w:rFonts w:eastAsia="Calibri"/>
          <w:b/>
          <w:sz w:val="22"/>
          <w:szCs w:val="22"/>
        </w:rPr>
        <w:t xml:space="preserve"> </w:t>
      </w:r>
      <w:r w:rsidRPr="00EF20DC">
        <w:rPr>
          <w:rFonts w:eastAsia="Calibri"/>
          <w:b/>
          <w:sz w:val="22"/>
          <w:szCs w:val="22"/>
        </w:rPr>
        <w:t>kraujospūdis</w:t>
      </w:r>
      <w:r w:rsidRPr="00EF20DC">
        <w:rPr>
          <w:rFonts w:eastAsia="Calibri"/>
          <w:sz w:val="22"/>
          <w:szCs w:val="22"/>
        </w:rPr>
        <w:t xml:space="preserve">. Sorafenib </w:t>
      </w:r>
      <w:r w:rsidR="00D71A25">
        <w:rPr>
          <w:rFonts w:eastAsia="Calibri"/>
          <w:sz w:val="22"/>
          <w:szCs w:val="22"/>
        </w:rPr>
        <w:t>Sandoz</w:t>
      </w:r>
      <w:r w:rsidRPr="00EF20DC">
        <w:rPr>
          <w:rFonts w:eastAsia="Calibri"/>
          <w:sz w:val="22"/>
          <w:szCs w:val="22"/>
        </w:rPr>
        <w:t xml:space="preserve"> gali padidinti kraujospūdį, todėl </w:t>
      </w:r>
      <w:r w:rsidR="0010181A">
        <w:rPr>
          <w:rFonts w:eastAsia="Calibri"/>
          <w:sz w:val="22"/>
          <w:szCs w:val="22"/>
        </w:rPr>
        <w:t xml:space="preserve">Jūsų </w:t>
      </w:r>
      <w:r w:rsidRPr="00EF20DC">
        <w:rPr>
          <w:rFonts w:eastAsia="Calibri"/>
          <w:sz w:val="22"/>
          <w:szCs w:val="22"/>
        </w:rPr>
        <w:t xml:space="preserve">gydytojas paprastai jį seks, prireikus skirs kraujospūdį mažinančių vaistų. </w:t>
      </w:r>
    </w:p>
    <w:p w14:paraId="1B64752B" w14:textId="77777777" w:rsidR="00EF20DC" w:rsidRPr="00EF20DC" w:rsidRDefault="00EF20DC" w:rsidP="001F1094">
      <w:pPr>
        <w:numPr>
          <w:ilvl w:val="2"/>
          <w:numId w:val="5"/>
        </w:numPr>
        <w:spacing w:after="160" w:line="259" w:lineRule="auto"/>
        <w:ind w:left="567" w:hanging="567"/>
        <w:contextualSpacing/>
        <w:rPr>
          <w:rFonts w:eastAsia="Calibri"/>
          <w:sz w:val="22"/>
          <w:szCs w:val="22"/>
        </w:rPr>
      </w:pPr>
      <w:r w:rsidRPr="00EF20DC">
        <w:rPr>
          <w:rFonts w:eastAsia="Calibri"/>
          <w:b/>
          <w:sz w:val="22"/>
          <w:szCs w:val="22"/>
        </w:rPr>
        <w:lastRenderedPageBreak/>
        <w:t xml:space="preserve">Jeigu Jums </w:t>
      </w:r>
      <w:r w:rsidR="0010181A">
        <w:rPr>
          <w:rFonts w:eastAsia="Calibri"/>
          <w:b/>
          <w:sz w:val="22"/>
          <w:szCs w:val="22"/>
        </w:rPr>
        <w:t>yra</w:t>
      </w:r>
      <w:r w:rsidRPr="00EF20DC">
        <w:rPr>
          <w:rFonts w:eastAsia="Calibri"/>
          <w:b/>
          <w:sz w:val="22"/>
          <w:szCs w:val="22"/>
        </w:rPr>
        <w:t xml:space="preserve"> arba </w:t>
      </w:r>
      <w:r w:rsidR="0010181A">
        <w:rPr>
          <w:rFonts w:eastAsia="Calibri"/>
          <w:b/>
          <w:sz w:val="22"/>
          <w:szCs w:val="22"/>
        </w:rPr>
        <w:t>anksčiau</w:t>
      </w:r>
      <w:r w:rsidRPr="00EF20DC">
        <w:rPr>
          <w:rFonts w:eastAsia="Calibri"/>
          <w:b/>
          <w:sz w:val="22"/>
          <w:szCs w:val="22"/>
        </w:rPr>
        <w:t xml:space="preserve"> buvo aneurizma </w:t>
      </w:r>
      <w:r w:rsidRPr="00EF20DC">
        <w:rPr>
          <w:rFonts w:eastAsia="Calibri"/>
          <w:sz w:val="22"/>
          <w:szCs w:val="22"/>
        </w:rPr>
        <w:t xml:space="preserve">(kraujagyslės sienelės išsipūtimas ir susilpnėjimas) arba </w:t>
      </w:r>
      <w:r w:rsidRPr="0010181A">
        <w:rPr>
          <w:rFonts w:eastAsia="Calibri"/>
          <w:b/>
          <w:sz w:val="22"/>
          <w:szCs w:val="22"/>
        </w:rPr>
        <w:t>kraujagyslės sienelės įplyšimas</w:t>
      </w:r>
      <w:r w:rsidRPr="00EF20DC">
        <w:rPr>
          <w:rFonts w:eastAsia="Calibri"/>
          <w:sz w:val="22"/>
          <w:szCs w:val="22"/>
        </w:rPr>
        <w:t>.</w:t>
      </w:r>
    </w:p>
    <w:p w14:paraId="77EFA173" w14:textId="408D8497" w:rsidR="00EF20DC" w:rsidRPr="00EF20DC" w:rsidRDefault="00EF20DC" w:rsidP="001F1094">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sergate cukriniu diabetu</w:t>
      </w:r>
      <w:r w:rsidRPr="00EF20DC">
        <w:rPr>
          <w:rFonts w:eastAsia="Calibri"/>
          <w:sz w:val="22"/>
          <w:szCs w:val="22"/>
        </w:rPr>
        <w:t xml:space="preserve">. Cukriniu diabetu sergančių pacientų gliukozės kiekį kraujyje reikia nuolat </w:t>
      </w:r>
      <w:r w:rsidR="00B61D91">
        <w:rPr>
          <w:rFonts w:eastAsia="Calibri"/>
          <w:sz w:val="22"/>
          <w:szCs w:val="22"/>
        </w:rPr>
        <w:t>tikrinti</w:t>
      </w:r>
      <w:r w:rsidRPr="00EF20DC">
        <w:rPr>
          <w:rFonts w:eastAsia="Calibri"/>
          <w:sz w:val="22"/>
          <w:szCs w:val="22"/>
        </w:rPr>
        <w:t>, kad būtų galima pastebėti, ar nereikia koreguoti vartojamų nuo cukrinio diabeto vaistų dozę ir laiku nustatyti galimo cukraus kiekio sumažėjimo kraujyje riziką.</w:t>
      </w:r>
    </w:p>
    <w:p w14:paraId="3F11A6C6" w14:textId="786B26C8" w:rsidR="00EF20DC" w:rsidRPr="00EF20DC" w:rsidRDefault="00EF20DC" w:rsidP="001F1094">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yra</w:t>
      </w:r>
      <w:r w:rsidR="0010181A">
        <w:rPr>
          <w:rFonts w:eastAsia="Calibri"/>
          <w:b/>
          <w:sz w:val="22"/>
          <w:szCs w:val="22"/>
        </w:rPr>
        <w:t xml:space="preserve"> bet kokių </w:t>
      </w:r>
      <w:r w:rsidRPr="00EF20DC">
        <w:rPr>
          <w:rFonts w:eastAsia="Calibri"/>
          <w:b/>
          <w:sz w:val="22"/>
          <w:szCs w:val="22"/>
        </w:rPr>
        <w:t>kraujavimo sutrikimų arba vartojate varfarino</w:t>
      </w:r>
      <w:r w:rsidR="00960C9C">
        <w:rPr>
          <w:rFonts w:eastAsia="Calibri"/>
          <w:b/>
          <w:sz w:val="22"/>
          <w:szCs w:val="22"/>
        </w:rPr>
        <w:t>,</w:t>
      </w:r>
      <w:r w:rsidRPr="00EF20DC">
        <w:rPr>
          <w:rFonts w:eastAsia="Calibri"/>
          <w:b/>
          <w:sz w:val="22"/>
          <w:szCs w:val="22"/>
        </w:rPr>
        <w:t xml:space="preserve"> arba fenprokumono</w:t>
      </w:r>
      <w:r w:rsidRPr="00EF20DC">
        <w:rPr>
          <w:rFonts w:eastAsia="Calibri"/>
          <w:sz w:val="22"/>
          <w:szCs w:val="22"/>
        </w:rPr>
        <w:t xml:space="preserve">. Vartojant Sorafenib </w:t>
      </w:r>
      <w:r w:rsidR="00D71A25">
        <w:rPr>
          <w:rFonts w:eastAsia="Calibri"/>
          <w:sz w:val="22"/>
          <w:szCs w:val="22"/>
        </w:rPr>
        <w:t>Sandoz</w:t>
      </w:r>
      <w:r w:rsidRPr="00EF20DC">
        <w:rPr>
          <w:rFonts w:eastAsia="Calibri"/>
          <w:sz w:val="22"/>
          <w:szCs w:val="22"/>
        </w:rPr>
        <w:t xml:space="preserve"> galima didesnė kraujavimo rizika. Jeigu vartojate varfarino arba fenprokumono (jie skystina kraują, todėl saugo nuo kraujo krešulių </w:t>
      </w:r>
      <w:r w:rsidR="00960C9C">
        <w:rPr>
          <w:rFonts w:eastAsia="Calibri"/>
          <w:sz w:val="22"/>
          <w:szCs w:val="22"/>
        </w:rPr>
        <w:t>susidarymo</w:t>
      </w:r>
      <w:r w:rsidRPr="00EF20DC">
        <w:rPr>
          <w:rFonts w:eastAsia="Calibri"/>
          <w:sz w:val="22"/>
          <w:szCs w:val="22"/>
        </w:rPr>
        <w:t xml:space="preserve">), kraujavimo rizika gali būti didesnė. </w:t>
      </w:r>
    </w:p>
    <w:p w14:paraId="2337C649" w14:textId="77777777" w:rsidR="00EF20DC" w:rsidRPr="00EF20DC" w:rsidRDefault="00EF20DC" w:rsidP="001F1094">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 xml:space="preserve">Jeigu </w:t>
      </w:r>
      <w:r w:rsidR="0010181A">
        <w:rPr>
          <w:rFonts w:eastAsia="Calibri"/>
          <w:b/>
          <w:sz w:val="22"/>
          <w:szCs w:val="22"/>
        </w:rPr>
        <w:t xml:space="preserve">Jums </w:t>
      </w:r>
      <w:r w:rsidRPr="00EF20DC">
        <w:rPr>
          <w:rFonts w:eastAsia="Calibri"/>
          <w:b/>
          <w:sz w:val="22"/>
          <w:szCs w:val="22"/>
        </w:rPr>
        <w:t>atsiranda krūtinės skausmas arba širdies sutrikimų</w:t>
      </w:r>
      <w:r w:rsidRPr="00EF20DC">
        <w:rPr>
          <w:rFonts w:eastAsia="Calibri"/>
          <w:sz w:val="22"/>
          <w:szCs w:val="22"/>
        </w:rPr>
        <w:t xml:space="preserve">. </w:t>
      </w:r>
      <w:r w:rsidR="0010181A">
        <w:rPr>
          <w:rFonts w:eastAsia="Calibri"/>
          <w:sz w:val="22"/>
          <w:szCs w:val="22"/>
        </w:rPr>
        <w:t>Jūsų g</w:t>
      </w:r>
      <w:r w:rsidRPr="00EF20DC">
        <w:rPr>
          <w:rFonts w:eastAsia="Calibri"/>
          <w:sz w:val="22"/>
          <w:szCs w:val="22"/>
        </w:rPr>
        <w:t xml:space="preserve">ydytojas gali </w:t>
      </w:r>
      <w:r w:rsidR="0010181A">
        <w:rPr>
          <w:rFonts w:eastAsia="Calibri"/>
          <w:sz w:val="22"/>
          <w:szCs w:val="22"/>
        </w:rPr>
        <w:t>nuspręsti vaisto</w:t>
      </w:r>
      <w:r w:rsidRPr="00EF20DC">
        <w:rPr>
          <w:rFonts w:eastAsia="Calibri"/>
          <w:sz w:val="22"/>
          <w:szCs w:val="22"/>
        </w:rPr>
        <w:t xml:space="preserve"> vartojimą sustabdyti arba visiškai nutraukti. </w:t>
      </w:r>
    </w:p>
    <w:p w14:paraId="2DBE9585" w14:textId="77777777" w:rsidR="00EF20DC" w:rsidRPr="00EF20DC" w:rsidRDefault="00EF20DC" w:rsidP="001F1094">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yra širdies veiklos sutrikimas</w:t>
      </w:r>
      <w:r w:rsidRPr="00EF20DC">
        <w:rPr>
          <w:rFonts w:eastAsia="Calibri"/>
          <w:sz w:val="22"/>
          <w:szCs w:val="22"/>
        </w:rPr>
        <w:t xml:space="preserve">, pvz., nenormalus elektrinis signalas, vadinamas „QT intervalo pailgėjimu“. </w:t>
      </w:r>
    </w:p>
    <w:p w14:paraId="037ACF3C" w14:textId="5D2D27A1" w:rsidR="00744E57" w:rsidRDefault="00EF20DC" w:rsidP="001F1094">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 xml:space="preserve">Jeigu </w:t>
      </w:r>
      <w:r w:rsidR="00D11A28">
        <w:rPr>
          <w:rFonts w:eastAsia="Calibri"/>
          <w:b/>
          <w:sz w:val="22"/>
          <w:szCs w:val="22"/>
        </w:rPr>
        <w:t>J</w:t>
      </w:r>
      <w:r w:rsidR="00744E57">
        <w:rPr>
          <w:rFonts w:eastAsia="Calibri"/>
          <w:b/>
          <w:sz w:val="22"/>
          <w:szCs w:val="22"/>
        </w:rPr>
        <w:t xml:space="preserve">ums </w:t>
      </w:r>
      <w:r w:rsidRPr="00EF20DC">
        <w:rPr>
          <w:rFonts w:eastAsia="Calibri"/>
          <w:b/>
          <w:sz w:val="22"/>
          <w:szCs w:val="22"/>
        </w:rPr>
        <w:t>bus atliekama arba neseniai buvo atlikta operacija</w:t>
      </w:r>
      <w:r w:rsidRPr="00EF20DC">
        <w:rPr>
          <w:rFonts w:eastAsia="Calibri"/>
          <w:sz w:val="22"/>
          <w:szCs w:val="22"/>
        </w:rPr>
        <w:t xml:space="preserve">. Sorafenib </w:t>
      </w:r>
      <w:r w:rsidR="00D71A25">
        <w:rPr>
          <w:rFonts w:eastAsia="Calibri"/>
          <w:sz w:val="22"/>
          <w:szCs w:val="22"/>
        </w:rPr>
        <w:t>Sandoz</w:t>
      </w:r>
      <w:r w:rsidRPr="00EF20DC">
        <w:rPr>
          <w:rFonts w:eastAsia="Calibri"/>
          <w:sz w:val="22"/>
          <w:szCs w:val="22"/>
        </w:rPr>
        <w:t xml:space="preserve"> gali daryti įtaką žaizdų gijimui. Prieš operaciją </w:t>
      </w:r>
      <w:r w:rsidR="00744E57">
        <w:rPr>
          <w:rFonts w:eastAsia="Calibri"/>
          <w:sz w:val="22"/>
          <w:szCs w:val="22"/>
        </w:rPr>
        <w:t xml:space="preserve">paprastai </w:t>
      </w:r>
      <w:r w:rsidRPr="00EF20DC">
        <w:rPr>
          <w:rFonts w:eastAsia="Calibri"/>
          <w:sz w:val="22"/>
          <w:szCs w:val="22"/>
        </w:rPr>
        <w:t xml:space="preserve">Sorafenib </w:t>
      </w:r>
      <w:r w:rsidR="00D71A25">
        <w:rPr>
          <w:rFonts w:eastAsia="Calibri"/>
          <w:sz w:val="22"/>
          <w:szCs w:val="22"/>
        </w:rPr>
        <w:t>Sandoz</w:t>
      </w:r>
      <w:r w:rsidRPr="00EF20DC">
        <w:rPr>
          <w:rFonts w:eastAsia="Calibri"/>
          <w:sz w:val="22"/>
          <w:szCs w:val="22"/>
        </w:rPr>
        <w:t xml:space="preserve"> vartojimą </w:t>
      </w:r>
      <w:r w:rsidR="00744E57">
        <w:rPr>
          <w:rFonts w:eastAsia="Calibri"/>
          <w:sz w:val="22"/>
          <w:szCs w:val="22"/>
        </w:rPr>
        <w:t xml:space="preserve">reikės </w:t>
      </w:r>
      <w:r w:rsidRPr="00EF20DC">
        <w:rPr>
          <w:rFonts w:eastAsia="Calibri"/>
          <w:sz w:val="22"/>
          <w:szCs w:val="22"/>
        </w:rPr>
        <w:t xml:space="preserve">nutraukti. </w:t>
      </w:r>
      <w:r w:rsidR="00744E57">
        <w:rPr>
          <w:rFonts w:eastAsia="Calibri"/>
          <w:sz w:val="22"/>
          <w:szCs w:val="22"/>
        </w:rPr>
        <w:br/>
      </w:r>
      <w:r w:rsidR="00744E57" w:rsidRPr="00744E57">
        <w:rPr>
          <w:rFonts w:eastAsia="Calibri"/>
          <w:sz w:val="22"/>
          <w:szCs w:val="22"/>
        </w:rPr>
        <w:t>Jūsų gydytojas nuspręs, kada gydymą šiuo vaistu bus galima atnaujinti</w:t>
      </w:r>
      <w:r w:rsidR="00744E57">
        <w:rPr>
          <w:rFonts w:eastAsia="Calibri"/>
          <w:sz w:val="22"/>
          <w:szCs w:val="22"/>
        </w:rPr>
        <w:t>.</w:t>
      </w:r>
    </w:p>
    <w:p w14:paraId="196CE1F4" w14:textId="285645EC" w:rsidR="00EF20DC" w:rsidRPr="00EF20DC" w:rsidRDefault="00EF20DC" w:rsidP="001F1094">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Jūs gydomas irinotekanu arba docetakseliu</w:t>
      </w:r>
      <w:r w:rsidRPr="00EF20DC">
        <w:rPr>
          <w:rFonts w:eastAsia="Calibri"/>
          <w:sz w:val="22"/>
          <w:szCs w:val="22"/>
        </w:rPr>
        <w:t xml:space="preserve">, kurie </w:t>
      </w:r>
      <w:r w:rsidR="00744E57">
        <w:rPr>
          <w:rFonts w:eastAsia="Calibri"/>
          <w:sz w:val="22"/>
          <w:szCs w:val="22"/>
        </w:rPr>
        <w:t>taip pat</w:t>
      </w:r>
      <w:r w:rsidRPr="00EF20DC">
        <w:rPr>
          <w:rFonts w:eastAsia="Calibri"/>
          <w:sz w:val="22"/>
          <w:szCs w:val="22"/>
        </w:rPr>
        <w:t xml:space="preserve"> yra vaistai nuo vėžio. </w:t>
      </w:r>
      <w:r w:rsidR="00744E57">
        <w:rPr>
          <w:rFonts w:eastAsia="Calibri"/>
          <w:sz w:val="22"/>
          <w:szCs w:val="22"/>
        </w:rPr>
        <w:br/>
      </w:r>
      <w:r w:rsidRPr="00EF20DC">
        <w:rPr>
          <w:rFonts w:eastAsia="Calibri"/>
          <w:sz w:val="22"/>
          <w:szCs w:val="22"/>
        </w:rPr>
        <w:t xml:space="preserve">Sorafenib </w:t>
      </w:r>
      <w:r w:rsidR="00D71A25">
        <w:rPr>
          <w:rFonts w:eastAsia="Calibri"/>
          <w:sz w:val="22"/>
          <w:szCs w:val="22"/>
        </w:rPr>
        <w:t>Sandoz</w:t>
      </w:r>
      <w:r w:rsidRPr="00EF20DC">
        <w:rPr>
          <w:rFonts w:eastAsia="Calibri"/>
          <w:sz w:val="22"/>
          <w:szCs w:val="22"/>
        </w:rPr>
        <w:t xml:space="preserve"> gali stiprinti šių </w:t>
      </w:r>
      <w:r w:rsidR="00744E57">
        <w:rPr>
          <w:rFonts w:eastAsia="Calibri"/>
          <w:sz w:val="22"/>
          <w:szCs w:val="22"/>
        </w:rPr>
        <w:t>vaistų</w:t>
      </w:r>
      <w:r w:rsidRPr="00EF20DC">
        <w:rPr>
          <w:rFonts w:eastAsia="Calibri"/>
          <w:sz w:val="22"/>
          <w:szCs w:val="22"/>
        </w:rPr>
        <w:t xml:space="preserve"> poveikį, ypač šalutinį. </w:t>
      </w:r>
    </w:p>
    <w:p w14:paraId="0125071D" w14:textId="10C540EF" w:rsidR="00EF20DC" w:rsidRPr="00EF20DC" w:rsidRDefault="00EF20DC" w:rsidP="001F1094">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vartojate neomicin</w:t>
      </w:r>
      <w:r w:rsidR="00744E57">
        <w:rPr>
          <w:rFonts w:eastAsia="Calibri"/>
          <w:b/>
          <w:sz w:val="22"/>
          <w:szCs w:val="22"/>
        </w:rPr>
        <w:t>o</w:t>
      </w:r>
      <w:r w:rsidRPr="00EF20DC">
        <w:rPr>
          <w:rFonts w:eastAsia="Calibri"/>
          <w:b/>
          <w:sz w:val="22"/>
          <w:szCs w:val="22"/>
        </w:rPr>
        <w:t xml:space="preserve"> ar kit</w:t>
      </w:r>
      <w:r w:rsidR="00744E57">
        <w:rPr>
          <w:rFonts w:eastAsia="Calibri"/>
          <w:b/>
          <w:sz w:val="22"/>
          <w:szCs w:val="22"/>
        </w:rPr>
        <w:t>ų</w:t>
      </w:r>
      <w:r w:rsidRPr="00EF20DC">
        <w:rPr>
          <w:rFonts w:eastAsia="Calibri"/>
          <w:b/>
          <w:sz w:val="22"/>
          <w:szCs w:val="22"/>
        </w:rPr>
        <w:t xml:space="preserve"> antibiotik</w:t>
      </w:r>
      <w:r w:rsidR="00744E57">
        <w:rPr>
          <w:rFonts w:eastAsia="Calibri"/>
          <w:b/>
          <w:sz w:val="22"/>
          <w:szCs w:val="22"/>
        </w:rPr>
        <w:t>ų</w:t>
      </w:r>
      <w:r w:rsidRPr="00EF20DC">
        <w:rPr>
          <w:rFonts w:eastAsia="Calibri"/>
          <w:sz w:val="22"/>
          <w:szCs w:val="22"/>
        </w:rPr>
        <w:t xml:space="preserve">. Sorafenib </w:t>
      </w:r>
      <w:r w:rsidR="00D71A25">
        <w:rPr>
          <w:rFonts w:eastAsia="Calibri"/>
          <w:sz w:val="22"/>
          <w:szCs w:val="22"/>
        </w:rPr>
        <w:t>Sandoz</w:t>
      </w:r>
      <w:r w:rsidRPr="00EF20DC">
        <w:rPr>
          <w:rFonts w:eastAsia="Calibri"/>
          <w:sz w:val="22"/>
          <w:szCs w:val="22"/>
        </w:rPr>
        <w:t xml:space="preserve"> poveikis gali būti sumažėjęs. </w:t>
      </w:r>
    </w:p>
    <w:p w14:paraId="048EA33A" w14:textId="7A58CE43" w:rsidR="00EF20DC" w:rsidRPr="00EF20DC" w:rsidRDefault="00EF20DC" w:rsidP="001F1094">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Jeigu yra sunkus kepenų funkcijos sutrikimas</w:t>
      </w:r>
      <w:r w:rsidRPr="00EF20DC">
        <w:rPr>
          <w:rFonts w:eastAsia="Calibri"/>
          <w:sz w:val="22"/>
          <w:szCs w:val="22"/>
        </w:rPr>
        <w:t xml:space="preserve">. Tokiu atveju gali pasireikšti sunkesnis šalutinis Sorafenib </w:t>
      </w:r>
      <w:r w:rsidR="00D71A25">
        <w:rPr>
          <w:rFonts w:eastAsia="Calibri"/>
          <w:sz w:val="22"/>
          <w:szCs w:val="22"/>
        </w:rPr>
        <w:t>Sandoz</w:t>
      </w:r>
      <w:r w:rsidRPr="00EF20DC">
        <w:rPr>
          <w:rFonts w:eastAsia="Calibri"/>
          <w:sz w:val="22"/>
          <w:szCs w:val="22"/>
        </w:rPr>
        <w:t xml:space="preserve"> poveikis. </w:t>
      </w:r>
    </w:p>
    <w:p w14:paraId="6F18AAAE" w14:textId="77777777" w:rsidR="00EF20DC" w:rsidRPr="00EF20DC" w:rsidRDefault="00EF20DC" w:rsidP="001F1094">
      <w:pPr>
        <w:numPr>
          <w:ilvl w:val="2"/>
          <w:numId w:val="5"/>
        </w:numPr>
        <w:spacing w:after="160" w:line="259" w:lineRule="auto"/>
        <w:ind w:left="567" w:hanging="567"/>
        <w:contextualSpacing/>
        <w:rPr>
          <w:rFonts w:eastAsia="Calibri"/>
          <w:sz w:val="22"/>
          <w:szCs w:val="22"/>
        </w:rPr>
      </w:pPr>
      <w:r w:rsidRPr="00EF20DC">
        <w:rPr>
          <w:rFonts w:eastAsia="Calibri"/>
          <w:b/>
          <w:sz w:val="22"/>
          <w:szCs w:val="22"/>
        </w:rPr>
        <w:t xml:space="preserve">Jeigu yra </w:t>
      </w:r>
      <w:r w:rsidR="00744E57">
        <w:rPr>
          <w:rFonts w:eastAsia="Calibri"/>
          <w:b/>
          <w:sz w:val="22"/>
          <w:szCs w:val="22"/>
        </w:rPr>
        <w:t xml:space="preserve">susilpnėjusi Jūsų </w:t>
      </w:r>
      <w:r w:rsidRPr="00EF20DC">
        <w:rPr>
          <w:rFonts w:eastAsia="Calibri"/>
          <w:b/>
          <w:sz w:val="22"/>
          <w:szCs w:val="22"/>
        </w:rPr>
        <w:t>inkstų funkcij</w:t>
      </w:r>
      <w:r w:rsidR="00744E57">
        <w:rPr>
          <w:rFonts w:eastAsia="Calibri"/>
          <w:b/>
          <w:sz w:val="22"/>
          <w:szCs w:val="22"/>
        </w:rPr>
        <w:t>a</w:t>
      </w:r>
      <w:r w:rsidRPr="00EF20DC">
        <w:rPr>
          <w:rFonts w:eastAsia="Calibri"/>
          <w:sz w:val="22"/>
          <w:szCs w:val="22"/>
        </w:rPr>
        <w:t xml:space="preserve">. Jūsų gydytojas </w:t>
      </w:r>
      <w:r w:rsidR="00744E57">
        <w:rPr>
          <w:rFonts w:eastAsia="Calibri"/>
          <w:sz w:val="22"/>
          <w:szCs w:val="22"/>
        </w:rPr>
        <w:t>tikrins</w:t>
      </w:r>
      <w:r w:rsidRPr="00EF20DC">
        <w:rPr>
          <w:rFonts w:eastAsia="Calibri"/>
          <w:sz w:val="22"/>
          <w:szCs w:val="22"/>
        </w:rPr>
        <w:t xml:space="preserve"> Jūsų skysči</w:t>
      </w:r>
      <w:r w:rsidR="00744E57">
        <w:rPr>
          <w:rFonts w:eastAsia="Calibri"/>
          <w:sz w:val="22"/>
          <w:szCs w:val="22"/>
        </w:rPr>
        <w:t>o</w:t>
      </w:r>
      <w:r w:rsidRPr="00EF20DC">
        <w:rPr>
          <w:rFonts w:eastAsia="Calibri"/>
          <w:sz w:val="22"/>
          <w:szCs w:val="22"/>
        </w:rPr>
        <w:t xml:space="preserve"> ir elektrolitų pusiausvyrą. </w:t>
      </w:r>
    </w:p>
    <w:p w14:paraId="2058CCE8" w14:textId="3BEDDE72" w:rsidR="00EF20DC" w:rsidRPr="00EF20DC" w:rsidRDefault="00744E57" w:rsidP="001F1094">
      <w:pPr>
        <w:numPr>
          <w:ilvl w:val="2"/>
          <w:numId w:val="5"/>
        </w:numPr>
        <w:spacing w:after="160" w:line="259" w:lineRule="auto"/>
        <w:ind w:left="567" w:hanging="567"/>
        <w:contextualSpacing/>
        <w:rPr>
          <w:rFonts w:eastAsia="Calibri"/>
          <w:sz w:val="22"/>
          <w:szCs w:val="22"/>
        </w:rPr>
      </w:pPr>
      <w:r>
        <w:rPr>
          <w:rFonts w:eastAsia="Calibri"/>
          <w:b/>
          <w:sz w:val="22"/>
          <w:szCs w:val="22"/>
        </w:rPr>
        <w:t>Vaisingumas</w:t>
      </w:r>
      <w:r w:rsidR="00EF20DC" w:rsidRPr="00EF20DC">
        <w:rPr>
          <w:rFonts w:eastAsia="Calibri"/>
          <w:sz w:val="22"/>
          <w:szCs w:val="22"/>
        </w:rPr>
        <w:t xml:space="preserve">. Sorafenib </w:t>
      </w:r>
      <w:r w:rsidR="00D71A25">
        <w:rPr>
          <w:rFonts w:eastAsia="Calibri"/>
          <w:sz w:val="22"/>
          <w:szCs w:val="22"/>
        </w:rPr>
        <w:t>Sandoz</w:t>
      </w:r>
      <w:r w:rsidR="00EF20DC" w:rsidRPr="00EF20DC">
        <w:rPr>
          <w:rFonts w:eastAsia="Calibri"/>
          <w:sz w:val="22"/>
          <w:szCs w:val="22"/>
        </w:rPr>
        <w:t xml:space="preserve"> gali mažinti vyrų ir moterų vaisingumą. Jeigu dėl to nerimau</w:t>
      </w:r>
      <w:r>
        <w:rPr>
          <w:rFonts w:eastAsia="Calibri"/>
          <w:sz w:val="22"/>
          <w:szCs w:val="22"/>
        </w:rPr>
        <w:t>jate</w:t>
      </w:r>
      <w:r w:rsidR="00EF20DC" w:rsidRPr="00EF20DC">
        <w:rPr>
          <w:rFonts w:eastAsia="Calibri"/>
          <w:sz w:val="22"/>
          <w:szCs w:val="22"/>
        </w:rPr>
        <w:t xml:space="preserve">, pasikalbėkite su </w:t>
      </w:r>
      <w:r>
        <w:rPr>
          <w:rFonts w:eastAsia="Calibri"/>
          <w:sz w:val="22"/>
          <w:szCs w:val="22"/>
        </w:rPr>
        <w:t xml:space="preserve">savo </w:t>
      </w:r>
      <w:r w:rsidR="00EF20DC" w:rsidRPr="00EF20DC">
        <w:rPr>
          <w:rFonts w:eastAsia="Calibri"/>
          <w:sz w:val="22"/>
          <w:szCs w:val="22"/>
        </w:rPr>
        <w:t xml:space="preserve">gydytoju. </w:t>
      </w:r>
    </w:p>
    <w:p w14:paraId="09B9A5E5" w14:textId="77777777" w:rsidR="00EF20DC" w:rsidRDefault="00744E57" w:rsidP="00E71EED">
      <w:pPr>
        <w:numPr>
          <w:ilvl w:val="2"/>
          <w:numId w:val="5"/>
        </w:numPr>
        <w:spacing w:line="259" w:lineRule="auto"/>
        <w:ind w:left="562" w:hanging="562"/>
        <w:contextualSpacing/>
        <w:rPr>
          <w:rFonts w:eastAsia="Calibri"/>
          <w:sz w:val="22"/>
          <w:szCs w:val="22"/>
        </w:rPr>
      </w:pPr>
      <w:r>
        <w:rPr>
          <w:rFonts w:eastAsia="Calibri"/>
          <w:b/>
          <w:sz w:val="22"/>
          <w:szCs w:val="22"/>
        </w:rPr>
        <w:t>S</w:t>
      </w:r>
      <w:r w:rsidR="00EF20DC" w:rsidRPr="00EF20DC">
        <w:rPr>
          <w:rFonts w:eastAsia="Calibri"/>
          <w:b/>
          <w:sz w:val="22"/>
          <w:szCs w:val="22"/>
        </w:rPr>
        <w:t>kylės žarnų sienelėje</w:t>
      </w:r>
      <w:r w:rsidR="00EF20DC" w:rsidRPr="00EF20DC">
        <w:rPr>
          <w:rFonts w:eastAsia="Calibri"/>
          <w:sz w:val="22"/>
          <w:szCs w:val="22"/>
        </w:rPr>
        <w:t xml:space="preserve"> (virškinimo trakto prakiurimas) (žr. 4 skyrių „Galimas šalutinis poveikis“). Tokiu atveju </w:t>
      </w:r>
      <w:r>
        <w:rPr>
          <w:rFonts w:eastAsia="Calibri"/>
          <w:sz w:val="22"/>
          <w:szCs w:val="22"/>
        </w:rPr>
        <w:t xml:space="preserve">Jūsų </w:t>
      </w:r>
      <w:r w:rsidR="00EF20DC" w:rsidRPr="00EF20DC">
        <w:rPr>
          <w:rFonts w:eastAsia="Calibri"/>
          <w:sz w:val="22"/>
          <w:szCs w:val="22"/>
        </w:rPr>
        <w:t xml:space="preserve">gydytojas nutrauks gydymą. </w:t>
      </w:r>
    </w:p>
    <w:p w14:paraId="5F8A8DBA" w14:textId="77777777" w:rsidR="00802AD0" w:rsidRPr="006D4AC3" w:rsidRDefault="00802AD0" w:rsidP="00E71EED">
      <w:pPr>
        <w:pStyle w:val="Sraopastraipa"/>
        <w:numPr>
          <w:ilvl w:val="0"/>
          <w:numId w:val="5"/>
        </w:numPr>
        <w:ind w:left="540" w:hanging="540"/>
        <w:rPr>
          <w:rFonts w:ascii="TimesNewRomanPSMT" w:hAnsi="TimesNewRomanPSMT"/>
          <w:color w:val="000000"/>
          <w:sz w:val="22"/>
          <w:szCs w:val="22"/>
        </w:rPr>
      </w:pPr>
      <w:r w:rsidRPr="006D4AC3">
        <w:rPr>
          <w:rFonts w:ascii="TimesNewRomanPS-BoldMT" w:hAnsi="TimesNewRomanPS-BoldMT"/>
          <w:b/>
          <w:bCs/>
          <w:color w:val="000000"/>
          <w:sz w:val="22"/>
          <w:szCs w:val="22"/>
        </w:rPr>
        <w:t>Jeigu sergate skydliauk</w:t>
      </w:r>
      <w:r w:rsidRPr="006D4AC3">
        <w:rPr>
          <w:rFonts w:ascii="TimesNewRomanPS-BoldMT" w:hAnsi="TimesNewRomanPS-BoldMT" w:hint="eastAsia"/>
          <w:b/>
          <w:bCs/>
          <w:color w:val="000000"/>
          <w:sz w:val="22"/>
          <w:szCs w:val="22"/>
        </w:rPr>
        <w:t>ė</w:t>
      </w:r>
      <w:r w:rsidRPr="006D4AC3">
        <w:rPr>
          <w:rFonts w:ascii="TimesNewRomanPS-BoldMT" w:hAnsi="TimesNewRomanPS-BoldMT"/>
          <w:b/>
          <w:bCs/>
          <w:color w:val="000000"/>
          <w:sz w:val="22"/>
          <w:szCs w:val="22"/>
        </w:rPr>
        <w:t>s v</w:t>
      </w:r>
      <w:r w:rsidRPr="006D4AC3">
        <w:rPr>
          <w:rFonts w:ascii="TimesNewRomanPS-BoldMT" w:hAnsi="TimesNewRomanPS-BoldMT" w:hint="eastAsia"/>
          <w:b/>
          <w:bCs/>
          <w:color w:val="000000"/>
          <w:sz w:val="22"/>
          <w:szCs w:val="22"/>
        </w:rPr>
        <w:t>ėž</w:t>
      </w:r>
      <w:r w:rsidRPr="006D4AC3">
        <w:rPr>
          <w:rFonts w:ascii="TimesNewRomanPS-BoldMT" w:hAnsi="TimesNewRomanPS-BoldMT"/>
          <w:b/>
          <w:bCs/>
          <w:color w:val="000000"/>
          <w:sz w:val="22"/>
          <w:szCs w:val="22"/>
        </w:rPr>
        <w:t xml:space="preserve">iu, </w:t>
      </w:r>
      <w:r w:rsidRPr="006D4AC3">
        <w:rPr>
          <w:rFonts w:ascii="TimesNewRomanPSMT" w:hAnsi="TimesNewRomanPSMT"/>
          <w:color w:val="000000"/>
          <w:sz w:val="22"/>
          <w:szCs w:val="22"/>
        </w:rPr>
        <w:t>gydytojas steb</w:t>
      </w:r>
      <w:r w:rsidRPr="006D4AC3">
        <w:rPr>
          <w:rFonts w:ascii="TimesNewRomanPSMT" w:hAnsi="TimesNewRomanPSMT" w:hint="eastAsia"/>
          <w:color w:val="000000"/>
          <w:sz w:val="22"/>
          <w:szCs w:val="22"/>
        </w:rPr>
        <w:t>ė</w:t>
      </w:r>
      <w:r w:rsidRPr="006D4AC3">
        <w:rPr>
          <w:rFonts w:ascii="TimesNewRomanPSMT" w:hAnsi="TimesNewRomanPSMT"/>
          <w:color w:val="000000"/>
          <w:sz w:val="22"/>
          <w:szCs w:val="22"/>
        </w:rPr>
        <w:t>s kalcio ir skydliauk</w:t>
      </w:r>
      <w:r w:rsidRPr="006D4AC3">
        <w:rPr>
          <w:rFonts w:ascii="TimesNewRomanPSMT" w:hAnsi="TimesNewRomanPSMT" w:hint="eastAsia"/>
          <w:color w:val="000000"/>
          <w:sz w:val="22"/>
          <w:szCs w:val="22"/>
        </w:rPr>
        <w:t>ė</w:t>
      </w:r>
      <w:r w:rsidRPr="006D4AC3">
        <w:rPr>
          <w:rFonts w:ascii="TimesNewRomanPSMT" w:hAnsi="TimesNewRomanPSMT"/>
          <w:color w:val="000000"/>
          <w:sz w:val="22"/>
          <w:szCs w:val="22"/>
        </w:rPr>
        <w:t>s hormon</w:t>
      </w:r>
      <w:r w:rsidRPr="006D4AC3">
        <w:rPr>
          <w:rFonts w:ascii="TimesNewRomanPSMT" w:hAnsi="TimesNewRomanPSMT" w:hint="eastAsia"/>
          <w:color w:val="000000"/>
          <w:sz w:val="22"/>
          <w:szCs w:val="22"/>
        </w:rPr>
        <w:t>ų</w:t>
      </w:r>
      <w:r w:rsidRPr="006D4AC3">
        <w:rPr>
          <w:rFonts w:ascii="TimesNewRomanPSMT" w:hAnsi="TimesNewRomanPSMT"/>
          <w:color w:val="000000"/>
          <w:sz w:val="22"/>
          <w:szCs w:val="22"/>
        </w:rPr>
        <w:t xml:space="preserve"> kiek</w:t>
      </w:r>
      <w:r w:rsidRPr="006D4AC3">
        <w:rPr>
          <w:rFonts w:ascii="TimesNewRomanPSMT" w:hAnsi="TimesNewRomanPSMT" w:hint="eastAsia"/>
          <w:color w:val="000000"/>
          <w:sz w:val="22"/>
          <w:szCs w:val="22"/>
        </w:rPr>
        <w:t>į</w:t>
      </w:r>
      <w:r w:rsidRPr="006D4AC3">
        <w:rPr>
          <w:rFonts w:ascii="TimesNewRomanPSMT" w:hAnsi="TimesNewRomanPSMT"/>
          <w:color w:val="000000"/>
          <w:sz w:val="22"/>
          <w:szCs w:val="22"/>
        </w:rPr>
        <w:t xml:space="preserve"> kraujyje.</w:t>
      </w:r>
    </w:p>
    <w:p w14:paraId="616C0165" w14:textId="77777777" w:rsidR="00802AD0" w:rsidRPr="006D4AC3" w:rsidRDefault="00802AD0" w:rsidP="00E71EED">
      <w:pPr>
        <w:pStyle w:val="Sraopastraipa"/>
        <w:numPr>
          <w:ilvl w:val="0"/>
          <w:numId w:val="5"/>
        </w:numPr>
        <w:ind w:left="540" w:hanging="540"/>
        <w:rPr>
          <w:rFonts w:eastAsia="Calibri"/>
          <w:sz w:val="22"/>
          <w:szCs w:val="22"/>
        </w:rPr>
      </w:pPr>
      <w:r w:rsidRPr="006D4AC3">
        <w:rPr>
          <w:rFonts w:ascii="TimesNewRomanPS-BoldMT" w:hAnsi="TimesNewRomanPS-BoldMT"/>
          <w:b/>
          <w:bCs/>
          <w:color w:val="000000"/>
          <w:sz w:val="22"/>
          <w:szCs w:val="22"/>
        </w:rPr>
        <w:t>Jeigu pasireik</w:t>
      </w:r>
      <w:r w:rsidRPr="006D4AC3">
        <w:rPr>
          <w:rFonts w:ascii="TimesNewRomanPS-BoldMT" w:hAnsi="TimesNewRomanPS-BoldMT" w:hint="eastAsia"/>
          <w:b/>
          <w:bCs/>
          <w:color w:val="000000"/>
          <w:sz w:val="22"/>
          <w:szCs w:val="22"/>
        </w:rPr>
        <w:t>š</w:t>
      </w:r>
      <w:r w:rsidRPr="006D4AC3">
        <w:rPr>
          <w:rFonts w:ascii="TimesNewRomanPS-BoldMT" w:hAnsi="TimesNewRomanPS-BoldMT"/>
          <w:b/>
          <w:bCs/>
          <w:color w:val="000000"/>
          <w:sz w:val="22"/>
          <w:szCs w:val="22"/>
        </w:rPr>
        <w:t>t</w:t>
      </w:r>
      <w:r w:rsidRPr="006D4AC3">
        <w:rPr>
          <w:rFonts w:ascii="TimesNewRomanPS-BoldMT" w:hAnsi="TimesNewRomanPS-BoldMT" w:hint="eastAsia"/>
          <w:b/>
          <w:bCs/>
          <w:color w:val="000000"/>
          <w:sz w:val="22"/>
          <w:szCs w:val="22"/>
        </w:rPr>
        <w:t>ų</w:t>
      </w:r>
      <w:r w:rsidRPr="006D4AC3">
        <w:rPr>
          <w:rFonts w:ascii="TimesNewRomanPS-BoldMT" w:hAnsi="TimesNewRomanPS-BoldMT"/>
          <w:b/>
          <w:bCs/>
          <w:color w:val="000000"/>
          <w:sz w:val="22"/>
          <w:szCs w:val="22"/>
        </w:rPr>
        <w:t xml:space="preserve"> toliau nurodyti simptomai, nedelsdami kreipkit</w:t>
      </w:r>
      <w:r w:rsidRPr="006D4AC3">
        <w:rPr>
          <w:rFonts w:ascii="TimesNewRomanPS-BoldMT" w:hAnsi="TimesNewRomanPS-BoldMT" w:hint="eastAsia"/>
          <w:b/>
          <w:bCs/>
          <w:color w:val="000000"/>
          <w:sz w:val="22"/>
          <w:szCs w:val="22"/>
        </w:rPr>
        <w:t>ė</w:t>
      </w:r>
      <w:r w:rsidRPr="006D4AC3">
        <w:rPr>
          <w:rFonts w:ascii="TimesNewRomanPS-BoldMT" w:hAnsi="TimesNewRomanPS-BoldMT"/>
          <w:b/>
          <w:bCs/>
          <w:color w:val="000000"/>
          <w:sz w:val="22"/>
          <w:szCs w:val="22"/>
        </w:rPr>
        <w:t xml:space="preserve">s </w:t>
      </w:r>
      <w:r w:rsidRPr="006D4AC3">
        <w:rPr>
          <w:rFonts w:ascii="TimesNewRomanPS-BoldMT" w:hAnsi="TimesNewRomanPS-BoldMT" w:hint="eastAsia"/>
          <w:b/>
          <w:bCs/>
          <w:color w:val="000000"/>
          <w:sz w:val="22"/>
          <w:szCs w:val="22"/>
        </w:rPr>
        <w:t>į</w:t>
      </w:r>
      <w:r w:rsidRPr="006D4AC3">
        <w:rPr>
          <w:rFonts w:ascii="TimesNewRomanPS-BoldMT" w:hAnsi="TimesNewRomanPS-BoldMT"/>
          <w:b/>
          <w:bCs/>
          <w:color w:val="000000"/>
          <w:sz w:val="22"/>
          <w:szCs w:val="22"/>
        </w:rPr>
        <w:t xml:space="preserve"> gydytoj</w:t>
      </w:r>
      <w:r w:rsidRPr="006D4AC3">
        <w:rPr>
          <w:rFonts w:ascii="TimesNewRomanPS-BoldMT" w:hAnsi="TimesNewRomanPS-BoldMT" w:hint="eastAsia"/>
          <w:b/>
          <w:bCs/>
          <w:color w:val="000000"/>
          <w:sz w:val="22"/>
          <w:szCs w:val="22"/>
        </w:rPr>
        <w:t>ą</w:t>
      </w:r>
      <w:r w:rsidRPr="006D4AC3">
        <w:rPr>
          <w:rFonts w:ascii="TimesNewRomanPS-BoldMT" w:hAnsi="TimesNewRomanPS-BoldMT"/>
          <w:b/>
          <w:bCs/>
          <w:color w:val="000000"/>
          <w:sz w:val="22"/>
          <w:szCs w:val="22"/>
        </w:rPr>
        <w:t>, nes tai gali b</w:t>
      </w:r>
      <w:r w:rsidRPr="006D4AC3">
        <w:rPr>
          <w:rFonts w:ascii="TimesNewRomanPS-BoldMT" w:hAnsi="TimesNewRomanPS-BoldMT" w:hint="eastAsia"/>
          <w:b/>
          <w:bCs/>
          <w:color w:val="000000"/>
          <w:sz w:val="22"/>
          <w:szCs w:val="22"/>
        </w:rPr>
        <w:t>ū</w:t>
      </w:r>
      <w:r w:rsidRPr="006D4AC3">
        <w:rPr>
          <w:rFonts w:ascii="TimesNewRomanPS-BoldMT" w:hAnsi="TimesNewRomanPS-BoldMT"/>
          <w:b/>
          <w:bCs/>
          <w:color w:val="000000"/>
          <w:sz w:val="22"/>
          <w:szCs w:val="22"/>
        </w:rPr>
        <w:t>ti gyvybei pavojinga b</w:t>
      </w:r>
      <w:r w:rsidRPr="006D4AC3">
        <w:rPr>
          <w:rFonts w:ascii="TimesNewRomanPS-BoldMT" w:hAnsi="TimesNewRomanPS-BoldMT" w:hint="eastAsia"/>
          <w:b/>
          <w:bCs/>
          <w:color w:val="000000"/>
          <w:sz w:val="22"/>
          <w:szCs w:val="22"/>
        </w:rPr>
        <w:t>ū</w:t>
      </w:r>
      <w:r w:rsidRPr="006D4AC3">
        <w:rPr>
          <w:rFonts w:ascii="TimesNewRomanPS-BoldMT" w:hAnsi="TimesNewRomanPS-BoldMT"/>
          <w:b/>
          <w:bCs/>
          <w:color w:val="000000"/>
          <w:sz w:val="22"/>
          <w:szCs w:val="22"/>
        </w:rPr>
        <w:t>kl</w:t>
      </w:r>
      <w:r w:rsidRPr="006D4AC3">
        <w:rPr>
          <w:rFonts w:ascii="TimesNewRomanPS-BoldMT" w:hAnsi="TimesNewRomanPS-BoldMT" w:hint="eastAsia"/>
          <w:b/>
          <w:bCs/>
          <w:color w:val="000000"/>
          <w:sz w:val="22"/>
          <w:szCs w:val="22"/>
        </w:rPr>
        <w:t>ė</w:t>
      </w:r>
      <w:r w:rsidRPr="006D4AC3">
        <w:rPr>
          <w:rFonts w:ascii="TimesNewRomanPS-BoldMT" w:hAnsi="TimesNewRomanPS-BoldMT"/>
          <w:b/>
          <w:bCs/>
          <w:color w:val="000000"/>
          <w:sz w:val="22"/>
          <w:szCs w:val="22"/>
        </w:rPr>
        <w:t xml:space="preserve">: </w:t>
      </w:r>
      <w:r w:rsidRPr="006D4AC3">
        <w:rPr>
          <w:rFonts w:ascii="TimesNewRomanPSMT" w:hAnsi="TimesNewRomanPSMT"/>
          <w:color w:val="000000"/>
          <w:sz w:val="22"/>
          <w:szCs w:val="22"/>
        </w:rPr>
        <w:t xml:space="preserve">pykinimas, dusulys, nereguliarus </w:t>
      </w:r>
      <w:r w:rsidRPr="006D4AC3">
        <w:rPr>
          <w:rFonts w:ascii="TimesNewRomanPSMT" w:hAnsi="TimesNewRomanPSMT" w:hint="eastAsia"/>
          <w:color w:val="000000"/>
          <w:sz w:val="22"/>
          <w:szCs w:val="22"/>
        </w:rPr>
        <w:t>š</w:t>
      </w:r>
      <w:r w:rsidRPr="006D4AC3">
        <w:rPr>
          <w:rFonts w:ascii="TimesNewRomanPSMT" w:hAnsi="TimesNewRomanPSMT"/>
          <w:color w:val="000000"/>
          <w:sz w:val="22"/>
          <w:szCs w:val="22"/>
        </w:rPr>
        <w:t>irdies plakimas, raumen</w:t>
      </w:r>
      <w:r w:rsidRPr="006D4AC3">
        <w:rPr>
          <w:rFonts w:ascii="TimesNewRomanPSMT" w:hAnsi="TimesNewRomanPSMT" w:hint="eastAsia"/>
          <w:color w:val="000000"/>
          <w:sz w:val="22"/>
          <w:szCs w:val="22"/>
        </w:rPr>
        <w:t>ų</w:t>
      </w:r>
      <w:r w:rsidRPr="006D4AC3">
        <w:rPr>
          <w:rFonts w:ascii="TimesNewRomanPSMT" w:hAnsi="TimesNewRomanPSMT"/>
          <w:color w:val="000000"/>
          <w:sz w:val="22"/>
          <w:szCs w:val="22"/>
        </w:rPr>
        <w:t xml:space="preserve"> spazmai, traukuliai, </w:t>
      </w:r>
      <w:r w:rsidRPr="006D4AC3">
        <w:rPr>
          <w:rFonts w:ascii="TimesNewRomanPSMT" w:hAnsi="TimesNewRomanPSMT" w:hint="eastAsia"/>
          <w:color w:val="000000"/>
          <w:sz w:val="22"/>
          <w:szCs w:val="22"/>
        </w:rPr>
        <w:t>š</w:t>
      </w:r>
      <w:r w:rsidRPr="006D4AC3">
        <w:rPr>
          <w:rFonts w:ascii="TimesNewRomanPSMT" w:hAnsi="TimesNewRomanPSMT"/>
          <w:color w:val="000000"/>
          <w:sz w:val="22"/>
          <w:szCs w:val="22"/>
        </w:rPr>
        <w:t>lapimo drumstis ir nuovargis. Juos gali sukelti keletas v</w:t>
      </w:r>
      <w:r w:rsidRPr="006D4AC3">
        <w:rPr>
          <w:rFonts w:ascii="TimesNewRomanPSMT" w:hAnsi="TimesNewRomanPSMT" w:hint="eastAsia"/>
          <w:color w:val="000000"/>
          <w:sz w:val="22"/>
          <w:szCs w:val="22"/>
        </w:rPr>
        <w:t>ėžį</w:t>
      </w:r>
      <w:r w:rsidRPr="006D4AC3">
        <w:rPr>
          <w:rFonts w:ascii="TimesNewRomanPSMT" w:hAnsi="TimesNewRomanPSMT"/>
          <w:color w:val="000000"/>
          <w:sz w:val="22"/>
          <w:szCs w:val="22"/>
        </w:rPr>
        <w:t xml:space="preserve"> gydant pasirei</w:t>
      </w:r>
      <w:r w:rsidRPr="006D4AC3">
        <w:rPr>
          <w:rFonts w:ascii="TimesNewRomanPSMT" w:hAnsi="TimesNewRomanPSMT" w:hint="eastAsia"/>
          <w:color w:val="000000"/>
          <w:sz w:val="22"/>
          <w:szCs w:val="22"/>
        </w:rPr>
        <w:t>š</w:t>
      </w:r>
      <w:r w:rsidRPr="006D4AC3">
        <w:rPr>
          <w:rFonts w:ascii="TimesNewRomanPSMT" w:hAnsi="TimesNewRomanPSMT"/>
          <w:color w:val="000000"/>
          <w:sz w:val="22"/>
          <w:szCs w:val="22"/>
        </w:rPr>
        <w:t>kian</w:t>
      </w:r>
      <w:r w:rsidRPr="006D4AC3">
        <w:rPr>
          <w:rFonts w:ascii="TimesNewRomanPSMT" w:hAnsi="TimesNewRomanPSMT" w:hint="eastAsia"/>
          <w:color w:val="000000"/>
          <w:sz w:val="22"/>
          <w:szCs w:val="22"/>
        </w:rPr>
        <w:t>č</w:t>
      </w:r>
      <w:r w:rsidRPr="006D4AC3">
        <w:rPr>
          <w:rFonts w:ascii="TimesNewRomanPSMT" w:hAnsi="TimesNewRomanPSMT"/>
          <w:color w:val="000000"/>
          <w:sz w:val="22"/>
          <w:szCs w:val="22"/>
        </w:rPr>
        <w:t>i</w:t>
      </w:r>
      <w:r w:rsidRPr="006D4AC3">
        <w:rPr>
          <w:rFonts w:ascii="TimesNewRomanPSMT" w:hAnsi="TimesNewRomanPSMT" w:hint="eastAsia"/>
          <w:color w:val="000000"/>
          <w:sz w:val="22"/>
          <w:szCs w:val="22"/>
        </w:rPr>
        <w:t>ų</w:t>
      </w:r>
      <w:r w:rsidRPr="006D4AC3">
        <w:rPr>
          <w:rFonts w:ascii="TimesNewRomanPSMT" w:hAnsi="TimesNewRomanPSMT"/>
          <w:color w:val="000000"/>
          <w:sz w:val="22"/>
          <w:szCs w:val="22"/>
        </w:rPr>
        <w:t xml:space="preserve"> metabolizmo komplikacij</w:t>
      </w:r>
      <w:r w:rsidRPr="006D4AC3">
        <w:rPr>
          <w:rFonts w:ascii="TimesNewRomanPSMT" w:hAnsi="TimesNewRomanPSMT" w:hint="eastAsia"/>
          <w:color w:val="000000"/>
          <w:sz w:val="22"/>
          <w:szCs w:val="22"/>
        </w:rPr>
        <w:t>ų</w:t>
      </w:r>
      <w:r w:rsidRPr="006D4AC3">
        <w:rPr>
          <w:rFonts w:ascii="TimesNewRomanPSMT" w:hAnsi="TimesNewRomanPSMT"/>
          <w:color w:val="000000"/>
          <w:sz w:val="22"/>
          <w:szCs w:val="22"/>
        </w:rPr>
        <w:t xml:space="preserve">, kurias sukelia </w:t>
      </w:r>
      <w:r w:rsidRPr="006D4AC3">
        <w:rPr>
          <w:rFonts w:ascii="TimesNewRomanPSMT" w:hAnsi="TimesNewRomanPSMT" w:hint="eastAsia"/>
          <w:color w:val="000000"/>
          <w:sz w:val="22"/>
          <w:szCs w:val="22"/>
        </w:rPr>
        <w:t>žū</w:t>
      </w:r>
      <w:r w:rsidRPr="006D4AC3">
        <w:rPr>
          <w:rFonts w:ascii="TimesNewRomanPSMT" w:hAnsi="TimesNewRomanPSMT"/>
          <w:color w:val="000000"/>
          <w:sz w:val="22"/>
          <w:szCs w:val="22"/>
        </w:rPr>
        <w:t>stan</w:t>
      </w:r>
      <w:r w:rsidRPr="006D4AC3">
        <w:rPr>
          <w:rFonts w:ascii="TimesNewRomanPSMT" w:hAnsi="TimesNewRomanPSMT" w:hint="eastAsia"/>
          <w:color w:val="000000"/>
          <w:sz w:val="22"/>
          <w:szCs w:val="22"/>
        </w:rPr>
        <w:t>č</w:t>
      </w:r>
      <w:r w:rsidRPr="006D4AC3">
        <w:rPr>
          <w:rFonts w:ascii="TimesNewRomanPSMT" w:hAnsi="TimesNewRomanPSMT"/>
          <w:color w:val="000000"/>
          <w:sz w:val="22"/>
          <w:szCs w:val="22"/>
        </w:rPr>
        <w:t>i</w:t>
      </w:r>
      <w:r w:rsidRPr="006D4AC3">
        <w:rPr>
          <w:rFonts w:ascii="TimesNewRomanPSMT" w:hAnsi="TimesNewRomanPSMT" w:hint="eastAsia"/>
          <w:color w:val="000000"/>
          <w:sz w:val="22"/>
          <w:szCs w:val="22"/>
        </w:rPr>
        <w:t>ų</w:t>
      </w:r>
      <w:r w:rsidRPr="006D4AC3">
        <w:rPr>
          <w:rFonts w:ascii="TimesNewRomanPSMT" w:hAnsi="TimesNewRomanPSMT"/>
          <w:color w:val="000000"/>
          <w:sz w:val="22"/>
          <w:szCs w:val="22"/>
        </w:rPr>
        <w:t xml:space="preserve"> v</w:t>
      </w:r>
      <w:r w:rsidRPr="006D4AC3">
        <w:rPr>
          <w:rFonts w:ascii="TimesNewRomanPSMT" w:hAnsi="TimesNewRomanPSMT" w:hint="eastAsia"/>
          <w:color w:val="000000"/>
          <w:sz w:val="22"/>
          <w:szCs w:val="22"/>
        </w:rPr>
        <w:t>ėž</w:t>
      </w:r>
      <w:r w:rsidRPr="006D4AC3">
        <w:rPr>
          <w:rFonts w:ascii="TimesNewRomanPSMT" w:hAnsi="TimesNewRomanPSMT"/>
          <w:color w:val="000000"/>
          <w:sz w:val="22"/>
          <w:szCs w:val="22"/>
        </w:rPr>
        <w:t>ini</w:t>
      </w:r>
      <w:r w:rsidRPr="006D4AC3">
        <w:rPr>
          <w:rFonts w:ascii="TimesNewRomanPSMT" w:hAnsi="TimesNewRomanPSMT" w:hint="eastAsia"/>
          <w:color w:val="000000"/>
          <w:sz w:val="22"/>
          <w:szCs w:val="22"/>
        </w:rPr>
        <w:t>ų</w:t>
      </w:r>
      <w:r w:rsidRPr="006D4AC3">
        <w:rPr>
          <w:rFonts w:ascii="TimesNewRomanPSMT" w:hAnsi="TimesNewRomanPSMT"/>
          <w:color w:val="000000"/>
          <w:sz w:val="22"/>
          <w:szCs w:val="22"/>
        </w:rPr>
        <w:t xml:space="preserve"> l</w:t>
      </w:r>
      <w:r w:rsidRPr="006D4AC3">
        <w:rPr>
          <w:rFonts w:ascii="TimesNewRomanPSMT" w:hAnsi="TimesNewRomanPSMT" w:hint="eastAsia"/>
          <w:color w:val="000000"/>
          <w:sz w:val="22"/>
          <w:szCs w:val="22"/>
        </w:rPr>
        <w:t>ą</w:t>
      </w:r>
      <w:r w:rsidRPr="006D4AC3">
        <w:rPr>
          <w:rFonts w:ascii="TimesNewRomanPSMT" w:hAnsi="TimesNewRomanPSMT"/>
          <w:color w:val="000000"/>
          <w:sz w:val="22"/>
          <w:szCs w:val="22"/>
        </w:rPr>
        <w:t>steli</w:t>
      </w:r>
      <w:r w:rsidRPr="006D4AC3">
        <w:rPr>
          <w:rFonts w:ascii="TimesNewRomanPSMT" w:hAnsi="TimesNewRomanPSMT" w:hint="eastAsia"/>
          <w:color w:val="000000"/>
          <w:sz w:val="22"/>
          <w:szCs w:val="22"/>
        </w:rPr>
        <w:t>ų</w:t>
      </w:r>
      <w:r w:rsidRPr="006D4AC3">
        <w:rPr>
          <w:rFonts w:ascii="TimesNewRomanPSMT" w:hAnsi="TimesNewRomanPSMT"/>
          <w:color w:val="000000"/>
          <w:sz w:val="22"/>
          <w:szCs w:val="22"/>
        </w:rPr>
        <w:t xml:space="preserve"> irimo produktai (naviko irimo </w:t>
      </w:r>
      <w:r>
        <w:rPr>
          <w:rFonts w:ascii="TimesNewRomanPSMT" w:hAnsi="TimesNewRomanPSMT"/>
          <w:color w:val="000000"/>
          <w:sz w:val="22"/>
          <w:szCs w:val="22"/>
        </w:rPr>
        <w:t>[</w:t>
      </w:r>
      <w:r w:rsidRPr="006D4AC3">
        <w:rPr>
          <w:rFonts w:ascii="TimesNewRomanPSMT" w:hAnsi="TimesNewRomanPSMT"/>
          <w:color w:val="000000"/>
          <w:sz w:val="22"/>
          <w:szCs w:val="22"/>
        </w:rPr>
        <w:t>liz</w:t>
      </w:r>
      <w:r w:rsidRPr="006D4AC3">
        <w:rPr>
          <w:rFonts w:ascii="TimesNewRomanPSMT" w:hAnsi="TimesNewRomanPSMT" w:hint="eastAsia"/>
          <w:color w:val="000000"/>
          <w:sz w:val="22"/>
          <w:szCs w:val="22"/>
        </w:rPr>
        <w:t>ė</w:t>
      </w:r>
      <w:r w:rsidRPr="006D4AC3">
        <w:rPr>
          <w:rFonts w:ascii="TimesNewRomanPSMT" w:hAnsi="TimesNewRomanPSMT"/>
          <w:color w:val="000000"/>
          <w:sz w:val="22"/>
          <w:szCs w:val="22"/>
        </w:rPr>
        <w:t>s</w:t>
      </w:r>
      <w:r>
        <w:rPr>
          <w:rFonts w:ascii="TimesNewRomanPSMT" w:hAnsi="TimesNewRomanPSMT"/>
          <w:color w:val="000000"/>
          <w:sz w:val="22"/>
          <w:szCs w:val="22"/>
        </w:rPr>
        <w:t>]</w:t>
      </w:r>
      <w:r w:rsidRPr="006D4AC3">
        <w:rPr>
          <w:rFonts w:ascii="TimesNewRomanPSMT" w:hAnsi="TimesNewRomanPSMT"/>
          <w:color w:val="000000"/>
          <w:sz w:val="22"/>
          <w:szCs w:val="22"/>
        </w:rPr>
        <w:t xml:space="preserve"> sindromas </w:t>
      </w:r>
      <w:r>
        <w:rPr>
          <w:rFonts w:ascii="TimesNewRomanPSMT" w:hAnsi="TimesNewRomanPSMT"/>
          <w:color w:val="000000"/>
          <w:sz w:val="22"/>
          <w:szCs w:val="22"/>
        </w:rPr>
        <w:t>[</w:t>
      </w:r>
      <w:r w:rsidRPr="006D4AC3">
        <w:rPr>
          <w:rFonts w:ascii="TimesNewRomanPSMT" w:hAnsi="TimesNewRomanPSMT"/>
          <w:color w:val="000000"/>
          <w:sz w:val="22"/>
          <w:szCs w:val="22"/>
        </w:rPr>
        <w:t>NIS</w:t>
      </w:r>
      <w:r>
        <w:rPr>
          <w:rFonts w:ascii="TimesNewRomanPSMT" w:hAnsi="TimesNewRomanPSMT"/>
          <w:color w:val="000000"/>
          <w:sz w:val="22"/>
          <w:szCs w:val="22"/>
        </w:rPr>
        <w:t>]</w:t>
      </w:r>
      <w:r w:rsidRPr="006D4AC3">
        <w:rPr>
          <w:rFonts w:ascii="TimesNewRomanPSMT" w:hAnsi="TimesNewRomanPSMT"/>
          <w:color w:val="000000"/>
          <w:sz w:val="22"/>
          <w:szCs w:val="22"/>
        </w:rPr>
        <w:t>), ir d</w:t>
      </w:r>
      <w:r w:rsidRPr="006D4AC3">
        <w:rPr>
          <w:rFonts w:ascii="TimesNewRomanPSMT" w:hAnsi="TimesNewRomanPSMT" w:hint="eastAsia"/>
          <w:color w:val="000000"/>
          <w:sz w:val="22"/>
          <w:szCs w:val="22"/>
        </w:rPr>
        <w:t>ė</w:t>
      </w:r>
      <w:r w:rsidRPr="006D4AC3">
        <w:rPr>
          <w:rFonts w:ascii="TimesNewRomanPSMT" w:hAnsi="TimesNewRomanPSMT"/>
          <w:color w:val="000000"/>
          <w:sz w:val="22"/>
          <w:szCs w:val="22"/>
        </w:rPr>
        <w:t>l kuri</w:t>
      </w:r>
      <w:r w:rsidRPr="006D4AC3">
        <w:rPr>
          <w:rFonts w:ascii="TimesNewRomanPSMT" w:hAnsi="TimesNewRomanPSMT" w:hint="eastAsia"/>
          <w:color w:val="000000"/>
          <w:sz w:val="22"/>
          <w:szCs w:val="22"/>
        </w:rPr>
        <w:t>ų</w:t>
      </w:r>
      <w:r w:rsidRPr="006D4AC3">
        <w:rPr>
          <w:rFonts w:ascii="TimesNewRomanPSMT" w:hAnsi="TimesNewRomanPSMT"/>
          <w:color w:val="000000"/>
          <w:sz w:val="22"/>
          <w:szCs w:val="22"/>
        </w:rPr>
        <w:t xml:space="preserve"> gali i</w:t>
      </w:r>
      <w:r w:rsidRPr="006D4AC3">
        <w:rPr>
          <w:rFonts w:ascii="TimesNewRomanPSMT" w:hAnsi="TimesNewRomanPSMT" w:hint="eastAsia"/>
          <w:color w:val="000000"/>
          <w:sz w:val="22"/>
          <w:szCs w:val="22"/>
        </w:rPr>
        <w:t>š</w:t>
      </w:r>
      <w:r w:rsidRPr="006D4AC3">
        <w:rPr>
          <w:rFonts w:ascii="TimesNewRomanPSMT" w:hAnsi="TimesNewRomanPSMT"/>
          <w:color w:val="000000"/>
          <w:sz w:val="22"/>
          <w:szCs w:val="22"/>
        </w:rPr>
        <w:t>sivystyti inkst</w:t>
      </w:r>
      <w:r w:rsidRPr="006D4AC3">
        <w:rPr>
          <w:rFonts w:ascii="TimesNewRomanPSMT" w:hAnsi="TimesNewRomanPSMT" w:hint="eastAsia"/>
          <w:color w:val="000000"/>
          <w:sz w:val="22"/>
          <w:szCs w:val="22"/>
        </w:rPr>
        <w:t>ų</w:t>
      </w:r>
      <w:r w:rsidRPr="006D4AC3">
        <w:rPr>
          <w:rFonts w:ascii="TimesNewRomanPSMT" w:hAnsi="TimesNewRomanPSMT"/>
          <w:color w:val="000000"/>
          <w:sz w:val="22"/>
          <w:szCs w:val="22"/>
        </w:rPr>
        <w:t xml:space="preserve"> funkcijos poky</w:t>
      </w:r>
      <w:r w:rsidRPr="006D4AC3">
        <w:rPr>
          <w:rFonts w:ascii="TimesNewRomanPSMT" w:hAnsi="TimesNewRomanPSMT" w:hint="eastAsia"/>
          <w:color w:val="000000"/>
          <w:sz w:val="22"/>
          <w:szCs w:val="22"/>
        </w:rPr>
        <w:t>č</w:t>
      </w:r>
      <w:r w:rsidRPr="006D4AC3">
        <w:rPr>
          <w:rFonts w:ascii="TimesNewRomanPSMT" w:hAnsi="TimesNewRomanPSMT"/>
          <w:color w:val="000000"/>
          <w:sz w:val="22"/>
          <w:szCs w:val="22"/>
        </w:rPr>
        <w:t xml:space="preserve">iai ir </w:t>
      </w:r>
      <w:r w:rsidRPr="006D4AC3">
        <w:rPr>
          <w:rFonts w:ascii="TimesNewRomanPSMT" w:hAnsi="TimesNewRomanPSMT" w:hint="eastAsia"/>
          <w:color w:val="000000"/>
          <w:sz w:val="22"/>
          <w:szCs w:val="22"/>
        </w:rPr>
        <w:t>ū</w:t>
      </w:r>
      <w:r w:rsidRPr="006D4AC3">
        <w:rPr>
          <w:rFonts w:ascii="TimesNewRomanPSMT" w:hAnsi="TimesNewRomanPSMT"/>
          <w:color w:val="000000"/>
          <w:sz w:val="22"/>
          <w:szCs w:val="22"/>
        </w:rPr>
        <w:t>minis inkst</w:t>
      </w:r>
      <w:r w:rsidRPr="006D4AC3">
        <w:rPr>
          <w:rFonts w:ascii="TimesNewRomanPSMT" w:hAnsi="TimesNewRomanPSMT" w:hint="eastAsia"/>
          <w:color w:val="000000"/>
          <w:sz w:val="22"/>
          <w:szCs w:val="22"/>
        </w:rPr>
        <w:t>ų</w:t>
      </w:r>
      <w:r w:rsidRPr="006D4AC3">
        <w:rPr>
          <w:rFonts w:ascii="TimesNewRomanPSMT" w:hAnsi="TimesNewRomanPSMT"/>
          <w:color w:val="000000"/>
          <w:sz w:val="22"/>
          <w:szCs w:val="22"/>
        </w:rPr>
        <w:t xml:space="preserve"> nepakankamumas (taip pat </w:t>
      </w:r>
      <w:r w:rsidRPr="006D4AC3">
        <w:rPr>
          <w:rFonts w:ascii="TimesNewRomanPSMT" w:hAnsi="TimesNewRomanPSMT" w:hint="eastAsia"/>
          <w:color w:val="000000"/>
          <w:sz w:val="22"/>
          <w:szCs w:val="22"/>
        </w:rPr>
        <w:t>ž</w:t>
      </w:r>
      <w:r w:rsidRPr="006D4AC3">
        <w:rPr>
          <w:rFonts w:ascii="TimesNewRomanPSMT" w:hAnsi="TimesNewRomanPSMT"/>
          <w:color w:val="000000"/>
          <w:sz w:val="22"/>
          <w:szCs w:val="22"/>
        </w:rPr>
        <w:t>r. 4 skyri</w:t>
      </w:r>
      <w:r w:rsidRPr="006D4AC3">
        <w:rPr>
          <w:rFonts w:ascii="TimesNewRomanPSMT" w:hAnsi="TimesNewRomanPSMT" w:hint="eastAsia"/>
          <w:color w:val="000000"/>
          <w:sz w:val="22"/>
          <w:szCs w:val="22"/>
        </w:rPr>
        <w:t>ų</w:t>
      </w:r>
      <w:r w:rsidRPr="006D4AC3">
        <w:rPr>
          <w:rFonts w:ascii="TimesNewRomanPSMT" w:hAnsi="TimesNewRomanPSMT"/>
          <w:color w:val="000000"/>
          <w:sz w:val="22"/>
          <w:szCs w:val="22"/>
        </w:rPr>
        <w:t xml:space="preserve"> </w:t>
      </w:r>
      <w:r w:rsidRPr="006D4AC3">
        <w:rPr>
          <w:rFonts w:ascii="TimesNewRomanPSMT" w:hAnsi="TimesNewRomanPSMT" w:hint="eastAsia"/>
          <w:color w:val="000000"/>
          <w:sz w:val="22"/>
          <w:szCs w:val="22"/>
        </w:rPr>
        <w:t>„</w:t>
      </w:r>
      <w:r w:rsidRPr="006D4AC3">
        <w:rPr>
          <w:rFonts w:ascii="TimesNewRomanPSMT" w:hAnsi="TimesNewRomanPSMT"/>
          <w:color w:val="000000"/>
          <w:sz w:val="22"/>
          <w:szCs w:val="22"/>
        </w:rPr>
        <w:t xml:space="preserve">Galimas </w:t>
      </w:r>
      <w:r w:rsidRPr="006D4AC3">
        <w:rPr>
          <w:rFonts w:ascii="TimesNewRomanPSMT" w:hAnsi="TimesNewRomanPSMT" w:hint="eastAsia"/>
          <w:color w:val="000000"/>
          <w:sz w:val="22"/>
          <w:szCs w:val="22"/>
        </w:rPr>
        <w:t>š</w:t>
      </w:r>
      <w:r w:rsidRPr="006D4AC3">
        <w:rPr>
          <w:rFonts w:ascii="TimesNewRomanPSMT" w:hAnsi="TimesNewRomanPSMT"/>
          <w:color w:val="000000"/>
          <w:sz w:val="22"/>
          <w:szCs w:val="22"/>
        </w:rPr>
        <w:t>alutinis poveikis</w:t>
      </w:r>
      <w:r w:rsidRPr="006D4AC3">
        <w:rPr>
          <w:rFonts w:ascii="TimesNewRomanPSMT" w:hAnsi="TimesNewRomanPSMT" w:hint="eastAsia"/>
          <w:color w:val="000000"/>
          <w:sz w:val="22"/>
          <w:szCs w:val="22"/>
        </w:rPr>
        <w:t>“</w:t>
      </w:r>
      <w:r w:rsidRPr="006D4AC3">
        <w:rPr>
          <w:rFonts w:ascii="TimesNewRomanPSMT" w:hAnsi="TimesNewRomanPSMT"/>
          <w:color w:val="000000"/>
          <w:sz w:val="22"/>
          <w:szCs w:val="22"/>
        </w:rPr>
        <w:t>).</w:t>
      </w:r>
    </w:p>
    <w:p w14:paraId="321DEBDA" w14:textId="77777777" w:rsidR="00EF20DC" w:rsidRPr="00EF20DC" w:rsidRDefault="00EF20DC" w:rsidP="001F1094">
      <w:pPr>
        <w:rPr>
          <w:rFonts w:eastAsia="Calibri"/>
          <w:sz w:val="22"/>
          <w:szCs w:val="22"/>
        </w:rPr>
      </w:pPr>
    </w:p>
    <w:p w14:paraId="40EDE3BC" w14:textId="2F7B89DE" w:rsidR="00EF20DC" w:rsidRPr="00EF20DC" w:rsidRDefault="00EF20DC" w:rsidP="001F1094">
      <w:pPr>
        <w:rPr>
          <w:rFonts w:eastAsia="Calibri"/>
          <w:sz w:val="22"/>
          <w:szCs w:val="22"/>
        </w:rPr>
      </w:pPr>
      <w:r w:rsidRPr="00EF20DC">
        <w:rPr>
          <w:rFonts w:eastAsia="Calibri"/>
          <w:b/>
          <w:sz w:val="22"/>
          <w:szCs w:val="22"/>
        </w:rPr>
        <w:t xml:space="preserve">Jeigu Jums yra kuri nors iš minėtų būklių, pasakykite </w:t>
      </w:r>
      <w:r w:rsidR="00744E57">
        <w:rPr>
          <w:rFonts w:eastAsia="Calibri"/>
          <w:b/>
          <w:sz w:val="22"/>
          <w:szCs w:val="22"/>
        </w:rPr>
        <w:t xml:space="preserve">savo </w:t>
      </w:r>
      <w:r w:rsidRPr="00EF20DC">
        <w:rPr>
          <w:rFonts w:eastAsia="Calibri"/>
          <w:b/>
          <w:sz w:val="22"/>
          <w:szCs w:val="22"/>
        </w:rPr>
        <w:t>gydytojui</w:t>
      </w:r>
      <w:r w:rsidRPr="00EF20DC">
        <w:rPr>
          <w:rFonts w:eastAsia="Calibri"/>
          <w:sz w:val="22"/>
          <w:szCs w:val="22"/>
        </w:rPr>
        <w:t xml:space="preserve">. Gali prireikti tokią būklę gydyti, be to, </w:t>
      </w:r>
      <w:r w:rsidR="00744E57">
        <w:rPr>
          <w:rFonts w:eastAsia="Calibri"/>
          <w:sz w:val="22"/>
          <w:szCs w:val="22"/>
        </w:rPr>
        <w:t xml:space="preserve">Jūsų </w:t>
      </w:r>
      <w:r w:rsidRPr="00EF20DC">
        <w:rPr>
          <w:rFonts w:eastAsia="Calibri"/>
          <w:sz w:val="22"/>
          <w:szCs w:val="22"/>
        </w:rPr>
        <w:t xml:space="preserve">gydytojas gali nuspręsti keisti Sorafenib </w:t>
      </w:r>
      <w:r w:rsidR="00D71A25">
        <w:rPr>
          <w:rFonts w:eastAsia="Calibri"/>
          <w:sz w:val="22"/>
          <w:szCs w:val="22"/>
        </w:rPr>
        <w:t>Sandoz</w:t>
      </w:r>
      <w:r w:rsidRPr="00EF20DC">
        <w:rPr>
          <w:rFonts w:eastAsia="Calibri"/>
          <w:sz w:val="22"/>
          <w:szCs w:val="22"/>
        </w:rPr>
        <w:t xml:space="preserve"> dozę arba visiškai nutraukti</w:t>
      </w:r>
      <w:r w:rsidR="00744E57">
        <w:rPr>
          <w:rFonts w:eastAsia="Calibri"/>
          <w:sz w:val="22"/>
          <w:szCs w:val="22"/>
        </w:rPr>
        <w:t xml:space="preserve"> gydymą</w:t>
      </w:r>
      <w:r w:rsidRPr="00EF20DC">
        <w:rPr>
          <w:rFonts w:eastAsia="Calibri"/>
          <w:sz w:val="22"/>
          <w:szCs w:val="22"/>
        </w:rPr>
        <w:t xml:space="preserve"> (</w:t>
      </w:r>
      <w:r w:rsidR="00744E57">
        <w:rPr>
          <w:rFonts w:eastAsia="Calibri"/>
          <w:sz w:val="22"/>
          <w:szCs w:val="22"/>
        </w:rPr>
        <w:t xml:space="preserve"> taip pat </w:t>
      </w:r>
      <w:r w:rsidRPr="00EF20DC">
        <w:rPr>
          <w:rFonts w:eastAsia="Calibri"/>
          <w:sz w:val="22"/>
          <w:szCs w:val="22"/>
        </w:rPr>
        <w:t xml:space="preserve">žr. 4 skyrių „Galimas šalutinis poveikis“). </w:t>
      </w:r>
    </w:p>
    <w:p w14:paraId="01467F76" w14:textId="77777777" w:rsidR="00EF20DC" w:rsidRPr="00EF20DC" w:rsidRDefault="00EF20DC" w:rsidP="001F1094">
      <w:pPr>
        <w:rPr>
          <w:rFonts w:eastAsia="Calibri"/>
          <w:sz w:val="22"/>
          <w:szCs w:val="22"/>
        </w:rPr>
      </w:pPr>
      <w:r w:rsidRPr="00EF20DC">
        <w:rPr>
          <w:rFonts w:eastAsia="Calibri"/>
          <w:sz w:val="22"/>
          <w:szCs w:val="22"/>
        </w:rPr>
        <w:t xml:space="preserve"> </w:t>
      </w:r>
    </w:p>
    <w:p w14:paraId="08949562" w14:textId="77777777" w:rsidR="00EF20DC" w:rsidRPr="00EF20DC" w:rsidRDefault="00EF20DC" w:rsidP="001F1094">
      <w:pPr>
        <w:rPr>
          <w:rFonts w:eastAsia="Calibri"/>
          <w:b/>
          <w:sz w:val="22"/>
          <w:szCs w:val="22"/>
        </w:rPr>
      </w:pPr>
      <w:r w:rsidRPr="00EF20DC">
        <w:rPr>
          <w:rFonts w:eastAsia="Calibri"/>
          <w:b/>
          <w:sz w:val="22"/>
          <w:szCs w:val="22"/>
        </w:rPr>
        <w:t xml:space="preserve">Vaikams ir paaugliams </w:t>
      </w:r>
    </w:p>
    <w:p w14:paraId="473376F7" w14:textId="3164C3F2" w:rsidR="00EF20DC" w:rsidRPr="00EF20DC" w:rsidRDefault="007A0B1B" w:rsidP="001F1094">
      <w:pPr>
        <w:rPr>
          <w:rFonts w:eastAsia="Calibri"/>
          <w:sz w:val="22"/>
          <w:szCs w:val="22"/>
        </w:rPr>
      </w:pPr>
      <w:r w:rsidRPr="00EF20DC">
        <w:rPr>
          <w:rFonts w:eastAsia="Calibri"/>
          <w:sz w:val="22"/>
          <w:szCs w:val="22"/>
        </w:rPr>
        <w:t xml:space="preserve">Sorafenib </w:t>
      </w:r>
      <w:r w:rsidR="00D71A25">
        <w:rPr>
          <w:rFonts w:eastAsia="Calibri"/>
          <w:sz w:val="22"/>
          <w:szCs w:val="22"/>
        </w:rPr>
        <w:t>Sandoz</w:t>
      </w:r>
      <w:r>
        <w:rPr>
          <w:rFonts w:eastAsia="Calibri"/>
          <w:sz w:val="22"/>
          <w:szCs w:val="22"/>
        </w:rPr>
        <w:t xml:space="preserve"> vartojimas v</w:t>
      </w:r>
      <w:r w:rsidR="00EF20DC" w:rsidRPr="00EF20DC">
        <w:rPr>
          <w:rFonts w:eastAsia="Calibri"/>
          <w:sz w:val="22"/>
          <w:szCs w:val="22"/>
        </w:rPr>
        <w:t xml:space="preserve">aikams ir paaugliams dar neištirtas. </w:t>
      </w:r>
    </w:p>
    <w:p w14:paraId="1C67C713" w14:textId="77777777" w:rsidR="00EF20DC" w:rsidRPr="00EF20DC" w:rsidRDefault="00EF20DC" w:rsidP="001F1094">
      <w:pPr>
        <w:rPr>
          <w:rFonts w:eastAsia="Calibri"/>
          <w:sz w:val="22"/>
          <w:szCs w:val="22"/>
        </w:rPr>
      </w:pPr>
    </w:p>
    <w:p w14:paraId="544CDDE5" w14:textId="01BDDA88" w:rsidR="00EF20DC" w:rsidRPr="00EF20DC" w:rsidRDefault="00EF20DC" w:rsidP="001F1094">
      <w:pPr>
        <w:rPr>
          <w:rFonts w:eastAsia="Calibri"/>
          <w:b/>
          <w:sz w:val="22"/>
          <w:szCs w:val="22"/>
        </w:rPr>
      </w:pPr>
      <w:r w:rsidRPr="00EF20DC">
        <w:rPr>
          <w:rFonts w:eastAsia="Calibri"/>
          <w:b/>
          <w:sz w:val="22"/>
          <w:szCs w:val="22"/>
        </w:rPr>
        <w:t xml:space="preserve">Kiti vaistai ir Sorafenib </w:t>
      </w:r>
      <w:r w:rsidR="00D71A25">
        <w:rPr>
          <w:rFonts w:eastAsia="Calibri"/>
          <w:b/>
          <w:sz w:val="22"/>
          <w:szCs w:val="22"/>
        </w:rPr>
        <w:t>Sandoz</w:t>
      </w:r>
      <w:r w:rsidRPr="00EF20DC">
        <w:rPr>
          <w:rFonts w:eastAsia="Calibri"/>
          <w:b/>
          <w:sz w:val="22"/>
          <w:szCs w:val="22"/>
        </w:rPr>
        <w:t xml:space="preserve"> </w:t>
      </w:r>
    </w:p>
    <w:p w14:paraId="23E98AA9" w14:textId="6B754F0C" w:rsidR="00EF20DC" w:rsidRPr="00EF20DC" w:rsidRDefault="00EF20DC" w:rsidP="001F1094">
      <w:pPr>
        <w:rPr>
          <w:rFonts w:eastAsia="Calibri"/>
          <w:sz w:val="22"/>
          <w:szCs w:val="22"/>
        </w:rPr>
      </w:pPr>
      <w:r w:rsidRPr="00EF20DC">
        <w:rPr>
          <w:rFonts w:eastAsia="Calibri"/>
          <w:sz w:val="22"/>
          <w:szCs w:val="22"/>
        </w:rPr>
        <w:t xml:space="preserve">Kai kurie vaistai, vartojami kartu su Sorafenib </w:t>
      </w:r>
      <w:r w:rsidR="00D71A25">
        <w:rPr>
          <w:rFonts w:eastAsia="Calibri"/>
          <w:sz w:val="22"/>
          <w:szCs w:val="22"/>
        </w:rPr>
        <w:t>Sandoz</w:t>
      </w:r>
      <w:r w:rsidRPr="00EF20DC">
        <w:rPr>
          <w:rFonts w:eastAsia="Calibri"/>
          <w:sz w:val="22"/>
          <w:szCs w:val="22"/>
        </w:rPr>
        <w:t xml:space="preserve">, gali daryti įtaką vienas kito poveikiui. Jeigu vartojate ar neseniai vartojote šiame sąraše </w:t>
      </w:r>
      <w:r w:rsidR="007A0B1B">
        <w:rPr>
          <w:rFonts w:eastAsia="Calibri"/>
          <w:sz w:val="22"/>
          <w:szCs w:val="22"/>
        </w:rPr>
        <w:t>išvardytų</w:t>
      </w:r>
      <w:r w:rsidRPr="00EF20DC">
        <w:rPr>
          <w:rFonts w:eastAsia="Calibri"/>
          <w:sz w:val="22"/>
          <w:szCs w:val="22"/>
        </w:rPr>
        <w:t xml:space="preserve"> arba kitų vaistų, įskaitant įsigytus be recepto, arba dėl to nesate tikri, apie tai pasakykite gydytojui arba vaistininkui: </w:t>
      </w:r>
    </w:p>
    <w:p w14:paraId="51794185" w14:textId="77777777" w:rsidR="00EF20DC" w:rsidRPr="00EF20DC" w:rsidRDefault="00EF20DC" w:rsidP="001F1094">
      <w:pPr>
        <w:numPr>
          <w:ilvl w:val="0"/>
          <w:numId w:val="6"/>
        </w:numPr>
        <w:spacing w:after="160" w:line="259" w:lineRule="auto"/>
        <w:ind w:left="567" w:hanging="567"/>
        <w:contextualSpacing/>
        <w:rPr>
          <w:rFonts w:eastAsia="Calibri"/>
          <w:sz w:val="22"/>
          <w:szCs w:val="22"/>
        </w:rPr>
      </w:pPr>
      <w:r w:rsidRPr="00EF20DC">
        <w:rPr>
          <w:rFonts w:eastAsia="Calibri"/>
          <w:sz w:val="22"/>
          <w:szCs w:val="22"/>
        </w:rPr>
        <w:t>rifampicino, neomicino ar kitų vaistų</w:t>
      </w:r>
      <w:r w:rsidR="007A0B1B">
        <w:rPr>
          <w:rFonts w:eastAsia="Calibri"/>
          <w:sz w:val="22"/>
          <w:szCs w:val="22"/>
        </w:rPr>
        <w:t>, vartojamų gydyti nuo</w:t>
      </w:r>
      <w:r w:rsidRPr="00EF20DC">
        <w:rPr>
          <w:rFonts w:eastAsia="Calibri"/>
          <w:sz w:val="22"/>
          <w:szCs w:val="22"/>
        </w:rPr>
        <w:t xml:space="preserve"> infekcij</w:t>
      </w:r>
      <w:r w:rsidR="007A0B1B">
        <w:rPr>
          <w:rFonts w:eastAsia="Calibri"/>
          <w:sz w:val="22"/>
          <w:szCs w:val="22"/>
        </w:rPr>
        <w:t>ų</w:t>
      </w:r>
      <w:r w:rsidRPr="00EF20DC">
        <w:rPr>
          <w:rFonts w:eastAsia="Calibri"/>
          <w:sz w:val="22"/>
          <w:szCs w:val="22"/>
        </w:rPr>
        <w:t xml:space="preserve"> </w:t>
      </w:r>
      <w:r w:rsidRPr="007A0B1B">
        <w:rPr>
          <w:rFonts w:eastAsia="Calibri"/>
          <w:b/>
          <w:sz w:val="22"/>
          <w:szCs w:val="22"/>
        </w:rPr>
        <w:t>(antibiotikų);</w:t>
      </w:r>
    </w:p>
    <w:p w14:paraId="33D37A23" w14:textId="77777777" w:rsidR="00EF20DC" w:rsidRPr="00EF20DC" w:rsidRDefault="00EF20DC" w:rsidP="001F1094">
      <w:pPr>
        <w:numPr>
          <w:ilvl w:val="2"/>
          <w:numId w:val="7"/>
        </w:numPr>
        <w:spacing w:after="160" w:line="259" w:lineRule="auto"/>
        <w:ind w:left="567" w:hanging="567"/>
        <w:contextualSpacing/>
        <w:rPr>
          <w:rFonts w:eastAsia="Calibri"/>
          <w:sz w:val="22"/>
          <w:szCs w:val="22"/>
        </w:rPr>
      </w:pPr>
      <w:r w:rsidRPr="00EF20DC">
        <w:rPr>
          <w:rFonts w:eastAsia="Calibri"/>
          <w:sz w:val="22"/>
          <w:szCs w:val="22"/>
        </w:rPr>
        <w:t xml:space="preserve">paprastųjų jonažolių </w:t>
      </w:r>
      <w:r w:rsidR="00B34807">
        <w:rPr>
          <w:rFonts w:eastAsia="Calibri"/>
          <w:sz w:val="22"/>
          <w:szCs w:val="22"/>
        </w:rPr>
        <w:t>vaistų</w:t>
      </w:r>
      <w:r w:rsidRPr="00EF20DC">
        <w:rPr>
          <w:rFonts w:eastAsia="Calibri"/>
          <w:sz w:val="22"/>
          <w:szCs w:val="22"/>
        </w:rPr>
        <w:t xml:space="preserve"> (vaist</w:t>
      </w:r>
      <w:r w:rsidR="00146814">
        <w:rPr>
          <w:rFonts w:eastAsia="Calibri"/>
          <w:sz w:val="22"/>
          <w:szCs w:val="22"/>
        </w:rPr>
        <w:t>ų</w:t>
      </w:r>
      <w:r w:rsidRPr="00EF20DC">
        <w:rPr>
          <w:rFonts w:eastAsia="Calibri"/>
          <w:sz w:val="22"/>
          <w:szCs w:val="22"/>
        </w:rPr>
        <w:t xml:space="preserve"> nuo </w:t>
      </w:r>
      <w:r w:rsidRPr="007A0B1B">
        <w:rPr>
          <w:rFonts w:eastAsia="Calibri"/>
          <w:b/>
          <w:sz w:val="22"/>
          <w:szCs w:val="22"/>
        </w:rPr>
        <w:t>depresijos</w:t>
      </w:r>
      <w:r w:rsidRPr="00EF20DC">
        <w:rPr>
          <w:rFonts w:eastAsia="Calibri"/>
          <w:sz w:val="22"/>
          <w:szCs w:val="22"/>
        </w:rPr>
        <w:t xml:space="preserve">); </w:t>
      </w:r>
    </w:p>
    <w:p w14:paraId="53015CFE" w14:textId="77777777" w:rsidR="00EF20DC" w:rsidRPr="00EF20DC" w:rsidRDefault="00EF20DC" w:rsidP="001F1094">
      <w:pPr>
        <w:numPr>
          <w:ilvl w:val="2"/>
          <w:numId w:val="7"/>
        </w:numPr>
        <w:spacing w:after="160" w:line="259" w:lineRule="auto"/>
        <w:ind w:left="567" w:hanging="567"/>
        <w:contextualSpacing/>
        <w:rPr>
          <w:rFonts w:eastAsia="Calibri"/>
          <w:sz w:val="22"/>
          <w:szCs w:val="22"/>
        </w:rPr>
      </w:pPr>
      <w:r w:rsidRPr="00EF20DC">
        <w:rPr>
          <w:rFonts w:eastAsia="Calibri"/>
          <w:sz w:val="22"/>
          <w:szCs w:val="22"/>
        </w:rPr>
        <w:t>fenitoino, karbamazepino ar fenobarbitalio (vaist</w:t>
      </w:r>
      <w:r w:rsidR="007A0B1B">
        <w:rPr>
          <w:rFonts w:eastAsia="Calibri"/>
          <w:sz w:val="22"/>
          <w:szCs w:val="22"/>
        </w:rPr>
        <w:t>ų</w:t>
      </w:r>
      <w:r w:rsidRPr="00EF20DC">
        <w:rPr>
          <w:rFonts w:eastAsia="Calibri"/>
          <w:sz w:val="22"/>
          <w:szCs w:val="22"/>
        </w:rPr>
        <w:t xml:space="preserve"> nuo </w:t>
      </w:r>
      <w:r w:rsidRPr="007A0B1B">
        <w:rPr>
          <w:rFonts w:eastAsia="Calibri"/>
          <w:b/>
          <w:sz w:val="22"/>
          <w:szCs w:val="22"/>
        </w:rPr>
        <w:t>epilepsijos</w:t>
      </w:r>
      <w:r w:rsidRPr="00EF20DC">
        <w:rPr>
          <w:rFonts w:eastAsia="Calibri"/>
          <w:sz w:val="22"/>
          <w:szCs w:val="22"/>
        </w:rPr>
        <w:t xml:space="preserve"> ar kitokių būklių); </w:t>
      </w:r>
    </w:p>
    <w:p w14:paraId="765952AA" w14:textId="77777777" w:rsidR="00EF20DC" w:rsidRPr="00EF20DC" w:rsidRDefault="00EF20DC" w:rsidP="001F1094">
      <w:pPr>
        <w:numPr>
          <w:ilvl w:val="2"/>
          <w:numId w:val="7"/>
        </w:numPr>
        <w:spacing w:after="160" w:line="259" w:lineRule="auto"/>
        <w:ind w:left="567" w:hanging="567"/>
        <w:contextualSpacing/>
        <w:rPr>
          <w:rFonts w:eastAsia="Calibri"/>
          <w:sz w:val="22"/>
          <w:szCs w:val="22"/>
        </w:rPr>
      </w:pPr>
      <w:r w:rsidRPr="007A0B1B">
        <w:rPr>
          <w:rFonts w:eastAsia="Calibri"/>
          <w:b/>
          <w:sz w:val="22"/>
          <w:szCs w:val="22"/>
        </w:rPr>
        <w:t>kortikosteroido</w:t>
      </w:r>
      <w:r w:rsidRPr="00EF20DC">
        <w:rPr>
          <w:rFonts w:eastAsia="Calibri"/>
          <w:sz w:val="22"/>
          <w:szCs w:val="22"/>
        </w:rPr>
        <w:t xml:space="preserve"> deksametazono (vaist</w:t>
      </w:r>
      <w:r w:rsidR="00146814">
        <w:rPr>
          <w:rFonts w:eastAsia="Calibri"/>
          <w:sz w:val="22"/>
          <w:szCs w:val="22"/>
        </w:rPr>
        <w:t>o</w:t>
      </w:r>
      <w:r w:rsidRPr="00EF20DC">
        <w:rPr>
          <w:rFonts w:eastAsia="Calibri"/>
          <w:sz w:val="22"/>
          <w:szCs w:val="22"/>
        </w:rPr>
        <w:t xml:space="preserve"> nuo įvairių sutrikimų); </w:t>
      </w:r>
    </w:p>
    <w:p w14:paraId="5BC52E28" w14:textId="606F9791" w:rsidR="00EF20DC" w:rsidRPr="00EF20DC" w:rsidRDefault="00EF20DC" w:rsidP="001F1094">
      <w:pPr>
        <w:numPr>
          <w:ilvl w:val="2"/>
          <w:numId w:val="7"/>
        </w:numPr>
        <w:spacing w:after="160" w:line="259" w:lineRule="auto"/>
        <w:ind w:left="567" w:hanging="567"/>
        <w:contextualSpacing/>
        <w:rPr>
          <w:rFonts w:eastAsia="Calibri"/>
          <w:sz w:val="22"/>
          <w:szCs w:val="22"/>
        </w:rPr>
      </w:pPr>
      <w:r w:rsidRPr="00EF20DC">
        <w:rPr>
          <w:rFonts w:eastAsia="Calibri"/>
          <w:sz w:val="22"/>
          <w:szCs w:val="22"/>
        </w:rPr>
        <w:lastRenderedPageBreak/>
        <w:t>antikoaguliantų varfarino arba fenprokumono (vaist</w:t>
      </w:r>
      <w:r w:rsidR="00146814">
        <w:rPr>
          <w:rFonts w:eastAsia="Calibri"/>
          <w:sz w:val="22"/>
          <w:szCs w:val="22"/>
        </w:rPr>
        <w:t>ų</w:t>
      </w:r>
      <w:r w:rsidRPr="00EF20DC">
        <w:rPr>
          <w:rFonts w:eastAsia="Calibri"/>
          <w:sz w:val="22"/>
          <w:szCs w:val="22"/>
        </w:rPr>
        <w:t xml:space="preserve">, </w:t>
      </w:r>
      <w:r w:rsidRPr="007A0B1B">
        <w:rPr>
          <w:rFonts w:eastAsia="Calibri"/>
          <w:b/>
          <w:sz w:val="22"/>
          <w:szCs w:val="22"/>
        </w:rPr>
        <w:t>saugančių nuo kraujo krešulių</w:t>
      </w:r>
      <w:r w:rsidRPr="00EF20DC">
        <w:rPr>
          <w:rFonts w:eastAsia="Calibri"/>
          <w:sz w:val="22"/>
          <w:szCs w:val="22"/>
        </w:rPr>
        <w:t xml:space="preserve"> </w:t>
      </w:r>
      <w:r w:rsidR="00960C9C">
        <w:rPr>
          <w:rFonts w:eastAsia="Calibri"/>
          <w:sz w:val="22"/>
          <w:szCs w:val="22"/>
        </w:rPr>
        <w:t>susidarymo</w:t>
      </w:r>
      <w:r w:rsidRPr="00EF20DC">
        <w:rPr>
          <w:rFonts w:eastAsia="Calibri"/>
          <w:sz w:val="22"/>
          <w:szCs w:val="22"/>
        </w:rPr>
        <w:t xml:space="preserve">); </w:t>
      </w:r>
    </w:p>
    <w:p w14:paraId="36888BAC" w14:textId="77777777" w:rsidR="00EF20DC" w:rsidRPr="00EF20DC" w:rsidRDefault="00EF20DC" w:rsidP="001F1094">
      <w:pPr>
        <w:numPr>
          <w:ilvl w:val="2"/>
          <w:numId w:val="7"/>
        </w:numPr>
        <w:spacing w:after="160" w:line="259" w:lineRule="auto"/>
        <w:ind w:left="567" w:hanging="567"/>
        <w:contextualSpacing/>
        <w:rPr>
          <w:rFonts w:eastAsia="Calibri"/>
          <w:sz w:val="22"/>
          <w:szCs w:val="22"/>
        </w:rPr>
      </w:pPr>
      <w:r w:rsidRPr="00EF20DC">
        <w:rPr>
          <w:rFonts w:eastAsia="Calibri"/>
          <w:sz w:val="22"/>
          <w:szCs w:val="22"/>
        </w:rPr>
        <w:t>doksorubicino, kapecitabino, docetakselio, paklitakselio ir irinotekano (</w:t>
      </w:r>
      <w:r w:rsidR="007A0B1B">
        <w:rPr>
          <w:rFonts w:eastAsia="Calibri"/>
          <w:sz w:val="22"/>
          <w:szCs w:val="22"/>
        </w:rPr>
        <w:t>taikomų gydymui</w:t>
      </w:r>
      <w:r w:rsidRPr="00EF20DC">
        <w:rPr>
          <w:rFonts w:eastAsia="Calibri"/>
          <w:sz w:val="22"/>
          <w:szCs w:val="22"/>
        </w:rPr>
        <w:t xml:space="preserve"> nuo </w:t>
      </w:r>
      <w:r w:rsidRPr="007A0B1B">
        <w:rPr>
          <w:rFonts w:eastAsia="Calibri"/>
          <w:b/>
          <w:sz w:val="22"/>
          <w:szCs w:val="22"/>
        </w:rPr>
        <w:t>vėžio</w:t>
      </w:r>
      <w:r w:rsidRPr="00EF20DC">
        <w:rPr>
          <w:rFonts w:eastAsia="Calibri"/>
          <w:sz w:val="22"/>
          <w:szCs w:val="22"/>
        </w:rPr>
        <w:t xml:space="preserve">); </w:t>
      </w:r>
    </w:p>
    <w:p w14:paraId="2F6328D7" w14:textId="77777777" w:rsidR="00EF20DC" w:rsidRPr="00EF20DC" w:rsidRDefault="00EF20DC" w:rsidP="001F1094">
      <w:pPr>
        <w:numPr>
          <w:ilvl w:val="2"/>
          <w:numId w:val="7"/>
        </w:numPr>
        <w:spacing w:after="160" w:line="259" w:lineRule="auto"/>
        <w:ind w:left="567" w:hanging="567"/>
        <w:contextualSpacing/>
        <w:rPr>
          <w:rFonts w:eastAsia="Calibri"/>
          <w:sz w:val="22"/>
          <w:szCs w:val="22"/>
        </w:rPr>
      </w:pPr>
      <w:r w:rsidRPr="00EF20DC">
        <w:rPr>
          <w:rFonts w:eastAsia="Calibri"/>
          <w:sz w:val="22"/>
          <w:szCs w:val="22"/>
        </w:rPr>
        <w:t>digoksino (</w:t>
      </w:r>
      <w:r w:rsidR="007A0B1B">
        <w:rPr>
          <w:rFonts w:eastAsia="Calibri"/>
          <w:sz w:val="22"/>
          <w:szCs w:val="22"/>
        </w:rPr>
        <w:t>vartojamo gydyti</w:t>
      </w:r>
      <w:r w:rsidRPr="00EF20DC">
        <w:rPr>
          <w:rFonts w:eastAsia="Calibri"/>
          <w:sz w:val="22"/>
          <w:szCs w:val="22"/>
        </w:rPr>
        <w:t xml:space="preserve"> nuo lengvo arba vidutinio sunkumo </w:t>
      </w:r>
      <w:r w:rsidRPr="007A0B1B">
        <w:rPr>
          <w:rFonts w:eastAsia="Calibri"/>
          <w:b/>
          <w:sz w:val="22"/>
          <w:szCs w:val="22"/>
        </w:rPr>
        <w:t>širdies nepakankamumo</w:t>
      </w:r>
      <w:r w:rsidRPr="00EF20DC">
        <w:rPr>
          <w:rFonts w:eastAsia="Calibri"/>
          <w:sz w:val="22"/>
          <w:szCs w:val="22"/>
        </w:rPr>
        <w:t xml:space="preserve">). </w:t>
      </w:r>
    </w:p>
    <w:p w14:paraId="0A229467" w14:textId="77777777" w:rsidR="00EF20DC" w:rsidRPr="00EF20DC" w:rsidRDefault="00EF20DC" w:rsidP="001F1094">
      <w:pPr>
        <w:ind w:left="567" w:hanging="567"/>
        <w:rPr>
          <w:rFonts w:eastAsia="Calibri"/>
          <w:sz w:val="22"/>
          <w:szCs w:val="22"/>
        </w:rPr>
      </w:pPr>
    </w:p>
    <w:p w14:paraId="6BA3F427" w14:textId="77777777" w:rsidR="00EF20DC" w:rsidRPr="00EF20DC" w:rsidRDefault="00EF20DC" w:rsidP="001F1094">
      <w:pPr>
        <w:rPr>
          <w:rFonts w:eastAsia="Calibri"/>
          <w:b/>
          <w:sz w:val="22"/>
          <w:szCs w:val="22"/>
        </w:rPr>
      </w:pPr>
      <w:r w:rsidRPr="00EF20DC">
        <w:rPr>
          <w:rFonts w:eastAsia="Calibri"/>
          <w:b/>
          <w:sz w:val="22"/>
          <w:szCs w:val="22"/>
        </w:rPr>
        <w:t xml:space="preserve">Nėštumas ir žindymo laikotarpis </w:t>
      </w:r>
    </w:p>
    <w:p w14:paraId="0BDA79FA" w14:textId="0E666FAF" w:rsidR="00EF20DC" w:rsidRPr="00EF20DC" w:rsidRDefault="00EF20DC" w:rsidP="001F1094">
      <w:pPr>
        <w:rPr>
          <w:rFonts w:eastAsia="Calibri"/>
          <w:sz w:val="22"/>
          <w:szCs w:val="22"/>
        </w:rPr>
      </w:pPr>
      <w:r w:rsidRPr="00EF20DC">
        <w:rPr>
          <w:rFonts w:eastAsia="Calibri"/>
          <w:b/>
          <w:sz w:val="22"/>
          <w:szCs w:val="22"/>
        </w:rPr>
        <w:t xml:space="preserve">Vartodama Sorafenib </w:t>
      </w:r>
      <w:r w:rsidR="00D71A25">
        <w:rPr>
          <w:rFonts w:eastAsia="Calibri"/>
          <w:b/>
          <w:sz w:val="22"/>
          <w:szCs w:val="22"/>
        </w:rPr>
        <w:t>Sandoz</w:t>
      </w:r>
      <w:r w:rsidRPr="00EF20DC">
        <w:rPr>
          <w:rFonts w:eastAsia="Calibri"/>
          <w:b/>
          <w:sz w:val="22"/>
          <w:szCs w:val="22"/>
        </w:rPr>
        <w:t xml:space="preserve"> turite </w:t>
      </w:r>
      <w:r w:rsidR="007A0B1B">
        <w:rPr>
          <w:rFonts w:eastAsia="Calibri"/>
          <w:b/>
          <w:sz w:val="22"/>
          <w:szCs w:val="22"/>
        </w:rPr>
        <w:t>vengti pastojimo</w:t>
      </w:r>
      <w:r w:rsidRPr="00EF20DC">
        <w:rPr>
          <w:rFonts w:eastAsia="Calibri"/>
          <w:sz w:val="22"/>
          <w:szCs w:val="22"/>
        </w:rPr>
        <w:t xml:space="preserve">. Jeigu </w:t>
      </w:r>
      <w:r w:rsidR="007A0B1B">
        <w:rPr>
          <w:rFonts w:eastAsia="Calibri"/>
          <w:sz w:val="22"/>
          <w:szCs w:val="22"/>
        </w:rPr>
        <w:t>galite pastoti</w:t>
      </w:r>
      <w:r w:rsidRPr="00EF20DC">
        <w:rPr>
          <w:rFonts w:eastAsia="Calibri"/>
          <w:sz w:val="22"/>
          <w:szCs w:val="22"/>
        </w:rPr>
        <w:t>,</w:t>
      </w:r>
      <w:r w:rsidR="007A0B1B">
        <w:rPr>
          <w:rFonts w:eastAsia="Calibri"/>
          <w:sz w:val="22"/>
          <w:szCs w:val="22"/>
        </w:rPr>
        <w:t xml:space="preserve"> taikykite patikimą kontracepcijos metodą</w:t>
      </w:r>
      <w:r w:rsidRPr="00EF20DC">
        <w:rPr>
          <w:rFonts w:eastAsia="Calibri"/>
          <w:sz w:val="22"/>
          <w:szCs w:val="22"/>
        </w:rPr>
        <w:t xml:space="preserve">. Jeigu </w:t>
      </w:r>
      <w:r w:rsidR="007A0B1B">
        <w:rPr>
          <w:rFonts w:eastAsia="Calibri"/>
          <w:sz w:val="22"/>
          <w:szCs w:val="22"/>
        </w:rPr>
        <w:t>gydymo metu tapote nėščia</w:t>
      </w:r>
      <w:r w:rsidRPr="00EF20DC">
        <w:rPr>
          <w:rFonts w:eastAsia="Calibri"/>
          <w:sz w:val="22"/>
          <w:szCs w:val="22"/>
        </w:rPr>
        <w:t xml:space="preserve">, nedelsdama kreipkitės į </w:t>
      </w:r>
      <w:r w:rsidR="007A0B1B">
        <w:rPr>
          <w:rFonts w:eastAsia="Calibri"/>
          <w:sz w:val="22"/>
          <w:szCs w:val="22"/>
        </w:rPr>
        <w:t xml:space="preserve">savo </w:t>
      </w:r>
      <w:r w:rsidRPr="00EF20DC">
        <w:rPr>
          <w:rFonts w:eastAsia="Calibri"/>
          <w:sz w:val="22"/>
          <w:szCs w:val="22"/>
        </w:rPr>
        <w:t xml:space="preserve">gydytoją, </w:t>
      </w:r>
      <w:r w:rsidR="007A0B1B">
        <w:rPr>
          <w:rFonts w:eastAsia="Calibri"/>
          <w:sz w:val="22"/>
          <w:szCs w:val="22"/>
        </w:rPr>
        <w:t>kuris nuspręs</w:t>
      </w:r>
      <w:r w:rsidRPr="00EF20DC">
        <w:rPr>
          <w:rFonts w:eastAsia="Calibri"/>
          <w:sz w:val="22"/>
          <w:szCs w:val="22"/>
        </w:rPr>
        <w:t xml:space="preserve">, ar </w:t>
      </w:r>
      <w:r w:rsidR="007A0B1B">
        <w:rPr>
          <w:rFonts w:eastAsia="Calibri"/>
          <w:sz w:val="22"/>
          <w:szCs w:val="22"/>
        </w:rPr>
        <w:t>gydymas turi būti tęsiamas</w:t>
      </w:r>
      <w:r w:rsidRPr="00EF20DC">
        <w:rPr>
          <w:rFonts w:eastAsia="Calibri"/>
          <w:sz w:val="22"/>
          <w:szCs w:val="22"/>
        </w:rPr>
        <w:t xml:space="preserve">. </w:t>
      </w:r>
    </w:p>
    <w:p w14:paraId="57861E65" w14:textId="3416895E" w:rsidR="00EF20DC" w:rsidRPr="00EF20DC" w:rsidRDefault="00EF20DC" w:rsidP="001F1094">
      <w:pPr>
        <w:rPr>
          <w:rFonts w:eastAsia="Calibri"/>
          <w:sz w:val="22"/>
          <w:szCs w:val="22"/>
        </w:rPr>
      </w:pPr>
    </w:p>
    <w:p w14:paraId="4F48F9D5" w14:textId="0AD73B68" w:rsidR="00EF20DC" w:rsidRPr="00EF20DC" w:rsidRDefault="00EF20DC" w:rsidP="001F1094">
      <w:pPr>
        <w:rPr>
          <w:rFonts w:eastAsia="Calibri"/>
          <w:sz w:val="22"/>
          <w:szCs w:val="22"/>
        </w:rPr>
      </w:pPr>
      <w:r w:rsidRPr="00EF20DC">
        <w:rPr>
          <w:rFonts w:eastAsia="Calibri"/>
          <w:b/>
          <w:sz w:val="22"/>
          <w:szCs w:val="22"/>
        </w:rPr>
        <w:t xml:space="preserve">Gydymo Sorafenib </w:t>
      </w:r>
      <w:r w:rsidR="00D71A25">
        <w:rPr>
          <w:rFonts w:eastAsia="Calibri"/>
          <w:b/>
          <w:sz w:val="22"/>
          <w:szCs w:val="22"/>
        </w:rPr>
        <w:t>Sandoz</w:t>
      </w:r>
      <w:r w:rsidRPr="00EF20DC">
        <w:rPr>
          <w:rFonts w:eastAsia="Calibri"/>
          <w:b/>
          <w:sz w:val="22"/>
          <w:szCs w:val="22"/>
        </w:rPr>
        <w:t xml:space="preserve"> metu kūdikio žindyti negalima</w:t>
      </w:r>
      <w:r w:rsidRPr="00EF20DC">
        <w:rPr>
          <w:rFonts w:eastAsia="Calibri"/>
          <w:sz w:val="22"/>
          <w:szCs w:val="22"/>
        </w:rPr>
        <w:t>, kadangi</w:t>
      </w:r>
      <w:r w:rsidR="007A0B1B">
        <w:rPr>
          <w:rFonts w:eastAsia="Calibri"/>
          <w:sz w:val="22"/>
          <w:szCs w:val="22"/>
        </w:rPr>
        <w:t xml:space="preserve"> šis </w:t>
      </w:r>
      <w:r w:rsidRPr="00EF20DC">
        <w:rPr>
          <w:rFonts w:eastAsia="Calibri"/>
          <w:sz w:val="22"/>
          <w:szCs w:val="22"/>
        </w:rPr>
        <w:t xml:space="preserve">vaistas gali trikdyti </w:t>
      </w:r>
      <w:r w:rsidR="007A0B1B">
        <w:rPr>
          <w:rFonts w:eastAsia="Calibri"/>
          <w:sz w:val="22"/>
          <w:szCs w:val="22"/>
        </w:rPr>
        <w:t xml:space="preserve">Jūsų </w:t>
      </w:r>
      <w:r w:rsidRPr="00EF20DC">
        <w:rPr>
          <w:rFonts w:eastAsia="Calibri"/>
          <w:sz w:val="22"/>
          <w:szCs w:val="22"/>
        </w:rPr>
        <w:t xml:space="preserve">kūdikio augimą ir vystymąsi. </w:t>
      </w:r>
    </w:p>
    <w:p w14:paraId="3DA544DC" w14:textId="302743CB" w:rsidR="00EF20DC" w:rsidRPr="00EF20DC" w:rsidRDefault="00EF20DC" w:rsidP="001F1094">
      <w:pPr>
        <w:rPr>
          <w:rFonts w:eastAsia="Calibri"/>
          <w:sz w:val="22"/>
          <w:szCs w:val="22"/>
        </w:rPr>
      </w:pPr>
    </w:p>
    <w:p w14:paraId="084F75A8" w14:textId="77777777" w:rsidR="00EF20DC" w:rsidRPr="00EF20DC" w:rsidRDefault="00EF20DC" w:rsidP="001F1094">
      <w:pPr>
        <w:rPr>
          <w:rFonts w:eastAsia="Calibri"/>
          <w:b/>
          <w:sz w:val="22"/>
          <w:szCs w:val="22"/>
        </w:rPr>
      </w:pPr>
      <w:r w:rsidRPr="00EF20DC">
        <w:rPr>
          <w:rFonts w:eastAsia="Calibri"/>
          <w:b/>
          <w:sz w:val="22"/>
          <w:szCs w:val="22"/>
        </w:rPr>
        <w:t xml:space="preserve">Vairavimas ir mechanizmų valdymas </w:t>
      </w:r>
    </w:p>
    <w:p w14:paraId="6B615750" w14:textId="7E0ECC69" w:rsidR="00EF20DC" w:rsidRPr="00EF20DC" w:rsidRDefault="007A0B1B" w:rsidP="001F1094">
      <w:pPr>
        <w:rPr>
          <w:rFonts w:eastAsia="Calibri"/>
          <w:sz w:val="22"/>
          <w:szCs w:val="22"/>
        </w:rPr>
      </w:pPr>
      <w:r>
        <w:rPr>
          <w:rFonts w:eastAsia="Calibri"/>
          <w:sz w:val="22"/>
          <w:szCs w:val="22"/>
        </w:rPr>
        <w:t>Įrodymų, k</w:t>
      </w:r>
      <w:r w:rsidR="00EF20DC" w:rsidRPr="00EF20DC">
        <w:rPr>
          <w:rFonts w:eastAsia="Calibri"/>
          <w:sz w:val="22"/>
          <w:szCs w:val="22"/>
        </w:rPr>
        <w:t xml:space="preserve">ad Sorafenib </w:t>
      </w:r>
      <w:r w:rsidR="00D71A25">
        <w:rPr>
          <w:rFonts w:eastAsia="Calibri"/>
          <w:sz w:val="22"/>
          <w:szCs w:val="22"/>
        </w:rPr>
        <w:t>Sandoz</w:t>
      </w:r>
      <w:r w:rsidR="00EF20DC" w:rsidRPr="00EF20DC">
        <w:rPr>
          <w:rFonts w:eastAsia="Calibri"/>
          <w:sz w:val="22"/>
          <w:szCs w:val="22"/>
        </w:rPr>
        <w:t xml:space="preserve"> trikd</w:t>
      </w:r>
      <w:r>
        <w:rPr>
          <w:rFonts w:eastAsia="Calibri"/>
          <w:sz w:val="22"/>
          <w:szCs w:val="22"/>
        </w:rPr>
        <w:t>o</w:t>
      </w:r>
      <w:r w:rsidR="00EF20DC" w:rsidRPr="00EF20DC">
        <w:rPr>
          <w:rFonts w:eastAsia="Calibri"/>
          <w:sz w:val="22"/>
          <w:szCs w:val="22"/>
        </w:rPr>
        <w:t xml:space="preserve"> gebėjimą vairuoti ir valdyti mechanizmus, nėra. </w:t>
      </w:r>
    </w:p>
    <w:p w14:paraId="105F9B7D" w14:textId="77777777" w:rsidR="00EF20DC" w:rsidRPr="00EF20DC" w:rsidRDefault="00EF20DC" w:rsidP="001F1094">
      <w:pPr>
        <w:rPr>
          <w:rFonts w:eastAsia="Calibri"/>
          <w:sz w:val="22"/>
          <w:szCs w:val="22"/>
        </w:rPr>
      </w:pPr>
    </w:p>
    <w:p w14:paraId="3EDCD4F7" w14:textId="18C4CADD" w:rsidR="00EF20DC" w:rsidRPr="00EF20DC" w:rsidRDefault="00EF20DC" w:rsidP="001F1094">
      <w:pPr>
        <w:rPr>
          <w:rFonts w:eastAsia="Calibri"/>
          <w:b/>
          <w:sz w:val="22"/>
          <w:szCs w:val="22"/>
        </w:rPr>
      </w:pPr>
      <w:r w:rsidRPr="00EF20DC">
        <w:rPr>
          <w:rFonts w:eastAsia="Calibri"/>
          <w:b/>
          <w:sz w:val="22"/>
          <w:szCs w:val="22"/>
        </w:rPr>
        <w:t xml:space="preserve">Sorafenib </w:t>
      </w:r>
      <w:r w:rsidR="00D71A25">
        <w:rPr>
          <w:rFonts w:eastAsia="Calibri"/>
          <w:b/>
          <w:sz w:val="22"/>
          <w:szCs w:val="22"/>
        </w:rPr>
        <w:t>Sandoz</w:t>
      </w:r>
      <w:r w:rsidRPr="00EF20DC">
        <w:rPr>
          <w:rFonts w:eastAsia="Calibri"/>
          <w:b/>
          <w:sz w:val="22"/>
          <w:szCs w:val="22"/>
        </w:rPr>
        <w:t xml:space="preserve"> sudėtyje yra natrio</w:t>
      </w:r>
    </w:p>
    <w:p w14:paraId="38E2D74E" w14:textId="6C557A4E" w:rsidR="00EF20DC" w:rsidRPr="00EF20DC" w:rsidRDefault="00EF20DC" w:rsidP="001F1094">
      <w:pPr>
        <w:rPr>
          <w:rFonts w:eastAsia="SimSun"/>
          <w:sz w:val="22"/>
          <w:szCs w:val="22"/>
          <w:lang w:eastAsia="zh-CN"/>
        </w:rPr>
      </w:pPr>
      <w:r w:rsidRPr="00EF20DC">
        <w:rPr>
          <w:rFonts w:eastAsia="SimSun"/>
          <w:sz w:val="22"/>
          <w:szCs w:val="22"/>
          <w:lang w:eastAsia="zh-CN"/>
        </w:rPr>
        <w:t xml:space="preserve">Šio vaisto </w:t>
      </w:r>
      <w:r w:rsidR="00802AD0">
        <w:rPr>
          <w:rFonts w:eastAsia="SimSun"/>
          <w:sz w:val="22"/>
          <w:szCs w:val="22"/>
          <w:lang w:eastAsia="zh-CN"/>
        </w:rPr>
        <w:t>plėvele dengtoje tabletėje</w:t>
      </w:r>
      <w:r w:rsidR="00802AD0" w:rsidRPr="00EF20DC">
        <w:rPr>
          <w:rFonts w:eastAsia="SimSun"/>
          <w:sz w:val="22"/>
          <w:szCs w:val="22"/>
          <w:lang w:eastAsia="zh-CN"/>
        </w:rPr>
        <w:t xml:space="preserve"> </w:t>
      </w:r>
      <w:r w:rsidRPr="00EF20DC">
        <w:rPr>
          <w:rFonts w:eastAsia="SimSun"/>
          <w:sz w:val="22"/>
          <w:szCs w:val="22"/>
          <w:lang w:eastAsia="zh-CN"/>
        </w:rPr>
        <w:t>yra mažiau kaip 1 mmol (23 mg) natrio, t.</w:t>
      </w:r>
      <w:r w:rsidR="009C3DA9">
        <w:rPr>
          <w:rFonts w:eastAsia="SimSun"/>
          <w:sz w:val="22"/>
          <w:szCs w:val="22"/>
          <w:lang w:eastAsia="zh-CN"/>
        </w:rPr>
        <w:t xml:space="preserve"> </w:t>
      </w:r>
      <w:r w:rsidRPr="00EF20DC">
        <w:rPr>
          <w:rFonts w:eastAsia="SimSun"/>
          <w:sz w:val="22"/>
          <w:szCs w:val="22"/>
          <w:lang w:eastAsia="zh-CN"/>
        </w:rPr>
        <w:t>y. jis beveik neturi reikšmės.</w:t>
      </w:r>
    </w:p>
    <w:p w14:paraId="716AA16D" w14:textId="77777777" w:rsidR="00EF20DC" w:rsidRPr="00EF20DC" w:rsidRDefault="00EF20DC" w:rsidP="001F1094">
      <w:pPr>
        <w:rPr>
          <w:rFonts w:eastAsia="Calibri"/>
          <w:sz w:val="22"/>
          <w:szCs w:val="22"/>
        </w:rPr>
      </w:pPr>
    </w:p>
    <w:p w14:paraId="22BFC77D" w14:textId="77777777" w:rsidR="00EF20DC" w:rsidRPr="00EF20DC" w:rsidRDefault="00EF20DC" w:rsidP="001F1094">
      <w:pPr>
        <w:rPr>
          <w:rFonts w:eastAsia="Calibri"/>
          <w:sz w:val="22"/>
          <w:szCs w:val="22"/>
        </w:rPr>
      </w:pPr>
      <w:r w:rsidRPr="00EF20DC">
        <w:rPr>
          <w:rFonts w:eastAsia="Calibri"/>
          <w:sz w:val="22"/>
          <w:szCs w:val="22"/>
        </w:rPr>
        <w:t xml:space="preserve"> </w:t>
      </w:r>
    </w:p>
    <w:p w14:paraId="3254C7AD" w14:textId="50A7375B" w:rsidR="00EF20DC" w:rsidRPr="00EF20DC" w:rsidRDefault="00EF20DC" w:rsidP="001F1094">
      <w:pPr>
        <w:numPr>
          <w:ilvl w:val="12"/>
          <w:numId w:val="0"/>
        </w:numPr>
        <w:tabs>
          <w:tab w:val="left" w:pos="567"/>
        </w:tabs>
        <w:rPr>
          <w:rFonts w:eastAsia="SimSun"/>
          <w:b/>
          <w:bCs/>
          <w:sz w:val="22"/>
          <w:szCs w:val="22"/>
          <w:lang w:eastAsia="zh-CN"/>
        </w:rPr>
      </w:pPr>
      <w:r w:rsidRPr="00EF20DC">
        <w:rPr>
          <w:rFonts w:eastAsia="SimSun"/>
          <w:b/>
          <w:bCs/>
          <w:sz w:val="22"/>
          <w:szCs w:val="22"/>
          <w:lang w:eastAsia="zh-CN"/>
        </w:rPr>
        <w:t>3.</w:t>
      </w:r>
      <w:r w:rsidRPr="00EF20DC">
        <w:rPr>
          <w:rFonts w:eastAsia="SimSun"/>
          <w:b/>
          <w:bCs/>
          <w:sz w:val="22"/>
          <w:szCs w:val="22"/>
          <w:lang w:eastAsia="zh-CN"/>
        </w:rPr>
        <w:tab/>
        <w:t xml:space="preserve">Kaip vartoti Sorafenib </w:t>
      </w:r>
      <w:r w:rsidR="00D71A25">
        <w:rPr>
          <w:rFonts w:eastAsia="SimSun"/>
          <w:b/>
          <w:bCs/>
          <w:sz w:val="22"/>
          <w:szCs w:val="22"/>
          <w:lang w:eastAsia="zh-CN"/>
        </w:rPr>
        <w:t>Sandoz</w:t>
      </w:r>
    </w:p>
    <w:p w14:paraId="797CF356" w14:textId="77777777" w:rsidR="00EF3EA7" w:rsidRDefault="00EF3EA7" w:rsidP="001F1094">
      <w:pPr>
        <w:rPr>
          <w:rFonts w:eastAsia="Calibri"/>
          <w:sz w:val="22"/>
          <w:szCs w:val="22"/>
        </w:rPr>
      </w:pPr>
    </w:p>
    <w:p w14:paraId="3CE45CAA" w14:textId="77777777" w:rsidR="007015F1" w:rsidRPr="00EF20DC" w:rsidRDefault="007015F1" w:rsidP="007015F1">
      <w:pPr>
        <w:rPr>
          <w:rFonts w:eastAsia="Calibri"/>
          <w:sz w:val="22"/>
          <w:szCs w:val="22"/>
        </w:rPr>
      </w:pPr>
      <w:r w:rsidRPr="00EF20DC">
        <w:rPr>
          <w:rFonts w:eastAsia="Calibri"/>
          <w:sz w:val="22"/>
          <w:szCs w:val="22"/>
        </w:rPr>
        <w:t xml:space="preserve">Visada vartokite šį vaistą tiksliai kaip nurodė gydytojas. Jeigu abejojate, kreipkitės į gydytoją arba vaistininką. </w:t>
      </w:r>
    </w:p>
    <w:p w14:paraId="07C811CB" w14:textId="3A038B4E" w:rsidR="00EF20DC" w:rsidRDefault="00EF20DC" w:rsidP="001F1094">
      <w:pPr>
        <w:rPr>
          <w:rFonts w:eastAsia="Calibri"/>
          <w:sz w:val="22"/>
          <w:szCs w:val="22"/>
        </w:rPr>
      </w:pPr>
      <w:r w:rsidRPr="00EF20DC">
        <w:rPr>
          <w:rFonts w:eastAsia="Calibri"/>
          <w:b/>
          <w:sz w:val="22"/>
          <w:szCs w:val="22"/>
        </w:rPr>
        <w:t xml:space="preserve">Rekomenduojama Sorafenib </w:t>
      </w:r>
      <w:r w:rsidR="00D71A25">
        <w:rPr>
          <w:rFonts w:eastAsia="Calibri"/>
          <w:b/>
          <w:sz w:val="22"/>
          <w:szCs w:val="22"/>
        </w:rPr>
        <w:t>Sandoz</w:t>
      </w:r>
      <w:r w:rsidRPr="00EF20DC">
        <w:rPr>
          <w:rFonts w:eastAsia="Calibri"/>
          <w:b/>
          <w:sz w:val="22"/>
          <w:szCs w:val="22"/>
        </w:rPr>
        <w:t xml:space="preserve"> dozė suaugusiesiems yra </w:t>
      </w:r>
      <w:r w:rsidR="0082300D">
        <w:rPr>
          <w:rFonts w:eastAsia="Calibri"/>
          <w:b/>
          <w:sz w:val="22"/>
          <w:szCs w:val="22"/>
        </w:rPr>
        <w:t>4</w:t>
      </w:r>
      <w:r w:rsidRPr="00EF20DC">
        <w:rPr>
          <w:rFonts w:eastAsia="Calibri"/>
          <w:b/>
          <w:sz w:val="22"/>
          <w:szCs w:val="22"/>
        </w:rPr>
        <w:t>00 mg, geriam</w:t>
      </w:r>
      <w:r w:rsidR="0082300D">
        <w:rPr>
          <w:rFonts w:eastAsia="Calibri"/>
          <w:b/>
          <w:sz w:val="22"/>
          <w:szCs w:val="22"/>
        </w:rPr>
        <w:t>a</w:t>
      </w:r>
      <w:r w:rsidRPr="00EF20DC">
        <w:rPr>
          <w:rFonts w:eastAsia="Calibri"/>
          <w:b/>
          <w:sz w:val="22"/>
          <w:szCs w:val="22"/>
        </w:rPr>
        <w:t xml:space="preserve"> 2 kartus per parą.</w:t>
      </w:r>
      <w:r w:rsidRPr="00EF20DC">
        <w:rPr>
          <w:rFonts w:eastAsia="Calibri"/>
          <w:sz w:val="22"/>
          <w:szCs w:val="22"/>
        </w:rPr>
        <w:t xml:space="preserve"> Tai atitinka </w:t>
      </w:r>
      <w:r w:rsidR="00EF3EA7" w:rsidRPr="00EF20DC">
        <w:rPr>
          <w:rFonts w:eastAsia="Calibri"/>
          <w:sz w:val="22"/>
          <w:szCs w:val="22"/>
        </w:rPr>
        <w:t xml:space="preserve">800 mg </w:t>
      </w:r>
      <w:r w:rsidR="00EF3EA7">
        <w:rPr>
          <w:rFonts w:eastAsia="Calibri"/>
          <w:sz w:val="22"/>
          <w:szCs w:val="22"/>
        </w:rPr>
        <w:t xml:space="preserve">paros dozę </w:t>
      </w:r>
      <w:r w:rsidRPr="00EF20DC">
        <w:rPr>
          <w:rFonts w:eastAsia="Calibri"/>
          <w:sz w:val="22"/>
          <w:szCs w:val="22"/>
        </w:rPr>
        <w:t xml:space="preserve">arba </w:t>
      </w:r>
      <w:r w:rsidR="00BC714E">
        <w:rPr>
          <w:rFonts w:eastAsia="Calibri"/>
          <w:sz w:val="22"/>
          <w:szCs w:val="22"/>
        </w:rPr>
        <w:t>2</w:t>
      </w:r>
      <w:r w:rsidRPr="00EF20DC">
        <w:rPr>
          <w:rFonts w:eastAsia="Calibri"/>
          <w:sz w:val="22"/>
          <w:szCs w:val="22"/>
        </w:rPr>
        <w:t xml:space="preserve"> tabletes per parą. </w:t>
      </w:r>
    </w:p>
    <w:p w14:paraId="1052EF58" w14:textId="77777777" w:rsidR="007015F1" w:rsidRPr="00EF20DC" w:rsidRDefault="007015F1" w:rsidP="001F1094">
      <w:pPr>
        <w:rPr>
          <w:rFonts w:eastAsia="Calibri"/>
          <w:sz w:val="22"/>
          <w:szCs w:val="22"/>
        </w:rPr>
      </w:pPr>
    </w:p>
    <w:p w14:paraId="23A97E00" w14:textId="6B862591" w:rsidR="00782E98" w:rsidRDefault="00782E98" w:rsidP="001F1094">
      <w:pPr>
        <w:rPr>
          <w:rFonts w:eastAsia="Calibri"/>
          <w:sz w:val="22"/>
          <w:szCs w:val="22"/>
        </w:rPr>
      </w:pPr>
      <w:r>
        <w:rPr>
          <w:rFonts w:eastAsia="Calibri"/>
          <w:sz w:val="22"/>
          <w:szCs w:val="22"/>
        </w:rPr>
        <w:t>Jūsų g</w:t>
      </w:r>
      <w:r w:rsidRPr="00782E98">
        <w:rPr>
          <w:rFonts w:eastAsia="Calibri"/>
          <w:sz w:val="22"/>
          <w:szCs w:val="22"/>
        </w:rPr>
        <w:t>ydytojas gali nuspręsti pakeisti dozę. Kitoms nei 400 mg dozėms galima įsigyti 200 mg tabletę</w:t>
      </w:r>
      <w:r>
        <w:rPr>
          <w:rFonts w:eastAsia="Calibri"/>
          <w:sz w:val="22"/>
          <w:szCs w:val="22"/>
        </w:rPr>
        <w:t>.</w:t>
      </w:r>
    </w:p>
    <w:p w14:paraId="7DCA320D" w14:textId="77777777" w:rsidR="007015F1" w:rsidRPr="00EF20DC" w:rsidRDefault="007015F1" w:rsidP="001F1094">
      <w:pPr>
        <w:rPr>
          <w:rFonts w:eastAsia="Calibri"/>
          <w:sz w:val="22"/>
          <w:szCs w:val="22"/>
        </w:rPr>
      </w:pPr>
    </w:p>
    <w:p w14:paraId="5E470C09" w14:textId="75E9A023" w:rsidR="00EF20DC" w:rsidRPr="00EF20DC" w:rsidRDefault="00EF20DC" w:rsidP="001F1094">
      <w:pPr>
        <w:rPr>
          <w:rFonts w:eastAsia="Calibri"/>
          <w:sz w:val="22"/>
          <w:szCs w:val="22"/>
        </w:rPr>
      </w:pPr>
      <w:r w:rsidRPr="00EF20DC">
        <w:rPr>
          <w:rFonts w:eastAsia="Calibri"/>
          <w:b/>
          <w:sz w:val="22"/>
          <w:szCs w:val="22"/>
        </w:rPr>
        <w:t xml:space="preserve">Sorafenib </w:t>
      </w:r>
      <w:r w:rsidR="00D71A25">
        <w:rPr>
          <w:rFonts w:eastAsia="Calibri"/>
          <w:b/>
          <w:sz w:val="22"/>
          <w:szCs w:val="22"/>
        </w:rPr>
        <w:t>Sandoz</w:t>
      </w:r>
      <w:r w:rsidRPr="00EF20DC">
        <w:rPr>
          <w:rFonts w:eastAsia="Calibri"/>
          <w:b/>
          <w:sz w:val="22"/>
          <w:szCs w:val="22"/>
        </w:rPr>
        <w:t xml:space="preserve"> tabletes reikia nuryti užsigeriant stikline vandens</w:t>
      </w:r>
      <w:r w:rsidRPr="00EF20DC">
        <w:rPr>
          <w:rFonts w:eastAsia="Calibri"/>
          <w:sz w:val="22"/>
          <w:szCs w:val="22"/>
        </w:rPr>
        <w:t xml:space="preserve">, nevalgius arba valgant neriebų ar vidutinio riebumo maistą. Valgant riebų maistą, šio vaisto gerti negalima, kadangi jo veiksmingumas gali būti mažesnis. Numatę valgyti riebų maistą, Sorafenib </w:t>
      </w:r>
      <w:r w:rsidR="00D71A25">
        <w:rPr>
          <w:rFonts w:eastAsia="Calibri"/>
          <w:sz w:val="22"/>
          <w:szCs w:val="22"/>
        </w:rPr>
        <w:t>Sandoz</w:t>
      </w:r>
      <w:r w:rsidRPr="00EF20DC">
        <w:rPr>
          <w:rFonts w:eastAsia="Calibri"/>
          <w:sz w:val="22"/>
          <w:szCs w:val="22"/>
        </w:rPr>
        <w:t xml:space="preserve"> tabletes gerkite likus 1 valandai iki valgymo arba praėjus 2 valandoms po jo. </w:t>
      </w:r>
    </w:p>
    <w:p w14:paraId="66A59B3F" w14:textId="77777777" w:rsidR="00EF3EA7" w:rsidRPr="00EF20DC" w:rsidRDefault="00EF3EA7" w:rsidP="001F1094">
      <w:pPr>
        <w:rPr>
          <w:rFonts w:eastAsia="Calibri"/>
          <w:sz w:val="22"/>
          <w:szCs w:val="22"/>
        </w:rPr>
      </w:pPr>
      <w:r w:rsidRPr="00EF20DC">
        <w:rPr>
          <w:rFonts w:eastAsia="Calibri"/>
          <w:sz w:val="22"/>
          <w:szCs w:val="22"/>
        </w:rPr>
        <w:t xml:space="preserve">Visada vartokite šį vaistą tiksliai kaip nurodė gydytojas. Jeigu abejojate, kreipkitės į gydytoją arba vaistininką. </w:t>
      </w:r>
    </w:p>
    <w:p w14:paraId="7A41A1E4" w14:textId="77777777" w:rsidR="00EF20DC" w:rsidRPr="00EF20DC" w:rsidRDefault="00EF20DC" w:rsidP="001F1094">
      <w:pPr>
        <w:rPr>
          <w:rFonts w:eastAsia="Calibri"/>
          <w:sz w:val="22"/>
          <w:szCs w:val="22"/>
        </w:rPr>
      </w:pPr>
    </w:p>
    <w:p w14:paraId="42EC9825" w14:textId="77777777" w:rsidR="00EF20DC" w:rsidRPr="00EF20DC" w:rsidRDefault="00EF3EA7" w:rsidP="001F1094">
      <w:pPr>
        <w:rPr>
          <w:rFonts w:eastAsia="Calibri"/>
          <w:sz w:val="22"/>
          <w:szCs w:val="22"/>
        </w:rPr>
      </w:pPr>
      <w:r>
        <w:rPr>
          <w:rFonts w:eastAsia="Calibri"/>
          <w:sz w:val="22"/>
          <w:szCs w:val="22"/>
        </w:rPr>
        <w:t>Yra</w:t>
      </w:r>
      <w:r w:rsidR="00EF20DC" w:rsidRPr="00EF20DC">
        <w:rPr>
          <w:rFonts w:eastAsia="Calibri"/>
          <w:sz w:val="22"/>
          <w:szCs w:val="22"/>
        </w:rPr>
        <w:t xml:space="preserve"> svarbu vartoti šį vaistą </w:t>
      </w:r>
      <w:r>
        <w:rPr>
          <w:rFonts w:eastAsia="Calibri"/>
          <w:sz w:val="22"/>
          <w:szCs w:val="22"/>
        </w:rPr>
        <w:t xml:space="preserve">kiekvieną dieną </w:t>
      </w:r>
      <w:r w:rsidR="00EF20DC" w:rsidRPr="00EF20DC">
        <w:rPr>
          <w:rFonts w:eastAsia="Calibri"/>
          <w:sz w:val="22"/>
          <w:szCs w:val="22"/>
        </w:rPr>
        <w:t xml:space="preserve">maždaug tokiu pačiu laiku, kadangi tokiu atveju kraujyje būna pastovus vaisto kiekis. </w:t>
      </w:r>
    </w:p>
    <w:p w14:paraId="44184889" w14:textId="77777777" w:rsidR="00960139" w:rsidRDefault="00960139" w:rsidP="001F1094">
      <w:pPr>
        <w:rPr>
          <w:rFonts w:eastAsia="Calibri"/>
          <w:sz w:val="22"/>
          <w:szCs w:val="22"/>
        </w:rPr>
      </w:pPr>
    </w:p>
    <w:p w14:paraId="05F17B92" w14:textId="749EEE0B" w:rsidR="00960139" w:rsidRPr="00EF20DC" w:rsidRDefault="00960139" w:rsidP="00960139">
      <w:pPr>
        <w:tabs>
          <w:tab w:val="left" w:pos="567"/>
        </w:tabs>
        <w:autoSpaceDE w:val="0"/>
        <w:autoSpaceDN w:val="0"/>
        <w:adjustRightInd w:val="0"/>
        <w:rPr>
          <w:rFonts w:eastAsia="Calibri"/>
          <w:b/>
          <w:bCs/>
          <w:sz w:val="22"/>
          <w:szCs w:val="22"/>
          <w:lang w:eastAsia="lt-LT"/>
        </w:rPr>
      </w:pPr>
      <w:r w:rsidRPr="00132344">
        <w:rPr>
          <w:noProof/>
          <w:snapToGrid w:val="0"/>
          <w:sz w:val="22"/>
        </w:rPr>
        <w:t xml:space="preserve">Vagelė skirta tik </w:t>
      </w:r>
      <w:r w:rsidR="00B94F14">
        <w:rPr>
          <w:noProof/>
          <w:snapToGrid w:val="0"/>
          <w:sz w:val="22"/>
        </w:rPr>
        <w:t>tam</w:t>
      </w:r>
      <w:r w:rsidR="009F1CA1">
        <w:rPr>
          <w:noProof/>
          <w:snapToGrid w:val="0"/>
          <w:sz w:val="22"/>
        </w:rPr>
        <w:t xml:space="preserve">, kad padėti </w:t>
      </w:r>
      <w:r w:rsidR="001D48FC">
        <w:rPr>
          <w:noProof/>
          <w:snapToGrid w:val="0"/>
          <w:sz w:val="22"/>
        </w:rPr>
        <w:t>sulaužyti</w:t>
      </w:r>
      <w:r w:rsidR="009F1CA1">
        <w:rPr>
          <w:noProof/>
          <w:snapToGrid w:val="0"/>
          <w:sz w:val="22"/>
        </w:rPr>
        <w:t xml:space="preserve"> </w:t>
      </w:r>
      <w:r w:rsidRPr="00132344">
        <w:rPr>
          <w:noProof/>
          <w:snapToGrid w:val="0"/>
          <w:sz w:val="22"/>
        </w:rPr>
        <w:t>tablet</w:t>
      </w:r>
      <w:r w:rsidR="009F1CA1">
        <w:rPr>
          <w:noProof/>
          <w:snapToGrid w:val="0"/>
          <w:sz w:val="22"/>
        </w:rPr>
        <w:t xml:space="preserve">ę, </w:t>
      </w:r>
      <w:r w:rsidR="00EC3B62">
        <w:rPr>
          <w:noProof/>
          <w:snapToGrid w:val="0"/>
          <w:sz w:val="22"/>
        </w:rPr>
        <w:t xml:space="preserve">jeigu </w:t>
      </w:r>
      <w:r w:rsidR="00F15575">
        <w:rPr>
          <w:noProof/>
          <w:snapToGrid w:val="0"/>
          <w:sz w:val="22"/>
        </w:rPr>
        <w:t>J</w:t>
      </w:r>
      <w:r w:rsidR="00EC3B62">
        <w:rPr>
          <w:noProof/>
          <w:snapToGrid w:val="0"/>
          <w:sz w:val="22"/>
        </w:rPr>
        <w:t xml:space="preserve">ums sunku ją nuryti </w:t>
      </w:r>
      <w:r w:rsidR="00CE2C48">
        <w:rPr>
          <w:noProof/>
          <w:snapToGrid w:val="0"/>
          <w:sz w:val="22"/>
        </w:rPr>
        <w:t>visą</w:t>
      </w:r>
      <w:r w:rsidR="00F15575">
        <w:rPr>
          <w:noProof/>
          <w:snapToGrid w:val="0"/>
          <w:sz w:val="22"/>
        </w:rPr>
        <w:t>.</w:t>
      </w:r>
    </w:p>
    <w:p w14:paraId="0995A813" w14:textId="435E3C37" w:rsidR="00EF20DC" w:rsidRPr="00EF20DC" w:rsidRDefault="00EF20DC" w:rsidP="001F1094">
      <w:pPr>
        <w:rPr>
          <w:rFonts w:eastAsia="Calibri"/>
          <w:sz w:val="22"/>
          <w:szCs w:val="22"/>
        </w:rPr>
      </w:pPr>
    </w:p>
    <w:p w14:paraId="4D5D9234" w14:textId="77777777" w:rsidR="00EF20DC" w:rsidRPr="00EF20DC" w:rsidRDefault="00EF20DC" w:rsidP="001F1094">
      <w:pPr>
        <w:rPr>
          <w:rFonts w:eastAsia="Calibri"/>
          <w:sz w:val="22"/>
          <w:szCs w:val="22"/>
        </w:rPr>
      </w:pPr>
      <w:r w:rsidRPr="00EF20DC">
        <w:rPr>
          <w:rFonts w:eastAsia="Calibri"/>
          <w:sz w:val="22"/>
          <w:szCs w:val="22"/>
        </w:rPr>
        <w:t xml:space="preserve">Šiuo vaistu paprastai gydoma tol, kol jis duoda klinikinės naudos ir nesukelia nepriimtino šalutinio poveikio. </w:t>
      </w:r>
    </w:p>
    <w:p w14:paraId="19BEC2AA" w14:textId="77777777" w:rsidR="00EF20DC" w:rsidRPr="00EF20DC" w:rsidRDefault="00EF20DC" w:rsidP="001F1094">
      <w:pPr>
        <w:rPr>
          <w:rFonts w:eastAsia="Calibri"/>
          <w:sz w:val="22"/>
          <w:szCs w:val="22"/>
        </w:rPr>
      </w:pPr>
    </w:p>
    <w:p w14:paraId="463EAB34" w14:textId="0DAABEA9" w:rsidR="00EF20DC" w:rsidRPr="00EF20DC" w:rsidRDefault="00EF20DC" w:rsidP="001F1094">
      <w:pPr>
        <w:rPr>
          <w:rFonts w:eastAsia="Calibri"/>
          <w:b/>
          <w:sz w:val="22"/>
          <w:szCs w:val="22"/>
        </w:rPr>
      </w:pPr>
      <w:r w:rsidRPr="00EF20DC">
        <w:rPr>
          <w:rFonts w:eastAsia="Calibri"/>
          <w:b/>
          <w:sz w:val="22"/>
          <w:szCs w:val="22"/>
        </w:rPr>
        <w:t xml:space="preserve">Ką daryti pavartojus per didelę Sorafenib </w:t>
      </w:r>
      <w:r w:rsidR="00D71A25">
        <w:rPr>
          <w:rFonts w:eastAsia="Calibri"/>
          <w:b/>
          <w:sz w:val="22"/>
          <w:szCs w:val="22"/>
        </w:rPr>
        <w:t>Sandoz</w:t>
      </w:r>
      <w:r w:rsidRPr="00EF20DC">
        <w:rPr>
          <w:rFonts w:eastAsia="Calibri"/>
          <w:b/>
          <w:sz w:val="22"/>
          <w:szCs w:val="22"/>
        </w:rPr>
        <w:t xml:space="preserve"> dozę </w:t>
      </w:r>
    </w:p>
    <w:p w14:paraId="6D3AD39D" w14:textId="16E0A01E" w:rsidR="00EF20DC" w:rsidRPr="00EF20DC" w:rsidRDefault="00EF20DC" w:rsidP="001F1094">
      <w:pPr>
        <w:rPr>
          <w:rFonts w:eastAsia="Calibri"/>
          <w:sz w:val="22"/>
          <w:szCs w:val="22"/>
        </w:rPr>
      </w:pPr>
      <w:r w:rsidRPr="00EF3EA7">
        <w:rPr>
          <w:rFonts w:eastAsia="Calibri"/>
          <w:b/>
          <w:sz w:val="22"/>
          <w:szCs w:val="22"/>
        </w:rPr>
        <w:t>Nedelsdami pasakykite</w:t>
      </w:r>
      <w:r w:rsidR="00EF3EA7" w:rsidRPr="00EF3EA7">
        <w:rPr>
          <w:rFonts w:eastAsia="Calibri"/>
          <w:b/>
          <w:sz w:val="22"/>
          <w:szCs w:val="22"/>
        </w:rPr>
        <w:t xml:space="preserve"> savo</w:t>
      </w:r>
      <w:r w:rsidRPr="00EF3EA7">
        <w:rPr>
          <w:rFonts w:eastAsia="Calibri"/>
          <w:b/>
          <w:sz w:val="22"/>
          <w:szCs w:val="22"/>
        </w:rPr>
        <w:t xml:space="preserve"> gydytojui</w:t>
      </w:r>
      <w:r w:rsidRPr="00EF20DC">
        <w:rPr>
          <w:rFonts w:eastAsia="Calibri"/>
          <w:sz w:val="22"/>
          <w:szCs w:val="22"/>
        </w:rPr>
        <w:t>, jeigu išg</w:t>
      </w:r>
      <w:r w:rsidR="00183183">
        <w:rPr>
          <w:rFonts w:eastAsia="Calibri"/>
          <w:sz w:val="22"/>
          <w:szCs w:val="22"/>
        </w:rPr>
        <w:t xml:space="preserve">ėrėte </w:t>
      </w:r>
      <w:r w:rsidRPr="00EF20DC">
        <w:rPr>
          <w:rFonts w:eastAsia="Calibri"/>
          <w:sz w:val="22"/>
          <w:szCs w:val="22"/>
        </w:rPr>
        <w:t>(arba kas nors kitas išg</w:t>
      </w:r>
      <w:r w:rsidR="00183183">
        <w:rPr>
          <w:rFonts w:eastAsia="Calibri"/>
          <w:sz w:val="22"/>
          <w:szCs w:val="22"/>
        </w:rPr>
        <w:t>ėrė</w:t>
      </w:r>
      <w:r w:rsidRPr="00EF20DC">
        <w:rPr>
          <w:rFonts w:eastAsia="Calibri"/>
          <w:sz w:val="22"/>
          <w:szCs w:val="22"/>
        </w:rPr>
        <w:t xml:space="preserve">) didesnę dozę, negu </w:t>
      </w:r>
      <w:r w:rsidR="00EF3EA7">
        <w:rPr>
          <w:rFonts w:eastAsia="Calibri"/>
          <w:sz w:val="22"/>
          <w:szCs w:val="22"/>
        </w:rPr>
        <w:t>Jums paskirta dozė</w:t>
      </w:r>
      <w:r w:rsidRPr="00EF20DC">
        <w:rPr>
          <w:rFonts w:eastAsia="Calibri"/>
          <w:sz w:val="22"/>
          <w:szCs w:val="22"/>
        </w:rPr>
        <w:t xml:space="preserve">. Išgėrus per daug Sorafenib </w:t>
      </w:r>
      <w:r w:rsidR="00D71A25">
        <w:rPr>
          <w:rFonts w:eastAsia="Calibri"/>
          <w:sz w:val="22"/>
          <w:szCs w:val="22"/>
        </w:rPr>
        <w:t>Sandoz</w:t>
      </w:r>
      <w:r w:rsidRPr="00EF20DC">
        <w:rPr>
          <w:rFonts w:eastAsia="Calibri"/>
          <w:sz w:val="22"/>
          <w:szCs w:val="22"/>
        </w:rPr>
        <w:t xml:space="preserve">, </w:t>
      </w:r>
      <w:r w:rsidR="00EF3EA7">
        <w:rPr>
          <w:rFonts w:eastAsia="Calibri"/>
          <w:sz w:val="22"/>
          <w:szCs w:val="22"/>
        </w:rPr>
        <w:t xml:space="preserve">šalutinis poveikis, </w:t>
      </w:r>
      <w:r w:rsidR="00EF3EA7" w:rsidRPr="00EF20DC">
        <w:rPr>
          <w:rFonts w:eastAsia="Calibri"/>
          <w:sz w:val="22"/>
          <w:szCs w:val="22"/>
        </w:rPr>
        <w:t>ypač viduriavim</w:t>
      </w:r>
      <w:r w:rsidR="00EF3EA7">
        <w:rPr>
          <w:rFonts w:eastAsia="Calibri"/>
          <w:sz w:val="22"/>
          <w:szCs w:val="22"/>
        </w:rPr>
        <w:t>as</w:t>
      </w:r>
      <w:r w:rsidR="00EF3EA7" w:rsidRPr="00EF20DC">
        <w:rPr>
          <w:rFonts w:eastAsia="Calibri"/>
          <w:sz w:val="22"/>
          <w:szCs w:val="22"/>
        </w:rPr>
        <w:t xml:space="preserve"> ir odos reakcijos</w:t>
      </w:r>
      <w:r w:rsidR="00EF3EA7">
        <w:rPr>
          <w:rFonts w:eastAsia="Calibri"/>
          <w:sz w:val="22"/>
          <w:szCs w:val="22"/>
        </w:rPr>
        <w:t>, gali pasireikšti dažnai arba būti sunkesnis</w:t>
      </w:r>
      <w:r w:rsidRPr="00EF20DC">
        <w:rPr>
          <w:rFonts w:eastAsia="Calibri"/>
          <w:sz w:val="22"/>
          <w:szCs w:val="22"/>
        </w:rPr>
        <w:t xml:space="preserve">. </w:t>
      </w:r>
      <w:r w:rsidR="00EF3EA7">
        <w:rPr>
          <w:rFonts w:eastAsia="Calibri"/>
          <w:sz w:val="22"/>
          <w:szCs w:val="22"/>
        </w:rPr>
        <w:t>Jūsų gydytojas</w:t>
      </w:r>
      <w:r w:rsidRPr="00EF20DC">
        <w:rPr>
          <w:rFonts w:eastAsia="Calibri"/>
          <w:sz w:val="22"/>
          <w:szCs w:val="22"/>
        </w:rPr>
        <w:t xml:space="preserve"> gali liepti nutraukti šio vaisto vartojimą. </w:t>
      </w:r>
    </w:p>
    <w:p w14:paraId="04D51331" w14:textId="77777777" w:rsidR="00EF20DC" w:rsidRPr="00EF20DC" w:rsidRDefault="00EF20DC" w:rsidP="001F1094">
      <w:pPr>
        <w:rPr>
          <w:rFonts w:eastAsia="Calibri"/>
          <w:sz w:val="22"/>
          <w:szCs w:val="22"/>
        </w:rPr>
      </w:pPr>
    </w:p>
    <w:p w14:paraId="7D4DFAAA" w14:textId="426B6D93" w:rsidR="00EF20DC" w:rsidRPr="00EF20DC" w:rsidRDefault="00EF20DC" w:rsidP="001F1094">
      <w:pPr>
        <w:rPr>
          <w:rFonts w:eastAsia="Calibri"/>
          <w:b/>
          <w:sz w:val="22"/>
          <w:szCs w:val="22"/>
        </w:rPr>
      </w:pPr>
      <w:r w:rsidRPr="00EF20DC">
        <w:rPr>
          <w:rFonts w:eastAsia="Calibri"/>
          <w:b/>
          <w:sz w:val="22"/>
          <w:szCs w:val="22"/>
        </w:rPr>
        <w:lastRenderedPageBreak/>
        <w:t xml:space="preserve">Pamiršus pavartoti Sorafenib </w:t>
      </w:r>
      <w:r w:rsidR="00D71A25">
        <w:rPr>
          <w:rFonts w:eastAsia="Calibri"/>
          <w:b/>
          <w:sz w:val="22"/>
          <w:szCs w:val="22"/>
        </w:rPr>
        <w:t>Sandoz</w:t>
      </w:r>
      <w:r w:rsidRPr="00EF20DC">
        <w:rPr>
          <w:rFonts w:eastAsia="Calibri"/>
          <w:b/>
          <w:sz w:val="22"/>
          <w:szCs w:val="22"/>
        </w:rPr>
        <w:t xml:space="preserve"> </w:t>
      </w:r>
    </w:p>
    <w:p w14:paraId="339650FB" w14:textId="2817FA1C" w:rsidR="00EF20DC" w:rsidRPr="00EF20DC" w:rsidRDefault="00EF20DC" w:rsidP="001F1094">
      <w:pPr>
        <w:rPr>
          <w:rFonts w:eastAsia="Calibri"/>
          <w:sz w:val="22"/>
          <w:szCs w:val="22"/>
        </w:rPr>
      </w:pPr>
      <w:r w:rsidRPr="00EF20DC">
        <w:rPr>
          <w:rFonts w:eastAsia="Calibri"/>
          <w:sz w:val="22"/>
          <w:szCs w:val="22"/>
        </w:rPr>
        <w:t xml:space="preserve">Praleidę dozę, gerkite ją tuoj pat, kai tik prisiminsite, tačiau tuo atveju, jeigu bus beveik atėjęs kitos dozės vartojimo laikas, pamirštosios negerkite, o toliau vaisto vartokite įprastine tvarka. Negalima vartoti dvigubos dozės norint kompensuoti </w:t>
      </w:r>
      <w:r w:rsidR="009C25A3" w:rsidRPr="00EF20DC">
        <w:rPr>
          <w:rFonts w:eastAsia="Calibri"/>
          <w:sz w:val="22"/>
          <w:szCs w:val="22"/>
        </w:rPr>
        <w:t>praleist</w:t>
      </w:r>
      <w:r w:rsidR="009C25A3">
        <w:rPr>
          <w:rFonts w:eastAsia="Calibri"/>
          <w:sz w:val="22"/>
          <w:szCs w:val="22"/>
        </w:rPr>
        <w:t>as individualias dozes</w:t>
      </w:r>
      <w:r w:rsidRPr="00EF20DC">
        <w:rPr>
          <w:rFonts w:eastAsia="Calibri"/>
          <w:sz w:val="22"/>
          <w:szCs w:val="22"/>
        </w:rPr>
        <w:t xml:space="preserve">. </w:t>
      </w:r>
    </w:p>
    <w:p w14:paraId="28AD8587" w14:textId="77777777" w:rsidR="00EF20DC" w:rsidRPr="00EF20DC" w:rsidRDefault="00EF20DC" w:rsidP="001F1094">
      <w:pPr>
        <w:rPr>
          <w:rFonts w:eastAsia="Calibri"/>
          <w:sz w:val="22"/>
          <w:szCs w:val="22"/>
        </w:rPr>
      </w:pPr>
    </w:p>
    <w:p w14:paraId="23E84571" w14:textId="77777777" w:rsidR="00EF20DC" w:rsidRPr="00EF20DC" w:rsidRDefault="00EF20DC" w:rsidP="001F1094">
      <w:pPr>
        <w:rPr>
          <w:rFonts w:eastAsia="Calibri"/>
          <w:sz w:val="22"/>
          <w:szCs w:val="22"/>
        </w:rPr>
      </w:pPr>
    </w:p>
    <w:p w14:paraId="20BCB8C6" w14:textId="77777777" w:rsidR="00EF20DC" w:rsidRPr="00EF20DC" w:rsidRDefault="00EF20DC" w:rsidP="001F1094">
      <w:pPr>
        <w:ind w:left="567" w:hanging="567"/>
        <w:rPr>
          <w:rFonts w:eastAsia="SimSun"/>
          <w:b/>
          <w:sz w:val="22"/>
          <w:szCs w:val="22"/>
          <w:lang w:eastAsia="zh-CN"/>
        </w:rPr>
      </w:pPr>
      <w:r w:rsidRPr="00EF20DC">
        <w:rPr>
          <w:rFonts w:eastAsia="SimSun"/>
          <w:b/>
          <w:sz w:val="22"/>
          <w:szCs w:val="22"/>
          <w:lang w:eastAsia="zh-CN"/>
        </w:rPr>
        <w:t>4.</w:t>
      </w:r>
      <w:r w:rsidRPr="00EF20DC">
        <w:rPr>
          <w:rFonts w:eastAsia="SimSun"/>
          <w:b/>
          <w:sz w:val="22"/>
          <w:szCs w:val="22"/>
          <w:lang w:eastAsia="zh-CN"/>
        </w:rPr>
        <w:tab/>
        <w:t>Galimas šalutinis poveikis</w:t>
      </w:r>
    </w:p>
    <w:p w14:paraId="03094AAB" w14:textId="77777777" w:rsidR="00EF20DC" w:rsidRPr="00EF20DC" w:rsidRDefault="00EF20DC" w:rsidP="001F1094">
      <w:pPr>
        <w:rPr>
          <w:rFonts w:eastAsia="Calibri"/>
          <w:sz w:val="22"/>
          <w:szCs w:val="22"/>
        </w:rPr>
      </w:pPr>
      <w:r w:rsidRPr="00EF20DC">
        <w:rPr>
          <w:rFonts w:eastAsia="Calibri"/>
          <w:sz w:val="22"/>
          <w:szCs w:val="22"/>
        </w:rPr>
        <w:t xml:space="preserve"> </w:t>
      </w:r>
    </w:p>
    <w:p w14:paraId="16822138" w14:textId="77777777" w:rsidR="00EF20DC" w:rsidRPr="00EF20DC" w:rsidRDefault="00EF20DC" w:rsidP="001F1094">
      <w:pPr>
        <w:rPr>
          <w:rFonts w:eastAsia="Calibri"/>
          <w:sz w:val="22"/>
          <w:szCs w:val="22"/>
        </w:rPr>
      </w:pPr>
      <w:r w:rsidRPr="00EF20DC">
        <w:rPr>
          <w:rFonts w:eastAsia="Calibri"/>
          <w:sz w:val="22"/>
          <w:szCs w:val="22"/>
        </w:rPr>
        <w:t xml:space="preserve">Šis vaistas, kaip ir visi kiti, gali sukelti šalutinį poveikį, nors jis pasireiškia ne visiems žmonėms. Be to, šis vaistas gali daryti įtaką kai kurių kraujo tyrimų duomenims. </w:t>
      </w:r>
    </w:p>
    <w:p w14:paraId="1941236F" w14:textId="77777777" w:rsidR="00EF20DC" w:rsidRPr="00EF20DC" w:rsidRDefault="00EF20DC" w:rsidP="001F1094">
      <w:pPr>
        <w:rPr>
          <w:rFonts w:eastAsia="Calibri"/>
          <w:b/>
          <w:sz w:val="22"/>
          <w:szCs w:val="22"/>
        </w:rPr>
      </w:pPr>
    </w:p>
    <w:p w14:paraId="5C1010BB" w14:textId="403A7276" w:rsidR="00EF20DC" w:rsidRPr="00EF20DC" w:rsidRDefault="00EF20DC" w:rsidP="001F1094">
      <w:pPr>
        <w:rPr>
          <w:rFonts w:eastAsia="Calibri"/>
          <w:sz w:val="22"/>
          <w:szCs w:val="22"/>
        </w:rPr>
      </w:pPr>
      <w:r w:rsidRPr="00EF20DC">
        <w:rPr>
          <w:rFonts w:eastAsia="Calibri"/>
          <w:b/>
          <w:sz w:val="22"/>
          <w:szCs w:val="22"/>
        </w:rPr>
        <w:t>Labai dažn</w:t>
      </w:r>
      <w:r w:rsidR="00CF26D8">
        <w:rPr>
          <w:rFonts w:eastAsia="Calibri"/>
          <w:sz w:val="22"/>
          <w:szCs w:val="22"/>
        </w:rPr>
        <w:t xml:space="preserve">i </w:t>
      </w:r>
      <w:r w:rsidR="00CF26D8" w:rsidRPr="0003507D">
        <w:rPr>
          <w:b/>
          <w:bCs/>
          <w:noProof/>
          <w:snapToGrid w:val="0"/>
          <w:sz w:val="22"/>
          <w:szCs w:val="22"/>
        </w:rPr>
        <w:t xml:space="preserve">šalutinio poveikio reiškiniai </w:t>
      </w:r>
      <w:r w:rsidRPr="00EF20DC">
        <w:rPr>
          <w:rFonts w:eastAsia="Calibri"/>
          <w:sz w:val="22"/>
          <w:szCs w:val="22"/>
        </w:rPr>
        <w:t xml:space="preserve">(gali pasireikšti </w:t>
      </w:r>
      <w:r w:rsidR="00B34807">
        <w:rPr>
          <w:rFonts w:eastAsia="Calibri"/>
          <w:sz w:val="22"/>
          <w:szCs w:val="22"/>
        </w:rPr>
        <w:t>dažniau</w:t>
      </w:r>
      <w:r w:rsidRPr="00EF20DC">
        <w:rPr>
          <w:rFonts w:eastAsia="Calibri"/>
          <w:sz w:val="22"/>
          <w:szCs w:val="22"/>
        </w:rPr>
        <w:t xml:space="preserve"> </w:t>
      </w:r>
      <w:r w:rsidR="00EA799F">
        <w:rPr>
          <w:rFonts w:eastAsia="Calibri"/>
          <w:sz w:val="22"/>
          <w:szCs w:val="22"/>
        </w:rPr>
        <w:t>kaip</w:t>
      </w:r>
      <w:r w:rsidRPr="00EF20DC">
        <w:rPr>
          <w:rFonts w:eastAsia="Calibri"/>
          <w:sz w:val="22"/>
          <w:szCs w:val="22"/>
        </w:rPr>
        <w:t xml:space="preserve"> 1 iš 10</w:t>
      </w:r>
      <w:r w:rsidR="00CF26D8">
        <w:rPr>
          <w:rFonts w:eastAsia="Calibri"/>
          <w:sz w:val="22"/>
          <w:szCs w:val="22"/>
        </w:rPr>
        <w:t xml:space="preserve"> asmenų</w:t>
      </w:r>
      <w:r w:rsidRPr="00EF20DC">
        <w:rPr>
          <w:rFonts w:eastAsia="Calibri"/>
          <w:sz w:val="22"/>
          <w:szCs w:val="22"/>
        </w:rPr>
        <w:t xml:space="preserve">): </w:t>
      </w:r>
    </w:p>
    <w:p w14:paraId="6F5EC7BF" w14:textId="77777777" w:rsidR="00EF20DC" w:rsidRPr="00EF20DC" w:rsidRDefault="00EF20DC" w:rsidP="001F1094">
      <w:pPr>
        <w:numPr>
          <w:ilvl w:val="0"/>
          <w:numId w:val="8"/>
        </w:numPr>
        <w:spacing w:after="160" w:line="259" w:lineRule="auto"/>
        <w:ind w:left="567" w:hanging="567"/>
        <w:contextualSpacing/>
        <w:rPr>
          <w:rFonts w:eastAsia="Calibri"/>
          <w:sz w:val="22"/>
          <w:szCs w:val="22"/>
        </w:rPr>
      </w:pPr>
      <w:r w:rsidRPr="00EF20DC">
        <w:rPr>
          <w:rFonts w:eastAsia="Calibri"/>
          <w:sz w:val="22"/>
          <w:szCs w:val="22"/>
        </w:rPr>
        <w:t>viduriavimas,</w:t>
      </w:r>
    </w:p>
    <w:p w14:paraId="2221E738" w14:textId="77777777" w:rsidR="00EF20DC" w:rsidRPr="00EF20DC" w:rsidRDefault="00EF20DC" w:rsidP="001F1094">
      <w:pPr>
        <w:numPr>
          <w:ilvl w:val="0"/>
          <w:numId w:val="8"/>
        </w:numPr>
        <w:spacing w:after="160" w:line="259" w:lineRule="auto"/>
        <w:ind w:left="567" w:hanging="567"/>
        <w:contextualSpacing/>
        <w:rPr>
          <w:rFonts w:eastAsia="Calibri"/>
          <w:sz w:val="22"/>
          <w:szCs w:val="22"/>
        </w:rPr>
      </w:pPr>
      <w:r w:rsidRPr="00EF20DC">
        <w:rPr>
          <w:rFonts w:eastAsia="Calibri"/>
          <w:sz w:val="22"/>
          <w:szCs w:val="22"/>
        </w:rPr>
        <w:t xml:space="preserve">šleikštulys </w:t>
      </w:r>
      <w:r w:rsidRPr="00EA799F">
        <w:rPr>
          <w:rFonts w:eastAsia="Calibri"/>
          <w:sz w:val="22"/>
          <w:szCs w:val="22"/>
        </w:rPr>
        <w:t>(pykinimas),</w:t>
      </w:r>
      <w:r w:rsidRPr="00EF20DC">
        <w:rPr>
          <w:rFonts w:eastAsia="Calibri"/>
          <w:sz w:val="22"/>
          <w:szCs w:val="22"/>
        </w:rPr>
        <w:t xml:space="preserve"> </w:t>
      </w:r>
    </w:p>
    <w:p w14:paraId="09B01A80" w14:textId="77777777" w:rsidR="00EF20DC" w:rsidRPr="00EF20DC" w:rsidRDefault="00EF20DC" w:rsidP="001F1094">
      <w:pPr>
        <w:numPr>
          <w:ilvl w:val="0"/>
          <w:numId w:val="8"/>
        </w:numPr>
        <w:spacing w:after="160" w:line="259" w:lineRule="auto"/>
        <w:ind w:left="567" w:hanging="567"/>
        <w:contextualSpacing/>
        <w:rPr>
          <w:rFonts w:eastAsia="Calibri"/>
          <w:sz w:val="22"/>
          <w:szCs w:val="22"/>
        </w:rPr>
      </w:pPr>
      <w:r w:rsidRPr="00EF20DC">
        <w:rPr>
          <w:rFonts w:eastAsia="Calibri"/>
          <w:sz w:val="22"/>
          <w:szCs w:val="22"/>
        </w:rPr>
        <w:t>silpnum</w:t>
      </w:r>
      <w:r w:rsidR="00EA799F">
        <w:rPr>
          <w:rFonts w:eastAsia="Calibri"/>
          <w:sz w:val="22"/>
          <w:szCs w:val="22"/>
        </w:rPr>
        <w:t>o</w:t>
      </w:r>
      <w:r w:rsidRPr="00EF20DC">
        <w:rPr>
          <w:rFonts w:eastAsia="Calibri"/>
          <w:sz w:val="22"/>
          <w:szCs w:val="22"/>
        </w:rPr>
        <w:t xml:space="preserve"> arba nuovargi</w:t>
      </w:r>
      <w:r w:rsidR="00EA799F">
        <w:rPr>
          <w:rFonts w:eastAsia="Calibri"/>
          <w:sz w:val="22"/>
          <w:szCs w:val="22"/>
        </w:rPr>
        <w:t>o pojūtis</w:t>
      </w:r>
      <w:r w:rsidRPr="00EF20DC">
        <w:rPr>
          <w:rFonts w:eastAsia="Calibri"/>
          <w:sz w:val="22"/>
          <w:szCs w:val="22"/>
        </w:rPr>
        <w:t xml:space="preserve">, </w:t>
      </w:r>
    </w:p>
    <w:p w14:paraId="43F55B18" w14:textId="77777777" w:rsidR="00EF20DC" w:rsidRPr="00EF20DC" w:rsidRDefault="00EF20DC" w:rsidP="001F1094">
      <w:pPr>
        <w:numPr>
          <w:ilvl w:val="0"/>
          <w:numId w:val="8"/>
        </w:numPr>
        <w:spacing w:after="160" w:line="259" w:lineRule="auto"/>
        <w:ind w:left="567" w:hanging="567"/>
        <w:contextualSpacing/>
        <w:rPr>
          <w:rFonts w:eastAsia="Calibri"/>
          <w:sz w:val="22"/>
          <w:szCs w:val="22"/>
        </w:rPr>
      </w:pPr>
      <w:r w:rsidRPr="00EF20DC">
        <w:rPr>
          <w:rFonts w:eastAsia="Calibri"/>
          <w:sz w:val="22"/>
          <w:szCs w:val="22"/>
        </w:rPr>
        <w:t xml:space="preserve">skausmas (įskaitant burnos, pilvo, galvos, kaulų ir naviko skausmą), </w:t>
      </w:r>
    </w:p>
    <w:p w14:paraId="36B48335" w14:textId="77777777" w:rsidR="00EF20DC" w:rsidRPr="00EF20DC" w:rsidRDefault="00EF20DC" w:rsidP="001F1094">
      <w:pPr>
        <w:numPr>
          <w:ilvl w:val="0"/>
          <w:numId w:val="8"/>
        </w:numPr>
        <w:spacing w:after="160" w:line="259" w:lineRule="auto"/>
        <w:ind w:left="567" w:hanging="567"/>
        <w:contextualSpacing/>
        <w:rPr>
          <w:rFonts w:eastAsia="Calibri"/>
          <w:sz w:val="22"/>
          <w:szCs w:val="22"/>
        </w:rPr>
      </w:pPr>
      <w:r w:rsidRPr="00EF20DC">
        <w:rPr>
          <w:rFonts w:eastAsia="Calibri"/>
          <w:sz w:val="22"/>
          <w:szCs w:val="22"/>
        </w:rPr>
        <w:t xml:space="preserve">plaukų slinkimas </w:t>
      </w:r>
      <w:r w:rsidRPr="00EA799F">
        <w:rPr>
          <w:rFonts w:eastAsia="Calibri"/>
          <w:sz w:val="22"/>
          <w:szCs w:val="22"/>
        </w:rPr>
        <w:t>(alopecija),</w:t>
      </w:r>
      <w:r w:rsidRPr="00EF20DC">
        <w:rPr>
          <w:rFonts w:eastAsia="Calibri"/>
          <w:sz w:val="22"/>
          <w:szCs w:val="22"/>
        </w:rPr>
        <w:t xml:space="preserve"> </w:t>
      </w:r>
    </w:p>
    <w:p w14:paraId="461A59C7" w14:textId="77777777" w:rsidR="00EF20DC" w:rsidRPr="00EF20DC" w:rsidRDefault="00EF20DC" w:rsidP="001F1094">
      <w:pPr>
        <w:numPr>
          <w:ilvl w:val="0"/>
          <w:numId w:val="8"/>
        </w:numPr>
        <w:spacing w:after="160" w:line="259" w:lineRule="auto"/>
        <w:ind w:left="567" w:hanging="567"/>
        <w:contextualSpacing/>
        <w:rPr>
          <w:rFonts w:eastAsia="Calibri"/>
          <w:sz w:val="22"/>
          <w:szCs w:val="22"/>
        </w:rPr>
      </w:pPr>
      <w:r w:rsidRPr="00EF20DC">
        <w:rPr>
          <w:rFonts w:eastAsia="Calibri"/>
          <w:sz w:val="22"/>
          <w:szCs w:val="22"/>
        </w:rPr>
        <w:t xml:space="preserve">delnų ar padų paraudimas arba skausmingumas (plaštakų ir pėdų odos reakcija), </w:t>
      </w:r>
    </w:p>
    <w:p w14:paraId="7BF2F2BE" w14:textId="77777777" w:rsidR="00EF20DC" w:rsidRPr="00EF20DC" w:rsidRDefault="00EF20DC" w:rsidP="001F1094">
      <w:pPr>
        <w:numPr>
          <w:ilvl w:val="0"/>
          <w:numId w:val="8"/>
        </w:numPr>
        <w:spacing w:after="160" w:line="259" w:lineRule="auto"/>
        <w:ind w:left="567" w:hanging="567"/>
        <w:contextualSpacing/>
        <w:rPr>
          <w:rFonts w:eastAsia="Calibri"/>
          <w:sz w:val="22"/>
          <w:szCs w:val="22"/>
        </w:rPr>
      </w:pPr>
      <w:r w:rsidRPr="00EF20DC">
        <w:rPr>
          <w:rFonts w:eastAsia="Calibri"/>
          <w:sz w:val="22"/>
          <w:szCs w:val="22"/>
        </w:rPr>
        <w:t xml:space="preserve">niežėjimas arba išbėrimas, </w:t>
      </w:r>
    </w:p>
    <w:p w14:paraId="32575FDB" w14:textId="77777777" w:rsidR="00EF20DC" w:rsidRPr="00EF20DC" w:rsidRDefault="00EF20DC" w:rsidP="001F1094">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vėmimas, </w:t>
      </w:r>
    </w:p>
    <w:p w14:paraId="5D051FB6" w14:textId="77777777" w:rsidR="00EF20DC" w:rsidRPr="00EF20DC" w:rsidRDefault="00EF20DC" w:rsidP="001F1094">
      <w:pPr>
        <w:numPr>
          <w:ilvl w:val="0"/>
          <w:numId w:val="9"/>
        </w:numPr>
        <w:spacing w:after="160" w:line="259" w:lineRule="auto"/>
        <w:ind w:left="567" w:hanging="567"/>
        <w:contextualSpacing/>
        <w:rPr>
          <w:rFonts w:eastAsia="Calibri"/>
          <w:sz w:val="22"/>
          <w:szCs w:val="22"/>
        </w:rPr>
      </w:pPr>
      <w:r w:rsidRPr="00EF20DC">
        <w:rPr>
          <w:rFonts w:eastAsia="Calibri"/>
          <w:sz w:val="22"/>
          <w:szCs w:val="22"/>
        </w:rPr>
        <w:t>kraujavimas (įskaitant kraujavimą smegenyse, žarnų sienelės ir kvėpavimo organų kraujavimą),</w:t>
      </w:r>
    </w:p>
    <w:p w14:paraId="289E6A13" w14:textId="77777777" w:rsidR="00EF20DC" w:rsidRPr="00EF20DC" w:rsidRDefault="00EF20DC" w:rsidP="001F1094">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didelis kraujospūdis arba kraujospūdžio padidėjimas (hipertenzija), </w:t>
      </w:r>
    </w:p>
    <w:p w14:paraId="60583663" w14:textId="77777777" w:rsidR="00EF20DC" w:rsidRPr="00EF20DC" w:rsidRDefault="00EF20DC" w:rsidP="001F1094">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infekcijos, </w:t>
      </w:r>
    </w:p>
    <w:p w14:paraId="332B6BDA" w14:textId="77777777" w:rsidR="00EF20DC" w:rsidRPr="00EF20DC" w:rsidRDefault="00EF20DC" w:rsidP="001F1094">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apetito netekimas (anoreksija), </w:t>
      </w:r>
    </w:p>
    <w:p w14:paraId="23D555A6" w14:textId="77777777" w:rsidR="00EF20DC" w:rsidRPr="00EF20DC" w:rsidRDefault="00EF20DC" w:rsidP="001F1094">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vidurių užkietėjimas, </w:t>
      </w:r>
    </w:p>
    <w:p w14:paraId="4A4397C6" w14:textId="77777777" w:rsidR="00EF20DC" w:rsidRPr="00EF20DC" w:rsidRDefault="00EF20DC" w:rsidP="001F1094">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sąnarių skausmas (artralgija), </w:t>
      </w:r>
    </w:p>
    <w:p w14:paraId="1E2251EF" w14:textId="77777777" w:rsidR="00EF20DC" w:rsidRPr="00EF20DC" w:rsidRDefault="00EF20DC" w:rsidP="001F1094">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karščiavimas, </w:t>
      </w:r>
    </w:p>
    <w:p w14:paraId="25AE10D9" w14:textId="77777777" w:rsidR="00EF20DC" w:rsidRPr="00EF20DC" w:rsidRDefault="00EF20DC" w:rsidP="001F1094">
      <w:pPr>
        <w:numPr>
          <w:ilvl w:val="0"/>
          <w:numId w:val="9"/>
        </w:numPr>
        <w:spacing w:after="160" w:line="259" w:lineRule="auto"/>
        <w:ind w:left="567" w:hanging="567"/>
        <w:contextualSpacing/>
        <w:rPr>
          <w:rFonts w:eastAsia="Calibri"/>
          <w:sz w:val="22"/>
          <w:szCs w:val="22"/>
        </w:rPr>
      </w:pPr>
      <w:r w:rsidRPr="00EF20DC">
        <w:rPr>
          <w:rFonts w:eastAsia="Calibri"/>
          <w:sz w:val="22"/>
          <w:szCs w:val="22"/>
        </w:rPr>
        <w:t xml:space="preserve">kūno svorio mažėjimas, </w:t>
      </w:r>
    </w:p>
    <w:p w14:paraId="21C91233" w14:textId="77777777" w:rsidR="00EF20DC" w:rsidRPr="00EF20DC" w:rsidRDefault="00EA799F" w:rsidP="001F1094">
      <w:pPr>
        <w:numPr>
          <w:ilvl w:val="0"/>
          <w:numId w:val="9"/>
        </w:numPr>
        <w:spacing w:after="160" w:line="259" w:lineRule="auto"/>
        <w:ind w:left="567" w:hanging="567"/>
        <w:contextualSpacing/>
        <w:rPr>
          <w:rFonts w:eastAsia="Calibri"/>
          <w:sz w:val="22"/>
          <w:szCs w:val="22"/>
        </w:rPr>
      </w:pPr>
      <w:r w:rsidRPr="00672A1E">
        <w:rPr>
          <w:rFonts w:eastAsia="Calibri"/>
          <w:sz w:val="22"/>
          <w:szCs w:val="22"/>
        </w:rPr>
        <w:t>odos sausumas</w:t>
      </w:r>
      <w:r w:rsidR="00EF20DC" w:rsidRPr="00EF20DC">
        <w:rPr>
          <w:rFonts w:eastAsia="Calibri"/>
          <w:sz w:val="22"/>
          <w:szCs w:val="22"/>
        </w:rPr>
        <w:t xml:space="preserve">. </w:t>
      </w:r>
    </w:p>
    <w:p w14:paraId="39CBFF4D" w14:textId="77777777" w:rsidR="00EF20DC" w:rsidRPr="00EF20DC" w:rsidRDefault="00EF20DC" w:rsidP="001F1094">
      <w:pPr>
        <w:ind w:left="567" w:hanging="567"/>
        <w:rPr>
          <w:rFonts w:eastAsia="Calibri"/>
          <w:sz w:val="22"/>
          <w:szCs w:val="22"/>
        </w:rPr>
      </w:pPr>
    </w:p>
    <w:p w14:paraId="4E0E77E8" w14:textId="2B69004A" w:rsidR="00EF20DC" w:rsidRPr="00EF20DC" w:rsidRDefault="00EF20DC" w:rsidP="001F1094">
      <w:pPr>
        <w:rPr>
          <w:rFonts w:eastAsia="Calibri"/>
          <w:sz w:val="22"/>
          <w:szCs w:val="22"/>
        </w:rPr>
      </w:pPr>
      <w:r w:rsidRPr="00EF20DC">
        <w:rPr>
          <w:rFonts w:eastAsia="Calibri"/>
          <w:b/>
          <w:sz w:val="22"/>
          <w:szCs w:val="22"/>
        </w:rPr>
        <w:t>Dažn</w:t>
      </w:r>
      <w:r w:rsidR="00CF26D8">
        <w:rPr>
          <w:rFonts w:eastAsia="Calibri"/>
          <w:b/>
          <w:sz w:val="22"/>
          <w:szCs w:val="22"/>
        </w:rPr>
        <w:t xml:space="preserve">i </w:t>
      </w:r>
      <w:r w:rsidR="00CF26D8" w:rsidRPr="0003507D">
        <w:rPr>
          <w:b/>
          <w:bCs/>
          <w:noProof/>
          <w:snapToGrid w:val="0"/>
          <w:sz w:val="22"/>
          <w:szCs w:val="22"/>
        </w:rPr>
        <w:t xml:space="preserve">šalutinio poveikio reiškiniai </w:t>
      </w:r>
      <w:r w:rsidRPr="00EF20DC">
        <w:rPr>
          <w:rFonts w:eastAsia="Calibri"/>
          <w:sz w:val="22"/>
          <w:szCs w:val="22"/>
        </w:rPr>
        <w:t xml:space="preserve">(gali pasireikšti </w:t>
      </w:r>
      <w:r w:rsidR="00B34807">
        <w:rPr>
          <w:rFonts w:eastAsia="Calibri"/>
          <w:sz w:val="22"/>
          <w:szCs w:val="22"/>
        </w:rPr>
        <w:t>rečiau</w:t>
      </w:r>
      <w:r w:rsidR="00EA799F">
        <w:rPr>
          <w:rFonts w:eastAsia="Calibri"/>
          <w:sz w:val="22"/>
          <w:szCs w:val="22"/>
        </w:rPr>
        <w:t xml:space="preserve"> kaip</w:t>
      </w:r>
      <w:r w:rsidRPr="00EF20DC">
        <w:rPr>
          <w:rFonts w:eastAsia="Calibri"/>
          <w:sz w:val="22"/>
          <w:szCs w:val="22"/>
        </w:rPr>
        <w:t xml:space="preserve"> 1</w:t>
      </w:r>
      <w:r w:rsidR="00167C56">
        <w:rPr>
          <w:rFonts w:eastAsia="Calibri"/>
          <w:sz w:val="22"/>
          <w:szCs w:val="22"/>
        </w:rPr>
        <w:t xml:space="preserve"> </w:t>
      </w:r>
      <w:r w:rsidRPr="00EF20DC">
        <w:rPr>
          <w:rFonts w:eastAsia="Calibri"/>
          <w:sz w:val="22"/>
          <w:szCs w:val="22"/>
        </w:rPr>
        <w:t>iš 10</w:t>
      </w:r>
      <w:r w:rsidR="00D91A2F">
        <w:rPr>
          <w:rFonts w:eastAsia="Calibri"/>
          <w:sz w:val="22"/>
          <w:szCs w:val="22"/>
        </w:rPr>
        <w:t xml:space="preserve"> </w:t>
      </w:r>
      <w:r w:rsidR="00CF26D8">
        <w:rPr>
          <w:rFonts w:eastAsia="Calibri"/>
          <w:sz w:val="22"/>
          <w:szCs w:val="22"/>
        </w:rPr>
        <w:t>asmen</w:t>
      </w:r>
      <w:r w:rsidR="00D91A2F">
        <w:rPr>
          <w:rFonts w:eastAsia="Calibri"/>
          <w:sz w:val="22"/>
          <w:szCs w:val="22"/>
        </w:rPr>
        <w:t>ų</w:t>
      </w:r>
      <w:r w:rsidRPr="00EF20DC">
        <w:rPr>
          <w:rFonts w:eastAsia="Calibri"/>
          <w:sz w:val="22"/>
          <w:szCs w:val="22"/>
        </w:rPr>
        <w:t xml:space="preserve">): </w:t>
      </w:r>
    </w:p>
    <w:p w14:paraId="1C1AECE7" w14:textId="12D2D11E"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į gripą panaš</w:t>
      </w:r>
      <w:r w:rsidR="009B7BA7">
        <w:rPr>
          <w:rFonts w:eastAsia="Calibri"/>
          <w:sz w:val="22"/>
          <w:szCs w:val="22"/>
        </w:rPr>
        <w:t>us negalavimas</w:t>
      </w:r>
      <w:r w:rsidRPr="00EF20DC">
        <w:rPr>
          <w:rFonts w:eastAsia="Calibri"/>
          <w:sz w:val="22"/>
          <w:szCs w:val="22"/>
        </w:rPr>
        <w:t xml:space="preserve">, </w:t>
      </w:r>
    </w:p>
    <w:p w14:paraId="4FFF29CA"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nevirškinimas (dispepsija), </w:t>
      </w:r>
    </w:p>
    <w:p w14:paraId="0AF31C5A"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rijimo pasunkėjimas (disfagija), </w:t>
      </w:r>
    </w:p>
    <w:p w14:paraId="2B9366BD"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burnos džiūvimas arba uždegimas, liežuvio skausmas (stomatitas ir gleivinės uždegimas), </w:t>
      </w:r>
    </w:p>
    <w:p w14:paraId="50D9236C"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per mažas kalcio kiekis kraujyje (hipokalcemija), </w:t>
      </w:r>
    </w:p>
    <w:p w14:paraId="3530BA01"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per mažas kalio kiekis kraujyje (hipokalemija),</w:t>
      </w:r>
    </w:p>
    <w:p w14:paraId="295C950D"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per mažas cukraus kiekis kraujyje (hipoglikemija),</w:t>
      </w:r>
    </w:p>
    <w:p w14:paraId="5FCEE1A5"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raumenų skausmas (mialgija), </w:t>
      </w:r>
    </w:p>
    <w:p w14:paraId="1EB3738D"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jutimų sutrikimas rankų ir kojų pirštuose, įskaitant dilgčiojimą ir nutirpimą (periferinė sensorinė neuropatija), </w:t>
      </w:r>
    </w:p>
    <w:p w14:paraId="65649E52"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depresija,</w:t>
      </w:r>
    </w:p>
    <w:p w14:paraId="601A8F2C"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erekcijos sutrikimas (impotencija),</w:t>
      </w:r>
    </w:p>
    <w:p w14:paraId="75F36D96"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pakitęs balsas (disfonija),</w:t>
      </w:r>
    </w:p>
    <w:p w14:paraId="16C01532"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spuogai, </w:t>
      </w:r>
    </w:p>
    <w:p w14:paraId="61F9E2D3" w14:textId="70BB6BCB" w:rsidR="00EF20DC" w:rsidRPr="00EF20DC" w:rsidRDefault="00A17111" w:rsidP="001F1094">
      <w:pPr>
        <w:numPr>
          <w:ilvl w:val="0"/>
          <w:numId w:val="10"/>
        </w:numPr>
        <w:spacing w:after="160" w:line="259" w:lineRule="auto"/>
        <w:ind w:left="567" w:hanging="567"/>
        <w:contextualSpacing/>
        <w:rPr>
          <w:rFonts w:eastAsia="Calibri"/>
          <w:sz w:val="22"/>
          <w:szCs w:val="22"/>
        </w:rPr>
      </w:pPr>
      <w:r>
        <w:rPr>
          <w:rFonts w:eastAsia="Calibri"/>
          <w:sz w:val="22"/>
          <w:szCs w:val="22"/>
        </w:rPr>
        <w:t xml:space="preserve">sausos </w:t>
      </w:r>
      <w:r w:rsidR="00EF20DC" w:rsidRPr="006B79E8">
        <w:rPr>
          <w:rFonts w:eastAsia="Calibri"/>
          <w:sz w:val="22"/>
          <w:szCs w:val="22"/>
        </w:rPr>
        <w:t>odos</w:t>
      </w:r>
      <w:r w:rsidR="00EF20DC" w:rsidRPr="00EF20DC">
        <w:rPr>
          <w:rFonts w:eastAsia="Calibri"/>
          <w:sz w:val="22"/>
          <w:szCs w:val="22"/>
        </w:rPr>
        <w:t xml:space="preserve"> uždegimas,</w:t>
      </w:r>
      <w:r w:rsidR="006B79E8">
        <w:rPr>
          <w:rFonts w:eastAsia="Calibri"/>
          <w:sz w:val="22"/>
          <w:szCs w:val="22"/>
        </w:rPr>
        <w:t xml:space="preserve"> </w:t>
      </w:r>
      <w:r>
        <w:rPr>
          <w:rFonts w:eastAsia="Calibri"/>
          <w:sz w:val="22"/>
          <w:szCs w:val="22"/>
        </w:rPr>
        <w:t>odos suragėjimas</w:t>
      </w:r>
      <w:r w:rsidR="00EF20DC" w:rsidRPr="00EF20DC">
        <w:rPr>
          <w:rFonts w:eastAsia="Calibri"/>
          <w:sz w:val="22"/>
          <w:szCs w:val="22"/>
        </w:rPr>
        <w:t xml:space="preserve"> </w:t>
      </w:r>
      <w:r w:rsidR="006B79E8">
        <w:rPr>
          <w:rFonts w:eastAsia="Calibri"/>
          <w:sz w:val="22"/>
          <w:szCs w:val="22"/>
        </w:rPr>
        <w:t>ar</w:t>
      </w:r>
      <w:r w:rsidR="006B79E8" w:rsidRPr="00EF20DC">
        <w:rPr>
          <w:rFonts w:eastAsia="Calibri"/>
          <w:sz w:val="22"/>
          <w:szCs w:val="22"/>
        </w:rPr>
        <w:t xml:space="preserve"> </w:t>
      </w:r>
      <w:r w:rsidR="00EF20DC" w:rsidRPr="00EF20DC">
        <w:rPr>
          <w:rFonts w:eastAsia="Calibri"/>
          <w:sz w:val="22"/>
          <w:szCs w:val="22"/>
        </w:rPr>
        <w:t>lupimasis (dermatitas, odos deskvamacija),</w:t>
      </w:r>
    </w:p>
    <w:p w14:paraId="4A7F9351"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širdies nepakankamumas, </w:t>
      </w:r>
    </w:p>
    <w:p w14:paraId="1B435C06" w14:textId="61235164"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širdies </w:t>
      </w:r>
      <w:r w:rsidR="006B79E8">
        <w:rPr>
          <w:rFonts w:eastAsia="Calibri"/>
          <w:sz w:val="22"/>
          <w:szCs w:val="22"/>
        </w:rPr>
        <w:t>smūgis</w:t>
      </w:r>
      <w:r w:rsidR="006B79E8" w:rsidRPr="00EF20DC">
        <w:rPr>
          <w:rFonts w:eastAsia="Calibri"/>
          <w:sz w:val="22"/>
          <w:szCs w:val="22"/>
        </w:rPr>
        <w:t xml:space="preserve"> </w:t>
      </w:r>
      <w:r w:rsidRPr="00EF20DC">
        <w:rPr>
          <w:rFonts w:eastAsia="Calibri"/>
          <w:sz w:val="22"/>
          <w:szCs w:val="22"/>
        </w:rPr>
        <w:t xml:space="preserve">(miokardo infarktas) arba krūtinės skausmas, </w:t>
      </w:r>
    </w:p>
    <w:p w14:paraId="022E249B"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spengimas ausyse (ūžesys), </w:t>
      </w:r>
    </w:p>
    <w:p w14:paraId="3F3EFA4B"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inkstų nepakankamumas, </w:t>
      </w:r>
    </w:p>
    <w:p w14:paraId="6E14DAA0"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lastRenderedPageBreak/>
        <w:t xml:space="preserve">nenormaliai didelis baltymo kiekis šlapime (proteinurija), </w:t>
      </w:r>
    </w:p>
    <w:p w14:paraId="311412A1"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bendras silpnumas arba jėgų netekimas (astenija), </w:t>
      </w:r>
    </w:p>
    <w:p w14:paraId="6A1B708B"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sumažėjęs baltųjų kraujo ląstelių kiekis (leukopenija ir neutropenija), </w:t>
      </w:r>
    </w:p>
    <w:p w14:paraId="39B97E55"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sumažėjęs raudonųjų kraujo ląstelių kiekis (anemija), </w:t>
      </w:r>
    </w:p>
    <w:p w14:paraId="1C3043B2"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mažas trombocitų kiekis kraujyje (trombocitopenija), </w:t>
      </w:r>
    </w:p>
    <w:p w14:paraId="02A1BBB7"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plaukų maišelių uždegimas (folikulitas), </w:t>
      </w:r>
    </w:p>
    <w:p w14:paraId="11AB09DD"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per mažas skydliaukės aktyvumas (hipotiro</w:t>
      </w:r>
      <w:r w:rsidR="00EA799F">
        <w:rPr>
          <w:rFonts w:eastAsia="Calibri"/>
          <w:sz w:val="22"/>
          <w:szCs w:val="22"/>
        </w:rPr>
        <w:t>zė</w:t>
      </w:r>
      <w:r w:rsidRPr="00EF20DC">
        <w:rPr>
          <w:rFonts w:eastAsia="Calibri"/>
          <w:sz w:val="22"/>
          <w:szCs w:val="22"/>
        </w:rPr>
        <w:t xml:space="preserve">), </w:t>
      </w:r>
    </w:p>
    <w:p w14:paraId="69A62778"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mažas natrio kiekis kraujyje (hiponatremija), </w:t>
      </w:r>
    </w:p>
    <w:p w14:paraId="264522AD"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sutrikęs skonio pojūtis (disgeuzija),</w:t>
      </w:r>
    </w:p>
    <w:p w14:paraId="455018E5" w14:textId="22F652E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veido ir dažnai kitų odos sričių paraudimas (</w:t>
      </w:r>
      <w:r w:rsidR="000B477C">
        <w:rPr>
          <w:rFonts w:eastAsia="Calibri"/>
          <w:sz w:val="22"/>
          <w:szCs w:val="22"/>
        </w:rPr>
        <w:t xml:space="preserve">veido </w:t>
      </w:r>
      <w:r w:rsidR="00EA799F">
        <w:rPr>
          <w:rFonts w:eastAsia="Calibri"/>
          <w:sz w:val="22"/>
          <w:szCs w:val="22"/>
        </w:rPr>
        <w:t>paraudimas</w:t>
      </w:r>
      <w:r w:rsidRPr="00EF20DC">
        <w:rPr>
          <w:rFonts w:eastAsia="Calibri"/>
          <w:sz w:val="22"/>
          <w:szCs w:val="22"/>
        </w:rPr>
        <w:t xml:space="preserve">), </w:t>
      </w:r>
    </w:p>
    <w:p w14:paraId="2CD7DF10"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nosies </w:t>
      </w:r>
      <w:r w:rsidR="00EA799F">
        <w:rPr>
          <w:rFonts w:eastAsia="Calibri"/>
          <w:sz w:val="22"/>
          <w:szCs w:val="22"/>
        </w:rPr>
        <w:t xml:space="preserve">varvėjimas </w:t>
      </w:r>
      <w:r w:rsidRPr="00EF20DC">
        <w:rPr>
          <w:rFonts w:eastAsia="Calibri"/>
          <w:sz w:val="22"/>
          <w:szCs w:val="22"/>
        </w:rPr>
        <w:t xml:space="preserve">(rinorėja), </w:t>
      </w:r>
    </w:p>
    <w:p w14:paraId="7095226E"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rėmuo (gastroezofaginio refliukso liga), </w:t>
      </w:r>
    </w:p>
    <w:p w14:paraId="2456C9F4" w14:textId="5ED73F22"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odos vėžys (keratoakantoma/odos plokščialąstelin</w:t>
      </w:r>
      <w:r w:rsidR="00167C56">
        <w:rPr>
          <w:rFonts w:eastAsia="Calibri"/>
          <w:sz w:val="22"/>
          <w:szCs w:val="22"/>
        </w:rPr>
        <w:t xml:space="preserve">ė </w:t>
      </w:r>
      <w:r w:rsidRPr="00EF20DC">
        <w:rPr>
          <w:rFonts w:eastAsia="Calibri"/>
          <w:sz w:val="22"/>
          <w:szCs w:val="22"/>
        </w:rPr>
        <w:t xml:space="preserve">karcinoma), </w:t>
      </w:r>
    </w:p>
    <w:p w14:paraId="308E5003"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išorinio odos sluoksnio sustorėjimas (hiperkeratozė), </w:t>
      </w:r>
    </w:p>
    <w:p w14:paraId="5EA049AC" w14:textId="77777777" w:rsidR="00EF20DC" w:rsidRPr="00EF20DC" w:rsidRDefault="00EF20DC" w:rsidP="001F1094">
      <w:pPr>
        <w:numPr>
          <w:ilvl w:val="0"/>
          <w:numId w:val="10"/>
        </w:numPr>
        <w:spacing w:after="160" w:line="259" w:lineRule="auto"/>
        <w:ind w:left="567" w:hanging="567"/>
        <w:contextualSpacing/>
        <w:rPr>
          <w:rFonts w:eastAsia="Calibri"/>
          <w:sz w:val="22"/>
          <w:szCs w:val="22"/>
        </w:rPr>
      </w:pPr>
      <w:r w:rsidRPr="00EF20DC">
        <w:rPr>
          <w:rFonts w:eastAsia="Calibri"/>
          <w:sz w:val="22"/>
          <w:szCs w:val="22"/>
        </w:rPr>
        <w:t xml:space="preserve">staigus, nevalingas raumenų susitraukimas (raumenų spazmai). </w:t>
      </w:r>
    </w:p>
    <w:p w14:paraId="4637295F" w14:textId="77777777" w:rsidR="00EF20DC" w:rsidRPr="00EF20DC" w:rsidRDefault="00EF20DC" w:rsidP="001F1094">
      <w:pPr>
        <w:rPr>
          <w:rFonts w:eastAsia="Calibri"/>
          <w:sz w:val="22"/>
          <w:szCs w:val="22"/>
        </w:rPr>
      </w:pPr>
    </w:p>
    <w:p w14:paraId="68767823" w14:textId="2295DC31" w:rsidR="00EF20DC" w:rsidRPr="00EF20DC" w:rsidRDefault="00EF20DC" w:rsidP="001F1094">
      <w:pPr>
        <w:rPr>
          <w:rFonts w:eastAsia="Calibri"/>
          <w:sz w:val="22"/>
          <w:szCs w:val="22"/>
        </w:rPr>
      </w:pPr>
      <w:r w:rsidRPr="00EF20DC">
        <w:rPr>
          <w:rFonts w:eastAsia="Calibri"/>
          <w:b/>
          <w:sz w:val="22"/>
          <w:szCs w:val="22"/>
        </w:rPr>
        <w:t>Nedažn</w:t>
      </w:r>
      <w:r w:rsidR="00CF26D8">
        <w:rPr>
          <w:rFonts w:eastAsia="Calibri"/>
          <w:b/>
          <w:sz w:val="22"/>
          <w:szCs w:val="22"/>
        </w:rPr>
        <w:t xml:space="preserve">i </w:t>
      </w:r>
      <w:r w:rsidR="00CF26D8" w:rsidRPr="0003507D">
        <w:rPr>
          <w:b/>
          <w:bCs/>
          <w:noProof/>
          <w:snapToGrid w:val="0"/>
          <w:sz w:val="22"/>
          <w:szCs w:val="22"/>
        </w:rPr>
        <w:t xml:space="preserve">šalutinio poveikio reiškiniai </w:t>
      </w:r>
      <w:r w:rsidRPr="00EF20DC">
        <w:rPr>
          <w:rFonts w:eastAsia="Calibri"/>
          <w:sz w:val="22"/>
          <w:szCs w:val="22"/>
        </w:rPr>
        <w:t xml:space="preserve">(gali pasireikšti </w:t>
      </w:r>
      <w:r w:rsidR="00B34807">
        <w:rPr>
          <w:rFonts w:eastAsia="Calibri"/>
          <w:sz w:val="22"/>
          <w:szCs w:val="22"/>
        </w:rPr>
        <w:t>rečiau</w:t>
      </w:r>
      <w:r w:rsidR="00EA799F">
        <w:rPr>
          <w:rFonts w:eastAsia="Calibri"/>
          <w:sz w:val="22"/>
          <w:szCs w:val="22"/>
        </w:rPr>
        <w:t xml:space="preserve"> kaip</w:t>
      </w:r>
      <w:r w:rsidRPr="00EF20DC">
        <w:rPr>
          <w:rFonts w:eastAsia="Calibri"/>
          <w:sz w:val="22"/>
          <w:szCs w:val="22"/>
        </w:rPr>
        <w:t xml:space="preserve"> 1 iš 100</w:t>
      </w:r>
      <w:r w:rsidR="00287BD5" w:rsidRPr="00287BD5">
        <w:rPr>
          <w:rFonts w:eastAsia="Calibri"/>
          <w:sz w:val="22"/>
          <w:szCs w:val="22"/>
        </w:rPr>
        <w:t xml:space="preserve"> </w:t>
      </w:r>
      <w:r w:rsidR="00CF26D8">
        <w:rPr>
          <w:rFonts w:eastAsia="Calibri"/>
          <w:sz w:val="22"/>
          <w:szCs w:val="22"/>
        </w:rPr>
        <w:t>asmenų</w:t>
      </w:r>
      <w:r w:rsidRPr="00EF20DC">
        <w:rPr>
          <w:rFonts w:eastAsia="Calibri"/>
          <w:sz w:val="22"/>
          <w:szCs w:val="22"/>
        </w:rPr>
        <w:t xml:space="preserve">): </w:t>
      </w:r>
    </w:p>
    <w:p w14:paraId="23EBB92C" w14:textId="77777777" w:rsidR="00EF20DC" w:rsidRPr="00EF20DC" w:rsidRDefault="00EF20DC" w:rsidP="001F1094">
      <w:pPr>
        <w:numPr>
          <w:ilvl w:val="0"/>
          <w:numId w:val="11"/>
        </w:numPr>
        <w:spacing w:after="160" w:line="259" w:lineRule="auto"/>
        <w:ind w:left="567" w:hanging="567"/>
        <w:contextualSpacing/>
        <w:rPr>
          <w:rFonts w:eastAsia="Calibri"/>
          <w:sz w:val="22"/>
          <w:szCs w:val="22"/>
        </w:rPr>
      </w:pPr>
      <w:r w:rsidRPr="00EF20DC">
        <w:rPr>
          <w:rFonts w:eastAsia="Calibri"/>
          <w:sz w:val="22"/>
          <w:szCs w:val="22"/>
        </w:rPr>
        <w:t xml:space="preserve">skrandžio gleivinės uždegimas (gastritas), </w:t>
      </w:r>
    </w:p>
    <w:p w14:paraId="252B9A63" w14:textId="77777777" w:rsidR="00EF20DC" w:rsidRPr="00EF20DC" w:rsidRDefault="00EF20DC" w:rsidP="001F1094">
      <w:pPr>
        <w:numPr>
          <w:ilvl w:val="0"/>
          <w:numId w:val="11"/>
        </w:numPr>
        <w:spacing w:after="160" w:line="259" w:lineRule="auto"/>
        <w:ind w:left="567" w:hanging="567"/>
        <w:contextualSpacing/>
        <w:rPr>
          <w:rFonts w:eastAsia="Calibri"/>
          <w:sz w:val="22"/>
          <w:szCs w:val="22"/>
        </w:rPr>
      </w:pPr>
      <w:r w:rsidRPr="00EF20DC">
        <w:rPr>
          <w:rFonts w:eastAsia="Calibri"/>
          <w:sz w:val="22"/>
          <w:szCs w:val="22"/>
        </w:rPr>
        <w:t>pilvo skausmas, sukeltas kasos uždegimo (pankreatito), tulžies pūslės ir/ar tulžies latakų uždegimas,</w:t>
      </w:r>
    </w:p>
    <w:p w14:paraId="14CE93CC" w14:textId="77777777" w:rsidR="00EF20DC" w:rsidRPr="00EF20DC" w:rsidRDefault="00EF20DC" w:rsidP="001F1094">
      <w:pPr>
        <w:numPr>
          <w:ilvl w:val="0"/>
          <w:numId w:val="11"/>
        </w:numPr>
        <w:spacing w:after="160" w:line="259" w:lineRule="auto"/>
        <w:ind w:left="567" w:hanging="567"/>
        <w:contextualSpacing/>
        <w:rPr>
          <w:rFonts w:eastAsia="Calibri"/>
          <w:sz w:val="22"/>
          <w:szCs w:val="22"/>
        </w:rPr>
      </w:pPr>
      <w:r w:rsidRPr="00EF20DC">
        <w:rPr>
          <w:rFonts w:eastAsia="Calibri"/>
          <w:sz w:val="22"/>
          <w:szCs w:val="22"/>
        </w:rPr>
        <w:t xml:space="preserve">odos ar akių pageltimas (gelta), sukeltas didelio tulžies pigmentų kiekio kraujyje (hiperbilirubinemijos), </w:t>
      </w:r>
    </w:p>
    <w:p w14:paraId="5408A5B1" w14:textId="77777777" w:rsidR="00EF20DC" w:rsidRPr="00EF20DC" w:rsidRDefault="00EA799F" w:rsidP="001F1094">
      <w:pPr>
        <w:numPr>
          <w:ilvl w:val="0"/>
          <w:numId w:val="11"/>
        </w:numPr>
        <w:spacing w:after="160" w:line="259" w:lineRule="auto"/>
        <w:ind w:left="567" w:hanging="567"/>
        <w:contextualSpacing/>
        <w:rPr>
          <w:rFonts w:eastAsia="Calibri"/>
          <w:sz w:val="22"/>
          <w:szCs w:val="22"/>
        </w:rPr>
      </w:pPr>
      <w:r>
        <w:rPr>
          <w:rFonts w:eastAsia="Calibri"/>
          <w:sz w:val="22"/>
          <w:szCs w:val="22"/>
        </w:rPr>
        <w:t>į</w:t>
      </w:r>
      <w:r w:rsidR="00A1277A">
        <w:rPr>
          <w:rFonts w:eastAsia="Calibri"/>
          <w:sz w:val="22"/>
          <w:szCs w:val="22"/>
        </w:rPr>
        <w:t xml:space="preserve"> </w:t>
      </w:r>
      <w:r>
        <w:rPr>
          <w:rFonts w:eastAsia="Calibri"/>
          <w:sz w:val="22"/>
          <w:szCs w:val="22"/>
        </w:rPr>
        <w:t>alergiją panašios</w:t>
      </w:r>
      <w:r w:rsidR="00EF20DC" w:rsidRPr="00EF20DC">
        <w:rPr>
          <w:rFonts w:eastAsia="Calibri"/>
          <w:sz w:val="22"/>
          <w:szCs w:val="22"/>
        </w:rPr>
        <w:t xml:space="preserve"> reakcijos, įskaitant odos išbėrimą ir dilgėlinę, </w:t>
      </w:r>
    </w:p>
    <w:p w14:paraId="6AC9540F" w14:textId="77777777" w:rsidR="00EF20DC" w:rsidRPr="00EF20DC" w:rsidRDefault="00EF20DC" w:rsidP="001F1094">
      <w:pPr>
        <w:numPr>
          <w:ilvl w:val="0"/>
          <w:numId w:val="11"/>
        </w:numPr>
        <w:spacing w:after="160" w:line="259" w:lineRule="auto"/>
        <w:ind w:left="567" w:hanging="567"/>
        <w:contextualSpacing/>
        <w:rPr>
          <w:rFonts w:eastAsia="Calibri"/>
          <w:sz w:val="22"/>
          <w:szCs w:val="22"/>
        </w:rPr>
      </w:pPr>
      <w:r w:rsidRPr="00EF20DC">
        <w:rPr>
          <w:rFonts w:eastAsia="Calibri"/>
          <w:sz w:val="22"/>
          <w:szCs w:val="22"/>
        </w:rPr>
        <w:t xml:space="preserve">skysčių netekimas (dehidracija), </w:t>
      </w:r>
    </w:p>
    <w:p w14:paraId="48AABEB5" w14:textId="77777777" w:rsidR="00EF20DC" w:rsidRPr="00EF20DC" w:rsidRDefault="00EF20DC" w:rsidP="001F1094">
      <w:pPr>
        <w:numPr>
          <w:ilvl w:val="0"/>
          <w:numId w:val="11"/>
        </w:numPr>
        <w:spacing w:after="160" w:line="259" w:lineRule="auto"/>
        <w:ind w:left="567" w:hanging="567"/>
        <w:contextualSpacing/>
        <w:rPr>
          <w:rFonts w:eastAsia="Calibri"/>
          <w:sz w:val="22"/>
          <w:szCs w:val="22"/>
        </w:rPr>
      </w:pPr>
      <w:r w:rsidRPr="00EF20DC">
        <w:rPr>
          <w:rFonts w:eastAsia="Calibri"/>
          <w:sz w:val="22"/>
          <w:szCs w:val="22"/>
        </w:rPr>
        <w:t xml:space="preserve">krūtų padidėjimas (ginekomastija), </w:t>
      </w:r>
    </w:p>
    <w:p w14:paraId="5962F7F3" w14:textId="77777777" w:rsidR="00EF20DC" w:rsidRPr="00EF20DC" w:rsidRDefault="00EF20DC" w:rsidP="001F1094">
      <w:pPr>
        <w:numPr>
          <w:ilvl w:val="0"/>
          <w:numId w:val="11"/>
        </w:numPr>
        <w:spacing w:after="160" w:line="259" w:lineRule="auto"/>
        <w:ind w:left="567" w:hanging="567"/>
        <w:contextualSpacing/>
        <w:rPr>
          <w:rFonts w:eastAsia="Calibri"/>
          <w:sz w:val="22"/>
          <w:szCs w:val="22"/>
        </w:rPr>
      </w:pPr>
      <w:r w:rsidRPr="00EF20DC">
        <w:rPr>
          <w:rFonts w:eastAsia="Calibri"/>
          <w:sz w:val="22"/>
          <w:szCs w:val="22"/>
        </w:rPr>
        <w:t xml:space="preserve">kvėpavimo pasunkėjimas (plaučių liga), </w:t>
      </w:r>
    </w:p>
    <w:p w14:paraId="44CF0915" w14:textId="77777777" w:rsidR="00EF20DC" w:rsidRPr="00EF20DC" w:rsidRDefault="00EF20DC" w:rsidP="001F1094">
      <w:pPr>
        <w:numPr>
          <w:ilvl w:val="0"/>
          <w:numId w:val="11"/>
        </w:numPr>
        <w:spacing w:after="160" w:line="259" w:lineRule="auto"/>
        <w:ind w:left="567" w:hanging="567"/>
        <w:contextualSpacing/>
        <w:rPr>
          <w:rFonts w:eastAsia="Calibri"/>
          <w:sz w:val="22"/>
          <w:szCs w:val="22"/>
        </w:rPr>
      </w:pPr>
      <w:r w:rsidRPr="00EF20DC">
        <w:rPr>
          <w:rFonts w:eastAsia="Calibri"/>
          <w:sz w:val="22"/>
          <w:szCs w:val="22"/>
        </w:rPr>
        <w:t xml:space="preserve">egzema, </w:t>
      </w:r>
    </w:p>
    <w:p w14:paraId="559C425E" w14:textId="029DE5AE" w:rsidR="00EF20DC" w:rsidRPr="00EF20DC" w:rsidRDefault="00EF20DC" w:rsidP="001F1094">
      <w:pPr>
        <w:numPr>
          <w:ilvl w:val="0"/>
          <w:numId w:val="12"/>
        </w:numPr>
        <w:spacing w:after="160" w:line="259" w:lineRule="auto"/>
        <w:ind w:left="567" w:hanging="567"/>
        <w:contextualSpacing/>
        <w:rPr>
          <w:rFonts w:eastAsia="Calibri"/>
          <w:sz w:val="22"/>
          <w:szCs w:val="22"/>
        </w:rPr>
      </w:pPr>
      <w:r w:rsidRPr="00EF20DC">
        <w:rPr>
          <w:rFonts w:eastAsia="Calibri"/>
          <w:sz w:val="22"/>
          <w:szCs w:val="22"/>
        </w:rPr>
        <w:t>per didelis skydliaukės aktyvumas (hipertir</w:t>
      </w:r>
      <w:r w:rsidR="00A1277A">
        <w:rPr>
          <w:rFonts w:eastAsia="Calibri"/>
          <w:sz w:val="22"/>
          <w:szCs w:val="22"/>
        </w:rPr>
        <w:t>ozė</w:t>
      </w:r>
      <w:r w:rsidRPr="00EF20DC">
        <w:rPr>
          <w:rFonts w:eastAsia="Calibri"/>
          <w:sz w:val="22"/>
          <w:szCs w:val="22"/>
        </w:rPr>
        <w:t xml:space="preserve">), </w:t>
      </w:r>
    </w:p>
    <w:p w14:paraId="66AB04E2" w14:textId="77777777" w:rsidR="00EF20DC" w:rsidRPr="00EF20DC" w:rsidRDefault="00EF20DC" w:rsidP="001F1094">
      <w:pPr>
        <w:numPr>
          <w:ilvl w:val="0"/>
          <w:numId w:val="12"/>
        </w:numPr>
        <w:spacing w:after="160" w:line="259" w:lineRule="auto"/>
        <w:ind w:left="567" w:hanging="567"/>
        <w:contextualSpacing/>
        <w:rPr>
          <w:rFonts w:eastAsia="Calibri"/>
          <w:sz w:val="22"/>
          <w:szCs w:val="22"/>
        </w:rPr>
      </w:pPr>
      <w:r w:rsidRPr="00EF20DC">
        <w:rPr>
          <w:rFonts w:eastAsia="Calibri"/>
          <w:sz w:val="22"/>
          <w:szCs w:val="22"/>
        </w:rPr>
        <w:t>dauginis odos išbėrimas (daugiaformė eritema),</w:t>
      </w:r>
    </w:p>
    <w:p w14:paraId="49E75227" w14:textId="77777777" w:rsidR="00EF20DC" w:rsidRPr="00EF20DC" w:rsidRDefault="00EF20DC" w:rsidP="001F1094">
      <w:pPr>
        <w:numPr>
          <w:ilvl w:val="0"/>
          <w:numId w:val="12"/>
        </w:numPr>
        <w:spacing w:after="160" w:line="259" w:lineRule="auto"/>
        <w:ind w:left="567" w:hanging="567"/>
        <w:contextualSpacing/>
        <w:rPr>
          <w:rFonts w:eastAsia="Calibri"/>
          <w:sz w:val="22"/>
          <w:szCs w:val="22"/>
        </w:rPr>
      </w:pPr>
      <w:r w:rsidRPr="00EF20DC">
        <w:rPr>
          <w:rFonts w:eastAsia="Calibri"/>
          <w:sz w:val="22"/>
          <w:szCs w:val="22"/>
        </w:rPr>
        <w:t xml:space="preserve">nenormaliai didelis kraujospūdis, </w:t>
      </w:r>
    </w:p>
    <w:p w14:paraId="4A478C44" w14:textId="77777777" w:rsidR="00EF20DC" w:rsidRPr="00EF20DC" w:rsidRDefault="00EF20DC" w:rsidP="001F1094">
      <w:pPr>
        <w:numPr>
          <w:ilvl w:val="0"/>
          <w:numId w:val="12"/>
        </w:numPr>
        <w:spacing w:after="160" w:line="259" w:lineRule="auto"/>
        <w:ind w:left="567" w:hanging="567"/>
        <w:contextualSpacing/>
        <w:rPr>
          <w:rFonts w:eastAsia="Calibri"/>
          <w:sz w:val="22"/>
          <w:szCs w:val="22"/>
        </w:rPr>
      </w:pPr>
      <w:r w:rsidRPr="00EF20DC">
        <w:rPr>
          <w:rFonts w:eastAsia="Calibri"/>
          <w:sz w:val="22"/>
          <w:szCs w:val="22"/>
        </w:rPr>
        <w:t xml:space="preserve">skylės žarnų sienelėje (virškinimo trakto prakiurimas), </w:t>
      </w:r>
    </w:p>
    <w:p w14:paraId="35DCEE56" w14:textId="77777777" w:rsidR="00EF20DC" w:rsidRPr="00EF20DC" w:rsidRDefault="009124DB" w:rsidP="001F1094">
      <w:pPr>
        <w:numPr>
          <w:ilvl w:val="0"/>
          <w:numId w:val="12"/>
        </w:numPr>
        <w:spacing w:after="160" w:line="259" w:lineRule="auto"/>
        <w:ind w:left="567" w:hanging="567"/>
        <w:contextualSpacing/>
        <w:rPr>
          <w:rFonts w:eastAsia="Calibri"/>
          <w:sz w:val="22"/>
          <w:szCs w:val="22"/>
        </w:rPr>
      </w:pPr>
      <w:r>
        <w:rPr>
          <w:rFonts w:eastAsia="Calibri"/>
          <w:sz w:val="22"/>
          <w:szCs w:val="22"/>
        </w:rPr>
        <w:t>laikinas</w:t>
      </w:r>
      <w:r w:rsidR="00EF20DC" w:rsidRPr="00EF20DC">
        <w:rPr>
          <w:rFonts w:eastAsia="Calibri"/>
          <w:sz w:val="22"/>
          <w:szCs w:val="22"/>
        </w:rPr>
        <w:t xml:space="preserve"> užpakalinės smegenų dalies sutinimas, kuris gali būti susijęs su galvos skausmu, sąmonės pokyčiu, priepuoliais ir regos pažeidimo simptomais, įskaitant apakimą (grįžtam</w:t>
      </w:r>
      <w:r>
        <w:rPr>
          <w:rFonts w:eastAsia="Calibri"/>
          <w:sz w:val="22"/>
          <w:szCs w:val="22"/>
        </w:rPr>
        <w:t>oji</w:t>
      </w:r>
      <w:r w:rsidR="00EF20DC" w:rsidRPr="00EF20DC">
        <w:rPr>
          <w:rFonts w:eastAsia="Calibri"/>
          <w:sz w:val="22"/>
          <w:szCs w:val="22"/>
        </w:rPr>
        <w:t xml:space="preserve"> užpakalinė leukoencefalopatija),  </w:t>
      </w:r>
    </w:p>
    <w:p w14:paraId="77B026B7" w14:textId="77777777" w:rsidR="00EF20DC" w:rsidRPr="00EF20DC" w:rsidRDefault="00EF20DC" w:rsidP="001F1094">
      <w:pPr>
        <w:numPr>
          <w:ilvl w:val="0"/>
          <w:numId w:val="12"/>
        </w:numPr>
        <w:spacing w:after="160" w:line="259" w:lineRule="auto"/>
        <w:ind w:left="567" w:hanging="567"/>
        <w:contextualSpacing/>
        <w:rPr>
          <w:rFonts w:eastAsia="Calibri"/>
          <w:sz w:val="22"/>
          <w:szCs w:val="22"/>
        </w:rPr>
      </w:pPr>
      <w:r w:rsidRPr="00EF20DC">
        <w:rPr>
          <w:rFonts w:eastAsia="Calibri"/>
          <w:sz w:val="22"/>
          <w:szCs w:val="22"/>
        </w:rPr>
        <w:t xml:space="preserve">staigi, sunki alerginė reakcija (anafilaksinė reakcija). </w:t>
      </w:r>
    </w:p>
    <w:p w14:paraId="3BCA33A4" w14:textId="37A551A4" w:rsidR="00EF20DC" w:rsidRPr="00EF20DC" w:rsidRDefault="00EF20DC" w:rsidP="001F1094">
      <w:pPr>
        <w:rPr>
          <w:rFonts w:eastAsia="Calibri"/>
          <w:sz w:val="22"/>
          <w:szCs w:val="22"/>
        </w:rPr>
      </w:pPr>
    </w:p>
    <w:p w14:paraId="4AA8D16D" w14:textId="4E0874A9" w:rsidR="00EF20DC" w:rsidRPr="00EF20DC" w:rsidRDefault="00EF20DC" w:rsidP="001F1094">
      <w:pPr>
        <w:rPr>
          <w:rFonts w:eastAsia="Calibri"/>
          <w:sz w:val="22"/>
          <w:szCs w:val="22"/>
        </w:rPr>
      </w:pPr>
      <w:r w:rsidRPr="00EF20DC">
        <w:rPr>
          <w:rFonts w:eastAsia="Calibri"/>
          <w:b/>
          <w:sz w:val="22"/>
          <w:szCs w:val="22"/>
        </w:rPr>
        <w:t>Ret</w:t>
      </w:r>
      <w:r w:rsidR="00CF26D8">
        <w:rPr>
          <w:rFonts w:eastAsia="Calibri"/>
          <w:b/>
          <w:sz w:val="22"/>
          <w:szCs w:val="22"/>
        </w:rPr>
        <w:t xml:space="preserve">i </w:t>
      </w:r>
      <w:r w:rsidR="00CF26D8" w:rsidRPr="0003507D">
        <w:rPr>
          <w:b/>
          <w:bCs/>
          <w:noProof/>
          <w:snapToGrid w:val="0"/>
          <w:sz w:val="22"/>
          <w:szCs w:val="22"/>
        </w:rPr>
        <w:t xml:space="preserve">šalutinio poveikio reiškiniai </w:t>
      </w:r>
      <w:r w:rsidRPr="00EF20DC">
        <w:rPr>
          <w:rFonts w:eastAsia="Calibri"/>
          <w:sz w:val="22"/>
          <w:szCs w:val="22"/>
        </w:rPr>
        <w:t xml:space="preserve">(gali pasireikšti </w:t>
      </w:r>
      <w:r w:rsidR="00B34807">
        <w:rPr>
          <w:rFonts w:eastAsia="Calibri"/>
          <w:sz w:val="22"/>
          <w:szCs w:val="22"/>
        </w:rPr>
        <w:t>rečiau</w:t>
      </w:r>
      <w:r w:rsidR="009124DB">
        <w:rPr>
          <w:rFonts w:eastAsia="Calibri"/>
          <w:sz w:val="22"/>
          <w:szCs w:val="22"/>
        </w:rPr>
        <w:t xml:space="preserve"> kaip</w:t>
      </w:r>
      <w:r w:rsidRPr="00EF20DC">
        <w:rPr>
          <w:rFonts w:eastAsia="Calibri"/>
          <w:sz w:val="22"/>
          <w:szCs w:val="22"/>
        </w:rPr>
        <w:t xml:space="preserve"> 1 iš 1000</w:t>
      </w:r>
      <w:r w:rsidR="00CD3DF9">
        <w:rPr>
          <w:rFonts w:eastAsia="Calibri"/>
          <w:sz w:val="22"/>
          <w:szCs w:val="22"/>
        </w:rPr>
        <w:t xml:space="preserve"> </w:t>
      </w:r>
      <w:r w:rsidR="00CF26D8">
        <w:rPr>
          <w:rFonts w:eastAsia="Calibri"/>
          <w:sz w:val="22"/>
          <w:szCs w:val="22"/>
        </w:rPr>
        <w:t>asmenų</w:t>
      </w:r>
      <w:r w:rsidRPr="00EF20DC">
        <w:rPr>
          <w:rFonts w:eastAsia="Calibri"/>
          <w:sz w:val="22"/>
          <w:szCs w:val="22"/>
        </w:rPr>
        <w:t xml:space="preserve">): </w:t>
      </w:r>
    </w:p>
    <w:p w14:paraId="49770FD9" w14:textId="77777777" w:rsidR="00EF20DC" w:rsidRPr="00EF20DC" w:rsidRDefault="00EF20DC" w:rsidP="001F1094">
      <w:pPr>
        <w:numPr>
          <w:ilvl w:val="0"/>
          <w:numId w:val="13"/>
        </w:numPr>
        <w:spacing w:after="160" w:line="259" w:lineRule="auto"/>
        <w:ind w:left="567" w:hanging="567"/>
        <w:contextualSpacing/>
        <w:rPr>
          <w:rFonts w:eastAsia="Calibri"/>
          <w:sz w:val="22"/>
          <w:szCs w:val="22"/>
        </w:rPr>
      </w:pPr>
      <w:r w:rsidRPr="00EF20DC">
        <w:rPr>
          <w:rFonts w:eastAsia="Calibri"/>
          <w:sz w:val="22"/>
          <w:szCs w:val="22"/>
        </w:rPr>
        <w:t xml:space="preserve">alerginė reakcija su odos patinimu (pvz., veido, liežuvio), dėl kurio gali atsirasti kvėpavimo ar rijimo sunkumų (angioneurozinė edema), </w:t>
      </w:r>
    </w:p>
    <w:p w14:paraId="77A7DC15" w14:textId="77777777" w:rsidR="00EF20DC" w:rsidRPr="00EF20DC" w:rsidRDefault="00EF20DC" w:rsidP="001F1094">
      <w:pPr>
        <w:numPr>
          <w:ilvl w:val="0"/>
          <w:numId w:val="13"/>
        </w:numPr>
        <w:spacing w:after="160" w:line="259" w:lineRule="auto"/>
        <w:ind w:left="567" w:hanging="567"/>
        <w:contextualSpacing/>
        <w:rPr>
          <w:rFonts w:eastAsia="Calibri"/>
          <w:sz w:val="22"/>
          <w:szCs w:val="22"/>
        </w:rPr>
      </w:pPr>
      <w:r w:rsidRPr="00EF20DC">
        <w:rPr>
          <w:rFonts w:eastAsia="Calibri"/>
          <w:sz w:val="22"/>
          <w:szCs w:val="22"/>
        </w:rPr>
        <w:t xml:space="preserve">sutrikęs širdies ritmas (QT intervalo pailgėjimas), </w:t>
      </w:r>
    </w:p>
    <w:p w14:paraId="7DB3132D" w14:textId="77777777" w:rsidR="00EF20DC" w:rsidRPr="00EF20DC" w:rsidRDefault="00EF20DC" w:rsidP="001F1094">
      <w:pPr>
        <w:numPr>
          <w:ilvl w:val="0"/>
          <w:numId w:val="13"/>
        </w:numPr>
        <w:spacing w:after="160" w:line="259" w:lineRule="auto"/>
        <w:ind w:left="567" w:hanging="567"/>
        <w:contextualSpacing/>
        <w:rPr>
          <w:rFonts w:eastAsia="Calibri"/>
          <w:sz w:val="22"/>
          <w:szCs w:val="22"/>
        </w:rPr>
      </w:pPr>
      <w:r w:rsidRPr="00EF20DC">
        <w:rPr>
          <w:rFonts w:eastAsia="Calibri"/>
          <w:sz w:val="22"/>
          <w:szCs w:val="22"/>
        </w:rPr>
        <w:t xml:space="preserve">kepenų uždegimas, kuris gali sukelti pykinimą, vėmimą, pilvo skausmą ir geltą (vaistų sukeltas hepatitas), </w:t>
      </w:r>
    </w:p>
    <w:p w14:paraId="59F3A7CC" w14:textId="77777777" w:rsidR="00EF20DC" w:rsidRPr="00EF20DC" w:rsidRDefault="00EF20DC" w:rsidP="001F1094">
      <w:pPr>
        <w:numPr>
          <w:ilvl w:val="0"/>
          <w:numId w:val="13"/>
        </w:numPr>
        <w:spacing w:after="160" w:line="259" w:lineRule="auto"/>
        <w:ind w:left="567" w:hanging="567"/>
        <w:contextualSpacing/>
        <w:rPr>
          <w:rFonts w:eastAsia="Calibri"/>
          <w:sz w:val="22"/>
          <w:szCs w:val="22"/>
        </w:rPr>
      </w:pPr>
      <w:r w:rsidRPr="00EF20DC">
        <w:rPr>
          <w:rFonts w:eastAsia="Calibri"/>
          <w:sz w:val="22"/>
          <w:szCs w:val="22"/>
        </w:rPr>
        <w:t xml:space="preserve">į nudegimą nuo saulės panašus išbėrimas, kuris gali pasireikšti anksčiau spindulinės terapijos paveiktoje odoje ir būti sunkus (spinduliavimo sukeltas dermatitas), </w:t>
      </w:r>
    </w:p>
    <w:p w14:paraId="73792016" w14:textId="33381D4C" w:rsidR="00EF20DC" w:rsidRPr="00EF20DC" w:rsidRDefault="00EF20DC" w:rsidP="001F1094">
      <w:pPr>
        <w:numPr>
          <w:ilvl w:val="0"/>
          <w:numId w:val="13"/>
        </w:numPr>
        <w:spacing w:after="160" w:line="259" w:lineRule="auto"/>
        <w:ind w:left="567" w:hanging="567"/>
        <w:contextualSpacing/>
        <w:rPr>
          <w:rFonts w:eastAsia="Calibri"/>
          <w:sz w:val="22"/>
          <w:szCs w:val="22"/>
        </w:rPr>
      </w:pPr>
      <w:r w:rsidRPr="00EF20DC">
        <w:rPr>
          <w:rFonts w:eastAsia="Calibri"/>
          <w:sz w:val="22"/>
          <w:szCs w:val="22"/>
        </w:rPr>
        <w:t>sunkios odos ir (arba) gleivin</w:t>
      </w:r>
      <w:r w:rsidR="009124DB">
        <w:rPr>
          <w:rFonts w:eastAsia="Calibri"/>
          <w:sz w:val="22"/>
          <w:szCs w:val="22"/>
        </w:rPr>
        <w:t>ės</w:t>
      </w:r>
      <w:r w:rsidRPr="00EF20DC">
        <w:rPr>
          <w:rFonts w:eastAsia="Calibri"/>
          <w:sz w:val="22"/>
          <w:szCs w:val="22"/>
        </w:rPr>
        <w:t xml:space="preserve"> reakcijos, kurių metu gali atsirasti skausmingos pūslės ir karščiavimas, įskaitant didelės apimties odos lupimąsi (Stivenso-Džonsono </w:t>
      </w:r>
      <w:r w:rsidRPr="009124DB">
        <w:rPr>
          <w:rFonts w:eastAsia="Calibri"/>
          <w:sz w:val="22"/>
          <w:szCs w:val="22"/>
        </w:rPr>
        <w:t>[</w:t>
      </w:r>
      <w:r w:rsidR="00303131">
        <w:rPr>
          <w:rFonts w:eastAsia="Calibri"/>
          <w:sz w:val="22"/>
          <w:szCs w:val="22"/>
        </w:rPr>
        <w:t xml:space="preserve">angl. </w:t>
      </w:r>
      <w:r w:rsidRPr="00D76168">
        <w:rPr>
          <w:rFonts w:eastAsia="Calibri"/>
          <w:i/>
          <w:sz w:val="22"/>
          <w:szCs w:val="22"/>
        </w:rPr>
        <w:t>Stevens Johnson</w:t>
      </w:r>
      <w:r w:rsidRPr="009124DB">
        <w:rPr>
          <w:rFonts w:eastAsia="Calibri"/>
          <w:sz w:val="22"/>
          <w:szCs w:val="22"/>
        </w:rPr>
        <w:t>]</w:t>
      </w:r>
      <w:r w:rsidRPr="00EF20DC">
        <w:rPr>
          <w:rFonts w:eastAsia="Calibri"/>
          <w:sz w:val="22"/>
          <w:szCs w:val="22"/>
        </w:rPr>
        <w:t xml:space="preserve"> sindromas ir toksinė epidermio nekrolizė), </w:t>
      </w:r>
    </w:p>
    <w:p w14:paraId="08D0EA2D" w14:textId="77777777" w:rsidR="00EF20DC" w:rsidRPr="00EF20DC" w:rsidRDefault="00EF20DC" w:rsidP="001F1094">
      <w:pPr>
        <w:numPr>
          <w:ilvl w:val="0"/>
          <w:numId w:val="13"/>
        </w:numPr>
        <w:spacing w:after="160" w:line="259" w:lineRule="auto"/>
        <w:ind w:left="567" w:hanging="567"/>
        <w:contextualSpacing/>
        <w:rPr>
          <w:rFonts w:eastAsia="Calibri"/>
          <w:sz w:val="22"/>
          <w:szCs w:val="22"/>
        </w:rPr>
      </w:pPr>
      <w:r w:rsidRPr="00EF20DC">
        <w:rPr>
          <w:rFonts w:eastAsia="Calibri"/>
          <w:sz w:val="22"/>
          <w:szCs w:val="22"/>
        </w:rPr>
        <w:t xml:space="preserve">nenormalus raumenų irimas, kuris gali sukelti inkstų sutrikimų (rabdomiolizė), </w:t>
      </w:r>
    </w:p>
    <w:p w14:paraId="51B46F54" w14:textId="0AC8B12C" w:rsidR="00EF20DC" w:rsidRPr="00EF20DC" w:rsidRDefault="00EF20DC" w:rsidP="001F1094">
      <w:pPr>
        <w:numPr>
          <w:ilvl w:val="0"/>
          <w:numId w:val="13"/>
        </w:numPr>
        <w:spacing w:after="160" w:line="259" w:lineRule="auto"/>
        <w:ind w:left="567" w:hanging="567"/>
        <w:contextualSpacing/>
        <w:rPr>
          <w:rFonts w:eastAsia="Calibri"/>
          <w:sz w:val="22"/>
          <w:szCs w:val="22"/>
        </w:rPr>
      </w:pPr>
      <w:r w:rsidRPr="00EF20DC">
        <w:rPr>
          <w:rFonts w:eastAsia="Calibri"/>
          <w:sz w:val="22"/>
          <w:szCs w:val="22"/>
        </w:rPr>
        <w:t xml:space="preserve">inkstų pažeidimas, dėl kurio jie </w:t>
      </w:r>
      <w:r w:rsidR="00303131">
        <w:rPr>
          <w:rFonts w:eastAsia="Calibri"/>
          <w:sz w:val="22"/>
          <w:szCs w:val="22"/>
        </w:rPr>
        <w:t>praleidžia</w:t>
      </w:r>
      <w:r w:rsidR="00303131" w:rsidRPr="00EF20DC">
        <w:rPr>
          <w:rFonts w:eastAsia="Calibri"/>
          <w:sz w:val="22"/>
          <w:szCs w:val="22"/>
        </w:rPr>
        <w:t xml:space="preserve"> </w:t>
      </w:r>
      <w:r w:rsidRPr="00EF20DC">
        <w:rPr>
          <w:rFonts w:eastAsia="Calibri"/>
          <w:sz w:val="22"/>
          <w:szCs w:val="22"/>
        </w:rPr>
        <w:t>didelį baltymo kiekį (</w:t>
      </w:r>
      <w:r w:rsidR="005A13AB">
        <w:rPr>
          <w:rFonts w:eastAsia="Calibri"/>
          <w:sz w:val="22"/>
          <w:szCs w:val="22"/>
        </w:rPr>
        <w:t>nefrozinis</w:t>
      </w:r>
      <w:r w:rsidR="005A13AB" w:rsidRPr="00EF20DC">
        <w:rPr>
          <w:rFonts w:eastAsia="Calibri"/>
          <w:sz w:val="22"/>
          <w:szCs w:val="22"/>
        </w:rPr>
        <w:t xml:space="preserve"> </w:t>
      </w:r>
      <w:r w:rsidRPr="00EF20DC">
        <w:rPr>
          <w:rFonts w:eastAsia="Calibri"/>
          <w:sz w:val="22"/>
          <w:szCs w:val="22"/>
        </w:rPr>
        <w:t xml:space="preserve">sindromas), </w:t>
      </w:r>
    </w:p>
    <w:p w14:paraId="121FBF16" w14:textId="77777777" w:rsidR="00EF20DC" w:rsidRPr="00EF20DC" w:rsidRDefault="00EF20DC" w:rsidP="001F1094">
      <w:pPr>
        <w:numPr>
          <w:ilvl w:val="0"/>
          <w:numId w:val="13"/>
        </w:numPr>
        <w:spacing w:after="160" w:line="259" w:lineRule="auto"/>
        <w:ind w:left="567" w:hanging="567"/>
        <w:contextualSpacing/>
        <w:rPr>
          <w:rFonts w:eastAsia="Calibri"/>
          <w:sz w:val="22"/>
          <w:szCs w:val="22"/>
        </w:rPr>
      </w:pPr>
      <w:r w:rsidRPr="00EF20DC">
        <w:rPr>
          <w:rFonts w:eastAsia="Calibri"/>
          <w:sz w:val="22"/>
          <w:szCs w:val="22"/>
        </w:rPr>
        <w:t xml:space="preserve">odos kraujagyslių uždegimas, kuris gali sukelti išbėrimą (leukocitoklastinis vaskulitas). </w:t>
      </w:r>
    </w:p>
    <w:p w14:paraId="66F2731A" w14:textId="77777777" w:rsidR="00EF20DC" w:rsidRPr="00EF20DC" w:rsidRDefault="00EF20DC" w:rsidP="001F1094">
      <w:pPr>
        <w:rPr>
          <w:rFonts w:eastAsia="Calibri"/>
          <w:sz w:val="22"/>
          <w:szCs w:val="22"/>
        </w:rPr>
      </w:pPr>
    </w:p>
    <w:p w14:paraId="51716EA4" w14:textId="77777777" w:rsidR="00CF26D8" w:rsidRPr="00E71EED" w:rsidRDefault="00CF26D8" w:rsidP="00E71EED">
      <w:pPr>
        <w:rPr>
          <w:sz w:val="22"/>
        </w:rPr>
      </w:pPr>
      <w:r w:rsidRPr="00E71EED">
        <w:rPr>
          <w:b/>
          <w:bCs/>
          <w:noProof/>
          <w:snapToGrid w:val="0"/>
          <w:sz w:val="22"/>
          <w:szCs w:val="22"/>
        </w:rPr>
        <w:t>Šalutinio poveikio reiškiniai, kurių dažnis nežinomas (negali būti apskaičiuotas pagal turimus duomenis)</w:t>
      </w:r>
      <w:r w:rsidRPr="00E71EED">
        <w:rPr>
          <w:b/>
          <w:sz w:val="22"/>
        </w:rPr>
        <w:t xml:space="preserve"> </w:t>
      </w:r>
    </w:p>
    <w:p w14:paraId="5AEC7508" w14:textId="01E2930C" w:rsidR="00EF20DC" w:rsidRDefault="00EF20DC" w:rsidP="001F1094">
      <w:pPr>
        <w:numPr>
          <w:ilvl w:val="0"/>
          <w:numId w:val="14"/>
        </w:numPr>
        <w:spacing w:after="160" w:line="259" w:lineRule="auto"/>
        <w:ind w:left="567" w:hanging="567"/>
        <w:contextualSpacing/>
        <w:rPr>
          <w:rFonts w:eastAsia="Calibri"/>
          <w:sz w:val="22"/>
          <w:szCs w:val="22"/>
        </w:rPr>
      </w:pPr>
      <w:r w:rsidRPr="00EF20DC">
        <w:rPr>
          <w:rFonts w:eastAsia="Calibri"/>
          <w:sz w:val="22"/>
          <w:szCs w:val="22"/>
        </w:rPr>
        <w:t>sutrikusi smegenų funkcija, kuri gali būti susijusi pvz., su mieguistumu, elgesio pokyčiais ar sumišimu (encefalopatija)</w:t>
      </w:r>
      <w:r w:rsidR="0033453D">
        <w:rPr>
          <w:rFonts w:eastAsia="Calibri"/>
          <w:sz w:val="22"/>
          <w:szCs w:val="22"/>
        </w:rPr>
        <w:t>,</w:t>
      </w:r>
    </w:p>
    <w:p w14:paraId="1E7525C7" w14:textId="77777777" w:rsidR="009C25A3" w:rsidRDefault="00EF20DC" w:rsidP="001F1094">
      <w:pPr>
        <w:numPr>
          <w:ilvl w:val="0"/>
          <w:numId w:val="14"/>
        </w:numPr>
        <w:spacing w:after="160" w:line="259" w:lineRule="auto"/>
        <w:ind w:left="567" w:hanging="567"/>
        <w:contextualSpacing/>
        <w:rPr>
          <w:rFonts w:eastAsia="Calibri"/>
          <w:sz w:val="22"/>
          <w:szCs w:val="22"/>
        </w:rPr>
      </w:pPr>
      <w:r w:rsidRPr="00EF20DC">
        <w:rPr>
          <w:rFonts w:eastAsia="Calibri"/>
          <w:sz w:val="22"/>
          <w:szCs w:val="22"/>
        </w:rPr>
        <w:t>kraujagyslės sienelės išsipūtimas ir susilpnėjimas arba kraujagyslės sienelės įplyšimas (aneurizmos ir arterijų disekacijos)</w:t>
      </w:r>
      <w:r w:rsidR="009C25A3">
        <w:rPr>
          <w:rFonts w:eastAsia="Calibri"/>
          <w:sz w:val="22"/>
          <w:szCs w:val="22"/>
        </w:rPr>
        <w:t>,</w:t>
      </w:r>
    </w:p>
    <w:p w14:paraId="54065B14" w14:textId="60D5C37B" w:rsidR="009C25A3" w:rsidRPr="00CF26D8" w:rsidRDefault="009C25A3" w:rsidP="009C25A3">
      <w:pPr>
        <w:numPr>
          <w:ilvl w:val="0"/>
          <w:numId w:val="14"/>
        </w:numPr>
        <w:spacing w:after="160" w:line="259" w:lineRule="auto"/>
        <w:ind w:left="567" w:hanging="567"/>
        <w:contextualSpacing/>
        <w:rPr>
          <w:rFonts w:eastAsia="Calibri"/>
          <w:sz w:val="22"/>
          <w:szCs w:val="22"/>
        </w:rPr>
      </w:pPr>
      <w:r w:rsidRPr="0003507D">
        <w:rPr>
          <w:rFonts w:eastAsia="Calibri"/>
          <w:sz w:val="22"/>
          <w:szCs w:val="22"/>
        </w:rPr>
        <w:t xml:space="preserve">pykinimas, dusulys, nereguliarus širdies plakimas, raumenų spazmai, traukuliai, šlapimo drumstis ir nuovargis (naviko irimo </w:t>
      </w:r>
      <w:r>
        <w:rPr>
          <w:rFonts w:eastAsia="Calibri"/>
          <w:sz w:val="22"/>
          <w:szCs w:val="22"/>
        </w:rPr>
        <w:t>[</w:t>
      </w:r>
      <w:r w:rsidRPr="0003507D">
        <w:rPr>
          <w:rFonts w:eastAsia="Calibri"/>
          <w:sz w:val="22"/>
          <w:szCs w:val="22"/>
        </w:rPr>
        <w:t>lizės</w:t>
      </w:r>
      <w:r>
        <w:rPr>
          <w:rFonts w:eastAsia="Calibri"/>
          <w:sz w:val="22"/>
          <w:szCs w:val="22"/>
        </w:rPr>
        <w:t>]</w:t>
      </w:r>
      <w:r w:rsidRPr="0003507D">
        <w:rPr>
          <w:rFonts w:eastAsia="Calibri"/>
          <w:sz w:val="22"/>
          <w:szCs w:val="22"/>
        </w:rPr>
        <w:t xml:space="preserve"> sindromas </w:t>
      </w:r>
      <w:r>
        <w:rPr>
          <w:rFonts w:eastAsia="Calibri"/>
          <w:sz w:val="22"/>
          <w:szCs w:val="22"/>
        </w:rPr>
        <w:t>[</w:t>
      </w:r>
      <w:r w:rsidRPr="0003507D">
        <w:rPr>
          <w:rFonts w:eastAsia="Calibri"/>
          <w:sz w:val="22"/>
          <w:szCs w:val="22"/>
        </w:rPr>
        <w:t>NIS</w:t>
      </w:r>
      <w:r>
        <w:rPr>
          <w:rFonts w:eastAsia="Calibri"/>
          <w:sz w:val="22"/>
          <w:szCs w:val="22"/>
        </w:rPr>
        <w:t>]</w:t>
      </w:r>
      <w:r w:rsidRPr="0003507D">
        <w:rPr>
          <w:rFonts w:eastAsia="Calibri"/>
          <w:sz w:val="22"/>
          <w:szCs w:val="22"/>
        </w:rPr>
        <w:t>) (žr. 2 skyrių).</w:t>
      </w:r>
    </w:p>
    <w:p w14:paraId="4895AD38" w14:textId="188CF06D" w:rsidR="00EF20DC" w:rsidRPr="00EF20DC" w:rsidRDefault="00EF20DC" w:rsidP="001F1094">
      <w:pPr>
        <w:ind w:left="567"/>
        <w:contextualSpacing/>
        <w:rPr>
          <w:rFonts w:eastAsia="Calibri"/>
          <w:sz w:val="22"/>
          <w:szCs w:val="22"/>
        </w:rPr>
      </w:pPr>
    </w:p>
    <w:p w14:paraId="31231875" w14:textId="77777777" w:rsidR="00EF20DC" w:rsidRPr="00EF20DC" w:rsidRDefault="00EF20DC" w:rsidP="001F1094">
      <w:pPr>
        <w:tabs>
          <w:tab w:val="left" w:pos="567"/>
        </w:tabs>
        <w:rPr>
          <w:rFonts w:eastAsia="Calibri"/>
          <w:b/>
          <w:snapToGrid w:val="0"/>
          <w:sz w:val="22"/>
          <w:szCs w:val="22"/>
        </w:rPr>
      </w:pPr>
      <w:r w:rsidRPr="00EF20DC">
        <w:rPr>
          <w:rFonts w:eastAsia="Calibri"/>
          <w:b/>
          <w:snapToGrid w:val="0"/>
          <w:sz w:val="22"/>
          <w:szCs w:val="22"/>
        </w:rPr>
        <w:t>Pranešimas apie šalutinį poveikį</w:t>
      </w:r>
    </w:p>
    <w:p w14:paraId="03F98AD0" w14:textId="0B0F958C" w:rsidR="00D01F54" w:rsidRPr="00D01F54" w:rsidRDefault="00D01F54" w:rsidP="00D01F54">
      <w:pPr>
        <w:tabs>
          <w:tab w:val="left" w:pos="567"/>
        </w:tabs>
        <w:spacing w:line="260" w:lineRule="exact"/>
        <w:ind w:right="-1"/>
        <w:jc w:val="both"/>
        <w:rPr>
          <w:snapToGrid w:val="0"/>
          <w:sz w:val="22"/>
          <w:szCs w:val="20"/>
        </w:rPr>
      </w:pPr>
      <w:r w:rsidRPr="00D01F54">
        <w:rPr>
          <w:snapToGrid w:val="0"/>
          <w:sz w:val="22"/>
          <w:szCs w:val="20"/>
        </w:rPr>
        <w:t>Jeigu pasireiškė šalutinis poveikis, įskaitant šiame lapelyje nenurodytą, pasakykite gydytojui</w:t>
      </w:r>
      <w:r>
        <w:rPr>
          <w:snapToGrid w:val="0"/>
          <w:sz w:val="22"/>
          <w:szCs w:val="20"/>
        </w:rPr>
        <w:t xml:space="preserve"> </w:t>
      </w:r>
      <w:r w:rsidRPr="00D01F54">
        <w:rPr>
          <w:snapToGrid w:val="0"/>
          <w:sz w:val="22"/>
          <w:szCs w:val="20"/>
        </w:rPr>
        <w:t>arba</w:t>
      </w:r>
      <w:r>
        <w:rPr>
          <w:snapToGrid w:val="0"/>
          <w:sz w:val="22"/>
          <w:szCs w:val="20"/>
        </w:rPr>
        <w:t xml:space="preserve"> </w:t>
      </w:r>
      <w:r w:rsidRPr="00D01F54">
        <w:rPr>
          <w:snapToGrid w:val="0"/>
          <w:sz w:val="22"/>
          <w:szCs w:val="20"/>
        </w:rPr>
        <w:t xml:space="preserve">vaistininkui. Pranešimą apie šalutinį poveikį galite užpildyti ir pateikti Valstybinės vaistų kontrolės tarnybos prie Lietuvos Respublikos sveikatos apsaugos ministerijos tinklalapyje </w:t>
      </w:r>
      <w:r w:rsidRPr="00D01F54">
        <w:rPr>
          <w:snapToGrid w:val="0"/>
          <w:sz w:val="22"/>
          <w:szCs w:val="20"/>
          <w:u w:val="single"/>
        </w:rPr>
        <w:t>https://vvkt.lrv.lt/lt/</w:t>
      </w:r>
      <w:r w:rsidRPr="00D01F54">
        <w:rPr>
          <w:snapToGrid w:val="0"/>
          <w:sz w:val="22"/>
          <w:szCs w:val="20"/>
        </w:rPr>
        <w:t xml:space="preserve"> nurodytais būdais arba paskambinti nemokamu telefonu </w:t>
      </w:r>
      <w:r>
        <w:rPr>
          <w:snapToGrid w:val="0"/>
          <w:sz w:val="22"/>
          <w:szCs w:val="20"/>
        </w:rPr>
        <w:t>+370</w:t>
      </w:r>
      <w:r w:rsidRPr="00D01F54">
        <w:rPr>
          <w:snapToGrid w:val="0"/>
          <w:sz w:val="22"/>
          <w:szCs w:val="20"/>
        </w:rPr>
        <w:t xml:space="preserve"> 800 73 568. Pranešdami apie šalutinį poveikį galite mums padėti gauti daugiau informacijos apie šio vaisto saugumą.</w:t>
      </w:r>
    </w:p>
    <w:p w14:paraId="5C3D7BEB" w14:textId="77777777" w:rsidR="00EF20DC" w:rsidRPr="00EF20DC" w:rsidRDefault="00EF20DC" w:rsidP="00E71EED">
      <w:pPr>
        <w:rPr>
          <w:rFonts w:eastAsia="SimSun"/>
          <w:lang w:eastAsia="zh-CN"/>
        </w:rPr>
      </w:pPr>
    </w:p>
    <w:p w14:paraId="3DC7BAF7" w14:textId="77777777" w:rsidR="00EF20DC" w:rsidRPr="00EF20DC" w:rsidRDefault="00EF20DC" w:rsidP="00E71EED">
      <w:pPr>
        <w:rPr>
          <w:rFonts w:eastAsia="SimSun"/>
          <w:lang w:eastAsia="zh-CN"/>
        </w:rPr>
      </w:pPr>
    </w:p>
    <w:p w14:paraId="325C7258" w14:textId="2E576F9A" w:rsidR="00EF20DC" w:rsidRPr="00EF20DC" w:rsidRDefault="00EF20DC" w:rsidP="001F1094">
      <w:pPr>
        <w:keepNext/>
        <w:keepLines/>
        <w:tabs>
          <w:tab w:val="left" w:pos="567"/>
        </w:tabs>
        <w:outlineLvl w:val="2"/>
        <w:rPr>
          <w:rFonts w:eastAsia="SimSun"/>
          <w:b/>
          <w:bCs/>
          <w:sz w:val="22"/>
          <w:szCs w:val="22"/>
          <w:lang w:eastAsia="zh-CN"/>
        </w:rPr>
      </w:pPr>
      <w:r w:rsidRPr="00EF20DC">
        <w:rPr>
          <w:rFonts w:eastAsia="SimSun"/>
          <w:b/>
          <w:bCs/>
          <w:sz w:val="22"/>
          <w:szCs w:val="22"/>
          <w:lang w:eastAsia="zh-CN"/>
        </w:rPr>
        <w:t>5.</w:t>
      </w:r>
      <w:r w:rsidRPr="00EF20DC">
        <w:rPr>
          <w:rFonts w:eastAsia="SimSun"/>
          <w:b/>
          <w:bCs/>
          <w:sz w:val="22"/>
          <w:szCs w:val="22"/>
          <w:lang w:eastAsia="zh-CN"/>
        </w:rPr>
        <w:tab/>
        <w:t xml:space="preserve">Kaip laikyti Sorafenib </w:t>
      </w:r>
      <w:r w:rsidR="00D71A25">
        <w:rPr>
          <w:rFonts w:eastAsia="SimSun"/>
          <w:b/>
          <w:bCs/>
          <w:sz w:val="22"/>
          <w:szCs w:val="22"/>
          <w:lang w:eastAsia="zh-CN"/>
        </w:rPr>
        <w:t>Sandoz</w:t>
      </w:r>
    </w:p>
    <w:p w14:paraId="1F9B60EE" w14:textId="77777777" w:rsidR="00EF20DC" w:rsidRPr="00EF20DC" w:rsidRDefault="00EF20DC" w:rsidP="001F1094">
      <w:pPr>
        <w:rPr>
          <w:rFonts w:eastAsia="Calibri"/>
          <w:sz w:val="22"/>
          <w:szCs w:val="22"/>
        </w:rPr>
      </w:pPr>
    </w:p>
    <w:p w14:paraId="26E23E77" w14:textId="77777777" w:rsidR="00EF20DC" w:rsidRPr="00EF20DC" w:rsidRDefault="00EF20DC" w:rsidP="001F1094">
      <w:pPr>
        <w:rPr>
          <w:rFonts w:eastAsia="Calibri"/>
          <w:sz w:val="22"/>
          <w:szCs w:val="22"/>
        </w:rPr>
      </w:pPr>
      <w:r w:rsidRPr="00EF20DC">
        <w:rPr>
          <w:rFonts w:eastAsia="Calibri"/>
          <w:sz w:val="22"/>
          <w:szCs w:val="22"/>
        </w:rPr>
        <w:t xml:space="preserve">Šį vaistą laikykite vaikams nepastebimoje ir nepasiekiamoje vietoje. </w:t>
      </w:r>
    </w:p>
    <w:p w14:paraId="508310F4" w14:textId="77777777" w:rsidR="00EF20DC" w:rsidRPr="00EF20DC" w:rsidRDefault="00EF20DC" w:rsidP="001F1094">
      <w:pPr>
        <w:rPr>
          <w:rFonts w:eastAsia="Calibri"/>
          <w:sz w:val="22"/>
          <w:szCs w:val="22"/>
        </w:rPr>
      </w:pPr>
    </w:p>
    <w:p w14:paraId="4F2E438C" w14:textId="57E0CBC7" w:rsidR="00EF20DC" w:rsidRPr="00EF20DC" w:rsidRDefault="00EF20DC" w:rsidP="001F1094">
      <w:pPr>
        <w:rPr>
          <w:rFonts w:eastAsia="Calibri"/>
          <w:sz w:val="22"/>
          <w:szCs w:val="22"/>
        </w:rPr>
      </w:pPr>
      <w:r w:rsidRPr="00EF20DC">
        <w:rPr>
          <w:rFonts w:eastAsia="Calibri"/>
          <w:sz w:val="22"/>
          <w:szCs w:val="22"/>
        </w:rPr>
        <w:t xml:space="preserve">Ant dėžutės ir lizdinės plokštelės po „EXP“ </w:t>
      </w:r>
      <w:r w:rsidRPr="00D76168">
        <w:rPr>
          <w:rFonts w:eastAsia="Calibri"/>
          <w:bCs/>
          <w:sz w:val="22"/>
          <w:szCs w:val="22"/>
        </w:rPr>
        <w:t>nurodytam tinkamumo laikui pasibaigus, šio vaisto vartoti negalima</w:t>
      </w:r>
      <w:r w:rsidRPr="00B60FD6">
        <w:rPr>
          <w:rFonts w:eastAsia="Calibri"/>
          <w:bCs/>
          <w:sz w:val="22"/>
          <w:szCs w:val="22"/>
        </w:rPr>
        <w:t>. Vaistas tinkamas vartoti iki pask</w:t>
      </w:r>
      <w:r w:rsidRPr="00EF20DC">
        <w:rPr>
          <w:rFonts w:eastAsia="Calibri"/>
          <w:sz w:val="22"/>
          <w:szCs w:val="22"/>
        </w:rPr>
        <w:t xml:space="preserve">utinės nurodyto mėnesio dienos. </w:t>
      </w:r>
    </w:p>
    <w:p w14:paraId="3CE222B5" w14:textId="77777777" w:rsidR="00EF20DC" w:rsidRPr="00EF20DC" w:rsidRDefault="00EF20DC" w:rsidP="001F1094">
      <w:pPr>
        <w:rPr>
          <w:rFonts w:eastAsia="Calibri"/>
          <w:sz w:val="22"/>
          <w:szCs w:val="22"/>
        </w:rPr>
      </w:pPr>
    </w:p>
    <w:p w14:paraId="7920F150" w14:textId="77777777" w:rsidR="00EF20DC" w:rsidRPr="00EF20DC" w:rsidRDefault="00EF20DC" w:rsidP="001F1094">
      <w:pPr>
        <w:rPr>
          <w:rFonts w:eastAsia="Calibri"/>
          <w:sz w:val="22"/>
          <w:szCs w:val="22"/>
        </w:rPr>
      </w:pPr>
      <w:r w:rsidRPr="00EF20DC">
        <w:rPr>
          <w:rFonts w:eastAsia="Calibri"/>
          <w:sz w:val="22"/>
          <w:szCs w:val="22"/>
        </w:rPr>
        <w:t xml:space="preserve">Vaistų negalima išmesti į kanalizaciją arba su buitinėmis atliekomis. Kaip išmesti nereikalingus vaistus, klauskite vaistininko. Šios priemonės padės apsaugoti aplinką. </w:t>
      </w:r>
    </w:p>
    <w:p w14:paraId="7FD69041" w14:textId="77777777" w:rsidR="00EF20DC" w:rsidRPr="00EF20DC" w:rsidRDefault="00EF20DC" w:rsidP="001F1094">
      <w:pPr>
        <w:rPr>
          <w:rFonts w:eastAsia="Calibri"/>
          <w:sz w:val="22"/>
          <w:szCs w:val="22"/>
        </w:rPr>
      </w:pPr>
    </w:p>
    <w:p w14:paraId="65691A1A" w14:textId="77777777" w:rsidR="00EF20DC" w:rsidRPr="00EF20DC" w:rsidRDefault="00EF20DC" w:rsidP="001F1094">
      <w:pPr>
        <w:rPr>
          <w:rFonts w:eastAsia="Calibri"/>
          <w:sz w:val="22"/>
          <w:szCs w:val="22"/>
        </w:rPr>
      </w:pPr>
    </w:p>
    <w:p w14:paraId="0C1B4777" w14:textId="77777777" w:rsidR="00EF20DC" w:rsidRPr="00EF20DC" w:rsidRDefault="00EF20DC" w:rsidP="001F1094">
      <w:pPr>
        <w:keepNext/>
        <w:keepLines/>
        <w:tabs>
          <w:tab w:val="left" w:pos="567"/>
        </w:tabs>
        <w:outlineLvl w:val="2"/>
        <w:rPr>
          <w:rFonts w:eastAsia="SimSun"/>
          <w:b/>
          <w:bCs/>
          <w:sz w:val="22"/>
          <w:szCs w:val="22"/>
          <w:lang w:eastAsia="zh-CN"/>
        </w:rPr>
      </w:pPr>
      <w:r w:rsidRPr="00EF20DC">
        <w:rPr>
          <w:rFonts w:eastAsia="SimSun"/>
          <w:b/>
          <w:bCs/>
          <w:sz w:val="22"/>
          <w:szCs w:val="22"/>
          <w:lang w:eastAsia="zh-CN"/>
        </w:rPr>
        <w:t>6.</w:t>
      </w:r>
      <w:r w:rsidRPr="00EF20DC">
        <w:rPr>
          <w:rFonts w:eastAsia="SimSun"/>
          <w:b/>
          <w:bCs/>
          <w:sz w:val="22"/>
          <w:szCs w:val="22"/>
          <w:lang w:eastAsia="zh-CN"/>
        </w:rPr>
        <w:tab/>
        <w:t>Pakuotės turinys ir kita informacija</w:t>
      </w:r>
    </w:p>
    <w:p w14:paraId="0D9168EA" w14:textId="77777777" w:rsidR="00EF20DC" w:rsidRPr="00EF20DC" w:rsidRDefault="00EF20DC" w:rsidP="001F1094">
      <w:pPr>
        <w:numPr>
          <w:ilvl w:val="12"/>
          <w:numId w:val="0"/>
        </w:numPr>
        <w:tabs>
          <w:tab w:val="left" w:pos="567"/>
        </w:tabs>
        <w:rPr>
          <w:rFonts w:eastAsia="SimSun"/>
          <w:sz w:val="22"/>
          <w:szCs w:val="22"/>
          <w:lang w:eastAsia="zh-CN"/>
        </w:rPr>
      </w:pPr>
    </w:p>
    <w:p w14:paraId="1E7293D4" w14:textId="6B61408F" w:rsidR="00EF20DC" w:rsidRPr="00EF20DC" w:rsidRDefault="00EF20DC" w:rsidP="001F1094">
      <w:pPr>
        <w:keepNext/>
        <w:tabs>
          <w:tab w:val="left" w:pos="567"/>
        </w:tabs>
        <w:jc w:val="both"/>
        <w:outlineLvl w:val="3"/>
        <w:rPr>
          <w:rFonts w:eastAsia="SimSun"/>
          <w:b/>
          <w:sz w:val="22"/>
          <w:szCs w:val="22"/>
        </w:rPr>
      </w:pPr>
      <w:r w:rsidRPr="00EF20DC">
        <w:rPr>
          <w:rFonts w:eastAsia="SimSun"/>
          <w:b/>
          <w:sz w:val="22"/>
          <w:szCs w:val="22"/>
        </w:rPr>
        <w:t xml:space="preserve">Sorafenib </w:t>
      </w:r>
      <w:r w:rsidR="00D71A25">
        <w:rPr>
          <w:rFonts w:eastAsia="SimSun"/>
          <w:b/>
          <w:sz w:val="22"/>
          <w:szCs w:val="22"/>
        </w:rPr>
        <w:t>Sandoz</w:t>
      </w:r>
      <w:r w:rsidRPr="00EF20DC">
        <w:rPr>
          <w:rFonts w:eastAsia="SimSun"/>
          <w:b/>
          <w:sz w:val="22"/>
          <w:szCs w:val="22"/>
        </w:rPr>
        <w:t xml:space="preserve"> sudėtis </w:t>
      </w:r>
    </w:p>
    <w:p w14:paraId="2C9DF60C" w14:textId="77777777" w:rsidR="00EF20DC" w:rsidRPr="00EF20DC" w:rsidRDefault="00EF20DC" w:rsidP="001F1094">
      <w:pPr>
        <w:rPr>
          <w:rFonts w:eastAsia="Calibri"/>
          <w:sz w:val="22"/>
          <w:szCs w:val="22"/>
        </w:rPr>
      </w:pPr>
    </w:p>
    <w:p w14:paraId="42F4EF85" w14:textId="173E92B6" w:rsidR="00EF20DC" w:rsidRPr="00EF20DC" w:rsidRDefault="00EF20DC" w:rsidP="001F1094">
      <w:pPr>
        <w:numPr>
          <w:ilvl w:val="0"/>
          <w:numId w:val="15"/>
        </w:numPr>
        <w:spacing w:after="160" w:line="259" w:lineRule="auto"/>
        <w:ind w:left="567" w:hanging="567"/>
        <w:contextualSpacing/>
        <w:rPr>
          <w:rFonts w:eastAsia="Calibri"/>
          <w:sz w:val="22"/>
          <w:szCs w:val="22"/>
        </w:rPr>
      </w:pPr>
      <w:r w:rsidRPr="00D76168">
        <w:rPr>
          <w:rFonts w:eastAsia="Calibri"/>
          <w:bCs/>
          <w:sz w:val="22"/>
          <w:szCs w:val="22"/>
        </w:rPr>
        <w:t>Veiklioji</w:t>
      </w:r>
      <w:r w:rsidRPr="00EF20DC">
        <w:rPr>
          <w:rFonts w:eastAsia="Calibri"/>
          <w:sz w:val="22"/>
          <w:szCs w:val="22"/>
        </w:rPr>
        <w:t xml:space="preserve"> medžiaga yra sorafenibas. Kiekvienoje plėvele dengtoje tabletėje yra </w:t>
      </w:r>
      <w:r w:rsidR="00275C80">
        <w:rPr>
          <w:rFonts w:eastAsia="Calibri"/>
          <w:sz w:val="22"/>
          <w:szCs w:val="22"/>
        </w:rPr>
        <w:t>4</w:t>
      </w:r>
      <w:r w:rsidRPr="00EF20DC">
        <w:rPr>
          <w:rFonts w:eastAsia="Calibri"/>
          <w:sz w:val="22"/>
          <w:szCs w:val="22"/>
        </w:rPr>
        <w:t>00 mg sorafenibo (to</w:t>
      </w:r>
      <w:r w:rsidR="003C64E6">
        <w:rPr>
          <w:rFonts w:eastAsia="Calibri"/>
          <w:sz w:val="22"/>
          <w:szCs w:val="22"/>
        </w:rPr>
        <w:t>z</w:t>
      </w:r>
      <w:r w:rsidRPr="00EF20DC">
        <w:rPr>
          <w:rFonts w:eastAsia="Calibri"/>
          <w:sz w:val="22"/>
          <w:szCs w:val="22"/>
        </w:rPr>
        <w:t xml:space="preserve">ilato pavidalu). </w:t>
      </w:r>
    </w:p>
    <w:p w14:paraId="49958DE5" w14:textId="77777777" w:rsidR="00EF20DC" w:rsidRPr="00EF20DC" w:rsidRDefault="00EF20DC" w:rsidP="001F1094">
      <w:pPr>
        <w:numPr>
          <w:ilvl w:val="0"/>
          <w:numId w:val="15"/>
        </w:numPr>
        <w:spacing w:after="160" w:line="259" w:lineRule="auto"/>
        <w:ind w:left="567" w:hanging="567"/>
        <w:contextualSpacing/>
        <w:rPr>
          <w:rFonts w:eastAsia="Calibri"/>
          <w:sz w:val="22"/>
          <w:szCs w:val="22"/>
        </w:rPr>
      </w:pPr>
      <w:r w:rsidRPr="00D76168">
        <w:rPr>
          <w:rFonts w:eastAsia="Calibri"/>
          <w:bCs/>
          <w:sz w:val="22"/>
          <w:szCs w:val="22"/>
        </w:rPr>
        <w:t>Pagalbinės</w:t>
      </w:r>
      <w:r w:rsidRPr="00EF20DC">
        <w:rPr>
          <w:rFonts w:eastAsia="Calibri"/>
          <w:sz w:val="22"/>
          <w:szCs w:val="22"/>
        </w:rPr>
        <w:t xml:space="preserve"> medžiagos:</w:t>
      </w:r>
    </w:p>
    <w:p w14:paraId="09715619" w14:textId="4E82675D" w:rsidR="00EF20DC" w:rsidRPr="00EF20DC" w:rsidRDefault="00B03A39" w:rsidP="00B03A39">
      <w:pPr>
        <w:ind w:left="1985" w:hanging="1418"/>
        <w:contextualSpacing/>
        <w:rPr>
          <w:rFonts w:eastAsia="Calibri"/>
          <w:sz w:val="22"/>
          <w:szCs w:val="22"/>
        </w:rPr>
      </w:pPr>
      <w:r w:rsidRPr="00B03A39">
        <w:rPr>
          <w:rFonts w:eastAsia="Calibri"/>
          <w:i/>
          <w:sz w:val="22"/>
          <w:szCs w:val="22"/>
        </w:rPr>
        <w:t>t</w:t>
      </w:r>
      <w:r w:rsidR="00EF20DC" w:rsidRPr="00B03A39">
        <w:rPr>
          <w:rFonts w:eastAsia="Calibri"/>
          <w:i/>
          <w:sz w:val="22"/>
          <w:szCs w:val="22"/>
        </w:rPr>
        <w:t>abletės šerdis</w:t>
      </w:r>
      <w:r w:rsidR="00EF20DC" w:rsidRPr="00443D8E">
        <w:rPr>
          <w:rFonts w:eastAsia="Calibri"/>
          <w:iCs/>
          <w:sz w:val="22"/>
          <w:szCs w:val="22"/>
        </w:rPr>
        <w:t>:</w:t>
      </w:r>
      <w:r w:rsidR="00EF20DC" w:rsidRPr="00EF20DC">
        <w:rPr>
          <w:rFonts w:eastAsia="Calibri"/>
          <w:sz w:val="22"/>
          <w:szCs w:val="22"/>
        </w:rPr>
        <w:t xml:space="preserve"> </w:t>
      </w:r>
      <w:r w:rsidR="009124DB" w:rsidRPr="00EF20DC">
        <w:rPr>
          <w:rFonts w:eastAsia="Calibri"/>
          <w:sz w:val="22"/>
          <w:szCs w:val="22"/>
        </w:rPr>
        <w:t>hipromeliozė</w:t>
      </w:r>
      <w:r w:rsidR="009124DB">
        <w:rPr>
          <w:rFonts w:eastAsia="Calibri"/>
          <w:sz w:val="22"/>
          <w:szCs w:val="22"/>
        </w:rPr>
        <w:t xml:space="preserve"> 2910 (E464)</w:t>
      </w:r>
      <w:r w:rsidR="009124DB" w:rsidRPr="00EF20DC">
        <w:rPr>
          <w:rFonts w:eastAsia="Calibri"/>
          <w:sz w:val="22"/>
          <w:szCs w:val="22"/>
        </w:rPr>
        <w:t>,</w:t>
      </w:r>
      <w:r w:rsidR="009124DB">
        <w:rPr>
          <w:rFonts w:eastAsia="Calibri"/>
          <w:sz w:val="22"/>
          <w:szCs w:val="22"/>
        </w:rPr>
        <w:t xml:space="preserve"> </w:t>
      </w:r>
      <w:r w:rsidR="009124DB" w:rsidRPr="00EF20DC">
        <w:rPr>
          <w:rFonts w:eastAsia="Calibri"/>
          <w:sz w:val="22"/>
          <w:szCs w:val="22"/>
        </w:rPr>
        <w:t>kroskarmeliozės natrio druska</w:t>
      </w:r>
      <w:r w:rsidR="009124DB">
        <w:rPr>
          <w:rFonts w:eastAsia="Calibri"/>
          <w:sz w:val="22"/>
          <w:szCs w:val="22"/>
        </w:rPr>
        <w:t xml:space="preserve">, </w:t>
      </w:r>
      <w:r w:rsidR="00EF20DC" w:rsidRPr="00EF20DC">
        <w:rPr>
          <w:rFonts w:eastAsia="Calibri"/>
          <w:sz w:val="22"/>
          <w:szCs w:val="22"/>
        </w:rPr>
        <w:t>mikrokristalinė celiuliozė</w:t>
      </w:r>
      <w:r w:rsidR="009124DB">
        <w:rPr>
          <w:rFonts w:eastAsia="Calibri"/>
          <w:sz w:val="22"/>
          <w:szCs w:val="22"/>
        </w:rPr>
        <w:t xml:space="preserve"> (E460)</w:t>
      </w:r>
      <w:r w:rsidR="00EF20DC" w:rsidRPr="00EF20DC">
        <w:rPr>
          <w:rFonts w:eastAsia="Calibri"/>
          <w:sz w:val="22"/>
          <w:szCs w:val="22"/>
        </w:rPr>
        <w:t xml:space="preserve">, </w:t>
      </w:r>
      <w:r w:rsidR="009124DB" w:rsidRPr="00EF20DC">
        <w:rPr>
          <w:rFonts w:eastAsia="Calibri"/>
          <w:sz w:val="22"/>
          <w:szCs w:val="22"/>
        </w:rPr>
        <w:t>magnio stearatas</w:t>
      </w:r>
      <w:r w:rsidR="009124DB">
        <w:rPr>
          <w:rFonts w:eastAsia="Calibri"/>
          <w:sz w:val="22"/>
          <w:szCs w:val="22"/>
        </w:rPr>
        <w:t xml:space="preserve"> (E470b),</w:t>
      </w:r>
      <w:r w:rsidR="009124DB" w:rsidRPr="00EF20DC">
        <w:rPr>
          <w:rFonts w:eastAsia="Calibri"/>
          <w:sz w:val="22"/>
          <w:szCs w:val="22"/>
        </w:rPr>
        <w:t xml:space="preserve"> </w:t>
      </w:r>
      <w:r w:rsidR="00EF20DC" w:rsidRPr="00EF20DC">
        <w:rPr>
          <w:rFonts w:eastAsia="Calibri"/>
          <w:sz w:val="22"/>
          <w:szCs w:val="22"/>
        </w:rPr>
        <w:t xml:space="preserve">natrio laurilsulfatas. </w:t>
      </w:r>
    </w:p>
    <w:p w14:paraId="5C00B0A2" w14:textId="4CE736B6" w:rsidR="00EF20DC" w:rsidRPr="00EF20DC" w:rsidRDefault="00B03A39" w:rsidP="001F1094">
      <w:pPr>
        <w:ind w:left="567"/>
        <w:contextualSpacing/>
        <w:rPr>
          <w:rFonts w:eastAsia="Calibri"/>
          <w:sz w:val="22"/>
          <w:szCs w:val="22"/>
        </w:rPr>
      </w:pPr>
      <w:r w:rsidRPr="00B03A39">
        <w:rPr>
          <w:rFonts w:eastAsia="Calibri"/>
          <w:i/>
          <w:sz w:val="22"/>
          <w:szCs w:val="22"/>
        </w:rPr>
        <w:t>t</w:t>
      </w:r>
      <w:r w:rsidR="00EF20DC" w:rsidRPr="00B03A39">
        <w:rPr>
          <w:rFonts w:eastAsia="Calibri"/>
          <w:i/>
          <w:sz w:val="22"/>
          <w:szCs w:val="22"/>
        </w:rPr>
        <w:t>abletės plėvelė</w:t>
      </w:r>
      <w:r w:rsidR="00EF20DC" w:rsidRPr="00443D8E">
        <w:rPr>
          <w:rFonts w:eastAsia="Calibri"/>
          <w:iCs/>
          <w:sz w:val="22"/>
          <w:szCs w:val="22"/>
        </w:rPr>
        <w:t>:</w:t>
      </w:r>
      <w:r w:rsidR="00EF20DC" w:rsidRPr="00EF20DC">
        <w:rPr>
          <w:rFonts w:eastAsia="Calibri"/>
          <w:sz w:val="22"/>
          <w:szCs w:val="22"/>
        </w:rPr>
        <w:t xml:space="preserve"> hipromeliozė</w:t>
      </w:r>
      <w:r w:rsidR="009124DB">
        <w:rPr>
          <w:rFonts w:eastAsia="Calibri"/>
          <w:sz w:val="22"/>
          <w:szCs w:val="22"/>
        </w:rPr>
        <w:t xml:space="preserve"> 2910 (E464)</w:t>
      </w:r>
      <w:r w:rsidR="00EF20DC" w:rsidRPr="00EF20DC">
        <w:rPr>
          <w:rFonts w:eastAsia="Calibri"/>
          <w:sz w:val="22"/>
          <w:szCs w:val="22"/>
        </w:rPr>
        <w:t xml:space="preserve">, titano dioksidas (E171), </w:t>
      </w:r>
      <w:r w:rsidR="009124DB" w:rsidRPr="00EF20DC">
        <w:rPr>
          <w:rFonts w:eastAsia="Calibri"/>
          <w:sz w:val="22"/>
          <w:szCs w:val="22"/>
        </w:rPr>
        <w:t>makrogolis</w:t>
      </w:r>
      <w:r w:rsidR="009124DB">
        <w:rPr>
          <w:rFonts w:eastAsia="Calibri"/>
          <w:sz w:val="22"/>
          <w:szCs w:val="22"/>
        </w:rPr>
        <w:t xml:space="preserve"> </w:t>
      </w:r>
      <w:r w:rsidR="00275C80">
        <w:rPr>
          <w:rFonts w:eastAsia="Calibri"/>
          <w:sz w:val="22"/>
          <w:szCs w:val="22"/>
        </w:rPr>
        <w:t xml:space="preserve">3350 </w:t>
      </w:r>
      <w:r w:rsidR="009124DB">
        <w:rPr>
          <w:rFonts w:eastAsia="Calibri"/>
          <w:sz w:val="22"/>
          <w:szCs w:val="22"/>
        </w:rPr>
        <w:t>(E1521)</w:t>
      </w:r>
      <w:r w:rsidR="00CC75D1">
        <w:rPr>
          <w:rFonts w:eastAsia="Calibri"/>
          <w:sz w:val="22"/>
          <w:szCs w:val="22"/>
        </w:rPr>
        <w:t>.</w:t>
      </w:r>
      <w:r w:rsidR="009124DB">
        <w:rPr>
          <w:rFonts w:eastAsia="Calibri"/>
          <w:sz w:val="22"/>
          <w:szCs w:val="22"/>
        </w:rPr>
        <w:t xml:space="preserve"> </w:t>
      </w:r>
    </w:p>
    <w:p w14:paraId="21850F7E" w14:textId="77777777" w:rsidR="00EF20DC" w:rsidRPr="00EF20DC" w:rsidRDefault="00EF20DC" w:rsidP="001F1094">
      <w:pPr>
        <w:rPr>
          <w:rFonts w:eastAsia="Calibri"/>
          <w:sz w:val="22"/>
          <w:szCs w:val="22"/>
        </w:rPr>
      </w:pPr>
      <w:r w:rsidRPr="00EF20DC">
        <w:rPr>
          <w:rFonts w:eastAsia="Calibri"/>
          <w:sz w:val="22"/>
          <w:szCs w:val="22"/>
        </w:rPr>
        <w:t xml:space="preserve"> </w:t>
      </w:r>
    </w:p>
    <w:p w14:paraId="08B02A0C" w14:textId="0CF69115" w:rsidR="00EF20DC" w:rsidRPr="00EF20DC" w:rsidRDefault="00EF20DC" w:rsidP="001F1094">
      <w:pPr>
        <w:rPr>
          <w:rFonts w:eastAsia="Calibri"/>
          <w:b/>
          <w:sz w:val="22"/>
          <w:szCs w:val="22"/>
        </w:rPr>
      </w:pPr>
      <w:r w:rsidRPr="00EF20DC">
        <w:rPr>
          <w:rFonts w:eastAsia="Calibri"/>
          <w:b/>
          <w:sz w:val="22"/>
          <w:szCs w:val="22"/>
        </w:rPr>
        <w:t xml:space="preserve">Sorafenib </w:t>
      </w:r>
      <w:r w:rsidR="00D71A25">
        <w:rPr>
          <w:rFonts w:eastAsia="Calibri"/>
          <w:b/>
          <w:sz w:val="22"/>
          <w:szCs w:val="22"/>
        </w:rPr>
        <w:t>Sandoz</w:t>
      </w:r>
      <w:r w:rsidRPr="00EF20DC">
        <w:rPr>
          <w:rFonts w:eastAsia="Calibri"/>
          <w:b/>
          <w:sz w:val="22"/>
          <w:szCs w:val="22"/>
        </w:rPr>
        <w:t xml:space="preserve"> išvaizda ir kiekis pakuotėje </w:t>
      </w:r>
    </w:p>
    <w:p w14:paraId="6949B698" w14:textId="77777777" w:rsidR="009124DB" w:rsidRDefault="009124DB" w:rsidP="001F1094">
      <w:pPr>
        <w:rPr>
          <w:rFonts w:eastAsia="Calibri"/>
          <w:sz w:val="22"/>
          <w:szCs w:val="22"/>
        </w:rPr>
      </w:pPr>
    </w:p>
    <w:p w14:paraId="4BEED3D0" w14:textId="6A289217" w:rsidR="009124DB" w:rsidRPr="00EF20DC" w:rsidRDefault="009124DB" w:rsidP="001F1094">
      <w:pPr>
        <w:rPr>
          <w:rFonts w:eastAsia="Calibri"/>
          <w:sz w:val="22"/>
          <w:szCs w:val="22"/>
        </w:rPr>
      </w:pPr>
      <w:r w:rsidRPr="009124DB">
        <w:rPr>
          <w:rFonts w:eastAsia="Calibri"/>
          <w:sz w:val="22"/>
          <w:szCs w:val="22"/>
        </w:rPr>
        <w:t xml:space="preserve">Sorafenib </w:t>
      </w:r>
      <w:r w:rsidR="00D71A25">
        <w:rPr>
          <w:rFonts w:eastAsia="Calibri"/>
          <w:sz w:val="22"/>
          <w:szCs w:val="22"/>
        </w:rPr>
        <w:t>Sandoz</w:t>
      </w:r>
      <w:r w:rsidRPr="009124DB">
        <w:rPr>
          <w:rFonts w:eastAsia="Calibri"/>
          <w:sz w:val="22"/>
          <w:szCs w:val="22"/>
        </w:rPr>
        <w:t xml:space="preserve"> </w:t>
      </w:r>
      <w:r w:rsidR="006D2943">
        <w:rPr>
          <w:rFonts w:eastAsia="Calibri"/>
          <w:sz w:val="22"/>
          <w:szCs w:val="22"/>
        </w:rPr>
        <w:t>4</w:t>
      </w:r>
      <w:r w:rsidRPr="009124DB">
        <w:rPr>
          <w:rFonts w:eastAsia="Calibri"/>
          <w:sz w:val="22"/>
          <w:szCs w:val="22"/>
        </w:rPr>
        <w:t>00 mg plėvele dengtos tabletės yra</w:t>
      </w:r>
      <w:r>
        <w:rPr>
          <w:rFonts w:eastAsia="Calibri"/>
          <w:b/>
          <w:sz w:val="22"/>
          <w:szCs w:val="22"/>
        </w:rPr>
        <w:t xml:space="preserve"> </w:t>
      </w:r>
      <w:r w:rsidR="006D2943">
        <w:rPr>
          <w:rFonts w:eastAsia="Calibri"/>
          <w:sz w:val="22"/>
          <w:szCs w:val="22"/>
        </w:rPr>
        <w:t>baltos arba beveik baltos</w:t>
      </w:r>
      <w:r w:rsidRPr="00EF20DC">
        <w:rPr>
          <w:rFonts w:eastAsia="Calibri"/>
          <w:sz w:val="22"/>
          <w:szCs w:val="22"/>
        </w:rPr>
        <w:t xml:space="preserve">, </w:t>
      </w:r>
      <w:r w:rsidR="006D2943">
        <w:rPr>
          <w:rFonts w:eastAsia="Calibri"/>
          <w:sz w:val="22"/>
          <w:szCs w:val="22"/>
        </w:rPr>
        <w:t>ovalios</w:t>
      </w:r>
      <w:r w:rsidRPr="00EF20DC">
        <w:rPr>
          <w:rFonts w:eastAsia="Calibri"/>
          <w:sz w:val="22"/>
          <w:szCs w:val="22"/>
        </w:rPr>
        <w:t xml:space="preserve">, </w:t>
      </w:r>
      <w:r w:rsidR="00E53BEF">
        <w:rPr>
          <w:sz w:val="22"/>
          <w:szCs w:val="22"/>
          <w:lang w:eastAsia="en-GB"/>
        </w:rPr>
        <w:t>21</w:t>
      </w:r>
      <w:r w:rsidR="005D479B">
        <w:rPr>
          <w:sz w:val="22"/>
          <w:szCs w:val="22"/>
          <w:lang w:eastAsia="en-GB"/>
        </w:rPr>
        <w:t>,1</w:t>
      </w:r>
      <w:r w:rsidRPr="00EF20DC">
        <w:rPr>
          <w:sz w:val="22"/>
          <w:szCs w:val="22"/>
          <w:lang w:eastAsia="en-GB"/>
        </w:rPr>
        <w:t>,0</w:t>
      </w:r>
      <w:r>
        <w:rPr>
          <w:sz w:val="22"/>
          <w:szCs w:val="22"/>
          <w:lang w:eastAsia="en-GB"/>
        </w:rPr>
        <w:t> </w:t>
      </w:r>
      <w:r w:rsidRPr="00EF20DC">
        <w:rPr>
          <w:sz w:val="22"/>
          <w:szCs w:val="22"/>
          <w:lang w:eastAsia="en-GB"/>
        </w:rPr>
        <w:t>mm</w:t>
      </w:r>
      <w:r w:rsidR="005D479B">
        <w:rPr>
          <w:sz w:val="22"/>
          <w:szCs w:val="22"/>
          <w:lang w:eastAsia="en-GB"/>
        </w:rPr>
        <w:t xml:space="preserve"> x 10,1 mm </w:t>
      </w:r>
      <w:r w:rsidRPr="00EF20DC">
        <w:rPr>
          <w:sz w:val="22"/>
          <w:szCs w:val="22"/>
          <w:lang w:eastAsia="en-GB"/>
        </w:rPr>
        <w:t>± 5</w:t>
      </w:r>
      <w:r w:rsidR="00B34807">
        <w:rPr>
          <w:sz w:val="22"/>
          <w:szCs w:val="22"/>
          <w:lang w:eastAsia="en-GB"/>
        </w:rPr>
        <w:t xml:space="preserve"> </w:t>
      </w:r>
      <w:r w:rsidRPr="00EF20DC">
        <w:rPr>
          <w:sz w:val="22"/>
          <w:szCs w:val="22"/>
          <w:lang w:eastAsia="en-GB"/>
        </w:rPr>
        <w:t>%</w:t>
      </w:r>
      <w:r>
        <w:rPr>
          <w:sz w:val="22"/>
          <w:szCs w:val="22"/>
          <w:lang w:eastAsia="en-GB"/>
        </w:rPr>
        <w:t xml:space="preserve"> </w:t>
      </w:r>
      <w:r w:rsidR="005D479B">
        <w:rPr>
          <w:sz w:val="22"/>
          <w:szCs w:val="22"/>
          <w:lang w:eastAsia="en-GB"/>
        </w:rPr>
        <w:t>dydžio</w:t>
      </w:r>
      <w:r w:rsidR="00217A68">
        <w:rPr>
          <w:sz w:val="22"/>
          <w:szCs w:val="22"/>
          <w:lang w:eastAsia="en-GB"/>
        </w:rPr>
        <w:t>. Jų</w:t>
      </w:r>
      <w:r>
        <w:rPr>
          <w:rFonts w:eastAsia="Calibri"/>
          <w:sz w:val="22"/>
          <w:szCs w:val="22"/>
        </w:rPr>
        <w:t xml:space="preserve"> </w:t>
      </w:r>
      <w:r w:rsidRPr="00EF20DC">
        <w:rPr>
          <w:rFonts w:eastAsia="Calibri"/>
          <w:sz w:val="22"/>
          <w:szCs w:val="22"/>
        </w:rPr>
        <w:t xml:space="preserve">vienoje pusėje </w:t>
      </w:r>
      <w:r w:rsidR="00867EFD">
        <w:rPr>
          <w:rFonts w:eastAsia="Calibri"/>
          <w:sz w:val="22"/>
          <w:szCs w:val="22"/>
        </w:rPr>
        <w:t>yra</w:t>
      </w:r>
      <w:r w:rsidR="008679AE">
        <w:rPr>
          <w:rFonts w:eastAsia="Calibri"/>
          <w:sz w:val="22"/>
          <w:szCs w:val="22"/>
        </w:rPr>
        <w:t xml:space="preserve"> laužimo </w:t>
      </w:r>
      <w:r w:rsidR="00CC75D1">
        <w:rPr>
          <w:rFonts w:eastAsia="Calibri"/>
          <w:sz w:val="22"/>
          <w:szCs w:val="22"/>
        </w:rPr>
        <w:t>vagelė</w:t>
      </w:r>
      <w:r w:rsidR="008679AE">
        <w:rPr>
          <w:rFonts w:eastAsia="Calibri"/>
          <w:sz w:val="22"/>
          <w:szCs w:val="22"/>
        </w:rPr>
        <w:t>, o</w:t>
      </w:r>
      <w:r w:rsidRPr="00EF20DC">
        <w:rPr>
          <w:rFonts w:eastAsia="Calibri"/>
          <w:sz w:val="22"/>
          <w:szCs w:val="22"/>
        </w:rPr>
        <w:t xml:space="preserve"> kit</w:t>
      </w:r>
      <w:r>
        <w:rPr>
          <w:rFonts w:eastAsia="Calibri"/>
          <w:sz w:val="22"/>
          <w:szCs w:val="22"/>
        </w:rPr>
        <w:t>a pusė lygi.</w:t>
      </w:r>
      <w:r w:rsidRPr="00EF20DC">
        <w:rPr>
          <w:rFonts w:eastAsia="Calibri"/>
          <w:sz w:val="22"/>
          <w:szCs w:val="22"/>
        </w:rPr>
        <w:t xml:space="preserve"> </w:t>
      </w:r>
    </w:p>
    <w:p w14:paraId="2440B04D" w14:textId="77777777" w:rsidR="00CE537C" w:rsidRDefault="00CE537C" w:rsidP="001F1094">
      <w:pPr>
        <w:rPr>
          <w:rFonts w:eastAsia="Calibri"/>
          <w:sz w:val="22"/>
          <w:szCs w:val="22"/>
        </w:rPr>
      </w:pPr>
    </w:p>
    <w:p w14:paraId="60B8365D" w14:textId="0EAFF38C" w:rsidR="00C54896" w:rsidRDefault="005F7C84" w:rsidP="001F1094">
      <w:pPr>
        <w:rPr>
          <w:rFonts w:eastAsia="Calibri"/>
          <w:sz w:val="22"/>
          <w:szCs w:val="22"/>
        </w:rPr>
      </w:pPr>
      <w:r>
        <w:rPr>
          <w:rFonts w:eastAsia="Calibri"/>
          <w:sz w:val="22"/>
          <w:szCs w:val="22"/>
        </w:rPr>
        <w:t>Jos yra</w:t>
      </w:r>
      <w:r w:rsidR="00C54896" w:rsidRPr="00CA4084">
        <w:rPr>
          <w:rFonts w:eastAsia="Calibri"/>
          <w:sz w:val="22"/>
          <w:szCs w:val="22"/>
        </w:rPr>
        <w:t xml:space="preserve"> </w:t>
      </w:r>
      <w:r w:rsidR="00CE537C" w:rsidRPr="00CA4084">
        <w:rPr>
          <w:rFonts w:eastAsia="Calibri"/>
          <w:sz w:val="22"/>
          <w:szCs w:val="22"/>
        </w:rPr>
        <w:t>tiekiam</w:t>
      </w:r>
      <w:r w:rsidR="00C54896" w:rsidRPr="00CA4084">
        <w:rPr>
          <w:rFonts w:eastAsia="Calibri"/>
          <w:sz w:val="22"/>
          <w:szCs w:val="22"/>
        </w:rPr>
        <w:t>a</w:t>
      </w:r>
      <w:r w:rsidR="00CE537C" w:rsidRPr="00CA4084">
        <w:rPr>
          <w:rFonts w:eastAsia="Calibri"/>
          <w:sz w:val="22"/>
          <w:szCs w:val="22"/>
        </w:rPr>
        <w:t>s pakuotė</w:t>
      </w:r>
      <w:r w:rsidR="00C54896" w:rsidRPr="00CA4084">
        <w:rPr>
          <w:rFonts w:eastAsia="Calibri"/>
          <w:sz w:val="22"/>
          <w:szCs w:val="22"/>
        </w:rPr>
        <w:t>mis</w:t>
      </w:r>
      <w:r w:rsidR="00CE537C" w:rsidRPr="00CA4084">
        <w:rPr>
          <w:rFonts w:eastAsia="Calibri"/>
          <w:sz w:val="22"/>
          <w:szCs w:val="22"/>
        </w:rPr>
        <w:t xml:space="preserve"> po 28, </w:t>
      </w:r>
      <w:r w:rsidR="00550367">
        <w:rPr>
          <w:rFonts w:eastAsia="Calibri"/>
          <w:sz w:val="22"/>
          <w:szCs w:val="22"/>
        </w:rPr>
        <w:t xml:space="preserve">30, </w:t>
      </w:r>
      <w:r w:rsidR="00CE537C" w:rsidRPr="00CA4084">
        <w:rPr>
          <w:rFonts w:eastAsia="Calibri"/>
          <w:sz w:val="22"/>
          <w:szCs w:val="22"/>
        </w:rPr>
        <w:t>56</w:t>
      </w:r>
      <w:r w:rsidR="00550367">
        <w:rPr>
          <w:rFonts w:eastAsia="Calibri"/>
          <w:sz w:val="22"/>
          <w:szCs w:val="22"/>
        </w:rPr>
        <w:t xml:space="preserve">, 60, sudėtinėmis pakuotėmis po 84 (3 </w:t>
      </w:r>
      <w:r w:rsidR="00CC75D1">
        <w:rPr>
          <w:rFonts w:eastAsia="Calibri"/>
          <w:sz w:val="22"/>
          <w:szCs w:val="22"/>
        </w:rPr>
        <w:t>pakuotės</w:t>
      </w:r>
      <w:r w:rsidR="00550367">
        <w:rPr>
          <w:rFonts w:eastAsia="Calibri"/>
          <w:sz w:val="22"/>
          <w:szCs w:val="22"/>
        </w:rPr>
        <w:t xml:space="preserve"> po 28), sudėtinėmis pakuotėmis po 112 (4 </w:t>
      </w:r>
      <w:r w:rsidR="00CC75D1">
        <w:rPr>
          <w:rFonts w:eastAsia="Calibri"/>
          <w:sz w:val="22"/>
          <w:szCs w:val="22"/>
        </w:rPr>
        <w:t>pakuotė</w:t>
      </w:r>
      <w:r w:rsidR="00550367">
        <w:rPr>
          <w:rFonts w:eastAsia="Calibri"/>
          <w:sz w:val="22"/>
          <w:szCs w:val="22"/>
        </w:rPr>
        <w:t xml:space="preserve"> po 28) </w:t>
      </w:r>
      <w:r w:rsidR="00425741">
        <w:rPr>
          <w:rFonts w:eastAsia="Calibri"/>
          <w:sz w:val="22"/>
          <w:szCs w:val="22"/>
        </w:rPr>
        <w:t>arba</w:t>
      </w:r>
      <w:r w:rsidR="00CE537C" w:rsidRPr="00CA4084">
        <w:rPr>
          <w:rFonts w:eastAsia="Calibri"/>
          <w:sz w:val="22"/>
          <w:szCs w:val="22"/>
        </w:rPr>
        <w:t xml:space="preserve"> </w:t>
      </w:r>
      <w:r w:rsidR="00550367">
        <w:rPr>
          <w:rFonts w:eastAsia="Calibri"/>
          <w:sz w:val="22"/>
          <w:szCs w:val="22"/>
        </w:rPr>
        <w:t xml:space="preserve">sudėtinėmis pakuotėmis po 120 (4 </w:t>
      </w:r>
      <w:r w:rsidR="00CC75D1">
        <w:rPr>
          <w:rFonts w:eastAsia="Calibri"/>
          <w:sz w:val="22"/>
          <w:szCs w:val="22"/>
        </w:rPr>
        <w:t>pakuotės</w:t>
      </w:r>
      <w:r w:rsidR="00550367">
        <w:rPr>
          <w:rFonts w:eastAsia="Calibri"/>
          <w:sz w:val="22"/>
          <w:szCs w:val="22"/>
        </w:rPr>
        <w:t xml:space="preserve"> po 30) </w:t>
      </w:r>
      <w:r w:rsidR="00CE537C" w:rsidRPr="00CA4084">
        <w:rPr>
          <w:rFonts w:eastAsia="Calibri"/>
          <w:sz w:val="22"/>
          <w:szCs w:val="22"/>
        </w:rPr>
        <w:t>plėvele dengtų tablečių aliuminio-</w:t>
      </w:r>
      <w:r w:rsidR="00550367">
        <w:rPr>
          <w:rFonts w:eastAsia="Calibri"/>
          <w:sz w:val="22"/>
          <w:szCs w:val="22"/>
        </w:rPr>
        <w:t>OPA</w:t>
      </w:r>
      <w:r w:rsidR="00CE537C" w:rsidRPr="00CA4084">
        <w:rPr>
          <w:rFonts w:eastAsia="Calibri"/>
          <w:sz w:val="22"/>
          <w:szCs w:val="22"/>
        </w:rPr>
        <w:t>/</w:t>
      </w:r>
      <w:r w:rsidR="00550367">
        <w:rPr>
          <w:rFonts w:eastAsia="Calibri"/>
          <w:sz w:val="22"/>
          <w:szCs w:val="22"/>
        </w:rPr>
        <w:t>Al</w:t>
      </w:r>
      <w:r w:rsidR="00CE537C" w:rsidRPr="00CA4084">
        <w:rPr>
          <w:rFonts w:eastAsia="Calibri"/>
          <w:sz w:val="22"/>
          <w:szCs w:val="22"/>
        </w:rPr>
        <w:t>/PVC lizdinėse plokštelėse.</w:t>
      </w:r>
    </w:p>
    <w:p w14:paraId="48845CE7" w14:textId="3BEEC34A" w:rsidR="00550367" w:rsidRDefault="00F918C8" w:rsidP="001F1094">
      <w:pPr>
        <w:rPr>
          <w:rFonts w:eastAsia="Calibri"/>
          <w:sz w:val="22"/>
          <w:szCs w:val="22"/>
        </w:rPr>
      </w:pPr>
      <w:r>
        <w:rPr>
          <w:rFonts w:eastAsia="Calibri"/>
          <w:sz w:val="22"/>
          <w:szCs w:val="22"/>
        </w:rPr>
        <w:t>Jos yra</w:t>
      </w:r>
      <w:r w:rsidRPr="00CA4084">
        <w:rPr>
          <w:rFonts w:eastAsia="Calibri"/>
          <w:sz w:val="22"/>
          <w:szCs w:val="22"/>
        </w:rPr>
        <w:t xml:space="preserve"> tiekiamas pakuotėmis po 28</w:t>
      </w:r>
      <w:r>
        <w:rPr>
          <w:rFonts w:eastAsia="Calibri"/>
          <w:sz w:val="22"/>
          <w:szCs w:val="22"/>
        </w:rPr>
        <w:t> x 1</w:t>
      </w:r>
      <w:r w:rsidRPr="00CA4084">
        <w:rPr>
          <w:rFonts w:eastAsia="Calibri"/>
          <w:sz w:val="22"/>
          <w:szCs w:val="22"/>
        </w:rPr>
        <w:t xml:space="preserve">, </w:t>
      </w:r>
      <w:r>
        <w:rPr>
          <w:rFonts w:eastAsia="Calibri"/>
          <w:sz w:val="22"/>
          <w:szCs w:val="22"/>
        </w:rPr>
        <w:t xml:space="preserve">30 x 1, </w:t>
      </w:r>
      <w:r w:rsidRPr="00CA4084">
        <w:rPr>
          <w:rFonts w:eastAsia="Calibri"/>
          <w:sz w:val="22"/>
          <w:szCs w:val="22"/>
        </w:rPr>
        <w:t>56</w:t>
      </w:r>
      <w:r w:rsidR="00D003AC">
        <w:rPr>
          <w:rFonts w:eastAsia="Calibri"/>
          <w:sz w:val="22"/>
          <w:szCs w:val="22"/>
        </w:rPr>
        <w:t> x 1</w:t>
      </w:r>
      <w:r>
        <w:rPr>
          <w:rFonts w:eastAsia="Calibri"/>
          <w:sz w:val="22"/>
          <w:szCs w:val="22"/>
        </w:rPr>
        <w:t>, 60</w:t>
      </w:r>
      <w:r w:rsidR="00D003AC">
        <w:rPr>
          <w:rFonts w:eastAsia="Calibri"/>
          <w:sz w:val="22"/>
          <w:szCs w:val="22"/>
        </w:rPr>
        <w:t> x 1</w:t>
      </w:r>
      <w:r>
        <w:rPr>
          <w:rFonts w:eastAsia="Calibri"/>
          <w:sz w:val="22"/>
          <w:szCs w:val="22"/>
        </w:rPr>
        <w:t>, sudėtinėmis pakuotėmis po 84</w:t>
      </w:r>
      <w:r w:rsidR="00D003AC">
        <w:rPr>
          <w:rFonts w:eastAsia="Calibri"/>
          <w:sz w:val="22"/>
          <w:szCs w:val="22"/>
        </w:rPr>
        <w:t> x 1</w:t>
      </w:r>
      <w:r>
        <w:rPr>
          <w:rFonts w:eastAsia="Calibri"/>
          <w:sz w:val="22"/>
          <w:szCs w:val="22"/>
        </w:rPr>
        <w:t xml:space="preserve"> (3 </w:t>
      </w:r>
      <w:r w:rsidR="00CC75D1">
        <w:rPr>
          <w:rFonts w:eastAsia="Calibri"/>
          <w:sz w:val="22"/>
          <w:szCs w:val="22"/>
        </w:rPr>
        <w:t>pakuotės</w:t>
      </w:r>
      <w:r>
        <w:rPr>
          <w:rFonts w:eastAsia="Calibri"/>
          <w:sz w:val="22"/>
          <w:szCs w:val="22"/>
        </w:rPr>
        <w:t xml:space="preserve"> po 28</w:t>
      </w:r>
      <w:r w:rsidR="00D003AC">
        <w:rPr>
          <w:rFonts w:eastAsia="Calibri"/>
          <w:sz w:val="22"/>
          <w:szCs w:val="22"/>
        </w:rPr>
        <w:t> x 1</w:t>
      </w:r>
      <w:r>
        <w:rPr>
          <w:rFonts w:eastAsia="Calibri"/>
          <w:sz w:val="22"/>
          <w:szCs w:val="22"/>
        </w:rPr>
        <w:t>), sudėtinėmis pakuotėmis po 112</w:t>
      </w:r>
      <w:r w:rsidR="00D003AC">
        <w:rPr>
          <w:rFonts w:eastAsia="Calibri"/>
          <w:sz w:val="22"/>
          <w:szCs w:val="22"/>
        </w:rPr>
        <w:t> x 1</w:t>
      </w:r>
      <w:r>
        <w:rPr>
          <w:rFonts w:eastAsia="Calibri"/>
          <w:sz w:val="22"/>
          <w:szCs w:val="22"/>
        </w:rPr>
        <w:t xml:space="preserve"> (4 </w:t>
      </w:r>
      <w:r w:rsidR="00CC75D1">
        <w:rPr>
          <w:rFonts w:eastAsia="Calibri"/>
          <w:sz w:val="22"/>
          <w:szCs w:val="22"/>
        </w:rPr>
        <w:t>pakuotės</w:t>
      </w:r>
      <w:r>
        <w:rPr>
          <w:rFonts w:eastAsia="Calibri"/>
          <w:sz w:val="22"/>
          <w:szCs w:val="22"/>
        </w:rPr>
        <w:t xml:space="preserve"> po 28</w:t>
      </w:r>
      <w:r w:rsidR="00D003AC">
        <w:rPr>
          <w:rFonts w:eastAsia="Calibri"/>
          <w:sz w:val="22"/>
          <w:szCs w:val="22"/>
        </w:rPr>
        <w:t> </w:t>
      </w:r>
      <w:r w:rsidR="005A77E7">
        <w:rPr>
          <w:rFonts w:eastAsia="Calibri"/>
          <w:sz w:val="22"/>
          <w:szCs w:val="22"/>
        </w:rPr>
        <w:t>x 1</w:t>
      </w:r>
      <w:r>
        <w:rPr>
          <w:rFonts w:eastAsia="Calibri"/>
          <w:sz w:val="22"/>
          <w:szCs w:val="22"/>
        </w:rPr>
        <w:t>) arba</w:t>
      </w:r>
      <w:r w:rsidRPr="00CA4084">
        <w:rPr>
          <w:rFonts w:eastAsia="Calibri"/>
          <w:sz w:val="22"/>
          <w:szCs w:val="22"/>
        </w:rPr>
        <w:t xml:space="preserve"> </w:t>
      </w:r>
      <w:r>
        <w:rPr>
          <w:rFonts w:eastAsia="Calibri"/>
          <w:sz w:val="22"/>
          <w:szCs w:val="22"/>
        </w:rPr>
        <w:t>sudėtinėmis pakuotėmis po 120</w:t>
      </w:r>
      <w:r w:rsidR="005A77E7">
        <w:rPr>
          <w:rFonts w:eastAsia="Calibri"/>
          <w:sz w:val="22"/>
          <w:szCs w:val="22"/>
        </w:rPr>
        <w:t> x 1</w:t>
      </w:r>
      <w:r>
        <w:rPr>
          <w:rFonts w:eastAsia="Calibri"/>
          <w:sz w:val="22"/>
          <w:szCs w:val="22"/>
        </w:rPr>
        <w:t xml:space="preserve"> (4 </w:t>
      </w:r>
      <w:r w:rsidR="00CC75D1">
        <w:rPr>
          <w:rFonts w:eastAsia="Calibri"/>
          <w:sz w:val="22"/>
          <w:szCs w:val="22"/>
        </w:rPr>
        <w:t>pakuotės</w:t>
      </w:r>
      <w:r>
        <w:rPr>
          <w:rFonts w:eastAsia="Calibri"/>
          <w:sz w:val="22"/>
          <w:szCs w:val="22"/>
        </w:rPr>
        <w:t xml:space="preserve"> po 30</w:t>
      </w:r>
      <w:r w:rsidR="005A77E7">
        <w:rPr>
          <w:rFonts w:eastAsia="Calibri"/>
          <w:sz w:val="22"/>
          <w:szCs w:val="22"/>
        </w:rPr>
        <w:t> x 1</w:t>
      </w:r>
      <w:r>
        <w:rPr>
          <w:rFonts w:eastAsia="Calibri"/>
          <w:sz w:val="22"/>
          <w:szCs w:val="22"/>
        </w:rPr>
        <w:t xml:space="preserve">) </w:t>
      </w:r>
      <w:r w:rsidRPr="00CA4084">
        <w:rPr>
          <w:rFonts w:eastAsia="Calibri"/>
          <w:sz w:val="22"/>
          <w:szCs w:val="22"/>
        </w:rPr>
        <w:t>plėvele dengtų tablečių aliuminio-</w:t>
      </w:r>
      <w:r>
        <w:rPr>
          <w:rFonts w:eastAsia="Calibri"/>
          <w:sz w:val="22"/>
          <w:szCs w:val="22"/>
        </w:rPr>
        <w:t>OPA</w:t>
      </w:r>
      <w:r w:rsidRPr="00CA4084">
        <w:rPr>
          <w:rFonts w:eastAsia="Calibri"/>
          <w:sz w:val="22"/>
          <w:szCs w:val="22"/>
        </w:rPr>
        <w:t>/</w:t>
      </w:r>
      <w:r>
        <w:rPr>
          <w:rFonts w:eastAsia="Calibri"/>
          <w:sz w:val="22"/>
          <w:szCs w:val="22"/>
        </w:rPr>
        <w:t>Al</w:t>
      </w:r>
      <w:r w:rsidRPr="00CA4084">
        <w:rPr>
          <w:rFonts w:eastAsia="Calibri"/>
          <w:sz w:val="22"/>
          <w:szCs w:val="22"/>
        </w:rPr>
        <w:t>/PVC lizdinėse plokštelėse</w:t>
      </w:r>
      <w:r w:rsidR="00CC75D1">
        <w:rPr>
          <w:rFonts w:eastAsia="Calibri"/>
          <w:sz w:val="22"/>
          <w:szCs w:val="22"/>
        </w:rPr>
        <w:t>.</w:t>
      </w:r>
    </w:p>
    <w:p w14:paraId="7F8A3EF9" w14:textId="77777777" w:rsidR="00CE537C" w:rsidRDefault="00CE537C" w:rsidP="001F1094">
      <w:pPr>
        <w:rPr>
          <w:rFonts w:eastAsia="Calibri"/>
          <w:sz w:val="22"/>
          <w:szCs w:val="22"/>
        </w:rPr>
      </w:pPr>
    </w:p>
    <w:p w14:paraId="759ECB7E" w14:textId="77777777" w:rsidR="00CE537C" w:rsidRPr="00EF20DC" w:rsidRDefault="00CE537C" w:rsidP="001F1094">
      <w:pPr>
        <w:rPr>
          <w:rFonts w:eastAsia="Calibri"/>
          <w:sz w:val="22"/>
          <w:szCs w:val="22"/>
          <w:lang w:eastAsia="en-GB"/>
        </w:rPr>
      </w:pPr>
      <w:r w:rsidRPr="00EF20DC">
        <w:rPr>
          <w:rFonts w:eastAsia="Calibri"/>
          <w:sz w:val="22"/>
          <w:szCs w:val="22"/>
          <w:lang w:eastAsia="en-GB"/>
        </w:rPr>
        <w:t>Gali būti tiekiamos ne visų dydžių pakuotės.</w:t>
      </w:r>
    </w:p>
    <w:p w14:paraId="67F1967C" w14:textId="77777777" w:rsidR="00EF20DC" w:rsidRPr="00EF20DC" w:rsidRDefault="00EF20DC" w:rsidP="001F1094">
      <w:pPr>
        <w:spacing w:line="259" w:lineRule="auto"/>
        <w:rPr>
          <w:rFonts w:eastAsia="Calibri"/>
          <w:sz w:val="22"/>
          <w:szCs w:val="22"/>
          <w:lang w:eastAsia="en-GB"/>
        </w:rPr>
      </w:pPr>
    </w:p>
    <w:p w14:paraId="3A26FAAC" w14:textId="77777777" w:rsidR="00EF20DC" w:rsidRPr="00EF20DC" w:rsidRDefault="00EF20DC" w:rsidP="001F1094">
      <w:pPr>
        <w:rPr>
          <w:rFonts w:eastAsia="SimSun"/>
          <w:b/>
          <w:sz w:val="22"/>
          <w:szCs w:val="20"/>
        </w:rPr>
      </w:pPr>
      <w:r w:rsidRPr="00EF20DC">
        <w:rPr>
          <w:rFonts w:eastAsia="SimSun"/>
          <w:b/>
          <w:sz w:val="22"/>
          <w:szCs w:val="20"/>
        </w:rPr>
        <w:t>Registruotojas ir gamintojas</w:t>
      </w:r>
    </w:p>
    <w:p w14:paraId="046B7A58" w14:textId="77777777" w:rsidR="00EF20DC" w:rsidRPr="00EF20DC" w:rsidRDefault="00EF20DC" w:rsidP="001F1094">
      <w:pPr>
        <w:tabs>
          <w:tab w:val="left" w:pos="425"/>
          <w:tab w:val="left" w:pos="567"/>
        </w:tabs>
        <w:rPr>
          <w:sz w:val="22"/>
          <w:szCs w:val="22"/>
        </w:rPr>
      </w:pPr>
    </w:p>
    <w:p w14:paraId="2A413DFD" w14:textId="77777777" w:rsidR="00EF20DC" w:rsidRPr="00EF20DC" w:rsidRDefault="00EF20DC" w:rsidP="001F1094">
      <w:pPr>
        <w:tabs>
          <w:tab w:val="left" w:pos="425"/>
          <w:tab w:val="left" w:pos="567"/>
        </w:tabs>
        <w:rPr>
          <w:i/>
          <w:sz w:val="22"/>
          <w:szCs w:val="22"/>
        </w:rPr>
      </w:pPr>
      <w:r w:rsidRPr="00EF20DC">
        <w:rPr>
          <w:i/>
          <w:sz w:val="22"/>
          <w:szCs w:val="22"/>
        </w:rPr>
        <w:t>Registruotojas</w:t>
      </w:r>
    </w:p>
    <w:p w14:paraId="23F3D958" w14:textId="61BE414A" w:rsidR="00CE537C" w:rsidRPr="00B95884" w:rsidRDefault="00FA171F" w:rsidP="001F1094">
      <w:pPr>
        <w:tabs>
          <w:tab w:val="left" w:pos="425"/>
          <w:tab w:val="left" w:pos="567"/>
        </w:tabs>
        <w:suppressAutoHyphens/>
        <w:rPr>
          <w:color w:val="000000"/>
          <w:sz w:val="22"/>
          <w:szCs w:val="22"/>
          <w:lang w:val="sl-SI" w:eastAsia="ar-SA"/>
        </w:rPr>
      </w:pPr>
      <w:r>
        <w:rPr>
          <w:color w:val="000000"/>
          <w:sz w:val="22"/>
          <w:szCs w:val="22"/>
          <w:lang w:val="sl-SI" w:eastAsia="ar-SA"/>
        </w:rPr>
        <w:t>Sandoz</w:t>
      </w:r>
      <w:r w:rsidR="00CE537C" w:rsidRPr="00B95884">
        <w:rPr>
          <w:color w:val="000000"/>
          <w:sz w:val="22"/>
          <w:szCs w:val="22"/>
          <w:lang w:val="sl-SI" w:eastAsia="ar-SA"/>
        </w:rPr>
        <w:t xml:space="preserve"> d.d.</w:t>
      </w:r>
    </w:p>
    <w:p w14:paraId="5CE5D4EA" w14:textId="77777777" w:rsidR="00CE537C" w:rsidRPr="00B95884" w:rsidRDefault="00CE537C" w:rsidP="001F1094">
      <w:pPr>
        <w:tabs>
          <w:tab w:val="left" w:pos="425"/>
          <w:tab w:val="left" w:pos="567"/>
        </w:tabs>
        <w:suppressAutoHyphens/>
        <w:rPr>
          <w:color w:val="000000"/>
          <w:sz w:val="22"/>
          <w:szCs w:val="22"/>
          <w:lang w:val="sl-SI" w:eastAsia="ar-SA"/>
        </w:rPr>
      </w:pPr>
      <w:r w:rsidRPr="00B95884">
        <w:rPr>
          <w:color w:val="000000"/>
          <w:sz w:val="22"/>
          <w:szCs w:val="22"/>
          <w:lang w:val="sl-SI" w:eastAsia="ar-SA"/>
        </w:rPr>
        <w:t>Verovškova 57</w:t>
      </w:r>
    </w:p>
    <w:p w14:paraId="78260DF0" w14:textId="57042F80" w:rsidR="00CE537C" w:rsidRPr="00B95884" w:rsidRDefault="00CE537C" w:rsidP="001F1094">
      <w:pPr>
        <w:tabs>
          <w:tab w:val="left" w:pos="425"/>
          <w:tab w:val="left" w:pos="567"/>
        </w:tabs>
        <w:suppressAutoHyphens/>
        <w:rPr>
          <w:color w:val="000000"/>
          <w:sz w:val="22"/>
          <w:szCs w:val="22"/>
          <w:lang w:val="sl-SI" w:eastAsia="ar-SA"/>
        </w:rPr>
      </w:pPr>
      <w:r w:rsidRPr="00B95884">
        <w:rPr>
          <w:color w:val="000000"/>
          <w:sz w:val="22"/>
          <w:szCs w:val="22"/>
          <w:lang w:val="sl-SI" w:eastAsia="ar-SA"/>
        </w:rPr>
        <w:t>1000 Ljubljana</w:t>
      </w:r>
    </w:p>
    <w:p w14:paraId="66F1B6D5" w14:textId="77777777" w:rsidR="00CE537C" w:rsidRPr="00B95884" w:rsidRDefault="00CE537C" w:rsidP="001F1094">
      <w:pPr>
        <w:tabs>
          <w:tab w:val="left" w:pos="425"/>
          <w:tab w:val="left" w:pos="567"/>
        </w:tabs>
        <w:suppressAutoHyphens/>
        <w:rPr>
          <w:rFonts w:eastAsia="SimSun"/>
          <w:color w:val="000000"/>
          <w:sz w:val="22"/>
          <w:szCs w:val="22"/>
          <w:lang w:val="sl-SI" w:eastAsia="ar-SA"/>
        </w:rPr>
      </w:pPr>
      <w:r w:rsidRPr="00B95884">
        <w:rPr>
          <w:color w:val="000000"/>
          <w:sz w:val="22"/>
          <w:szCs w:val="22"/>
          <w:lang w:val="sl-SI" w:eastAsia="ar-SA"/>
        </w:rPr>
        <w:t>Slovėnija</w:t>
      </w:r>
    </w:p>
    <w:p w14:paraId="61FFF2F3" w14:textId="77777777" w:rsidR="00EF20DC" w:rsidRPr="00EF20DC" w:rsidRDefault="00EF20DC" w:rsidP="001F1094">
      <w:pPr>
        <w:numPr>
          <w:ilvl w:val="12"/>
          <w:numId w:val="0"/>
        </w:numPr>
        <w:tabs>
          <w:tab w:val="left" w:pos="567"/>
        </w:tabs>
        <w:rPr>
          <w:rFonts w:eastAsia="SimSun"/>
          <w:bCs/>
          <w:i/>
          <w:sz w:val="22"/>
          <w:szCs w:val="22"/>
          <w:lang w:eastAsia="zh-CN"/>
        </w:rPr>
      </w:pPr>
    </w:p>
    <w:p w14:paraId="331851DC" w14:textId="77777777" w:rsidR="00EF20DC" w:rsidRPr="00EF20DC" w:rsidRDefault="00EF20DC" w:rsidP="001F1094">
      <w:pPr>
        <w:numPr>
          <w:ilvl w:val="12"/>
          <w:numId w:val="0"/>
        </w:numPr>
        <w:tabs>
          <w:tab w:val="left" w:pos="567"/>
        </w:tabs>
        <w:rPr>
          <w:rFonts w:eastAsia="SimSun"/>
          <w:i/>
          <w:sz w:val="22"/>
          <w:szCs w:val="22"/>
          <w:lang w:eastAsia="zh-CN"/>
        </w:rPr>
      </w:pPr>
      <w:r w:rsidRPr="00EF20DC">
        <w:rPr>
          <w:rFonts w:eastAsia="SimSun"/>
          <w:bCs/>
          <w:i/>
          <w:sz w:val="22"/>
          <w:szCs w:val="22"/>
          <w:lang w:eastAsia="zh-CN"/>
        </w:rPr>
        <w:t>Gamintojas</w:t>
      </w:r>
    </w:p>
    <w:p w14:paraId="470928E2" w14:textId="77777777" w:rsidR="00CE537C" w:rsidRPr="00987E1E" w:rsidRDefault="00CE537C" w:rsidP="001F1094">
      <w:pPr>
        <w:suppressAutoHyphens/>
        <w:rPr>
          <w:color w:val="000000"/>
          <w:sz w:val="22"/>
          <w:szCs w:val="22"/>
          <w:lang w:val="sl-SI" w:eastAsia="ar-SA"/>
        </w:rPr>
      </w:pPr>
      <w:r w:rsidRPr="00987E1E">
        <w:rPr>
          <w:color w:val="000000"/>
          <w:sz w:val="22"/>
          <w:szCs w:val="22"/>
          <w:lang w:val="sl-SI" w:eastAsia="ar-SA"/>
        </w:rPr>
        <w:t>Lek Pharmaceuticals d.d</w:t>
      </w:r>
      <w:r w:rsidR="00B34807">
        <w:rPr>
          <w:color w:val="000000"/>
          <w:sz w:val="22"/>
          <w:szCs w:val="22"/>
          <w:lang w:val="sl-SI" w:eastAsia="ar-SA"/>
        </w:rPr>
        <w:t>.</w:t>
      </w:r>
      <w:r w:rsidRPr="00987E1E">
        <w:rPr>
          <w:color w:val="000000"/>
          <w:sz w:val="22"/>
          <w:szCs w:val="22"/>
          <w:lang w:val="sl-SI" w:eastAsia="ar-SA"/>
        </w:rPr>
        <w:t xml:space="preserve"> </w:t>
      </w:r>
    </w:p>
    <w:p w14:paraId="45723646" w14:textId="77777777" w:rsidR="00CE537C" w:rsidRPr="00987E1E" w:rsidRDefault="00CE537C" w:rsidP="001F1094">
      <w:pPr>
        <w:suppressAutoHyphens/>
        <w:rPr>
          <w:color w:val="000000"/>
          <w:sz w:val="22"/>
          <w:szCs w:val="22"/>
          <w:lang w:val="sl-SI" w:eastAsia="ar-SA"/>
        </w:rPr>
      </w:pPr>
      <w:r w:rsidRPr="00987E1E">
        <w:rPr>
          <w:color w:val="000000"/>
          <w:sz w:val="22"/>
          <w:szCs w:val="22"/>
          <w:lang w:val="sl-SI" w:eastAsia="ar-SA"/>
        </w:rPr>
        <w:t>Verovškova 57</w:t>
      </w:r>
    </w:p>
    <w:p w14:paraId="499902E8" w14:textId="77777777" w:rsidR="00CE537C" w:rsidRPr="00987E1E" w:rsidRDefault="00CE537C" w:rsidP="001F1094">
      <w:pPr>
        <w:suppressAutoHyphens/>
        <w:rPr>
          <w:color w:val="000000"/>
          <w:sz w:val="22"/>
          <w:szCs w:val="22"/>
          <w:lang w:val="sl-SI" w:eastAsia="ar-SA"/>
        </w:rPr>
      </w:pPr>
      <w:r w:rsidRPr="00987E1E">
        <w:rPr>
          <w:color w:val="000000"/>
          <w:sz w:val="22"/>
          <w:szCs w:val="22"/>
          <w:lang w:val="sl-SI" w:eastAsia="ar-SA"/>
        </w:rPr>
        <w:t>1526 Ljubljana</w:t>
      </w:r>
    </w:p>
    <w:p w14:paraId="0E115234" w14:textId="77777777" w:rsidR="00CE537C" w:rsidRPr="00987E1E" w:rsidRDefault="00CE537C" w:rsidP="001F1094">
      <w:pPr>
        <w:suppressAutoHyphens/>
        <w:rPr>
          <w:rFonts w:eastAsia="Calibri"/>
          <w:color w:val="000000"/>
          <w:sz w:val="22"/>
          <w:szCs w:val="22"/>
          <w:shd w:val="clear" w:color="auto" w:fill="FFFF00"/>
          <w:lang w:val="sl-SI" w:eastAsia="ar-SA"/>
        </w:rPr>
      </w:pPr>
      <w:r w:rsidRPr="00987E1E">
        <w:rPr>
          <w:color w:val="000000"/>
          <w:sz w:val="22"/>
          <w:szCs w:val="22"/>
          <w:lang w:val="sl-SI" w:eastAsia="ar-SA"/>
        </w:rPr>
        <w:t>Slovėnija</w:t>
      </w:r>
    </w:p>
    <w:p w14:paraId="498B5926" w14:textId="77777777" w:rsidR="00CE537C" w:rsidRDefault="00CE537C" w:rsidP="001F1094">
      <w:pPr>
        <w:suppressAutoHyphens/>
        <w:rPr>
          <w:rFonts w:eastAsia="SimSun"/>
          <w:color w:val="000000"/>
          <w:sz w:val="22"/>
          <w:szCs w:val="22"/>
          <w:u w:val="single"/>
          <w:lang w:val="sl-SI" w:eastAsia="ar-SA"/>
        </w:rPr>
      </w:pPr>
    </w:p>
    <w:p w14:paraId="01E7F2DB" w14:textId="77777777" w:rsidR="00CE537C" w:rsidRPr="00987E1E" w:rsidRDefault="00CE537C" w:rsidP="001F1094">
      <w:pPr>
        <w:suppressAutoHyphens/>
        <w:rPr>
          <w:rFonts w:eastAsia="SimSun"/>
          <w:color w:val="000000"/>
          <w:sz w:val="22"/>
          <w:szCs w:val="22"/>
          <w:lang w:val="sl-SI" w:eastAsia="ar-SA"/>
        </w:rPr>
      </w:pPr>
      <w:r w:rsidRPr="00987E1E">
        <w:rPr>
          <w:rFonts w:eastAsia="SimSun"/>
          <w:color w:val="000000"/>
          <w:sz w:val="22"/>
          <w:szCs w:val="22"/>
          <w:lang w:val="sl-SI" w:eastAsia="ar-SA"/>
        </w:rPr>
        <w:t>arba</w:t>
      </w:r>
    </w:p>
    <w:p w14:paraId="3A5C6C30" w14:textId="77777777" w:rsidR="00CE537C" w:rsidRPr="00987E1E" w:rsidRDefault="00CE537C" w:rsidP="001F1094">
      <w:pPr>
        <w:suppressAutoHyphens/>
        <w:rPr>
          <w:rFonts w:eastAsia="SimSun"/>
          <w:color w:val="000000"/>
          <w:sz w:val="22"/>
          <w:szCs w:val="22"/>
          <w:u w:val="single"/>
          <w:lang w:val="sl-SI" w:eastAsia="ar-SA"/>
        </w:rPr>
      </w:pPr>
    </w:p>
    <w:p w14:paraId="06AF42DD" w14:textId="77777777" w:rsidR="00CE537C" w:rsidRPr="00987E1E" w:rsidRDefault="00CE537C" w:rsidP="001F1094">
      <w:pPr>
        <w:suppressAutoHyphens/>
        <w:rPr>
          <w:color w:val="000000"/>
          <w:sz w:val="22"/>
          <w:szCs w:val="22"/>
          <w:lang w:val="sl-SI" w:eastAsia="ar-SA"/>
        </w:rPr>
      </w:pPr>
      <w:r w:rsidRPr="00987E1E">
        <w:rPr>
          <w:color w:val="000000"/>
          <w:sz w:val="22"/>
          <w:szCs w:val="22"/>
          <w:lang w:val="sl-SI" w:eastAsia="ar-SA"/>
        </w:rPr>
        <w:t>Remedica Ltd.</w:t>
      </w:r>
    </w:p>
    <w:p w14:paraId="0CA4BF1A" w14:textId="77777777" w:rsidR="00CE537C" w:rsidRPr="00987E1E" w:rsidRDefault="00CE537C" w:rsidP="001F1094">
      <w:pPr>
        <w:suppressAutoHyphens/>
        <w:rPr>
          <w:color w:val="000000"/>
          <w:sz w:val="22"/>
          <w:szCs w:val="22"/>
          <w:lang w:val="sl-SI" w:eastAsia="ar-SA"/>
        </w:rPr>
      </w:pPr>
      <w:r w:rsidRPr="00987E1E">
        <w:rPr>
          <w:color w:val="000000"/>
          <w:sz w:val="22"/>
          <w:szCs w:val="22"/>
          <w:lang w:val="sl-SI" w:eastAsia="ar-SA"/>
        </w:rPr>
        <w:t>Aharnon Street, Limassol Industrial Estate</w:t>
      </w:r>
    </w:p>
    <w:p w14:paraId="2743FF5F" w14:textId="77777777" w:rsidR="00CE537C" w:rsidRPr="00987E1E" w:rsidRDefault="00CE537C" w:rsidP="001F1094">
      <w:pPr>
        <w:suppressAutoHyphens/>
        <w:rPr>
          <w:color w:val="000000"/>
          <w:sz w:val="22"/>
          <w:szCs w:val="22"/>
          <w:lang w:val="sl-SI" w:eastAsia="ar-SA"/>
        </w:rPr>
      </w:pPr>
      <w:r w:rsidRPr="00987E1E">
        <w:rPr>
          <w:color w:val="000000"/>
          <w:sz w:val="22"/>
          <w:szCs w:val="22"/>
          <w:lang w:val="sl-SI" w:eastAsia="ar-SA"/>
        </w:rPr>
        <w:t>3056 Limassol</w:t>
      </w:r>
    </w:p>
    <w:p w14:paraId="76A89874" w14:textId="668B5DD5" w:rsidR="00CE537C" w:rsidRPr="0007561E" w:rsidRDefault="00CE537C" w:rsidP="001F1094">
      <w:pPr>
        <w:suppressAutoHyphens/>
        <w:rPr>
          <w:color w:val="000000"/>
          <w:sz w:val="22"/>
          <w:lang w:val="sl-SI"/>
        </w:rPr>
      </w:pPr>
      <w:r w:rsidRPr="00987E1E">
        <w:rPr>
          <w:color w:val="000000"/>
          <w:sz w:val="22"/>
          <w:szCs w:val="22"/>
          <w:lang w:val="sl-SI" w:eastAsia="ar-SA"/>
        </w:rPr>
        <w:t>Kipras</w:t>
      </w:r>
    </w:p>
    <w:p w14:paraId="0B9BA034" w14:textId="5AA62B63" w:rsidR="003C4F0A" w:rsidRPr="0007561E" w:rsidRDefault="003C4F0A" w:rsidP="001F1094">
      <w:pPr>
        <w:suppressAutoHyphens/>
        <w:rPr>
          <w:color w:val="000000"/>
          <w:sz w:val="22"/>
          <w:lang w:val="sl-SI"/>
        </w:rPr>
      </w:pPr>
    </w:p>
    <w:p w14:paraId="2478986A" w14:textId="77777777" w:rsidR="003C4F0A" w:rsidRDefault="003C4F0A" w:rsidP="001F1094">
      <w:pPr>
        <w:suppressAutoHyphens/>
        <w:rPr>
          <w:color w:val="000000"/>
          <w:sz w:val="22"/>
          <w:szCs w:val="22"/>
          <w:lang w:val="sl-SI" w:eastAsia="ar-SA"/>
        </w:rPr>
      </w:pPr>
      <w:r>
        <w:rPr>
          <w:color w:val="000000"/>
          <w:sz w:val="22"/>
          <w:szCs w:val="22"/>
          <w:lang w:val="sl-SI" w:eastAsia="ar-SA"/>
        </w:rPr>
        <w:t>arba</w:t>
      </w:r>
    </w:p>
    <w:p w14:paraId="417BEE21" w14:textId="77777777" w:rsidR="003C4F0A" w:rsidRDefault="003C4F0A" w:rsidP="001F1094">
      <w:pPr>
        <w:suppressAutoHyphens/>
        <w:rPr>
          <w:color w:val="000000"/>
          <w:sz w:val="22"/>
          <w:szCs w:val="22"/>
          <w:lang w:val="sl-SI" w:eastAsia="ar-SA"/>
        </w:rPr>
      </w:pPr>
    </w:p>
    <w:p w14:paraId="4A6B36BD" w14:textId="77777777" w:rsidR="003C4F0A" w:rsidRPr="005F4D76" w:rsidRDefault="003C4F0A" w:rsidP="001F1094">
      <w:pPr>
        <w:suppressAutoHyphens/>
        <w:rPr>
          <w:color w:val="000000"/>
          <w:sz w:val="22"/>
          <w:szCs w:val="22"/>
          <w:lang w:val="sl-SI" w:eastAsia="ar-SA"/>
        </w:rPr>
      </w:pPr>
      <w:r w:rsidRPr="003C4F0A">
        <w:rPr>
          <w:color w:val="000000"/>
          <w:sz w:val="22"/>
          <w:szCs w:val="22"/>
          <w:lang w:val="sl-SI" w:eastAsia="ar-SA"/>
        </w:rPr>
        <w:t>PharOS MT Ltd.</w:t>
      </w:r>
    </w:p>
    <w:p w14:paraId="0E1FC6D5" w14:textId="77777777" w:rsidR="003C4F0A" w:rsidRDefault="003C4F0A" w:rsidP="001F1094">
      <w:pPr>
        <w:suppressAutoHyphens/>
        <w:rPr>
          <w:color w:val="000000"/>
          <w:sz w:val="22"/>
          <w:szCs w:val="22"/>
          <w:lang w:val="sl-SI" w:eastAsia="ar-SA"/>
        </w:rPr>
      </w:pPr>
      <w:r w:rsidRPr="005F4D76">
        <w:rPr>
          <w:color w:val="000000"/>
          <w:sz w:val="22"/>
          <w:szCs w:val="22"/>
          <w:lang w:val="sl-SI" w:eastAsia="ar-SA"/>
        </w:rPr>
        <w:t>H</w:t>
      </w:r>
      <w:r w:rsidRPr="003C4F0A">
        <w:rPr>
          <w:color w:val="000000"/>
          <w:sz w:val="22"/>
          <w:szCs w:val="22"/>
          <w:lang w:val="sl-SI" w:eastAsia="ar-SA"/>
        </w:rPr>
        <w:t>F62X, Hal Far Industrial Estate</w:t>
      </w:r>
      <w:r w:rsidRPr="005F4D76">
        <w:rPr>
          <w:color w:val="000000"/>
          <w:sz w:val="22"/>
          <w:szCs w:val="22"/>
          <w:lang w:val="sl-SI" w:eastAsia="ar-SA"/>
        </w:rPr>
        <w:t xml:space="preserve"> </w:t>
      </w:r>
    </w:p>
    <w:p w14:paraId="741B8882" w14:textId="77777777" w:rsidR="003C4F0A" w:rsidRDefault="003C4F0A" w:rsidP="001F1094">
      <w:pPr>
        <w:suppressAutoHyphens/>
        <w:rPr>
          <w:color w:val="000000"/>
          <w:sz w:val="22"/>
          <w:szCs w:val="22"/>
          <w:lang w:val="sl-SI" w:eastAsia="ar-SA"/>
        </w:rPr>
      </w:pPr>
      <w:r w:rsidRPr="003C4F0A">
        <w:rPr>
          <w:color w:val="000000"/>
          <w:sz w:val="22"/>
          <w:szCs w:val="22"/>
          <w:lang w:val="sl-SI" w:eastAsia="ar-SA"/>
        </w:rPr>
        <w:t>Birzebbugia BBG3000</w:t>
      </w:r>
      <w:r w:rsidRPr="005F4D76">
        <w:rPr>
          <w:color w:val="000000"/>
          <w:sz w:val="22"/>
          <w:szCs w:val="22"/>
          <w:lang w:val="sl-SI" w:eastAsia="ar-SA"/>
        </w:rPr>
        <w:t xml:space="preserve"> </w:t>
      </w:r>
    </w:p>
    <w:p w14:paraId="5F50C6BB" w14:textId="77777777" w:rsidR="003C4F0A" w:rsidRPr="005F4D76" w:rsidRDefault="003C4F0A" w:rsidP="001F1094">
      <w:pPr>
        <w:suppressAutoHyphens/>
        <w:rPr>
          <w:color w:val="000000"/>
          <w:sz w:val="22"/>
          <w:szCs w:val="22"/>
          <w:lang w:val="sl-SI" w:eastAsia="ar-SA"/>
        </w:rPr>
      </w:pPr>
      <w:r w:rsidRPr="005F4D76">
        <w:rPr>
          <w:color w:val="000000"/>
          <w:sz w:val="22"/>
          <w:szCs w:val="22"/>
          <w:lang w:val="sl-SI" w:eastAsia="ar-SA"/>
        </w:rPr>
        <w:t>Malta</w:t>
      </w:r>
    </w:p>
    <w:p w14:paraId="3CED9C24" w14:textId="77777777" w:rsidR="00EF20DC" w:rsidRPr="00EF20DC" w:rsidRDefault="00EF20DC" w:rsidP="001F1094">
      <w:pPr>
        <w:tabs>
          <w:tab w:val="left" w:pos="567"/>
        </w:tabs>
        <w:autoSpaceDE w:val="0"/>
        <w:autoSpaceDN w:val="0"/>
        <w:adjustRightInd w:val="0"/>
        <w:spacing w:line="260" w:lineRule="exact"/>
        <w:rPr>
          <w:bCs/>
          <w:snapToGrid w:val="0"/>
          <w:sz w:val="22"/>
          <w:szCs w:val="22"/>
        </w:rPr>
      </w:pPr>
    </w:p>
    <w:p w14:paraId="0079957C" w14:textId="28A2E41D" w:rsidR="009C3841" w:rsidRPr="009C3841" w:rsidRDefault="009C3841" w:rsidP="009C3841">
      <w:pPr>
        <w:rPr>
          <w:sz w:val="22"/>
          <w:szCs w:val="22"/>
        </w:rPr>
      </w:pPr>
      <w:r w:rsidRPr="009C3841">
        <w:rPr>
          <w:sz w:val="22"/>
          <w:szCs w:val="22"/>
        </w:rPr>
        <w:t>Jeigu apie šį vaistą norite sužinoti daugiau, kreipkitės į vietinį reg</w:t>
      </w:r>
      <w:r w:rsidR="007A45FA">
        <w:rPr>
          <w:sz w:val="22"/>
          <w:szCs w:val="22"/>
        </w:rPr>
        <w:t>i</w:t>
      </w:r>
      <w:r w:rsidRPr="009C3841">
        <w:rPr>
          <w:sz w:val="22"/>
          <w:szCs w:val="22"/>
        </w:rPr>
        <w:t>struotojo atstovą.</w:t>
      </w:r>
    </w:p>
    <w:p w14:paraId="536862B4" w14:textId="77777777" w:rsidR="009C3841" w:rsidRPr="009C3841" w:rsidRDefault="009C3841" w:rsidP="009C3841">
      <w:pPr>
        <w:overflowPunct w:val="0"/>
        <w:autoSpaceDE w:val="0"/>
        <w:autoSpaceDN w:val="0"/>
        <w:adjustRightInd w:val="0"/>
        <w:rPr>
          <w:sz w:val="22"/>
          <w:szCs w:val="22"/>
        </w:rPr>
      </w:pPr>
    </w:p>
    <w:tbl>
      <w:tblPr>
        <w:tblW w:w="4680" w:type="dxa"/>
        <w:tblInd w:w="-34" w:type="dxa"/>
        <w:tblLayout w:type="fixed"/>
        <w:tblLook w:val="04A0" w:firstRow="1" w:lastRow="0" w:firstColumn="1" w:lastColumn="0" w:noHBand="0" w:noVBand="1"/>
      </w:tblPr>
      <w:tblGrid>
        <w:gridCol w:w="4680"/>
      </w:tblGrid>
      <w:tr w:rsidR="009C3841" w:rsidRPr="009C3841" w14:paraId="399CB415" w14:textId="77777777" w:rsidTr="00E46F37">
        <w:tc>
          <w:tcPr>
            <w:tcW w:w="4678" w:type="dxa"/>
            <w:hideMark/>
          </w:tcPr>
          <w:p w14:paraId="669F771F" w14:textId="0C15EA5B" w:rsidR="009C3841" w:rsidRPr="009C3841" w:rsidRDefault="009C3841" w:rsidP="009C3841">
            <w:pPr>
              <w:overflowPunct w:val="0"/>
              <w:autoSpaceDE w:val="0"/>
              <w:autoSpaceDN w:val="0"/>
              <w:adjustRightInd w:val="0"/>
              <w:contextualSpacing/>
              <w:jc w:val="both"/>
              <w:rPr>
                <w:szCs w:val="22"/>
              </w:rPr>
            </w:pPr>
            <w:r w:rsidRPr="009C3841">
              <w:rPr>
                <w:sz w:val="22"/>
                <w:szCs w:val="22"/>
              </w:rPr>
              <w:t>Sandoz Pharmaceuticals d.d.</w:t>
            </w:r>
            <w:r w:rsidR="007A45FA">
              <w:rPr>
                <w:sz w:val="22"/>
                <w:szCs w:val="22"/>
              </w:rPr>
              <w:t xml:space="preserve"> </w:t>
            </w:r>
            <w:r w:rsidRPr="009C3841">
              <w:rPr>
                <w:sz w:val="22"/>
                <w:szCs w:val="22"/>
              </w:rPr>
              <w:t>filialas</w:t>
            </w:r>
          </w:p>
          <w:p w14:paraId="77209FBB" w14:textId="0110F894" w:rsidR="009C3841" w:rsidRPr="00A07BA7" w:rsidRDefault="009C3841" w:rsidP="00A07BA7">
            <w:pPr>
              <w:overflowPunct w:val="0"/>
              <w:autoSpaceDE w:val="0"/>
              <w:autoSpaceDN w:val="0"/>
              <w:adjustRightInd w:val="0"/>
              <w:contextualSpacing/>
              <w:jc w:val="both"/>
              <w:rPr>
                <w:szCs w:val="22"/>
                <w:lang w:val="es-ES"/>
              </w:rPr>
            </w:pPr>
            <w:r w:rsidRPr="009C3841">
              <w:rPr>
                <w:sz w:val="22"/>
                <w:szCs w:val="22"/>
                <w:lang w:val="es-ES"/>
              </w:rPr>
              <w:t>Tel. +370 5 2636 037</w:t>
            </w:r>
          </w:p>
        </w:tc>
      </w:tr>
    </w:tbl>
    <w:p w14:paraId="45293F21" w14:textId="77777777" w:rsidR="00CE537C" w:rsidRPr="009C3841" w:rsidRDefault="00CE537C" w:rsidP="001F1094">
      <w:pPr>
        <w:tabs>
          <w:tab w:val="left" w:pos="567"/>
        </w:tabs>
        <w:suppressAutoHyphens/>
        <w:spacing w:line="260" w:lineRule="exact"/>
        <w:rPr>
          <w:color w:val="000000"/>
          <w:sz w:val="22"/>
          <w:szCs w:val="22"/>
          <w:u w:val="single"/>
          <w:lang w:val="es-ES" w:eastAsia="ar-SA"/>
        </w:rPr>
      </w:pPr>
    </w:p>
    <w:p w14:paraId="5A67B4F8" w14:textId="31ED821B" w:rsidR="00CE537C" w:rsidRDefault="00CE537C" w:rsidP="001F1094">
      <w:pPr>
        <w:tabs>
          <w:tab w:val="left" w:pos="567"/>
        </w:tabs>
        <w:suppressAutoHyphens/>
        <w:spacing w:after="120"/>
        <w:rPr>
          <w:rFonts w:eastAsia="SimSun"/>
          <w:color w:val="000000"/>
          <w:sz w:val="22"/>
          <w:szCs w:val="22"/>
          <w:lang w:val="sl-SI" w:eastAsia="ar-SA"/>
        </w:rPr>
      </w:pPr>
      <w:r w:rsidRPr="00CE537C">
        <w:rPr>
          <w:rFonts w:eastAsia="SimSun"/>
          <w:b/>
          <w:color w:val="000000"/>
          <w:sz w:val="22"/>
          <w:szCs w:val="22"/>
          <w:lang w:val="sl-SI" w:eastAsia="ar-SA"/>
        </w:rPr>
        <w:t>Šis vaistas E</w:t>
      </w:r>
      <w:r w:rsidR="00D01F54">
        <w:rPr>
          <w:rFonts w:eastAsia="SimSun"/>
          <w:b/>
          <w:color w:val="000000"/>
          <w:sz w:val="22"/>
          <w:szCs w:val="22"/>
          <w:lang w:val="sl-SI" w:eastAsia="ar-SA"/>
        </w:rPr>
        <w:t xml:space="preserve">uropos </w:t>
      </w:r>
      <w:r w:rsidRPr="00CE537C">
        <w:rPr>
          <w:rFonts w:eastAsia="SimSun"/>
          <w:b/>
          <w:color w:val="000000"/>
          <w:sz w:val="22"/>
          <w:szCs w:val="22"/>
          <w:lang w:val="sl-SI" w:eastAsia="ar-SA"/>
        </w:rPr>
        <w:t>E</w:t>
      </w:r>
      <w:r w:rsidR="00D01F54">
        <w:rPr>
          <w:rFonts w:eastAsia="SimSun"/>
          <w:b/>
          <w:color w:val="000000"/>
          <w:sz w:val="22"/>
          <w:szCs w:val="22"/>
          <w:lang w:val="sl-SI" w:eastAsia="ar-SA"/>
        </w:rPr>
        <w:t xml:space="preserve">konominės </w:t>
      </w:r>
      <w:r w:rsidRPr="00CE537C">
        <w:rPr>
          <w:rFonts w:eastAsia="SimSun"/>
          <w:b/>
          <w:color w:val="000000"/>
          <w:sz w:val="22"/>
          <w:szCs w:val="22"/>
          <w:lang w:val="sl-SI" w:eastAsia="ar-SA"/>
        </w:rPr>
        <w:t>E</w:t>
      </w:r>
      <w:r w:rsidR="00D01F54">
        <w:rPr>
          <w:rFonts w:eastAsia="SimSun"/>
          <w:b/>
          <w:color w:val="000000"/>
          <w:sz w:val="22"/>
          <w:szCs w:val="22"/>
          <w:lang w:val="sl-SI" w:eastAsia="ar-SA"/>
        </w:rPr>
        <w:t>rdvės</w:t>
      </w:r>
      <w:r w:rsidRPr="00CE537C">
        <w:rPr>
          <w:rFonts w:eastAsia="SimSun"/>
          <w:b/>
          <w:color w:val="000000"/>
          <w:sz w:val="22"/>
          <w:szCs w:val="22"/>
          <w:lang w:val="sl-SI" w:eastAsia="ar-SA"/>
        </w:rPr>
        <w:t xml:space="preserve"> valstybėse narėse registruotas tokiais pavadinimais</w:t>
      </w:r>
      <w:r w:rsidRPr="00CE537C">
        <w:rPr>
          <w:rFonts w:eastAsia="SimSun"/>
          <w:color w:val="000000"/>
          <w:sz w:val="22"/>
          <w:szCs w:val="22"/>
          <w:lang w:val="sl-SI" w:eastAsia="ar-SA"/>
        </w:rPr>
        <w:t>:</w:t>
      </w: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3968"/>
      </w:tblGrid>
      <w:tr w:rsidR="0015499A" w:rsidRPr="0015499A" w14:paraId="64567CD0" w14:textId="77777777" w:rsidTr="001C5ADF">
        <w:tc>
          <w:tcPr>
            <w:tcW w:w="2704" w:type="pct"/>
            <w:tcBorders>
              <w:top w:val="single" w:sz="4" w:space="0" w:color="auto"/>
              <w:left w:val="single" w:sz="4" w:space="0" w:color="auto"/>
              <w:bottom w:val="single" w:sz="4" w:space="0" w:color="auto"/>
              <w:right w:val="single" w:sz="4" w:space="0" w:color="auto"/>
            </w:tcBorders>
            <w:hideMark/>
          </w:tcPr>
          <w:p w14:paraId="03FA6DA7" w14:textId="77777777" w:rsidR="0015499A" w:rsidRPr="0015499A" w:rsidRDefault="0015499A" w:rsidP="0015499A">
            <w:pPr>
              <w:suppressAutoHyphens/>
              <w:rPr>
                <w:b/>
                <w:bCs/>
                <w:sz w:val="22"/>
                <w:szCs w:val="22"/>
              </w:rPr>
            </w:pPr>
            <w:r w:rsidRPr="0015499A">
              <w:rPr>
                <w:b/>
                <w:bCs/>
                <w:sz w:val="22"/>
                <w:szCs w:val="22"/>
              </w:rPr>
              <w:t xml:space="preserve">Valstybės narės pavadinimas </w:t>
            </w:r>
          </w:p>
        </w:tc>
        <w:tc>
          <w:tcPr>
            <w:tcW w:w="2296" w:type="pct"/>
            <w:tcBorders>
              <w:top w:val="single" w:sz="4" w:space="0" w:color="auto"/>
              <w:left w:val="single" w:sz="4" w:space="0" w:color="auto"/>
              <w:bottom w:val="single" w:sz="4" w:space="0" w:color="auto"/>
              <w:right w:val="single" w:sz="4" w:space="0" w:color="auto"/>
            </w:tcBorders>
            <w:hideMark/>
          </w:tcPr>
          <w:p w14:paraId="394D44D5" w14:textId="77777777" w:rsidR="0015499A" w:rsidRPr="0015499A" w:rsidRDefault="0015499A" w:rsidP="0015499A">
            <w:pPr>
              <w:suppressAutoHyphens/>
              <w:jc w:val="both"/>
              <w:rPr>
                <w:b/>
                <w:bCs/>
                <w:sz w:val="22"/>
                <w:szCs w:val="22"/>
              </w:rPr>
            </w:pPr>
            <w:r w:rsidRPr="0015499A">
              <w:rPr>
                <w:b/>
                <w:bCs/>
                <w:sz w:val="22"/>
                <w:szCs w:val="22"/>
              </w:rPr>
              <w:t xml:space="preserve">Vaisto pavadinimas </w:t>
            </w:r>
          </w:p>
        </w:tc>
      </w:tr>
      <w:tr w:rsidR="0015499A" w:rsidRPr="0015499A" w14:paraId="4DCFA13C" w14:textId="77777777" w:rsidTr="001C5ADF">
        <w:tc>
          <w:tcPr>
            <w:tcW w:w="2704" w:type="pct"/>
            <w:tcBorders>
              <w:top w:val="single" w:sz="4" w:space="0" w:color="auto"/>
              <w:left w:val="single" w:sz="4" w:space="0" w:color="auto"/>
              <w:bottom w:val="single" w:sz="4" w:space="0" w:color="auto"/>
              <w:right w:val="single" w:sz="4" w:space="0" w:color="auto"/>
            </w:tcBorders>
          </w:tcPr>
          <w:p w14:paraId="64FF24CE" w14:textId="52FCB96E" w:rsidR="0015499A" w:rsidRPr="0015499A" w:rsidRDefault="0015499A" w:rsidP="0015499A">
            <w:pPr>
              <w:suppressAutoHyphens/>
              <w:jc w:val="both"/>
              <w:rPr>
                <w:sz w:val="22"/>
                <w:szCs w:val="22"/>
              </w:rPr>
            </w:pPr>
            <w:r w:rsidRPr="0015499A">
              <w:rPr>
                <w:sz w:val="22"/>
                <w:szCs w:val="22"/>
              </w:rPr>
              <w:t>Austrija</w:t>
            </w:r>
            <w:r w:rsidR="00A07BA7">
              <w:rPr>
                <w:sz w:val="22"/>
                <w:szCs w:val="22"/>
              </w:rPr>
              <w:t>, Belgija, Čekija,</w:t>
            </w:r>
            <w:r w:rsidRPr="0015499A">
              <w:rPr>
                <w:sz w:val="22"/>
                <w:szCs w:val="22"/>
              </w:rPr>
              <w:t xml:space="preserve"> </w:t>
            </w:r>
            <w:r w:rsidR="00A07BA7">
              <w:rPr>
                <w:sz w:val="22"/>
                <w:szCs w:val="22"/>
              </w:rPr>
              <w:t>Danija, Estija, Graikija, Ispanija, Kroatija, Latvija, Lenkija, Nyderlandai, Portugalija, Rumunija, Slovakija, Vengrija</w:t>
            </w:r>
          </w:p>
        </w:tc>
        <w:tc>
          <w:tcPr>
            <w:tcW w:w="2296" w:type="pct"/>
            <w:tcBorders>
              <w:top w:val="single" w:sz="4" w:space="0" w:color="auto"/>
              <w:left w:val="single" w:sz="4" w:space="0" w:color="auto"/>
              <w:bottom w:val="single" w:sz="4" w:space="0" w:color="auto"/>
              <w:right w:val="single" w:sz="4" w:space="0" w:color="auto"/>
            </w:tcBorders>
          </w:tcPr>
          <w:p w14:paraId="35104FBC" w14:textId="1C99739C" w:rsidR="0015499A" w:rsidRPr="0015499A" w:rsidRDefault="00B475E9" w:rsidP="00A07BA7">
            <w:pPr>
              <w:suppressAutoHyphens/>
              <w:jc w:val="both"/>
              <w:rPr>
                <w:sz w:val="22"/>
                <w:szCs w:val="22"/>
              </w:rPr>
            </w:pPr>
            <w:r w:rsidRPr="003727DC">
              <w:rPr>
                <w:sz w:val="22"/>
                <w:szCs w:val="22"/>
              </w:rPr>
              <w:t xml:space="preserve">Sorafenib Sandoz </w:t>
            </w:r>
          </w:p>
        </w:tc>
      </w:tr>
      <w:tr w:rsidR="0015499A" w:rsidRPr="0015499A" w14:paraId="75DEFCCE" w14:textId="77777777" w:rsidTr="001C5ADF">
        <w:tc>
          <w:tcPr>
            <w:tcW w:w="2704" w:type="pct"/>
            <w:tcBorders>
              <w:top w:val="single" w:sz="4" w:space="0" w:color="auto"/>
              <w:left w:val="single" w:sz="4" w:space="0" w:color="auto"/>
              <w:bottom w:val="single" w:sz="4" w:space="0" w:color="auto"/>
              <w:right w:val="single" w:sz="4" w:space="0" w:color="auto"/>
            </w:tcBorders>
          </w:tcPr>
          <w:p w14:paraId="2D502546" w14:textId="77777777" w:rsidR="0015499A" w:rsidRPr="0015499A" w:rsidRDefault="0015499A" w:rsidP="0015499A">
            <w:pPr>
              <w:suppressAutoHyphens/>
              <w:jc w:val="both"/>
              <w:rPr>
                <w:sz w:val="22"/>
                <w:szCs w:val="22"/>
              </w:rPr>
            </w:pPr>
            <w:r w:rsidRPr="0015499A">
              <w:rPr>
                <w:sz w:val="22"/>
                <w:szCs w:val="22"/>
              </w:rPr>
              <w:t>Lietuva</w:t>
            </w:r>
          </w:p>
        </w:tc>
        <w:tc>
          <w:tcPr>
            <w:tcW w:w="2296" w:type="pct"/>
            <w:tcBorders>
              <w:top w:val="single" w:sz="4" w:space="0" w:color="auto"/>
              <w:left w:val="single" w:sz="4" w:space="0" w:color="auto"/>
              <w:bottom w:val="single" w:sz="4" w:space="0" w:color="auto"/>
              <w:right w:val="single" w:sz="4" w:space="0" w:color="auto"/>
            </w:tcBorders>
          </w:tcPr>
          <w:p w14:paraId="6233BCCD" w14:textId="317976CA" w:rsidR="0015499A" w:rsidRPr="0015499A" w:rsidRDefault="007E0A9A" w:rsidP="00A07BA7">
            <w:pPr>
              <w:suppressAutoHyphens/>
              <w:jc w:val="both"/>
              <w:rPr>
                <w:sz w:val="22"/>
                <w:szCs w:val="22"/>
              </w:rPr>
            </w:pPr>
            <w:r w:rsidRPr="003727DC">
              <w:rPr>
                <w:sz w:val="22"/>
                <w:szCs w:val="22"/>
              </w:rPr>
              <w:t xml:space="preserve">Sorafenib </w:t>
            </w:r>
            <w:r w:rsidR="00D71A25">
              <w:rPr>
                <w:sz w:val="22"/>
                <w:szCs w:val="22"/>
              </w:rPr>
              <w:t>Sandoz</w:t>
            </w:r>
            <w:r w:rsidRPr="003727DC">
              <w:rPr>
                <w:sz w:val="22"/>
                <w:szCs w:val="22"/>
              </w:rPr>
              <w:t xml:space="preserve"> </w:t>
            </w:r>
          </w:p>
        </w:tc>
      </w:tr>
      <w:tr w:rsidR="0052565B" w:rsidRPr="003727DC" w14:paraId="794F0EEA" w14:textId="77777777" w:rsidTr="001C5ADF">
        <w:tc>
          <w:tcPr>
            <w:tcW w:w="2704" w:type="pct"/>
            <w:tcBorders>
              <w:top w:val="single" w:sz="4" w:space="0" w:color="auto"/>
              <w:left w:val="single" w:sz="4" w:space="0" w:color="auto"/>
              <w:bottom w:val="single" w:sz="4" w:space="0" w:color="auto"/>
              <w:right w:val="single" w:sz="4" w:space="0" w:color="auto"/>
            </w:tcBorders>
          </w:tcPr>
          <w:p w14:paraId="51BD298F" w14:textId="491434CF" w:rsidR="0052565B" w:rsidRPr="003727DC" w:rsidRDefault="0052565B" w:rsidP="0015499A">
            <w:pPr>
              <w:suppressAutoHyphens/>
              <w:jc w:val="both"/>
              <w:rPr>
                <w:sz w:val="22"/>
                <w:szCs w:val="22"/>
              </w:rPr>
            </w:pPr>
            <w:r w:rsidRPr="003727DC">
              <w:rPr>
                <w:sz w:val="22"/>
                <w:szCs w:val="22"/>
              </w:rPr>
              <w:t>Vokietija</w:t>
            </w:r>
          </w:p>
        </w:tc>
        <w:tc>
          <w:tcPr>
            <w:tcW w:w="2296" w:type="pct"/>
            <w:tcBorders>
              <w:top w:val="single" w:sz="4" w:space="0" w:color="auto"/>
              <w:left w:val="single" w:sz="4" w:space="0" w:color="auto"/>
              <w:bottom w:val="single" w:sz="4" w:space="0" w:color="auto"/>
              <w:right w:val="single" w:sz="4" w:space="0" w:color="auto"/>
            </w:tcBorders>
          </w:tcPr>
          <w:p w14:paraId="59AB88C2" w14:textId="07F945DD" w:rsidR="0052565B" w:rsidRPr="003727DC" w:rsidRDefault="0052565B" w:rsidP="0052565B">
            <w:pPr>
              <w:suppressAutoHyphens/>
              <w:jc w:val="both"/>
              <w:rPr>
                <w:sz w:val="22"/>
                <w:szCs w:val="22"/>
              </w:rPr>
            </w:pPr>
            <w:r w:rsidRPr="003727DC">
              <w:rPr>
                <w:sz w:val="22"/>
                <w:szCs w:val="22"/>
              </w:rPr>
              <w:t xml:space="preserve">Sorafenib HEXAL </w:t>
            </w:r>
          </w:p>
          <w:p w14:paraId="60F02F2F" w14:textId="528E00B6" w:rsidR="0052565B" w:rsidRPr="003727DC" w:rsidRDefault="0052565B" w:rsidP="0052565B">
            <w:pPr>
              <w:suppressAutoHyphens/>
              <w:jc w:val="both"/>
              <w:rPr>
                <w:sz w:val="22"/>
                <w:szCs w:val="22"/>
              </w:rPr>
            </w:pPr>
          </w:p>
        </w:tc>
      </w:tr>
    </w:tbl>
    <w:p w14:paraId="4A46B53F" w14:textId="77777777" w:rsidR="00EF20DC" w:rsidRPr="00EF20DC" w:rsidRDefault="00EF20DC" w:rsidP="001F1094">
      <w:pPr>
        <w:numPr>
          <w:ilvl w:val="12"/>
          <w:numId w:val="0"/>
        </w:numPr>
        <w:tabs>
          <w:tab w:val="left" w:pos="567"/>
        </w:tabs>
        <w:rPr>
          <w:rFonts w:eastAsia="SimSun"/>
          <w:sz w:val="22"/>
          <w:szCs w:val="22"/>
          <w:lang w:eastAsia="zh-CN"/>
        </w:rPr>
      </w:pPr>
    </w:p>
    <w:p w14:paraId="15A410E6" w14:textId="188E9BF8" w:rsidR="00EF20DC" w:rsidRPr="00EF20DC" w:rsidRDefault="00EF20DC" w:rsidP="001F1094">
      <w:pPr>
        <w:numPr>
          <w:ilvl w:val="12"/>
          <w:numId w:val="0"/>
        </w:numPr>
        <w:tabs>
          <w:tab w:val="left" w:pos="567"/>
        </w:tabs>
        <w:outlineLvl w:val="0"/>
        <w:rPr>
          <w:rFonts w:eastAsia="SimSun"/>
          <w:sz w:val="22"/>
          <w:szCs w:val="22"/>
          <w:lang w:eastAsia="zh-CN"/>
        </w:rPr>
      </w:pPr>
      <w:r w:rsidRPr="00EF20DC">
        <w:rPr>
          <w:rFonts w:eastAsia="SimSun"/>
          <w:b/>
          <w:bCs/>
          <w:sz w:val="22"/>
          <w:szCs w:val="22"/>
          <w:lang w:eastAsia="zh-CN"/>
        </w:rPr>
        <w:t xml:space="preserve">Šis pakuotės </w:t>
      </w:r>
      <w:r w:rsidRPr="00EF20DC">
        <w:rPr>
          <w:rFonts w:eastAsia="SimSun"/>
          <w:b/>
          <w:sz w:val="22"/>
          <w:szCs w:val="22"/>
          <w:lang w:eastAsia="zh-CN"/>
        </w:rPr>
        <w:t xml:space="preserve">lapelis paskutinį kartą peržiūrėtas </w:t>
      </w:r>
      <w:r w:rsidR="00EC352E">
        <w:rPr>
          <w:rFonts w:eastAsia="SimSun"/>
          <w:b/>
          <w:sz w:val="22"/>
          <w:szCs w:val="22"/>
          <w:lang w:eastAsia="zh-CN"/>
        </w:rPr>
        <w:t>2025-02-21.</w:t>
      </w:r>
    </w:p>
    <w:p w14:paraId="52290751" w14:textId="77777777" w:rsidR="00EF20DC" w:rsidRPr="00EF20DC" w:rsidRDefault="00EF20DC" w:rsidP="001F1094">
      <w:pPr>
        <w:numPr>
          <w:ilvl w:val="12"/>
          <w:numId w:val="0"/>
        </w:numPr>
        <w:tabs>
          <w:tab w:val="left" w:pos="567"/>
        </w:tabs>
        <w:rPr>
          <w:rFonts w:eastAsia="SimSun"/>
          <w:iCs/>
          <w:sz w:val="22"/>
          <w:szCs w:val="22"/>
          <w:highlight w:val="yellow"/>
          <w:lang w:eastAsia="zh-CN"/>
        </w:rPr>
      </w:pPr>
    </w:p>
    <w:p w14:paraId="5993C402" w14:textId="6DD57506" w:rsidR="00635B76" w:rsidRDefault="00EF20DC" w:rsidP="001F1094">
      <w:pPr>
        <w:numPr>
          <w:ilvl w:val="12"/>
          <w:numId w:val="0"/>
        </w:numPr>
        <w:tabs>
          <w:tab w:val="left" w:pos="567"/>
        </w:tabs>
      </w:pPr>
      <w:r w:rsidRPr="00EF20DC">
        <w:rPr>
          <w:snapToGrid w:val="0"/>
          <w:sz w:val="22"/>
          <w:szCs w:val="22"/>
        </w:rPr>
        <w:t>Išsami informacija apie šį vaistą pateikiama Valstybinės vaistų kontrolės tarnybos prie Lietuvos Respublikos sveikatos apsaugos ministerijos tinklalapyje</w:t>
      </w:r>
      <w:r w:rsidRPr="00EF20DC">
        <w:rPr>
          <w:i/>
          <w:snapToGrid w:val="0"/>
          <w:sz w:val="22"/>
          <w:szCs w:val="22"/>
        </w:rPr>
        <w:t xml:space="preserve"> </w:t>
      </w:r>
      <w:hyperlink r:id="rId9" w:history="1">
        <w:r w:rsidR="00D01F54" w:rsidRPr="00560BAB">
          <w:rPr>
            <w:rStyle w:val="Hipersaitas"/>
          </w:rPr>
          <w:t>https://vvkt.lrv.lt/lt/</w:t>
        </w:r>
      </w:hyperlink>
      <w:r w:rsidR="00D01F54">
        <w:rPr>
          <w:u w:val="single"/>
        </w:rPr>
        <w:t xml:space="preserve">. </w:t>
      </w:r>
    </w:p>
    <w:p w14:paraId="30F76702" w14:textId="2C3102F0" w:rsidR="00635B76" w:rsidRDefault="00635B76" w:rsidP="00635B76">
      <w:bookmarkStart w:id="0" w:name="_GoBack"/>
      <w:bookmarkEnd w:id="0"/>
    </w:p>
    <w:p w14:paraId="6F4A85DB" w14:textId="77777777" w:rsidR="00171CB4" w:rsidRPr="00635B76" w:rsidRDefault="00171CB4" w:rsidP="00635B76"/>
    <w:sectPr w:rsidR="00171CB4" w:rsidRPr="00635B76" w:rsidSect="00DD2430">
      <w:headerReference w:type="default" r:id="rId10"/>
      <w:footerReference w:type="default" r:id="rId11"/>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BE685" w14:textId="77777777" w:rsidR="00E71EED" w:rsidRDefault="00E71EED">
      <w:r>
        <w:separator/>
      </w:r>
    </w:p>
  </w:endnote>
  <w:endnote w:type="continuationSeparator" w:id="0">
    <w:p w14:paraId="65314A44" w14:textId="77777777" w:rsidR="00E71EED" w:rsidRDefault="00E71EED">
      <w:r>
        <w:continuationSeparator/>
      </w:r>
    </w:p>
  </w:endnote>
  <w:endnote w:type="continuationNotice" w:id="1">
    <w:p w14:paraId="6D092E61" w14:textId="77777777" w:rsidR="00E71EED" w:rsidRDefault="00E71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istika">
    <w:panose1 w:val="02020603050405020304"/>
    <w:charset w:val="BA"/>
    <w:family w:val="roman"/>
    <w:pitch w:val="variable"/>
    <w:sig w:usb0="A00002FF" w:usb1="500078FB"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E4D54" w14:textId="78405370" w:rsidR="00672A1E" w:rsidRDefault="00672A1E">
    <w:pPr>
      <w:pStyle w:val="Porat"/>
      <w:jc w:val="right"/>
    </w:pPr>
    <w:r>
      <w:rPr>
        <w:noProof w:val="0"/>
      </w:rPr>
      <w:fldChar w:fldCharType="begin"/>
    </w:r>
    <w:r>
      <w:instrText xml:space="preserve"> PAGE   \* MERGEFORMAT </w:instrText>
    </w:r>
    <w:r>
      <w:rPr>
        <w:noProof w:val="0"/>
      </w:rPr>
      <w:fldChar w:fldCharType="separate"/>
    </w:r>
    <w:r w:rsidR="008B0E4A">
      <w:t>42</w:t>
    </w:r>
    <w:r>
      <w:fldChar w:fldCharType="end"/>
    </w:r>
  </w:p>
  <w:p w14:paraId="21B97A97" w14:textId="77777777" w:rsidR="00672A1E" w:rsidRDefault="00672A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E353E" w14:textId="77777777" w:rsidR="00E71EED" w:rsidRDefault="00E71EED">
      <w:r>
        <w:separator/>
      </w:r>
    </w:p>
  </w:footnote>
  <w:footnote w:type="continuationSeparator" w:id="0">
    <w:p w14:paraId="12E34C20" w14:textId="77777777" w:rsidR="00E71EED" w:rsidRDefault="00E71EED">
      <w:r>
        <w:continuationSeparator/>
      </w:r>
    </w:p>
  </w:footnote>
  <w:footnote w:type="continuationNotice" w:id="1">
    <w:p w14:paraId="5F43385A" w14:textId="77777777" w:rsidR="00E71EED" w:rsidRDefault="00E71E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D65" w14:textId="77777777" w:rsidR="00672A1E" w:rsidRDefault="00672A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5196"/>
    <w:multiLevelType w:val="multilevel"/>
    <w:tmpl w:val="673CC4E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085ACE"/>
    <w:multiLevelType w:val="hybridMultilevel"/>
    <w:tmpl w:val="B2505ED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B2056"/>
    <w:multiLevelType w:val="hybridMultilevel"/>
    <w:tmpl w:val="8E12B8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B209C"/>
    <w:multiLevelType w:val="hybridMultilevel"/>
    <w:tmpl w:val="4FC481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97716"/>
    <w:multiLevelType w:val="hybridMultilevel"/>
    <w:tmpl w:val="76CE52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C055D"/>
    <w:multiLevelType w:val="hybridMultilevel"/>
    <w:tmpl w:val="D088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272AB"/>
    <w:multiLevelType w:val="hybridMultilevel"/>
    <w:tmpl w:val="A04280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2667BD"/>
    <w:multiLevelType w:val="hybridMultilevel"/>
    <w:tmpl w:val="2E90B9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07AFF"/>
    <w:multiLevelType w:val="hybridMultilevel"/>
    <w:tmpl w:val="CCBC025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601AB"/>
    <w:multiLevelType w:val="hybridMultilevel"/>
    <w:tmpl w:val="489E46A2"/>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730A1"/>
    <w:multiLevelType w:val="hybridMultilevel"/>
    <w:tmpl w:val="AB88F2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D07398"/>
    <w:multiLevelType w:val="hybridMultilevel"/>
    <w:tmpl w:val="A55C6BE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30D3D"/>
    <w:multiLevelType w:val="hybridMultilevel"/>
    <w:tmpl w:val="169EED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E70A79"/>
    <w:multiLevelType w:val="hybridMultilevel"/>
    <w:tmpl w:val="E43C55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202087"/>
    <w:multiLevelType w:val="hybridMultilevel"/>
    <w:tmpl w:val="40FC6E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96B54"/>
    <w:multiLevelType w:val="hybridMultilevel"/>
    <w:tmpl w:val="A3A8F1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EE1BDB"/>
    <w:multiLevelType w:val="hybridMultilevel"/>
    <w:tmpl w:val="C0646B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16"/>
  </w:num>
  <w:num w:numId="7">
    <w:abstractNumId w:val="13"/>
  </w:num>
  <w:num w:numId="8">
    <w:abstractNumId w:val="4"/>
  </w:num>
  <w:num w:numId="9">
    <w:abstractNumId w:val="15"/>
  </w:num>
  <w:num w:numId="10">
    <w:abstractNumId w:val="11"/>
  </w:num>
  <w:num w:numId="11">
    <w:abstractNumId w:val="7"/>
  </w:num>
  <w:num w:numId="12">
    <w:abstractNumId w:val="17"/>
  </w:num>
  <w:num w:numId="13">
    <w:abstractNumId w:val="9"/>
  </w:num>
  <w:num w:numId="14">
    <w:abstractNumId w:val="3"/>
  </w:num>
  <w:num w:numId="15">
    <w:abstractNumId w:val="8"/>
  </w:num>
  <w:num w:numId="16">
    <w:abstractNumId w:val="12"/>
  </w:num>
  <w:num w:numId="17">
    <w:abstractNumId w:val="10"/>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B3"/>
    <w:rsid w:val="00004AF0"/>
    <w:rsid w:val="0000556E"/>
    <w:rsid w:val="000058D1"/>
    <w:rsid w:val="00043A68"/>
    <w:rsid w:val="0004709E"/>
    <w:rsid w:val="00050AFA"/>
    <w:rsid w:val="00057608"/>
    <w:rsid w:val="00060BA2"/>
    <w:rsid w:val="00064E11"/>
    <w:rsid w:val="000660A4"/>
    <w:rsid w:val="0007561E"/>
    <w:rsid w:val="000805CB"/>
    <w:rsid w:val="00093A3D"/>
    <w:rsid w:val="00096887"/>
    <w:rsid w:val="000A3D5D"/>
    <w:rsid w:val="000A7E52"/>
    <w:rsid w:val="000B09F0"/>
    <w:rsid w:val="000B187E"/>
    <w:rsid w:val="000B477C"/>
    <w:rsid w:val="000D4328"/>
    <w:rsid w:val="000E1627"/>
    <w:rsid w:val="000E5E0A"/>
    <w:rsid w:val="0010181A"/>
    <w:rsid w:val="00101ABF"/>
    <w:rsid w:val="001114B5"/>
    <w:rsid w:val="00114B87"/>
    <w:rsid w:val="001156E8"/>
    <w:rsid w:val="00122BD9"/>
    <w:rsid w:val="0012743A"/>
    <w:rsid w:val="00127578"/>
    <w:rsid w:val="00132344"/>
    <w:rsid w:val="00146814"/>
    <w:rsid w:val="00146AB1"/>
    <w:rsid w:val="001510B2"/>
    <w:rsid w:val="0015499A"/>
    <w:rsid w:val="00167C56"/>
    <w:rsid w:val="00171CB4"/>
    <w:rsid w:val="00176242"/>
    <w:rsid w:val="00183183"/>
    <w:rsid w:val="00185093"/>
    <w:rsid w:val="00185AD6"/>
    <w:rsid w:val="00192ED1"/>
    <w:rsid w:val="00196411"/>
    <w:rsid w:val="00197B7F"/>
    <w:rsid w:val="001A230F"/>
    <w:rsid w:val="001A23BF"/>
    <w:rsid w:val="001A3751"/>
    <w:rsid w:val="001B333D"/>
    <w:rsid w:val="001B61EA"/>
    <w:rsid w:val="001B71B1"/>
    <w:rsid w:val="001C4C30"/>
    <w:rsid w:val="001C5ADF"/>
    <w:rsid w:val="001D22F7"/>
    <w:rsid w:val="001D48FC"/>
    <w:rsid w:val="001D6111"/>
    <w:rsid w:val="001D6294"/>
    <w:rsid w:val="001E25CA"/>
    <w:rsid w:val="001E2E47"/>
    <w:rsid w:val="001E5E80"/>
    <w:rsid w:val="001F1094"/>
    <w:rsid w:val="001F4D02"/>
    <w:rsid w:val="00200CC8"/>
    <w:rsid w:val="002109BA"/>
    <w:rsid w:val="00212387"/>
    <w:rsid w:val="0021404B"/>
    <w:rsid w:val="00215C68"/>
    <w:rsid w:val="00217A68"/>
    <w:rsid w:val="00220E35"/>
    <w:rsid w:val="002259E3"/>
    <w:rsid w:val="00231D24"/>
    <w:rsid w:val="00237548"/>
    <w:rsid w:val="00241A90"/>
    <w:rsid w:val="00242BCF"/>
    <w:rsid w:val="002508B2"/>
    <w:rsid w:val="0025420A"/>
    <w:rsid w:val="002555F4"/>
    <w:rsid w:val="0025582B"/>
    <w:rsid w:val="00260259"/>
    <w:rsid w:val="00273C2A"/>
    <w:rsid w:val="00275C80"/>
    <w:rsid w:val="00282240"/>
    <w:rsid w:val="002835DC"/>
    <w:rsid w:val="00287BD5"/>
    <w:rsid w:val="00291262"/>
    <w:rsid w:val="0029234B"/>
    <w:rsid w:val="002A649B"/>
    <w:rsid w:val="002A6944"/>
    <w:rsid w:val="002C0F2D"/>
    <w:rsid w:val="002C744F"/>
    <w:rsid w:val="002D0B64"/>
    <w:rsid w:val="002E63E0"/>
    <w:rsid w:val="00303131"/>
    <w:rsid w:val="00305F1A"/>
    <w:rsid w:val="003232E0"/>
    <w:rsid w:val="00323491"/>
    <w:rsid w:val="003255CE"/>
    <w:rsid w:val="00330E98"/>
    <w:rsid w:val="0033453D"/>
    <w:rsid w:val="003348B7"/>
    <w:rsid w:val="00336100"/>
    <w:rsid w:val="003363F9"/>
    <w:rsid w:val="00352B56"/>
    <w:rsid w:val="00371591"/>
    <w:rsid w:val="003727DC"/>
    <w:rsid w:val="00376A0E"/>
    <w:rsid w:val="003864F9"/>
    <w:rsid w:val="00390F8A"/>
    <w:rsid w:val="003A0803"/>
    <w:rsid w:val="003A3E7D"/>
    <w:rsid w:val="003A41B8"/>
    <w:rsid w:val="003A4EB0"/>
    <w:rsid w:val="003C15FD"/>
    <w:rsid w:val="003C4F0A"/>
    <w:rsid w:val="003C64E6"/>
    <w:rsid w:val="003C7C5B"/>
    <w:rsid w:val="003D30E0"/>
    <w:rsid w:val="003D62B0"/>
    <w:rsid w:val="003D6784"/>
    <w:rsid w:val="003D6A00"/>
    <w:rsid w:val="003E36BB"/>
    <w:rsid w:val="003E4FF9"/>
    <w:rsid w:val="003F0F05"/>
    <w:rsid w:val="004013B5"/>
    <w:rsid w:val="00402F3F"/>
    <w:rsid w:val="0041046C"/>
    <w:rsid w:val="00410AFD"/>
    <w:rsid w:val="004162A1"/>
    <w:rsid w:val="00422E1B"/>
    <w:rsid w:val="00425741"/>
    <w:rsid w:val="00434111"/>
    <w:rsid w:val="00434A92"/>
    <w:rsid w:val="00443D8E"/>
    <w:rsid w:val="0044531A"/>
    <w:rsid w:val="00446CEA"/>
    <w:rsid w:val="00447DEF"/>
    <w:rsid w:val="00453237"/>
    <w:rsid w:val="0045758D"/>
    <w:rsid w:val="00462FDF"/>
    <w:rsid w:val="004639BA"/>
    <w:rsid w:val="004643D5"/>
    <w:rsid w:val="0046778E"/>
    <w:rsid w:val="004715BC"/>
    <w:rsid w:val="00475C08"/>
    <w:rsid w:val="00483632"/>
    <w:rsid w:val="00485AB2"/>
    <w:rsid w:val="00492A0C"/>
    <w:rsid w:val="004B1EF5"/>
    <w:rsid w:val="004B5175"/>
    <w:rsid w:val="004C3091"/>
    <w:rsid w:val="004C62E5"/>
    <w:rsid w:val="004C6993"/>
    <w:rsid w:val="004D2D1E"/>
    <w:rsid w:val="004D302D"/>
    <w:rsid w:val="004E06E6"/>
    <w:rsid w:val="004E0F36"/>
    <w:rsid w:val="004E1E7F"/>
    <w:rsid w:val="004E62EC"/>
    <w:rsid w:val="004F3AFA"/>
    <w:rsid w:val="0050144B"/>
    <w:rsid w:val="005019F9"/>
    <w:rsid w:val="005061EE"/>
    <w:rsid w:val="005123EF"/>
    <w:rsid w:val="00512E4E"/>
    <w:rsid w:val="00514396"/>
    <w:rsid w:val="00515420"/>
    <w:rsid w:val="00521FFB"/>
    <w:rsid w:val="0052565B"/>
    <w:rsid w:val="00537CB6"/>
    <w:rsid w:val="00550367"/>
    <w:rsid w:val="005505B5"/>
    <w:rsid w:val="00552B88"/>
    <w:rsid w:val="0055474E"/>
    <w:rsid w:val="00582784"/>
    <w:rsid w:val="0058744C"/>
    <w:rsid w:val="00591454"/>
    <w:rsid w:val="0059624C"/>
    <w:rsid w:val="005A13AB"/>
    <w:rsid w:val="005A1EE3"/>
    <w:rsid w:val="005A5AE1"/>
    <w:rsid w:val="005A5BF8"/>
    <w:rsid w:val="005A6796"/>
    <w:rsid w:val="005A77E7"/>
    <w:rsid w:val="005B06D3"/>
    <w:rsid w:val="005B415B"/>
    <w:rsid w:val="005B529D"/>
    <w:rsid w:val="005C0C66"/>
    <w:rsid w:val="005C58FE"/>
    <w:rsid w:val="005D479B"/>
    <w:rsid w:val="005E0BA2"/>
    <w:rsid w:val="005E2FA0"/>
    <w:rsid w:val="005E3464"/>
    <w:rsid w:val="005E681E"/>
    <w:rsid w:val="005F6B46"/>
    <w:rsid w:val="005F7C84"/>
    <w:rsid w:val="00600C38"/>
    <w:rsid w:val="006022FF"/>
    <w:rsid w:val="00605DD7"/>
    <w:rsid w:val="00612060"/>
    <w:rsid w:val="0062277E"/>
    <w:rsid w:val="00624639"/>
    <w:rsid w:val="00630DAB"/>
    <w:rsid w:val="006319C4"/>
    <w:rsid w:val="006350A9"/>
    <w:rsid w:val="00635B76"/>
    <w:rsid w:val="00637FEB"/>
    <w:rsid w:val="0064111D"/>
    <w:rsid w:val="0065088C"/>
    <w:rsid w:val="00654499"/>
    <w:rsid w:val="00655AA0"/>
    <w:rsid w:val="00672A1E"/>
    <w:rsid w:val="006736B7"/>
    <w:rsid w:val="006852D5"/>
    <w:rsid w:val="0069338D"/>
    <w:rsid w:val="0069385E"/>
    <w:rsid w:val="006942DE"/>
    <w:rsid w:val="00694B28"/>
    <w:rsid w:val="00696F5B"/>
    <w:rsid w:val="006A793F"/>
    <w:rsid w:val="006B24B9"/>
    <w:rsid w:val="006B79E8"/>
    <w:rsid w:val="006D2636"/>
    <w:rsid w:val="006D2943"/>
    <w:rsid w:val="006D31D1"/>
    <w:rsid w:val="006E2F1F"/>
    <w:rsid w:val="006E40DB"/>
    <w:rsid w:val="006E41BC"/>
    <w:rsid w:val="006E53C8"/>
    <w:rsid w:val="006E5CD3"/>
    <w:rsid w:val="006F5896"/>
    <w:rsid w:val="006F61C9"/>
    <w:rsid w:val="006F63EA"/>
    <w:rsid w:val="006F6739"/>
    <w:rsid w:val="00701016"/>
    <w:rsid w:val="00701220"/>
    <w:rsid w:val="007015F1"/>
    <w:rsid w:val="007147F5"/>
    <w:rsid w:val="00724C55"/>
    <w:rsid w:val="00732547"/>
    <w:rsid w:val="00732DBB"/>
    <w:rsid w:val="007361C9"/>
    <w:rsid w:val="00744E57"/>
    <w:rsid w:val="00745A51"/>
    <w:rsid w:val="00750837"/>
    <w:rsid w:val="00756235"/>
    <w:rsid w:val="00757DB0"/>
    <w:rsid w:val="00761645"/>
    <w:rsid w:val="00761B26"/>
    <w:rsid w:val="00762A37"/>
    <w:rsid w:val="007708A2"/>
    <w:rsid w:val="00774503"/>
    <w:rsid w:val="007811C7"/>
    <w:rsid w:val="00782E98"/>
    <w:rsid w:val="00795D66"/>
    <w:rsid w:val="007973F9"/>
    <w:rsid w:val="007A0B1B"/>
    <w:rsid w:val="007A45FA"/>
    <w:rsid w:val="007A5BE8"/>
    <w:rsid w:val="007A7735"/>
    <w:rsid w:val="007B3FB6"/>
    <w:rsid w:val="007B47B2"/>
    <w:rsid w:val="007C62CC"/>
    <w:rsid w:val="007D01B3"/>
    <w:rsid w:val="007D15E1"/>
    <w:rsid w:val="007D18AF"/>
    <w:rsid w:val="007D241C"/>
    <w:rsid w:val="007D2E70"/>
    <w:rsid w:val="007D41DB"/>
    <w:rsid w:val="007D4CA2"/>
    <w:rsid w:val="007E0A9A"/>
    <w:rsid w:val="007E0C4E"/>
    <w:rsid w:val="007E1172"/>
    <w:rsid w:val="007E70E3"/>
    <w:rsid w:val="007F18F3"/>
    <w:rsid w:val="007F239E"/>
    <w:rsid w:val="007F32EA"/>
    <w:rsid w:val="007F3B1D"/>
    <w:rsid w:val="007F4944"/>
    <w:rsid w:val="007F6049"/>
    <w:rsid w:val="007F6144"/>
    <w:rsid w:val="00800EB1"/>
    <w:rsid w:val="00802AD0"/>
    <w:rsid w:val="0080463A"/>
    <w:rsid w:val="0081103F"/>
    <w:rsid w:val="0082300D"/>
    <w:rsid w:val="0082380A"/>
    <w:rsid w:val="0082606A"/>
    <w:rsid w:val="008304B5"/>
    <w:rsid w:val="00830ACA"/>
    <w:rsid w:val="00836B7A"/>
    <w:rsid w:val="00837F39"/>
    <w:rsid w:val="00857626"/>
    <w:rsid w:val="0086216B"/>
    <w:rsid w:val="008679AE"/>
    <w:rsid w:val="00867EFD"/>
    <w:rsid w:val="00870AAC"/>
    <w:rsid w:val="00873602"/>
    <w:rsid w:val="00877815"/>
    <w:rsid w:val="00881266"/>
    <w:rsid w:val="008822F7"/>
    <w:rsid w:val="008864F5"/>
    <w:rsid w:val="008903E0"/>
    <w:rsid w:val="008926CE"/>
    <w:rsid w:val="00895257"/>
    <w:rsid w:val="008B05BD"/>
    <w:rsid w:val="008B0E4A"/>
    <w:rsid w:val="008B1A26"/>
    <w:rsid w:val="008B2B17"/>
    <w:rsid w:val="008C23ED"/>
    <w:rsid w:val="008C3741"/>
    <w:rsid w:val="008F23FB"/>
    <w:rsid w:val="0091018A"/>
    <w:rsid w:val="00911FFE"/>
    <w:rsid w:val="009124DB"/>
    <w:rsid w:val="00913CCC"/>
    <w:rsid w:val="0091657E"/>
    <w:rsid w:val="00917D2F"/>
    <w:rsid w:val="009216B1"/>
    <w:rsid w:val="00922B37"/>
    <w:rsid w:val="0093742E"/>
    <w:rsid w:val="00946206"/>
    <w:rsid w:val="009465E1"/>
    <w:rsid w:val="0095400E"/>
    <w:rsid w:val="00955601"/>
    <w:rsid w:val="00960139"/>
    <w:rsid w:val="00960C9C"/>
    <w:rsid w:val="009612F6"/>
    <w:rsid w:val="009617A6"/>
    <w:rsid w:val="00964C44"/>
    <w:rsid w:val="00967AEF"/>
    <w:rsid w:val="00985011"/>
    <w:rsid w:val="00987E1E"/>
    <w:rsid w:val="0099194F"/>
    <w:rsid w:val="009928A1"/>
    <w:rsid w:val="00997F37"/>
    <w:rsid w:val="009A44A9"/>
    <w:rsid w:val="009B02A4"/>
    <w:rsid w:val="009B308A"/>
    <w:rsid w:val="009B7BA7"/>
    <w:rsid w:val="009C0CC7"/>
    <w:rsid w:val="009C25A3"/>
    <w:rsid w:val="009C3841"/>
    <w:rsid w:val="009C3DA9"/>
    <w:rsid w:val="009C52A8"/>
    <w:rsid w:val="009C54FD"/>
    <w:rsid w:val="009C640C"/>
    <w:rsid w:val="009D6429"/>
    <w:rsid w:val="009E54FC"/>
    <w:rsid w:val="009F1CA1"/>
    <w:rsid w:val="009F2A59"/>
    <w:rsid w:val="00A000CF"/>
    <w:rsid w:val="00A0184F"/>
    <w:rsid w:val="00A07BA7"/>
    <w:rsid w:val="00A101DE"/>
    <w:rsid w:val="00A11A7C"/>
    <w:rsid w:val="00A1277A"/>
    <w:rsid w:val="00A17111"/>
    <w:rsid w:val="00A2477F"/>
    <w:rsid w:val="00A358D3"/>
    <w:rsid w:val="00A37F49"/>
    <w:rsid w:val="00A40DDB"/>
    <w:rsid w:val="00A40F23"/>
    <w:rsid w:val="00A427C8"/>
    <w:rsid w:val="00A42AC6"/>
    <w:rsid w:val="00A43385"/>
    <w:rsid w:val="00A479CB"/>
    <w:rsid w:val="00A47A18"/>
    <w:rsid w:val="00A519D5"/>
    <w:rsid w:val="00A53CD4"/>
    <w:rsid w:val="00A56C33"/>
    <w:rsid w:val="00A655EC"/>
    <w:rsid w:val="00A856B4"/>
    <w:rsid w:val="00A905ED"/>
    <w:rsid w:val="00AA1D33"/>
    <w:rsid w:val="00AA707B"/>
    <w:rsid w:val="00AB6668"/>
    <w:rsid w:val="00AC0126"/>
    <w:rsid w:val="00AC0FDF"/>
    <w:rsid w:val="00AD237C"/>
    <w:rsid w:val="00AD46E8"/>
    <w:rsid w:val="00AE75C4"/>
    <w:rsid w:val="00AF2599"/>
    <w:rsid w:val="00AF72D0"/>
    <w:rsid w:val="00B01BCF"/>
    <w:rsid w:val="00B03A39"/>
    <w:rsid w:val="00B04057"/>
    <w:rsid w:val="00B116AB"/>
    <w:rsid w:val="00B24459"/>
    <w:rsid w:val="00B31CD7"/>
    <w:rsid w:val="00B34807"/>
    <w:rsid w:val="00B365A3"/>
    <w:rsid w:val="00B429EB"/>
    <w:rsid w:val="00B469AF"/>
    <w:rsid w:val="00B475E9"/>
    <w:rsid w:val="00B53B95"/>
    <w:rsid w:val="00B57725"/>
    <w:rsid w:val="00B603D4"/>
    <w:rsid w:val="00B60FD6"/>
    <w:rsid w:val="00B61D91"/>
    <w:rsid w:val="00B64D6A"/>
    <w:rsid w:val="00B72875"/>
    <w:rsid w:val="00B73273"/>
    <w:rsid w:val="00B745DD"/>
    <w:rsid w:val="00B802CC"/>
    <w:rsid w:val="00B83AD1"/>
    <w:rsid w:val="00B92FCC"/>
    <w:rsid w:val="00B94F14"/>
    <w:rsid w:val="00B95884"/>
    <w:rsid w:val="00B96303"/>
    <w:rsid w:val="00B97FF0"/>
    <w:rsid w:val="00BA0610"/>
    <w:rsid w:val="00BA333B"/>
    <w:rsid w:val="00BA34BA"/>
    <w:rsid w:val="00BA7CB5"/>
    <w:rsid w:val="00BB1AD5"/>
    <w:rsid w:val="00BB3B4D"/>
    <w:rsid w:val="00BB5CAD"/>
    <w:rsid w:val="00BB5CF3"/>
    <w:rsid w:val="00BC714E"/>
    <w:rsid w:val="00BD7657"/>
    <w:rsid w:val="00BE0BF3"/>
    <w:rsid w:val="00BE31DA"/>
    <w:rsid w:val="00BE6214"/>
    <w:rsid w:val="00BE6A56"/>
    <w:rsid w:val="00BF35B1"/>
    <w:rsid w:val="00C05B9D"/>
    <w:rsid w:val="00C1437D"/>
    <w:rsid w:val="00C23A40"/>
    <w:rsid w:val="00C25764"/>
    <w:rsid w:val="00C30E94"/>
    <w:rsid w:val="00C34D73"/>
    <w:rsid w:val="00C40D14"/>
    <w:rsid w:val="00C46D61"/>
    <w:rsid w:val="00C51901"/>
    <w:rsid w:val="00C54896"/>
    <w:rsid w:val="00C5499C"/>
    <w:rsid w:val="00C551F1"/>
    <w:rsid w:val="00C664AA"/>
    <w:rsid w:val="00C66B47"/>
    <w:rsid w:val="00C8094F"/>
    <w:rsid w:val="00C92425"/>
    <w:rsid w:val="00C965AB"/>
    <w:rsid w:val="00CA08B3"/>
    <w:rsid w:val="00CA4084"/>
    <w:rsid w:val="00CA49D8"/>
    <w:rsid w:val="00CB1D25"/>
    <w:rsid w:val="00CB5822"/>
    <w:rsid w:val="00CC75D1"/>
    <w:rsid w:val="00CD1423"/>
    <w:rsid w:val="00CD3DF9"/>
    <w:rsid w:val="00CD4E97"/>
    <w:rsid w:val="00CD4F98"/>
    <w:rsid w:val="00CE0275"/>
    <w:rsid w:val="00CE2C48"/>
    <w:rsid w:val="00CE537C"/>
    <w:rsid w:val="00CF0C9B"/>
    <w:rsid w:val="00CF26D8"/>
    <w:rsid w:val="00CF42FF"/>
    <w:rsid w:val="00CF4381"/>
    <w:rsid w:val="00CF6C09"/>
    <w:rsid w:val="00D003AC"/>
    <w:rsid w:val="00D00CDF"/>
    <w:rsid w:val="00D01F54"/>
    <w:rsid w:val="00D027E3"/>
    <w:rsid w:val="00D02F71"/>
    <w:rsid w:val="00D04EDE"/>
    <w:rsid w:val="00D11A28"/>
    <w:rsid w:val="00D22E3F"/>
    <w:rsid w:val="00D25B58"/>
    <w:rsid w:val="00D33BE5"/>
    <w:rsid w:val="00D47BD3"/>
    <w:rsid w:val="00D50FC6"/>
    <w:rsid w:val="00D5243A"/>
    <w:rsid w:val="00D607FE"/>
    <w:rsid w:val="00D665D1"/>
    <w:rsid w:val="00D71A25"/>
    <w:rsid w:val="00D745B1"/>
    <w:rsid w:val="00D74C65"/>
    <w:rsid w:val="00D76168"/>
    <w:rsid w:val="00D81DCF"/>
    <w:rsid w:val="00D81ED3"/>
    <w:rsid w:val="00D91A2F"/>
    <w:rsid w:val="00D93D74"/>
    <w:rsid w:val="00DB27A8"/>
    <w:rsid w:val="00DB2DB2"/>
    <w:rsid w:val="00DB437B"/>
    <w:rsid w:val="00DB6B0D"/>
    <w:rsid w:val="00DD1815"/>
    <w:rsid w:val="00DD2292"/>
    <w:rsid w:val="00DD2430"/>
    <w:rsid w:val="00DE4C51"/>
    <w:rsid w:val="00DF077A"/>
    <w:rsid w:val="00DF256D"/>
    <w:rsid w:val="00DF619A"/>
    <w:rsid w:val="00E040FC"/>
    <w:rsid w:val="00E057D8"/>
    <w:rsid w:val="00E06A38"/>
    <w:rsid w:val="00E140BF"/>
    <w:rsid w:val="00E20A0E"/>
    <w:rsid w:val="00E2344B"/>
    <w:rsid w:val="00E24FF0"/>
    <w:rsid w:val="00E27AC1"/>
    <w:rsid w:val="00E312FC"/>
    <w:rsid w:val="00E31986"/>
    <w:rsid w:val="00E33AF6"/>
    <w:rsid w:val="00E369DA"/>
    <w:rsid w:val="00E41D2F"/>
    <w:rsid w:val="00E424A8"/>
    <w:rsid w:val="00E46BB7"/>
    <w:rsid w:val="00E46F37"/>
    <w:rsid w:val="00E474D7"/>
    <w:rsid w:val="00E53BEF"/>
    <w:rsid w:val="00E57A87"/>
    <w:rsid w:val="00E63DFB"/>
    <w:rsid w:val="00E653EA"/>
    <w:rsid w:val="00E661E6"/>
    <w:rsid w:val="00E71EED"/>
    <w:rsid w:val="00E72224"/>
    <w:rsid w:val="00E74916"/>
    <w:rsid w:val="00E77D35"/>
    <w:rsid w:val="00E8484B"/>
    <w:rsid w:val="00EA7982"/>
    <w:rsid w:val="00EA799F"/>
    <w:rsid w:val="00EB1EBE"/>
    <w:rsid w:val="00EB34EE"/>
    <w:rsid w:val="00EB351A"/>
    <w:rsid w:val="00EB4264"/>
    <w:rsid w:val="00EC352E"/>
    <w:rsid w:val="00EC3B62"/>
    <w:rsid w:val="00EE22CF"/>
    <w:rsid w:val="00EF20DC"/>
    <w:rsid w:val="00EF3EA7"/>
    <w:rsid w:val="00F15575"/>
    <w:rsid w:val="00F17871"/>
    <w:rsid w:val="00F268C3"/>
    <w:rsid w:val="00F31B5C"/>
    <w:rsid w:val="00F3551A"/>
    <w:rsid w:val="00F371E2"/>
    <w:rsid w:val="00F5410F"/>
    <w:rsid w:val="00F62E67"/>
    <w:rsid w:val="00F64F10"/>
    <w:rsid w:val="00F665DE"/>
    <w:rsid w:val="00F70CE4"/>
    <w:rsid w:val="00F748B9"/>
    <w:rsid w:val="00F80BD1"/>
    <w:rsid w:val="00F918C8"/>
    <w:rsid w:val="00F925D9"/>
    <w:rsid w:val="00FA171F"/>
    <w:rsid w:val="00FB3752"/>
    <w:rsid w:val="00FC1339"/>
    <w:rsid w:val="00FC78A9"/>
    <w:rsid w:val="00FE00FF"/>
    <w:rsid w:val="00FF46AD"/>
    <w:rsid w:val="00FF4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6DDD"/>
  <w15:docId w15:val="{E34FA732-3FBD-47C8-AC0C-CF82705E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4F0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autoRedefine/>
    <w:uiPriority w:val="99"/>
    <w:qFormat/>
    <w:rsid w:val="00CA08B3"/>
    <w:pPr>
      <w:keepNext/>
      <w:tabs>
        <w:tab w:val="left" w:pos="540"/>
      </w:tabs>
      <w:outlineLvl w:val="0"/>
    </w:pPr>
    <w:rPr>
      <w:rFonts w:eastAsia="Calibri"/>
      <w:b/>
      <w:sz w:val="20"/>
      <w:szCs w:val="20"/>
      <w:lang w:eastAsia="lt-LT"/>
    </w:rPr>
  </w:style>
  <w:style w:type="paragraph" w:styleId="Antrat2">
    <w:name w:val="heading 2"/>
    <w:basedOn w:val="prastasis"/>
    <w:next w:val="prastasis"/>
    <w:link w:val="Antrat2Diagrama"/>
    <w:uiPriority w:val="99"/>
    <w:semiHidden/>
    <w:unhideWhenUsed/>
    <w:qFormat/>
    <w:rsid w:val="00CA08B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semiHidden/>
    <w:unhideWhenUsed/>
    <w:qFormat/>
    <w:rsid w:val="00CA08B3"/>
    <w:pPr>
      <w:keepNext/>
      <w:spacing w:line="360" w:lineRule="auto"/>
      <w:jc w:val="both"/>
      <w:outlineLvl w:val="2"/>
    </w:pPr>
    <w:rPr>
      <w:i/>
      <w:iCs/>
      <w:sz w:val="28"/>
    </w:rPr>
  </w:style>
  <w:style w:type="paragraph" w:styleId="Antrat5">
    <w:name w:val="heading 5"/>
    <w:basedOn w:val="prastasis"/>
    <w:next w:val="prastasis"/>
    <w:link w:val="Antrat5Diagrama"/>
    <w:uiPriority w:val="99"/>
    <w:semiHidden/>
    <w:unhideWhenUsed/>
    <w:qFormat/>
    <w:rsid w:val="00CA08B3"/>
    <w:pPr>
      <w:spacing w:before="240" w:after="60"/>
      <w:outlineLvl w:val="4"/>
    </w:pPr>
    <w:rPr>
      <w:b/>
      <w:bCs/>
      <w:i/>
      <w:iCs/>
      <w:sz w:val="26"/>
      <w:szCs w:val="26"/>
    </w:rPr>
  </w:style>
  <w:style w:type="paragraph" w:styleId="Antrat6">
    <w:name w:val="heading 6"/>
    <w:basedOn w:val="prastasis"/>
    <w:next w:val="prastasis"/>
    <w:link w:val="Antrat6Diagrama"/>
    <w:uiPriority w:val="99"/>
    <w:semiHidden/>
    <w:unhideWhenUsed/>
    <w:qFormat/>
    <w:rsid w:val="00CA08B3"/>
    <w:pPr>
      <w:spacing w:before="240" w:after="60"/>
      <w:outlineLvl w:val="5"/>
    </w:pPr>
    <w:rPr>
      <w:b/>
      <w:bCs/>
      <w:sz w:val="22"/>
      <w:szCs w:val="22"/>
    </w:rPr>
  </w:style>
  <w:style w:type="paragraph" w:styleId="Antrat7">
    <w:name w:val="heading 7"/>
    <w:basedOn w:val="prastasis"/>
    <w:next w:val="prastasis"/>
    <w:link w:val="Antrat7Diagrama"/>
    <w:uiPriority w:val="99"/>
    <w:semiHidden/>
    <w:unhideWhenUsed/>
    <w:qFormat/>
    <w:rsid w:val="00CA08B3"/>
    <w:pPr>
      <w:keepNext/>
      <w:outlineLvl w:val="6"/>
    </w:pPr>
    <w:rPr>
      <w:i/>
      <w:iCs/>
      <w:sz w:val="22"/>
      <w:szCs w:val="20"/>
    </w:rPr>
  </w:style>
  <w:style w:type="paragraph" w:styleId="Antrat8">
    <w:name w:val="heading 8"/>
    <w:basedOn w:val="prastasis"/>
    <w:next w:val="prastasis"/>
    <w:link w:val="Antrat8Diagrama"/>
    <w:uiPriority w:val="99"/>
    <w:semiHidden/>
    <w:unhideWhenUsed/>
    <w:qFormat/>
    <w:rsid w:val="00CA08B3"/>
    <w:pPr>
      <w:keepNext/>
      <w:outlineLvl w:val="7"/>
    </w:pPr>
    <w:rPr>
      <w:b/>
      <w:bCs/>
      <w:sz w:val="22"/>
      <w:szCs w:val="20"/>
    </w:rPr>
  </w:style>
  <w:style w:type="paragraph" w:styleId="Antrat9">
    <w:name w:val="heading 9"/>
    <w:basedOn w:val="prastasis"/>
    <w:next w:val="prastasis"/>
    <w:link w:val="Antrat9Diagrama"/>
    <w:uiPriority w:val="99"/>
    <w:semiHidden/>
    <w:unhideWhenUsed/>
    <w:qFormat/>
    <w:rsid w:val="00CA08B3"/>
    <w:pPr>
      <w:spacing w:before="240" w:after="60"/>
      <w:outlineLvl w:val="8"/>
    </w:pPr>
    <w:rPr>
      <w:rFonts w:ascii="Arial"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9"/>
    <w:rsid w:val="00CA08B3"/>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9"/>
    <w:semiHidden/>
    <w:rsid w:val="00CA08B3"/>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semiHidden/>
    <w:rsid w:val="00CA08B3"/>
    <w:rPr>
      <w:rFonts w:ascii="Times New Roman" w:eastAsia="Times New Roman" w:hAnsi="Times New Roman" w:cs="Times New Roman"/>
      <w:i/>
      <w:iCs/>
      <w:sz w:val="28"/>
      <w:szCs w:val="24"/>
    </w:rPr>
  </w:style>
  <w:style w:type="character" w:customStyle="1" w:styleId="Antrat5Diagrama">
    <w:name w:val="Antraštė 5 Diagrama"/>
    <w:basedOn w:val="Numatytasispastraiposriftas"/>
    <w:link w:val="Antrat5"/>
    <w:uiPriority w:val="99"/>
    <w:semiHidden/>
    <w:rsid w:val="00CA08B3"/>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uiPriority w:val="99"/>
    <w:semiHidden/>
    <w:rsid w:val="00CA08B3"/>
    <w:rPr>
      <w:rFonts w:ascii="Times New Roman" w:eastAsia="Times New Roman" w:hAnsi="Times New Roman" w:cs="Times New Roman"/>
      <w:b/>
      <w:bCs/>
    </w:rPr>
  </w:style>
  <w:style w:type="character" w:customStyle="1" w:styleId="Antrat7Diagrama">
    <w:name w:val="Antraštė 7 Diagrama"/>
    <w:basedOn w:val="Numatytasispastraiposriftas"/>
    <w:link w:val="Antrat7"/>
    <w:uiPriority w:val="99"/>
    <w:semiHidden/>
    <w:rsid w:val="00CA08B3"/>
    <w:rPr>
      <w:rFonts w:ascii="Times New Roman" w:eastAsia="Times New Roman" w:hAnsi="Times New Roman" w:cs="Times New Roman"/>
      <w:i/>
      <w:iCs/>
      <w:szCs w:val="20"/>
    </w:rPr>
  </w:style>
  <w:style w:type="character" w:customStyle="1" w:styleId="Antrat8Diagrama">
    <w:name w:val="Antraštė 8 Diagrama"/>
    <w:basedOn w:val="Numatytasispastraiposriftas"/>
    <w:link w:val="Antrat8"/>
    <w:uiPriority w:val="99"/>
    <w:semiHidden/>
    <w:rsid w:val="00CA08B3"/>
    <w:rPr>
      <w:rFonts w:ascii="Times New Roman" w:eastAsia="Times New Roman" w:hAnsi="Times New Roman" w:cs="Times New Roman"/>
      <w:b/>
      <w:bCs/>
      <w:szCs w:val="20"/>
    </w:rPr>
  </w:style>
  <w:style w:type="character" w:customStyle="1" w:styleId="Antrat9Diagrama">
    <w:name w:val="Antraštė 9 Diagrama"/>
    <w:basedOn w:val="Numatytasispastraiposriftas"/>
    <w:link w:val="Antrat9"/>
    <w:uiPriority w:val="99"/>
    <w:semiHidden/>
    <w:rsid w:val="00CA08B3"/>
    <w:rPr>
      <w:rFonts w:ascii="Arial" w:eastAsia="Times New Roman" w:hAnsi="Arial" w:cs="Arial"/>
      <w:lang w:eastAsia="lt-LT"/>
    </w:rPr>
  </w:style>
  <w:style w:type="character" w:styleId="Hipersaitas">
    <w:name w:val="Hyperlink"/>
    <w:unhideWhenUsed/>
    <w:rsid w:val="00CA08B3"/>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CA08B3"/>
    <w:rPr>
      <w:color w:val="954F72" w:themeColor="followedHyperlink"/>
      <w:u w:val="single"/>
    </w:rPr>
  </w:style>
  <w:style w:type="paragraph" w:styleId="Komentarotekstas">
    <w:name w:val="annotation text"/>
    <w:basedOn w:val="prastasis"/>
    <w:link w:val="KomentarotekstasDiagrama"/>
    <w:uiPriority w:val="99"/>
    <w:unhideWhenUsed/>
    <w:rsid w:val="00CA08B3"/>
    <w:rPr>
      <w:noProof/>
      <w:sz w:val="20"/>
      <w:szCs w:val="20"/>
      <w:lang w:eastAsia="lt-LT"/>
    </w:rPr>
  </w:style>
  <w:style w:type="character" w:customStyle="1" w:styleId="KomentarotekstasDiagrama">
    <w:name w:val="Komentaro tekstas Diagrama"/>
    <w:basedOn w:val="Numatytasispastraiposriftas"/>
    <w:link w:val="Komentarotekstas"/>
    <w:uiPriority w:val="99"/>
    <w:rsid w:val="00CA08B3"/>
    <w:rPr>
      <w:rFonts w:ascii="Times New Roman" w:eastAsia="Times New Roman" w:hAnsi="Times New Roman" w:cs="Times New Roman"/>
      <w:noProof/>
      <w:sz w:val="20"/>
      <w:szCs w:val="20"/>
      <w:lang w:eastAsia="lt-LT"/>
    </w:rPr>
  </w:style>
  <w:style w:type="paragraph" w:styleId="Antrats">
    <w:name w:val="header"/>
    <w:basedOn w:val="prastasis"/>
    <w:link w:val="AntratsDiagrama"/>
    <w:uiPriority w:val="99"/>
    <w:unhideWhenUsed/>
    <w:rsid w:val="00CA08B3"/>
    <w:pPr>
      <w:tabs>
        <w:tab w:val="center" w:pos="4819"/>
        <w:tab w:val="right" w:pos="9638"/>
      </w:tabs>
    </w:pPr>
    <w:rPr>
      <w:noProof/>
      <w:lang w:eastAsia="lt-LT"/>
    </w:rPr>
  </w:style>
  <w:style w:type="character" w:customStyle="1" w:styleId="AntratsDiagrama">
    <w:name w:val="Antraštės Diagrama"/>
    <w:basedOn w:val="Numatytasispastraiposriftas"/>
    <w:link w:val="Antrats"/>
    <w:uiPriority w:val="99"/>
    <w:rsid w:val="00CA08B3"/>
    <w:rPr>
      <w:rFonts w:ascii="Times New Roman" w:eastAsia="Times New Roman" w:hAnsi="Times New Roman" w:cs="Times New Roman"/>
      <w:noProof/>
      <w:sz w:val="24"/>
      <w:szCs w:val="24"/>
      <w:lang w:eastAsia="lt-LT"/>
    </w:rPr>
  </w:style>
  <w:style w:type="paragraph" w:styleId="Porat">
    <w:name w:val="footer"/>
    <w:basedOn w:val="prastasis"/>
    <w:link w:val="PoratDiagrama"/>
    <w:uiPriority w:val="99"/>
    <w:unhideWhenUsed/>
    <w:rsid w:val="00CA08B3"/>
    <w:pPr>
      <w:tabs>
        <w:tab w:val="center" w:pos="4819"/>
        <w:tab w:val="right" w:pos="9638"/>
      </w:tabs>
    </w:pPr>
    <w:rPr>
      <w:rFonts w:eastAsia="Calibri"/>
      <w:noProof/>
      <w:szCs w:val="20"/>
      <w:lang w:eastAsia="lt-LT"/>
    </w:rPr>
  </w:style>
  <w:style w:type="character" w:customStyle="1" w:styleId="FooterChar">
    <w:name w:val="Footer Char"/>
    <w:basedOn w:val="Numatytasispastraiposriftas"/>
    <w:uiPriority w:val="99"/>
    <w:rsid w:val="00CA08B3"/>
    <w:rPr>
      <w:rFonts w:ascii="Times New Roman" w:eastAsia="Times New Roman" w:hAnsi="Times New Roman" w:cs="Times New Roman"/>
      <w:sz w:val="24"/>
      <w:szCs w:val="24"/>
    </w:rPr>
  </w:style>
  <w:style w:type="paragraph" w:styleId="Dokumentoinaostekstas">
    <w:name w:val="endnote text"/>
    <w:basedOn w:val="prastasis"/>
    <w:next w:val="prastasis"/>
    <w:link w:val="DokumentoinaostekstasDiagrama"/>
    <w:uiPriority w:val="99"/>
    <w:semiHidden/>
    <w:unhideWhenUsed/>
    <w:rsid w:val="00CA08B3"/>
    <w:pPr>
      <w:tabs>
        <w:tab w:val="left" w:pos="567"/>
      </w:tabs>
    </w:pPr>
    <w:rPr>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CA08B3"/>
    <w:rPr>
      <w:rFonts w:ascii="Times New Roman" w:eastAsia="Times New Roman" w:hAnsi="Times New Roman" w:cs="Times New Roman"/>
      <w:sz w:val="20"/>
      <w:szCs w:val="20"/>
      <w:lang w:val="en-GB" w:eastAsia="lt-LT"/>
    </w:rPr>
  </w:style>
  <w:style w:type="paragraph" w:styleId="Pavadinimas">
    <w:name w:val="Title"/>
    <w:basedOn w:val="prastasis"/>
    <w:link w:val="PavadinimasDiagrama"/>
    <w:uiPriority w:val="99"/>
    <w:qFormat/>
    <w:rsid w:val="00CA08B3"/>
    <w:pPr>
      <w:jc w:val="center"/>
    </w:pPr>
    <w:rPr>
      <w:rFonts w:eastAsia="SimSun"/>
      <w:b/>
      <w:sz w:val="20"/>
      <w:szCs w:val="20"/>
      <w:lang w:val="en-GB" w:eastAsia="lt-LT"/>
    </w:rPr>
  </w:style>
  <w:style w:type="character" w:customStyle="1" w:styleId="TitleChar">
    <w:name w:val="Title Char"/>
    <w:basedOn w:val="Numatytasispastraiposriftas"/>
    <w:uiPriority w:val="99"/>
    <w:rsid w:val="00CA08B3"/>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nhideWhenUsed/>
    <w:rsid w:val="00CA08B3"/>
    <w:pPr>
      <w:spacing w:line="360" w:lineRule="auto"/>
      <w:jc w:val="both"/>
    </w:pPr>
    <w:rPr>
      <w:sz w:val="22"/>
    </w:rPr>
  </w:style>
  <w:style w:type="character" w:customStyle="1" w:styleId="PagrindinistekstasDiagrama">
    <w:name w:val="Pagrindinis tekstas Diagrama"/>
    <w:basedOn w:val="Numatytasispastraiposriftas"/>
    <w:link w:val="Pagrindinistekstas"/>
    <w:rsid w:val="00CA08B3"/>
    <w:rPr>
      <w:rFonts w:ascii="Times New Roman" w:eastAsia="Times New Roman" w:hAnsi="Times New Roman" w:cs="Times New Roman"/>
      <w:szCs w:val="24"/>
    </w:rPr>
  </w:style>
  <w:style w:type="paragraph" w:styleId="Pagrindiniotekstotrauka">
    <w:name w:val="Body Text Indent"/>
    <w:basedOn w:val="prastasis"/>
    <w:link w:val="PagrindiniotekstotraukaDiagrama"/>
    <w:uiPriority w:val="99"/>
    <w:semiHidden/>
    <w:unhideWhenUsed/>
    <w:rsid w:val="00CA08B3"/>
    <w:pPr>
      <w:spacing w:after="120"/>
      <w:ind w:left="283"/>
    </w:pPr>
    <w:rPr>
      <w:noProof/>
      <w:lang w:eastAsia="lt-LT"/>
    </w:rPr>
  </w:style>
  <w:style w:type="character" w:customStyle="1" w:styleId="PagrindiniotekstotraukaDiagrama">
    <w:name w:val="Pagrindinio teksto įtrauka Diagrama"/>
    <w:basedOn w:val="Numatytasispastraiposriftas"/>
    <w:link w:val="Pagrindiniotekstotrauka"/>
    <w:uiPriority w:val="99"/>
    <w:semiHidden/>
    <w:rsid w:val="00CA08B3"/>
    <w:rPr>
      <w:rFonts w:ascii="Times New Roman" w:eastAsia="Times New Roman" w:hAnsi="Times New Roman" w:cs="Times New Roman"/>
      <w:noProof/>
      <w:sz w:val="24"/>
      <w:szCs w:val="24"/>
      <w:lang w:eastAsia="lt-LT"/>
    </w:rPr>
  </w:style>
  <w:style w:type="paragraph" w:styleId="Pagrindinistekstas2">
    <w:name w:val="Body Text 2"/>
    <w:basedOn w:val="prastasis"/>
    <w:link w:val="Pagrindinistekstas2Diagrama"/>
    <w:uiPriority w:val="99"/>
    <w:semiHidden/>
    <w:unhideWhenUsed/>
    <w:rsid w:val="00CA08B3"/>
    <w:pPr>
      <w:spacing w:line="360" w:lineRule="auto"/>
      <w:jc w:val="both"/>
    </w:pPr>
  </w:style>
  <w:style w:type="character" w:customStyle="1" w:styleId="Pagrindinistekstas2Diagrama">
    <w:name w:val="Pagrindinis tekstas 2 Diagrama"/>
    <w:basedOn w:val="Numatytasispastraiposriftas"/>
    <w:link w:val="Pagrindinistekstas2"/>
    <w:uiPriority w:val="99"/>
    <w:semiHidden/>
    <w:rsid w:val="00CA08B3"/>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CA08B3"/>
    <w:pPr>
      <w:tabs>
        <w:tab w:val="left" w:pos="540"/>
      </w:tabs>
      <w:ind w:left="540" w:hanging="540"/>
    </w:pPr>
    <w:rPr>
      <w:noProof/>
      <w:sz w:val="20"/>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CA08B3"/>
    <w:rPr>
      <w:rFonts w:ascii="Times New Roman" w:eastAsia="Times New Roman" w:hAnsi="Times New Roman" w:cs="Times New Roman"/>
      <w:noProof/>
      <w:sz w:val="20"/>
      <w:szCs w:val="20"/>
      <w:lang w:eastAsia="lt-LT"/>
    </w:rPr>
  </w:style>
  <w:style w:type="paragraph" w:styleId="Paprastasistekstas">
    <w:name w:val="Plain Text"/>
    <w:basedOn w:val="prastasis"/>
    <w:link w:val="PaprastasistekstasDiagrama"/>
    <w:uiPriority w:val="99"/>
    <w:semiHidden/>
    <w:unhideWhenUsed/>
    <w:rsid w:val="00CA08B3"/>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CA08B3"/>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A08B3"/>
    <w:rPr>
      <w:b/>
      <w:bCs/>
      <w:noProof w:val="0"/>
      <w:lang w:eastAsia="en-US"/>
    </w:rPr>
  </w:style>
  <w:style w:type="character" w:customStyle="1" w:styleId="KomentarotemaDiagrama">
    <w:name w:val="Komentaro tema Diagrama"/>
    <w:basedOn w:val="KomentarotekstasDiagrama"/>
    <w:link w:val="Komentarotema"/>
    <w:uiPriority w:val="99"/>
    <w:semiHidden/>
    <w:rsid w:val="00CA08B3"/>
    <w:rPr>
      <w:rFonts w:ascii="Times New Roman" w:eastAsia="Times New Roman" w:hAnsi="Times New Roman" w:cs="Times New Roman"/>
      <w:b/>
      <w:bCs/>
      <w:noProof/>
      <w:sz w:val="20"/>
      <w:szCs w:val="20"/>
      <w:lang w:eastAsia="lt-LT"/>
    </w:rPr>
  </w:style>
  <w:style w:type="paragraph" w:styleId="Debesliotekstas">
    <w:name w:val="Balloon Text"/>
    <w:basedOn w:val="prastasis"/>
    <w:link w:val="DebesliotekstasDiagrama"/>
    <w:uiPriority w:val="99"/>
    <w:semiHidden/>
    <w:unhideWhenUsed/>
    <w:rsid w:val="00CA08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08B3"/>
    <w:rPr>
      <w:rFonts w:ascii="Tahoma" w:eastAsia="Times New Roman" w:hAnsi="Tahoma" w:cs="Tahoma"/>
      <w:sz w:val="16"/>
      <w:szCs w:val="16"/>
    </w:rPr>
  </w:style>
  <w:style w:type="paragraph" w:styleId="Pataisymai">
    <w:name w:val="Revision"/>
    <w:uiPriority w:val="99"/>
    <w:semiHidden/>
    <w:rsid w:val="00CA08B3"/>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CA08B3"/>
    <w:pPr>
      <w:ind w:left="720"/>
      <w:contextualSpacing/>
    </w:pPr>
  </w:style>
  <w:style w:type="character" w:customStyle="1" w:styleId="BTEMEASMCAChar">
    <w:name w:val="BT EMEA_SMCA Char"/>
    <w:link w:val="BTEMEASMCA"/>
    <w:uiPriority w:val="99"/>
    <w:locked/>
    <w:rsid w:val="00CA08B3"/>
    <w:rPr>
      <w:rFonts w:ascii="Times New Roman" w:eastAsia="Calibri" w:hAnsi="Times New Roman" w:cs="Times New Roman"/>
      <w:noProof/>
      <w:sz w:val="20"/>
      <w:szCs w:val="20"/>
      <w:lang w:eastAsia="lt-LT"/>
    </w:rPr>
  </w:style>
  <w:style w:type="paragraph" w:customStyle="1" w:styleId="BTEMEASMCA">
    <w:name w:val="BT EMEA_SMCA"/>
    <w:basedOn w:val="prastasis"/>
    <w:link w:val="BTEMEASMCAChar"/>
    <w:autoRedefine/>
    <w:uiPriority w:val="99"/>
    <w:rsid w:val="00CA08B3"/>
    <w:rPr>
      <w:rFonts w:eastAsia="Calibri"/>
      <w:noProof/>
      <w:sz w:val="20"/>
      <w:szCs w:val="20"/>
      <w:lang w:eastAsia="lt-LT"/>
    </w:rPr>
  </w:style>
  <w:style w:type="character" w:customStyle="1" w:styleId="PI-1EMEASMCAChar">
    <w:name w:val="PI-1 EMEA_SMCA Char"/>
    <w:link w:val="PI-1EMEASMCA"/>
    <w:uiPriority w:val="99"/>
    <w:locked/>
    <w:rsid w:val="00CA08B3"/>
    <w:rPr>
      <w:rFonts w:ascii="Times New Roman" w:eastAsia="Calibri" w:hAnsi="Times New Roman" w:cs="Times New Roman"/>
      <w:b/>
      <w:sz w:val="20"/>
      <w:szCs w:val="20"/>
      <w:lang w:eastAsia="lt-LT"/>
    </w:rPr>
  </w:style>
  <w:style w:type="paragraph" w:customStyle="1" w:styleId="PI-1EMEASMCA">
    <w:name w:val="PI-1 EMEA_SMCA"/>
    <w:basedOn w:val="Antrat2"/>
    <w:link w:val="PI-1EMEASMCAChar"/>
    <w:autoRedefine/>
    <w:uiPriority w:val="99"/>
    <w:rsid w:val="00CA08B3"/>
    <w:pPr>
      <w:tabs>
        <w:tab w:val="left" w:pos="567"/>
      </w:tabs>
      <w:spacing w:before="0" w:after="0"/>
      <w:ind w:left="567" w:hanging="567"/>
    </w:pPr>
    <w:rPr>
      <w:rFonts w:ascii="Times New Roman" w:eastAsia="Calibri" w:hAnsi="Times New Roman" w:cs="Times New Roman"/>
      <w:bCs w:val="0"/>
      <w:i w:val="0"/>
      <w:iCs w:val="0"/>
      <w:sz w:val="20"/>
      <w:szCs w:val="20"/>
      <w:lang w:eastAsia="lt-LT"/>
    </w:rPr>
  </w:style>
  <w:style w:type="paragraph" w:customStyle="1" w:styleId="PI-2EMEASMCA">
    <w:name w:val="PI-2 EMEA_SMCA"/>
    <w:basedOn w:val="Antrat3"/>
    <w:autoRedefine/>
    <w:uiPriority w:val="99"/>
    <w:rsid w:val="00CA08B3"/>
    <w:pPr>
      <w:keepLines/>
      <w:tabs>
        <w:tab w:val="left" w:pos="567"/>
      </w:tabs>
      <w:spacing w:line="240" w:lineRule="auto"/>
      <w:ind w:left="567" w:hanging="567"/>
      <w:jc w:val="left"/>
    </w:pPr>
    <w:rPr>
      <w:b/>
      <w:i w:val="0"/>
      <w:iCs w:val="0"/>
      <w:kern w:val="28"/>
      <w:sz w:val="22"/>
      <w:szCs w:val="22"/>
    </w:rPr>
  </w:style>
  <w:style w:type="paragraph" w:customStyle="1" w:styleId="BTbEMEASMCA">
    <w:name w:val="BT(b) EMEA_SMCA"/>
    <w:basedOn w:val="BTEMEASMCA"/>
    <w:autoRedefine/>
    <w:uiPriority w:val="99"/>
    <w:rsid w:val="00CA08B3"/>
    <w:rPr>
      <w:b/>
    </w:rPr>
  </w:style>
  <w:style w:type="paragraph" w:customStyle="1" w:styleId="PI-3EMEASMCA">
    <w:name w:val="PI-3 EMEA_SMCA"/>
    <w:basedOn w:val="prastasis"/>
    <w:autoRedefine/>
    <w:uiPriority w:val="99"/>
    <w:rsid w:val="00CA08B3"/>
    <w:pPr>
      <w:spacing w:line="220" w:lineRule="exact"/>
    </w:pPr>
    <w:rPr>
      <w:b/>
      <w:bCs/>
      <w:sz w:val="22"/>
      <w:szCs w:val="22"/>
    </w:rPr>
  </w:style>
  <w:style w:type="paragraph" w:customStyle="1" w:styleId="Default">
    <w:name w:val="Default"/>
    <w:rsid w:val="00CA08B3"/>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autoRedefine/>
    <w:uiPriority w:val="99"/>
    <w:rsid w:val="00CA08B3"/>
    <w:pPr>
      <w:tabs>
        <w:tab w:val="num" w:pos="720"/>
      </w:tabs>
      <w:ind w:left="720" w:hanging="363"/>
    </w:pPr>
    <w:rPr>
      <w:noProof/>
      <w:sz w:val="22"/>
      <w:szCs w:val="22"/>
    </w:rPr>
  </w:style>
  <w:style w:type="character" w:customStyle="1" w:styleId="PI-1labEMEASMCAChar">
    <w:name w:val="PI-1_lab EMEA_SMCA Char"/>
    <w:link w:val="PI-1labEMEASMCA"/>
    <w:uiPriority w:val="99"/>
    <w:locked/>
    <w:rsid w:val="00CA08B3"/>
    <w:rPr>
      <w:rFonts w:ascii="Times New Roman" w:eastAsia="Calibri" w:hAnsi="Times New Roman" w:cs="Times New Roman"/>
      <w:b/>
      <w:noProof/>
      <w:sz w:val="20"/>
      <w:szCs w:val="20"/>
      <w:lang w:eastAsia="lt-LT"/>
    </w:rPr>
  </w:style>
  <w:style w:type="paragraph" w:customStyle="1" w:styleId="PI-1labEMEASMCA">
    <w:name w:val="PI-1_lab EMEA_SMCA"/>
    <w:basedOn w:val="prastasis"/>
    <w:link w:val="PI-1labEMEASMCAChar"/>
    <w:autoRedefine/>
    <w:uiPriority w:val="99"/>
    <w:rsid w:val="00CA08B3"/>
    <w:pPr>
      <w:pBdr>
        <w:top w:val="single" w:sz="4" w:space="1" w:color="auto"/>
        <w:left w:val="single" w:sz="4" w:space="4" w:color="auto"/>
        <w:bottom w:val="single" w:sz="4" w:space="1" w:color="auto"/>
        <w:right w:val="single" w:sz="4" w:space="4" w:color="auto"/>
      </w:pBdr>
      <w:tabs>
        <w:tab w:val="left" w:pos="540"/>
      </w:tabs>
    </w:pPr>
    <w:rPr>
      <w:rFonts w:eastAsia="Calibri"/>
      <w:b/>
      <w:noProof/>
      <w:sz w:val="20"/>
      <w:szCs w:val="20"/>
      <w:lang w:eastAsia="lt-LT"/>
    </w:rPr>
  </w:style>
  <w:style w:type="character" w:customStyle="1" w:styleId="TTEMEASMCAChar">
    <w:name w:val="TT EMEA_SMCA Char"/>
    <w:link w:val="TTEMEASMCA"/>
    <w:uiPriority w:val="99"/>
    <w:locked/>
    <w:rsid w:val="00CA08B3"/>
    <w:rPr>
      <w:rFonts w:ascii="Times New Roman" w:eastAsia="Calibri" w:hAnsi="Times New Roman" w:cs="Times New Roman"/>
      <w:b/>
      <w:bCs/>
      <w:caps/>
      <w:sz w:val="20"/>
      <w:szCs w:val="20"/>
      <w:lang w:eastAsia="lt-LT"/>
    </w:rPr>
  </w:style>
  <w:style w:type="paragraph" w:customStyle="1" w:styleId="TTEMEASMCA">
    <w:name w:val="TT EMEA_SMCA"/>
    <w:basedOn w:val="Antrat1"/>
    <w:link w:val="TTEMEASMCAChar"/>
    <w:autoRedefine/>
    <w:uiPriority w:val="99"/>
    <w:rsid w:val="00CA08B3"/>
    <w:pPr>
      <w:keepNext w:val="0"/>
      <w:tabs>
        <w:tab w:val="clear" w:pos="540"/>
        <w:tab w:val="left" w:pos="567"/>
      </w:tabs>
      <w:ind w:left="567" w:hanging="567"/>
      <w:jc w:val="center"/>
    </w:pPr>
    <w:rPr>
      <w:bCs/>
      <w:caps/>
    </w:rPr>
  </w:style>
  <w:style w:type="paragraph" w:customStyle="1" w:styleId="BTAnIIEMEASMCA">
    <w:name w:val="BT(AnII) EMEA_SMCA"/>
    <w:basedOn w:val="Debesliotekstas"/>
    <w:autoRedefine/>
    <w:uiPriority w:val="99"/>
    <w:rsid w:val="00CA08B3"/>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uiPriority w:val="99"/>
    <w:rsid w:val="00CA08B3"/>
    <w:pPr>
      <w:jc w:val="center"/>
    </w:pPr>
    <w:rPr>
      <w:b/>
    </w:rPr>
  </w:style>
  <w:style w:type="paragraph" w:customStyle="1" w:styleId="BTeEMEASMCA">
    <w:name w:val="BT(e) EMEA_SMCA"/>
    <w:basedOn w:val="BTEMEASMCA"/>
    <w:autoRedefine/>
    <w:uiPriority w:val="99"/>
    <w:rsid w:val="00CA08B3"/>
    <w:pPr>
      <w:jc w:val="center"/>
    </w:pPr>
  </w:style>
  <w:style w:type="character" w:customStyle="1" w:styleId="BTgEMEASMCAChar">
    <w:name w:val="BT(g) EMEA_SMCA Char"/>
    <w:link w:val="BTgEMEASMCA"/>
    <w:uiPriority w:val="99"/>
    <w:locked/>
    <w:rsid w:val="00CA08B3"/>
    <w:rPr>
      <w:rFonts w:ascii="Times New Roman" w:eastAsia="Calibri" w:hAnsi="Times New Roman" w:cs="Times New Roman"/>
      <w:i/>
      <w:noProof/>
      <w:color w:val="008000"/>
      <w:sz w:val="20"/>
      <w:szCs w:val="20"/>
      <w:lang w:eastAsia="lt-LT"/>
    </w:rPr>
  </w:style>
  <w:style w:type="paragraph" w:customStyle="1" w:styleId="BTgEMEASMCA">
    <w:name w:val="BT(g) EMEA_SMCA"/>
    <w:basedOn w:val="BTEMEASMCA"/>
    <w:link w:val="BTgEMEASMCAChar"/>
    <w:autoRedefine/>
    <w:uiPriority w:val="99"/>
    <w:rsid w:val="00CA08B3"/>
    <w:rPr>
      <w:i/>
      <w:color w:val="008000"/>
    </w:rPr>
  </w:style>
  <w:style w:type="paragraph" w:customStyle="1" w:styleId="BTuEMEASMCA">
    <w:name w:val="BT(u) EMEA_SMCA"/>
    <w:basedOn w:val="BTEMEASMCA"/>
    <w:autoRedefine/>
    <w:uiPriority w:val="99"/>
    <w:rsid w:val="00CA08B3"/>
    <w:rPr>
      <w:u w:val="single"/>
    </w:rPr>
  </w:style>
  <w:style w:type="paragraph" w:customStyle="1" w:styleId="mdTblEntryMod">
    <w:name w:val="md_Tbl Entry/Mod"/>
    <w:basedOn w:val="prastasis"/>
    <w:uiPriority w:val="99"/>
    <w:rsid w:val="00CA08B3"/>
    <w:pPr>
      <w:keepNext/>
      <w:keepLines/>
      <w:spacing w:line="259" w:lineRule="atLeast"/>
    </w:pPr>
    <w:rPr>
      <w:sz w:val="20"/>
      <w:szCs w:val="20"/>
      <w:lang w:val="en-US"/>
    </w:rPr>
  </w:style>
  <w:style w:type="paragraph" w:customStyle="1" w:styleId="Cmsor">
    <w:name w:val="Címsor"/>
    <w:basedOn w:val="prastasis"/>
    <w:next w:val="Pagrindinistekstas"/>
    <w:uiPriority w:val="99"/>
    <w:rsid w:val="00CA08B3"/>
    <w:pPr>
      <w:keepNext/>
      <w:suppressAutoHyphens/>
      <w:spacing w:before="240" w:after="120"/>
    </w:pPr>
    <w:rPr>
      <w:rFonts w:ascii="Albany" w:hAnsi="Albany" w:cs="Albany"/>
      <w:noProof/>
      <w:color w:val="000000"/>
      <w:sz w:val="28"/>
      <w:szCs w:val="28"/>
      <w:lang w:val="hu-HU" w:eastAsia="lt-LT"/>
    </w:rPr>
  </w:style>
  <w:style w:type="paragraph" w:customStyle="1" w:styleId="knZulassung02">
    <w:name w:val="knZulassung02"/>
    <w:basedOn w:val="prastasis"/>
    <w:uiPriority w:val="99"/>
    <w:rsid w:val="00CA08B3"/>
    <w:pPr>
      <w:spacing w:after="240"/>
      <w:ind w:left="1843" w:right="284"/>
      <w:jc w:val="both"/>
    </w:pPr>
    <w:rPr>
      <w:rFonts w:ascii="Arial" w:hAnsi="Arial"/>
      <w:szCs w:val="20"/>
      <w:lang w:val="de-DE" w:eastAsia="de-DE"/>
    </w:rPr>
  </w:style>
  <w:style w:type="paragraph" w:customStyle="1" w:styleId="Agendaindenteda">
    <w:name w:val="Agenda indented a)"/>
    <w:basedOn w:val="prastasis"/>
    <w:uiPriority w:val="99"/>
    <w:rsid w:val="00CA08B3"/>
    <w:pPr>
      <w:tabs>
        <w:tab w:val="num" w:pos="2160"/>
      </w:tabs>
      <w:ind w:left="2160" w:hanging="360"/>
    </w:pPr>
    <w:rPr>
      <w:sz w:val="20"/>
      <w:szCs w:val="20"/>
      <w:lang w:val="en-GB"/>
    </w:rPr>
  </w:style>
  <w:style w:type="paragraph" w:customStyle="1" w:styleId="Char">
    <w:name w:val="Char"/>
    <w:basedOn w:val="prastasis"/>
    <w:uiPriority w:val="99"/>
    <w:rsid w:val="00CA08B3"/>
    <w:pPr>
      <w:numPr>
        <w:numId w:val="1"/>
      </w:numPr>
      <w:spacing w:after="160" w:line="240" w:lineRule="exact"/>
    </w:pPr>
    <w:rPr>
      <w:rFonts w:ascii="Verdana" w:hAnsi="Verdana" w:cs="Verdana"/>
      <w:sz w:val="20"/>
      <w:szCs w:val="20"/>
      <w:lang w:val="en-GB"/>
    </w:rPr>
  </w:style>
  <w:style w:type="paragraph" w:customStyle="1" w:styleId="TOCHeading1">
    <w:name w:val="TOC Heading1"/>
    <w:basedOn w:val="prastasis"/>
    <w:uiPriority w:val="99"/>
    <w:rsid w:val="00CA08B3"/>
    <w:pPr>
      <w:tabs>
        <w:tab w:val="left" w:pos="7649"/>
        <w:tab w:val="left" w:pos="7920"/>
      </w:tabs>
      <w:spacing w:after="240" w:line="359" w:lineRule="atLeast"/>
    </w:pPr>
    <w:rPr>
      <w:rFonts w:ascii="Times" w:hAnsi="Times"/>
      <w:b/>
      <w:sz w:val="22"/>
      <w:szCs w:val="20"/>
      <w:lang w:val="en-US"/>
    </w:rPr>
  </w:style>
  <w:style w:type="paragraph" w:customStyle="1" w:styleId="mdTblEntryC">
    <w:name w:val="md_Tbl Entry/C"/>
    <w:basedOn w:val="prastasis"/>
    <w:uiPriority w:val="99"/>
    <w:rsid w:val="00CA08B3"/>
    <w:pPr>
      <w:keepNext/>
      <w:keepLines/>
      <w:spacing w:line="259" w:lineRule="atLeast"/>
      <w:jc w:val="center"/>
    </w:pPr>
    <w:rPr>
      <w:sz w:val="20"/>
      <w:szCs w:val="20"/>
      <w:lang w:val="en-US"/>
    </w:rPr>
  </w:style>
  <w:style w:type="paragraph" w:customStyle="1" w:styleId="FigFootnote">
    <w:name w:val="Fig Footnote"/>
    <w:basedOn w:val="prastasis"/>
    <w:next w:val="prastasis"/>
    <w:uiPriority w:val="99"/>
    <w:rsid w:val="00CA08B3"/>
    <w:pPr>
      <w:keepNext/>
      <w:keepLines/>
      <w:spacing w:line="259" w:lineRule="atLeast"/>
      <w:ind w:left="2304"/>
    </w:pPr>
    <w:rPr>
      <w:sz w:val="20"/>
      <w:szCs w:val="20"/>
      <w:lang w:val="en-US"/>
    </w:rPr>
  </w:style>
  <w:style w:type="paragraph" w:customStyle="1" w:styleId="msolistparagraph0">
    <w:name w:val="msolistparagraph"/>
    <w:basedOn w:val="prastasis"/>
    <w:uiPriority w:val="99"/>
    <w:rsid w:val="00CA08B3"/>
    <w:pPr>
      <w:ind w:left="720"/>
    </w:pPr>
    <w:rPr>
      <w:rFonts w:ascii="Calibri" w:hAnsi="Calibri"/>
      <w:sz w:val="22"/>
      <w:szCs w:val="22"/>
      <w:lang w:val="en-US"/>
    </w:rPr>
  </w:style>
  <w:style w:type="paragraph" w:customStyle="1" w:styleId="CM6">
    <w:name w:val="CM6"/>
    <w:basedOn w:val="prastasis"/>
    <w:next w:val="prastasis"/>
    <w:uiPriority w:val="99"/>
    <w:rsid w:val="00CA08B3"/>
    <w:pPr>
      <w:widowControl w:val="0"/>
      <w:autoSpaceDE w:val="0"/>
      <w:autoSpaceDN w:val="0"/>
      <w:adjustRightInd w:val="0"/>
      <w:spacing w:line="253" w:lineRule="atLeast"/>
    </w:pPr>
    <w:rPr>
      <w:lang w:val="de-DE" w:eastAsia="de-DE"/>
    </w:rPr>
  </w:style>
  <w:style w:type="paragraph" w:customStyle="1" w:styleId="TextTi10">
    <w:name w:val="Text:Ti10"/>
    <w:basedOn w:val="prastasis"/>
    <w:uiPriority w:val="99"/>
    <w:rsid w:val="00CA08B3"/>
    <w:rPr>
      <w:sz w:val="22"/>
      <w:szCs w:val="20"/>
      <w:lang w:val="en-US"/>
    </w:rPr>
  </w:style>
  <w:style w:type="paragraph" w:customStyle="1" w:styleId="StyleTextTi12AsianMSMincho9ptBold">
    <w:name w:val="Style Text:Ti12 + (Asian) MS Mincho 9 pt Bold"/>
    <w:basedOn w:val="prastasis"/>
    <w:uiPriority w:val="99"/>
    <w:rsid w:val="00CA08B3"/>
    <w:pPr>
      <w:spacing w:line="280" w:lineRule="atLeast"/>
    </w:pPr>
    <w:rPr>
      <w:rFonts w:eastAsia="MS Mincho"/>
      <w:b/>
      <w:bCs/>
      <w:sz w:val="18"/>
      <w:lang w:val="en-US" w:eastAsia="de-DE"/>
    </w:rPr>
  </w:style>
  <w:style w:type="paragraph" w:customStyle="1" w:styleId="Annex">
    <w:name w:val="Annex"/>
    <w:basedOn w:val="prastasis"/>
    <w:next w:val="prastasis"/>
    <w:uiPriority w:val="99"/>
    <w:rsid w:val="00CA08B3"/>
    <w:pPr>
      <w:jc w:val="center"/>
    </w:pPr>
    <w:rPr>
      <w:b/>
      <w:sz w:val="22"/>
      <w:szCs w:val="20"/>
      <w:lang w:val="en-US" w:eastAsia="ja-JP"/>
    </w:rPr>
  </w:style>
  <w:style w:type="paragraph" w:customStyle="1" w:styleId="Description">
    <w:name w:val="Description"/>
    <w:basedOn w:val="prastasis"/>
    <w:next w:val="prastasis"/>
    <w:uiPriority w:val="99"/>
    <w:rsid w:val="00CA08B3"/>
    <w:rPr>
      <w:sz w:val="22"/>
      <w:szCs w:val="20"/>
      <w:lang w:val="en-US" w:eastAsia="ja-JP"/>
    </w:rPr>
  </w:style>
  <w:style w:type="character" w:customStyle="1" w:styleId="BodytextAgencyChar">
    <w:name w:val="Body text (Agency) Char"/>
    <w:link w:val="BodytextAgency"/>
    <w:uiPriority w:val="99"/>
    <w:locked/>
    <w:rsid w:val="00CA08B3"/>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CA08B3"/>
    <w:pPr>
      <w:snapToGrid w:val="0"/>
      <w:spacing w:after="140" w:line="280" w:lineRule="atLeast"/>
    </w:pPr>
    <w:rPr>
      <w:rFonts w:ascii="Verdana" w:hAnsi="Verdana"/>
      <w:sz w:val="18"/>
      <w:szCs w:val="20"/>
      <w:lang w:val="en-GB" w:eastAsia="x-none"/>
    </w:rPr>
  </w:style>
  <w:style w:type="character" w:styleId="Komentaronuoroda">
    <w:name w:val="annotation reference"/>
    <w:uiPriority w:val="99"/>
    <w:semiHidden/>
    <w:unhideWhenUsed/>
    <w:rsid w:val="00CA08B3"/>
    <w:rPr>
      <w:rFonts w:ascii="Times New Roman" w:hAnsi="Times New Roman" w:cs="Times New Roman" w:hint="default"/>
      <w:sz w:val="16"/>
    </w:rPr>
  </w:style>
  <w:style w:type="character" w:styleId="Puslapionumeris">
    <w:name w:val="page number"/>
    <w:uiPriority w:val="99"/>
    <w:unhideWhenUsed/>
    <w:rsid w:val="00CA08B3"/>
    <w:rPr>
      <w:rFonts w:ascii="Times New Roman" w:hAnsi="Times New Roman" w:cs="Times New Roman" w:hint="default"/>
    </w:rPr>
  </w:style>
  <w:style w:type="character" w:customStyle="1" w:styleId="Antrat1Diagrama">
    <w:name w:val="Antraštė 1 Diagrama"/>
    <w:link w:val="Antrat1"/>
    <w:uiPriority w:val="99"/>
    <w:locked/>
    <w:rsid w:val="00CA08B3"/>
    <w:rPr>
      <w:rFonts w:ascii="Times New Roman" w:eastAsia="Calibri" w:hAnsi="Times New Roman" w:cs="Times New Roman"/>
      <w:b/>
      <w:sz w:val="20"/>
      <w:szCs w:val="20"/>
      <w:lang w:eastAsia="lt-LT"/>
    </w:rPr>
  </w:style>
  <w:style w:type="character" w:customStyle="1" w:styleId="PavadinimasDiagrama">
    <w:name w:val="Pavadinimas Diagrama"/>
    <w:link w:val="Pavadinimas"/>
    <w:uiPriority w:val="99"/>
    <w:locked/>
    <w:rsid w:val="00CA08B3"/>
    <w:rPr>
      <w:rFonts w:ascii="Times New Roman" w:eastAsia="SimSun" w:hAnsi="Times New Roman" w:cs="Times New Roman"/>
      <w:b/>
      <w:sz w:val="20"/>
      <w:szCs w:val="20"/>
      <w:lang w:val="en-GB" w:eastAsia="lt-LT"/>
    </w:rPr>
  </w:style>
  <w:style w:type="character" w:customStyle="1" w:styleId="PoratDiagrama">
    <w:name w:val="Poraštė Diagrama"/>
    <w:link w:val="Porat"/>
    <w:uiPriority w:val="99"/>
    <w:semiHidden/>
    <w:locked/>
    <w:rsid w:val="00CA08B3"/>
    <w:rPr>
      <w:rFonts w:ascii="Times New Roman" w:eastAsia="Calibri" w:hAnsi="Times New Roman" w:cs="Times New Roman"/>
      <w:noProof/>
      <w:sz w:val="24"/>
      <w:szCs w:val="20"/>
      <w:lang w:eastAsia="lt-LT"/>
    </w:rPr>
  </w:style>
  <w:style w:type="character" w:customStyle="1" w:styleId="CharChar5">
    <w:name w:val="Char Char5"/>
    <w:uiPriority w:val="99"/>
    <w:locked/>
    <w:rsid w:val="00CA08B3"/>
    <w:rPr>
      <w:rFonts w:ascii="Times New Roman" w:hAnsi="Times New Roman" w:cs="Times New Roman" w:hint="default"/>
      <w:b/>
      <w:bCs w:val="0"/>
      <w:kern w:val="28"/>
      <w:lang w:eastAsia="lt-LT"/>
    </w:rPr>
  </w:style>
  <w:style w:type="character" w:customStyle="1" w:styleId="CharChar12">
    <w:name w:val="Char Char12"/>
    <w:uiPriority w:val="99"/>
    <w:locked/>
    <w:rsid w:val="00CA08B3"/>
    <w:rPr>
      <w:rFonts w:ascii="Times New Roman" w:hAnsi="Times New Roman" w:cs="Times New Roman" w:hint="default"/>
      <w:b/>
      <w:bCs w:val="0"/>
      <w:lang w:val="lt-LT" w:eastAsia="lt-LT"/>
    </w:rPr>
  </w:style>
  <w:style w:type="character" w:customStyle="1" w:styleId="CharChar14">
    <w:name w:val="Char Char14"/>
    <w:uiPriority w:val="99"/>
    <w:locked/>
    <w:rsid w:val="00CA08B3"/>
    <w:rPr>
      <w:b/>
      <w:bCs w:val="0"/>
      <w:lang w:val="lt-LT" w:eastAsia="lt-LT"/>
    </w:rPr>
  </w:style>
  <w:style w:type="character" w:customStyle="1" w:styleId="CharChar13">
    <w:name w:val="Char Char13"/>
    <w:uiPriority w:val="99"/>
    <w:locked/>
    <w:rsid w:val="00CA08B3"/>
    <w:rPr>
      <w:b/>
      <w:bCs w:val="0"/>
      <w:lang w:val="lt-LT" w:eastAsia="lt-LT"/>
    </w:rPr>
  </w:style>
  <w:style w:type="character" w:customStyle="1" w:styleId="CharChar17">
    <w:name w:val="Char Char17"/>
    <w:uiPriority w:val="99"/>
    <w:locked/>
    <w:rsid w:val="00CA08B3"/>
    <w:rPr>
      <w:rFonts w:ascii="Cambria" w:hAnsi="Cambria" w:hint="default"/>
      <w:b/>
      <w:bCs w:val="0"/>
      <w:kern w:val="32"/>
      <w:sz w:val="32"/>
      <w:lang w:eastAsia="en-US"/>
    </w:rPr>
  </w:style>
  <w:style w:type="character" w:customStyle="1" w:styleId="ltcm">
    <w:name w:val="ltcm"/>
    <w:uiPriority w:val="99"/>
    <w:rsid w:val="00CA08B3"/>
    <w:rPr>
      <w:rFonts w:ascii="Aistika" w:hAnsi="Aistika" w:cs="Times New Roman" w:hint="default"/>
      <w:i/>
      <w:iCs/>
      <w:color w:val="808080"/>
    </w:rPr>
  </w:style>
  <w:style w:type="table" w:styleId="Lentelstinklelis">
    <w:name w:val="Table Grid"/>
    <w:basedOn w:val="prastojilentel"/>
    <w:uiPriority w:val="99"/>
    <w:rsid w:val="00CA08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4111D"/>
    <w:pPr>
      <w:spacing w:after="0" w:line="240" w:lineRule="auto"/>
    </w:pPr>
    <w:rPr>
      <w:rFonts w:ascii="Times New Roman" w:eastAsia="Times New Roman" w:hAnsi="Times New Roman" w:cs="Times New Roman"/>
      <w:sz w:val="24"/>
      <w:szCs w:val="24"/>
    </w:rPr>
  </w:style>
  <w:style w:type="character" w:customStyle="1" w:styleId="shorttext">
    <w:name w:val="short_text"/>
    <w:basedOn w:val="Numatytasispastraiposriftas"/>
    <w:rsid w:val="009E54FC"/>
  </w:style>
  <w:style w:type="numbering" w:customStyle="1" w:styleId="NoList1">
    <w:name w:val="No List1"/>
    <w:next w:val="Sraonra"/>
    <w:uiPriority w:val="99"/>
    <w:semiHidden/>
    <w:unhideWhenUsed/>
    <w:rsid w:val="00EF20DC"/>
  </w:style>
  <w:style w:type="paragraph" w:customStyle="1" w:styleId="EMEAEnBodyText">
    <w:name w:val="EMEA En Body Text"/>
    <w:basedOn w:val="prastasis"/>
    <w:rsid w:val="00EF20DC"/>
    <w:pPr>
      <w:spacing w:before="120" w:after="120"/>
      <w:jc w:val="both"/>
    </w:pPr>
    <w:rPr>
      <w:sz w:val="22"/>
      <w:szCs w:val="20"/>
      <w:lang w:val="en-US"/>
    </w:rPr>
  </w:style>
  <w:style w:type="table" w:customStyle="1" w:styleId="TableGrid1">
    <w:name w:val="Table Grid1"/>
    <w:basedOn w:val="prastojilentel"/>
    <w:next w:val="Lentelstinklelis"/>
    <w:uiPriority w:val="59"/>
    <w:rsid w:val="00EF20DC"/>
    <w:pPr>
      <w:spacing w:after="0" w:line="240" w:lineRule="auto"/>
    </w:pPr>
    <w:rPr>
      <w:rFonts w:ascii="Calibri" w:eastAsia="Calibri" w:hAnsi="Calibri" w:cs="Times New Roman"/>
      <w:sz w:val="20"/>
      <w:szCs w:val="20"/>
      <w:lang w:val="is-I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2">
    <w:name w:val="Cover2"/>
    <w:basedOn w:val="prastasis"/>
    <w:rsid w:val="00EF20DC"/>
    <w:pPr>
      <w:tabs>
        <w:tab w:val="left" w:pos="1134"/>
      </w:tabs>
      <w:spacing w:before="60" w:after="60"/>
      <w:contextualSpacing/>
    </w:pPr>
    <w:rPr>
      <w:sz w:val="22"/>
      <w:szCs w:val="20"/>
      <w:lang w:val="en-GB"/>
    </w:rPr>
  </w:style>
  <w:style w:type="character" w:customStyle="1" w:styleId="hgkelc">
    <w:name w:val="hgkelc"/>
    <w:basedOn w:val="Numatytasispastraiposriftas"/>
    <w:rsid w:val="00582784"/>
  </w:style>
  <w:style w:type="character" w:customStyle="1" w:styleId="resultoftext">
    <w:name w:val="resultoftext"/>
    <w:basedOn w:val="Numatytasispastraiposriftas"/>
    <w:rsid w:val="00A56C33"/>
  </w:style>
  <w:style w:type="character" w:customStyle="1" w:styleId="acopre">
    <w:name w:val="acopre"/>
    <w:basedOn w:val="Numatytasispastraiposriftas"/>
    <w:rsid w:val="00F665DE"/>
  </w:style>
  <w:style w:type="character" w:customStyle="1" w:styleId="tw4winMark">
    <w:name w:val="tw4winMark"/>
    <w:rsid w:val="00E57A87"/>
    <w:rPr>
      <w:rFonts w:ascii="Courier New" w:hAnsi="Courier New" w:cs="Courier New"/>
      <w:vanish/>
      <w:color w:val="800080"/>
      <w:vertAlign w:val="subscript"/>
    </w:rPr>
  </w:style>
  <w:style w:type="character" w:customStyle="1" w:styleId="fontstyle01">
    <w:name w:val="fontstyle01"/>
    <w:basedOn w:val="Numatytasispastraiposriftas"/>
    <w:rsid w:val="0045758D"/>
    <w:rPr>
      <w:rFonts w:ascii="TimesNewRomanPSMT" w:hAnsi="TimesNewRomanPSMT" w:hint="default"/>
      <w:b w:val="0"/>
      <w:bCs w:val="0"/>
      <w:i w:val="0"/>
      <w:iCs w:val="0"/>
      <w:color w:val="000000"/>
      <w:sz w:val="22"/>
      <w:szCs w:val="22"/>
    </w:rPr>
  </w:style>
  <w:style w:type="character" w:customStyle="1" w:styleId="fontstyle21">
    <w:name w:val="fontstyle21"/>
    <w:basedOn w:val="Numatytasispastraiposriftas"/>
    <w:rsid w:val="00802AD0"/>
    <w:rPr>
      <w:rFonts w:ascii="TimesNewRomanPS-ItalicMT" w:hAnsi="TimesNewRomanPS-ItalicMT" w:hint="default"/>
      <w:b w:val="0"/>
      <w:bCs w:val="0"/>
      <w:i/>
      <w:iCs/>
      <w:color w:val="000000"/>
      <w:sz w:val="22"/>
      <w:szCs w:val="22"/>
    </w:rPr>
  </w:style>
  <w:style w:type="character" w:customStyle="1" w:styleId="UnresolvedMention">
    <w:name w:val="Unresolved Mention"/>
    <w:basedOn w:val="Numatytasispastraiposriftas"/>
    <w:uiPriority w:val="99"/>
    <w:semiHidden/>
    <w:unhideWhenUsed/>
    <w:rsid w:val="00701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53707">
      <w:bodyDiv w:val="1"/>
      <w:marLeft w:val="0"/>
      <w:marRight w:val="0"/>
      <w:marTop w:val="0"/>
      <w:marBottom w:val="0"/>
      <w:divBdr>
        <w:top w:val="none" w:sz="0" w:space="0" w:color="auto"/>
        <w:left w:val="none" w:sz="0" w:space="0" w:color="auto"/>
        <w:bottom w:val="none" w:sz="0" w:space="0" w:color="auto"/>
        <w:right w:val="none" w:sz="0" w:space="0" w:color="auto"/>
      </w:divBdr>
      <w:divsChild>
        <w:div w:id="425227083">
          <w:marLeft w:val="0"/>
          <w:marRight w:val="0"/>
          <w:marTop w:val="0"/>
          <w:marBottom w:val="0"/>
          <w:divBdr>
            <w:top w:val="none" w:sz="0" w:space="0" w:color="auto"/>
            <w:left w:val="none" w:sz="0" w:space="0" w:color="auto"/>
            <w:bottom w:val="none" w:sz="0" w:space="0" w:color="auto"/>
            <w:right w:val="none" w:sz="0" w:space="0" w:color="auto"/>
          </w:divBdr>
          <w:divsChild>
            <w:div w:id="77606459">
              <w:marLeft w:val="0"/>
              <w:marRight w:val="0"/>
              <w:marTop w:val="0"/>
              <w:marBottom w:val="0"/>
              <w:divBdr>
                <w:top w:val="none" w:sz="0" w:space="0" w:color="auto"/>
                <w:left w:val="none" w:sz="0" w:space="0" w:color="auto"/>
                <w:bottom w:val="none" w:sz="0" w:space="0" w:color="auto"/>
                <w:right w:val="none" w:sz="0" w:space="0" w:color="auto"/>
              </w:divBdr>
            </w:div>
          </w:divsChild>
        </w:div>
        <w:div w:id="782649820">
          <w:marLeft w:val="0"/>
          <w:marRight w:val="0"/>
          <w:marTop w:val="0"/>
          <w:marBottom w:val="0"/>
          <w:divBdr>
            <w:top w:val="none" w:sz="0" w:space="0" w:color="auto"/>
            <w:left w:val="none" w:sz="0" w:space="0" w:color="auto"/>
            <w:bottom w:val="none" w:sz="0" w:space="0" w:color="auto"/>
            <w:right w:val="none" w:sz="0" w:space="0" w:color="auto"/>
          </w:divBdr>
          <w:divsChild>
            <w:div w:id="1164970980">
              <w:marLeft w:val="0"/>
              <w:marRight w:val="0"/>
              <w:marTop w:val="0"/>
              <w:marBottom w:val="0"/>
              <w:divBdr>
                <w:top w:val="none" w:sz="0" w:space="0" w:color="auto"/>
                <w:left w:val="none" w:sz="0" w:space="0" w:color="auto"/>
                <w:bottom w:val="none" w:sz="0" w:space="0" w:color="auto"/>
                <w:right w:val="none" w:sz="0" w:space="0" w:color="auto"/>
              </w:divBdr>
              <w:divsChild>
                <w:div w:id="1063993150">
                  <w:marLeft w:val="0"/>
                  <w:marRight w:val="0"/>
                  <w:marTop w:val="0"/>
                  <w:marBottom w:val="0"/>
                  <w:divBdr>
                    <w:top w:val="none" w:sz="0" w:space="0" w:color="auto"/>
                    <w:left w:val="none" w:sz="0" w:space="0" w:color="auto"/>
                    <w:bottom w:val="none" w:sz="0" w:space="0" w:color="auto"/>
                    <w:right w:val="none" w:sz="0" w:space="0" w:color="auto"/>
                  </w:divBdr>
                  <w:divsChild>
                    <w:div w:id="7365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26573">
      <w:bodyDiv w:val="1"/>
      <w:marLeft w:val="0"/>
      <w:marRight w:val="0"/>
      <w:marTop w:val="0"/>
      <w:marBottom w:val="0"/>
      <w:divBdr>
        <w:top w:val="none" w:sz="0" w:space="0" w:color="auto"/>
        <w:left w:val="none" w:sz="0" w:space="0" w:color="auto"/>
        <w:bottom w:val="none" w:sz="0" w:space="0" w:color="auto"/>
        <w:right w:val="none" w:sz="0" w:space="0" w:color="auto"/>
      </w:divBdr>
    </w:div>
    <w:div w:id="738674415">
      <w:bodyDiv w:val="1"/>
      <w:marLeft w:val="0"/>
      <w:marRight w:val="0"/>
      <w:marTop w:val="0"/>
      <w:marBottom w:val="0"/>
      <w:divBdr>
        <w:top w:val="none" w:sz="0" w:space="0" w:color="auto"/>
        <w:left w:val="none" w:sz="0" w:space="0" w:color="auto"/>
        <w:bottom w:val="none" w:sz="0" w:space="0" w:color="auto"/>
        <w:right w:val="none" w:sz="0" w:space="0" w:color="auto"/>
      </w:divBdr>
    </w:div>
    <w:div w:id="173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2803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stybin&#27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E856D-32BF-4151-9BB0-F444517A396F}">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42</Pages>
  <Words>49903</Words>
  <Characters>28446</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78193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Slekiene, Svetlana</dc:creator>
  <cp:lastModifiedBy>Albina Burkauskaitė</cp:lastModifiedBy>
  <cp:revision>4</cp:revision>
  <dcterms:created xsi:type="dcterms:W3CDTF">2025-03-31T06:52:00Z</dcterms:created>
  <dcterms:modified xsi:type="dcterms:W3CDTF">2025-03-31T08:42:00Z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2021-02-12T08:03:00Z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6b712be6-8159-4dd3-a79c-972c08d6d440</vt:lpwstr>
  </property>
  <property fmtid="{D5CDD505-2E9C-101B-9397-08002B2CF9AE}" pid="8" name="MSIP_Label_4929bff8-5b33-42aa-95d2-28f72e792cb0_ContentBits">
    <vt:lpwstr>0</vt:lpwstr>
  </property>
</Properties>
</file>