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AC68" w14:textId="77777777" w:rsidR="006629FE" w:rsidRPr="00351C70" w:rsidRDefault="006629FE" w:rsidP="006629FE">
      <w:pPr>
        <w:tabs>
          <w:tab w:val="left" w:pos="567"/>
        </w:tabs>
        <w:ind w:left="567" w:hanging="567"/>
        <w:jc w:val="center"/>
        <w:outlineLvl w:val="0"/>
        <w:rPr>
          <w:b/>
          <w:caps/>
          <w:noProof/>
          <w:sz w:val="22"/>
          <w:szCs w:val="22"/>
        </w:rPr>
      </w:pPr>
      <w:r w:rsidRPr="00351C70">
        <w:rPr>
          <w:b/>
          <w:noProof/>
          <w:sz w:val="22"/>
          <w:szCs w:val="22"/>
        </w:rPr>
        <w:t>Pakuotės lapelis</w:t>
      </w:r>
      <w:r w:rsidRPr="00351C70">
        <w:rPr>
          <w:b/>
          <w:caps/>
          <w:noProof/>
          <w:sz w:val="22"/>
          <w:szCs w:val="22"/>
        </w:rPr>
        <w:t xml:space="preserve">: </w:t>
      </w:r>
      <w:r w:rsidRPr="00351C70">
        <w:rPr>
          <w:b/>
          <w:noProof/>
          <w:sz w:val="22"/>
          <w:szCs w:val="22"/>
        </w:rPr>
        <w:t>informacija vartotojui</w:t>
      </w:r>
    </w:p>
    <w:p w14:paraId="719EF535" w14:textId="77777777" w:rsidR="006629FE" w:rsidRPr="00351C70" w:rsidRDefault="006629FE" w:rsidP="006629FE">
      <w:pPr>
        <w:rPr>
          <w:noProof/>
          <w:sz w:val="22"/>
          <w:szCs w:val="22"/>
        </w:rPr>
      </w:pPr>
    </w:p>
    <w:p w14:paraId="454F74D4" w14:textId="37B0A0B0" w:rsidR="000A544E" w:rsidRPr="000A544E" w:rsidRDefault="000A544E" w:rsidP="000A544E">
      <w:pPr>
        <w:jc w:val="center"/>
        <w:rPr>
          <w:b/>
          <w:noProof/>
          <w:sz w:val="22"/>
          <w:szCs w:val="22"/>
        </w:rPr>
      </w:pPr>
      <w:r w:rsidRPr="000A544E">
        <w:rPr>
          <w:b/>
          <w:noProof/>
          <w:sz w:val="22"/>
          <w:szCs w:val="22"/>
        </w:rPr>
        <w:t>Loratadine Accord 10</w:t>
      </w:r>
      <w:r>
        <w:rPr>
          <w:b/>
          <w:noProof/>
          <w:sz w:val="22"/>
          <w:szCs w:val="22"/>
        </w:rPr>
        <w:t> </w:t>
      </w:r>
      <w:r w:rsidRPr="000A544E">
        <w:rPr>
          <w:b/>
          <w:noProof/>
          <w:sz w:val="22"/>
          <w:szCs w:val="22"/>
        </w:rPr>
        <w:t>mg tabletės</w:t>
      </w:r>
    </w:p>
    <w:p w14:paraId="1441D2E4" w14:textId="4C98D93D" w:rsidR="000A544E" w:rsidRPr="000A544E" w:rsidRDefault="000A544E" w:rsidP="000A544E">
      <w:pPr>
        <w:jc w:val="center"/>
        <w:rPr>
          <w:bCs/>
          <w:i/>
          <w:iCs/>
          <w:noProof/>
          <w:sz w:val="22"/>
          <w:szCs w:val="22"/>
        </w:rPr>
      </w:pPr>
      <w:r w:rsidRPr="000A544E">
        <w:rPr>
          <w:bCs/>
          <w:noProof/>
          <w:sz w:val="22"/>
          <w:szCs w:val="22"/>
        </w:rPr>
        <w:t>loratadinas</w:t>
      </w:r>
    </w:p>
    <w:p w14:paraId="5E1D78C3" w14:textId="77777777" w:rsidR="006629FE" w:rsidRPr="000A544E" w:rsidRDefault="006629FE" w:rsidP="006629FE">
      <w:pPr>
        <w:rPr>
          <w:bCs/>
          <w:noProof/>
          <w:sz w:val="22"/>
          <w:szCs w:val="22"/>
        </w:rPr>
      </w:pPr>
    </w:p>
    <w:p w14:paraId="2BAEB6F8" w14:textId="6BB3A097" w:rsidR="006629FE" w:rsidRPr="00351C70" w:rsidRDefault="006629FE" w:rsidP="006629FE">
      <w:pPr>
        <w:rPr>
          <w:b/>
          <w:noProof/>
          <w:sz w:val="22"/>
          <w:szCs w:val="22"/>
        </w:rPr>
      </w:pPr>
      <w:r w:rsidRPr="00351C70">
        <w:rPr>
          <w:b/>
          <w:noProof/>
          <w:sz w:val="22"/>
          <w:szCs w:val="22"/>
        </w:rPr>
        <w:t xml:space="preserve">Atidžiai perskaitykite visą šį lapelį, prieš pradėdami vartoti vaistą, nes jame </w:t>
      </w:r>
      <w:r w:rsidRPr="00351C70">
        <w:rPr>
          <w:b/>
          <w:bCs/>
          <w:noProof/>
          <w:sz w:val="22"/>
          <w:szCs w:val="22"/>
        </w:rPr>
        <w:t>pateikiama Jums svarbi informacija</w:t>
      </w:r>
      <w:r w:rsidRPr="00351C70">
        <w:rPr>
          <w:b/>
          <w:noProof/>
          <w:sz w:val="22"/>
          <w:szCs w:val="22"/>
        </w:rPr>
        <w:t>.</w:t>
      </w:r>
    </w:p>
    <w:p w14:paraId="68AE11AC" w14:textId="77777777" w:rsidR="006629FE" w:rsidRPr="00351C70" w:rsidRDefault="006629FE" w:rsidP="0011264C">
      <w:pPr>
        <w:pStyle w:val="Sraopastraipa"/>
        <w:numPr>
          <w:ilvl w:val="0"/>
          <w:numId w:val="13"/>
        </w:numPr>
        <w:tabs>
          <w:tab w:val="num" w:pos="540"/>
        </w:tabs>
        <w:ind w:left="567" w:hanging="567"/>
        <w:rPr>
          <w:noProof/>
          <w:sz w:val="22"/>
          <w:szCs w:val="22"/>
        </w:rPr>
      </w:pPr>
      <w:r w:rsidRPr="00351C70">
        <w:rPr>
          <w:noProof/>
          <w:sz w:val="22"/>
          <w:szCs w:val="22"/>
        </w:rPr>
        <w:t>Neišmeskite šio lapelio, nes vėl gali prireikti jį perskaityti.</w:t>
      </w:r>
    </w:p>
    <w:p w14:paraId="78E8DB8E" w14:textId="77777777" w:rsidR="006629FE" w:rsidRPr="00351C70" w:rsidRDefault="006629FE" w:rsidP="0011264C">
      <w:pPr>
        <w:pStyle w:val="Sraopastraipa"/>
        <w:numPr>
          <w:ilvl w:val="0"/>
          <w:numId w:val="13"/>
        </w:numPr>
        <w:tabs>
          <w:tab w:val="num" w:pos="540"/>
        </w:tabs>
        <w:ind w:left="567" w:hanging="567"/>
        <w:rPr>
          <w:noProof/>
          <w:sz w:val="22"/>
          <w:szCs w:val="22"/>
        </w:rPr>
      </w:pPr>
      <w:r w:rsidRPr="00351C70">
        <w:rPr>
          <w:noProof/>
          <w:sz w:val="22"/>
          <w:szCs w:val="22"/>
        </w:rPr>
        <w:t>Jeigu kiltų daugiau klausimų, kreipkitės į gydytoją arba vaistininką.</w:t>
      </w:r>
    </w:p>
    <w:p w14:paraId="183BE241" w14:textId="77777777" w:rsidR="006629FE" w:rsidRPr="00351C70" w:rsidRDefault="006629FE" w:rsidP="0011264C">
      <w:pPr>
        <w:pStyle w:val="Sraopastraipa"/>
        <w:numPr>
          <w:ilvl w:val="0"/>
          <w:numId w:val="13"/>
        </w:numPr>
        <w:tabs>
          <w:tab w:val="num" w:pos="540"/>
        </w:tabs>
        <w:ind w:left="567" w:hanging="567"/>
        <w:rPr>
          <w:noProof/>
          <w:sz w:val="22"/>
          <w:szCs w:val="22"/>
        </w:rPr>
      </w:pPr>
      <w:r w:rsidRPr="00351C70">
        <w:rPr>
          <w:noProof/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14:paraId="4C63A144" w14:textId="77777777" w:rsidR="006629FE" w:rsidRPr="00351C70" w:rsidRDefault="006629FE" w:rsidP="0011264C">
      <w:pPr>
        <w:pStyle w:val="Sraopastraipa"/>
        <w:numPr>
          <w:ilvl w:val="0"/>
          <w:numId w:val="13"/>
        </w:numPr>
        <w:tabs>
          <w:tab w:val="num" w:pos="540"/>
        </w:tabs>
        <w:ind w:left="567" w:hanging="567"/>
        <w:rPr>
          <w:noProof/>
          <w:sz w:val="22"/>
          <w:szCs w:val="22"/>
        </w:rPr>
      </w:pPr>
      <w:r w:rsidRPr="00351C70">
        <w:rPr>
          <w:noProof/>
          <w:sz w:val="22"/>
          <w:szCs w:val="22"/>
        </w:rPr>
        <w:t>Jeigu pasireiškė šalutinis poveikis (net jeigu jis šiame lapelyje nenurodytas), kreipkitės į gydytoją arba vaistininką. Žr. 4 skyrių.</w:t>
      </w:r>
    </w:p>
    <w:p w14:paraId="061B48EE" w14:textId="6C2E95C4" w:rsidR="000A544E" w:rsidRDefault="000A544E" w:rsidP="000A544E">
      <w:pPr>
        <w:numPr>
          <w:ilvl w:val="12"/>
          <w:numId w:val="0"/>
        </w:numPr>
        <w:ind w:right="-2"/>
        <w:rPr>
          <w:b/>
          <w:sz w:val="22"/>
        </w:rPr>
      </w:pPr>
    </w:p>
    <w:p w14:paraId="08402C93" w14:textId="77777777" w:rsidR="006629FE" w:rsidRPr="00351C70" w:rsidRDefault="006629FE" w:rsidP="006629FE">
      <w:pPr>
        <w:rPr>
          <w:b/>
          <w:noProof/>
          <w:sz w:val="22"/>
          <w:szCs w:val="22"/>
        </w:rPr>
      </w:pPr>
      <w:r w:rsidRPr="00351C70">
        <w:rPr>
          <w:b/>
          <w:noProof/>
          <w:sz w:val="22"/>
          <w:szCs w:val="22"/>
        </w:rPr>
        <w:t>Apie ką rašoma šiame lapelyje?</w:t>
      </w:r>
    </w:p>
    <w:p w14:paraId="20FAA712" w14:textId="77777777" w:rsidR="006629FE" w:rsidRPr="00351C70" w:rsidRDefault="006629FE" w:rsidP="006629FE">
      <w:pPr>
        <w:rPr>
          <w:b/>
          <w:noProof/>
          <w:sz w:val="22"/>
          <w:szCs w:val="22"/>
        </w:rPr>
      </w:pPr>
    </w:p>
    <w:p w14:paraId="4AE822B3" w14:textId="0628D307" w:rsidR="006629FE" w:rsidRPr="00351C70" w:rsidRDefault="006629FE" w:rsidP="0011264C">
      <w:pPr>
        <w:tabs>
          <w:tab w:val="left" w:pos="567"/>
        </w:tabs>
        <w:rPr>
          <w:noProof/>
          <w:sz w:val="22"/>
          <w:szCs w:val="22"/>
        </w:rPr>
      </w:pPr>
      <w:r w:rsidRPr="00351C70">
        <w:rPr>
          <w:noProof/>
          <w:sz w:val="22"/>
          <w:szCs w:val="22"/>
        </w:rPr>
        <w:t>1.</w:t>
      </w:r>
      <w:r w:rsidRPr="00351C70">
        <w:rPr>
          <w:noProof/>
          <w:sz w:val="22"/>
          <w:szCs w:val="22"/>
        </w:rPr>
        <w:tab/>
        <w:t xml:space="preserve">Kas yra </w:t>
      </w:r>
      <w:r w:rsidR="00310394" w:rsidRPr="00310394">
        <w:rPr>
          <w:noProof/>
          <w:sz w:val="22"/>
          <w:szCs w:val="22"/>
        </w:rPr>
        <w:t xml:space="preserve">Loratadine Accord </w:t>
      </w:r>
      <w:r w:rsidRPr="00351C70">
        <w:rPr>
          <w:noProof/>
          <w:sz w:val="22"/>
          <w:szCs w:val="22"/>
        </w:rPr>
        <w:t>ir kam jis vartojamas</w:t>
      </w:r>
    </w:p>
    <w:p w14:paraId="4687F99B" w14:textId="687E4217" w:rsidR="006629FE" w:rsidRPr="00351C70" w:rsidRDefault="006629FE" w:rsidP="0011264C">
      <w:pPr>
        <w:tabs>
          <w:tab w:val="left" w:pos="567"/>
        </w:tabs>
        <w:rPr>
          <w:noProof/>
          <w:sz w:val="22"/>
          <w:szCs w:val="22"/>
        </w:rPr>
      </w:pPr>
      <w:r w:rsidRPr="00351C70">
        <w:rPr>
          <w:noProof/>
          <w:sz w:val="22"/>
          <w:szCs w:val="22"/>
        </w:rPr>
        <w:t>2.</w:t>
      </w:r>
      <w:r w:rsidRPr="00351C70">
        <w:rPr>
          <w:noProof/>
          <w:sz w:val="22"/>
          <w:szCs w:val="22"/>
        </w:rPr>
        <w:tab/>
        <w:t xml:space="preserve">Kas žinotina prieš vartojant </w:t>
      </w:r>
      <w:r w:rsidR="00310394" w:rsidRPr="00310394">
        <w:rPr>
          <w:noProof/>
          <w:sz w:val="22"/>
          <w:szCs w:val="22"/>
        </w:rPr>
        <w:t>Loratadine Accord</w:t>
      </w:r>
    </w:p>
    <w:p w14:paraId="697F7B35" w14:textId="7D07D979" w:rsidR="006629FE" w:rsidRPr="00351C70" w:rsidRDefault="006629FE" w:rsidP="0011264C">
      <w:pPr>
        <w:tabs>
          <w:tab w:val="left" w:pos="567"/>
        </w:tabs>
        <w:rPr>
          <w:noProof/>
          <w:sz w:val="22"/>
          <w:szCs w:val="22"/>
        </w:rPr>
      </w:pPr>
      <w:r w:rsidRPr="00351C70">
        <w:rPr>
          <w:noProof/>
          <w:sz w:val="22"/>
          <w:szCs w:val="22"/>
        </w:rPr>
        <w:t>3.</w:t>
      </w:r>
      <w:r w:rsidRPr="00351C70">
        <w:rPr>
          <w:noProof/>
          <w:sz w:val="22"/>
          <w:szCs w:val="22"/>
        </w:rPr>
        <w:tab/>
        <w:t xml:space="preserve">Kaip vartoti </w:t>
      </w:r>
      <w:r w:rsidR="00310394" w:rsidRPr="00310394">
        <w:rPr>
          <w:noProof/>
          <w:sz w:val="22"/>
          <w:szCs w:val="22"/>
        </w:rPr>
        <w:t>Loratadine Accord</w:t>
      </w:r>
    </w:p>
    <w:p w14:paraId="5AA6A088" w14:textId="77777777" w:rsidR="006629FE" w:rsidRPr="00351C70" w:rsidRDefault="006629FE" w:rsidP="0011264C">
      <w:pPr>
        <w:tabs>
          <w:tab w:val="left" w:pos="567"/>
        </w:tabs>
        <w:rPr>
          <w:noProof/>
          <w:sz w:val="22"/>
          <w:szCs w:val="22"/>
        </w:rPr>
      </w:pPr>
      <w:r w:rsidRPr="00351C70">
        <w:rPr>
          <w:noProof/>
          <w:sz w:val="22"/>
          <w:szCs w:val="22"/>
        </w:rPr>
        <w:t>4.</w:t>
      </w:r>
      <w:r w:rsidRPr="00351C70">
        <w:rPr>
          <w:noProof/>
          <w:sz w:val="22"/>
          <w:szCs w:val="22"/>
        </w:rPr>
        <w:tab/>
        <w:t>Galimas šalutinis poveikis</w:t>
      </w:r>
    </w:p>
    <w:p w14:paraId="45695A0C" w14:textId="3AF8EE95" w:rsidR="006629FE" w:rsidRPr="00351C70" w:rsidRDefault="006629FE" w:rsidP="0011264C">
      <w:pPr>
        <w:tabs>
          <w:tab w:val="left" w:pos="567"/>
        </w:tabs>
        <w:rPr>
          <w:noProof/>
          <w:sz w:val="22"/>
          <w:szCs w:val="22"/>
        </w:rPr>
      </w:pPr>
      <w:r w:rsidRPr="00351C70">
        <w:rPr>
          <w:noProof/>
          <w:sz w:val="22"/>
          <w:szCs w:val="22"/>
        </w:rPr>
        <w:t>5.</w:t>
      </w:r>
      <w:r w:rsidRPr="00351C70">
        <w:rPr>
          <w:noProof/>
          <w:sz w:val="22"/>
          <w:szCs w:val="22"/>
        </w:rPr>
        <w:tab/>
        <w:t xml:space="preserve">Kaip laikyti </w:t>
      </w:r>
      <w:r w:rsidR="00310394" w:rsidRPr="00310394">
        <w:rPr>
          <w:noProof/>
          <w:sz w:val="22"/>
          <w:szCs w:val="22"/>
        </w:rPr>
        <w:t>Loratadine Accord</w:t>
      </w:r>
    </w:p>
    <w:p w14:paraId="75B053A0" w14:textId="77777777" w:rsidR="006629FE" w:rsidRPr="00351C70" w:rsidRDefault="006629FE" w:rsidP="0011264C">
      <w:pPr>
        <w:tabs>
          <w:tab w:val="left" w:pos="567"/>
        </w:tabs>
        <w:rPr>
          <w:noProof/>
          <w:sz w:val="22"/>
          <w:szCs w:val="22"/>
        </w:rPr>
      </w:pPr>
      <w:r w:rsidRPr="00351C70">
        <w:rPr>
          <w:noProof/>
          <w:sz w:val="22"/>
          <w:szCs w:val="22"/>
        </w:rPr>
        <w:t>6.</w:t>
      </w:r>
      <w:r w:rsidRPr="00351C70">
        <w:rPr>
          <w:noProof/>
          <w:sz w:val="22"/>
          <w:szCs w:val="22"/>
        </w:rPr>
        <w:tab/>
        <w:t>Pakuotės turinys ir kita informacija</w:t>
      </w:r>
    </w:p>
    <w:p w14:paraId="08851617" w14:textId="77777777" w:rsidR="006629FE" w:rsidRPr="00351C70" w:rsidRDefault="006629FE" w:rsidP="006629FE">
      <w:pPr>
        <w:rPr>
          <w:noProof/>
          <w:sz w:val="22"/>
          <w:szCs w:val="22"/>
        </w:rPr>
      </w:pPr>
    </w:p>
    <w:p w14:paraId="74AD38A9" w14:textId="77777777" w:rsidR="006629FE" w:rsidRPr="00351C70" w:rsidRDefault="006629FE" w:rsidP="006629FE">
      <w:pPr>
        <w:rPr>
          <w:noProof/>
          <w:sz w:val="22"/>
          <w:szCs w:val="22"/>
        </w:rPr>
      </w:pPr>
    </w:p>
    <w:p w14:paraId="34639019" w14:textId="6A67C7C5" w:rsidR="006629FE" w:rsidRPr="00351C70" w:rsidRDefault="006629FE" w:rsidP="006629FE">
      <w:pPr>
        <w:keepNext/>
        <w:tabs>
          <w:tab w:val="left" w:pos="567"/>
        </w:tabs>
        <w:outlineLvl w:val="1"/>
        <w:rPr>
          <w:b/>
          <w:noProof/>
          <w:sz w:val="22"/>
          <w:szCs w:val="22"/>
        </w:rPr>
      </w:pPr>
      <w:bookmarkStart w:id="0" w:name="_Toc129243139"/>
      <w:bookmarkStart w:id="1" w:name="_Toc129243264"/>
      <w:r w:rsidRPr="00351C70">
        <w:rPr>
          <w:b/>
          <w:noProof/>
          <w:sz w:val="22"/>
          <w:szCs w:val="22"/>
        </w:rPr>
        <w:t>1.</w:t>
      </w:r>
      <w:r w:rsidRPr="00351C70">
        <w:rPr>
          <w:b/>
          <w:noProof/>
          <w:sz w:val="22"/>
          <w:szCs w:val="22"/>
        </w:rPr>
        <w:tab/>
        <w:t xml:space="preserve">Kas yra </w:t>
      </w:r>
      <w:r w:rsidR="00310394" w:rsidRPr="00310394">
        <w:rPr>
          <w:b/>
          <w:noProof/>
          <w:sz w:val="22"/>
          <w:szCs w:val="22"/>
        </w:rPr>
        <w:t xml:space="preserve">Loratadine Accord </w:t>
      </w:r>
      <w:r w:rsidRPr="00351C70">
        <w:rPr>
          <w:b/>
          <w:noProof/>
          <w:sz w:val="22"/>
          <w:szCs w:val="22"/>
        </w:rPr>
        <w:t>ir kam jis vartojamas</w:t>
      </w:r>
      <w:bookmarkEnd w:id="0"/>
      <w:bookmarkEnd w:id="1"/>
    </w:p>
    <w:p w14:paraId="6A9BEDB7" w14:textId="748A4876" w:rsidR="006629FE" w:rsidRDefault="006629FE" w:rsidP="006629FE">
      <w:pPr>
        <w:rPr>
          <w:noProof/>
          <w:sz w:val="22"/>
          <w:szCs w:val="22"/>
        </w:rPr>
      </w:pPr>
    </w:p>
    <w:p w14:paraId="780ACE00" w14:textId="4EC47589" w:rsidR="00636232" w:rsidRDefault="00636232" w:rsidP="006629FE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Pilnas Jūsų vaisto pavadinimas yra </w:t>
      </w:r>
      <w:r w:rsidRPr="00636232">
        <w:rPr>
          <w:noProof/>
          <w:sz w:val="22"/>
          <w:szCs w:val="22"/>
        </w:rPr>
        <w:t>Loratadine Accord 10 mg tabletės</w:t>
      </w:r>
      <w:r>
        <w:rPr>
          <w:noProof/>
          <w:sz w:val="22"/>
          <w:szCs w:val="22"/>
        </w:rPr>
        <w:t>.</w:t>
      </w:r>
    </w:p>
    <w:p w14:paraId="61DDDDD0" w14:textId="77777777" w:rsidR="00636232" w:rsidRPr="00351C70" w:rsidRDefault="00636232" w:rsidP="006629FE">
      <w:pPr>
        <w:rPr>
          <w:noProof/>
          <w:sz w:val="22"/>
          <w:szCs w:val="22"/>
        </w:rPr>
      </w:pPr>
    </w:p>
    <w:p w14:paraId="138ABD7B" w14:textId="77777777" w:rsidR="00636232" w:rsidRPr="00636232" w:rsidRDefault="00636232" w:rsidP="00310394">
      <w:pPr>
        <w:rPr>
          <w:b/>
          <w:bCs/>
          <w:sz w:val="22"/>
          <w:szCs w:val="22"/>
        </w:rPr>
      </w:pPr>
      <w:r w:rsidRPr="00636232">
        <w:rPr>
          <w:b/>
          <w:bCs/>
          <w:sz w:val="22"/>
          <w:szCs w:val="22"/>
        </w:rPr>
        <w:t xml:space="preserve">Kas yra </w:t>
      </w:r>
      <w:proofErr w:type="spellStart"/>
      <w:r w:rsidRPr="00636232">
        <w:rPr>
          <w:b/>
          <w:bCs/>
          <w:sz w:val="22"/>
          <w:szCs w:val="22"/>
        </w:rPr>
        <w:t>Loratadine</w:t>
      </w:r>
      <w:proofErr w:type="spellEnd"/>
      <w:r w:rsidRPr="00636232">
        <w:rPr>
          <w:b/>
          <w:bCs/>
          <w:sz w:val="22"/>
          <w:szCs w:val="22"/>
        </w:rPr>
        <w:t xml:space="preserve"> </w:t>
      </w:r>
      <w:proofErr w:type="spellStart"/>
      <w:r w:rsidRPr="00636232">
        <w:rPr>
          <w:b/>
          <w:bCs/>
          <w:sz w:val="22"/>
          <w:szCs w:val="22"/>
        </w:rPr>
        <w:t>Accord</w:t>
      </w:r>
      <w:proofErr w:type="spellEnd"/>
    </w:p>
    <w:p w14:paraId="574C596D" w14:textId="4187C3B9" w:rsidR="00BE5C9A" w:rsidRDefault="00636232" w:rsidP="00310394">
      <w:pPr>
        <w:rPr>
          <w:sz w:val="22"/>
          <w:szCs w:val="22"/>
        </w:rPr>
      </w:pPr>
      <w:r w:rsidRPr="00636232">
        <w:rPr>
          <w:noProof/>
          <w:sz w:val="22"/>
          <w:szCs w:val="22"/>
        </w:rPr>
        <w:t xml:space="preserve">Loratadine Accord </w:t>
      </w:r>
      <w:r>
        <w:rPr>
          <w:noProof/>
          <w:sz w:val="22"/>
          <w:szCs w:val="22"/>
        </w:rPr>
        <w:t xml:space="preserve">tablečių sudėtyje yra veikliosios medžiagos loratadino, kuris </w:t>
      </w:r>
      <w:r w:rsidRPr="00636232">
        <w:rPr>
          <w:noProof/>
          <w:sz w:val="22"/>
          <w:szCs w:val="22"/>
        </w:rPr>
        <w:t>priklauso antihistaminini</w:t>
      </w:r>
      <w:r w:rsidR="00BE5C9A">
        <w:rPr>
          <w:noProof/>
          <w:sz w:val="22"/>
          <w:szCs w:val="22"/>
        </w:rPr>
        <w:t xml:space="preserve">ais vadinamų </w:t>
      </w:r>
      <w:r w:rsidRPr="00636232">
        <w:rPr>
          <w:noProof/>
          <w:sz w:val="22"/>
          <w:szCs w:val="22"/>
        </w:rPr>
        <w:t>vaistų grupei</w:t>
      </w:r>
      <w:r w:rsidR="00BE5C9A">
        <w:rPr>
          <w:sz w:val="22"/>
          <w:szCs w:val="22"/>
        </w:rPr>
        <w:t>.</w:t>
      </w:r>
    </w:p>
    <w:p w14:paraId="792800F0" w14:textId="0EB8E064" w:rsidR="00BE5C9A" w:rsidRDefault="00BE5C9A" w:rsidP="00310394">
      <w:pPr>
        <w:rPr>
          <w:sz w:val="22"/>
          <w:szCs w:val="22"/>
        </w:rPr>
      </w:pPr>
    </w:p>
    <w:p w14:paraId="658510B3" w14:textId="095F694C" w:rsidR="00BE5C9A" w:rsidRDefault="00BE5C9A" w:rsidP="00310394">
      <w:pPr>
        <w:rPr>
          <w:sz w:val="22"/>
          <w:szCs w:val="22"/>
        </w:rPr>
      </w:pPr>
      <w:r w:rsidRPr="00BE5C9A">
        <w:rPr>
          <w:b/>
          <w:bCs/>
          <w:sz w:val="22"/>
          <w:szCs w:val="22"/>
        </w:rPr>
        <w:t>Kaip veikia</w:t>
      </w:r>
      <w:r>
        <w:rPr>
          <w:sz w:val="22"/>
          <w:szCs w:val="22"/>
        </w:rPr>
        <w:t xml:space="preserve"> </w:t>
      </w:r>
      <w:proofErr w:type="spellStart"/>
      <w:r w:rsidRPr="00636232">
        <w:rPr>
          <w:b/>
          <w:bCs/>
          <w:sz w:val="22"/>
          <w:szCs w:val="22"/>
        </w:rPr>
        <w:t>Loratadine</w:t>
      </w:r>
      <w:proofErr w:type="spellEnd"/>
      <w:r w:rsidRPr="00636232">
        <w:rPr>
          <w:b/>
          <w:bCs/>
          <w:sz w:val="22"/>
          <w:szCs w:val="22"/>
        </w:rPr>
        <w:t xml:space="preserve"> </w:t>
      </w:r>
      <w:proofErr w:type="spellStart"/>
      <w:r w:rsidRPr="00636232">
        <w:rPr>
          <w:b/>
          <w:bCs/>
          <w:sz w:val="22"/>
          <w:szCs w:val="22"/>
        </w:rPr>
        <w:t>Accord</w:t>
      </w:r>
      <w:proofErr w:type="spellEnd"/>
    </w:p>
    <w:p w14:paraId="786E03BA" w14:textId="7671D580" w:rsidR="00310394" w:rsidRPr="00310394" w:rsidRDefault="00BE5C9A" w:rsidP="00310394">
      <w:pPr>
        <w:rPr>
          <w:sz w:val="22"/>
          <w:szCs w:val="22"/>
        </w:rPr>
      </w:pPr>
      <w:r w:rsidRPr="00636232">
        <w:rPr>
          <w:noProof/>
          <w:sz w:val="22"/>
          <w:szCs w:val="22"/>
        </w:rPr>
        <w:t>Loratadine Accord</w:t>
      </w:r>
      <w:r>
        <w:rPr>
          <w:noProof/>
          <w:sz w:val="22"/>
          <w:szCs w:val="22"/>
        </w:rPr>
        <w:t xml:space="preserve"> padeda mažinti </w:t>
      </w:r>
      <w:r w:rsidRPr="00310394">
        <w:rPr>
          <w:sz w:val="22"/>
          <w:szCs w:val="22"/>
        </w:rPr>
        <w:t>alergijos simptomus</w:t>
      </w:r>
      <w:r w:rsidR="00310394" w:rsidRPr="00310394">
        <w:rPr>
          <w:sz w:val="22"/>
          <w:szCs w:val="22"/>
        </w:rPr>
        <w:t>, slopindam</w:t>
      </w:r>
      <w:r>
        <w:rPr>
          <w:sz w:val="22"/>
          <w:szCs w:val="22"/>
        </w:rPr>
        <w:t>as</w:t>
      </w:r>
      <w:r w:rsidR="00310394" w:rsidRPr="00310394">
        <w:rPr>
          <w:sz w:val="22"/>
          <w:szCs w:val="22"/>
        </w:rPr>
        <w:t xml:space="preserve"> </w:t>
      </w:r>
      <w:proofErr w:type="spellStart"/>
      <w:r w:rsidR="00310394" w:rsidRPr="00310394">
        <w:rPr>
          <w:sz w:val="22"/>
          <w:szCs w:val="22"/>
        </w:rPr>
        <w:t>histamin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vadinamos</w:t>
      </w:r>
      <w:r w:rsidR="00310394" w:rsidRPr="00310394">
        <w:rPr>
          <w:sz w:val="22"/>
          <w:szCs w:val="22"/>
        </w:rPr>
        <w:t xml:space="preserve"> medžiagos, išsiskiriančios </w:t>
      </w:r>
      <w:r w:rsidR="00857C37">
        <w:rPr>
          <w:sz w:val="22"/>
          <w:szCs w:val="22"/>
        </w:rPr>
        <w:t xml:space="preserve">Jūsų </w:t>
      </w:r>
      <w:r w:rsidR="00310394" w:rsidRPr="00310394">
        <w:rPr>
          <w:sz w:val="22"/>
          <w:szCs w:val="22"/>
        </w:rPr>
        <w:t>organizme</w:t>
      </w:r>
      <w:r w:rsidR="00857C37">
        <w:rPr>
          <w:sz w:val="22"/>
          <w:szCs w:val="22"/>
        </w:rPr>
        <w:t>, kai esate kažkam alergiškas,</w:t>
      </w:r>
      <w:r w:rsidR="00310394" w:rsidRPr="00310394">
        <w:rPr>
          <w:sz w:val="22"/>
          <w:szCs w:val="22"/>
        </w:rPr>
        <w:t xml:space="preserve"> veikimą.</w:t>
      </w:r>
    </w:p>
    <w:p w14:paraId="2EFD98C8" w14:textId="57268A3C" w:rsidR="00857C37" w:rsidRDefault="00857C37" w:rsidP="00310394">
      <w:pPr>
        <w:tabs>
          <w:tab w:val="left" w:pos="360"/>
        </w:tabs>
        <w:rPr>
          <w:sz w:val="22"/>
          <w:szCs w:val="22"/>
        </w:rPr>
      </w:pPr>
    </w:p>
    <w:p w14:paraId="0A502F4B" w14:textId="71D4ACAE" w:rsidR="00857C37" w:rsidRDefault="00857C37" w:rsidP="00857C37">
      <w:pPr>
        <w:rPr>
          <w:sz w:val="22"/>
          <w:szCs w:val="22"/>
        </w:rPr>
      </w:pPr>
      <w:r>
        <w:rPr>
          <w:b/>
          <w:bCs/>
          <w:sz w:val="22"/>
          <w:szCs w:val="22"/>
        </w:rPr>
        <w:t>Ka</w:t>
      </w:r>
      <w:r w:rsidR="0007008C">
        <w:rPr>
          <w:b/>
          <w:bCs/>
          <w:sz w:val="22"/>
          <w:szCs w:val="22"/>
        </w:rPr>
        <w:t>m</w:t>
      </w:r>
      <w:r>
        <w:rPr>
          <w:b/>
          <w:bCs/>
          <w:sz w:val="22"/>
          <w:szCs w:val="22"/>
        </w:rPr>
        <w:t xml:space="preserve"> vartojamas </w:t>
      </w:r>
      <w:proofErr w:type="spellStart"/>
      <w:r w:rsidRPr="00636232">
        <w:rPr>
          <w:b/>
          <w:bCs/>
          <w:sz w:val="22"/>
          <w:szCs w:val="22"/>
        </w:rPr>
        <w:t>Loratadine</w:t>
      </w:r>
      <w:proofErr w:type="spellEnd"/>
      <w:r w:rsidRPr="00636232">
        <w:rPr>
          <w:b/>
          <w:bCs/>
          <w:sz w:val="22"/>
          <w:szCs w:val="22"/>
        </w:rPr>
        <w:t xml:space="preserve"> </w:t>
      </w:r>
      <w:proofErr w:type="spellStart"/>
      <w:r w:rsidRPr="00636232">
        <w:rPr>
          <w:b/>
          <w:bCs/>
          <w:sz w:val="22"/>
          <w:szCs w:val="22"/>
        </w:rPr>
        <w:t>Accord</w:t>
      </w:r>
      <w:proofErr w:type="spellEnd"/>
    </w:p>
    <w:p w14:paraId="7C920ED6" w14:textId="77777777" w:rsidR="00857C37" w:rsidRDefault="00857C37" w:rsidP="00310394">
      <w:pPr>
        <w:tabs>
          <w:tab w:val="left" w:pos="360"/>
        </w:tabs>
        <w:rPr>
          <w:sz w:val="22"/>
          <w:szCs w:val="22"/>
        </w:rPr>
      </w:pPr>
    </w:p>
    <w:p w14:paraId="0AFA5B08" w14:textId="3E33D59E" w:rsidR="00310394" w:rsidRPr="00310394" w:rsidRDefault="00857C37" w:rsidP="00310394">
      <w:pPr>
        <w:tabs>
          <w:tab w:val="left" w:pos="360"/>
        </w:tabs>
        <w:rPr>
          <w:sz w:val="22"/>
          <w:szCs w:val="22"/>
        </w:rPr>
      </w:pPr>
      <w:proofErr w:type="spellStart"/>
      <w:r w:rsidRPr="00857C37">
        <w:rPr>
          <w:sz w:val="22"/>
          <w:szCs w:val="22"/>
        </w:rPr>
        <w:t>Loratadine</w:t>
      </w:r>
      <w:proofErr w:type="spellEnd"/>
      <w:r w:rsidRPr="00857C37">
        <w:rPr>
          <w:sz w:val="22"/>
          <w:szCs w:val="22"/>
        </w:rPr>
        <w:t xml:space="preserve"> </w:t>
      </w:r>
      <w:proofErr w:type="spellStart"/>
      <w:r w:rsidRPr="00857C37">
        <w:rPr>
          <w:sz w:val="22"/>
          <w:szCs w:val="22"/>
        </w:rPr>
        <w:t>Accord</w:t>
      </w:r>
      <w:proofErr w:type="spellEnd"/>
      <w:r w:rsidRPr="00857C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lengvina </w:t>
      </w:r>
      <w:r w:rsidR="00310394" w:rsidRPr="00310394">
        <w:rPr>
          <w:sz w:val="22"/>
          <w:szCs w:val="22"/>
        </w:rPr>
        <w:t>alerginės slogos (pvz., šienligės) simptom</w:t>
      </w:r>
      <w:r>
        <w:rPr>
          <w:sz w:val="22"/>
          <w:szCs w:val="22"/>
        </w:rPr>
        <w:t xml:space="preserve">us, tokius kaip </w:t>
      </w:r>
      <w:r w:rsidR="00310394" w:rsidRPr="00310394">
        <w:rPr>
          <w:sz w:val="22"/>
          <w:szCs w:val="22"/>
        </w:rPr>
        <w:t>čiaudul</w:t>
      </w:r>
      <w:r>
        <w:rPr>
          <w:sz w:val="22"/>
          <w:szCs w:val="22"/>
        </w:rPr>
        <w:t>ys</w:t>
      </w:r>
      <w:r w:rsidR="00310394" w:rsidRPr="00310394">
        <w:rPr>
          <w:sz w:val="22"/>
          <w:szCs w:val="22"/>
        </w:rPr>
        <w:t xml:space="preserve">, </w:t>
      </w:r>
      <w:r w:rsidR="00B2125F">
        <w:rPr>
          <w:sz w:val="22"/>
          <w:szCs w:val="22"/>
        </w:rPr>
        <w:t xml:space="preserve">varvanti, ar niežtinti </w:t>
      </w:r>
      <w:r w:rsidR="00310394" w:rsidRPr="00310394">
        <w:rPr>
          <w:sz w:val="22"/>
          <w:szCs w:val="22"/>
        </w:rPr>
        <w:t>nosi</w:t>
      </w:r>
      <w:r w:rsidR="00B2125F">
        <w:rPr>
          <w:sz w:val="22"/>
          <w:szCs w:val="22"/>
        </w:rPr>
        <w:t>s</w:t>
      </w:r>
      <w:r w:rsidR="00310394" w:rsidRPr="00310394">
        <w:rPr>
          <w:sz w:val="22"/>
          <w:szCs w:val="22"/>
        </w:rPr>
        <w:t xml:space="preserve"> ir </w:t>
      </w:r>
      <w:r w:rsidR="00B2125F">
        <w:rPr>
          <w:sz w:val="22"/>
          <w:szCs w:val="22"/>
        </w:rPr>
        <w:t>perštinčios ar niežtinčios akys</w:t>
      </w:r>
      <w:r>
        <w:rPr>
          <w:sz w:val="22"/>
          <w:szCs w:val="22"/>
        </w:rPr>
        <w:t>.</w:t>
      </w:r>
    </w:p>
    <w:p w14:paraId="4182F8E7" w14:textId="038DF1DD" w:rsidR="00310394" w:rsidRDefault="00857C37" w:rsidP="00310394">
      <w:pPr>
        <w:tabs>
          <w:tab w:val="left" w:pos="360"/>
        </w:tabs>
        <w:rPr>
          <w:sz w:val="22"/>
          <w:szCs w:val="22"/>
        </w:rPr>
      </w:pPr>
      <w:proofErr w:type="spellStart"/>
      <w:r w:rsidRPr="00857C37">
        <w:rPr>
          <w:sz w:val="22"/>
          <w:szCs w:val="22"/>
        </w:rPr>
        <w:t>Loratadine</w:t>
      </w:r>
      <w:proofErr w:type="spellEnd"/>
      <w:r w:rsidRPr="00857C37">
        <w:rPr>
          <w:sz w:val="22"/>
          <w:szCs w:val="22"/>
        </w:rPr>
        <w:t xml:space="preserve"> </w:t>
      </w:r>
      <w:proofErr w:type="spellStart"/>
      <w:r w:rsidRPr="00857C37">
        <w:rPr>
          <w:sz w:val="22"/>
          <w:szCs w:val="22"/>
        </w:rPr>
        <w:t>Accord</w:t>
      </w:r>
      <w:proofErr w:type="spellEnd"/>
      <w:r w:rsidRPr="00857C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taip pat galima vartoti </w:t>
      </w:r>
      <w:r w:rsidR="00310394" w:rsidRPr="00310394">
        <w:rPr>
          <w:sz w:val="22"/>
          <w:szCs w:val="22"/>
        </w:rPr>
        <w:t xml:space="preserve">dilgėlinės </w:t>
      </w:r>
      <w:r w:rsidR="003C3D31">
        <w:rPr>
          <w:sz w:val="22"/>
          <w:szCs w:val="22"/>
        </w:rPr>
        <w:t>sukelt</w:t>
      </w:r>
      <w:r w:rsidR="005C42B7">
        <w:rPr>
          <w:sz w:val="22"/>
          <w:szCs w:val="22"/>
        </w:rPr>
        <w:t xml:space="preserve">o </w:t>
      </w:r>
      <w:r w:rsidR="00310394" w:rsidRPr="00310394">
        <w:rPr>
          <w:sz w:val="22"/>
          <w:szCs w:val="22"/>
        </w:rPr>
        <w:t>odos niež</w:t>
      </w:r>
      <w:r w:rsidR="003C3D31">
        <w:rPr>
          <w:sz w:val="22"/>
          <w:szCs w:val="22"/>
        </w:rPr>
        <w:t>ėjim</w:t>
      </w:r>
      <w:r w:rsidR="005C42B7">
        <w:rPr>
          <w:sz w:val="22"/>
          <w:szCs w:val="22"/>
        </w:rPr>
        <w:t>o</w:t>
      </w:r>
      <w:r w:rsidR="00310394" w:rsidRPr="00310394">
        <w:rPr>
          <w:sz w:val="22"/>
          <w:szCs w:val="22"/>
        </w:rPr>
        <w:t>, paraudim</w:t>
      </w:r>
      <w:r w:rsidR="005C42B7">
        <w:rPr>
          <w:sz w:val="22"/>
          <w:szCs w:val="22"/>
        </w:rPr>
        <w:t>o</w:t>
      </w:r>
      <w:r w:rsidR="00310394" w:rsidRPr="00310394">
        <w:rPr>
          <w:sz w:val="22"/>
          <w:szCs w:val="22"/>
        </w:rPr>
        <w:t xml:space="preserve"> </w:t>
      </w:r>
      <w:r w:rsidR="003C3D31">
        <w:rPr>
          <w:sz w:val="22"/>
          <w:szCs w:val="22"/>
        </w:rPr>
        <w:t xml:space="preserve">ir </w:t>
      </w:r>
      <w:r w:rsidR="009C3F88">
        <w:rPr>
          <w:sz w:val="22"/>
          <w:szCs w:val="22"/>
        </w:rPr>
        <w:t>ruplių</w:t>
      </w:r>
      <w:r w:rsidR="00310394" w:rsidRPr="00310394">
        <w:rPr>
          <w:sz w:val="22"/>
          <w:szCs w:val="22"/>
        </w:rPr>
        <w:t xml:space="preserve"> skaičiaus </w:t>
      </w:r>
      <w:r w:rsidR="003C3D31">
        <w:rPr>
          <w:sz w:val="22"/>
          <w:szCs w:val="22"/>
        </w:rPr>
        <w:t>bei</w:t>
      </w:r>
      <w:r w:rsidR="00310394" w:rsidRPr="00310394">
        <w:rPr>
          <w:sz w:val="22"/>
          <w:szCs w:val="22"/>
        </w:rPr>
        <w:t xml:space="preserve"> dydžio mažinimui.</w:t>
      </w:r>
    </w:p>
    <w:p w14:paraId="55F55169" w14:textId="77777777" w:rsidR="009C3F88" w:rsidRDefault="009C3F88" w:rsidP="005C42B7">
      <w:pPr>
        <w:rPr>
          <w:noProof/>
          <w:sz w:val="22"/>
          <w:szCs w:val="22"/>
        </w:rPr>
      </w:pPr>
    </w:p>
    <w:p w14:paraId="2E76F31F" w14:textId="4A08FD96" w:rsidR="005C42B7" w:rsidRPr="005C42B7" w:rsidRDefault="005C42B7" w:rsidP="005C42B7">
      <w:pPr>
        <w:rPr>
          <w:noProof/>
          <w:sz w:val="22"/>
          <w:szCs w:val="22"/>
        </w:rPr>
      </w:pPr>
      <w:r w:rsidRPr="005C42B7">
        <w:rPr>
          <w:noProof/>
          <w:sz w:val="22"/>
          <w:szCs w:val="22"/>
        </w:rPr>
        <w:t xml:space="preserve">Loratadine Accord poveikis tęsis visą dieną ir turėtų padėti </w:t>
      </w:r>
      <w:r>
        <w:rPr>
          <w:noProof/>
          <w:sz w:val="22"/>
          <w:szCs w:val="22"/>
        </w:rPr>
        <w:t>J</w:t>
      </w:r>
      <w:r w:rsidRPr="005C42B7">
        <w:rPr>
          <w:noProof/>
          <w:sz w:val="22"/>
          <w:szCs w:val="22"/>
        </w:rPr>
        <w:t>ums tęsti įprastą kasdienę veiklą ir miegoti.</w:t>
      </w:r>
    </w:p>
    <w:p w14:paraId="2459BC5D" w14:textId="77777777" w:rsidR="005C42B7" w:rsidRPr="005C42B7" w:rsidRDefault="005C42B7" w:rsidP="005C42B7">
      <w:pPr>
        <w:rPr>
          <w:noProof/>
          <w:sz w:val="22"/>
          <w:szCs w:val="22"/>
        </w:rPr>
      </w:pPr>
    </w:p>
    <w:p w14:paraId="3E106E32" w14:textId="654AB6A2" w:rsidR="005C42B7" w:rsidRDefault="005C42B7" w:rsidP="005C42B7">
      <w:pPr>
        <w:rPr>
          <w:noProof/>
          <w:sz w:val="22"/>
          <w:szCs w:val="22"/>
        </w:rPr>
      </w:pPr>
      <w:r w:rsidRPr="005C42B7">
        <w:rPr>
          <w:noProof/>
          <w:sz w:val="22"/>
          <w:szCs w:val="22"/>
        </w:rPr>
        <w:t>Jeigu Jūsų savijauta nepagerėjo arba net pablogėjo, kreipkitės į gydytoją</w:t>
      </w:r>
      <w:r>
        <w:rPr>
          <w:noProof/>
          <w:sz w:val="22"/>
          <w:szCs w:val="22"/>
        </w:rPr>
        <w:t>.</w:t>
      </w:r>
    </w:p>
    <w:p w14:paraId="7E4D47D4" w14:textId="75C98E31" w:rsidR="005C42B7" w:rsidRDefault="005C42B7" w:rsidP="005C42B7">
      <w:pPr>
        <w:rPr>
          <w:noProof/>
          <w:sz w:val="22"/>
          <w:szCs w:val="22"/>
        </w:rPr>
      </w:pPr>
    </w:p>
    <w:p w14:paraId="5060E982" w14:textId="77777777" w:rsidR="005C42B7" w:rsidRPr="00351C70" w:rsidRDefault="005C42B7" w:rsidP="005C42B7">
      <w:pPr>
        <w:rPr>
          <w:noProof/>
          <w:sz w:val="22"/>
          <w:szCs w:val="22"/>
        </w:rPr>
      </w:pPr>
    </w:p>
    <w:p w14:paraId="079A5B83" w14:textId="129613EE" w:rsidR="006629FE" w:rsidRPr="00351C70" w:rsidRDefault="006629FE" w:rsidP="006629FE">
      <w:pPr>
        <w:keepNext/>
        <w:tabs>
          <w:tab w:val="left" w:pos="567"/>
        </w:tabs>
        <w:outlineLvl w:val="1"/>
        <w:rPr>
          <w:b/>
          <w:noProof/>
          <w:sz w:val="22"/>
          <w:szCs w:val="22"/>
        </w:rPr>
      </w:pPr>
      <w:bookmarkStart w:id="2" w:name="_Toc129243140"/>
      <w:bookmarkStart w:id="3" w:name="_Toc129243265"/>
      <w:r w:rsidRPr="00351C70">
        <w:rPr>
          <w:b/>
          <w:noProof/>
          <w:sz w:val="22"/>
          <w:szCs w:val="22"/>
        </w:rPr>
        <w:t>2.</w:t>
      </w:r>
      <w:r w:rsidRPr="00351C70">
        <w:rPr>
          <w:b/>
          <w:noProof/>
          <w:sz w:val="22"/>
          <w:szCs w:val="22"/>
        </w:rPr>
        <w:tab/>
        <w:t xml:space="preserve">Kas žinotina prieš vartojant </w:t>
      </w:r>
      <w:bookmarkEnd w:id="2"/>
      <w:bookmarkEnd w:id="3"/>
      <w:r w:rsidR="00310394">
        <w:rPr>
          <w:b/>
          <w:noProof/>
          <w:sz w:val="22"/>
          <w:szCs w:val="22"/>
        </w:rPr>
        <w:t>Loratadine</w:t>
      </w:r>
      <w:r w:rsidR="00744DD5" w:rsidRPr="00351C70">
        <w:rPr>
          <w:b/>
          <w:noProof/>
          <w:sz w:val="22"/>
          <w:szCs w:val="22"/>
        </w:rPr>
        <w:t xml:space="preserve"> </w:t>
      </w:r>
      <w:r w:rsidR="00775941" w:rsidRPr="00351C70">
        <w:rPr>
          <w:b/>
          <w:noProof/>
          <w:sz w:val="22"/>
          <w:szCs w:val="22"/>
        </w:rPr>
        <w:t>Accord</w:t>
      </w:r>
      <w:r w:rsidRPr="00351C70">
        <w:rPr>
          <w:b/>
          <w:noProof/>
          <w:sz w:val="22"/>
          <w:szCs w:val="22"/>
        </w:rPr>
        <w:t xml:space="preserve"> </w:t>
      </w:r>
    </w:p>
    <w:p w14:paraId="47B56C62" w14:textId="77777777" w:rsidR="006629FE" w:rsidRPr="00310394" w:rsidRDefault="006629FE" w:rsidP="006629FE">
      <w:pPr>
        <w:rPr>
          <w:bCs/>
          <w:noProof/>
          <w:sz w:val="22"/>
          <w:szCs w:val="22"/>
        </w:rPr>
      </w:pPr>
    </w:p>
    <w:p w14:paraId="005E7CCA" w14:textId="732A93BD" w:rsidR="00310394" w:rsidRPr="00310394" w:rsidRDefault="003828B9" w:rsidP="00310394">
      <w:pPr>
        <w:ind w:left="567" w:hanging="567"/>
        <w:rPr>
          <w:b/>
          <w:caps/>
          <w:sz w:val="22"/>
          <w:szCs w:val="22"/>
        </w:rPr>
      </w:pPr>
      <w:bookmarkStart w:id="4" w:name="_Toc129243141"/>
      <w:bookmarkStart w:id="5" w:name="_Toc129243266"/>
      <w:proofErr w:type="spellStart"/>
      <w:r w:rsidRPr="003828B9">
        <w:rPr>
          <w:b/>
          <w:bCs/>
          <w:sz w:val="22"/>
          <w:szCs w:val="22"/>
        </w:rPr>
        <w:t>Loratadine</w:t>
      </w:r>
      <w:proofErr w:type="spellEnd"/>
      <w:r w:rsidRPr="003828B9">
        <w:rPr>
          <w:b/>
          <w:bCs/>
          <w:sz w:val="22"/>
          <w:szCs w:val="22"/>
        </w:rPr>
        <w:t xml:space="preserve"> </w:t>
      </w:r>
      <w:proofErr w:type="spellStart"/>
      <w:r w:rsidRPr="003828B9">
        <w:rPr>
          <w:b/>
          <w:bCs/>
          <w:sz w:val="22"/>
          <w:szCs w:val="22"/>
        </w:rPr>
        <w:t>Accord</w:t>
      </w:r>
      <w:proofErr w:type="spellEnd"/>
      <w:r w:rsidRPr="003828B9">
        <w:rPr>
          <w:b/>
          <w:bCs/>
          <w:sz w:val="22"/>
          <w:szCs w:val="22"/>
        </w:rPr>
        <w:t xml:space="preserve"> </w:t>
      </w:r>
      <w:r w:rsidR="00310394" w:rsidRPr="00310394">
        <w:rPr>
          <w:b/>
          <w:bCs/>
          <w:sz w:val="22"/>
          <w:szCs w:val="22"/>
        </w:rPr>
        <w:t xml:space="preserve">vartoti </w:t>
      </w:r>
      <w:r>
        <w:rPr>
          <w:b/>
          <w:sz w:val="22"/>
          <w:szCs w:val="22"/>
        </w:rPr>
        <w:t>draudžiama</w:t>
      </w:r>
      <w:r w:rsidR="00310394" w:rsidRPr="00310394">
        <w:rPr>
          <w:b/>
          <w:bCs/>
          <w:sz w:val="22"/>
          <w:szCs w:val="22"/>
        </w:rPr>
        <w:t>:</w:t>
      </w:r>
    </w:p>
    <w:p w14:paraId="43E5FE91" w14:textId="31B80817" w:rsidR="00310394" w:rsidRPr="003828B9" w:rsidRDefault="00310394" w:rsidP="003828B9">
      <w:pPr>
        <w:pStyle w:val="Sraopastraipa"/>
        <w:numPr>
          <w:ilvl w:val="0"/>
          <w:numId w:val="39"/>
        </w:numPr>
        <w:ind w:left="567" w:hanging="567"/>
        <w:rPr>
          <w:sz w:val="22"/>
          <w:szCs w:val="22"/>
        </w:rPr>
      </w:pPr>
      <w:r w:rsidRPr="003828B9">
        <w:rPr>
          <w:sz w:val="22"/>
          <w:szCs w:val="22"/>
        </w:rPr>
        <w:t xml:space="preserve">jeigu yra alergija </w:t>
      </w:r>
      <w:proofErr w:type="spellStart"/>
      <w:r w:rsidRPr="003828B9">
        <w:rPr>
          <w:sz w:val="22"/>
          <w:szCs w:val="22"/>
        </w:rPr>
        <w:t>loratadinui</w:t>
      </w:r>
      <w:proofErr w:type="spellEnd"/>
      <w:r w:rsidRPr="003828B9">
        <w:rPr>
          <w:sz w:val="22"/>
          <w:szCs w:val="22"/>
        </w:rPr>
        <w:t xml:space="preserve"> arba bet kuriai pagalbinei šio vaisto medžiagai </w:t>
      </w:r>
      <w:r w:rsidRPr="003828B9">
        <w:rPr>
          <w:rFonts w:eastAsia="SimSun"/>
          <w:sz w:val="22"/>
          <w:szCs w:val="22"/>
          <w:lang w:eastAsia="zh-CN"/>
        </w:rPr>
        <w:t>(jos išvardytos 6 skyriuje)</w:t>
      </w:r>
      <w:r w:rsidRPr="003828B9">
        <w:rPr>
          <w:sz w:val="22"/>
          <w:szCs w:val="22"/>
        </w:rPr>
        <w:t>.</w:t>
      </w:r>
    </w:p>
    <w:p w14:paraId="6963C875" w14:textId="77777777" w:rsidR="00310394" w:rsidRPr="00310394" w:rsidRDefault="00310394" w:rsidP="00310394">
      <w:pPr>
        <w:ind w:left="567" w:hanging="567"/>
        <w:rPr>
          <w:sz w:val="22"/>
          <w:szCs w:val="22"/>
        </w:rPr>
      </w:pPr>
    </w:p>
    <w:p w14:paraId="340E192E" w14:textId="77777777" w:rsidR="00310394" w:rsidRPr="00310394" w:rsidRDefault="00310394" w:rsidP="00310394">
      <w:pPr>
        <w:ind w:left="567" w:hanging="567"/>
        <w:rPr>
          <w:b/>
          <w:sz w:val="22"/>
          <w:szCs w:val="22"/>
        </w:rPr>
      </w:pPr>
      <w:r w:rsidRPr="00310394">
        <w:rPr>
          <w:b/>
          <w:sz w:val="22"/>
          <w:szCs w:val="22"/>
        </w:rPr>
        <w:t>Įspėjimai ir atsargumo priemonės</w:t>
      </w:r>
    </w:p>
    <w:p w14:paraId="1BE8CA09" w14:textId="7CD3A2EB" w:rsidR="00310394" w:rsidRPr="00310394" w:rsidRDefault="00310394" w:rsidP="00310394">
      <w:pPr>
        <w:keepNext/>
        <w:keepLines/>
        <w:numPr>
          <w:ilvl w:val="12"/>
          <w:numId w:val="0"/>
        </w:numPr>
        <w:ind w:left="567" w:hanging="567"/>
        <w:rPr>
          <w:sz w:val="22"/>
          <w:szCs w:val="22"/>
        </w:rPr>
      </w:pPr>
      <w:r w:rsidRPr="00310394">
        <w:rPr>
          <w:sz w:val="22"/>
          <w:szCs w:val="22"/>
        </w:rPr>
        <w:t xml:space="preserve">Pasitarkite su gydytoju, vaistininku arba slaugytoju, prieš pradėdami vartoti </w:t>
      </w:r>
      <w:proofErr w:type="spellStart"/>
      <w:r w:rsidR="003828B9" w:rsidRPr="003828B9">
        <w:rPr>
          <w:sz w:val="22"/>
          <w:szCs w:val="22"/>
        </w:rPr>
        <w:t>Loratadine</w:t>
      </w:r>
      <w:proofErr w:type="spellEnd"/>
      <w:r w:rsidR="003828B9" w:rsidRPr="003828B9">
        <w:rPr>
          <w:sz w:val="22"/>
          <w:szCs w:val="22"/>
        </w:rPr>
        <w:t xml:space="preserve"> </w:t>
      </w:r>
      <w:proofErr w:type="spellStart"/>
      <w:r w:rsidR="003828B9" w:rsidRPr="003828B9">
        <w:rPr>
          <w:sz w:val="22"/>
          <w:szCs w:val="22"/>
        </w:rPr>
        <w:t>Accord</w:t>
      </w:r>
      <w:proofErr w:type="spellEnd"/>
      <w:r w:rsidRPr="00310394">
        <w:rPr>
          <w:sz w:val="22"/>
          <w:szCs w:val="22"/>
        </w:rPr>
        <w:t>, jeigu:</w:t>
      </w:r>
    </w:p>
    <w:p w14:paraId="1AD836D7" w14:textId="77777777" w:rsidR="00954F63" w:rsidRDefault="00310394" w:rsidP="00954F63">
      <w:pPr>
        <w:pStyle w:val="Sraopastraipa"/>
        <w:numPr>
          <w:ilvl w:val="0"/>
          <w:numId w:val="40"/>
        </w:numPr>
        <w:ind w:left="567" w:hanging="567"/>
        <w:rPr>
          <w:sz w:val="22"/>
          <w:szCs w:val="22"/>
        </w:rPr>
      </w:pPr>
      <w:r w:rsidRPr="003828B9">
        <w:rPr>
          <w:sz w:val="22"/>
          <w:szCs w:val="22"/>
        </w:rPr>
        <w:t xml:space="preserve">sergate kepenų liga; </w:t>
      </w:r>
    </w:p>
    <w:p w14:paraId="06163778" w14:textId="06F190FE" w:rsidR="00310394" w:rsidRPr="00954F63" w:rsidRDefault="00310394" w:rsidP="00954F63">
      <w:pPr>
        <w:pStyle w:val="Sraopastraipa"/>
        <w:numPr>
          <w:ilvl w:val="0"/>
          <w:numId w:val="40"/>
        </w:numPr>
        <w:ind w:left="567" w:hanging="567"/>
        <w:rPr>
          <w:sz w:val="22"/>
          <w:szCs w:val="22"/>
        </w:rPr>
      </w:pPr>
      <w:r w:rsidRPr="00954F63">
        <w:rPr>
          <w:sz w:val="22"/>
          <w:szCs w:val="22"/>
        </w:rPr>
        <w:t xml:space="preserve">Jums numatoma atlikti kokius nors odos </w:t>
      </w:r>
      <w:r w:rsidR="00954F63" w:rsidRPr="00954F63">
        <w:rPr>
          <w:sz w:val="22"/>
          <w:szCs w:val="22"/>
        </w:rPr>
        <w:t>tyrimus</w:t>
      </w:r>
      <w:r w:rsidRPr="00954F63">
        <w:rPr>
          <w:sz w:val="22"/>
          <w:szCs w:val="22"/>
        </w:rPr>
        <w:t xml:space="preserve"> dėl alergijos. Nevartokite </w:t>
      </w:r>
      <w:proofErr w:type="spellStart"/>
      <w:r w:rsidR="00954F63" w:rsidRPr="00954F63">
        <w:rPr>
          <w:sz w:val="22"/>
          <w:szCs w:val="22"/>
        </w:rPr>
        <w:t>Loratadine</w:t>
      </w:r>
      <w:proofErr w:type="spellEnd"/>
      <w:r w:rsidR="00954F63" w:rsidRPr="00954F63">
        <w:rPr>
          <w:sz w:val="22"/>
          <w:szCs w:val="22"/>
        </w:rPr>
        <w:t xml:space="preserve"> </w:t>
      </w:r>
      <w:proofErr w:type="spellStart"/>
      <w:r w:rsidR="00954F63" w:rsidRPr="00954F63">
        <w:rPr>
          <w:sz w:val="22"/>
          <w:szCs w:val="22"/>
        </w:rPr>
        <w:t>Accord</w:t>
      </w:r>
      <w:proofErr w:type="spellEnd"/>
      <w:r w:rsidRPr="00954F63">
        <w:rPr>
          <w:sz w:val="22"/>
          <w:szCs w:val="22"/>
        </w:rPr>
        <w:t xml:space="preserve"> 2 </w:t>
      </w:r>
      <w:r w:rsidR="007E4FF0">
        <w:rPr>
          <w:sz w:val="22"/>
          <w:szCs w:val="22"/>
        </w:rPr>
        <w:t>paras</w:t>
      </w:r>
      <w:r w:rsidR="007E4FF0" w:rsidRPr="00954F63">
        <w:rPr>
          <w:sz w:val="22"/>
          <w:szCs w:val="22"/>
        </w:rPr>
        <w:t xml:space="preserve"> </w:t>
      </w:r>
      <w:r w:rsidRPr="00954F63">
        <w:rPr>
          <w:sz w:val="22"/>
          <w:szCs w:val="22"/>
        </w:rPr>
        <w:t xml:space="preserve">iki </w:t>
      </w:r>
      <w:r w:rsidR="00954F63" w:rsidRPr="00954F63">
        <w:rPr>
          <w:sz w:val="22"/>
          <w:szCs w:val="22"/>
        </w:rPr>
        <w:t>tokių tyrimų</w:t>
      </w:r>
      <w:r w:rsidRPr="00954F63">
        <w:rPr>
          <w:sz w:val="22"/>
          <w:szCs w:val="22"/>
        </w:rPr>
        <w:t>. To reikia, nes šis vaistas gali paveikti šio tyrimo rezultatus.</w:t>
      </w:r>
    </w:p>
    <w:p w14:paraId="1D5ABB9B" w14:textId="77777777" w:rsidR="00310394" w:rsidRPr="00310394" w:rsidRDefault="00310394" w:rsidP="00310394">
      <w:pPr>
        <w:rPr>
          <w:sz w:val="22"/>
          <w:szCs w:val="22"/>
        </w:rPr>
      </w:pPr>
    </w:p>
    <w:p w14:paraId="3CDBE7F3" w14:textId="58E6895E" w:rsidR="00310394" w:rsidRPr="00310394" w:rsidRDefault="00310394" w:rsidP="00310394">
      <w:pPr>
        <w:rPr>
          <w:sz w:val="22"/>
          <w:szCs w:val="22"/>
        </w:rPr>
      </w:pPr>
      <w:r w:rsidRPr="00310394">
        <w:rPr>
          <w:sz w:val="22"/>
          <w:szCs w:val="22"/>
        </w:rPr>
        <w:t xml:space="preserve">Jeigu bet kuri iš paminėtų sąlygų Jums tinka arba nesate dėl to tikri, pasitarkite su gydytoju arba vaistininku, prieš pradėdami vartoti </w:t>
      </w:r>
      <w:proofErr w:type="spellStart"/>
      <w:r w:rsidR="00954F63" w:rsidRPr="00954F63">
        <w:rPr>
          <w:sz w:val="22"/>
          <w:szCs w:val="22"/>
        </w:rPr>
        <w:t>Loratadine</w:t>
      </w:r>
      <w:proofErr w:type="spellEnd"/>
      <w:r w:rsidR="00954F63" w:rsidRPr="00954F63">
        <w:rPr>
          <w:sz w:val="22"/>
          <w:szCs w:val="22"/>
        </w:rPr>
        <w:t xml:space="preserve"> </w:t>
      </w:r>
      <w:proofErr w:type="spellStart"/>
      <w:r w:rsidR="00954F63" w:rsidRPr="00954F63">
        <w:rPr>
          <w:sz w:val="22"/>
          <w:szCs w:val="22"/>
        </w:rPr>
        <w:t>Accord</w:t>
      </w:r>
      <w:proofErr w:type="spellEnd"/>
      <w:r w:rsidRPr="00310394">
        <w:rPr>
          <w:sz w:val="22"/>
          <w:szCs w:val="22"/>
        </w:rPr>
        <w:t>.</w:t>
      </w:r>
    </w:p>
    <w:p w14:paraId="5B5E296C" w14:textId="77777777" w:rsidR="00310394" w:rsidRPr="00310394" w:rsidRDefault="00310394" w:rsidP="00310394">
      <w:pPr>
        <w:ind w:left="567" w:hanging="567"/>
        <w:rPr>
          <w:sz w:val="22"/>
          <w:szCs w:val="22"/>
        </w:rPr>
      </w:pPr>
    </w:p>
    <w:p w14:paraId="4667ED66" w14:textId="77777777" w:rsidR="00310394" w:rsidRPr="00310394" w:rsidRDefault="00310394" w:rsidP="00310394">
      <w:pPr>
        <w:spacing w:line="220" w:lineRule="exact"/>
        <w:rPr>
          <w:b/>
          <w:bCs/>
          <w:sz w:val="22"/>
          <w:szCs w:val="22"/>
        </w:rPr>
      </w:pPr>
      <w:r w:rsidRPr="00310394">
        <w:rPr>
          <w:b/>
          <w:bCs/>
          <w:sz w:val="22"/>
          <w:szCs w:val="22"/>
        </w:rPr>
        <w:t xml:space="preserve">Vaikams </w:t>
      </w:r>
    </w:p>
    <w:p w14:paraId="1C0B41BE" w14:textId="7858BAE0" w:rsidR="00310394" w:rsidRPr="00310394" w:rsidRDefault="00954F63" w:rsidP="00310394">
      <w:pPr>
        <w:spacing w:line="220" w:lineRule="exact"/>
        <w:rPr>
          <w:bCs/>
          <w:sz w:val="22"/>
          <w:szCs w:val="22"/>
        </w:rPr>
      </w:pPr>
      <w:proofErr w:type="spellStart"/>
      <w:r w:rsidRPr="00954F63">
        <w:rPr>
          <w:bCs/>
          <w:sz w:val="22"/>
          <w:szCs w:val="22"/>
        </w:rPr>
        <w:t>Loratadine</w:t>
      </w:r>
      <w:proofErr w:type="spellEnd"/>
      <w:r w:rsidRPr="00954F63">
        <w:rPr>
          <w:bCs/>
          <w:sz w:val="22"/>
          <w:szCs w:val="22"/>
        </w:rPr>
        <w:t xml:space="preserve"> </w:t>
      </w:r>
      <w:proofErr w:type="spellStart"/>
      <w:r w:rsidRPr="00954F63">
        <w:rPr>
          <w:bCs/>
          <w:sz w:val="22"/>
          <w:szCs w:val="22"/>
        </w:rPr>
        <w:t>Accord</w:t>
      </w:r>
      <w:proofErr w:type="spellEnd"/>
      <w:r w:rsidR="00310394" w:rsidRPr="00310394">
        <w:rPr>
          <w:bCs/>
          <w:sz w:val="22"/>
          <w:szCs w:val="22"/>
        </w:rPr>
        <w:t xml:space="preserve"> tablečių negalima vartoti jaunesniems kaip 6 metų vaikams arba</w:t>
      </w:r>
      <w:r w:rsidR="00310394" w:rsidRPr="00310394">
        <w:rPr>
          <w:sz w:val="22"/>
          <w:szCs w:val="22"/>
        </w:rPr>
        <w:t xml:space="preserve"> </w:t>
      </w:r>
      <w:r w:rsidR="00310394" w:rsidRPr="00310394">
        <w:rPr>
          <w:bCs/>
          <w:sz w:val="22"/>
          <w:szCs w:val="22"/>
        </w:rPr>
        <w:t>vaikams, kurie sveria 30 kg</w:t>
      </w:r>
      <w:r w:rsidRPr="00954F6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arba </w:t>
      </w:r>
      <w:r w:rsidRPr="00310394">
        <w:rPr>
          <w:bCs/>
          <w:sz w:val="22"/>
          <w:szCs w:val="22"/>
        </w:rPr>
        <w:t>mažiau</w:t>
      </w:r>
      <w:r w:rsidR="00310394" w:rsidRPr="00310394">
        <w:rPr>
          <w:bCs/>
          <w:sz w:val="22"/>
          <w:szCs w:val="22"/>
        </w:rPr>
        <w:t>.</w:t>
      </w:r>
      <w:r w:rsidR="00310394" w:rsidRPr="00310394">
        <w:rPr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 w:rsidRPr="00954F63">
        <w:rPr>
          <w:sz w:val="22"/>
          <w:szCs w:val="22"/>
        </w:rPr>
        <w:t xml:space="preserve">aunesniems </w:t>
      </w:r>
      <w:r>
        <w:rPr>
          <w:sz w:val="22"/>
          <w:szCs w:val="22"/>
        </w:rPr>
        <w:t>kaip</w:t>
      </w:r>
      <w:r w:rsidRPr="00954F63">
        <w:rPr>
          <w:sz w:val="22"/>
          <w:szCs w:val="22"/>
        </w:rPr>
        <w:t xml:space="preserve"> 6 metų ar sveriantiems 30 kg ar mažiau vaikams</w:t>
      </w:r>
      <w:r>
        <w:rPr>
          <w:sz w:val="22"/>
          <w:szCs w:val="22"/>
        </w:rPr>
        <w:t xml:space="preserve"> </w:t>
      </w:r>
      <w:r w:rsidRPr="00954F63">
        <w:rPr>
          <w:sz w:val="22"/>
          <w:szCs w:val="22"/>
        </w:rPr>
        <w:t>yra kitų tinkamesnių formų vaist</w:t>
      </w:r>
      <w:r>
        <w:rPr>
          <w:sz w:val="22"/>
          <w:szCs w:val="22"/>
        </w:rPr>
        <w:t>ų</w:t>
      </w:r>
      <w:r w:rsidRPr="00954F63">
        <w:rPr>
          <w:sz w:val="22"/>
          <w:szCs w:val="22"/>
        </w:rPr>
        <w:t>.</w:t>
      </w:r>
    </w:p>
    <w:p w14:paraId="76E5C7C6" w14:textId="77777777" w:rsidR="00310394" w:rsidRPr="00310394" w:rsidRDefault="00310394" w:rsidP="00310394">
      <w:pPr>
        <w:rPr>
          <w:i/>
          <w:sz w:val="22"/>
          <w:szCs w:val="22"/>
        </w:rPr>
      </w:pPr>
    </w:p>
    <w:p w14:paraId="682DE825" w14:textId="77777777" w:rsidR="00310394" w:rsidRPr="00310394" w:rsidRDefault="00310394" w:rsidP="00310394">
      <w:pPr>
        <w:rPr>
          <w:i/>
          <w:sz w:val="22"/>
          <w:szCs w:val="22"/>
        </w:rPr>
      </w:pPr>
      <w:r w:rsidRPr="00310394">
        <w:rPr>
          <w:i/>
          <w:sz w:val="22"/>
          <w:szCs w:val="22"/>
        </w:rPr>
        <w:t>Jaunesni kaip 2 metų vaikai</w:t>
      </w:r>
    </w:p>
    <w:p w14:paraId="442FBEF7" w14:textId="237033D7" w:rsidR="00310394" w:rsidRPr="00310394" w:rsidRDefault="00954F63" w:rsidP="00310394">
      <w:pPr>
        <w:rPr>
          <w:sz w:val="22"/>
          <w:szCs w:val="22"/>
        </w:rPr>
      </w:pPr>
      <w:proofErr w:type="spellStart"/>
      <w:r w:rsidRPr="00954F63">
        <w:rPr>
          <w:sz w:val="22"/>
          <w:szCs w:val="22"/>
        </w:rPr>
        <w:t>Loratadine</w:t>
      </w:r>
      <w:proofErr w:type="spellEnd"/>
      <w:r w:rsidRPr="00954F63">
        <w:rPr>
          <w:sz w:val="22"/>
          <w:szCs w:val="22"/>
        </w:rPr>
        <w:t xml:space="preserve"> </w:t>
      </w:r>
      <w:proofErr w:type="spellStart"/>
      <w:r w:rsidRPr="00954F63">
        <w:rPr>
          <w:sz w:val="22"/>
          <w:szCs w:val="22"/>
        </w:rPr>
        <w:t>Accord</w:t>
      </w:r>
      <w:proofErr w:type="spellEnd"/>
      <w:r w:rsidRPr="00954F63">
        <w:rPr>
          <w:sz w:val="22"/>
          <w:szCs w:val="22"/>
        </w:rPr>
        <w:t xml:space="preserve"> </w:t>
      </w:r>
      <w:r w:rsidR="00310394" w:rsidRPr="00310394">
        <w:rPr>
          <w:sz w:val="22"/>
          <w:szCs w:val="22"/>
        </w:rPr>
        <w:t>saugumas ir veiksmingumas neištirti. Duomenų nėra.</w:t>
      </w:r>
    </w:p>
    <w:p w14:paraId="76BDD64E" w14:textId="77777777" w:rsidR="00310394" w:rsidRPr="00310394" w:rsidRDefault="00310394" w:rsidP="00310394">
      <w:pPr>
        <w:spacing w:line="220" w:lineRule="exact"/>
        <w:rPr>
          <w:b/>
          <w:bCs/>
          <w:sz w:val="22"/>
          <w:szCs w:val="22"/>
        </w:rPr>
      </w:pPr>
    </w:p>
    <w:p w14:paraId="6BD36099" w14:textId="2C8BBEE0" w:rsidR="00310394" w:rsidRPr="00310394" w:rsidRDefault="00310394" w:rsidP="00310394">
      <w:pPr>
        <w:spacing w:line="220" w:lineRule="exact"/>
        <w:rPr>
          <w:b/>
          <w:bCs/>
          <w:sz w:val="22"/>
          <w:szCs w:val="22"/>
        </w:rPr>
      </w:pPr>
      <w:r w:rsidRPr="00310394">
        <w:rPr>
          <w:b/>
          <w:bCs/>
          <w:sz w:val="22"/>
          <w:szCs w:val="22"/>
        </w:rPr>
        <w:t xml:space="preserve">Kiti vaistai ir </w:t>
      </w:r>
      <w:proofErr w:type="spellStart"/>
      <w:r w:rsidR="00954F63" w:rsidRPr="00954F63">
        <w:rPr>
          <w:b/>
          <w:bCs/>
          <w:sz w:val="22"/>
          <w:szCs w:val="22"/>
        </w:rPr>
        <w:t>Loratadine</w:t>
      </w:r>
      <w:proofErr w:type="spellEnd"/>
      <w:r w:rsidR="00954F63" w:rsidRPr="00954F63">
        <w:rPr>
          <w:b/>
          <w:bCs/>
          <w:sz w:val="22"/>
          <w:szCs w:val="22"/>
        </w:rPr>
        <w:t xml:space="preserve"> </w:t>
      </w:r>
      <w:proofErr w:type="spellStart"/>
      <w:r w:rsidR="00954F63" w:rsidRPr="00954F63">
        <w:rPr>
          <w:b/>
          <w:bCs/>
          <w:sz w:val="22"/>
          <w:szCs w:val="22"/>
        </w:rPr>
        <w:t>Accord</w:t>
      </w:r>
      <w:proofErr w:type="spellEnd"/>
    </w:p>
    <w:p w14:paraId="272DCDF0" w14:textId="201279DD" w:rsidR="00310394" w:rsidRDefault="00954F63" w:rsidP="00310394">
      <w:pPr>
        <w:rPr>
          <w:sz w:val="22"/>
          <w:szCs w:val="22"/>
        </w:rPr>
      </w:pPr>
      <w:proofErr w:type="spellStart"/>
      <w:r w:rsidRPr="00954F63">
        <w:rPr>
          <w:sz w:val="22"/>
          <w:szCs w:val="22"/>
        </w:rPr>
        <w:t>Loratadine</w:t>
      </w:r>
      <w:proofErr w:type="spellEnd"/>
      <w:r w:rsidRPr="00954F63">
        <w:rPr>
          <w:sz w:val="22"/>
          <w:szCs w:val="22"/>
        </w:rPr>
        <w:t xml:space="preserve"> </w:t>
      </w:r>
      <w:proofErr w:type="spellStart"/>
      <w:r w:rsidRPr="00954F63">
        <w:rPr>
          <w:sz w:val="22"/>
          <w:szCs w:val="22"/>
        </w:rPr>
        <w:t>Accord</w:t>
      </w:r>
      <w:proofErr w:type="spellEnd"/>
      <w:r w:rsidR="00310394" w:rsidRPr="00310394">
        <w:rPr>
          <w:sz w:val="22"/>
          <w:szCs w:val="22"/>
        </w:rPr>
        <w:t xml:space="preserve"> nepageidaujamų reiškinių dažnis gali padidėti kartu vartojant vaistų, kurie keičia kai kurių fermentų</w:t>
      </w:r>
      <w:r>
        <w:rPr>
          <w:sz w:val="22"/>
          <w:szCs w:val="22"/>
        </w:rPr>
        <w:t>,</w:t>
      </w:r>
      <w:r w:rsidR="00310394" w:rsidRPr="00310394">
        <w:rPr>
          <w:sz w:val="22"/>
          <w:szCs w:val="22"/>
        </w:rPr>
        <w:t xml:space="preserve"> atsakingų už vaistų metabolizmą kepenyse</w:t>
      </w:r>
      <w:r w:rsidR="00711F88">
        <w:rPr>
          <w:sz w:val="22"/>
          <w:szCs w:val="22"/>
        </w:rPr>
        <w:t>,</w:t>
      </w:r>
      <w:r w:rsidRPr="00954F63">
        <w:rPr>
          <w:sz w:val="22"/>
          <w:szCs w:val="22"/>
        </w:rPr>
        <w:t xml:space="preserve"> </w:t>
      </w:r>
      <w:r w:rsidRPr="00310394">
        <w:rPr>
          <w:sz w:val="22"/>
          <w:szCs w:val="22"/>
        </w:rPr>
        <w:t>veiklą</w:t>
      </w:r>
      <w:r w:rsidR="00310394" w:rsidRPr="00310394">
        <w:rPr>
          <w:sz w:val="22"/>
          <w:szCs w:val="22"/>
        </w:rPr>
        <w:t xml:space="preserve">. </w:t>
      </w:r>
      <w:r w:rsidR="00711F88">
        <w:rPr>
          <w:sz w:val="22"/>
          <w:szCs w:val="22"/>
        </w:rPr>
        <w:t>Vis dėlto</w:t>
      </w:r>
      <w:r w:rsidR="00310394" w:rsidRPr="00310394">
        <w:rPr>
          <w:sz w:val="22"/>
          <w:szCs w:val="22"/>
        </w:rPr>
        <w:t xml:space="preserve"> klinikinių tyrimų metu nepageidaujamų reiškinių dažnio pa</w:t>
      </w:r>
      <w:r w:rsidR="00711F88">
        <w:rPr>
          <w:sz w:val="22"/>
          <w:szCs w:val="22"/>
        </w:rPr>
        <w:t>didėjimo</w:t>
      </w:r>
      <w:r w:rsidR="00310394" w:rsidRPr="00310394">
        <w:rPr>
          <w:sz w:val="22"/>
          <w:szCs w:val="22"/>
        </w:rPr>
        <w:t xml:space="preserve"> vartojant su vaistais, kurie keičia šių fermentų veiklą, nenustatyta. </w:t>
      </w:r>
    </w:p>
    <w:p w14:paraId="7FD9D4D8" w14:textId="77777777" w:rsidR="00711F88" w:rsidRPr="00310394" w:rsidRDefault="00711F88" w:rsidP="00310394">
      <w:pPr>
        <w:rPr>
          <w:sz w:val="22"/>
          <w:szCs w:val="22"/>
        </w:rPr>
      </w:pPr>
    </w:p>
    <w:p w14:paraId="23422982" w14:textId="77777777" w:rsidR="00310394" w:rsidRPr="00310394" w:rsidRDefault="00310394" w:rsidP="00310394">
      <w:pPr>
        <w:rPr>
          <w:sz w:val="22"/>
          <w:szCs w:val="22"/>
        </w:rPr>
      </w:pPr>
      <w:r w:rsidRPr="00310394">
        <w:rPr>
          <w:sz w:val="22"/>
          <w:szCs w:val="22"/>
        </w:rPr>
        <w:t>Jeigu vartojate arba neseniai vartojote kitų vaistų arba dėl to nesate tikri, įskaitant įsigytus be recepto, apie tai pasakykite gydytojui arba vaistininkui.</w:t>
      </w:r>
    </w:p>
    <w:p w14:paraId="3C3F3858" w14:textId="77777777" w:rsidR="00310394" w:rsidRPr="00310394" w:rsidRDefault="00310394" w:rsidP="00310394">
      <w:pPr>
        <w:ind w:left="567" w:hanging="567"/>
        <w:rPr>
          <w:b/>
          <w:sz w:val="22"/>
          <w:szCs w:val="22"/>
        </w:rPr>
      </w:pPr>
    </w:p>
    <w:p w14:paraId="606152D2" w14:textId="6B2462C5" w:rsidR="00310394" w:rsidRPr="00310394" w:rsidRDefault="00711F88" w:rsidP="00310394">
      <w:pPr>
        <w:ind w:left="567" w:hanging="567"/>
        <w:rPr>
          <w:b/>
          <w:sz w:val="22"/>
          <w:szCs w:val="22"/>
        </w:rPr>
      </w:pPr>
      <w:proofErr w:type="spellStart"/>
      <w:r w:rsidRPr="00711F88">
        <w:rPr>
          <w:b/>
          <w:sz w:val="22"/>
          <w:szCs w:val="22"/>
        </w:rPr>
        <w:t>Loratadine</w:t>
      </w:r>
      <w:proofErr w:type="spellEnd"/>
      <w:r w:rsidRPr="00711F88">
        <w:rPr>
          <w:b/>
          <w:sz w:val="22"/>
          <w:szCs w:val="22"/>
        </w:rPr>
        <w:t xml:space="preserve"> </w:t>
      </w:r>
      <w:proofErr w:type="spellStart"/>
      <w:r w:rsidRPr="00711F88">
        <w:rPr>
          <w:b/>
          <w:sz w:val="22"/>
          <w:szCs w:val="22"/>
        </w:rPr>
        <w:t>Accord</w:t>
      </w:r>
      <w:proofErr w:type="spellEnd"/>
      <w:r w:rsidR="00310394" w:rsidRPr="00310394">
        <w:rPr>
          <w:b/>
          <w:sz w:val="22"/>
          <w:szCs w:val="22"/>
        </w:rPr>
        <w:t xml:space="preserve"> vartojimas su alkoholiu</w:t>
      </w:r>
    </w:p>
    <w:p w14:paraId="44EE7145" w14:textId="671DD629" w:rsidR="00310394" w:rsidRPr="00310394" w:rsidRDefault="00711F88" w:rsidP="00310394">
      <w:pPr>
        <w:rPr>
          <w:sz w:val="22"/>
          <w:szCs w:val="22"/>
        </w:rPr>
      </w:pPr>
      <w:proofErr w:type="spellStart"/>
      <w:r w:rsidRPr="00711F88">
        <w:rPr>
          <w:sz w:val="22"/>
          <w:szCs w:val="22"/>
        </w:rPr>
        <w:t>Loratadine</w:t>
      </w:r>
      <w:proofErr w:type="spellEnd"/>
      <w:r w:rsidRPr="00711F88">
        <w:rPr>
          <w:sz w:val="22"/>
          <w:szCs w:val="22"/>
        </w:rPr>
        <w:t xml:space="preserve"> </w:t>
      </w:r>
      <w:proofErr w:type="spellStart"/>
      <w:r w:rsidRPr="00711F88">
        <w:rPr>
          <w:sz w:val="22"/>
          <w:szCs w:val="22"/>
        </w:rPr>
        <w:t>Accord</w:t>
      </w:r>
      <w:proofErr w:type="spellEnd"/>
      <w:r w:rsidR="00310394" w:rsidRPr="00310394">
        <w:rPr>
          <w:sz w:val="22"/>
          <w:szCs w:val="22"/>
        </w:rPr>
        <w:t xml:space="preserve"> vartojant kartu su alkoholiniais gėrimais, alkoholio poveikis nesustiprėja.</w:t>
      </w:r>
    </w:p>
    <w:p w14:paraId="0A7C3418" w14:textId="77777777" w:rsidR="00310394" w:rsidRPr="00310394" w:rsidRDefault="00310394" w:rsidP="00310394">
      <w:pPr>
        <w:spacing w:line="220" w:lineRule="exact"/>
        <w:rPr>
          <w:b/>
          <w:bCs/>
          <w:sz w:val="22"/>
          <w:szCs w:val="22"/>
        </w:rPr>
      </w:pPr>
    </w:p>
    <w:p w14:paraId="59E72FE5" w14:textId="77777777" w:rsidR="00310394" w:rsidRPr="00310394" w:rsidRDefault="00310394" w:rsidP="00310394">
      <w:pPr>
        <w:spacing w:line="220" w:lineRule="exact"/>
        <w:rPr>
          <w:b/>
          <w:bCs/>
          <w:sz w:val="22"/>
          <w:szCs w:val="22"/>
        </w:rPr>
      </w:pPr>
      <w:r w:rsidRPr="00310394">
        <w:rPr>
          <w:b/>
          <w:bCs/>
          <w:sz w:val="22"/>
          <w:szCs w:val="22"/>
        </w:rPr>
        <w:t>Nėštumas ir žindymo laikotarpis</w:t>
      </w:r>
    </w:p>
    <w:p w14:paraId="395CFBC4" w14:textId="4915F3DC" w:rsidR="00310394" w:rsidRDefault="00310394" w:rsidP="00711F88">
      <w:pPr>
        <w:keepNext/>
        <w:tabs>
          <w:tab w:val="left" w:pos="567"/>
        </w:tabs>
        <w:spacing w:line="240" w:lineRule="atLeast"/>
        <w:outlineLvl w:val="1"/>
        <w:rPr>
          <w:sz w:val="22"/>
          <w:szCs w:val="22"/>
        </w:rPr>
      </w:pPr>
      <w:r w:rsidRPr="00310394">
        <w:rPr>
          <w:snapToGrid w:val="0"/>
          <w:sz w:val="22"/>
          <w:szCs w:val="22"/>
        </w:rPr>
        <w:t>Jeigu esate nėščia, žindote kūdikį, manote, kad galbūt esate nėščia arba planuojate pastoti, tai prieš vartodama šį vaistą pasitarkite su gydytoju arba vaistininku.</w:t>
      </w:r>
      <w:r w:rsidR="00711F88">
        <w:rPr>
          <w:snapToGrid w:val="0"/>
          <w:sz w:val="22"/>
          <w:szCs w:val="22"/>
        </w:rPr>
        <w:t xml:space="preserve"> </w:t>
      </w:r>
      <w:r w:rsidRPr="00310394">
        <w:rPr>
          <w:sz w:val="22"/>
          <w:szCs w:val="22"/>
        </w:rPr>
        <w:t xml:space="preserve">Laikantis atsargumo nėštumo metu </w:t>
      </w:r>
      <w:proofErr w:type="spellStart"/>
      <w:r w:rsidR="00711F88" w:rsidRPr="00711F88">
        <w:rPr>
          <w:sz w:val="22"/>
          <w:szCs w:val="22"/>
        </w:rPr>
        <w:t>Loratadine</w:t>
      </w:r>
      <w:proofErr w:type="spellEnd"/>
      <w:r w:rsidR="00711F88" w:rsidRPr="00711F88">
        <w:rPr>
          <w:sz w:val="22"/>
          <w:szCs w:val="22"/>
        </w:rPr>
        <w:t xml:space="preserve"> </w:t>
      </w:r>
      <w:proofErr w:type="spellStart"/>
      <w:r w:rsidR="00711F88" w:rsidRPr="00711F88">
        <w:rPr>
          <w:sz w:val="22"/>
          <w:szCs w:val="22"/>
        </w:rPr>
        <w:t>Accord</w:t>
      </w:r>
      <w:proofErr w:type="spellEnd"/>
      <w:r w:rsidRPr="00310394">
        <w:rPr>
          <w:sz w:val="22"/>
          <w:szCs w:val="22"/>
        </w:rPr>
        <w:t xml:space="preserve"> geriau nevartoti.</w:t>
      </w:r>
    </w:p>
    <w:p w14:paraId="6A392113" w14:textId="77777777" w:rsidR="00711F88" w:rsidRPr="00310394" w:rsidRDefault="00711F88" w:rsidP="00711F88">
      <w:pPr>
        <w:keepNext/>
        <w:tabs>
          <w:tab w:val="left" w:pos="567"/>
        </w:tabs>
        <w:spacing w:line="240" w:lineRule="atLeast"/>
        <w:outlineLvl w:val="1"/>
        <w:rPr>
          <w:sz w:val="22"/>
          <w:szCs w:val="22"/>
        </w:rPr>
      </w:pPr>
    </w:p>
    <w:p w14:paraId="3F33680B" w14:textId="6E1E20AE" w:rsidR="00310394" w:rsidRPr="00310394" w:rsidRDefault="00711F88" w:rsidP="00310394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žindote, </w:t>
      </w:r>
      <w:proofErr w:type="spellStart"/>
      <w:r w:rsidRPr="00711F88">
        <w:rPr>
          <w:sz w:val="22"/>
          <w:szCs w:val="22"/>
        </w:rPr>
        <w:t>Loratadine</w:t>
      </w:r>
      <w:proofErr w:type="spellEnd"/>
      <w:r w:rsidRPr="00711F88">
        <w:rPr>
          <w:sz w:val="22"/>
          <w:szCs w:val="22"/>
        </w:rPr>
        <w:t xml:space="preserve"> </w:t>
      </w:r>
      <w:proofErr w:type="spellStart"/>
      <w:r w:rsidRPr="00711F88">
        <w:rPr>
          <w:sz w:val="22"/>
          <w:szCs w:val="22"/>
        </w:rPr>
        <w:t>Accord</w:t>
      </w:r>
      <w:proofErr w:type="spellEnd"/>
      <w:r w:rsidRPr="003103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nevartokite. </w:t>
      </w:r>
      <w:proofErr w:type="spellStart"/>
      <w:r w:rsidR="00310394" w:rsidRPr="00310394">
        <w:rPr>
          <w:sz w:val="22"/>
          <w:szCs w:val="22"/>
        </w:rPr>
        <w:t>Loratadino</w:t>
      </w:r>
      <w:proofErr w:type="spellEnd"/>
      <w:r w:rsidR="00310394" w:rsidRPr="00310394">
        <w:rPr>
          <w:sz w:val="22"/>
          <w:szCs w:val="22"/>
        </w:rPr>
        <w:t xml:space="preserve"> patenka į motinos pieną, </w:t>
      </w:r>
    </w:p>
    <w:p w14:paraId="322B3FAB" w14:textId="77777777" w:rsidR="00310394" w:rsidRPr="00310394" w:rsidRDefault="00310394" w:rsidP="00310394">
      <w:pPr>
        <w:ind w:left="567" w:hanging="567"/>
        <w:rPr>
          <w:sz w:val="22"/>
          <w:szCs w:val="22"/>
        </w:rPr>
      </w:pPr>
    </w:p>
    <w:p w14:paraId="40365C83" w14:textId="77777777" w:rsidR="00310394" w:rsidRPr="00310394" w:rsidRDefault="00310394" w:rsidP="00711F88">
      <w:pPr>
        <w:keepNext/>
        <w:ind w:left="567" w:hanging="567"/>
        <w:rPr>
          <w:b/>
          <w:sz w:val="22"/>
          <w:szCs w:val="22"/>
        </w:rPr>
      </w:pPr>
      <w:r w:rsidRPr="00310394">
        <w:rPr>
          <w:b/>
          <w:sz w:val="22"/>
          <w:szCs w:val="22"/>
        </w:rPr>
        <w:t>Vairavimas ir mechanizmų valdymas</w:t>
      </w:r>
    </w:p>
    <w:p w14:paraId="0087DBD2" w14:textId="2720A3EB" w:rsidR="00310394" w:rsidRPr="00310394" w:rsidRDefault="00310394" w:rsidP="00711F88">
      <w:pPr>
        <w:keepNext/>
        <w:rPr>
          <w:sz w:val="22"/>
          <w:szCs w:val="22"/>
        </w:rPr>
      </w:pPr>
      <w:r w:rsidRPr="00310394">
        <w:rPr>
          <w:sz w:val="22"/>
          <w:szCs w:val="22"/>
        </w:rPr>
        <w:t xml:space="preserve">Klinikinių tyrimų metu, kai buvo vertinamas gebėjimas vairuoti, pacientams, vartojusiems </w:t>
      </w:r>
      <w:proofErr w:type="spellStart"/>
      <w:r w:rsidRPr="00310394">
        <w:rPr>
          <w:sz w:val="22"/>
          <w:szCs w:val="22"/>
        </w:rPr>
        <w:t>loratadino</w:t>
      </w:r>
      <w:proofErr w:type="spellEnd"/>
      <w:r w:rsidRPr="00310394">
        <w:rPr>
          <w:sz w:val="22"/>
          <w:szCs w:val="22"/>
        </w:rPr>
        <w:t xml:space="preserve">, jokių sutrikimų nenustatyta. Vartojant rekomenduojamomis dozėmis, </w:t>
      </w:r>
      <w:proofErr w:type="spellStart"/>
      <w:r w:rsidR="00711F88" w:rsidRPr="00711F88">
        <w:rPr>
          <w:sz w:val="22"/>
          <w:szCs w:val="22"/>
        </w:rPr>
        <w:t>Loratadine</w:t>
      </w:r>
      <w:proofErr w:type="spellEnd"/>
      <w:r w:rsidR="00711F88" w:rsidRPr="00711F88">
        <w:rPr>
          <w:sz w:val="22"/>
          <w:szCs w:val="22"/>
        </w:rPr>
        <w:t xml:space="preserve"> </w:t>
      </w:r>
      <w:proofErr w:type="spellStart"/>
      <w:r w:rsidR="00711F88" w:rsidRPr="00711F88">
        <w:rPr>
          <w:sz w:val="22"/>
          <w:szCs w:val="22"/>
        </w:rPr>
        <w:t>Accord</w:t>
      </w:r>
      <w:proofErr w:type="spellEnd"/>
      <w:r w:rsidR="00711F88" w:rsidRPr="00711F88">
        <w:rPr>
          <w:sz w:val="22"/>
          <w:szCs w:val="22"/>
        </w:rPr>
        <w:t xml:space="preserve"> </w:t>
      </w:r>
      <w:r w:rsidRPr="00310394">
        <w:rPr>
          <w:sz w:val="22"/>
          <w:szCs w:val="22"/>
        </w:rPr>
        <w:t>neturėtų sukelti mieguistumo ar sumažinti budrumo. Vis dėlto labai retais atvejais, kai kurie žmonės jaučia mieguistumą, kuris gali paveikti jų gebėjimą vairuoti ar valdyti mechanizmus.</w:t>
      </w:r>
    </w:p>
    <w:p w14:paraId="7708ACAD" w14:textId="77777777" w:rsidR="00310394" w:rsidRPr="00310394" w:rsidRDefault="00310394" w:rsidP="00310394">
      <w:pPr>
        <w:ind w:left="567" w:hanging="567"/>
        <w:rPr>
          <w:sz w:val="22"/>
          <w:szCs w:val="22"/>
        </w:rPr>
      </w:pPr>
    </w:p>
    <w:p w14:paraId="22D55B31" w14:textId="29263235" w:rsidR="00310394" w:rsidRPr="00310394" w:rsidRDefault="00711F88" w:rsidP="00310394">
      <w:pPr>
        <w:ind w:left="567" w:hanging="567"/>
        <w:rPr>
          <w:b/>
          <w:sz w:val="22"/>
          <w:szCs w:val="22"/>
        </w:rPr>
      </w:pPr>
      <w:proofErr w:type="spellStart"/>
      <w:r w:rsidRPr="00711F88">
        <w:rPr>
          <w:b/>
          <w:sz w:val="22"/>
          <w:szCs w:val="22"/>
        </w:rPr>
        <w:t>Loratadine</w:t>
      </w:r>
      <w:proofErr w:type="spellEnd"/>
      <w:r w:rsidRPr="00711F88">
        <w:rPr>
          <w:b/>
          <w:sz w:val="22"/>
          <w:szCs w:val="22"/>
        </w:rPr>
        <w:t xml:space="preserve"> </w:t>
      </w:r>
      <w:proofErr w:type="spellStart"/>
      <w:r w:rsidRPr="00711F88">
        <w:rPr>
          <w:b/>
          <w:sz w:val="22"/>
          <w:szCs w:val="22"/>
        </w:rPr>
        <w:t>Accord</w:t>
      </w:r>
      <w:proofErr w:type="spellEnd"/>
      <w:r w:rsidRPr="00711F88">
        <w:rPr>
          <w:b/>
          <w:sz w:val="22"/>
          <w:szCs w:val="22"/>
        </w:rPr>
        <w:t xml:space="preserve"> </w:t>
      </w:r>
      <w:r w:rsidR="00310394" w:rsidRPr="00310394">
        <w:rPr>
          <w:b/>
          <w:sz w:val="22"/>
          <w:szCs w:val="22"/>
        </w:rPr>
        <w:t>sudėtyje yra laktozės</w:t>
      </w:r>
    </w:p>
    <w:p w14:paraId="6E182CDB" w14:textId="75C7B726" w:rsidR="00310394" w:rsidRPr="00310394" w:rsidRDefault="00711F88" w:rsidP="00310394">
      <w:pPr>
        <w:rPr>
          <w:sz w:val="22"/>
          <w:szCs w:val="22"/>
        </w:rPr>
      </w:pPr>
      <w:proofErr w:type="spellStart"/>
      <w:r w:rsidRPr="00711F88">
        <w:rPr>
          <w:sz w:val="22"/>
          <w:szCs w:val="22"/>
        </w:rPr>
        <w:t>Loratadine</w:t>
      </w:r>
      <w:proofErr w:type="spellEnd"/>
      <w:r w:rsidRPr="00711F88">
        <w:rPr>
          <w:sz w:val="22"/>
          <w:szCs w:val="22"/>
        </w:rPr>
        <w:t xml:space="preserve"> </w:t>
      </w:r>
      <w:proofErr w:type="spellStart"/>
      <w:r w:rsidRPr="00711F88">
        <w:rPr>
          <w:sz w:val="22"/>
          <w:szCs w:val="22"/>
        </w:rPr>
        <w:t>Accord</w:t>
      </w:r>
      <w:proofErr w:type="spellEnd"/>
      <w:r w:rsidRPr="00711F88">
        <w:rPr>
          <w:sz w:val="22"/>
          <w:szCs w:val="22"/>
        </w:rPr>
        <w:t xml:space="preserve"> sudėtyje yra laktozės</w:t>
      </w:r>
      <w:r>
        <w:rPr>
          <w:sz w:val="22"/>
          <w:szCs w:val="22"/>
        </w:rPr>
        <w:t xml:space="preserve">. </w:t>
      </w:r>
      <w:r w:rsidR="00310394" w:rsidRPr="00310394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307DC765" w14:textId="1151CAF5" w:rsidR="00310394" w:rsidRPr="00310394" w:rsidRDefault="00310394" w:rsidP="00310394">
      <w:pPr>
        <w:rPr>
          <w:sz w:val="22"/>
          <w:szCs w:val="22"/>
        </w:rPr>
      </w:pPr>
    </w:p>
    <w:p w14:paraId="09E3DE04" w14:textId="77777777" w:rsidR="00310394" w:rsidRPr="00310394" w:rsidRDefault="00310394" w:rsidP="00310394">
      <w:pPr>
        <w:rPr>
          <w:sz w:val="22"/>
          <w:szCs w:val="22"/>
        </w:rPr>
      </w:pPr>
    </w:p>
    <w:p w14:paraId="61B81E68" w14:textId="33F0B544" w:rsidR="006629FE" w:rsidRPr="00310394" w:rsidRDefault="006629FE" w:rsidP="006629FE">
      <w:pPr>
        <w:keepNext/>
        <w:tabs>
          <w:tab w:val="left" w:pos="567"/>
        </w:tabs>
        <w:outlineLvl w:val="1"/>
        <w:rPr>
          <w:b/>
          <w:noProof/>
          <w:sz w:val="22"/>
          <w:szCs w:val="22"/>
        </w:rPr>
      </w:pPr>
      <w:r w:rsidRPr="00310394">
        <w:rPr>
          <w:b/>
          <w:noProof/>
          <w:sz w:val="22"/>
          <w:szCs w:val="22"/>
        </w:rPr>
        <w:t>3.</w:t>
      </w:r>
      <w:r w:rsidRPr="00310394">
        <w:rPr>
          <w:b/>
          <w:noProof/>
          <w:sz w:val="22"/>
          <w:szCs w:val="22"/>
        </w:rPr>
        <w:tab/>
        <w:t xml:space="preserve">Kaip vartoti </w:t>
      </w:r>
      <w:bookmarkEnd w:id="4"/>
      <w:bookmarkEnd w:id="5"/>
      <w:r w:rsidR="00310394" w:rsidRPr="00310394">
        <w:rPr>
          <w:b/>
          <w:noProof/>
          <w:sz w:val="22"/>
          <w:szCs w:val="22"/>
        </w:rPr>
        <w:t>Loratadine</w:t>
      </w:r>
      <w:r w:rsidR="00744DD5" w:rsidRPr="00310394">
        <w:rPr>
          <w:b/>
          <w:noProof/>
          <w:sz w:val="22"/>
          <w:szCs w:val="22"/>
        </w:rPr>
        <w:t xml:space="preserve"> </w:t>
      </w:r>
      <w:r w:rsidR="00775941" w:rsidRPr="00310394">
        <w:rPr>
          <w:b/>
          <w:noProof/>
          <w:sz w:val="22"/>
          <w:szCs w:val="22"/>
        </w:rPr>
        <w:t>Accord</w:t>
      </w:r>
      <w:r w:rsidRPr="00310394">
        <w:rPr>
          <w:b/>
          <w:noProof/>
          <w:sz w:val="22"/>
          <w:szCs w:val="22"/>
        </w:rPr>
        <w:t xml:space="preserve"> </w:t>
      </w:r>
    </w:p>
    <w:p w14:paraId="6F736102" w14:textId="77777777" w:rsidR="006629FE" w:rsidRPr="00310394" w:rsidRDefault="006629FE" w:rsidP="006629FE">
      <w:pPr>
        <w:rPr>
          <w:noProof/>
          <w:sz w:val="22"/>
          <w:szCs w:val="22"/>
        </w:rPr>
      </w:pPr>
    </w:p>
    <w:p w14:paraId="4F381C08" w14:textId="77777777" w:rsidR="00310394" w:rsidRPr="00310394" w:rsidRDefault="00310394" w:rsidP="00310394">
      <w:pPr>
        <w:rPr>
          <w:sz w:val="22"/>
          <w:szCs w:val="22"/>
        </w:rPr>
      </w:pPr>
      <w:r w:rsidRPr="00310394">
        <w:rPr>
          <w:sz w:val="22"/>
          <w:szCs w:val="22"/>
        </w:rPr>
        <w:t xml:space="preserve">Visada vartokite šį vaistą tiksliai kaip aprašyta šiame lapelyje arba kaip nurodė gydytojas arba vaistininkas. Jeigu abejojate, kreipkitės į gydytoją arba vaistininką. </w:t>
      </w:r>
    </w:p>
    <w:p w14:paraId="078A033C" w14:textId="77777777" w:rsidR="00711F88" w:rsidRDefault="00711F88" w:rsidP="00310394">
      <w:pPr>
        <w:rPr>
          <w:sz w:val="22"/>
          <w:szCs w:val="22"/>
        </w:rPr>
      </w:pPr>
    </w:p>
    <w:p w14:paraId="36982BC9" w14:textId="28F1B872" w:rsidR="00310394" w:rsidRPr="00310394" w:rsidRDefault="00711F88" w:rsidP="00310394">
      <w:pPr>
        <w:rPr>
          <w:sz w:val="22"/>
          <w:szCs w:val="22"/>
        </w:rPr>
      </w:pPr>
      <w:r w:rsidRPr="00711F88">
        <w:rPr>
          <w:sz w:val="22"/>
          <w:szCs w:val="22"/>
        </w:rPr>
        <w:t xml:space="preserve">Tabletės vagelė skirta </w:t>
      </w:r>
      <w:r w:rsidR="003C313D">
        <w:rPr>
          <w:sz w:val="22"/>
          <w:szCs w:val="22"/>
        </w:rPr>
        <w:t xml:space="preserve">tik </w:t>
      </w:r>
      <w:r w:rsidRPr="00711F88">
        <w:rPr>
          <w:sz w:val="22"/>
          <w:szCs w:val="22"/>
        </w:rPr>
        <w:t>padėti sulaužyti tabletę, jei</w:t>
      </w:r>
      <w:r w:rsidR="003C313D">
        <w:rPr>
          <w:sz w:val="22"/>
          <w:szCs w:val="22"/>
        </w:rPr>
        <w:t>gu Jums</w:t>
      </w:r>
      <w:r w:rsidRPr="00711F88">
        <w:rPr>
          <w:sz w:val="22"/>
          <w:szCs w:val="22"/>
        </w:rPr>
        <w:t xml:space="preserve"> sunku nuryti </w:t>
      </w:r>
      <w:r w:rsidR="003C313D">
        <w:rPr>
          <w:sz w:val="22"/>
          <w:szCs w:val="22"/>
        </w:rPr>
        <w:t xml:space="preserve">ją </w:t>
      </w:r>
      <w:r w:rsidRPr="00711F88">
        <w:rPr>
          <w:sz w:val="22"/>
          <w:szCs w:val="22"/>
        </w:rPr>
        <w:t>visą.</w:t>
      </w:r>
    </w:p>
    <w:p w14:paraId="36E8F611" w14:textId="77777777" w:rsidR="00711F88" w:rsidRDefault="00711F88" w:rsidP="00310394">
      <w:pPr>
        <w:rPr>
          <w:bCs/>
          <w:i/>
          <w:sz w:val="22"/>
          <w:szCs w:val="22"/>
        </w:rPr>
      </w:pPr>
    </w:p>
    <w:p w14:paraId="561DF0CB" w14:textId="5C8A9DBA" w:rsidR="00310394" w:rsidRDefault="003C313D" w:rsidP="0031039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Šio vaisto </w:t>
      </w:r>
      <w:r w:rsidR="007719E6">
        <w:rPr>
          <w:b/>
          <w:sz w:val="22"/>
          <w:szCs w:val="22"/>
        </w:rPr>
        <w:t>davimas</w:t>
      </w:r>
      <w:r w:rsidR="00310394" w:rsidRPr="00310394">
        <w:rPr>
          <w:b/>
          <w:sz w:val="22"/>
          <w:szCs w:val="22"/>
        </w:rPr>
        <w:t xml:space="preserve"> vaikams</w:t>
      </w:r>
    </w:p>
    <w:p w14:paraId="083C850D" w14:textId="14B882B7" w:rsidR="007719E6" w:rsidRPr="007719E6" w:rsidRDefault="007719E6" w:rsidP="007719E6">
      <w:pPr>
        <w:rPr>
          <w:bCs/>
          <w:sz w:val="22"/>
          <w:szCs w:val="22"/>
        </w:rPr>
      </w:pPr>
      <w:r w:rsidRPr="007719E6">
        <w:rPr>
          <w:bCs/>
          <w:sz w:val="22"/>
          <w:szCs w:val="22"/>
        </w:rPr>
        <w:t xml:space="preserve">Svarbu žinoti, kiek sveria </w:t>
      </w:r>
      <w:r>
        <w:rPr>
          <w:bCs/>
          <w:sz w:val="22"/>
          <w:szCs w:val="22"/>
        </w:rPr>
        <w:t>J</w:t>
      </w:r>
      <w:r w:rsidRPr="007719E6">
        <w:rPr>
          <w:bCs/>
          <w:sz w:val="22"/>
          <w:szCs w:val="22"/>
        </w:rPr>
        <w:t>ūsų vaikas, kad įsitikintumėte, jog duodate tinkamą vaist</w:t>
      </w:r>
      <w:r>
        <w:rPr>
          <w:bCs/>
          <w:sz w:val="22"/>
          <w:szCs w:val="22"/>
        </w:rPr>
        <w:t>o</w:t>
      </w:r>
      <w:r w:rsidRPr="007719E6">
        <w:rPr>
          <w:bCs/>
          <w:sz w:val="22"/>
          <w:szCs w:val="22"/>
        </w:rPr>
        <w:t xml:space="preserve"> kiekį. Jei abejojate, pasverkite savo vaiką ir vadovaukitės lentelėje pateiktomis instrukcijomis.</w:t>
      </w:r>
    </w:p>
    <w:p w14:paraId="14C8F960" w14:textId="77777777" w:rsidR="007719E6" w:rsidRPr="007719E6" w:rsidRDefault="007719E6" w:rsidP="007719E6">
      <w:pPr>
        <w:rPr>
          <w:bCs/>
          <w:sz w:val="22"/>
          <w:szCs w:val="22"/>
        </w:rPr>
      </w:pPr>
    </w:p>
    <w:p w14:paraId="0E2DD217" w14:textId="3C78EE88" w:rsidR="007719E6" w:rsidRDefault="007719E6" w:rsidP="007719E6">
      <w:pPr>
        <w:rPr>
          <w:bCs/>
          <w:sz w:val="22"/>
          <w:szCs w:val="22"/>
        </w:rPr>
      </w:pPr>
      <w:r w:rsidRPr="007719E6">
        <w:rPr>
          <w:bCs/>
          <w:sz w:val="22"/>
          <w:szCs w:val="22"/>
        </w:rPr>
        <w:t>Negalima duoti vaikams, sveriantiems 30</w:t>
      </w:r>
      <w:r>
        <w:rPr>
          <w:bCs/>
          <w:sz w:val="22"/>
          <w:szCs w:val="22"/>
        </w:rPr>
        <w:t> </w:t>
      </w:r>
      <w:r w:rsidRPr="007719E6">
        <w:rPr>
          <w:bCs/>
          <w:sz w:val="22"/>
          <w:szCs w:val="22"/>
        </w:rPr>
        <w:t xml:space="preserve">kg ar mažiau. Yra kitų </w:t>
      </w:r>
      <w:r>
        <w:rPr>
          <w:bCs/>
          <w:sz w:val="22"/>
          <w:szCs w:val="22"/>
        </w:rPr>
        <w:t>vaistų</w:t>
      </w:r>
      <w:r w:rsidR="0007008C">
        <w:rPr>
          <w:bCs/>
          <w:sz w:val="22"/>
          <w:szCs w:val="22"/>
        </w:rPr>
        <w:t xml:space="preserve"> formų</w:t>
      </w:r>
      <w:r w:rsidRPr="007719E6">
        <w:rPr>
          <w:bCs/>
          <w:sz w:val="22"/>
          <w:szCs w:val="22"/>
        </w:rPr>
        <w:t>, tinkamesnių vaikams iki 6 metų arba sveriantiems 30</w:t>
      </w:r>
      <w:r>
        <w:rPr>
          <w:bCs/>
          <w:sz w:val="22"/>
          <w:szCs w:val="22"/>
        </w:rPr>
        <w:t> </w:t>
      </w:r>
      <w:r w:rsidRPr="007719E6">
        <w:rPr>
          <w:bCs/>
          <w:sz w:val="22"/>
          <w:szCs w:val="22"/>
        </w:rPr>
        <w:t>kg ar mažiau. Nerekomenduojama vaikams iki 2 metų.</w:t>
      </w:r>
    </w:p>
    <w:p w14:paraId="3848F43B" w14:textId="77777777" w:rsidR="007719E6" w:rsidRDefault="007719E6" w:rsidP="007719E6">
      <w:pPr>
        <w:rPr>
          <w:bCs/>
          <w:sz w:val="22"/>
          <w:szCs w:val="22"/>
        </w:rPr>
      </w:pPr>
    </w:p>
    <w:p w14:paraId="7B9173ED" w14:textId="62CC4282" w:rsidR="007719E6" w:rsidRPr="007719E6" w:rsidRDefault="007719E6" w:rsidP="007719E6">
      <w:pPr>
        <w:rPr>
          <w:b/>
          <w:sz w:val="22"/>
          <w:szCs w:val="22"/>
        </w:rPr>
      </w:pPr>
      <w:r w:rsidRPr="007719E6">
        <w:rPr>
          <w:b/>
          <w:sz w:val="22"/>
          <w:szCs w:val="22"/>
        </w:rPr>
        <w:t>Kiek vartoti:</w:t>
      </w:r>
    </w:p>
    <w:p w14:paraId="55AB8B03" w14:textId="3D1B3D83" w:rsidR="00310394" w:rsidRDefault="00310394" w:rsidP="00310394">
      <w:pPr>
        <w:rPr>
          <w:bCs/>
          <w:i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65"/>
        <w:gridCol w:w="2160"/>
        <w:gridCol w:w="2149"/>
      </w:tblGrid>
      <w:tr w:rsidR="003C313D" w:rsidRPr="003C313D" w14:paraId="63B5EA6D" w14:textId="77777777" w:rsidTr="00DE4E18">
        <w:tc>
          <w:tcPr>
            <w:tcW w:w="4765" w:type="dxa"/>
          </w:tcPr>
          <w:p w14:paraId="601992D5" w14:textId="6D189569" w:rsidR="003C313D" w:rsidRPr="003C313D" w:rsidRDefault="003C313D" w:rsidP="00DE4E18">
            <w:pPr>
              <w:pStyle w:val="Default"/>
              <w:rPr>
                <w:b/>
                <w:bCs/>
                <w:sz w:val="22"/>
                <w:lang w:val="lt-LT"/>
              </w:rPr>
            </w:pPr>
            <w:r w:rsidRPr="003C313D">
              <w:rPr>
                <w:b/>
                <w:bCs/>
                <w:sz w:val="22"/>
                <w:lang w:val="lt-LT"/>
              </w:rPr>
              <w:t>Amžius ir svoris</w:t>
            </w:r>
          </w:p>
        </w:tc>
        <w:tc>
          <w:tcPr>
            <w:tcW w:w="2160" w:type="dxa"/>
          </w:tcPr>
          <w:p w14:paraId="5022D9C8" w14:textId="7177AAF2" w:rsidR="003C313D" w:rsidRPr="003C313D" w:rsidRDefault="003C313D" w:rsidP="00DE4E18">
            <w:pPr>
              <w:pStyle w:val="Default"/>
              <w:rPr>
                <w:b/>
                <w:bCs/>
                <w:sz w:val="22"/>
                <w:lang w:val="lt-LT"/>
              </w:rPr>
            </w:pPr>
            <w:r w:rsidRPr="003C313D">
              <w:rPr>
                <w:b/>
                <w:bCs/>
                <w:sz w:val="22"/>
                <w:lang w:val="lt-LT"/>
              </w:rPr>
              <w:t>Kiek vartoti</w:t>
            </w:r>
          </w:p>
        </w:tc>
        <w:tc>
          <w:tcPr>
            <w:tcW w:w="2149" w:type="dxa"/>
          </w:tcPr>
          <w:p w14:paraId="6409B6C7" w14:textId="45838452" w:rsidR="003C313D" w:rsidRPr="003C313D" w:rsidRDefault="003C313D" w:rsidP="00DE4E18">
            <w:pPr>
              <w:pStyle w:val="Default"/>
              <w:rPr>
                <w:b/>
                <w:bCs/>
                <w:sz w:val="22"/>
                <w:lang w:val="lt-LT"/>
              </w:rPr>
            </w:pPr>
            <w:r w:rsidRPr="003C313D">
              <w:rPr>
                <w:b/>
                <w:bCs/>
                <w:sz w:val="22"/>
                <w:lang w:val="lt-LT"/>
              </w:rPr>
              <w:t>Kaip dažnai vartoti</w:t>
            </w:r>
          </w:p>
        </w:tc>
      </w:tr>
      <w:tr w:rsidR="003C313D" w:rsidRPr="003C313D" w14:paraId="5A1C9A91" w14:textId="77777777" w:rsidTr="00DE4E18">
        <w:tc>
          <w:tcPr>
            <w:tcW w:w="4765" w:type="dxa"/>
          </w:tcPr>
          <w:p w14:paraId="54EF3448" w14:textId="4232CA1A" w:rsidR="003C313D" w:rsidRPr="003C313D" w:rsidRDefault="003C313D" w:rsidP="00DE4E18">
            <w:pPr>
              <w:pStyle w:val="Default"/>
              <w:rPr>
                <w:bCs/>
                <w:sz w:val="22"/>
                <w:lang w:val="lt-LT"/>
              </w:rPr>
            </w:pPr>
            <w:r w:rsidRPr="003C313D">
              <w:rPr>
                <w:bCs/>
                <w:sz w:val="22"/>
                <w:lang w:val="lt-LT"/>
              </w:rPr>
              <w:t xml:space="preserve">Suaugusieji ir vaikai nuo 6 metų, sveriantys </w:t>
            </w:r>
            <w:r w:rsidRPr="003C313D">
              <w:rPr>
                <w:b/>
                <w:sz w:val="22"/>
                <w:lang w:val="lt-LT"/>
              </w:rPr>
              <w:t>daugiau kaip</w:t>
            </w:r>
            <w:r w:rsidRPr="003C313D">
              <w:rPr>
                <w:bCs/>
                <w:sz w:val="22"/>
                <w:lang w:val="lt-LT"/>
              </w:rPr>
              <w:t xml:space="preserve"> 30 kg</w:t>
            </w:r>
          </w:p>
        </w:tc>
        <w:tc>
          <w:tcPr>
            <w:tcW w:w="2160" w:type="dxa"/>
          </w:tcPr>
          <w:p w14:paraId="77B5A271" w14:textId="7C540476" w:rsidR="003C313D" w:rsidRPr="003C313D" w:rsidRDefault="003C313D" w:rsidP="00DE4E18">
            <w:pPr>
              <w:pStyle w:val="Default"/>
              <w:rPr>
                <w:bCs/>
                <w:sz w:val="22"/>
                <w:lang w:val="lt-LT"/>
              </w:rPr>
            </w:pPr>
            <w:r w:rsidRPr="003C313D">
              <w:rPr>
                <w:bCs/>
                <w:sz w:val="22"/>
                <w:lang w:val="lt-LT"/>
              </w:rPr>
              <w:t>1 tabletė</w:t>
            </w:r>
          </w:p>
        </w:tc>
        <w:tc>
          <w:tcPr>
            <w:tcW w:w="2149" w:type="dxa"/>
          </w:tcPr>
          <w:p w14:paraId="0E25C5A9" w14:textId="3E3C18CE" w:rsidR="003C313D" w:rsidRPr="003C313D" w:rsidRDefault="007E4FF0" w:rsidP="00DE4E18">
            <w:pPr>
              <w:pStyle w:val="Default"/>
              <w:rPr>
                <w:bCs/>
                <w:sz w:val="22"/>
                <w:lang w:val="lt-LT"/>
              </w:rPr>
            </w:pPr>
            <w:r>
              <w:rPr>
                <w:bCs/>
                <w:sz w:val="22"/>
                <w:lang w:val="lt-LT"/>
              </w:rPr>
              <w:t>V</w:t>
            </w:r>
            <w:r w:rsidR="003C313D" w:rsidRPr="003C313D">
              <w:rPr>
                <w:bCs/>
                <w:sz w:val="22"/>
                <w:lang w:val="lt-LT"/>
              </w:rPr>
              <w:t>ieną kartą</w:t>
            </w:r>
            <w:r>
              <w:rPr>
                <w:bCs/>
                <w:sz w:val="22"/>
                <w:lang w:val="lt-LT"/>
              </w:rPr>
              <w:t xml:space="preserve"> per parą</w:t>
            </w:r>
          </w:p>
        </w:tc>
      </w:tr>
      <w:tr w:rsidR="003C313D" w:rsidRPr="003C313D" w14:paraId="06EAB242" w14:textId="77777777" w:rsidTr="00DE4E18">
        <w:tc>
          <w:tcPr>
            <w:tcW w:w="4765" w:type="dxa"/>
          </w:tcPr>
          <w:p w14:paraId="16629308" w14:textId="7CE49F9D" w:rsidR="003C313D" w:rsidRPr="003C313D" w:rsidRDefault="003C313D" w:rsidP="00DE4E18">
            <w:pPr>
              <w:pStyle w:val="Default"/>
              <w:rPr>
                <w:bCs/>
                <w:sz w:val="22"/>
                <w:lang w:val="lt-LT"/>
              </w:rPr>
            </w:pPr>
            <w:r w:rsidRPr="003C313D">
              <w:rPr>
                <w:bCs/>
                <w:sz w:val="22"/>
                <w:lang w:val="lt-LT"/>
              </w:rPr>
              <w:t xml:space="preserve">Vaikai, sveriantys 30 kg </w:t>
            </w:r>
            <w:r w:rsidRPr="003C313D">
              <w:rPr>
                <w:b/>
                <w:bCs/>
                <w:sz w:val="22"/>
                <w:lang w:val="lt-LT"/>
              </w:rPr>
              <w:t>arba mažiau</w:t>
            </w:r>
          </w:p>
        </w:tc>
        <w:tc>
          <w:tcPr>
            <w:tcW w:w="4309" w:type="dxa"/>
            <w:gridSpan w:val="2"/>
          </w:tcPr>
          <w:p w14:paraId="5EAF5207" w14:textId="1B75D98F" w:rsidR="003C313D" w:rsidRPr="003C313D" w:rsidRDefault="003C313D" w:rsidP="00DE4E18">
            <w:pPr>
              <w:pStyle w:val="Default"/>
              <w:rPr>
                <w:bCs/>
                <w:sz w:val="22"/>
                <w:lang w:val="lt-LT"/>
              </w:rPr>
            </w:pPr>
            <w:r w:rsidRPr="003C313D">
              <w:rPr>
                <w:bCs/>
                <w:sz w:val="22"/>
                <w:lang w:val="lt-LT"/>
              </w:rPr>
              <w:t>Nerekomenduojama.</w:t>
            </w:r>
          </w:p>
        </w:tc>
      </w:tr>
      <w:tr w:rsidR="003C313D" w:rsidRPr="003C313D" w14:paraId="504FBB16" w14:textId="77777777" w:rsidTr="00DE4E18">
        <w:tc>
          <w:tcPr>
            <w:tcW w:w="9074" w:type="dxa"/>
            <w:gridSpan w:val="3"/>
          </w:tcPr>
          <w:p w14:paraId="74C54E0A" w14:textId="22906D15" w:rsidR="003C313D" w:rsidRPr="003C313D" w:rsidRDefault="003C313D" w:rsidP="00DE4E18">
            <w:pPr>
              <w:pStyle w:val="Default"/>
              <w:rPr>
                <w:bCs/>
                <w:sz w:val="22"/>
                <w:lang w:val="lt-LT"/>
              </w:rPr>
            </w:pPr>
            <w:r w:rsidRPr="003C313D">
              <w:rPr>
                <w:bCs/>
                <w:sz w:val="22"/>
                <w:lang w:val="lt-LT"/>
              </w:rPr>
              <w:t xml:space="preserve">Jei sergate sunkia kepenų liga, gydytojas arba vaistininkas gali patarti vartoti rekomenduojamą dozę kas antrą </w:t>
            </w:r>
            <w:r w:rsidR="007E4FF0">
              <w:rPr>
                <w:bCs/>
                <w:sz w:val="22"/>
                <w:lang w:val="lt-LT"/>
              </w:rPr>
              <w:t>parą</w:t>
            </w:r>
            <w:r w:rsidRPr="003C313D">
              <w:rPr>
                <w:bCs/>
                <w:sz w:val="22"/>
                <w:lang w:val="lt-LT"/>
              </w:rPr>
              <w:t>.</w:t>
            </w:r>
          </w:p>
        </w:tc>
      </w:tr>
    </w:tbl>
    <w:p w14:paraId="59139A76" w14:textId="77777777" w:rsidR="003C313D" w:rsidRPr="00310394" w:rsidRDefault="003C313D" w:rsidP="00310394">
      <w:pPr>
        <w:rPr>
          <w:bCs/>
          <w:i/>
          <w:sz w:val="22"/>
          <w:szCs w:val="22"/>
        </w:rPr>
      </w:pPr>
    </w:p>
    <w:p w14:paraId="64DD6AE5" w14:textId="19B574BB" w:rsidR="00310394" w:rsidRPr="00310394" w:rsidRDefault="00310394" w:rsidP="00310394">
      <w:pPr>
        <w:ind w:left="567" w:hanging="567"/>
        <w:rPr>
          <w:b/>
          <w:sz w:val="22"/>
          <w:szCs w:val="22"/>
        </w:rPr>
      </w:pPr>
      <w:r w:rsidRPr="00310394">
        <w:rPr>
          <w:b/>
          <w:sz w:val="22"/>
          <w:szCs w:val="22"/>
        </w:rPr>
        <w:t xml:space="preserve">Ką daryti pavartojus per didelę </w:t>
      </w:r>
      <w:proofErr w:type="spellStart"/>
      <w:r w:rsidR="007719E6" w:rsidRPr="007719E6">
        <w:rPr>
          <w:b/>
          <w:sz w:val="22"/>
          <w:szCs w:val="22"/>
        </w:rPr>
        <w:t>Loratadine</w:t>
      </w:r>
      <w:proofErr w:type="spellEnd"/>
      <w:r w:rsidR="007719E6" w:rsidRPr="007719E6">
        <w:rPr>
          <w:b/>
          <w:sz w:val="22"/>
          <w:szCs w:val="22"/>
        </w:rPr>
        <w:t xml:space="preserve"> </w:t>
      </w:r>
      <w:proofErr w:type="spellStart"/>
      <w:r w:rsidR="007719E6" w:rsidRPr="007719E6">
        <w:rPr>
          <w:b/>
          <w:sz w:val="22"/>
          <w:szCs w:val="22"/>
        </w:rPr>
        <w:t>Accord</w:t>
      </w:r>
      <w:proofErr w:type="spellEnd"/>
      <w:r w:rsidR="007719E6" w:rsidRPr="007719E6">
        <w:rPr>
          <w:b/>
          <w:sz w:val="22"/>
          <w:szCs w:val="22"/>
        </w:rPr>
        <w:t xml:space="preserve"> </w:t>
      </w:r>
      <w:r w:rsidRPr="00310394">
        <w:rPr>
          <w:b/>
          <w:sz w:val="22"/>
          <w:szCs w:val="22"/>
        </w:rPr>
        <w:t>dozę</w:t>
      </w:r>
    </w:p>
    <w:p w14:paraId="104F0DC3" w14:textId="77777777" w:rsidR="007719E6" w:rsidRDefault="007719E6" w:rsidP="00310394">
      <w:pPr>
        <w:rPr>
          <w:bCs/>
          <w:sz w:val="22"/>
          <w:szCs w:val="22"/>
        </w:rPr>
      </w:pPr>
      <w:r w:rsidRPr="007719E6">
        <w:rPr>
          <w:bCs/>
          <w:sz w:val="22"/>
          <w:szCs w:val="22"/>
        </w:rPr>
        <w:t xml:space="preserve">Pavartojus per didelę </w:t>
      </w:r>
      <w:proofErr w:type="spellStart"/>
      <w:r w:rsidRPr="007719E6">
        <w:rPr>
          <w:bCs/>
          <w:sz w:val="22"/>
          <w:szCs w:val="22"/>
        </w:rPr>
        <w:t>Loratadine</w:t>
      </w:r>
      <w:proofErr w:type="spellEnd"/>
      <w:r w:rsidRPr="007719E6">
        <w:rPr>
          <w:bCs/>
          <w:sz w:val="22"/>
          <w:szCs w:val="22"/>
        </w:rPr>
        <w:t xml:space="preserve"> </w:t>
      </w:r>
      <w:proofErr w:type="spellStart"/>
      <w:r w:rsidRPr="007719E6">
        <w:rPr>
          <w:bCs/>
          <w:sz w:val="22"/>
          <w:szCs w:val="22"/>
        </w:rPr>
        <w:t>Accord</w:t>
      </w:r>
      <w:proofErr w:type="spellEnd"/>
      <w:r w:rsidRPr="007719E6">
        <w:rPr>
          <w:bCs/>
          <w:sz w:val="22"/>
          <w:szCs w:val="22"/>
        </w:rPr>
        <w:t xml:space="preserve"> dozę, nedelsiant kreipkitės į gydytoją arba vaistininką.</w:t>
      </w:r>
    </w:p>
    <w:p w14:paraId="47A5D719" w14:textId="473E751E" w:rsidR="00310394" w:rsidRDefault="007719E6" w:rsidP="004C56A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R</w:t>
      </w:r>
      <w:r w:rsidRPr="007719E6">
        <w:rPr>
          <w:bCs/>
          <w:sz w:val="22"/>
          <w:szCs w:val="22"/>
        </w:rPr>
        <w:t xml:space="preserve">imtų problemų nesitikima, </w:t>
      </w:r>
      <w:r w:rsidR="004C56AF">
        <w:rPr>
          <w:bCs/>
          <w:sz w:val="22"/>
          <w:szCs w:val="22"/>
        </w:rPr>
        <w:t xml:space="preserve">tačiau Jums </w:t>
      </w:r>
      <w:r w:rsidRPr="007719E6">
        <w:rPr>
          <w:bCs/>
          <w:sz w:val="22"/>
          <w:szCs w:val="22"/>
        </w:rPr>
        <w:t>gali skaudėti galvą, padažnėti širdies plakimas ar</w:t>
      </w:r>
      <w:r w:rsidR="004C56AF">
        <w:rPr>
          <w:bCs/>
          <w:sz w:val="22"/>
          <w:szCs w:val="22"/>
        </w:rPr>
        <w:t>ba</w:t>
      </w:r>
      <w:r w:rsidRPr="007719E6">
        <w:rPr>
          <w:bCs/>
          <w:sz w:val="22"/>
          <w:szCs w:val="22"/>
        </w:rPr>
        <w:t xml:space="preserve"> </w:t>
      </w:r>
      <w:r w:rsidR="004C56AF">
        <w:rPr>
          <w:bCs/>
          <w:sz w:val="22"/>
          <w:szCs w:val="22"/>
        </w:rPr>
        <w:t xml:space="preserve">galite </w:t>
      </w:r>
      <w:r w:rsidRPr="007719E6">
        <w:rPr>
          <w:bCs/>
          <w:sz w:val="22"/>
          <w:szCs w:val="22"/>
        </w:rPr>
        <w:t>jausti mieguistumą.</w:t>
      </w:r>
    </w:p>
    <w:p w14:paraId="35CEF8DC" w14:textId="77777777" w:rsidR="007719E6" w:rsidRPr="00310394" w:rsidRDefault="007719E6" w:rsidP="00310394">
      <w:pPr>
        <w:ind w:left="567" w:hanging="567"/>
        <w:rPr>
          <w:b/>
          <w:sz w:val="22"/>
          <w:szCs w:val="22"/>
        </w:rPr>
      </w:pPr>
    </w:p>
    <w:p w14:paraId="4039BC63" w14:textId="6916CCB1" w:rsidR="00310394" w:rsidRPr="00310394" w:rsidRDefault="00310394" w:rsidP="00310394">
      <w:pPr>
        <w:ind w:left="567" w:hanging="567"/>
        <w:rPr>
          <w:b/>
          <w:sz w:val="22"/>
          <w:szCs w:val="22"/>
        </w:rPr>
      </w:pPr>
      <w:r w:rsidRPr="00310394">
        <w:rPr>
          <w:b/>
          <w:sz w:val="22"/>
          <w:szCs w:val="22"/>
        </w:rPr>
        <w:t xml:space="preserve">Pamiršus pavartoti </w:t>
      </w:r>
      <w:proofErr w:type="spellStart"/>
      <w:r w:rsidR="004C56AF" w:rsidRPr="004C56AF">
        <w:rPr>
          <w:b/>
          <w:sz w:val="22"/>
          <w:szCs w:val="22"/>
        </w:rPr>
        <w:t>Loratadine</w:t>
      </w:r>
      <w:proofErr w:type="spellEnd"/>
      <w:r w:rsidR="004C56AF" w:rsidRPr="004C56AF">
        <w:rPr>
          <w:b/>
          <w:sz w:val="22"/>
          <w:szCs w:val="22"/>
        </w:rPr>
        <w:t xml:space="preserve"> </w:t>
      </w:r>
      <w:proofErr w:type="spellStart"/>
      <w:r w:rsidR="004C56AF" w:rsidRPr="004C56AF">
        <w:rPr>
          <w:b/>
          <w:sz w:val="22"/>
          <w:szCs w:val="22"/>
        </w:rPr>
        <w:t>Accord</w:t>
      </w:r>
      <w:proofErr w:type="spellEnd"/>
    </w:p>
    <w:p w14:paraId="729CDCD1" w14:textId="77777777" w:rsidR="004C56AF" w:rsidRDefault="00310394" w:rsidP="004C56AF">
      <w:pPr>
        <w:pStyle w:val="Sraopastraipa"/>
        <w:numPr>
          <w:ilvl w:val="0"/>
          <w:numId w:val="41"/>
        </w:numPr>
        <w:ind w:left="567" w:hanging="567"/>
        <w:rPr>
          <w:sz w:val="22"/>
          <w:szCs w:val="22"/>
        </w:rPr>
      </w:pPr>
      <w:r w:rsidRPr="004C56AF">
        <w:rPr>
          <w:sz w:val="22"/>
          <w:szCs w:val="22"/>
        </w:rPr>
        <w:t xml:space="preserve">Jeigu pamiršote laiku išgerti vaisto, padarykite tai iš karto, kai tik prisiminsite ir toliau vartokite kaip paskirta. </w:t>
      </w:r>
    </w:p>
    <w:p w14:paraId="01FD07CC" w14:textId="59F04BE8" w:rsidR="00310394" w:rsidRPr="004C56AF" w:rsidRDefault="00310394" w:rsidP="004C56AF">
      <w:pPr>
        <w:pStyle w:val="Sraopastraipa"/>
        <w:numPr>
          <w:ilvl w:val="0"/>
          <w:numId w:val="41"/>
        </w:numPr>
        <w:ind w:left="567" w:hanging="567"/>
        <w:rPr>
          <w:sz w:val="22"/>
          <w:szCs w:val="22"/>
        </w:rPr>
      </w:pPr>
      <w:r w:rsidRPr="004C56AF">
        <w:rPr>
          <w:sz w:val="22"/>
          <w:szCs w:val="22"/>
        </w:rPr>
        <w:t>Negalima vartoti dvigubos dozės norint kompensuoti praleistą dozę.</w:t>
      </w:r>
    </w:p>
    <w:p w14:paraId="6320CAD0" w14:textId="77777777" w:rsidR="00310394" w:rsidRPr="00310394" w:rsidRDefault="00310394" w:rsidP="00310394">
      <w:pPr>
        <w:ind w:left="567" w:hanging="567"/>
        <w:rPr>
          <w:sz w:val="22"/>
          <w:szCs w:val="22"/>
        </w:rPr>
      </w:pPr>
    </w:p>
    <w:p w14:paraId="7C11861F" w14:textId="77777777" w:rsidR="00310394" w:rsidRPr="00310394" w:rsidRDefault="00310394" w:rsidP="00310394">
      <w:pPr>
        <w:rPr>
          <w:sz w:val="22"/>
          <w:szCs w:val="22"/>
        </w:rPr>
      </w:pPr>
      <w:r w:rsidRPr="00310394">
        <w:rPr>
          <w:sz w:val="22"/>
          <w:szCs w:val="22"/>
        </w:rPr>
        <w:t>Jeigu kiltų daugiau klausimų dėl šio vaisto vartojimo, kreipkitės į gydytoją arba vaistininką.</w:t>
      </w:r>
    </w:p>
    <w:p w14:paraId="47534E12" w14:textId="77777777" w:rsidR="00310394" w:rsidRPr="00310394" w:rsidRDefault="00310394" w:rsidP="00310394">
      <w:pPr>
        <w:rPr>
          <w:sz w:val="22"/>
          <w:szCs w:val="22"/>
        </w:rPr>
      </w:pPr>
    </w:p>
    <w:p w14:paraId="3EF79E3D" w14:textId="77777777" w:rsidR="006629FE" w:rsidRPr="00310394" w:rsidRDefault="006629FE" w:rsidP="006629FE">
      <w:pPr>
        <w:rPr>
          <w:noProof/>
          <w:sz w:val="22"/>
          <w:szCs w:val="22"/>
        </w:rPr>
      </w:pPr>
    </w:p>
    <w:p w14:paraId="3C7E6A4B" w14:textId="77777777" w:rsidR="006629FE" w:rsidRPr="00310394" w:rsidRDefault="006629FE" w:rsidP="006629FE">
      <w:pPr>
        <w:keepNext/>
        <w:tabs>
          <w:tab w:val="left" w:pos="567"/>
        </w:tabs>
        <w:outlineLvl w:val="1"/>
        <w:rPr>
          <w:b/>
          <w:noProof/>
          <w:sz w:val="22"/>
          <w:szCs w:val="22"/>
        </w:rPr>
      </w:pPr>
      <w:bookmarkStart w:id="6" w:name="_Toc129243142"/>
      <w:bookmarkStart w:id="7" w:name="_Toc129243267"/>
      <w:r w:rsidRPr="00BB3293">
        <w:rPr>
          <w:b/>
          <w:noProof/>
          <w:sz w:val="22"/>
          <w:szCs w:val="22"/>
        </w:rPr>
        <w:t>4.</w:t>
      </w:r>
      <w:r w:rsidRPr="00BB3293">
        <w:rPr>
          <w:b/>
          <w:noProof/>
          <w:sz w:val="22"/>
          <w:szCs w:val="22"/>
        </w:rPr>
        <w:tab/>
        <w:t>Galimas šalutinis poveikis</w:t>
      </w:r>
      <w:bookmarkEnd w:id="6"/>
      <w:bookmarkEnd w:id="7"/>
    </w:p>
    <w:p w14:paraId="58C09ACF" w14:textId="77777777" w:rsidR="006629FE" w:rsidRPr="00310394" w:rsidRDefault="006629FE" w:rsidP="006629FE">
      <w:pPr>
        <w:rPr>
          <w:noProof/>
          <w:sz w:val="22"/>
          <w:szCs w:val="22"/>
        </w:rPr>
      </w:pPr>
    </w:p>
    <w:p w14:paraId="1236FC04" w14:textId="3A0EC33A" w:rsidR="00310394" w:rsidRPr="00310394" w:rsidRDefault="00310394" w:rsidP="00310394">
      <w:pPr>
        <w:rPr>
          <w:sz w:val="22"/>
          <w:szCs w:val="22"/>
        </w:rPr>
      </w:pPr>
      <w:r w:rsidRPr="00310394">
        <w:rPr>
          <w:sz w:val="22"/>
          <w:szCs w:val="22"/>
        </w:rPr>
        <w:t>Šis vaistas, kaip ir visi kiti, gali sukelti šalutinį poveikį, nors jis pasireiškia ne visiems žmonėms.</w:t>
      </w:r>
    </w:p>
    <w:p w14:paraId="626EDBA0" w14:textId="77777777" w:rsidR="00310394" w:rsidRPr="00310394" w:rsidRDefault="00310394" w:rsidP="00310394">
      <w:pPr>
        <w:ind w:left="567" w:hanging="567"/>
        <w:rPr>
          <w:sz w:val="22"/>
          <w:szCs w:val="22"/>
        </w:rPr>
      </w:pPr>
    </w:p>
    <w:p w14:paraId="51EC6F7A" w14:textId="0923779D" w:rsidR="00310394" w:rsidRPr="00351AFF" w:rsidRDefault="00310394" w:rsidP="00310394">
      <w:pPr>
        <w:rPr>
          <w:sz w:val="22"/>
          <w:szCs w:val="22"/>
        </w:rPr>
      </w:pPr>
      <w:r w:rsidRPr="00310394">
        <w:rPr>
          <w:sz w:val="22"/>
          <w:szCs w:val="22"/>
        </w:rPr>
        <w:t xml:space="preserve">Dažniausi suaugusiesiems ir vyresniems </w:t>
      </w:r>
      <w:r w:rsidR="005E2CC5">
        <w:rPr>
          <w:sz w:val="22"/>
          <w:szCs w:val="22"/>
        </w:rPr>
        <w:t xml:space="preserve">kaip </w:t>
      </w:r>
      <w:r w:rsidRPr="00310394">
        <w:rPr>
          <w:sz w:val="22"/>
          <w:szCs w:val="22"/>
        </w:rPr>
        <w:t xml:space="preserve">12 metų vaikams nustatyti </w:t>
      </w:r>
      <w:r w:rsidR="005E2CC5" w:rsidRPr="005E2CC5">
        <w:rPr>
          <w:sz w:val="22"/>
          <w:szCs w:val="22"/>
        </w:rPr>
        <w:t xml:space="preserve">šalutinio poveikio reiškiniai </w:t>
      </w:r>
      <w:r w:rsidRPr="00310394">
        <w:rPr>
          <w:sz w:val="22"/>
          <w:szCs w:val="22"/>
        </w:rPr>
        <w:t>buvo:</w:t>
      </w:r>
    </w:p>
    <w:p w14:paraId="767D79CD" w14:textId="77777777" w:rsidR="00310394" w:rsidRPr="00310394" w:rsidRDefault="00310394" w:rsidP="00310394">
      <w:pPr>
        <w:numPr>
          <w:ilvl w:val="0"/>
          <w:numId w:val="36"/>
        </w:numPr>
        <w:ind w:left="567" w:hanging="567"/>
        <w:contextualSpacing/>
        <w:rPr>
          <w:sz w:val="22"/>
          <w:szCs w:val="22"/>
        </w:rPr>
      </w:pPr>
      <w:r w:rsidRPr="00310394">
        <w:rPr>
          <w:sz w:val="22"/>
          <w:szCs w:val="22"/>
        </w:rPr>
        <w:t xml:space="preserve">mieguistumas, </w:t>
      </w:r>
    </w:p>
    <w:p w14:paraId="46B6AF8C" w14:textId="77777777" w:rsidR="00310394" w:rsidRPr="00310394" w:rsidRDefault="00310394" w:rsidP="00310394">
      <w:pPr>
        <w:numPr>
          <w:ilvl w:val="0"/>
          <w:numId w:val="36"/>
        </w:numPr>
        <w:ind w:left="567" w:hanging="567"/>
        <w:contextualSpacing/>
        <w:rPr>
          <w:sz w:val="22"/>
          <w:szCs w:val="22"/>
        </w:rPr>
      </w:pPr>
      <w:r w:rsidRPr="00310394">
        <w:rPr>
          <w:sz w:val="22"/>
          <w:szCs w:val="22"/>
        </w:rPr>
        <w:t xml:space="preserve">galvos skausmas, </w:t>
      </w:r>
    </w:p>
    <w:p w14:paraId="69797449" w14:textId="77777777" w:rsidR="00310394" w:rsidRPr="00310394" w:rsidRDefault="00310394" w:rsidP="00310394">
      <w:pPr>
        <w:numPr>
          <w:ilvl w:val="0"/>
          <w:numId w:val="36"/>
        </w:numPr>
        <w:ind w:left="567" w:hanging="567"/>
        <w:contextualSpacing/>
        <w:rPr>
          <w:sz w:val="22"/>
          <w:szCs w:val="22"/>
        </w:rPr>
      </w:pPr>
      <w:r w:rsidRPr="00310394">
        <w:rPr>
          <w:sz w:val="22"/>
          <w:szCs w:val="22"/>
        </w:rPr>
        <w:t xml:space="preserve">padidėjęs apetitas, </w:t>
      </w:r>
    </w:p>
    <w:p w14:paraId="736EF9F8" w14:textId="1E82A6E0" w:rsidR="00310394" w:rsidRPr="009C3F88" w:rsidRDefault="005E2CC5" w:rsidP="00310394">
      <w:pPr>
        <w:numPr>
          <w:ilvl w:val="0"/>
          <w:numId w:val="36"/>
        </w:numPr>
        <w:ind w:left="567" w:hanging="567"/>
        <w:contextualSpacing/>
        <w:rPr>
          <w:sz w:val="22"/>
          <w:szCs w:val="22"/>
        </w:rPr>
      </w:pPr>
      <w:r w:rsidRPr="009C3F88">
        <w:rPr>
          <w:sz w:val="22"/>
          <w:szCs w:val="22"/>
        </w:rPr>
        <w:t>miego sutrikimai</w:t>
      </w:r>
      <w:r w:rsidR="00310394" w:rsidRPr="009C3F88">
        <w:rPr>
          <w:sz w:val="22"/>
          <w:szCs w:val="22"/>
        </w:rPr>
        <w:t>.</w:t>
      </w:r>
    </w:p>
    <w:p w14:paraId="03789D0D" w14:textId="77777777" w:rsidR="00310394" w:rsidRPr="00310394" w:rsidRDefault="00310394" w:rsidP="00310394">
      <w:pPr>
        <w:rPr>
          <w:sz w:val="22"/>
          <w:szCs w:val="22"/>
        </w:rPr>
      </w:pPr>
    </w:p>
    <w:p w14:paraId="452DBC3C" w14:textId="5C8CFAD0" w:rsidR="00310394" w:rsidRPr="00310394" w:rsidRDefault="00310394" w:rsidP="00310394">
      <w:pPr>
        <w:rPr>
          <w:sz w:val="22"/>
          <w:szCs w:val="22"/>
        </w:rPr>
      </w:pPr>
      <w:r w:rsidRPr="00310394">
        <w:rPr>
          <w:sz w:val="22"/>
          <w:szCs w:val="22"/>
        </w:rPr>
        <w:t>Dažniausi 2</w:t>
      </w:r>
      <w:r w:rsidR="005E2CC5">
        <w:rPr>
          <w:sz w:val="22"/>
          <w:szCs w:val="22"/>
        </w:rPr>
        <w:t>–</w:t>
      </w:r>
      <w:r w:rsidRPr="00310394">
        <w:rPr>
          <w:sz w:val="22"/>
          <w:szCs w:val="22"/>
        </w:rPr>
        <w:t xml:space="preserve">12 metų vaikams nustatyti </w:t>
      </w:r>
      <w:r w:rsidR="005E2CC5" w:rsidRPr="005E2CC5">
        <w:rPr>
          <w:sz w:val="22"/>
          <w:szCs w:val="22"/>
        </w:rPr>
        <w:t>šalutinio poveikio reiškiniai buvo</w:t>
      </w:r>
      <w:r w:rsidRPr="00310394">
        <w:rPr>
          <w:sz w:val="22"/>
          <w:szCs w:val="22"/>
        </w:rPr>
        <w:t>:</w:t>
      </w:r>
    </w:p>
    <w:p w14:paraId="069B32B3" w14:textId="77777777" w:rsidR="00310394" w:rsidRPr="00310394" w:rsidRDefault="00310394" w:rsidP="00310394">
      <w:pPr>
        <w:numPr>
          <w:ilvl w:val="0"/>
          <w:numId w:val="37"/>
        </w:numPr>
        <w:ind w:left="567" w:hanging="567"/>
        <w:contextualSpacing/>
        <w:rPr>
          <w:sz w:val="22"/>
          <w:szCs w:val="22"/>
        </w:rPr>
      </w:pPr>
      <w:r w:rsidRPr="00310394">
        <w:rPr>
          <w:sz w:val="22"/>
          <w:szCs w:val="22"/>
        </w:rPr>
        <w:t xml:space="preserve">galvos skausmas, </w:t>
      </w:r>
    </w:p>
    <w:p w14:paraId="0AF4BBE5" w14:textId="77777777" w:rsidR="00310394" w:rsidRPr="00310394" w:rsidRDefault="00310394" w:rsidP="00310394">
      <w:pPr>
        <w:numPr>
          <w:ilvl w:val="0"/>
          <w:numId w:val="37"/>
        </w:numPr>
        <w:ind w:left="567" w:hanging="567"/>
        <w:contextualSpacing/>
        <w:rPr>
          <w:sz w:val="22"/>
          <w:szCs w:val="22"/>
        </w:rPr>
      </w:pPr>
      <w:r w:rsidRPr="00310394">
        <w:rPr>
          <w:sz w:val="22"/>
          <w:szCs w:val="22"/>
        </w:rPr>
        <w:t xml:space="preserve">nervingumas, </w:t>
      </w:r>
    </w:p>
    <w:p w14:paraId="69D902E0" w14:textId="77777777" w:rsidR="00310394" w:rsidRPr="00310394" w:rsidRDefault="00310394" w:rsidP="00310394">
      <w:pPr>
        <w:numPr>
          <w:ilvl w:val="0"/>
          <w:numId w:val="37"/>
        </w:numPr>
        <w:ind w:left="567" w:hanging="567"/>
        <w:contextualSpacing/>
        <w:rPr>
          <w:sz w:val="22"/>
          <w:szCs w:val="22"/>
        </w:rPr>
      </w:pPr>
      <w:r w:rsidRPr="00310394">
        <w:rPr>
          <w:sz w:val="22"/>
          <w:szCs w:val="22"/>
        </w:rPr>
        <w:t>nuovargis.</w:t>
      </w:r>
    </w:p>
    <w:p w14:paraId="45503E8A" w14:textId="77777777" w:rsidR="00310394" w:rsidRPr="00310394" w:rsidRDefault="00310394" w:rsidP="00310394">
      <w:pPr>
        <w:rPr>
          <w:sz w:val="22"/>
          <w:szCs w:val="22"/>
        </w:rPr>
      </w:pPr>
    </w:p>
    <w:p w14:paraId="718FBF3F" w14:textId="46ED1AE5" w:rsidR="00781171" w:rsidRPr="00781171" w:rsidRDefault="00781171" w:rsidP="00781171">
      <w:pPr>
        <w:rPr>
          <w:iCs/>
          <w:sz w:val="22"/>
          <w:szCs w:val="22"/>
        </w:rPr>
      </w:pPr>
      <w:r w:rsidRPr="009C3F88">
        <w:rPr>
          <w:iCs/>
          <w:sz w:val="22"/>
          <w:szCs w:val="22"/>
        </w:rPr>
        <w:t xml:space="preserve">Toliau išvardyti </w:t>
      </w:r>
      <w:r w:rsidRPr="009C3F88">
        <w:rPr>
          <w:b/>
          <w:bCs/>
          <w:iCs/>
          <w:sz w:val="22"/>
          <w:szCs w:val="22"/>
        </w:rPr>
        <w:t>labai</w:t>
      </w:r>
      <w:r w:rsidRPr="00781171">
        <w:rPr>
          <w:b/>
          <w:bCs/>
          <w:iCs/>
          <w:sz w:val="22"/>
          <w:szCs w:val="22"/>
        </w:rPr>
        <w:t xml:space="preserve"> reti </w:t>
      </w:r>
      <w:r w:rsidRPr="00781171">
        <w:rPr>
          <w:iCs/>
          <w:sz w:val="22"/>
          <w:szCs w:val="22"/>
        </w:rPr>
        <w:t>šalutinio poveikio reiškiniai (gali pasireikšti rečiau kaip 1 iš 10</w:t>
      </w:r>
      <w:r w:rsidR="00412EE8">
        <w:rPr>
          <w:iCs/>
          <w:sz w:val="22"/>
          <w:szCs w:val="22"/>
        </w:rPr>
        <w:t> </w:t>
      </w:r>
      <w:r w:rsidRPr="00781171">
        <w:rPr>
          <w:iCs/>
          <w:sz w:val="22"/>
          <w:szCs w:val="22"/>
        </w:rPr>
        <w:t xml:space="preserve">000 asmenų) </w:t>
      </w:r>
    </w:p>
    <w:p w14:paraId="327C14F1" w14:textId="7BAC761B" w:rsidR="00310394" w:rsidRPr="00781171" w:rsidRDefault="00781171" w:rsidP="00310394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taip papt buvo nustatyti </w:t>
      </w:r>
      <w:proofErr w:type="spellStart"/>
      <w:r>
        <w:rPr>
          <w:iCs/>
          <w:sz w:val="22"/>
          <w:szCs w:val="22"/>
        </w:rPr>
        <w:t>loratadinui</w:t>
      </w:r>
      <w:proofErr w:type="spellEnd"/>
      <w:r>
        <w:rPr>
          <w:iCs/>
          <w:sz w:val="22"/>
          <w:szCs w:val="22"/>
        </w:rPr>
        <w:t xml:space="preserve"> </w:t>
      </w:r>
      <w:r w:rsidRPr="00781171">
        <w:rPr>
          <w:iCs/>
          <w:sz w:val="22"/>
          <w:szCs w:val="22"/>
        </w:rPr>
        <w:t>esant rinkoje</w:t>
      </w:r>
      <w:r>
        <w:rPr>
          <w:iCs/>
          <w:sz w:val="22"/>
          <w:szCs w:val="22"/>
        </w:rPr>
        <w:t>:</w:t>
      </w:r>
    </w:p>
    <w:p w14:paraId="68E7D235" w14:textId="77777777" w:rsidR="00310394" w:rsidRPr="00310394" w:rsidRDefault="00310394" w:rsidP="00310394">
      <w:pPr>
        <w:numPr>
          <w:ilvl w:val="0"/>
          <w:numId w:val="38"/>
        </w:numPr>
        <w:ind w:left="567" w:hanging="567"/>
        <w:contextualSpacing/>
        <w:rPr>
          <w:sz w:val="22"/>
          <w:szCs w:val="22"/>
        </w:rPr>
      </w:pPr>
      <w:r w:rsidRPr="00310394">
        <w:rPr>
          <w:sz w:val="22"/>
          <w:szCs w:val="22"/>
        </w:rPr>
        <w:t xml:space="preserve">sunkios alerginės reakcijos (įskaitant tinimą), </w:t>
      </w:r>
    </w:p>
    <w:p w14:paraId="20782C53" w14:textId="5CA29108" w:rsidR="00310394" w:rsidRPr="00310394" w:rsidRDefault="00310394" w:rsidP="00310394">
      <w:pPr>
        <w:numPr>
          <w:ilvl w:val="0"/>
          <w:numId w:val="38"/>
        </w:numPr>
        <w:ind w:left="567" w:hanging="567"/>
        <w:contextualSpacing/>
        <w:rPr>
          <w:sz w:val="22"/>
          <w:szCs w:val="22"/>
        </w:rPr>
      </w:pPr>
      <w:r w:rsidRPr="00310394">
        <w:rPr>
          <w:sz w:val="22"/>
          <w:szCs w:val="22"/>
        </w:rPr>
        <w:t>svaig</w:t>
      </w:r>
      <w:r w:rsidR="00781171">
        <w:rPr>
          <w:sz w:val="22"/>
          <w:szCs w:val="22"/>
        </w:rPr>
        <w:t>ulys</w:t>
      </w:r>
      <w:r w:rsidRPr="00310394">
        <w:rPr>
          <w:sz w:val="22"/>
          <w:szCs w:val="22"/>
        </w:rPr>
        <w:t>,</w:t>
      </w:r>
    </w:p>
    <w:p w14:paraId="3D49234D" w14:textId="77777777" w:rsidR="00310394" w:rsidRPr="00310394" w:rsidRDefault="00310394" w:rsidP="00310394">
      <w:pPr>
        <w:numPr>
          <w:ilvl w:val="0"/>
          <w:numId w:val="38"/>
        </w:numPr>
        <w:ind w:left="567" w:hanging="567"/>
        <w:contextualSpacing/>
        <w:rPr>
          <w:sz w:val="22"/>
          <w:szCs w:val="22"/>
        </w:rPr>
      </w:pPr>
      <w:r w:rsidRPr="00310394">
        <w:rPr>
          <w:sz w:val="22"/>
          <w:szCs w:val="22"/>
        </w:rPr>
        <w:t>traukuliai,</w:t>
      </w:r>
    </w:p>
    <w:p w14:paraId="39DC0ED3" w14:textId="77777777" w:rsidR="00310394" w:rsidRPr="00310394" w:rsidRDefault="00310394" w:rsidP="00310394">
      <w:pPr>
        <w:numPr>
          <w:ilvl w:val="0"/>
          <w:numId w:val="38"/>
        </w:numPr>
        <w:ind w:left="567" w:hanging="567"/>
        <w:contextualSpacing/>
        <w:rPr>
          <w:sz w:val="22"/>
          <w:szCs w:val="22"/>
        </w:rPr>
      </w:pPr>
      <w:r w:rsidRPr="00310394">
        <w:rPr>
          <w:sz w:val="22"/>
          <w:szCs w:val="22"/>
        </w:rPr>
        <w:t>dažnas ar nereguliarus širdies plakimas,</w:t>
      </w:r>
    </w:p>
    <w:p w14:paraId="4A3183ED" w14:textId="77777777" w:rsidR="00310394" w:rsidRPr="00310394" w:rsidRDefault="00310394" w:rsidP="00310394">
      <w:pPr>
        <w:numPr>
          <w:ilvl w:val="0"/>
          <w:numId w:val="38"/>
        </w:numPr>
        <w:ind w:left="567" w:hanging="567"/>
        <w:contextualSpacing/>
        <w:rPr>
          <w:sz w:val="22"/>
          <w:szCs w:val="22"/>
        </w:rPr>
      </w:pPr>
      <w:r w:rsidRPr="00310394">
        <w:rPr>
          <w:sz w:val="22"/>
          <w:szCs w:val="22"/>
        </w:rPr>
        <w:lastRenderedPageBreak/>
        <w:t xml:space="preserve">pykinimas, </w:t>
      </w:r>
    </w:p>
    <w:p w14:paraId="689EFBAE" w14:textId="77777777" w:rsidR="00310394" w:rsidRPr="00310394" w:rsidRDefault="00310394" w:rsidP="00310394">
      <w:pPr>
        <w:numPr>
          <w:ilvl w:val="0"/>
          <w:numId w:val="38"/>
        </w:numPr>
        <w:ind w:left="567" w:hanging="567"/>
        <w:contextualSpacing/>
        <w:rPr>
          <w:sz w:val="22"/>
          <w:szCs w:val="22"/>
        </w:rPr>
      </w:pPr>
      <w:r w:rsidRPr="00310394">
        <w:rPr>
          <w:sz w:val="22"/>
          <w:szCs w:val="22"/>
        </w:rPr>
        <w:t xml:space="preserve">burnos džiūvimas, </w:t>
      </w:r>
    </w:p>
    <w:p w14:paraId="362A2139" w14:textId="77777777" w:rsidR="00310394" w:rsidRPr="00310394" w:rsidRDefault="00310394" w:rsidP="00310394">
      <w:pPr>
        <w:numPr>
          <w:ilvl w:val="0"/>
          <w:numId w:val="38"/>
        </w:numPr>
        <w:ind w:left="567" w:hanging="567"/>
        <w:contextualSpacing/>
        <w:rPr>
          <w:sz w:val="22"/>
          <w:szCs w:val="22"/>
        </w:rPr>
      </w:pPr>
      <w:r w:rsidRPr="00310394">
        <w:rPr>
          <w:sz w:val="22"/>
          <w:szCs w:val="22"/>
        </w:rPr>
        <w:t xml:space="preserve">skrandžio sutrikimas, </w:t>
      </w:r>
    </w:p>
    <w:p w14:paraId="0949477A" w14:textId="614BE2F4" w:rsidR="00310394" w:rsidRPr="00310394" w:rsidRDefault="00310394" w:rsidP="00310394">
      <w:pPr>
        <w:numPr>
          <w:ilvl w:val="0"/>
          <w:numId w:val="38"/>
        </w:numPr>
        <w:ind w:left="567" w:hanging="567"/>
        <w:contextualSpacing/>
        <w:rPr>
          <w:sz w:val="22"/>
          <w:szCs w:val="22"/>
        </w:rPr>
      </w:pPr>
      <w:r w:rsidRPr="00310394">
        <w:rPr>
          <w:sz w:val="22"/>
          <w:szCs w:val="22"/>
        </w:rPr>
        <w:t xml:space="preserve">kepenų </w:t>
      </w:r>
      <w:r w:rsidR="009645CC">
        <w:rPr>
          <w:sz w:val="22"/>
          <w:szCs w:val="22"/>
        </w:rPr>
        <w:t>funkcijos</w:t>
      </w:r>
      <w:r w:rsidR="009645CC" w:rsidRPr="00310394">
        <w:rPr>
          <w:sz w:val="22"/>
          <w:szCs w:val="22"/>
        </w:rPr>
        <w:t xml:space="preserve"> </w:t>
      </w:r>
      <w:r w:rsidRPr="00310394">
        <w:rPr>
          <w:sz w:val="22"/>
          <w:szCs w:val="22"/>
        </w:rPr>
        <w:t xml:space="preserve">sutrikimas, </w:t>
      </w:r>
    </w:p>
    <w:p w14:paraId="5B47B689" w14:textId="77777777" w:rsidR="00310394" w:rsidRPr="00310394" w:rsidRDefault="00310394" w:rsidP="00310394">
      <w:pPr>
        <w:numPr>
          <w:ilvl w:val="0"/>
          <w:numId w:val="38"/>
        </w:numPr>
        <w:ind w:left="567" w:hanging="567"/>
        <w:contextualSpacing/>
        <w:rPr>
          <w:sz w:val="22"/>
          <w:szCs w:val="22"/>
        </w:rPr>
      </w:pPr>
      <w:r w:rsidRPr="00310394">
        <w:rPr>
          <w:sz w:val="22"/>
          <w:szCs w:val="22"/>
        </w:rPr>
        <w:t xml:space="preserve">plaukų slinkimas, </w:t>
      </w:r>
    </w:p>
    <w:p w14:paraId="69328DD8" w14:textId="77777777" w:rsidR="00310394" w:rsidRPr="00310394" w:rsidRDefault="00310394" w:rsidP="00310394">
      <w:pPr>
        <w:numPr>
          <w:ilvl w:val="0"/>
          <w:numId w:val="38"/>
        </w:numPr>
        <w:ind w:left="567" w:hanging="567"/>
        <w:contextualSpacing/>
        <w:rPr>
          <w:sz w:val="22"/>
          <w:szCs w:val="22"/>
        </w:rPr>
      </w:pPr>
      <w:r w:rsidRPr="00310394">
        <w:rPr>
          <w:sz w:val="22"/>
          <w:szCs w:val="22"/>
        </w:rPr>
        <w:t>išbėrimas,</w:t>
      </w:r>
    </w:p>
    <w:p w14:paraId="53787CC5" w14:textId="77777777" w:rsidR="00310394" w:rsidRPr="00310394" w:rsidRDefault="00310394" w:rsidP="00310394">
      <w:pPr>
        <w:numPr>
          <w:ilvl w:val="0"/>
          <w:numId w:val="38"/>
        </w:numPr>
        <w:ind w:left="567" w:hanging="567"/>
        <w:contextualSpacing/>
        <w:rPr>
          <w:sz w:val="22"/>
          <w:szCs w:val="22"/>
        </w:rPr>
      </w:pPr>
      <w:r w:rsidRPr="00310394">
        <w:rPr>
          <w:sz w:val="22"/>
          <w:szCs w:val="22"/>
        </w:rPr>
        <w:t>nuovargis.</w:t>
      </w:r>
    </w:p>
    <w:p w14:paraId="50578195" w14:textId="77777777" w:rsidR="00310394" w:rsidRPr="00310394" w:rsidRDefault="00310394" w:rsidP="00310394">
      <w:pPr>
        <w:contextualSpacing/>
        <w:rPr>
          <w:sz w:val="22"/>
          <w:szCs w:val="22"/>
        </w:rPr>
      </w:pPr>
    </w:p>
    <w:p w14:paraId="111FD6C1" w14:textId="77777777" w:rsidR="00781171" w:rsidRPr="00781171" w:rsidRDefault="00781171" w:rsidP="00781171">
      <w:pPr>
        <w:rPr>
          <w:iCs/>
          <w:sz w:val="22"/>
          <w:szCs w:val="22"/>
        </w:rPr>
      </w:pPr>
      <w:r w:rsidRPr="00781171">
        <w:rPr>
          <w:iCs/>
          <w:sz w:val="22"/>
          <w:szCs w:val="22"/>
          <w:lang w:eastAsia="ar-SA"/>
        </w:rPr>
        <w:t xml:space="preserve">Šalutinio poveikio reiškiniai, kurių dažnis nežinomas (negali būti apskaičiuotas pagal turimus duomenis): </w:t>
      </w:r>
    </w:p>
    <w:p w14:paraId="20C6192B" w14:textId="17ED9953" w:rsidR="00310394" w:rsidRPr="00781171" w:rsidRDefault="00310394" w:rsidP="00781171">
      <w:pPr>
        <w:pStyle w:val="Sraopastraipa"/>
        <w:numPr>
          <w:ilvl w:val="0"/>
          <w:numId w:val="42"/>
        </w:numPr>
        <w:ind w:hanging="720"/>
        <w:rPr>
          <w:sz w:val="22"/>
          <w:szCs w:val="22"/>
        </w:rPr>
      </w:pPr>
      <w:r w:rsidRPr="00781171">
        <w:rPr>
          <w:sz w:val="22"/>
          <w:szCs w:val="22"/>
        </w:rPr>
        <w:t>padidėjęs kūno svoris.</w:t>
      </w:r>
    </w:p>
    <w:p w14:paraId="7B0AEB26" w14:textId="77777777" w:rsidR="000206AF" w:rsidRPr="00310394" w:rsidRDefault="000206AF" w:rsidP="006629FE">
      <w:pPr>
        <w:ind w:left="567" w:hanging="567"/>
        <w:rPr>
          <w:noProof/>
          <w:sz w:val="22"/>
          <w:szCs w:val="22"/>
        </w:rPr>
      </w:pPr>
    </w:p>
    <w:p w14:paraId="6175E0C3" w14:textId="77777777" w:rsidR="006629FE" w:rsidRPr="00310394" w:rsidRDefault="006629FE" w:rsidP="000206AF">
      <w:pPr>
        <w:keepNext/>
        <w:rPr>
          <w:b/>
          <w:bCs/>
          <w:noProof/>
          <w:sz w:val="22"/>
          <w:szCs w:val="22"/>
        </w:rPr>
      </w:pPr>
      <w:r w:rsidRPr="00310394">
        <w:rPr>
          <w:b/>
          <w:bCs/>
          <w:noProof/>
          <w:sz w:val="22"/>
          <w:szCs w:val="22"/>
        </w:rPr>
        <w:t>Pranešimas apie šalutinį poveikį</w:t>
      </w:r>
    </w:p>
    <w:p w14:paraId="023C899C" w14:textId="3572BD6D" w:rsidR="006629FE" w:rsidRPr="00310394" w:rsidRDefault="006629FE" w:rsidP="000206AF">
      <w:pPr>
        <w:keepNext/>
        <w:rPr>
          <w:noProof/>
          <w:sz w:val="22"/>
          <w:szCs w:val="22"/>
        </w:rPr>
      </w:pPr>
      <w:r w:rsidRPr="00310394">
        <w:rPr>
          <w:noProof/>
          <w:sz w:val="22"/>
          <w:szCs w:val="22"/>
        </w:rPr>
        <w:t xml:space="preserve">Jeigu pasireiškė šalutinis poveikis, įskaitant šiame lapelyje nenurodytą, pasakykite gydytojui arba vaistininkui. </w:t>
      </w:r>
      <w:r w:rsidR="00E37F19" w:rsidRPr="00310394">
        <w:rPr>
          <w:noProof/>
          <w:snapToGrid w:val="0"/>
          <w:sz w:val="22"/>
          <w:szCs w:val="22"/>
        </w:rPr>
        <w:t xml:space="preserve">Pranešimą apie šalutinį poveikį galite </w:t>
      </w:r>
      <w:r w:rsidR="004A1E89">
        <w:rPr>
          <w:sz w:val="22"/>
          <w:szCs w:val="22"/>
          <w:lang w:eastAsia="lt-LT"/>
        </w:rPr>
        <w:t xml:space="preserve">užpildyti ir pateikti Valstybinės vaistų kontrolės tarnybos prie Lietuvos Respublikos sveikatos apsaugos ministerijos tinklalapyje </w:t>
      </w:r>
      <w:r w:rsidR="004A1E89">
        <w:rPr>
          <w:color w:val="0000EE"/>
          <w:sz w:val="22"/>
          <w:szCs w:val="22"/>
          <w:u w:val="single"/>
          <w:lang w:eastAsia="lt-LT"/>
        </w:rPr>
        <w:t>https://vvkt.lrv.lt/lt/</w:t>
      </w:r>
      <w:r w:rsidR="004A1E89">
        <w:rPr>
          <w:sz w:val="22"/>
          <w:szCs w:val="22"/>
          <w:lang w:eastAsia="lt-LT"/>
        </w:rPr>
        <w:t xml:space="preserve"> nurodytais būdais arba paskambinti nemokamu telefonu +370 800 73 568. Pranešdami apie šalutinį poveikį galite mums padėti gauti daugiau informacijos apie šio vaisto saugumą</w:t>
      </w:r>
      <w:r w:rsidR="004A1E89">
        <w:rPr>
          <w:sz w:val="22"/>
        </w:rPr>
        <w:t>.</w:t>
      </w:r>
    </w:p>
    <w:p w14:paraId="6777E74F" w14:textId="77777777" w:rsidR="006629FE" w:rsidRPr="00310394" w:rsidRDefault="006629FE" w:rsidP="006629FE">
      <w:pPr>
        <w:rPr>
          <w:noProof/>
          <w:sz w:val="22"/>
          <w:szCs w:val="22"/>
        </w:rPr>
      </w:pPr>
    </w:p>
    <w:p w14:paraId="7DF1A008" w14:textId="77777777" w:rsidR="006629FE" w:rsidRPr="00310394" w:rsidRDefault="006629FE" w:rsidP="006629FE">
      <w:pPr>
        <w:rPr>
          <w:noProof/>
          <w:sz w:val="22"/>
          <w:szCs w:val="22"/>
        </w:rPr>
      </w:pPr>
    </w:p>
    <w:p w14:paraId="39955E0C" w14:textId="37094CF6" w:rsidR="006629FE" w:rsidRPr="00310394" w:rsidRDefault="006629FE" w:rsidP="006629FE">
      <w:pPr>
        <w:keepNext/>
        <w:tabs>
          <w:tab w:val="left" w:pos="567"/>
        </w:tabs>
        <w:outlineLvl w:val="1"/>
        <w:rPr>
          <w:b/>
          <w:noProof/>
          <w:sz w:val="22"/>
          <w:szCs w:val="22"/>
        </w:rPr>
      </w:pPr>
      <w:bookmarkStart w:id="8" w:name="_Toc129243143"/>
      <w:bookmarkStart w:id="9" w:name="_Toc129243268"/>
      <w:r w:rsidRPr="00310394">
        <w:rPr>
          <w:b/>
          <w:noProof/>
          <w:sz w:val="22"/>
          <w:szCs w:val="22"/>
        </w:rPr>
        <w:t>5.</w:t>
      </w:r>
      <w:r w:rsidRPr="00310394">
        <w:rPr>
          <w:b/>
          <w:noProof/>
          <w:sz w:val="22"/>
          <w:szCs w:val="22"/>
        </w:rPr>
        <w:tab/>
        <w:t xml:space="preserve">Kaip laikyti </w:t>
      </w:r>
      <w:bookmarkEnd w:id="8"/>
      <w:bookmarkEnd w:id="9"/>
      <w:r w:rsidR="00310394" w:rsidRPr="00310394">
        <w:rPr>
          <w:b/>
          <w:noProof/>
          <w:sz w:val="22"/>
          <w:szCs w:val="22"/>
        </w:rPr>
        <w:t>Loratadine</w:t>
      </w:r>
      <w:r w:rsidR="00822BCC" w:rsidRPr="00310394">
        <w:rPr>
          <w:b/>
          <w:noProof/>
          <w:sz w:val="22"/>
          <w:szCs w:val="22"/>
        </w:rPr>
        <w:t xml:space="preserve"> </w:t>
      </w:r>
      <w:r w:rsidR="00775941" w:rsidRPr="00310394">
        <w:rPr>
          <w:b/>
          <w:noProof/>
          <w:sz w:val="22"/>
          <w:szCs w:val="22"/>
        </w:rPr>
        <w:t>Accord</w:t>
      </w:r>
      <w:r w:rsidRPr="00310394">
        <w:rPr>
          <w:b/>
          <w:noProof/>
          <w:sz w:val="22"/>
          <w:szCs w:val="22"/>
        </w:rPr>
        <w:t xml:space="preserve"> </w:t>
      </w:r>
    </w:p>
    <w:p w14:paraId="3245D80A" w14:textId="77777777" w:rsidR="006629FE" w:rsidRPr="00310394" w:rsidRDefault="006629FE" w:rsidP="006629FE">
      <w:pPr>
        <w:rPr>
          <w:noProof/>
          <w:sz w:val="22"/>
          <w:szCs w:val="22"/>
        </w:rPr>
      </w:pPr>
    </w:p>
    <w:p w14:paraId="5CA44636" w14:textId="77777777" w:rsidR="00310394" w:rsidRPr="00781171" w:rsidRDefault="00310394" w:rsidP="00781171">
      <w:pPr>
        <w:pStyle w:val="Sraopastraipa"/>
        <w:numPr>
          <w:ilvl w:val="0"/>
          <w:numId w:val="43"/>
        </w:numPr>
        <w:ind w:left="567" w:hanging="567"/>
        <w:rPr>
          <w:sz w:val="22"/>
          <w:szCs w:val="22"/>
        </w:rPr>
      </w:pPr>
      <w:r w:rsidRPr="00781171">
        <w:rPr>
          <w:sz w:val="22"/>
          <w:szCs w:val="22"/>
        </w:rPr>
        <w:t>Šį vaistą laikykite vaikams nepastebimoje ir nepasiekiamoje vietoje.</w:t>
      </w:r>
    </w:p>
    <w:p w14:paraId="48F6052E" w14:textId="77777777" w:rsidR="00781171" w:rsidRDefault="00781171" w:rsidP="00781171">
      <w:pPr>
        <w:pStyle w:val="Sraopastraipa"/>
        <w:numPr>
          <w:ilvl w:val="0"/>
          <w:numId w:val="43"/>
        </w:numPr>
        <w:ind w:left="567" w:hanging="567"/>
        <w:outlineLvl w:val="0"/>
        <w:rPr>
          <w:sz w:val="22"/>
          <w:szCs w:val="22"/>
        </w:rPr>
      </w:pPr>
      <w:r w:rsidRPr="00781171">
        <w:rPr>
          <w:sz w:val="22"/>
          <w:szCs w:val="22"/>
        </w:rPr>
        <w:t>Šiam vaistui specialių laikymo sąlygų nereikia.</w:t>
      </w:r>
    </w:p>
    <w:p w14:paraId="7FCAB58C" w14:textId="136947D9" w:rsidR="00310394" w:rsidRPr="00781171" w:rsidRDefault="00310394" w:rsidP="00781171">
      <w:pPr>
        <w:pStyle w:val="Sraopastraipa"/>
        <w:numPr>
          <w:ilvl w:val="0"/>
          <w:numId w:val="43"/>
        </w:numPr>
        <w:ind w:left="567" w:hanging="567"/>
        <w:outlineLvl w:val="0"/>
        <w:rPr>
          <w:sz w:val="22"/>
          <w:szCs w:val="22"/>
        </w:rPr>
      </w:pPr>
      <w:r w:rsidRPr="00781171">
        <w:rPr>
          <w:sz w:val="22"/>
          <w:szCs w:val="22"/>
        </w:rPr>
        <w:t>Ant dėžutės ir lizdinės plokštelės po „EXP“ nurodytam tinkamumo laikui pasibaigus, šio vaisto vartoti negalima. Vaistas tinka vartoti iki paskutinės nurodyto mėnesio dienos.</w:t>
      </w:r>
    </w:p>
    <w:p w14:paraId="07B24353" w14:textId="77777777" w:rsidR="00310394" w:rsidRPr="00781171" w:rsidRDefault="00310394" w:rsidP="00781171">
      <w:pPr>
        <w:pStyle w:val="Sraopastraipa"/>
        <w:numPr>
          <w:ilvl w:val="0"/>
          <w:numId w:val="43"/>
        </w:numPr>
        <w:ind w:left="567" w:hanging="567"/>
        <w:outlineLvl w:val="0"/>
        <w:rPr>
          <w:sz w:val="22"/>
          <w:szCs w:val="22"/>
        </w:rPr>
      </w:pPr>
      <w:r w:rsidRPr="00781171">
        <w:rPr>
          <w:sz w:val="22"/>
          <w:szCs w:val="22"/>
        </w:rPr>
        <w:t>Pastebėjus, kad atsirado kokių nors tabletės išvaizdos pokyčių, šio vaisto vartoti negalima.</w:t>
      </w:r>
    </w:p>
    <w:p w14:paraId="50007A04" w14:textId="77777777" w:rsidR="00310394" w:rsidRPr="00781171" w:rsidRDefault="00310394" w:rsidP="00781171">
      <w:pPr>
        <w:pStyle w:val="Sraopastraipa"/>
        <w:numPr>
          <w:ilvl w:val="0"/>
          <w:numId w:val="43"/>
        </w:numPr>
        <w:ind w:left="567" w:hanging="567"/>
        <w:outlineLvl w:val="0"/>
        <w:rPr>
          <w:sz w:val="22"/>
          <w:szCs w:val="22"/>
        </w:rPr>
      </w:pPr>
      <w:r w:rsidRPr="00781171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1BDA6471" w14:textId="77777777" w:rsidR="006629FE" w:rsidRPr="00310394" w:rsidRDefault="006629FE" w:rsidP="006629FE">
      <w:pPr>
        <w:rPr>
          <w:noProof/>
          <w:sz w:val="22"/>
          <w:szCs w:val="22"/>
        </w:rPr>
      </w:pPr>
    </w:p>
    <w:p w14:paraId="244C0CB5" w14:textId="77777777" w:rsidR="006629FE" w:rsidRPr="00310394" w:rsidRDefault="006629FE" w:rsidP="006629FE">
      <w:pPr>
        <w:rPr>
          <w:noProof/>
          <w:sz w:val="22"/>
          <w:szCs w:val="22"/>
        </w:rPr>
      </w:pPr>
    </w:p>
    <w:p w14:paraId="14904470" w14:textId="77777777" w:rsidR="006629FE" w:rsidRPr="00310394" w:rsidRDefault="006629FE" w:rsidP="006629FE">
      <w:pPr>
        <w:keepNext/>
        <w:tabs>
          <w:tab w:val="left" w:pos="567"/>
        </w:tabs>
        <w:outlineLvl w:val="1"/>
        <w:rPr>
          <w:b/>
          <w:noProof/>
          <w:sz w:val="22"/>
          <w:szCs w:val="22"/>
        </w:rPr>
      </w:pPr>
      <w:bookmarkStart w:id="10" w:name="_Toc129243144"/>
      <w:bookmarkStart w:id="11" w:name="_Toc129243269"/>
      <w:r w:rsidRPr="00310394">
        <w:rPr>
          <w:b/>
          <w:noProof/>
          <w:sz w:val="22"/>
          <w:szCs w:val="22"/>
        </w:rPr>
        <w:t>6.</w:t>
      </w:r>
      <w:r w:rsidRPr="00310394">
        <w:rPr>
          <w:b/>
          <w:noProof/>
          <w:sz w:val="22"/>
          <w:szCs w:val="22"/>
        </w:rPr>
        <w:tab/>
        <w:t>Pakuotės turinys ir kita informacija</w:t>
      </w:r>
      <w:bookmarkEnd w:id="10"/>
      <w:bookmarkEnd w:id="11"/>
    </w:p>
    <w:p w14:paraId="7D9E3781" w14:textId="77777777" w:rsidR="006629FE" w:rsidRPr="00310394" w:rsidRDefault="006629FE" w:rsidP="006629FE">
      <w:pPr>
        <w:rPr>
          <w:noProof/>
          <w:sz w:val="22"/>
          <w:szCs w:val="22"/>
        </w:rPr>
      </w:pPr>
    </w:p>
    <w:p w14:paraId="39C44042" w14:textId="2535643D" w:rsidR="006629FE" w:rsidRPr="00310394" w:rsidRDefault="00310394" w:rsidP="006629FE">
      <w:pPr>
        <w:rPr>
          <w:b/>
          <w:bCs/>
          <w:noProof/>
          <w:sz w:val="22"/>
          <w:szCs w:val="22"/>
        </w:rPr>
      </w:pPr>
      <w:r w:rsidRPr="00310394">
        <w:rPr>
          <w:b/>
          <w:bCs/>
          <w:noProof/>
          <w:sz w:val="22"/>
          <w:szCs w:val="22"/>
        </w:rPr>
        <w:t>Loratadine</w:t>
      </w:r>
      <w:r w:rsidR="00822BCC" w:rsidRPr="00310394">
        <w:rPr>
          <w:b/>
          <w:bCs/>
          <w:noProof/>
          <w:sz w:val="22"/>
          <w:szCs w:val="22"/>
        </w:rPr>
        <w:t xml:space="preserve"> </w:t>
      </w:r>
      <w:r w:rsidR="00775941" w:rsidRPr="00310394">
        <w:rPr>
          <w:b/>
          <w:bCs/>
          <w:noProof/>
          <w:sz w:val="22"/>
          <w:szCs w:val="22"/>
        </w:rPr>
        <w:t>Accord</w:t>
      </w:r>
      <w:r w:rsidR="006629FE" w:rsidRPr="00310394">
        <w:rPr>
          <w:b/>
          <w:bCs/>
          <w:noProof/>
          <w:sz w:val="22"/>
          <w:szCs w:val="22"/>
        </w:rPr>
        <w:t xml:space="preserve"> sudėtis</w:t>
      </w:r>
    </w:p>
    <w:p w14:paraId="6CDE05C7" w14:textId="1D1FF1BF" w:rsidR="00310394" w:rsidRPr="00781171" w:rsidRDefault="00310394" w:rsidP="00781171">
      <w:pPr>
        <w:pStyle w:val="Sraopastraipa"/>
        <w:numPr>
          <w:ilvl w:val="0"/>
          <w:numId w:val="44"/>
        </w:numPr>
        <w:ind w:left="567" w:hanging="567"/>
        <w:rPr>
          <w:noProof/>
          <w:sz w:val="22"/>
          <w:szCs w:val="22"/>
        </w:rPr>
      </w:pPr>
      <w:r w:rsidRPr="00781171">
        <w:rPr>
          <w:noProof/>
          <w:sz w:val="22"/>
          <w:szCs w:val="22"/>
        </w:rPr>
        <w:t>Veiklioji medžiaga yra loratadinas. Kiekvienoje tabletėje yra 10</w:t>
      </w:r>
      <w:r w:rsidR="00781171">
        <w:rPr>
          <w:noProof/>
          <w:sz w:val="22"/>
          <w:szCs w:val="22"/>
        </w:rPr>
        <w:t> </w:t>
      </w:r>
      <w:r w:rsidRPr="00781171">
        <w:rPr>
          <w:noProof/>
          <w:sz w:val="22"/>
          <w:szCs w:val="22"/>
        </w:rPr>
        <w:t>mg loratadino.</w:t>
      </w:r>
    </w:p>
    <w:p w14:paraId="1C908CDF" w14:textId="38AC6973" w:rsidR="00310394" w:rsidRPr="00350C6E" w:rsidRDefault="00310394" w:rsidP="00350C6E">
      <w:pPr>
        <w:pStyle w:val="Sraopastraipa"/>
        <w:numPr>
          <w:ilvl w:val="0"/>
          <w:numId w:val="44"/>
        </w:numPr>
        <w:ind w:left="567" w:hanging="567"/>
        <w:rPr>
          <w:noProof/>
          <w:sz w:val="22"/>
          <w:szCs w:val="22"/>
        </w:rPr>
      </w:pPr>
      <w:r w:rsidRPr="00350C6E">
        <w:rPr>
          <w:noProof/>
          <w:sz w:val="22"/>
          <w:szCs w:val="22"/>
        </w:rPr>
        <w:t xml:space="preserve">Pagalbinės medžiagos yra laktozė monohidratas, </w:t>
      </w:r>
      <w:r w:rsidR="00350C6E" w:rsidRPr="00350C6E">
        <w:rPr>
          <w:noProof/>
          <w:sz w:val="22"/>
          <w:szCs w:val="22"/>
        </w:rPr>
        <w:t xml:space="preserve">mikrokristalinė celiuliozė (E460), </w:t>
      </w:r>
      <w:r w:rsidRPr="00350C6E">
        <w:rPr>
          <w:noProof/>
          <w:sz w:val="22"/>
          <w:szCs w:val="22"/>
        </w:rPr>
        <w:t>kukurūzų krakmolas ir magnio stearatas</w:t>
      </w:r>
      <w:r w:rsidR="00350C6E" w:rsidRPr="00350C6E">
        <w:rPr>
          <w:noProof/>
          <w:sz w:val="22"/>
          <w:szCs w:val="22"/>
        </w:rPr>
        <w:t xml:space="preserve"> (E470b).</w:t>
      </w:r>
    </w:p>
    <w:p w14:paraId="725B3147" w14:textId="77777777" w:rsidR="00F36C2B" w:rsidRPr="00310394" w:rsidRDefault="00F36C2B" w:rsidP="006629FE">
      <w:pPr>
        <w:tabs>
          <w:tab w:val="num" w:pos="540"/>
        </w:tabs>
        <w:ind w:left="540" w:right="-241" w:hanging="540"/>
        <w:rPr>
          <w:noProof/>
          <w:sz w:val="22"/>
          <w:szCs w:val="22"/>
        </w:rPr>
      </w:pPr>
    </w:p>
    <w:p w14:paraId="0F5756E6" w14:textId="6F44CC4C" w:rsidR="006629FE" w:rsidRPr="00310394" w:rsidRDefault="00310394" w:rsidP="002522CB">
      <w:pPr>
        <w:keepNext/>
        <w:rPr>
          <w:b/>
          <w:bCs/>
          <w:noProof/>
          <w:sz w:val="22"/>
          <w:szCs w:val="22"/>
        </w:rPr>
      </w:pPr>
      <w:r w:rsidRPr="0072141A">
        <w:rPr>
          <w:b/>
          <w:bCs/>
          <w:noProof/>
          <w:sz w:val="22"/>
          <w:szCs w:val="22"/>
        </w:rPr>
        <w:t>Loratadine</w:t>
      </w:r>
      <w:r w:rsidR="00822BCC" w:rsidRPr="0072141A">
        <w:rPr>
          <w:b/>
          <w:bCs/>
          <w:noProof/>
          <w:sz w:val="22"/>
          <w:szCs w:val="22"/>
        </w:rPr>
        <w:t xml:space="preserve"> </w:t>
      </w:r>
      <w:r w:rsidR="00775941" w:rsidRPr="0072141A">
        <w:rPr>
          <w:b/>
          <w:bCs/>
          <w:noProof/>
          <w:sz w:val="22"/>
          <w:szCs w:val="22"/>
        </w:rPr>
        <w:t>Accord</w:t>
      </w:r>
      <w:r w:rsidR="006629FE" w:rsidRPr="0072141A">
        <w:rPr>
          <w:b/>
          <w:bCs/>
          <w:noProof/>
          <w:sz w:val="22"/>
          <w:szCs w:val="22"/>
        </w:rPr>
        <w:t xml:space="preserve"> išvaizda ir kiekis pakuotėje</w:t>
      </w:r>
    </w:p>
    <w:p w14:paraId="7C46036B" w14:textId="77777777" w:rsidR="00F36C2B" w:rsidRPr="00310394" w:rsidRDefault="00F36C2B" w:rsidP="002522CB">
      <w:pPr>
        <w:keepNext/>
        <w:rPr>
          <w:noProof/>
          <w:sz w:val="22"/>
          <w:szCs w:val="22"/>
          <w:u w:val="single"/>
        </w:rPr>
      </w:pPr>
    </w:p>
    <w:p w14:paraId="36BA0AFC" w14:textId="4B2768BF" w:rsidR="009C3F88" w:rsidRPr="00351C70" w:rsidRDefault="009C3F88" w:rsidP="009C3F88">
      <w:pPr>
        <w:tabs>
          <w:tab w:val="left" w:pos="567"/>
        </w:tabs>
        <w:rPr>
          <w:sz w:val="22"/>
          <w:szCs w:val="22"/>
          <w:lang w:eastAsia="lt-LT"/>
        </w:rPr>
      </w:pPr>
      <w:proofErr w:type="spellStart"/>
      <w:r w:rsidRPr="009C3F88">
        <w:rPr>
          <w:sz w:val="22"/>
          <w:szCs w:val="22"/>
          <w:lang w:eastAsia="lt-LT"/>
        </w:rPr>
        <w:t>Loratadine</w:t>
      </w:r>
      <w:proofErr w:type="spellEnd"/>
      <w:r w:rsidRPr="009C3F88">
        <w:rPr>
          <w:sz w:val="22"/>
          <w:szCs w:val="22"/>
          <w:lang w:eastAsia="lt-LT"/>
        </w:rPr>
        <w:t xml:space="preserve"> </w:t>
      </w:r>
      <w:proofErr w:type="spellStart"/>
      <w:r w:rsidRPr="009C3F88">
        <w:rPr>
          <w:sz w:val="22"/>
          <w:szCs w:val="22"/>
          <w:lang w:eastAsia="lt-LT"/>
        </w:rPr>
        <w:t>Accord</w:t>
      </w:r>
      <w:proofErr w:type="spellEnd"/>
      <w:r w:rsidRPr="009C3F88">
        <w:rPr>
          <w:sz w:val="22"/>
          <w:szCs w:val="22"/>
          <w:lang w:eastAsia="lt-LT"/>
        </w:rPr>
        <w:t xml:space="preserve"> </w:t>
      </w:r>
      <w:r>
        <w:rPr>
          <w:sz w:val="22"/>
          <w:szCs w:val="22"/>
          <w:lang w:eastAsia="lt-LT"/>
        </w:rPr>
        <w:t>yra b</w:t>
      </w:r>
      <w:r w:rsidRPr="00351C70">
        <w:rPr>
          <w:sz w:val="22"/>
          <w:szCs w:val="22"/>
          <w:lang w:eastAsia="lt-LT"/>
        </w:rPr>
        <w:t>altos arba beveik baltos spalvos, 8 mm, apvalios, plokščios, nedengtos tabletės, kurių vienoje pusėje įspausta „KH“, o kitoje pusėje –</w:t>
      </w:r>
      <w:r w:rsidR="00C87E94">
        <w:rPr>
          <w:sz w:val="22"/>
          <w:szCs w:val="22"/>
          <w:lang w:eastAsia="lt-LT"/>
        </w:rPr>
        <w:t xml:space="preserve"> </w:t>
      </w:r>
      <w:r w:rsidRPr="00351C70">
        <w:rPr>
          <w:sz w:val="22"/>
          <w:szCs w:val="22"/>
          <w:lang w:eastAsia="lt-LT"/>
        </w:rPr>
        <w:t>vagelė.</w:t>
      </w:r>
    </w:p>
    <w:p w14:paraId="23F72DF3" w14:textId="722DEE4F" w:rsidR="00310394" w:rsidRDefault="00310394" w:rsidP="00310394">
      <w:pPr>
        <w:rPr>
          <w:sz w:val="22"/>
          <w:szCs w:val="22"/>
        </w:rPr>
      </w:pPr>
    </w:p>
    <w:p w14:paraId="4393ED88" w14:textId="77777777" w:rsidR="009C3F88" w:rsidRPr="00351C70" w:rsidRDefault="009C3F88" w:rsidP="009C3F88">
      <w:pPr>
        <w:tabs>
          <w:tab w:val="left" w:pos="567"/>
        </w:tabs>
        <w:rPr>
          <w:sz w:val="22"/>
          <w:szCs w:val="22"/>
          <w:lang w:eastAsia="lt-LT"/>
        </w:rPr>
      </w:pPr>
      <w:r w:rsidRPr="00351C70">
        <w:rPr>
          <w:sz w:val="22"/>
          <w:szCs w:val="22"/>
          <w:lang w:eastAsia="lt-LT"/>
        </w:rPr>
        <w:t xml:space="preserve">Vagelė skirta </w:t>
      </w:r>
      <w:r>
        <w:rPr>
          <w:sz w:val="22"/>
          <w:szCs w:val="22"/>
          <w:lang w:eastAsia="lt-LT"/>
        </w:rPr>
        <w:t xml:space="preserve">tik </w:t>
      </w:r>
      <w:r w:rsidRPr="00351C70">
        <w:rPr>
          <w:sz w:val="22"/>
          <w:szCs w:val="22"/>
          <w:lang w:eastAsia="lt-LT"/>
        </w:rPr>
        <w:t>tabletei perlaužti, kad būtų lengviau nuryti, bet ne padalinti į lygas dozes.</w:t>
      </w:r>
    </w:p>
    <w:p w14:paraId="671C4BC7" w14:textId="77777777" w:rsidR="009C3F88" w:rsidRPr="00310394" w:rsidRDefault="009C3F88" w:rsidP="00310394">
      <w:pPr>
        <w:rPr>
          <w:sz w:val="22"/>
          <w:szCs w:val="22"/>
        </w:rPr>
      </w:pPr>
    </w:p>
    <w:p w14:paraId="5CAA9925" w14:textId="663781AD" w:rsidR="00310394" w:rsidRPr="00310394" w:rsidRDefault="009C3F88" w:rsidP="009C3F88">
      <w:pPr>
        <w:rPr>
          <w:sz w:val="22"/>
          <w:szCs w:val="22"/>
        </w:rPr>
      </w:pPr>
      <w:proofErr w:type="spellStart"/>
      <w:r w:rsidRPr="009C3F88">
        <w:rPr>
          <w:sz w:val="22"/>
          <w:szCs w:val="22"/>
        </w:rPr>
        <w:t>Loratadine</w:t>
      </w:r>
      <w:proofErr w:type="spellEnd"/>
      <w:r w:rsidRPr="009C3F88">
        <w:rPr>
          <w:sz w:val="22"/>
          <w:szCs w:val="22"/>
        </w:rPr>
        <w:t xml:space="preserve"> </w:t>
      </w:r>
      <w:proofErr w:type="spellStart"/>
      <w:r w:rsidRPr="009C3F88">
        <w:rPr>
          <w:sz w:val="22"/>
          <w:szCs w:val="22"/>
        </w:rPr>
        <w:t>Accord</w:t>
      </w:r>
      <w:proofErr w:type="spellEnd"/>
      <w:r w:rsidRPr="009C3F88">
        <w:rPr>
          <w:sz w:val="22"/>
          <w:szCs w:val="22"/>
        </w:rPr>
        <w:t xml:space="preserve"> </w:t>
      </w:r>
      <w:r>
        <w:rPr>
          <w:sz w:val="22"/>
          <w:szCs w:val="22"/>
        </w:rPr>
        <w:t>yra tiekiamas s</w:t>
      </w:r>
      <w:r w:rsidRPr="009C3F88">
        <w:rPr>
          <w:sz w:val="22"/>
          <w:szCs w:val="22"/>
        </w:rPr>
        <w:t>kaidrio</w:t>
      </w:r>
      <w:r>
        <w:rPr>
          <w:sz w:val="22"/>
          <w:szCs w:val="22"/>
        </w:rPr>
        <w:t>mis</w:t>
      </w:r>
      <w:r w:rsidRPr="009C3F88">
        <w:rPr>
          <w:sz w:val="22"/>
          <w:szCs w:val="22"/>
        </w:rPr>
        <w:t xml:space="preserve"> </w:t>
      </w:r>
      <w:proofErr w:type="spellStart"/>
      <w:r w:rsidRPr="009C3F88">
        <w:rPr>
          <w:sz w:val="22"/>
          <w:szCs w:val="22"/>
        </w:rPr>
        <w:t>polivinilchlorido</w:t>
      </w:r>
      <w:proofErr w:type="spellEnd"/>
      <w:r w:rsidRPr="009C3F88">
        <w:rPr>
          <w:sz w:val="22"/>
          <w:szCs w:val="22"/>
        </w:rPr>
        <w:t xml:space="preserve"> (PVC)-aliuminio lizdinė</w:t>
      </w:r>
      <w:r>
        <w:rPr>
          <w:sz w:val="22"/>
          <w:szCs w:val="22"/>
        </w:rPr>
        <w:t>mi</w:t>
      </w:r>
      <w:r w:rsidRPr="009C3F88">
        <w:rPr>
          <w:sz w:val="22"/>
          <w:szCs w:val="22"/>
        </w:rPr>
        <w:t>s plokštelė</w:t>
      </w:r>
      <w:r>
        <w:rPr>
          <w:sz w:val="22"/>
          <w:szCs w:val="22"/>
        </w:rPr>
        <w:t>mi</w:t>
      </w:r>
      <w:r w:rsidRPr="009C3F88">
        <w:rPr>
          <w:sz w:val="22"/>
          <w:szCs w:val="22"/>
        </w:rPr>
        <w:t>s</w:t>
      </w:r>
      <w:r>
        <w:rPr>
          <w:sz w:val="22"/>
          <w:szCs w:val="22"/>
        </w:rPr>
        <w:t xml:space="preserve"> po</w:t>
      </w:r>
      <w:r w:rsidRPr="009C3F88">
        <w:rPr>
          <w:sz w:val="22"/>
          <w:szCs w:val="22"/>
        </w:rPr>
        <w:t xml:space="preserve"> 14, 20, 28, 30, 50, 60 arba 100 tablečių.</w:t>
      </w:r>
    </w:p>
    <w:p w14:paraId="67D3C27D" w14:textId="155683A9" w:rsidR="00A76FF2" w:rsidRDefault="00A76FF2" w:rsidP="006629FE">
      <w:pPr>
        <w:rPr>
          <w:sz w:val="22"/>
          <w:szCs w:val="22"/>
        </w:rPr>
      </w:pPr>
    </w:p>
    <w:p w14:paraId="7D403EC5" w14:textId="77777777" w:rsidR="00E8023D" w:rsidRPr="00351C70" w:rsidRDefault="00E8023D" w:rsidP="00E8023D">
      <w:pPr>
        <w:tabs>
          <w:tab w:val="left" w:pos="567"/>
        </w:tabs>
        <w:rPr>
          <w:sz w:val="22"/>
          <w:szCs w:val="22"/>
          <w:lang w:eastAsia="lt-LT"/>
        </w:rPr>
      </w:pPr>
      <w:r w:rsidRPr="00351C70">
        <w:rPr>
          <w:sz w:val="22"/>
          <w:szCs w:val="22"/>
          <w:lang w:eastAsia="lt-LT"/>
        </w:rPr>
        <w:t>Gali būti tiekiamos ne visų dydžių pakuotės.</w:t>
      </w:r>
    </w:p>
    <w:p w14:paraId="3305B6BD" w14:textId="77777777" w:rsidR="00E8023D" w:rsidRPr="00310394" w:rsidRDefault="00E8023D" w:rsidP="006629FE">
      <w:pPr>
        <w:rPr>
          <w:noProof/>
          <w:sz w:val="22"/>
          <w:szCs w:val="22"/>
        </w:rPr>
      </w:pPr>
    </w:p>
    <w:p w14:paraId="2E2839AC" w14:textId="77777777" w:rsidR="00F36C2B" w:rsidRPr="00310394" w:rsidRDefault="00F36C2B" w:rsidP="00F36C2B">
      <w:pPr>
        <w:rPr>
          <w:rFonts w:eastAsia="Calibri"/>
          <w:b/>
          <w:noProof/>
          <w:sz w:val="22"/>
          <w:szCs w:val="22"/>
        </w:rPr>
      </w:pPr>
      <w:r w:rsidRPr="00310394">
        <w:rPr>
          <w:rFonts w:eastAsia="Calibri"/>
          <w:b/>
          <w:noProof/>
          <w:sz w:val="22"/>
          <w:szCs w:val="22"/>
        </w:rPr>
        <w:t>Registruotojas</w:t>
      </w:r>
    </w:p>
    <w:p w14:paraId="58393F2E" w14:textId="77777777" w:rsidR="00F36C2B" w:rsidRPr="00310394" w:rsidRDefault="00F36C2B" w:rsidP="00F36C2B">
      <w:pPr>
        <w:tabs>
          <w:tab w:val="left" w:pos="567"/>
        </w:tabs>
        <w:ind w:left="357" w:hanging="357"/>
        <w:rPr>
          <w:rFonts w:eastAsia="Calibri"/>
          <w:noProof/>
          <w:color w:val="000000"/>
          <w:sz w:val="22"/>
          <w:szCs w:val="22"/>
        </w:rPr>
      </w:pPr>
      <w:r w:rsidRPr="00310394">
        <w:rPr>
          <w:rFonts w:eastAsia="Calibri"/>
          <w:noProof/>
          <w:color w:val="000000"/>
          <w:sz w:val="22"/>
          <w:szCs w:val="22"/>
        </w:rPr>
        <w:t xml:space="preserve">Accord Healthcare B.V. </w:t>
      </w:r>
    </w:p>
    <w:p w14:paraId="2739A20A" w14:textId="77777777" w:rsidR="00F36C2B" w:rsidRPr="00310394" w:rsidRDefault="00F36C2B" w:rsidP="00F36C2B">
      <w:pPr>
        <w:tabs>
          <w:tab w:val="left" w:pos="567"/>
        </w:tabs>
        <w:ind w:left="357" w:hanging="357"/>
        <w:rPr>
          <w:rFonts w:eastAsia="Calibri"/>
          <w:noProof/>
          <w:color w:val="000000"/>
          <w:sz w:val="22"/>
          <w:szCs w:val="22"/>
        </w:rPr>
      </w:pPr>
      <w:r w:rsidRPr="00310394">
        <w:rPr>
          <w:rFonts w:eastAsia="Calibri"/>
          <w:noProof/>
          <w:color w:val="000000"/>
          <w:sz w:val="22"/>
          <w:szCs w:val="22"/>
        </w:rPr>
        <w:t xml:space="preserve">Winthontlaan 200 </w:t>
      </w:r>
    </w:p>
    <w:p w14:paraId="690A1F04" w14:textId="77777777" w:rsidR="00F36C2B" w:rsidRPr="00310394" w:rsidRDefault="00F36C2B" w:rsidP="00F36C2B">
      <w:pPr>
        <w:tabs>
          <w:tab w:val="left" w:pos="567"/>
        </w:tabs>
        <w:ind w:left="357" w:hanging="357"/>
        <w:rPr>
          <w:rFonts w:eastAsia="Calibri"/>
          <w:noProof/>
          <w:color w:val="000000"/>
          <w:sz w:val="22"/>
          <w:szCs w:val="22"/>
        </w:rPr>
      </w:pPr>
      <w:r w:rsidRPr="00310394">
        <w:rPr>
          <w:rFonts w:eastAsia="Calibri"/>
          <w:noProof/>
          <w:color w:val="000000"/>
          <w:sz w:val="22"/>
          <w:szCs w:val="22"/>
        </w:rPr>
        <w:lastRenderedPageBreak/>
        <w:t xml:space="preserve">3526 KV Utrecht </w:t>
      </w:r>
    </w:p>
    <w:p w14:paraId="4454BDEF" w14:textId="77777777" w:rsidR="00F36C2B" w:rsidRPr="00310394" w:rsidRDefault="00F36C2B" w:rsidP="00F36C2B">
      <w:pPr>
        <w:tabs>
          <w:tab w:val="left" w:pos="567"/>
        </w:tabs>
        <w:ind w:left="357" w:hanging="357"/>
        <w:rPr>
          <w:rFonts w:eastAsia="Calibri"/>
          <w:noProof/>
          <w:color w:val="000000"/>
          <w:sz w:val="22"/>
          <w:szCs w:val="22"/>
        </w:rPr>
      </w:pPr>
      <w:r w:rsidRPr="00310394">
        <w:rPr>
          <w:rFonts w:eastAsia="Calibri"/>
          <w:noProof/>
          <w:color w:val="000000"/>
          <w:sz w:val="22"/>
          <w:szCs w:val="22"/>
        </w:rPr>
        <w:t>Nyderlandai</w:t>
      </w:r>
    </w:p>
    <w:p w14:paraId="02075FBB" w14:textId="77777777" w:rsidR="00F36C2B" w:rsidRPr="00310394" w:rsidRDefault="00F36C2B" w:rsidP="00F36C2B">
      <w:pPr>
        <w:tabs>
          <w:tab w:val="left" w:pos="567"/>
        </w:tabs>
        <w:ind w:left="357" w:hanging="357"/>
        <w:rPr>
          <w:rFonts w:eastAsia="Calibri"/>
          <w:b/>
          <w:caps/>
          <w:noProof/>
          <w:sz w:val="22"/>
          <w:szCs w:val="22"/>
        </w:rPr>
      </w:pPr>
    </w:p>
    <w:p w14:paraId="6FF03D9B" w14:textId="77777777" w:rsidR="00F36C2B" w:rsidRPr="00310394" w:rsidRDefault="00F36C2B" w:rsidP="00F36C2B">
      <w:pPr>
        <w:tabs>
          <w:tab w:val="left" w:pos="567"/>
        </w:tabs>
        <w:ind w:left="357" w:hanging="357"/>
        <w:rPr>
          <w:rFonts w:eastAsia="Calibri"/>
          <w:b/>
          <w:caps/>
          <w:noProof/>
          <w:sz w:val="22"/>
          <w:szCs w:val="22"/>
        </w:rPr>
      </w:pPr>
      <w:r w:rsidRPr="00310394">
        <w:rPr>
          <w:rFonts w:eastAsia="Calibri"/>
          <w:b/>
          <w:caps/>
          <w:noProof/>
          <w:sz w:val="22"/>
          <w:szCs w:val="22"/>
        </w:rPr>
        <w:t>G</w:t>
      </w:r>
      <w:r w:rsidRPr="00310394">
        <w:rPr>
          <w:rFonts w:eastAsia="Calibri"/>
          <w:b/>
          <w:noProof/>
          <w:sz w:val="22"/>
          <w:szCs w:val="22"/>
        </w:rPr>
        <w:t>amintojas</w:t>
      </w:r>
    </w:p>
    <w:p w14:paraId="0982B9B3" w14:textId="77777777" w:rsidR="00E8023D" w:rsidRPr="00310394" w:rsidRDefault="00E8023D" w:rsidP="00E8023D">
      <w:pPr>
        <w:rPr>
          <w:rFonts w:eastAsia="Calibri"/>
          <w:bCs/>
          <w:noProof/>
          <w:sz w:val="22"/>
          <w:szCs w:val="22"/>
        </w:rPr>
      </w:pPr>
      <w:r w:rsidRPr="00310394">
        <w:rPr>
          <w:rFonts w:eastAsia="Calibri"/>
          <w:bCs/>
          <w:noProof/>
          <w:sz w:val="22"/>
          <w:szCs w:val="22"/>
        </w:rPr>
        <w:t>Accord Healthcare Polska Sp.z o.o.</w:t>
      </w:r>
    </w:p>
    <w:p w14:paraId="771AAF70" w14:textId="77777777" w:rsidR="00E8023D" w:rsidRPr="00310394" w:rsidRDefault="00E8023D" w:rsidP="00E8023D">
      <w:pPr>
        <w:rPr>
          <w:rFonts w:eastAsia="Calibri"/>
          <w:bCs/>
          <w:noProof/>
          <w:sz w:val="22"/>
          <w:szCs w:val="22"/>
        </w:rPr>
      </w:pPr>
      <w:r w:rsidRPr="00310394">
        <w:rPr>
          <w:rFonts w:eastAsia="Calibri"/>
          <w:bCs/>
          <w:noProof/>
          <w:sz w:val="22"/>
          <w:szCs w:val="22"/>
        </w:rPr>
        <w:t xml:space="preserve">ul. Lutomierska 50 </w:t>
      </w:r>
    </w:p>
    <w:p w14:paraId="55C94A5B" w14:textId="77777777" w:rsidR="00E8023D" w:rsidRPr="00310394" w:rsidRDefault="00E8023D" w:rsidP="00E8023D">
      <w:pPr>
        <w:rPr>
          <w:rFonts w:eastAsia="Calibri"/>
          <w:bCs/>
          <w:noProof/>
          <w:sz w:val="22"/>
          <w:szCs w:val="22"/>
        </w:rPr>
      </w:pPr>
      <w:r w:rsidRPr="00310394">
        <w:rPr>
          <w:rFonts w:eastAsia="Calibri"/>
          <w:bCs/>
          <w:noProof/>
          <w:sz w:val="22"/>
          <w:szCs w:val="22"/>
        </w:rPr>
        <w:t>95-200 Pabianice</w:t>
      </w:r>
    </w:p>
    <w:p w14:paraId="263669D7" w14:textId="77777777" w:rsidR="00E8023D" w:rsidRPr="00310394" w:rsidRDefault="00E8023D" w:rsidP="00E8023D">
      <w:pPr>
        <w:rPr>
          <w:rFonts w:eastAsia="Calibri"/>
          <w:bCs/>
          <w:noProof/>
          <w:sz w:val="22"/>
          <w:szCs w:val="22"/>
        </w:rPr>
      </w:pPr>
      <w:r w:rsidRPr="00310394">
        <w:rPr>
          <w:rFonts w:eastAsia="Calibri"/>
          <w:bCs/>
          <w:noProof/>
          <w:sz w:val="22"/>
          <w:szCs w:val="22"/>
        </w:rPr>
        <w:t>Lenkija</w:t>
      </w:r>
    </w:p>
    <w:p w14:paraId="10871C59" w14:textId="77777777" w:rsidR="00E8023D" w:rsidRPr="00310394" w:rsidRDefault="00E8023D" w:rsidP="00E8023D">
      <w:pPr>
        <w:rPr>
          <w:rFonts w:eastAsia="Calibri"/>
          <w:bCs/>
          <w:noProof/>
          <w:sz w:val="22"/>
          <w:szCs w:val="22"/>
        </w:rPr>
      </w:pPr>
    </w:p>
    <w:p w14:paraId="045FE610" w14:textId="77777777" w:rsidR="00E8023D" w:rsidRPr="00310394" w:rsidRDefault="00E8023D" w:rsidP="00E8023D">
      <w:pPr>
        <w:rPr>
          <w:rFonts w:eastAsia="Calibri"/>
          <w:bCs/>
          <w:noProof/>
          <w:sz w:val="22"/>
          <w:szCs w:val="22"/>
        </w:rPr>
      </w:pPr>
      <w:r w:rsidRPr="00310394">
        <w:rPr>
          <w:rFonts w:eastAsia="Calibri"/>
          <w:bCs/>
          <w:noProof/>
          <w:sz w:val="22"/>
          <w:szCs w:val="22"/>
        </w:rPr>
        <w:t>arba</w:t>
      </w:r>
    </w:p>
    <w:p w14:paraId="6E099561" w14:textId="77777777" w:rsidR="00E8023D" w:rsidRPr="00310394" w:rsidRDefault="00E8023D" w:rsidP="00E8023D">
      <w:pPr>
        <w:rPr>
          <w:rFonts w:eastAsia="Calibri"/>
          <w:bCs/>
          <w:noProof/>
          <w:sz w:val="22"/>
          <w:szCs w:val="22"/>
        </w:rPr>
      </w:pPr>
    </w:p>
    <w:p w14:paraId="00B49278" w14:textId="77777777" w:rsidR="00E8023D" w:rsidRPr="00351C70" w:rsidRDefault="00E8023D" w:rsidP="00E8023D">
      <w:pPr>
        <w:rPr>
          <w:rFonts w:eastAsia="Calibri"/>
          <w:bCs/>
          <w:noProof/>
          <w:sz w:val="22"/>
          <w:szCs w:val="22"/>
        </w:rPr>
      </w:pPr>
      <w:r w:rsidRPr="00351C70">
        <w:rPr>
          <w:rFonts w:eastAsia="Calibri"/>
          <w:bCs/>
          <w:noProof/>
          <w:sz w:val="22"/>
          <w:szCs w:val="22"/>
        </w:rPr>
        <w:t xml:space="preserve">Accord Healthcare B.V. </w:t>
      </w:r>
    </w:p>
    <w:p w14:paraId="2A63AC2F" w14:textId="77777777" w:rsidR="00E8023D" w:rsidRPr="00351C70" w:rsidRDefault="00E8023D" w:rsidP="00E8023D">
      <w:pPr>
        <w:rPr>
          <w:rFonts w:eastAsia="Calibri"/>
          <w:bCs/>
          <w:noProof/>
          <w:sz w:val="22"/>
          <w:szCs w:val="22"/>
        </w:rPr>
      </w:pPr>
      <w:r w:rsidRPr="00351C70">
        <w:rPr>
          <w:rFonts w:eastAsia="Calibri"/>
          <w:bCs/>
          <w:noProof/>
          <w:sz w:val="22"/>
          <w:szCs w:val="22"/>
        </w:rPr>
        <w:t>Winthontlaan 200</w:t>
      </w:r>
    </w:p>
    <w:p w14:paraId="4CD14F75" w14:textId="77777777" w:rsidR="00E8023D" w:rsidRPr="00351C70" w:rsidRDefault="00E8023D" w:rsidP="00E8023D">
      <w:pPr>
        <w:rPr>
          <w:rFonts w:eastAsia="Calibri"/>
          <w:bCs/>
          <w:noProof/>
          <w:sz w:val="22"/>
          <w:szCs w:val="22"/>
        </w:rPr>
      </w:pPr>
      <w:r w:rsidRPr="00351C70">
        <w:rPr>
          <w:rFonts w:eastAsia="Calibri"/>
          <w:bCs/>
          <w:noProof/>
          <w:sz w:val="22"/>
          <w:szCs w:val="22"/>
        </w:rPr>
        <w:t xml:space="preserve">3526 KV Utrecht </w:t>
      </w:r>
    </w:p>
    <w:p w14:paraId="14E20C51" w14:textId="77777777" w:rsidR="00E8023D" w:rsidRPr="00351C70" w:rsidRDefault="00E8023D" w:rsidP="00E8023D">
      <w:pPr>
        <w:rPr>
          <w:rFonts w:eastAsia="Calibri"/>
          <w:bCs/>
          <w:noProof/>
          <w:sz w:val="22"/>
          <w:szCs w:val="22"/>
        </w:rPr>
      </w:pPr>
      <w:r w:rsidRPr="00351C70">
        <w:rPr>
          <w:rFonts w:eastAsia="Calibri"/>
          <w:bCs/>
          <w:noProof/>
          <w:sz w:val="22"/>
          <w:szCs w:val="22"/>
        </w:rPr>
        <w:t>Nyderlandai</w:t>
      </w:r>
    </w:p>
    <w:p w14:paraId="619DDF14" w14:textId="77777777" w:rsidR="00E8023D" w:rsidRDefault="00E8023D" w:rsidP="00450F2B">
      <w:pPr>
        <w:rPr>
          <w:rFonts w:eastAsia="Calibri"/>
          <w:bCs/>
          <w:noProof/>
          <w:sz w:val="22"/>
          <w:szCs w:val="22"/>
          <w:lang w:bidi="lt-LT"/>
        </w:rPr>
      </w:pPr>
    </w:p>
    <w:p w14:paraId="3BB77CDE" w14:textId="69951458" w:rsidR="00E8023D" w:rsidRDefault="00E8023D" w:rsidP="00450F2B">
      <w:pPr>
        <w:rPr>
          <w:rFonts w:eastAsia="Calibri"/>
          <w:bCs/>
          <w:noProof/>
          <w:sz w:val="22"/>
          <w:szCs w:val="22"/>
          <w:lang w:bidi="lt-LT"/>
        </w:rPr>
      </w:pPr>
      <w:r>
        <w:rPr>
          <w:rFonts w:eastAsia="Calibri"/>
          <w:bCs/>
          <w:noProof/>
          <w:sz w:val="22"/>
          <w:szCs w:val="22"/>
          <w:lang w:bidi="lt-LT"/>
        </w:rPr>
        <w:t>arba</w:t>
      </w:r>
    </w:p>
    <w:p w14:paraId="664A5FB0" w14:textId="77777777" w:rsidR="00E8023D" w:rsidRDefault="00E8023D" w:rsidP="00450F2B">
      <w:pPr>
        <w:rPr>
          <w:rFonts w:eastAsia="Calibri"/>
          <w:bCs/>
          <w:noProof/>
          <w:sz w:val="22"/>
          <w:szCs w:val="22"/>
          <w:lang w:bidi="lt-LT"/>
        </w:rPr>
      </w:pPr>
    </w:p>
    <w:p w14:paraId="1BCDE89C" w14:textId="509A2A18" w:rsidR="0087176D" w:rsidRPr="00310394" w:rsidRDefault="00450F2B" w:rsidP="00450F2B">
      <w:pPr>
        <w:rPr>
          <w:rFonts w:eastAsia="Calibri"/>
          <w:bCs/>
          <w:noProof/>
          <w:sz w:val="22"/>
          <w:szCs w:val="22"/>
          <w:lang w:bidi="lt-LT"/>
        </w:rPr>
      </w:pPr>
      <w:r w:rsidRPr="00310394">
        <w:rPr>
          <w:rFonts w:eastAsia="Calibri"/>
          <w:bCs/>
          <w:noProof/>
          <w:sz w:val="22"/>
          <w:szCs w:val="22"/>
          <w:lang w:bidi="lt-LT"/>
        </w:rPr>
        <w:t>Laboratori Fundaci</w:t>
      </w:r>
      <w:r w:rsidR="00E8023D" w:rsidRPr="00E8023D">
        <w:rPr>
          <w:rFonts w:eastAsia="Calibri"/>
          <w:bCs/>
          <w:noProof/>
          <w:sz w:val="22"/>
          <w:szCs w:val="22"/>
          <w:lang w:bidi="lt-LT"/>
        </w:rPr>
        <w:t>ó</w:t>
      </w:r>
      <w:r w:rsidRPr="00310394">
        <w:rPr>
          <w:rFonts w:eastAsia="Calibri"/>
          <w:bCs/>
          <w:noProof/>
          <w:sz w:val="22"/>
          <w:szCs w:val="22"/>
          <w:lang w:bidi="lt-LT"/>
        </w:rPr>
        <w:t xml:space="preserve"> D</w:t>
      </w:r>
      <w:r w:rsidR="00E8023D" w:rsidRPr="00310394">
        <w:rPr>
          <w:rFonts w:eastAsia="Calibri"/>
          <w:bCs/>
          <w:noProof/>
          <w:sz w:val="22"/>
          <w:szCs w:val="22"/>
          <w:lang w:bidi="lt-LT"/>
        </w:rPr>
        <w:t>AU</w:t>
      </w:r>
    </w:p>
    <w:p w14:paraId="6D380E3F" w14:textId="77777777" w:rsidR="0087176D" w:rsidRPr="00310394" w:rsidRDefault="00450F2B" w:rsidP="00450F2B">
      <w:pPr>
        <w:rPr>
          <w:rFonts w:eastAsia="Calibri"/>
          <w:bCs/>
          <w:noProof/>
          <w:sz w:val="22"/>
          <w:szCs w:val="22"/>
          <w:lang w:bidi="lt-LT"/>
        </w:rPr>
      </w:pPr>
      <w:r w:rsidRPr="00310394">
        <w:rPr>
          <w:rFonts w:eastAsia="Calibri"/>
          <w:bCs/>
          <w:noProof/>
          <w:sz w:val="22"/>
          <w:szCs w:val="22"/>
          <w:lang w:bidi="lt-LT"/>
        </w:rPr>
        <w:t>C/ C, 12-14 Pol. Ind. Zona Franca</w:t>
      </w:r>
    </w:p>
    <w:p w14:paraId="74264058" w14:textId="45D0902E" w:rsidR="00450F2B" w:rsidRPr="00310394" w:rsidRDefault="00450F2B" w:rsidP="00450F2B">
      <w:pPr>
        <w:rPr>
          <w:rFonts w:eastAsia="Calibri"/>
          <w:bCs/>
          <w:noProof/>
          <w:sz w:val="22"/>
          <w:szCs w:val="22"/>
          <w:lang w:bidi="lt-LT"/>
        </w:rPr>
      </w:pPr>
      <w:r w:rsidRPr="00310394">
        <w:rPr>
          <w:rFonts w:eastAsia="Calibri"/>
          <w:bCs/>
          <w:noProof/>
          <w:sz w:val="22"/>
          <w:szCs w:val="22"/>
          <w:lang w:bidi="lt-LT"/>
        </w:rPr>
        <w:t>08040 Barcelona</w:t>
      </w:r>
    </w:p>
    <w:p w14:paraId="7A7F7856" w14:textId="77777777" w:rsidR="00450F2B" w:rsidRPr="00310394" w:rsidRDefault="00450F2B" w:rsidP="00450F2B">
      <w:pPr>
        <w:rPr>
          <w:rFonts w:eastAsia="Calibri"/>
          <w:bCs/>
          <w:noProof/>
          <w:sz w:val="22"/>
          <w:szCs w:val="22"/>
          <w:lang w:bidi="lt-LT"/>
        </w:rPr>
      </w:pPr>
      <w:r w:rsidRPr="00310394">
        <w:rPr>
          <w:rFonts w:eastAsia="Calibri"/>
          <w:bCs/>
          <w:noProof/>
          <w:sz w:val="22"/>
          <w:szCs w:val="22"/>
          <w:lang w:bidi="lt-LT"/>
        </w:rPr>
        <w:t>Ispanija</w:t>
      </w:r>
    </w:p>
    <w:p w14:paraId="0FFA1510" w14:textId="77777777" w:rsidR="00F36C2B" w:rsidRPr="00310394" w:rsidRDefault="00F36C2B" w:rsidP="00F36C2B">
      <w:pPr>
        <w:rPr>
          <w:rFonts w:eastAsia="Calibri"/>
          <w:bCs/>
          <w:noProof/>
          <w:sz w:val="22"/>
          <w:szCs w:val="22"/>
        </w:rPr>
      </w:pPr>
    </w:p>
    <w:p w14:paraId="0806AED4" w14:textId="77777777" w:rsidR="00F36C2B" w:rsidRPr="00310394" w:rsidRDefault="00F36C2B" w:rsidP="00F36C2B">
      <w:pPr>
        <w:rPr>
          <w:rFonts w:eastAsia="Calibri"/>
          <w:bCs/>
          <w:noProof/>
          <w:sz w:val="22"/>
          <w:szCs w:val="22"/>
        </w:rPr>
      </w:pPr>
      <w:r w:rsidRPr="00310394">
        <w:rPr>
          <w:rFonts w:eastAsia="Calibri"/>
          <w:bCs/>
          <w:noProof/>
          <w:sz w:val="22"/>
          <w:szCs w:val="22"/>
        </w:rPr>
        <w:t>arba</w:t>
      </w:r>
    </w:p>
    <w:p w14:paraId="036DAE58" w14:textId="77777777" w:rsidR="00F36C2B" w:rsidRPr="00310394" w:rsidRDefault="00F36C2B" w:rsidP="00F36C2B">
      <w:pPr>
        <w:rPr>
          <w:rFonts w:eastAsia="Calibri"/>
          <w:bCs/>
          <w:noProof/>
          <w:sz w:val="22"/>
          <w:szCs w:val="22"/>
        </w:rPr>
      </w:pPr>
    </w:p>
    <w:p w14:paraId="1CC706E6" w14:textId="77777777" w:rsidR="00E8023D" w:rsidRPr="00580AA1" w:rsidRDefault="00E8023D" w:rsidP="00E8023D">
      <w:pPr>
        <w:rPr>
          <w:rFonts w:eastAsia="Calibri"/>
          <w:i/>
          <w:sz w:val="22"/>
          <w:lang w:val="pt-BR"/>
        </w:rPr>
      </w:pPr>
      <w:r w:rsidRPr="00580AA1">
        <w:rPr>
          <w:rFonts w:eastAsia="Calibri"/>
          <w:sz w:val="22"/>
          <w:lang w:val="pt-BR"/>
        </w:rPr>
        <w:t>Pharmadox Healthcare Ltd.</w:t>
      </w:r>
    </w:p>
    <w:p w14:paraId="1A607043" w14:textId="58AF1B18" w:rsidR="00E8023D" w:rsidRPr="001B3D30" w:rsidRDefault="00E8023D" w:rsidP="00E8023D">
      <w:pPr>
        <w:rPr>
          <w:rFonts w:eastAsia="Calibri"/>
          <w:bCs/>
          <w:noProof/>
          <w:sz w:val="22"/>
          <w:szCs w:val="22"/>
        </w:rPr>
      </w:pPr>
      <w:r w:rsidRPr="001B3D30">
        <w:rPr>
          <w:rFonts w:eastAsia="Calibri"/>
          <w:bCs/>
          <w:noProof/>
          <w:sz w:val="22"/>
          <w:szCs w:val="22"/>
        </w:rPr>
        <w:t>KW20A Kordin Industrial Park</w:t>
      </w:r>
    </w:p>
    <w:p w14:paraId="56A625A5" w14:textId="77777777" w:rsidR="00E8023D" w:rsidRPr="001B3D30" w:rsidRDefault="00E8023D" w:rsidP="00E8023D">
      <w:pPr>
        <w:rPr>
          <w:rFonts w:eastAsia="Calibri"/>
          <w:bCs/>
          <w:noProof/>
          <w:sz w:val="22"/>
          <w:szCs w:val="22"/>
        </w:rPr>
      </w:pPr>
      <w:r w:rsidRPr="001B3D30">
        <w:rPr>
          <w:rFonts w:eastAsia="Calibri"/>
          <w:bCs/>
          <w:noProof/>
          <w:sz w:val="22"/>
          <w:szCs w:val="22"/>
        </w:rPr>
        <w:t>Paola PLA 3000</w:t>
      </w:r>
    </w:p>
    <w:p w14:paraId="00BF717E" w14:textId="3EFF06A7" w:rsidR="00E8023D" w:rsidRPr="001B3D30" w:rsidRDefault="00E8023D" w:rsidP="00E8023D">
      <w:pPr>
        <w:rPr>
          <w:rFonts w:eastAsia="Calibri"/>
          <w:sz w:val="22"/>
        </w:rPr>
      </w:pPr>
      <w:r w:rsidRPr="001B3D30">
        <w:rPr>
          <w:rFonts w:eastAsia="Calibri"/>
          <w:sz w:val="22"/>
        </w:rPr>
        <w:t>Malta</w:t>
      </w:r>
    </w:p>
    <w:p w14:paraId="491B5415" w14:textId="77777777" w:rsidR="006300C3" w:rsidRPr="001B3D30" w:rsidRDefault="006300C3" w:rsidP="00E8023D">
      <w:pPr>
        <w:rPr>
          <w:rFonts w:eastAsia="Calibri"/>
          <w:sz w:val="22"/>
        </w:rPr>
      </w:pPr>
    </w:p>
    <w:p w14:paraId="05C87CC5" w14:textId="6B294376" w:rsidR="006300C3" w:rsidRPr="001B3D30" w:rsidRDefault="00AF2025" w:rsidP="00E8023D">
      <w:pPr>
        <w:rPr>
          <w:rFonts w:eastAsia="Calibri"/>
          <w:bCs/>
          <w:noProof/>
          <w:sz w:val="22"/>
          <w:szCs w:val="22"/>
        </w:rPr>
      </w:pPr>
      <w:r w:rsidRPr="001B3D30">
        <w:rPr>
          <w:rFonts w:eastAsia="Calibri"/>
          <w:bCs/>
          <w:noProof/>
          <w:sz w:val="22"/>
          <w:szCs w:val="22"/>
        </w:rPr>
        <w:t>arba</w:t>
      </w:r>
    </w:p>
    <w:p w14:paraId="26A71D70" w14:textId="77777777" w:rsidR="006300C3" w:rsidRPr="001B3D30" w:rsidRDefault="006300C3" w:rsidP="00E8023D">
      <w:pPr>
        <w:rPr>
          <w:rFonts w:eastAsia="Calibri"/>
          <w:bCs/>
          <w:noProof/>
          <w:sz w:val="22"/>
          <w:szCs w:val="22"/>
        </w:rPr>
      </w:pPr>
    </w:p>
    <w:p w14:paraId="17FCC494" w14:textId="77777777" w:rsidR="00AF2025" w:rsidRPr="00F52485" w:rsidRDefault="00AF2025" w:rsidP="00AF2025">
      <w:pPr>
        <w:rPr>
          <w:noProof/>
          <w:sz w:val="22"/>
          <w:szCs w:val="22"/>
        </w:rPr>
      </w:pPr>
      <w:r w:rsidRPr="00F52485">
        <w:rPr>
          <w:noProof/>
          <w:sz w:val="22"/>
          <w:szCs w:val="22"/>
        </w:rPr>
        <w:t>Accord Healthcare single member S.A.</w:t>
      </w:r>
    </w:p>
    <w:p w14:paraId="570E1C6F" w14:textId="77777777" w:rsidR="00AF2025" w:rsidRDefault="00AF2025" w:rsidP="00AF2025">
      <w:pPr>
        <w:rPr>
          <w:noProof/>
          <w:sz w:val="22"/>
          <w:szCs w:val="22"/>
        </w:rPr>
      </w:pPr>
      <w:r w:rsidRPr="00F52485">
        <w:rPr>
          <w:noProof/>
          <w:sz w:val="22"/>
          <w:szCs w:val="22"/>
        </w:rPr>
        <w:t xml:space="preserve">64th Km National Road Athens, </w:t>
      </w:r>
    </w:p>
    <w:p w14:paraId="5365B0C7" w14:textId="77777777" w:rsidR="00AF2025" w:rsidRDefault="00AF2025" w:rsidP="00AF2025">
      <w:pPr>
        <w:rPr>
          <w:noProof/>
          <w:sz w:val="22"/>
          <w:szCs w:val="22"/>
        </w:rPr>
      </w:pPr>
      <w:r w:rsidRPr="00F52485">
        <w:rPr>
          <w:noProof/>
          <w:sz w:val="22"/>
          <w:szCs w:val="22"/>
        </w:rPr>
        <w:t xml:space="preserve">Lamia, Schimatari, 32009, </w:t>
      </w:r>
    </w:p>
    <w:p w14:paraId="6E082188" w14:textId="7F3BB60E" w:rsidR="00AF2025" w:rsidRPr="00AF2025" w:rsidRDefault="00AF2025" w:rsidP="00AF2025">
      <w:pPr>
        <w:rPr>
          <w:rFonts w:eastAsia="Calibri"/>
          <w:b/>
          <w:bCs/>
          <w:noProof/>
          <w:sz w:val="22"/>
          <w:szCs w:val="22"/>
          <w:lang w:val="pt-BR"/>
        </w:rPr>
      </w:pPr>
      <w:r w:rsidRPr="00F52485">
        <w:rPr>
          <w:noProof/>
          <w:sz w:val="22"/>
          <w:szCs w:val="22"/>
        </w:rPr>
        <w:t>Gr</w:t>
      </w:r>
      <w:r>
        <w:rPr>
          <w:noProof/>
          <w:sz w:val="22"/>
          <w:szCs w:val="22"/>
        </w:rPr>
        <w:t>aikija</w:t>
      </w:r>
    </w:p>
    <w:p w14:paraId="278841AF" w14:textId="77777777" w:rsidR="00F36C2B" w:rsidRPr="00351C70" w:rsidRDefault="00F36C2B" w:rsidP="00F36C2B">
      <w:pPr>
        <w:rPr>
          <w:rFonts w:eastAsia="Calibri"/>
          <w:bCs/>
          <w:noProof/>
          <w:sz w:val="22"/>
          <w:szCs w:val="22"/>
        </w:rPr>
      </w:pPr>
    </w:p>
    <w:p w14:paraId="61083E81" w14:textId="3BB376B9" w:rsidR="00F36C2B" w:rsidRPr="00351C70" w:rsidRDefault="00F36C2B" w:rsidP="00F36C2B">
      <w:pPr>
        <w:keepNext/>
        <w:rPr>
          <w:rFonts w:eastAsia="Calibri"/>
          <w:noProof/>
          <w:sz w:val="22"/>
          <w:szCs w:val="22"/>
        </w:rPr>
      </w:pPr>
      <w:r w:rsidRPr="00351C70">
        <w:rPr>
          <w:rFonts w:eastAsia="Calibri"/>
          <w:b/>
          <w:noProof/>
          <w:sz w:val="22"/>
          <w:szCs w:val="22"/>
        </w:rPr>
        <w:t xml:space="preserve">Šis vaistas </w:t>
      </w:r>
      <w:r w:rsidR="00A76FF2" w:rsidRPr="00351C70">
        <w:rPr>
          <w:rFonts w:eastAsia="Calibri"/>
          <w:b/>
          <w:noProof/>
          <w:sz w:val="22"/>
          <w:szCs w:val="22"/>
        </w:rPr>
        <w:t>Europos ekonominės erdvės valstybėse narėse registruotas tokiais pavadinimais</w:t>
      </w:r>
      <w:r w:rsidRPr="00351C70">
        <w:rPr>
          <w:rFonts w:eastAsia="Calibri"/>
          <w:noProof/>
          <w:sz w:val="22"/>
          <w:szCs w:val="22"/>
        </w:rPr>
        <w:t>:</w:t>
      </w:r>
    </w:p>
    <w:p w14:paraId="1452C56A" w14:textId="77777777" w:rsidR="00F36C2B" w:rsidRPr="00351C70" w:rsidRDefault="00F36C2B" w:rsidP="00F36C2B">
      <w:pPr>
        <w:keepNext/>
        <w:rPr>
          <w:rFonts w:eastAsia="Calibri"/>
          <w:noProof/>
          <w:sz w:val="22"/>
          <w:szCs w:val="22"/>
        </w:rPr>
      </w:pPr>
    </w:p>
    <w:tbl>
      <w:tblPr>
        <w:tblW w:w="53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686"/>
      </w:tblGrid>
      <w:tr w:rsidR="00F36C2B" w:rsidRPr="00351C70" w14:paraId="18CD4056" w14:textId="77777777" w:rsidTr="00651EC4">
        <w:trPr>
          <w:cantSplit/>
          <w:trHeight w:val="423"/>
        </w:trPr>
        <w:tc>
          <w:tcPr>
            <w:tcW w:w="1701" w:type="dxa"/>
          </w:tcPr>
          <w:p w14:paraId="466C3239" w14:textId="77777777" w:rsidR="00F36C2B" w:rsidRPr="00351C70" w:rsidRDefault="00F36C2B" w:rsidP="00F45852">
            <w:pPr>
              <w:rPr>
                <w:noProof/>
                <w:sz w:val="22"/>
                <w:szCs w:val="22"/>
              </w:rPr>
            </w:pPr>
            <w:r w:rsidRPr="00351C70">
              <w:rPr>
                <w:rFonts w:eastAsia="Calibri"/>
                <w:b/>
                <w:bCs/>
                <w:noProof/>
                <w:sz w:val="22"/>
                <w:szCs w:val="22"/>
              </w:rPr>
              <w:t>Valstybės narės pavadinimas</w:t>
            </w:r>
          </w:p>
        </w:tc>
        <w:tc>
          <w:tcPr>
            <w:tcW w:w="3686" w:type="dxa"/>
          </w:tcPr>
          <w:p w14:paraId="3FCF8FD2" w14:textId="77777777" w:rsidR="00F36C2B" w:rsidRPr="00351C70" w:rsidRDefault="00F36C2B" w:rsidP="00F45852">
            <w:pPr>
              <w:rPr>
                <w:noProof/>
                <w:sz w:val="22"/>
                <w:szCs w:val="22"/>
              </w:rPr>
            </w:pPr>
            <w:r w:rsidRPr="00351C70">
              <w:rPr>
                <w:rFonts w:eastAsia="Calibri"/>
                <w:b/>
                <w:bCs/>
                <w:noProof/>
                <w:sz w:val="22"/>
                <w:szCs w:val="22"/>
              </w:rPr>
              <w:t>Vaisto pavadinimas</w:t>
            </w:r>
          </w:p>
        </w:tc>
      </w:tr>
      <w:tr w:rsidR="00872F0A" w:rsidRPr="00351C70" w14:paraId="63505044" w14:textId="77777777" w:rsidTr="00651EC4">
        <w:trPr>
          <w:cantSplit/>
          <w:trHeight w:val="144"/>
        </w:trPr>
        <w:tc>
          <w:tcPr>
            <w:tcW w:w="1701" w:type="dxa"/>
          </w:tcPr>
          <w:p w14:paraId="1529DCF1" w14:textId="2D369FF5" w:rsidR="00872F0A" w:rsidRPr="00351C70" w:rsidRDefault="00872F0A" w:rsidP="00D7282E">
            <w:pPr>
              <w:rPr>
                <w:noProof/>
                <w:sz w:val="22"/>
                <w:szCs w:val="22"/>
              </w:rPr>
            </w:pPr>
            <w:r w:rsidRPr="00351C70">
              <w:rPr>
                <w:noProof/>
                <w:sz w:val="22"/>
                <w:szCs w:val="22"/>
              </w:rPr>
              <w:t>Nyderlandai</w:t>
            </w:r>
          </w:p>
        </w:tc>
        <w:tc>
          <w:tcPr>
            <w:tcW w:w="3686" w:type="dxa"/>
            <w:vAlign w:val="center"/>
          </w:tcPr>
          <w:p w14:paraId="020DB7C9" w14:textId="08EBC825" w:rsidR="00872F0A" w:rsidRPr="00351C70" w:rsidRDefault="00E8023D" w:rsidP="00872F0A">
            <w:pPr>
              <w:rPr>
                <w:noProof/>
                <w:sz w:val="22"/>
                <w:szCs w:val="22"/>
              </w:rPr>
            </w:pPr>
            <w:r w:rsidRPr="00E8023D">
              <w:rPr>
                <w:noProof/>
                <w:sz w:val="22"/>
                <w:szCs w:val="22"/>
                <w:lang w:val="en-GB"/>
              </w:rPr>
              <w:t>Loratadine Accord 10 mg tabletten</w:t>
            </w:r>
          </w:p>
        </w:tc>
      </w:tr>
      <w:tr w:rsidR="00E8023D" w:rsidRPr="00351C70" w14:paraId="19241D29" w14:textId="77777777" w:rsidTr="00651EC4">
        <w:trPr>
          <w:cantSplit/>
          <w:trHeight w:val="144"/>
        </w:trPr>
        <w:tc>
          <w:tcPr>
            <w:tcW w:w="1701" w:type="dxa"/>
          </w:tcPr>
          <w:p w14:paraId="2597C615" w14:textId="52F97902" w:rsidR="00E8023D" w:rsidRPr="00351C70" w:rsidRDefault="00E8023D" w:rsidP="00D7282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Vokietija</w:t>
            </w:r>
          </w:p>
        </w:tc>
        <w:tc>
          <w:tcPr>
            <w:tcW w:w="3686" w:type="dxa"/>
            <w:vAlign w:val="center"/>
          </w:tcPr>
          <w:p w14:paraId="4A96E035" w14:textId="5538E19A" w:rsidR="00E8023D" w:rsidRPr="00E8023D" w:rsidRDefault="00E8023D" w:rsidP="00872F0A">
            <w:pPr>
              <w:rPr>
                <w:noProof/>
                <w:sz w:val="22"/>
                <w:szCs w:val="22"/>
                <w:lang w:val="en-GB"/>
              </w:rPr>
            </w:pPr>
            <w:r w:rsidRPr="00DE22D0">
              <w:rPr>
                <w:noProof/>
                <w:sz w:val="22"/>
                <w:szCs w:val="22"/>
              </w:rPr>
              <w:t>Loratadin</w:t>
            </w:r>
            <w:r>
              <w:rPr>
                <w:noProof/>
                <w:sz w:val="22"/>
                <w:szCs w:val="22"/>
              </w:rPr>
              <w:t xml:space="preserve"> Accord 10 mg T</w:t>
            </w:r>
            <w:r w:rsidRPr="00DE22D0">
              <w:rPr>
                <w:noProof/>
                <w:sz w:val="22"/>
                <w:szCs w:val="22"/>
              </w:rPr>
              <w:t>abletten</w:t>
            </w:r>
          </w:p>
        </w:tc>
      </w:tr>
      <w:tr w:rsidR="00E8023D" w:rsidRPr="00351C70" w14:paraId="7D39A9ED" w14:textId="77777777" w:rsidTr="00651EC4">
        <w:trPr>
          <w:cantSplit/>
          <w:trHeight w:val="144"/>
        </w:trPr>
        <w:tc>
          <w:tcPr>
            <w:tcW w:w="1701" w:type="dxa"/>
          </w:tcPr>
          <w:p w14:paraId="19D48DBE" w14:textId="15C28BD8" w:rsidR="00E8023D" w:rsidRDefault="00E8023D" w:rsidP="00D7282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Estija</w:t>
            </w:r>
          </w:p>
        </w:tc>
        <w:tc>
          <w:tcPr>
            <w:tcW w:w="3686" w:type="dxa"/>
            <w:vAlign w:val="center"/>
          </w:tcPr>
          <w:p w14:paraId="0A4E69B3" w14:textId="637B8B66" w:rsidR="00E8023D" w:rsidRPr="00DE22D0" w:rsidRDefault="00E8023D" w:rsidP="00872F0A">
            <w:pPr>
              <w:rPr>
                <w:noProof/>
                <w:sz w:val="22"/>
                <w:szCs w:val="22"/>
              </w:rPr>
            </w:pPr>
            <w:r w:rsidRPr="00DE22D0">
              <w:rPr>
                <w:noProof/>
                <w:sz w:val="22"/>
                <w:szCs w:val="22"/>
              </w:rPr>
              <w:t>Loratadine Accord</w:t>
            </w:r>
          </w:p>
        </w:tc>
      </w:tr>
      <w:tr w:rsidR="00872F0A" w:rsidRPr="00351C70" w14:paraId="33E8BA66" w14:textId="77777777" w:rsidTr="00651EC4">
        <w:trPr>
          <w:cantSplit/>
          <w:trHeight w:val="144"/>
        </w:trPr>
        <w:tc>
          <w:tcPr>
            <w:tcW w:w="1701" w:type="dxa"/>
            <w:vAlign w:val="center"/>
          </w:tcPr>
          <w:p w14:paraId="16654F3C" w14:textId="3B8336A0" w:rsidR="00872F0A" w:rsidRPr="00351C70" w:rsidRDefault="00872F0A" w:rsidP="00872F0A">
            <w:pPr>
              <w:rPr>
                <w:noProof/>
                <w:sz w:val="22"/>
                <w:szCs w:val="22"/>
              </w:rPr>
            </w:pPr>
            <w:r w:rsidRPr="00351C70">
              <w:rPr>
                <w:noProof/>
                <w:sz w:val="22"/>
                <w:szCs w:val="22"/>
              </w:rPr>
              <w:t>Suomija</w:t>
            </w:r>
          </w:p>
        </w:tc>
        <w:tc>
          <w:tcPr>
            <w:tcW w:w="3686" w:type="dxa"/>
            <w:vAlign w:val="center"/>
          </w:tcPr>
          <w:p w14:paraId="005E1217" w14:textId="2F419ADA" w:rsidR="00872F0A" w:rsidRPr="00351C70" w:rsidRDefault="00E8023D" w:rsidP="00872F0A">
            <w:pPr>
              <w:rPr>
                <w:noProof/>
                <w:sz w:val="22"/>
                <w:szCs w:val="22"/>
              </w:rPr>
            </w:pPr>
            <w:r w:rsidRPr="00E8023D">
              <w:rPr>
                <w:noProof/>
                <w:sz w:val="22"/>
                <w:szCs w:val="22"/>
              </w:rPr>
              <w:t>Loratadine Accord 10 mg tabletti</w:t>
            </w:r>
          </w:p>
        </w:tc>
      </w:tr>
      <w:tr w:rsidR="00872F0A" w:rsidRPr="00351C70" w14:paraId="264966AC" w14:textId="77777777" w:rsidTr="00651EC4">
        <w:trPr>
          <w:cantSplit/>
          <w:trHeight w:val="80"/>
        </w:trPr>
        <w:tc>
          <w:tcPr>
            <w:tcW w:w="1701" w:type="dxa"/>
            <w:vAlign w:val="center"/>
          </w:tcPr>
          <w:p w14:paraId="0AA1EF53" w14:textId="74169636" w:rsidR="00872F0A" w:rsidRPr="00351C70" w:rsidRDefault="00872F0A" w:rsidP="00872F0A">
            <w:pPr>
              <w:rPr>
                <w:noProof/>
                <w:sz w:val="22"/>
                <w:szCs w:val="22"/>
              </w:rPr>
            </w:pPr>
            <w:r w:rsidRPr="00351C70">
              <w:rPr>
                <w:noProof/>
                <w:sz w:val="22"/>
                <w:szCs w:val="22"/>
              </w:rPr>
              <w:t>Lietuva</w:t>
            </w:r>
          </w:p>
        </w:tc>
        <w:tc>
          <w:tcPr>
            <w:tcW w:w="3686" w:type="dxa"/>
            <w:vAlign w:val="center"/>
          </w:tcPr>
          <w:p w14:paraId="687D3439" w14:textId="646A0C95" w:rsidR="00872F0A" w:rsidRPr="00351C70" w:rsidRDefault="00E8023D" w:rsidP="00872F0A">
            <w:pPr>
              <w:rPr>
                <w:noProof/>
                <w:sz w:val="22"/>
                <w:szCs w:val="22"/>
              </w:rPr>
            </w:pPr>
            <w:r w:rsidRPr="00E8023D">
              <w:rPr>
                <w:noProof/>
                <w:sz w:val="22"/>
                <w:szCs w:val="22"/>
              </w:rPr>
              <w:t>Loratadine Accord 10 mg tabletės</w:t>
            </w:r>
          </w:p>
        </w:tc>
      </w:tr>
      <w:tr w:rsidR="00872F0A" w:rsidRPr="00351C70" w14:paraId="4798411E" w14:textId="77777777" w:rsidTr="00651EC4">
        <w:trPr>
          <w:cantSplit/>
          <w:trHeight w:val="296"/>
        </w:trPr>
        <w:tc>
          <w:tcPr>
            <w:tcW w:w="1701" w:type="dxa"/>
            <w:vAlign w:val="center"/>
          </w:tcPr>
          <w:p w14:paraId="68F48C01" w14:textId="6DE95439" w:rsidR="00872F0A" w:rsidRPr="00351C70" w:rsidRDefault="00872F0A" w:rsidP="00872F0A">
            <w:pPr>
              <w:rPr>
                <w:noProof/>
                <w:sz w:val="22"/>
                <w:szCs w:val="22"/>
              </w:rPr>
            </w:pPr>
            <w:r w:rsidRPr="00351C70">
              <w:rPr>
                <w:noProof/>
                <w:sz w:val="22"/>
                <w:szCs w:val="22"/>
              </w:rPr>
              <w:t>Latvija</w:t>
            </w:r>
          </w:p>
        </w:tc>
        <w:tc>
          <w:tcPr>
            <w:tcW w:w="3686" w:type="dxa"/>
            <w:vAlign w:val="center"/>
          </w:tcPr>
          <w:p w14:paraId="08ABF30F" w14:textId="005F9466" w:rsidR="00872F0A" w:rsidRPr="00351C70" w:rsidRDefault="00E8023D" w:rsidP="00872F0A">
            <w:pPr>
              <w:rPr>
                <w:noProof/>
                <w:sz w:val="22"/>
                <w:szCs w:val="22"/>
              </w:rPr>
            </w:pPr>
            <w:r w:rsidRPr="00E8023D">
              <w:rPr>
                <w:noProof/>
                <w:sz w:val="22"/>
                <w:szCs w:val="22"/>
                <w:lang w:val="en-GB"/>
              </w:rPr>
              <w:t>Loratadine Accord 10 mg tabletes</w:t>
            </w:r>
          </w:p>
        </w:tc>
      </w:tr>
      <w:tr w:rsidR="00872F0A" w:rsidRPr="00351C70" w14:paraId="3B5AB79C" w14:textId="77777777" w:rsidTr="00651EC4">
        <w:trPr>
          <w:cantSplit/>
          <w:trHeight w:val="80"/>
        </w:trPr>
        <w:tc>
          <w:tcPr>
            <w:tcW w:w="1701" w:type="dxa"/>
            <w:vAlign w:val="center"/>
          </w:tcPr>
          <w:p w14:paraId="3706FE5B" w14:textId="7EEC0DA9" w:rsidR="00872F0A" w:rsidRPr="00351C70" w:rsidRDefault="00651EC4" w:rsidP="00872F0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Norvegija</w:t>
            </w:r>
          </w:p>
        </w:tc>
        <w:tc>
          <w:tcPr>
            <w:tcW w:w="3686" w:type="dxa"/>
            <w:vAlign w:val="center"/>
          </w:tcPr>
          <w:p w14:paraId="405C98B2" w14:textId="40D50E65" w:rsidR="00872F0A" w:rsidRPr="00351C70" w:rsidRDefault="00651EC4" w:rsidP="00D7282E">
            <w:pPr>
              <w:rPr>
                <w:noProof/>
                <w:sz w:val="22"/>
                <w:szCs w:val="22"/>
              </w:rPr>
            </w:pPr>
            <w:r w:rsidRPr="00DE22D0">
              <w:rPr>
                <w:noProof/>
                <w:sz w:val="22"/>
                <w:szCs w:val="22"/>
              </w:rPr>
              <w:t>Loratadine Accord</w:t>
            </w:r>
          </w:p>
        </w:tc>
      </w:tr>
      <w:tr w:rsidR="00651EC4" w:rsidRPr="00351C70" w14:paraId="5EE25711" w14:textId="77777777" w:rsidTr="00651EC4">
        <w:trPr>
          <w:cantSplit/>
          <w:trHeight w:val="80"/>
        </w:trPr>
        <w:tc>
          <w:tcPr>
            <w:tcW w:w="1701" w:type="dxa"/>
            <w:vAlign w:val="center"/>
          </w:tcPr>
          <w:p w14:paraId="2242B86F" w14:textId="0010C33A" w:rsidR="00651EC4" w:rsidRPr="00351C70" w:rsidRDefault="00651EC4" w:rsidP="00651EC4">
            <w:pPr>
              <w:rPr>
                <w:noProof/>
                <w:sz w:val="22"/>
                <w:szCs w:val="22"/>
              </w:rPr>
            </w:pPr>
            <w:r w:rsidRPr="00351C70">
              <w:rPr>
                <w:noProof/>
                <w:sz w:val="22"/>
                <w:szCs w:val="22"/>
              </w:rPr>
              <w:t>Švedija</w:t>
            </w:r>
          </w:p>
        </w:tc>
        <w:tc>
          <w:tcPr>
            <w:tcW w:w="3686" w:type="dxa"/>
            <w:vAlign w:val="center"/>
          </w:tcPr>
          <w:p w14:paraId="44ADE977" w14:textId="736015AF" w:rsidR="00651EC4" w:rsidRPr="00351C70" w:rsidRDefault="00651EC4" w:rsidP="00651EC4">
            <w:pPr>
              <w:rPr>
                <w:noProof/>
                <w:sz w:val="22"/>
                <w:szCs w:val="22"/>
              </w:rPr>
            </w:pPr>
            <w:r w:rsidRPr="00DE22D0">
              <w:rPr>
                <w:noProof/>
                <w:sz w:val="22"/>
                <w:szCs w:val="22"/>
              </w:rPr>
              <w:t>Loratadine Accord 10 mg tabletter</w:t>
            </w:r>
          </w:p>
        </w:tc>
      </w:tr>
      <w:tr w:rsidR="00651EC4" w:rsidRPr="00351C70" w14:paraId="2DBA5AA4" w14:textId="77777777" w:rsidTr="00651EC4">
        <w:trPr>
          <w:cantSplit/>
          <w:trHeight w:val="80"/>
        </w:trPr>
        <w:tc>
          <w:tcPr>
            <w:tcW w:w="1701" w:type="dxa"/>
            <w:vAlign w:val="center"/>
          </w:tcPr>
          <w:p w14:paraId="529A3AAB" w14:textId="46613071" w:rsidR="00651EC4" w:rsidRPr="00351C70" w:rsidRDefault="00651EC4" w:rsidP="00651E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Bulgarija</w:t>
            </w:r>
          </w:p>
        </w:tc>
        <w:tc>
          <w:tcPr>
            <w:tcW w:w="3686" w:type="dxa"/>
            <w:vAlign w:val="center"/>
          </w:tcPr>
          <w:p w14:paraId="01C99734" w14:textId="2590B66F" w:rsidR="00651EC4" w:rsidRPr="00DE22D0" w:rsidRDefault="00651EC4" w:rsidP="00651EC4">
            <w:pPr>
              <w:rPr>
                <w:noProof/>
                <w:sz w:val="22"/>
                <w:szCs w:val="22"/>
              </w:rPr>
            </w:pPr>
            <w:r w:rsidRPr="00651EC4">
              <w:rPr>
                <w:noProof/>
                <w:sz w:val="22"/>
                <w:szCs w:val="22"/>
              </w:rPr>
              <w:t>Loratadine Акорд 10 мг таблетки</w:t>
            </w:r>
          </w:p>
        </w:tc>
      </w:tr>
      <w:tr w:rsidR="00651EC4" w:rsidRPr="00351C70" w14:paraId="52931BB6" w14:textId="77777777" w:rsidTr="00651EC4">
        <w:trPr>
          <w:cantSplit/>
          <w:trHeight w:val="80"/>
        </w:trPr>
        <w:tc>
          <w:tcPr>
            <w:tcW w:w="1701" w:type="dxa"/>
            <w:vAlign w:val="center"/>
          </w:tcPr>
          <w:p w14:paraId="20090EC8" w14:textId="1A532233" w:rsidR="00651EC4" w:rsidRPr="00351C70" w:rsidRDefault="00651EC4" w:rsidP="00651EC4">
            <w:pPr>
              <w:rPr>
                <w:noProof/>
                <w:sz w:val="22"/>
                <w:szCs w:val="22"/>
              </w:rPr>
            </w:pPr>
            <w:r w:rsidRPr="00351C70">
              <w:rPr>
                <w:noProof/>
                <w:sz w:val="22"/>
                <w:szCs w:val="22"/>
              </w:rPr>
              <w:t>Airija</w:t>
            </w:r>
          </w:p>
        </w:tc>
        <w:tc>
          <w:tcPr>
            <w:tcW w:w="3686" w:type="dxa"/>
            <w:vAlign w:val="center"/>
          </w:tcPr>
          <w:p w14:paraId="17BD41D4" w14:textId="2592D82D" w:rsidR="00651EC4" w:rsidRPr="00351C70" w:rsidRDefault="00651EC4" w:rsidP="00651EC4">
            <w:pPr>
              <w:rPr>
                <w:noProof/>
                <w:sz w:val="22"/>
                <w:szCs w:val="22"/>
              </w:rPr>
            </w:pPr>
            <w:r w:rsidRPr="00DE22D0">
              <w:rPr>
                <w:noProof/>
                <w:sz w:val="22"/>
                <w:szCs w:val="22"/>
              </w:rPr>
              <w:t>Loratadine Accord 10 mg Tablets</w:t>
            </w:r>
          </w:p>
        </w:tc>
      </w:tr>
    </w:tbl>
    <w:p w14:paraId="1AACC356" w14:textId="6EDE6C19" w:rsidR="00F36C2B" w:rsidRDefault="00F36C2B" w:rsidP="00F36C2B">
      <w:pPr>
        <w:rPr>
          <w:rFonts w:eastAsia="Calibri"/>
          <w:noProof/>
          <w:sz w:val="22"/>
          <w:szCs w:val="22"/>
        </w:rPr>
      </w:pPr>
    </w:p>
    <w:p w14:paraId="65E5F391" w14:textId="77777777" w:rsidR="00651EC4" w:rsidRPr="00351C70" w:rsidRDefault="00651EC4" w:rsidP="00F36C2B">
      <w:pPr>
        <w:rPr>
          <w:rFonts w:eastAsia="Calibri"/>
          <w:noProof/>
          <w:sz w:val="22"/>
          <w:szCs w:val="22"/>
        </w:rPr>
      </w:pPr>
    </w:p>
    <w:p w14:paraId="70CE8AF0" w14:textId="2E15CA16" w:rsidR="00F36C2B" w:rsidRPr="00351C70" w:rsidRDefault="00F36C2B" w:rsidP="00F36C2B">
      <w:pPr>
        <w:ind w:left="567" w:hanging="567"/>
        <w:rPr>
          <w:rFonts w:eastAsia="Calibri"/>
          <w:b/>
          <w:noProof/>
          <w:sz w:val="22"/>
          <w:szCs w:val="22"/>
        </w:rPr>
      </w:pPr>
      <w:r w:rsidRPr="00351C70">
        <w:rPr>
          <w:rFonts w:eastAsia="Calibri"/>
          <w:b/>
          <w:bCs/>
          <w:noProof/>
          <w:sz w:val="22"/>
          <w:szCs w:val="22"/>
        </w:rPr>
        <w:lastRenderedPageBreak/>
        <w:t xml:space="preserve">Šis pakuotės </w:t>
      </w:r>
      <w:r w:rsidRPr="00351C70">
        <w:rPr>
          <w:rFonts w:eastAsia="Calibri"/>
          <w:b/>
          <w:noProof/>
          <w:sz w:val="22"/>
          <w:szCs w:val="22"/>
        </w:rPr>
        <w:t>lapelis paskutinį kartą peržiūrėtas</w:t>
      </w:r>
      <w:r w:rsidRPr="00351C70">
        <w:rPr>
          <w:b/>
          <w:noProof/>
          <w:snapToGrid w:val="0"/>
          <w:sz w:val="22"/>
          <w:szCs w:val="22"/>
        </w:rPr>
        <w:t xml:space="preserve"> </w:t>
      </w:r>
      <w:r w:rsidR="001B3D30">
        <w:rPr>
          <w:b/>
          <w:noProof/>
          <w:snapToGrid w:val="0"/>
          <w:sz w:val="22"/>
          <w:szCs w:val="22"/>
        </w:rPr>
        <w:t>2026-04-29</w:t>
      </w:r>
      <w:r w:rsidR="00B93E59">
        <w:rPr>
          <w:b/>
          <w:noProof/>
          <w:sz w:val="22"/>
          <w:szCs w:val="22"/>
        </w:rPr>
        <w:t>.</w:t>
      </w:r>
    </w:p>
    <w:p w14:paraId="4209B9F0" w14:textId="77777777" w:rsidR="006629FE" w:rsidRPr="00351C70" w:rsidRDefault="006629FE" w:rsidP="006629FE">
      <w:pPr>
        <w:rPr>
          <w:noProof/>
          <w:sz w:val="22"/>
          <w:szCs w:val="22"/>
        </w:rPr>
      </w:pPr>
    </w:p>
    <w:p w14:paraId="2130CA9A" w14:textId="0C560D15" w:rsidR="007E1963" w:rsidRDefault="006629FE">
      <w:pPr>
        <w:rPr>
          <w:noProof/>
          <w:sz w:val="22"/>
          <w:szCs w:val="22"/>
        </w:rPr>
      </w:pPr>
      <w:r w:rsidRPr="00351C70">
        <w:rPr>
          <w:noProof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351C70">
        <w:rPr>
          <w:iCs/>
          <w:noProof/>
          <w:sz w:val="22"/>
          <w:szCs w:val="22"/>
        </w:rPr>
        <w:t xml:space="preserve"> </w:t>
      </w:r>
      <w:r w:rsidR="004A1E89"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351C70">
        <w:rPr>
          <w:noProof/>
          <w:sz w:val="22"/>
          <w:szCs w:val="22"/>
        </w:rPr>
        <w:t xml:space="preserve">. </w:t>
      </w:r>
    </w:p>
    <w:p w14:paraId="22E250B5" w14:textId="77777777" w:rsidR="009A29C0" w:rsidRPr="00351C70" w:rsidRDefault="009A29C0">
      <w:pPr>
        <w:rPr>
          <w:noProof/>
          <w:sz w:val="22"/>
          <w:szCs w:val="22"/>
        </w:rPr>
      </w:pPr>
    </w:p>
    <w:sectPr w:rsidR="009A29C0" w:rsidRPr="00351C70" w:rsidSect="00F45852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501B"/>
    <w:multiLevelType w:val="hybridMultilevel"/>
    <w:tmpl w:val="C43C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0C75"/>
    <w:multiLevelType w:val="hybridMultilevel"/>
    <w:tmpl w:val="1FBA6660"/>
    <w:lvl w:ilvl="0" w:tplc="B6BCC6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B0AD5"/>
    <w:multiLevelType w:val="hybridMultilevel"/>
    <w:tmpl w:val="668C5F2E"/>
    <w:lvl w:ilvl="0" w:tplc="5E0ED7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B59D2"/>
    <w:multiLevelType w:val="hybridMultilevel"/>
    <w:tmpl w:val="21AE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D59E2"/>
    <w:multiLevelType w:val="hybridMultilevel"/>
    <w:tmpl w:val="0DF23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41BE9"/>
    <w:multiLevelType w:val="hybridMultilevel"/>
    <w:tmpl w:val="DE3E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w w:val="95"/>
        <w:sz w:val="2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926D0"/>
    <w:multiLevelType w:val="hybridMultilevel"/>
    <w:tmpl w:val="4B2E9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57ABD"/>
    <w:multiLevelType w:val="hybridMultilevel"/>
    <w:tmpl w:val="F1806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11648"/>
    <w:multiLevelType w:val="hybridMultilevel"/>
    <w:tmpl w:val="05DC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91A8A"/>
    <w:multiLevelType w:val="hybridMultilevel"/>
    <w:tmpl w:val="478AE102"/>
    <w:lvl w:ilvl="0" w:tplc="2042DDC4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603D7"/>
    <w:multiLevelType w:val="hybridMultilevel"/>
    <w:tmpl w:val="FE546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B0F94"/>
    <w:multiLevelType w:val="hybridMultilevel"/>
    <w:tmpl w:val="C004EC3C"/>
    <w:lvl w:ilvl="0" w:tplc="2E586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A6F4D"/>
    <w:multiLevelType w:val="hybridMultilevel"/>
    <w:tmpl w:val="6A32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E4197"/>
    <w:multiLevelType w:val="hybridMultilevel"/>
    <w:tmpl w:val="715422B8"/>
    <w:lvl w:ilvl="0" w:tplc="12C2F55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6F701DB"/>
    <w:multiLevelType w:val="hybridMultilevel"/>
    <w:tmpl w:val="C764FF6A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45DAC"/>
    <w:multiLevelType w:val="hybridMultilevel"/>
    <w:tmpl w:val="BBB2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w w:val="95"/>
        <w:sz w:val="2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02CEA"/>
    <w:multiLevelType w:val="hybridMultilevel"/>
    <w:tmpl w:val="3FC4CD6C"/>
    <w:lvl w:ilvl="0" w:tplc="527A712C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C7A39"/>
    <w:multiLevelType w:val="hybridMultilevel"/>
    <w:tmpl w:val="6B66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418B4"/>
    <w:multiLevelType w:val="hybridMultilevel"/>
    <w:tmpl w:val="B87046AA"/>
    <w:lvl w:ilvl="0" w:tplc="13DEB1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0554C"/>
    <w:multiLevelType w:val="hybridMultilevel"/>
    <w:tmpl w:val="1428B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2202D"/>
    <w:multiLevelType w:val="hybridMultilevel"/>
    <w:tmpl w:val="0C00BDE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1" w15:restartNumberingAfterBreak="0">
    <w:nsid w:val="42504835"/>
    <w:multiLevelType w:val="hybridMultilevel"/>
    <w:tmpl w:val="AFF2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430CF"/>
    <w:multiLevelType w:val="hybridMultilevel"/>
    <w:tmpl w:val="145C8E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31F20"/>
        <w:w w:val="95"/>
        <w:sz w:val="21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7850534"/>
    <w:multiLevelType w:val="hybridMultilevel"/>
    <w:tmpl w:val="AE20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E5E08"/>
    <w:multiLevelType w:val="hybridMultilevel"/>
    <w:tmpl w:val="51746364"/>
    <w:lvl w:ilvl="0" w:tplc="5E0ED7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F07C1"/>
    <w:multiLevelType w:val="hybridMultilevel"/>
    <w:tmpl w:val="1DC0C1E8"/>
    <w:lvl w:ilvl="0" w:tplc="F822B17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  <w:color w:val="231F20"/>
        <w:w w:val="95"/>
        <w:sz w:val="2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B0750"/>
    <w:multiLevelType w:val="hybridMultilevel"/>
    <w:tmpl w:val="5A3AD76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94E74"/>
    <w:multiLevelType w:val="hybridMultilevel"/>
    <w:tmpl w:val="F9CA7F3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F36E8"/>
    <w:multiLevelType w:val="hybridMultilevel"/>
    <w:tmpl w:val="38186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46386"/>
    <w:multiLevelType w:val="hybridMultilevel"/>
    <w:tmpl w:val="94AABB6C"/>
    <w:lvl w:ilvl="0" w:tplc="5E0ED7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35FFF"/>
    <w:multiLevelType w:val="hybridMultilevel"/>
    <w:tmpl w:val="059A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474AB"/>
    <w:multiLevelType w:val="hybridMultilevel"/>
    <w:tmpl w:val="CB6A4174"/>
    <w:lvl w:ilvl="0" w:tplc="F822B17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  <w:color w:val="231F20"/>
        <w:w w:val="95"/>
        <w:sz w:val="2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B0BB2"/>
    <w:multiLevelType w:val="hybridMultilevel"/>
    <w:tmpl w:val="D9CAC4F4"/>
    <w:lvl w:ilvl="0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7B0099"/>
    <w:multiLevelType w:val="hybridMultilevel"/>
    <w:tmpl w:val="50F077C0"/>
    <w:lvl w:ilvl="0" w:tplc="F822B17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  <w:color w:val="231F20"/>
        <w:w w:val="95"/>
        <w:sz w:val="2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A49FA"/>
    <w:multiLevelType w:val="hybridMultilevel"/>
    <w:tmpl w:val="73E4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55B0C"/>
    <w:multiLevelType w:val="hybridMultilevel"/>
    <w:tmpl w:val="6270F2C0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E3BB9"/>
    <w:multiLevelType w:val="hybridMultilevel"/>
    <w:tmpl w:val="F182CF0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7" w15:restartNumberingAfterBreak="0">
    <w:nsid w:val="70414C2E"/>
    <w:multiLevelType w:val="hybridMultilevel"/>
    <w:tmpl w:val="9C9A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41B15"/>
    <w:multiLevelType w:val="hybridMultilevel"/>
    <w:tmpl w:val="430C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B5120"/>
    <w:multiLevelType w:val="hybridMultilevel"/>
    <w:tmpl w:val="DFAA1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87426"/>
    <w:multiLevelType w:val="hybridMultilevel"/>
    <w:tmpl w:val="9154B9D8"/>
    <w:lvl w:ilvl="0" w:tplc="F822B17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  <w:color w:val="231F20"/>
        <w:w w:val="95"/>
        <w:sz w:val="2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37C01"/>
    <w:multiLevelType w:val="hybridMultilevel"/>
    <w:tmpl w:val="20ACCF84"/>
    <w:lvl w:ilvl="0" w:tplc="5E0ED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24967"/>
    <w:multiLevelType w:val="hybridMultilevel"/>
    <w:tmpl w:val="8D52E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602075">
    <w:abstractNumId w:val="16"/>
  </w:num>
  <w:num w:numId="2" w16cid:durableId="1979913416">
    <w:abstractNumId w:val="13"/>
  </w:num>
  <w:num w:numId="3" w16cid:durableId="880169450">
    <w:abstractNumId w:val="35"/>
  </w:num>
  <w:num w:numId="4" w16cid:durableId="179978766">
    <w:abstractNumId w:val="11"/>
  </w:num>
  <w:num w:numId="5" w16cid:durableId="60175351">
    <w:abstractNumId w:val="29"/>
  </w:num>
  <w:num w:numId="6" w16cid:durableId="1430999952">
    <w:abstractNumId w:val="29"/>
  </w:num>
  <w:num w:numId="7" w16cid:durableId="1796868325">
    <w:abstractNumId w:val="19"/>
  </w:num>
  <w:num w:numId="8" w16cid:durableId="1705324742">
    <w:abstractNumId w:val="18"/>
  </w:num>
  <w:num w:numId="9" w16cid:durableId="1320496918">
    <w:abstractNumId w:val="8"/>
  </w:num>
  <w:num w:numId="10" w16cid:durableId="1243638197">
    <w:abstractNumId w:val="41"/>
  </w:num>
  <w:num w:numId="11" w16cid:durableId="820268149">
    <w:abstractNumId w:val="9"/>
  </w:num>
  <w:num w:numId="12" w16cid:durableId="177811601">
    <w:abstractNumId w:val="37"/>
  </w:num>
  <w:num w:numId="13" w16cid:durableId="723916686">
    <w:abstractNumId w:val="26"/>
  </w:num>
  <w:num w:numId="14" w16cid:durableId="252053070">
    <w:abstractNumId w:val="42"/>
  </w:num>
  <w:num w:numId="15" w16cid:durableId="40902871">
    <w:abstractNumId w:val="2"/>
  </w:num>
  <w:num w:numId="16" w16cid:durableId="1801221332">
    <w:abstractNumId w:val="22"/>
  </w:num>
  <w:num w:numId="17" w16cid:durableId="1713336371">
    <w:abstractNumId w:val="0"/>
  </w:num>
  <w:num w:numId="18" w16cid:durableId="1201556592">
    <w:abstractNumId w:val="39"/>
  </w:num>
  <w:num w:numId="19" w16cid:durableId="1351879587">
    <w:abstractNumId w:val="32"/>
  </w:num>
  <w:num w:numId="20" w16cid:durableId="187256892">
    <w:abstractNumId w:val="14"/>
  </w:num>
  <w:num w:numId="21" w16cid:durableId="1682318284">
    <w:abstractNumId w:val="33"/>
  </w:num>
  <w:num w:numId="22" w16cid:durableId="1276449637">
    <w:abstractNumId w:val="30"/>
  </w:num>
  <w:num w:numId="23" w16cid:durableId="804198973">
    <w:abstractNumId w:val="12"/>
  </w:num>
  <w:num w:numId="24" w16cid:durableId="132531711">
    <w:abstractNumId w:val="25"/>
  </w:num>
  <w:num w:numId="25" w16cid:durableId="1972709992">
    <w:abstractNumId w:val="31"/>
  </w:num>
  <w:num w:numId="26" w16cid:durableId="516308291">
    <w:abstractNumId w:val="40"/>
  </w:num>
  <w:num w:numId="27" w16cid:durableId="411659922">
    <w:abstractNumId w:val="27"/>
  </w:num>
  <w:num w:numId="28" w16cid:durableId="909121367">
    <w:abstractNumId w:val="10"/>
  </w:num>
  <w:num w:numId="29" w16cid:durableId="232395975">
    <w:abstractNumId w:val="15"/>
  </w:num>
  <w:num w:numId="30" w16cid:durableId="1348941814">
    <w:abstractNumId w:val="5"/>
  </w:num>
  <w:num w:numId="31" w16cid:durableId="141506148">
    <w:abstractNumId w:val="1"/>
  </w:num>
  <w:num w:numId="32" w16cid:durableId="2136631969">
    <w:abstractNumId w:val="24"/>
  </w:num>
  <w:num w:numId="33" w16cid:durableId="1093548693">
    <w:abstractNumId w:val="21"/>
  </w:num>
  <w:num w:numId="34" w16cid:durableId="2142570033">
    <w:abstractNumId w:val="28"/>
  </w:num>
  <w:num w:numId="35" w16cid:durableId="294718327">
    <w:abstractNumId w:val="6"/>
  </w:num>
  <w:num w:numId="36" w16cid:durableId="1723291111">
    <w:abstractNumId w:val="36"/>
  </w:num>
  <w:num w:numId="37" w16cid:durableId="1963733040">
    <w:abstractNumId w:val="20"/>
  </w:num>
  <w:num w:numId="38" w16cid:durableId="193159096">
    <w:abstractNumId w:val="3"/>
  </w:num>
  <w:num w:numId="39" w16cid:durableId="435515999">
    <w:abstractNumId w:val="4"/>
  </w:num>
  <w:num w:numId="40" w16cid:durableId="1924029931">
    <w:abstractNumId w:val="23"/>
  </w:num>
  <w:num w:numId="41" w16cid:durableId="2018531386">
    <w:abstractNumId w:val="7"/>
  </w:num>
  <w:num w:numId="42" w16cid:durableId="1659534447">
    <w:abstractNumId w:val="38"/>
  </w:num>
  <w:num w:numId="43" w16cid:durableId="1602255087">
    <w:abstractNumId w:val="34"/>
  </w:num>
  <w:num w:numId="44" w16cid:durableId="17199334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62"/>
    <w:rsid w:val="000165AB"/>
    <w:rsid w:val="000206AF"/>
    <w:rsid w:val="000443A6"/>
    <w:rsid w:val="00066277"/>
    <w:rsid w:val="0007008C"/>
    <w:rsid w:val="0008252E"/>
    <w:rsid w:val="000A25AD"/>
    <w:rsid w:val="000A544E"/>
    <w:rsid w:val="000B1982"/>
    <w:rsid w:val="000C0CF5"/>
    <w:rsid w:val="000D07D7"/>
    <w:rsid w:val="000D4A21"/>
    <w:rsid w:val="000D6B2D"/>
    <w:rsid w:val="000E26F8"/>
    <w:rsid w:val="000F1823"/>
    <w:rsid w:val="0010469E"/>
    <w:rsid w:val="00106DE0"/>
    <w:rsid w:val="0011264C"/>
    <w:rsid w:val="0011661A"/>
    <w:rsid w:val="00161E67"/>
    <w:rsid w:val="00186A7A"/>
    <w:rsid w:val="0019210C"/>
    <w:rsid w:val="001B06B7"/>
    <w:rsid w:val="001B24BE"/>
    <w:rsid w:val="001B3D30"/>
    <w:rsid w:val="001D17AD"/>
    <w:rsid w:val="001E7C63"/>
    <w:rsid w:val="00211577"/>
    <w:rsid w:val="0022247C"/>
    <w:rsid w:val="002522CB"/>
    <w:rsid w:val="002530D5"/>
    <w:rsid w:val="002637FC"/>
    <w:rsid w:val="00263C68"/>
    <w:rsid w:val="002672A9"/>
    <w:rsid w:val="00284750"/>
    <w:rsid w:val="00287366"/>
    <w:rsid w:val="002E1CD6"/>
    <w:rsid w:val="00310394"/>
    <w:rsid w:val="00332317"/>
    <w:rsid w:val="00342721"/>
    <w:rsid w:val="00350C6E"/>
    <w:rsid w:val="00351AFF"/>
    <w:rsid w:val="00351C70"/>
    <w:rsid w:val="00374A6F"/>
    <w:rsid w:val="003828B9"/>
    <w:rsid w:val="00384940"/>
    <w:rsid w:val="00386770"/>
    <w:rsid w:val="003B0A36"/>
    <w:rsid w:val="003B4535"/>
    <w:rsid w:val="003B4EE7"/>
    <w:rsid w:val="003C1E74"/>
    <w:rsid w:val="003C313D"/>
    <w:rsid w:val="003C3D31"/>
    <w:rsid w:val="00412EE8"/>
    <w:rsid w:val="00414586"/>
    <w:rsid w:val="00450F2B"/>
    <w:rsid w:val="00457A11"/>
    <w:rsid w:val="00466192"/>
    <w:rsid w:val="004804BE"/>
    <w:rsid w:val="00483CCF"/>
    <w:rsid w:val="004A1E89"/>
    <w:rsid w:val="004A4AC7"/>
    <w:rsid w:val="004C56AF"/>
    <w:rsid w:val="004E2F4D"/>
    <w:rsid w:val="004F0C63"/>
    <w:rsid w:val="00524295"/>
    <w:rsid w:val="00527A92"/>
    <w:rsid w:val="00541961"/>
    <w:rsid w:val="005458BC"/>
    <w:rsid w:val="00560E0C"/>
    <w:rsid w:val="0057155B"/>
    <w:rsid w:val="00574EE0"/>
    <w:rsid w:val="00575668"/>
    <w:rsid w:val="00580AA1"/>
    <w:rsid w:val="005A60AA"/>
    <w:rsid w:val="005B5C8C"/>
    <w:rsid w:val="005B7E60"/>
    <w:rsid w:val="005C42B7"/>
    <w:rsid w:val="005E2CC5"/>
    <w:rsid w:val="006011E2"/>
    <w:rsid w:val="00610DB8"/>
    <w:rsid w:val="00615933"/>
    <w:rsid w:val="00615E04"/>
    <w:rsid w:val="006300C3"/>
    <w:rsid w:val="00636232"/>
    <w:rsid w:val="00651EC4"/>
    <w:rsid w:val="006629FE"/>
    <w:rsid w:val="00677C1E"/>
    <w:rsid w:val="006A3931"/>
    <w:rsid w:val="006A47D1"/>
    <w:rsid w:val="006B281A"/>
    <w:rsid w:val="006C47C4"/>
    <w:rsid w:val="006C5552"/>
    <w:rsid w:val="006D5342"/>
    <w:rsid w:val="00711F88"/>
    <w:rsid w:val="00712BAF"/>
    <w:rsid w:val="0072141A"/>
    <w:rsid w:val="00721E62"/>
    <w:rsid w:val="0073389F"/>
    <w:rsid w:val="00735068"/>
    <w:rsid w:val="007357E0"/>
    <w:rsid w:val="00740A76"/>
    <w:rsid w:val="00744DD5"/>
    <w:rsid w:val="0075279D"/>
    <w:rsid w:val="007719E6"/>
    <w:rsid w:val="00775941"/>
    <w:rsid w:val="00781171"/>
    <w:rsid w:val="007908FF"/>
    <w:rsid w:val="00793F9F"/>
    <w:rsid w:val="007B4C9F"/>
    <w:rsid w:val="007C5BAD"/>
    <w:rsid w:val="007E1963"/>
    <w:rsid w:val="007E4FF0"/>
    <w:rsid w:val="007F233B"/>
    <w:rsid w:val="007F371F"/>
    <w:rsid w:val="00806F9B"/>
    <w:rsid w:val="00812815"/>
    <w:rsid w:val="00822BCC"/>
    <w:rsid w:val="00824819"/>
    <w:rsid w:val="00855192"/>
    <w:rsid w:val="00857C37"/>
    <w:rsid w:val="00862B16"/>
    <w:rsid w:val="00862E69"/>
    <w:rsid w:val="0087176D"/>
    <w:rsid w:val="00872F0A"/>
    <w:rsid w:val="008F1B8D"/>
    <w:rsid w:val="00907492"/>
    <w:rsid w:val="00907527"/>
    <w:rsid w:val="009377C1"/>
    <w:rsid w:val="00954F63"/>
    <w:rsid w:val="0096054C"/>
    <w:rsid w:val="009614FB"/>
    <w:rsid w:val="00961C64"/>
    <w:rsid w:val="009645CC"/>
    <w:rsid w:val="009744B2"/>
    <w:rsid w:val="00975C42"/>
    <w:rsid w:val="00980766"/>
    <w:rsid w:val="00986F92"/>
    <w:rsid w:val="009971D0"/>
    <w:rsid w:val="009A1736"/>
    <w:rsid w:val="009A29C0"/>
    <w:rsid w:val="009B33CD"/>
    <w:rsid w:val="009C3F88"/>
    <w:rsid w:val="009E76A8"/>
    <w:rsid w:val="00A10952"/>
    <w:rsid w:val="00A13CEE"/>
    <w:rsid w:val="00A33DF6"/>
    <w:rsid w:val="00A7048F"/>
    <w:rsid w:val="00A76FF2"/>
    <w:rsid w:val="00AA7E7B"/>
    <w:rsid w:val="00AF2025"/>
    <w:rsid w:val="00AF4BD8"/>
    <w:rsid w:val="00B2125F"/>
    <w:rsid w:val="00B261C2"/>
    <w:rsid w:val="00B3036B"/>
    <w:rsid w:val="00B37314"/>
    <w:rsid w:val="00B424E0"/>
    <w:rsid w:val="00B523DB"/>
    <w:rsid w:val="00B61FA7"/>
    <w:rsid w:val="00B80F75"/>
    <w:rsid w:val="00B93E59"/>
    <w:rsid w:val="00BB3293"/>
    <w:rsid w:val="00BC78D0"/>
    <w:rsid w:val="00BE5C9A"/>
    <w:rsid w:val="00C059F8"/>
    <w:rsid w:val="00C129D4"/>
    <w:rsid w:val="00C12F1C"/>
    <w:rsid w:val="00C20D4F"/>
    <w:rsid w:val="00C21DDC"/>
    <w:rsid w:val="00C4579B"/>
    <w:rsid w:val="00C775D3"/>
    <w:rsid w:val="00C87E94"/>
    <w:rsid w:val="00CD5033"/>
    <w:rsid w:val="00CD5888"/>
    <w:rsid w:val="00D0113A"/>
    <w:rsid w:val="00D127E2"/>
    <w:rsid w:val="00D17D55"/>
    <w:rsid w:val="00D30F74"/>
    <w:rsid w:val="00D35817"/>
    <w:rsid w:val="00D51D6B"/>
    <w:rsid w:val="00D60952"/>
    <w:rsid w:val="00D7282E"/>
    <w:rsid w:val="00D9548C"/>
    <w:rsid w:val="00DA10D2"/>
    <w:rsid w:val="00DB5BC8"/>
    <w:rsid w:val="00DD3345"/>
    <w:rsid w:val="00DE01C7"/>
    <w:rsid w:val="00DE38D3"/>
    <w:rsid w:val="00DE506E"/>
    <w:rsid w:val="00DF1120"/>
    <w:rsid w:val="00DF7D48"/>
    <w:rsid w:val="00E04219"/>
    <w:rsid w:val="00E21CEA"/>
    <w:rsid w:val="00E22AC7"/>
    <w:rsid w:val="00E31300"/>
    <w:rsid w:val="00E35AB9"/>
    <w:rsid w:val="00E37F19"/>
    <w:rsid w:val="00E51860"/>
    <w:rsid w:val="00E632EF"/>
    <w:rsid w:val="00E8023D"/>
    <w:rsid w:val="00E87242"/>
    <w:rsid w:val="00E90476"/>
    <w:rsid w:val="00E92517"/>
    <w:rsid w:val="00EA1DC0"/>
    <w:rsid w:val="00EA37C2"/>
    <w:rsid w:val="00EC19CD"/>
    <w:rsid w:val="00ED3B28"/>
    <w:rsid w:val="00EE5306"/>
    <w:rsid w:val="00EE663E"/>
    <w:rsid w:val="00F02619"/>
    <w:rsid w:val="00F110B2"/>
    <w:rsid w:val="00F30FFD"/>
    <w:rsid w:val="00F31DA7"/>
    <w:rsid w:val="00F36C2B"/>
    <w:rsid w:val="00F379AA"/>
    <w:rsid w:val="00F45852"/>
    <w:rsid w:val="00F52485"/>
    <w:rsid w:val="00F54650"/>
    <w:rsid w:val="00F61983"/>
    <w:rsid w:val="00F72F51"/>
    <w:rsid w:val="00F80327"/>
    <w:rsid w:val="00F849A0"/>
    <w:rsid w:val="00FB64BB"/>
    <w:rsid w:val="00FB6FAE"/>
    <w:rsid w:val="00FC4783"/>
    <w:rsid w:val="00FD4C72"/>
    <w:rsid w:val="00FF275D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56F7"/>
  <w15:docId w15:val="{2E55EBC6-EFA1-4186-9B05-677A0B5E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3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21E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721E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721E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721E62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21E6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721E6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rsid w:val="00721E62"/>
    <w:rPr>
      <w:rFonts w:ascii="Arial" w:eastAsia="Times New Roman" w:hAnsi="Arial" w:cs="Arial"/>
      <w:b/>
      <w:bCs/>
      <w:sz w:val="26"/>
      <w:szCs w:val="26"/>
    </w:rPr>
  </w:style>
  <w:style w:type="paragraph" w:customStyle="1" w:styleId="Heading61">
    <w:name w:val="Heading 61"/>
    <w:basedOn w:val="prastasis"/>
    <w:next w:val="prastasis"/>
    <w:uiPriority w:val="9"/>
    <w:semiHidden/>
    <w:unhideWhenUsed/>
    <w:qFormat/>
    <w:rsid w:val="00721E62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numbering" w:customStyle="1" w:styleId="NoList1">
    <w:name w:val="No List1"/>
    <w:next w:val="Sraonra"/>
    <w:uiPriority w:val="99"/>
    <w:semiHidden/>
    <w:unhideWhenUsed/>
    <w:rsid w:val="00721E62"/>
  </w:style>
  <w:style w:type="character" w:styleId="Hipersaitas">
    <w:name w:val="Hyperlink"/>
    <w:semiHidden/>
    <w:rsid w:val="00721E62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721E62"/>
    <w:pPr>
      <w:tabs>
        <w:tab w:val="left" w:pos="567"/>
      </w:tabs>
      <w:spacing w:before="0" w:after="0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BTEMEASMCA">
    <w:name w:val="BT EMEA_SMCA"/>
    <w:basedOn w:val="prastasis"/>
    <w:autoRedefine/>
    <w:rsid w:val="00721E62"/>
    <w:rPr>
      <w:i/>
      <w:noProof/>
    </w:rPr>
  </w:style>
  <w:style w:type="paragraph" w:customStyle="1" w:styleId="TTEMEASMCA">
    <w:name w:val="TT EMEA_SMCA"/>
    <w:basedOn w:val="Antrat1"/>
    <w:autoRedefine/>
    <w:rsid w:val="00721E62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paragraph" w:customStyle="1" w:styleId="BT-EMEASMCA">
    <w:name w:val="BT- EMEA_SMCA"/>
    <w:basedOn w:val="BTEMEASMCA"/>
    <w:autoRedefine/>
    <w:rsid w:val="00721E62"/>
    <w:pPr>
      <w:numPr>
        <w:numId w:val="1"/>
      </w:numPr>
      <w:tabs>
        <w:tab w:val="clear" w:pos="720"/>
        <w:tab w:val="num" w:pos="540"/>
      </w:tabs>
      <w:ind w:left="540" w:right="-241" w:hanging="540"/>
    </w:pPr>
    <w:rPr>
      <w:i w:val="0"/>
    </w:rPr>
  </w:style>
  <w:style w:type="paragraph" w:customStyle="1" w:styleId="PI-3EMEASMCA">
    <w:name w:val="PI-3 EMEA_SMCA"/>
    <w:basedOn w:val="prastasis"/>
    <w:autoRedefine/>
    <w:rsid w:val="00721E62"/>
    <w:pPr>
      <w:spacing w:line="220" w:lineRule="exact"/>
    </w:pPr>
    <w:rPr>
      <w:bCs/>
    </w:rPr>
  </w:style>
  <w:style w:type="paragraph" w:customStyle="1" w:styleId="BTbEMEASMCA">
    <w:name w:val="BT(b) EMEA_SMCA"/>
    <w:basedOn w:val="BTEMEASMCA"/>
    <w:autoRedefine/>
    <w:rsid w:val="00721E62"/>
    <w:rPr>
      <w:b/>
    </w:rPr>
  </w:style>
  <w:style w:type="character" w:customStyle="1" w:styleId="BTEMEASMCAChar">
    <w:name w:val="BT EMEA_SMCA Char"/>
    <w:rsid w:val="00721E62"/>
    <w:rPr>
      <w:noProof/>
      <w:sz w:val="22"/>
      <w:szCs w:val="22"/>
      <w:lang w:val="lt-LT" w:eastAsia="en-US" w:bidi="ar-SA"/>
    </w:rPr>
  </w:style>
  <w:style w:type="paragraph" w:styleId="Pagrindinistekstas">
    <w:name w:val="Body Text"/>
    <w:basedOn w:val="prastasis"/>
    <w:link w:val="PagrindinistekstasDiagrama"/>
    <w:semiHidden/>
    <w:rsid w:val="00721E62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21E62"/>
    <w:rPr>
      <w:rFonts w:ascii="Times New Roman" w:eastAsia="Times New Roman" w:hAnsi="Times New Roman" w:cs="Times New Roman"/>
      <w:lang w:eastAsia="lt-LT"/>
    </w:rPr>
  </w:style>
  <w:style w:type="character" w:customStyle="1" w:styleId="BT-EMEASMCAChar">
    <w:name w:val="BT- EMEA_SMCA Char"/>
    <w:basedOn w:val="BTEMEASMCAChar"/>
    <w:rsid w:val="00721E62"/>
    <w:rPr>
      <w:noProof/>
      <w:sz w:val="22"/>
      <w:szCs w:val="22"/>
      <w:lang w:val="lt-LT" w:eastAsia="en-US" w:bidi="ar-SA"/>
    </w:rPr>
  </w:style>
  <w:style w:type="paragraph" w:styleId="Antrats">
    <w:name w:val="header"/>
    <w:basedOn w:val="prastasis"/>
    <w:link w:val="AntratsDiagrama"/>
    <w:semiHidden/>
    <w:unhideWhenUsed/>
    <w:rsid w:val="00721E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721E6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nhideWhenUsed/>
    <w:rsid w:val="00721E6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21E62"/>
    <w:rPr>
      <w:rFonts w:ascii="Times New Roman" w:eastAsia="Times New Roman" w:hAnsi="Times New Roman" w:cs="Times New Roman"/>
      <w:sz w:val="24"/>
      <w:szCs w:val="24"/>
    </w:rPr>
  </w:style>
  <w:style w:type="paragraph" w:customStyle="1" w:styleId="PI-1labEMEASMCA">
    <w:name w:val="PI-1_lab EMEA_SMCA"/>
    <w:basedOn w:val="prastasis"/>
    <w:autoRedefine/>
    <w:rsid w:val="00721E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</w:rPr>
  </w:style>
  <w:style w:type="paragraph" w:customStyle="1" w:styleId="PI-2EMEASMCA">
    <w:name w:val="PI-2 EMEA_SMCA"/>
    <w:basedOn w:val="Antrat3"/>
    <w:autoRedefine/>
    <w:rsid w:val="00721E62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AnIIEMEASMCA">
    <w:name w:val="BT(AnII) EMEA_SMCA"/>
    <w:basedOn w:val="prastasis"/>
    <w:autoRedefine/>
    <w:rsid w:val="00721E62"/>
    <w:pPr>
      <w:tabs>
        <w:tab w:val="left" w:pos="1701"/>
      </w:tabs>
      <w:ind w:left="1701" w:hanging="567"/>
    </w:pPr>
    <w:rPr>
      <w:rFonts w:cs="Tahoma"/>
      <w:b/>
      <w:lang w:val="en-GB"/>
    </w:rPr>
  </w:style>
  <w:style w:type="paragraph" w:customStyle="1" w:styleId="BTuEMEASMCA">
    <w:name w:val="BT(u) EMEA_SMCA"/>
    <w:basedOn w:val="BTEMEASMCA"/>
    <w:autoRedefine/>
    <w:rsid w:val="00721E62"/>
    <w:rPr>
      <w:szCs w:val="17"/>
      <w:u w:val="single"/>
    </w:rPr>
  </w:style>
  <w:style w:type="paragraph" w:styleId="Debesliotekstas">
    <w:name w:val="Balloon Text"/>
    <w:basedOn w:val="prastasis"/>
    <w:link w:val="DebesliotekstasDiagrama"/>
    <w:rsid w:val="00721E6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21E62"/>
    <w:rPr>
      <w:rFonts w:ascii="Tahoma" w:eastAsia="Times New Roman" w:hAnsi="Tahoma" w:cs="Times New Roman"/>
      <w:sz w:val="16"/>
      <w:szCs w:val="16"/>
    </w:rPr>
  </w:style>
  <w:style w:type="character" w:styleId="Komentaronuoroda">
    <w:name w:val="annotation reference"/>
    <w:uiPriority w:val="99"/>
    <w:rsid w:val="00721E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21E6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21E62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21E6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721E62"/>
    <w:rPr>
      <w:b/>
      <w:bCs/>
    </w:rPr>
  </w:style>
  <w:style w:type="character" w:customStyle="1" w:styleId="CommentSubjectChar1">
    <w:name w:val="Comment Subject Char1"/>
    <w:basedOn w:val="KomentarotekstasDiagrama"/>
    <w:uiPriority w:val="99"/>
    <w:semiHidden/>
    <w:rsid w:val="00721E6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721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721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prastasis"/>
    <w:next w:val="Sraopastraipa"/>
    <w:uiPriority w:val="34"/>
    <w:qFormat/>
    <w:rsid w:val="00721E62"/>
    <w:pPr>
      <w:spacing w:after="200" w:line="276" w:lineRule="auto"/>
      <w:ind w:left="720"/>
      <w:contextualSpacing/>
    </w:pPr>
  </w:style>
  <w:style w:type="character" w:customStyle="1" w:styleId="Antrat6Diagrama">
    <w:name w:val="Antraštė 6 Diagrama"/>
    <w:basedOn w:val="Numatytasispastraiposriftas"/>
    <w:link w:val="Antrat6"/>
    <w:uiPriority w:val="99"/>
    <w:rsid w:val="00721E62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721E62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721E62"/>
    <w:pPr>
      <w:ind w:left="720"/>
      <w:contextualSpacing/>
    </w:pPr>
  </w:style>
  <w:style w:type="character" w:customStyle="1" w:styleId="Heading6Char1">
    <w:name w:val="Heading 6 Char1"/>
    <w:basedOn w:val="Numatytasispastraiposriftas"/>
    <w:uiPriority w:val="9"/>
    <w:semiHidden/>
    <w:rsid w:val="00721E62"/>
    <w:rPr>
      <w:rFonts w:asciiTheme="majorHAnsi" w:eastAsiaTheme="majorEastAsia" w:hAnsiTheme="majorHAnsi" w:cstheme="majorBidi"/>
      <w:color w:val="1F3763" w:themeColor="accent1" w:themeShade="7F"/>
    </w:rPr>
  </w:style>
  <w:style w:type="table" w:styleId="Lentelstinklelis">
    <w:name w:val="Table Grid"/>
    <w:basedOn w:val="prastojilentel"/>
    <w:uiPriority w:val="39"/>
    <w:rsid w:val="00AA7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4E2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2eccc-375d-4251-95f3-c31d8c476153">
      <Terms xmlns="http://schemas.microsoft.com/office/infopath/2007/PartnerControls"/>
    </lcf76f155ced4ddcb4097134ff3c332f>
    <_Flow_SignoffStatus xmlns="dbf2eccc-375d-4251-95f3-c31d8c476153" xsi:nil="true"/>
    <TaxCatchAll xmlns="525029b5-868e-4932-a2f1-2267ab1d00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48ADDA094B941BF150AA70B0E97EF" ma:contentTypeVersion="17" ma:contentTypeDescription="Create a new document." ma:contentTypeScope="" ma:versionID="b7c35e9e9f1e5553d04c1721f227267b">
  <xsd:schema xmlns:xsd="http://www.w3.org/2001/XMLSchema" xmlns:xs="http://www.w3.org/2001/XMLSchema" xmlns:p="http://schemas.microsoft.com/office/2006/metadata/properties" xmlns:ns2="525029b5-868e-4932-a2f1-2267ab1d00cd" xmlns:ns3="dbf2eccc-375d-4251-95f3-c31d8c476153" targetNamespace="http://schemas.microsoft.com/office/2006/metadata/properties" ma:root="true" ma:fieldsID="453b20e74daedfc9e956d0012a5e5bd8" ns2:_="" ns3:_="">
    <xsd:import namespace="525029b5-868e-4932-a2f1-2267ab1d00cd"/>
    <xsd:import namespace="dbf2eccc-375d-4251-95f3-c31d8c4761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29b5-868e-4932-a2f1-2267ab1d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c199ded-01e6-456d-b2e6-382b5009bd82}" ma:internalName="TaxCatchAll" ma:showField="CatchAllData" ma:web="525029b5-868e-4932-a2f1-2267ab1d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eccc-375d-4251-95f3-c31d8c476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9522f1-744d-41f1-80ec-ba00924b9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48ADDA094B941BF150AA70B0E97EF" ma:contentTypeVersion="17" ma:contentTypeDescription="Create a new document." ma:contentTypeScope="" ma:versionID="f4da15428ce1eca86b05ad8be93556b3">
  <xsd:schema xmlns:xsd="http://www.w3.org/2001/XMLSchema" xmlns:xs="http://www.w3.org/2001/XMLSchema" xmlns:p="http://schemas.microsoft.com/office/2006/metadata/properties" xmlns:ns2="525029b5-868e-4932-a2f1-2267ab1d00cd" xmlns:ns3="dbf2eccc-375d-4251-95f3-c31d8c476153" targetNamespace="http://schemas.microsoft.com/office/2006/metadata/properties" ma:root="true" ma:fieldsID="4b498c071fcd0f45a84710bf6b8ecc49" ns2:_="" ns3:_="">
    <xsd:import namespace="525029b5-868e-4932-a2f1-2267ab1d00cd"/>
    <xsd:import namespace="dbf2eccc-375d-4251-95f3-c31d8c4761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29b5-868e-4932-a2f1-2267ab1d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c199ded-01e6-456d-b2e6-382b5009bd82}" ma:internalName="TaxCatchAll" ma:showField="CatchAllData" ma:web="525029b5-868e-4932-a2f1-2267ab1d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eccc-375d-4251-95f3-c31d8c476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9522f1-744d-41f1-80ec-ba00924b9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42054-3E11-42FE-B704-A044A640EB54}">
  <ds:schemaRefs>
    <ds:schemaRef ds:uri="http://schemas.microsoft.com/office/2006/metadata/properties"/>
    <ds:schemaRef ds:uri="http://schemas.microsoft.com/office/infopath/2007/PartnerControls"/>
    <ds:schemaRef ds:uri="dbf2eccc-375d-4251-95f3-c31d8c476153"/>
    <ds:schemaRef ds:uri="525029b5-868e-4932-a2f1-2267ab1d00cd"/>
  </ds:schemaRefs>
</ds:datastoreItem>
</file>

<file path=customXml/itemProps2.xml><?xml version="1.0" encoding="utf-8"?>
<ds:datastoreItem xmlns:ds="http://schemas.openxmlformats.org/officeDocument/2006/customXml" ds:itemID="{6DD9274C-9934-44EC-A5F3-09FBEC6F0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F096B-71E4-4DF6-A6A3-CCAC30A9C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029b5-868e-4932-a2f1-2267ab1d00cd"/>
    <ds:schemaRef ds:uri="dbf2eccc-375d-4251-95f3-c31d8c476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1D1A51-5A44-45E4-8A90-8AD5A9ED9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029b5-868e-4932-a2f1-2267ab1d00cd"/>
    <ds:schemaRef ds:uri="dbf2eccc-375d-4251-95f3-c31d8c476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6584</Words>
  <Characters>3754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Lithuanian</dc:creator>
  <cp:lastModifiedBy>Birutė Valkauskaitė</cp:lastModifiedBy>
  <cp:revision>2</cp:revision>
  <dcterms:created xsi:type="dcterms:W3CDTF">2026-04-29T11:50:00Z</dcterms:created>
  <dcterms:modified xsi:type="dcterms:W3CDTF">2026-04-29T11:50:00Z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0x01010024448ADDA094B941BF150AA70B0E97EF</vt:lpwstr>
  </property>
  <property fmtid="{D5CDD505-2E9C-101B-9397-08002B2CF9AE}" pid="3" name="MediaServiceImageTags">
    <vt:lpwstr/>
  </property>
</Properties>
</file>