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56573" w14:textId="77777777" w:rsidR="00F34163" w:rsidRPr="00B2511A" w:rsidRDefault="00F34163" w:rsidP="00C25270">
      <w:pPr>
        <w:spacing w:line="240" w:lineRule="auto"/>
        <w:rPr>
          <w:lang w:val="lt-LT"/>
        </w:rPr>
      </w:pPr>
      <w:bookmarkStart w:id="0" w:name="_GoBack"/>
      <w:bookmarkEnd w:id="0"/>
    </w:p>
    <w:p w14:paraId="0C31D814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6F3B2EEF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4C848574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13008C15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170ACC69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14509643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72A15211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31D64C30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0535AA94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76DD9AC5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2E8781CF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1F8BC0FC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4F7754C5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2FFBDF83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6CBA652D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45C85F37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32F9A22A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2DCEEF4A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76BEAF0A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0C4E0594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2838A475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2009DDFE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359629AC" w14:textId="77777777" w:rsidR="00F34163" w:rsidRPr="00B2511A" w:rsidRDefault="00F34163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B2511A">
        <w:rPr>
          <w:b/>
          <w:caps/>
          <w:snapToGrid/>
          <w:szCs w:val="22"/>
          <w:lang w:val="lt-LT"/>
        </w:rPr>
        <w:t>I PRIEDAS</w:t>
      </w:r>
    </w:p>
    <w:p w14:paraId="5CC98180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3979F96C" w14:textId="77777777" w:rsidR="00F34163" w:rsidRPr="00B2511A" w:rsidRDefault="00F34163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B2511A">
        <w:rPr>
          <w:b/>
          <w:caps/>
          <w:snapToGrid/>
          <w:szCs w:val="22"/>
          <w:lang w:val="lt-LT"/>
        </w:rPr>
        <w:t>PREPARATO CHARAKTERISTIKŲ SANTRAUKA</w:t>
      </w:r>
    </w:p>
    <w:p w14:paraId="1762699F" w14:textId="77777777" w:rsidR="00F34163" w:rsidRPr="00B2511A" w:rsidRDefault="00F34163" w:rsidP="00C25270">
      <w:pPr>
        <w:tabs>
          <w:tab w:val="left" w:pos="-1440"/>
          <w:tab w:val="left" w:pos="-720"/>
        </w:tabs>
        <w:spacing w:line="240" w:lineRule="auto"/>
        <w:jc w:val="center"/>
        <w:rPr>
          <w:lang w:val="lt-LT"/>
        </w:rPr>
      </w:pPr>
      <w:r w:rsidRPr="00B2511A">
        <w:rPr>
          <w:lang w:val="lt-LT" w:eastAsia="zh-CN"/>
        </w:rPr>
        <w:br w:type="page"/>
      </w:r>
    </w:p>
    <w:p w14:paraId="357AB3E2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1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lastRenderedPageBreak/>
        <w:t>1.</w:t>
      </w:r>
      <w:r w:rsidRPr="00B2511A">
        <w:rPr>
          <w:b/>
          <w:bCs/>
          <w:snapToGrid/>
          <w:szCs w:val="22"/>
          <w:lang w:val="lt-LT"/>
        </w:rPr>
        <w:tab/>
        <w:t>VAISTINIO PREPARATO PAVADINIMAS</w:t>
      </w:r>
    </w:p>
    <w:p w14:paraId="3F53A4A4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06E0029F" w14:textId="77777777" w:rsidR="007C7E11" w:rsidRPr="00B2511A" w:rsidRDefault="00C638FB" w:rsidP="00C25270">
      <w:pPr>
        <w:spacing w:line="240" w:lineRule="auto"/>
        <w:rPr>
          <w:szCs w:val="24"/>
          <w:lang w:val="lt-LT"/>
        </w:rPr>
      </w:pPr>
      <w:bookmarkStart w:id="1" w:name="_Hlk38657937"/>
      <w:r w:rsidRPr="00B2511A">
        <w:rPr>
          <w:szCs w:val="24"/>
          <w:lang w:val="lt-LT"/>
        </w:rPr>
        <w:t xml:space="preserve">Tranexamic acid </w:t>
      </w:r>
      <w:r w:rsidR="00F45529">
        <w:rPr>
          <w:szCs w:val="24"/>
          <w:lang w:val="lt-LT"/>
        </w:rPr>
        <w:t>Baxter</w:t>
      </w:r>
      <w:r w:rsidRPr="00B2511A">
        <w:rPr>
          <w:szCs w:val="24"/>
          <w:lang w:val="lt-LT"/>
        </w:rPr>
        <w:t xml:space="preserve"> 1</w:t>
      </w:r>
      <w:r w:rsidR="00BA69D2">
        <w:rPr>
          <w:szCs w:val="24"/>
          <w:lang w:val="lt-LT"/>
        </w:rPr>
        <w:t>0</w:t>
      </w:r>
      <w:r w:rsidRPr="00B2511A">
        <w:rPr>
          <w:szCs w:val="24"/>
          <w:lang w:val="lt-LT"/>
        </w:rPr>
        <w:t>0</w:t>
      </w:r>
      <w:r w:rsidR="00BA69D2"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>/ml injekcinis ar infuzinis tirpalas</w:t>
      </w:r>
    </w:p>
    <w:p w14:paraId="5AD13579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26FD4723" w14:textId="77777777" w:rsidR="007C7E11" w:rsidRPr="00B2511A" w:rsidRDefault="007C7E11" w:rsidP="00C25270">
      <w:pPr>
        <w:spacing w:line="240" w:lineRule="auto"/>
        <w:rPr>
          <w:szCs w:val="24"/>
          <w:lang w:val="lt-LT"/>
        </w:rPr>
      </w:pPr>
    </w:p>
    <w:p w14:paraId="5D9EDDEF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1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2.</w:t>
      </w:r>
      <w:r w:rsidRPr="00B2511A">
        <w:rPr>
          <w:b/>
          <w:bCs/>
          <w:snapToGrid/>
          <w:szCs w:val="22"/>
          <w:lang w:val="lt-LT"/>
        </w:rPr>
        <w:tab/>
        <w:t>KOKYBINĖ IR KIEKYBINĖ SUDĖTIS</w:t>
      </w:r>
    </w:p>
    <w:p w14:paraId="32B4F9F5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3E60790" w14:textId="77777777" w:rsidR="00E93EEF" w:rsidRPr="00B2511A" w:rsidRDefault="00E93EEF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Kiekviename mililitre yra 100</w:t>
      </w:r>
      <w:r w:rsidR="00BA69D2"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 xml:space="preserve"> traneksamo rūgšties.</w:t>
      </w:r>
    </w:p>
    <w:p w14:paraId="0ABD1E2B" w14:textId="77777777" w:rsidR="00E93EEF" w:rsidRPr="00B2511A" w:rsidRDefault="00666F63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Kiekviename </w:t>
      </w:r>
      <w:r w:rsidR="00E93EEF" w:rsidRPr="00B2511A">
        <w:rPr>
          <w:szCs w:val="24"/>
          <w:lang w:val="lt-LT"/>
        </w:rPr>
        <w:t>5</w:t>
      </w:r>
      <w:r w:rsidR="00BA69D2">
        <w:rPr>
          <w:szCs w:val="24"/>
          <w:lang w:val="lt-LT"/>
        </w:rPr>
        <w:t> ml</w:t>
      </w:r>
      <w:r w:rsidR="00E93EEF" w:rsidRPr="00B2511A">
        <w:rPr>
          <w:szCs w:val="24"/>
          <w:lang w:val="lt-LT"/>
        </w:rPr>
        <w:t xml:space="preserve"> </w:t>
      </w:r>
      <w:r w:rsidRPr="00B2511A">
        <w:rPr>
          <w:szCs w:val="24"/>
          <w:lang w:val="lt-LT"/>
        </w:rPr>
        <w:t xml:space="preserve">flakone yra </w:t>
      </w:r>
      <w:r w:rsidR="00E93EEF" w:rsidRPr="00B2511A">
        <w:rPr>
          <w:szCs w:val="24"/>
          <w:lang w:val="lt-LT"/>
        </w:rPr>
        <w:t>500</w:t>
      </w:r>
      <w:r w:rsidR="00BA69D2">
        <w:rPr>
          <w:szCs w:val="24"/>
          <w:lang w:val="lt-LT"/>
        </w:rPr>
        <w:t> mg</w:t>
      </w:r>
      <w:r w:rsidR="00E93EEF" w:rsidRPr="00B2511A">
        <w:rPr>
          <w:szCs w:val="24"/>
          <w:lang w:val="lt-LT"/>
        </w:rPr>
        <w:t xml:space="preserve"> </w:t>
      </w:r>
      <w:r w:rsidRPr="00B2511A">
        <w:rPr>
          <w:szCs w:val="24"/>
          <w:lang w:val="lt-LT"/>
        </w:rPr>
        <w:t>traneksamo rūgšties</w:t>
      </w:r>
      <w:r w:rsidR="00E93EEF" w:rsidRPr="00B2511A">
        <w:rPr>
          <w:szCs w:val="24"/>
          <w:lang w:val="lt-LT"/>
        </w:rPr>
        <w:t>.</w:t>
      </w:r>
    </w:p>
    <w:p w14:paraId="143B1EF5" w14:textId="77777777" w:rsidR="00666F63" w:rsidRPr="00B2511A" w:rsidRDefault="00666F63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Kiekviename 10</w:t>
      </w:r>
      <w:r w:rsidR="00BA69D2">
        <w:rPr>
          <w:szCs w:val="24"/>
          <w:lang w:val="lt-LT"/>
        </w:rPr>
        <w:t> ml</w:t>
      </w:r>
      <w:r w:rsidRPr="00B2511A">
        <w:rPr>
          <w:szCs w:val="24"/>
          <w:lang w:val="lt-LT"/>
        </w:rPr>
        <w:t xml:space="preserve"> flakone yra 1000</w:t>
      </w:r>
      <w:r w:rsidR="00BA69D2"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 xml:space="preserve"> traneksamo rūgšties.</w:t>
      </w:r>
    </w:p>
    <w:bookmarkEnd w:id="1"/>
    <w:p w14:paraId="3B1F4D7C" w14:textId="77777777" w:rsidR="00C3457B" w:rsidRPr="009770F6" w:rsidRDefault="00C3457B" w:rsidP="00C25270">
      <w:pPr>
        <w:spacing w:line="240" w:lineRule="auto"/>
        <w:rPr>
          <w:szCs w:val="24"/>
          <w:lang w:val="en-US"/>
        </w:rPr>
      </w:pPr>
    </w:p>
    <w:p w14:paraId="3AEC5587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Visos pagalbinės medžiagos išvardytos 6.1 skyriuje.</w:t>
      </w:r>
    </w:p>
    <w:p w14:paraId="179A00D3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0A1E5DE5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A04D95B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1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3.</w:t>
      </w:r>
      <w:r w:rsidRPr="00B2511A">
        <w:rPr>
          <w:b/>
          <w:bCs/>
          <w:snapToGrid/>
          <w:szCs w:val="22"/>
          <w:lang w:val="lt-LT"/>
        </w:rPr>
        <w:tab/>
        <w:t>FARMACINĖ FORMA</w:t>
      </w:r>
    </w:p>
    <w:p w14:paraId="3713569E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7BEECE13" w14:textId="77777777" w:rsidR="00B731B3" w:rsidRPr="00B2511A" w:rsidRDefault="00666F63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Injekcinis ar infuzinis tirpalas</w:t>
      </w:r>
    </w:p>
    <w:p w14:paraId="1364B793" w14:textId="77777777" w:rsidR="00B731B3" w:rsidRPr="00B2511A" w:rsidRDefault="00666F63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Skaidrus, bespalvis tirpalas, kuriame nėra matomų dalelių.</w:t>
      </w:r>
    </w:p>
    <w:p w14:paraId="19E341DF" w14:textId="77777777" w:rsidR="00666F63" w:rsidRPr="00B2511A" w:rsidRDefault="00666F63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Tirpalo pH yra 6,5</w:t>
      </w:r>
      <w:r w:rsidRPr="00B2511A">
        <w:rPr>
          <w:szCs w:val="24"/>
          <w:lang w:val="lt-LT"/>
        </w:rPr>
        <w:noBreakHyphen/>
        <w:t>8,0.</w:t>
      </w:r>
    </w:p>
    <w:p w14:paraId="3E62B5B8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BE2260A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DDA3170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1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4.</w:t>
      </w:r>
      <w:r w:rsidRPr="00B2511A">
        <w:rPr>
          <w:b/>
          <w:bCs/>
          <w:snapToGrid/>
          <w:szCs w:val="22"/>
          <w:lang w:val="lt-LT"/>
        </w:rPr>
        <w:tab/>
        <w:t>KLINIKINĖ INFORMACIJA</w:t>
      </w:r>
    </w:p>
    <w:p w14:paraId="16A76D6E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301DE356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4.1</w:t>
      </w:r>
      <w:r w:rsidRPr="00B2511A">
        <w:rPr>
          <w:b/>
          <w:snapToGrid/>
          <w:kern w:val="28"/>
          <w:szCs w:val="22"/>
          <w:lang w:val="lt-LT"/>
        </w:rPr>
        <w:tab/>
        <w:t>Terapinės indikacijos</w:t>
      </w:r>
    </w:p>
    <w:p w14:paraId="05A733EF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7A801B8E" w14:textId="13ECEE97" w:rsidR="008C7057" w:rsidRPr="00B2511A" w:rsidRDefault="0081165F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Tranexamic acid </w:t>
      </w:r>
      <w:r>
        <w:rPr>
          <w:szCs w:val="24"/>
          <w:lang w:val="lt-LT"/>
        </w:rPr>
        <w:t>Baxter</w:t>
      </w:r>
      <w:r w:rsidR="005E7261">
        <w:rPr>
          <w:szCs w:val="24"/>
          <w:lang w:val="lt-LT"/>
        </w:rPr>
        <w:t xml:space="preserve"> skirta </w:t>
      </w:r>
      <w:r w:rsidR="005C4C08" w:rsidRPr="00B2511A">
        <w:rPr>
          <w:szCs w:val="24"/>
          <w:lang w:val="lt-LT"/>
        </w:rPr>
        <w:t>suaugusiesiems ir vaikams nuo vienerių metų</w:t>
      </w:r>
      <w:r w:rsidR="005C4C08">
        <w:rPr>
          <w:szCs w:val="24"/>
          <w:lang w:val="lt-LT"/>
        </w:rPr>
        <w:t xml:space="preserve"> </w:t>
      </w:r>
      <w:r w:rsidR="005E7261">
        <w:rPr>
          <w:szCs w:val="24"/>
          <w:lang w:val="lt-LT"/>
        </w:rPr>
        <w:t>k</w:t>
      </w:r>
      <w:r w:rsidR="008C7057" w:rsidRPr="00B2511A">
        <w:rPr>
          <w:szCs w:val="24"/>
          <w:lang w:val="lt-LT"/>
        </w:rPr>
        <w:t xml:space="preserve">raujavimo, pasireiškusio dėl </w:t>
      </w:r>
      <w:r w:rsidR="00A11E3B">
        <w:rPr>
          <w:szCs w:val="24"/>
          <w:lang w:val="lt-LT"/>
        </w:rPr>
        <w:t>sisteminės</w:t>
      </w:r>
      <w:r w:rsidR="008C7057" w:rsidRPr="00B2511A">
        <w:rPr>
          <w:szCs w:val="24"/>
          <w:lang w:val="lt-LT"/>
        </w:rPr>
        <w:t xml:space="preserve"> ar lokalios fibrinolizės, profilaktika</w:t>
      </w:r>
      <w:r w:rsidR="005E7261">
        <w:rPr>
          <w:szCs w:val="24"/>
          <w:lang w:val="lt-LT"/>
        </w:rPr>
        <w:t>i</w:t>
      </w:r>
      <w:r w:rsidR="008C7057" w:rsidRPr="00B2511A">
        <w:rPr>
          <w:szCs w:val="24"/>
          <w:lang w:val="lt-LT"/>
        </w:rPr>
        <w:t xml:space="preserve"> ir gydym</w:t>
      </w:r>
      <w:r w:rsidR="005E7261">
        <w:rPr>
          <w:szCs w:val="24"/>
          <w:lang w:val="lt-LT"/>
        </w:rPr>
        <w:t>ui</w:t>
      </w:r>
      <w:r w:rsidR="008C7057" w:rsidRPr="00B2511A">
        <w:rPr>
          <w:szCs w:val="24"/>
          <w:lang w:val="lt-LT"/>
        </w:rPr>
        <w:t>.</w:t>
      </w:r>
    </w:p>
    <w:p w14:paraId="1FAE1E95" w14:textId="77777777" w:rsidR="00666F63" w:rsidRPr="00B2511A" w:rsidRDefault="00666F63" w:rsidP="00C25270">
      <w:pPr>
        <w:spacing w:line="240" w:lineRule="auto"/>
        <w:rPr>
          <w:szCs w:val="24"/>
          <w:lang w:val="lt-LT"/>
        </w:rPr>
      </w:pPr>
    </w:p>
    <w:p w14:paraId="75D807AD" w14:textId="578E7746" w:rsidR="008C7057" w:rsidRPr="00B2511A" w:rsidRDefault="008C7057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Specifinės indikacijos:</w:t>
      </w:r>
    </w:p>
    <w:p w14:paraId="7BAB77F9" w14:textId="0F82A84D" w:rsidR="008C7057" w:rsidRPr="00B2511A" w:rsidRDefault="008C7057" w:rsidP="00C25270">
      <w:pPr>
        <w:numPr>
          <w:ilvl w:val="0"/>
          <w:numId w:val="15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kraujavimas, kurį sukėlė </w:t>
      </w:r>
      <w:r w:rsidR="0096627B">
        <w:rPr>
          <w:szCs w:val="24"/>
          <w:lang w:val="lt-LT"/>
        </w:rPr>
        <w:t>sisteminė</w:t>
      </w:r>
      <w:r w:rsidRPr="00B2511A">
        <w:rPr>
          <w:szCs w:val="24"/>
          <w:lang w:val="lt-LT"/>
        </w:rPr>
        <w:t xml:space="preserve"> ar </w:t>
      </w:r>
      <w:r w:rsidRPr="00B647B8">
        <w:rPr>
          <w:szCs w:val="24"/>
          <w:lang w:val="lt-LT"/>
        </w:rPr>
        <w:t>lokali</w:t>
      </w:r>
      <w:r w:rsidRPr="00B2511A">
        <w:rPr>
          <w:szCs w:val="24"/>
          <w:lang w:val="lt-LT"/>
        </w:rPr>
        <w:t xml:space="preserve"> fibrinolizė, pavyzdžiui:</w:t>
      </w:r>
    </w:p>
    <w:p w14:paraId="7C267CAC" w14:textId="77777777" w:rsidR="008C7057" w:rsidRPr="00B2511A" w:rsidRDefault="008C7057" w:rsidP="00C25270">
      <w:pPr>
        <w:numPr>
          <w:ilvl w:val="0"/>
          <w:numId w:val="15"/>
        </w:numPr>
        <w:tabs>
          <w:tab w:val="clear" w:pos="567"/>
          <w:tab w:val="left" w:pos="1134"/>
        </w:tabs>
        <w:spacing w:line="240" w:lineRule="auto"/>
        <w:ind w:left="1134" w:hanging="567"/>
        <w:rPr>
          <w:szCs w:val="24"/>
          <w:lang w:val="lt-LT"/>
        </w:rPr>
      </w:pPr>
      <w:r w:rsidRPr="00B2511A">
        <w:rPr>
          <w:szCs w:val="24"/>
          <w:lang w:val="lt-LT"/>
        </w:rPr>
        <w:t>menoragija ir metroragija,</w:t>
      </w:r>
    </w:p>
    <w:p w14:paraId="6B89BE01" w14:textId="77777777" w:rsidR="008C7057" w:rsidRPr="00B2511A" w:rsidRDefault="008C7057" w:rsidP="00C25270">
      <w:pPr>
        <w:numPr>
          <w:ilvl w:val="0"/>
          <w:numId w:val="15"/>
        </w:numPr>
        <w:tabs>
          <w:tab w:val="clear" w:pos="567"/>
          <w:tab w:val="left" w:pos="1134"/>
        </w:tabs>
        <w:spacing w:line="240" w:lineRule="auto"/>
        <w:ind w:left="1134" w:hanging="567"/>
        <w:rPr>
          <w:szCs w:val="24"/>
          <w:lang w:val="lt-LT"/>
        </w:rPr>
      </w:pPr>
      <w:r w:rsidRPr="00B2511A">
        <w:rPr>
          <w:szCs w:val="24"/>
          <w:lang w:val="lt-LT"/>
        </w:rPr>
        <w:t>kraujavimas iš v</w:t>
      </w:r>
      <w:r w:rsidR="00666F63" w:rsidRPr="00B2511A">
        <w:rPr>
          <w:szCs w:val="24"/>
          <w:lang w:val="lt-LT"/>
        </w:rPr>
        <w:t>i</w:t>
      </w:r>
      <w:r w:rsidRPr="00B2511A">
        <w:rPr>
          <w:szCs w:val="24"/>
          <w:lang w:val="lt-LT"/>
        </w:rPr>
        <w:t>rškinimo trakto,</w:t>
      </w:r>
    </w:p>
    <w:p w14:paraId="1E4B1F61" w14:textId="4E4A0F75" w:rsidR="00666F63" w:rsidRPr="00B2511A" w:rsidRDefault="00001ADF" w:rsidP="00C25270">
      <w:pPr>
        <w:numPr>
          <w:ilvl w:val="0"/>
          <w:numId w:val="15"/>
        </w:numPr>
        <w:tabs>
          <w:tab w:val="clear" w:pos="567"/>
          <w:tab w:val="left" w:pos="1134"/>
        </w:tabs>
        <w:spacing w:line="240" w:lineRule="auto"/>
        <w:ind w:left="1134" w:hanging="567"/>
        <w:rPr>
          <w:szCs w:val="24"/>
          <w:lang w:val="lt-LT"/>
        </w:rPr>
      </w:pPr>
      <w:r>
        <w:rPr>
          <w:szCs w:val="24"/>
          <w:lang w:val="lt-LT"/>
        </w:rPr>
        <w:t>hemoraginiai</w:t>
      </w:r>
      <w:r w:rsidR="008C7057" w:rsidRPr="00B2511A">
        <w:rPr>
          <w:szCs w:val="24"/>
          <w:lang w:val="lt-LT"/>
        </w:rPr>
        <w:t xml:space="preserve"> š</w:t>
      </w:r>
      <w:r w:rsidR="00666F63" w:rsidRPr="00B2511A">
        <w:rPr>
          <w:szCs w:val="24"/>
          <w:lang w:val="lt-LT"/>
        </w:rPr>
        <w:t>l</w:t>
      </w:r>
      <w:r w:rsidR="008C7057" w:rsidRPr="00B2511A">
        <w:rPr>
          <w:szCs w:val="24"/>
          <w:lang w:val="lt-LT"/>
        </w:rPr>
        <w:t>apimo takų sutrikimai, pasireiškiantys  dėl prieš</w:t>
      </w:r>
      <w:r w:rsidR="00666F63" w:rsidRPr="00B2511A">
        <w:rPr>
          <w:szCs w:val="24"/>
          <w:lang w:val="lt-LT"/>
        </w:rPr>
        <w:t>i</w:t>
      </w:r>
      <w:r w:rsidR="008C7057" w:rsidRPr="00B2511A">
        <w:rPr>
          <w:szCs w:val="24"/>
          <w:lang w:val="lt-LT"/>
        </w:rPr>
        <w:t>nės</w:t>
      </w:r>
      <w:r w:rsidR="00666F63" w:rsidRPr="00B2511A">
        <w:rPr>
          <w:szCs w:val="24"/>
          <w:lang w:val="lt-LT"/>
        </w:rPr>
        <w:t xml:space="preserve"> </w:t>
      </w:r>
      <w:r w:rsidR="008C7057" w:rsidRPr="00B2511A">
        <w:rPr>
          <w:szCs w:val="24"/>
          <w:lang w:val="lt-LT"/>
        </w:rPr>
        <w:t xml:space="preserve">liaukos  operacijos ar </w:t>
      </w:r>
      <w:r>
        <w:rPr>
          <w:szCs w:val="24"/>
          <w:lang w:val="lt-LT"/>
        </w:rPr>
        <w:t xml:space="preserve">po </w:t>
      </w:r>
      <w:r w:rsidR="008C7057" w:rsidRPr="00B2511A">
        <w:rPr>
          <w:szCs w:val="24"/>
          <w:lang w:val="lt-LT"/>
        </w:rPr>
        <w:t>šlapimo tak</w:t>
      </w:r>
      <w:r>
        <w:rPr>
          <w:szCs w:val="24"/>
          <w:lang w:val="lt-LT"/>
        </w:rPr>
        <w:t>us</w:t>
      </w:r>
      <w:r w:rsidR="008C7057" w:rsidRPr="00B2511A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pažeidžiančių</w:t>
      </w:r>
      <w:r w:rsidR="008C7057" w:rsidRPr="00B2511A">
        <w:rPr>
          <w:szCs w:val="24"/>
          <w:lang w:val="lt-LT"/>
        </w:rPr>
        <w:t xml:space="preserve"> chirurgin</w:t>
      </w:r>
      <w:r>
        <w:rPr>
          <w:szCs w:val="24"/>
          <w:lang w:val="lt-LT"/>
        </w:rPr>
        <w:t>ių</w:t>
      </w:r>
      <w:r w:rsidR="008C7057" w:rsidRPr="00B2511A">
        <w:rPr>
          <w:szCs w:val="24"/>
          <w:lang w:val="lt-LT"/>
        </w:rPr>
        <w:t xml:space="preserve"> procedūr</w:t>
      </w:r>
      <w:r>
        <w:rPr>
          <w:szCs w:val="24"/>
          <w:lang w:val="lt-LT"/>
        </w:rPr>
        <w:t>ų</w:t>
      </w:r>
      <w:r w:rsidR="00666F63" w:rsidRPr="00B2511A">
        <w:rPr>
          <w:szCs w:val="24"/>
          <w:lang w:val="lt-LT"/>
        </w:rPr>
        <w:t>;</w:t>
      </w:r>
    </w:p>
    <w:p w14:paraId="42FF9F2F" w14:textId="4FDC8C23" w:rsidR="008C7057" w:rsidRPr="00B2511A" w:rsidRDefault="008C7057" w:rsidP="00C25270">
      <w:pPr>
        <w:numPr>
          <w:ilvl w:val="0"/>
          <w:numId w:val="15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ausų, nosies ir gerklės  operacijos (adenoidektomija, tonzilektomija, dantų </w:t>
      </w:r>
      <w:r w:rsidR="00904861">
        <w:rPr>
          <w:szCs w:val="24"/>
          <w:lang w:val="lt-LT"/>
        </w:rPr>
        <w:t>rovimas</w:t>
      </w:r>
      <w:r w:rsidRPr="00B2511A">
        <w:rPr>
          <w:szCs w:val="24"/>
          <w:lang w:val="lt-LT"/>
        </w:rPr>
        <w:t>);</w:t>
      </w:r>
    </w:p>
    <w:p w14:paraId="638AAAD5" w14:textId="5AF8FFF1" w:rsidR="008C7057" w:rsidRPr="00B2511A" w:rsidRDefault="008C7057" w:rsidP="00C25270">
      <w:pPr>
        <w:numPr>
          <w:ilvl w:val="0"/>
          <w:numId w:val="15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ginekologinės operacijos arba </w:t>
      </w:r>
      <w:r w:rsidR="00904861">
        <w:rPr>
          <w:szCs w:val="24"/>
          <w:lang w:val="lt-LT"/>
        </w:rPr>
        <w:t xml:space="preserve">su gimdymu susiję </w:t>
      </w:r>
      <w:r w:rsidRPr="00B2511A">
        <w:rPr>
          <w:szCs w:val="24"/>
          <w:lang w:val="lt-LT"/>
        </w:rPr>
        <w:t xml:space="preserve">sutrikimai </w:t>
      </w:r>
      <w:r w:rsidR="00666F63" w:rsidRPr="00B2511A">
        <w:rPr>
          <w:szCs w:val="24"/>
          <w:lang w:val="lt-LT"/>
        </w:rPr>
        <w:t>;</w:t>
      </w:r>
    </w:p>
    <w:p w14:paraId="59C8A8A2" w14:textId="2838F8B7" w:rsidR="008C7057" w:rsidRPr="00B2511A" w:rsidRDefault="008C7057" w:rsidP="00C25270">
      <w:pPr>
        <w:numPr>
          <w:ilvl w:val="0"/>
          <w:numId w:val="15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krūtinės ląstos ir pilvo operacijos bei kitos </w:t>
      </w:r>
      <w:r w:rsidRPr="00B647B8">
        <w:rPr>
          <w:szCs w:val="24"/>
          <w:lang w:val="lt-LT"/>
        </w:rPr>
        <w:t>didelės</w:t>
      </w:r>
      <w:r w:rsidRPr="00B2511A">
        <w:rPr>
          <w:szCs w:val="24"/>
          <w:lang w:val="lt-LT"/>
        </w:rPr>
        <w:t xml:space="preserve"> chirurginės interven</w:t>
      </w:r>
      <w:r w:rsidR="00666F63" w:rsidRPr="00B2511A">
        <w:rPr>
          <w:szCs w:val="24"/>
          <w:lang w:val="lt-LT"/>
        </w:rPr>
        <w:t>ci</w:t>
      </w:r>
      <w:r w:rsidRPr="00B2511A">
        <w:rPr>
          <w:szCs w:val="24"/>
          <w:lang w:val="lt-LT"/>
        </w:rPr>
        <w:t xml:space="preserve">jos, </w:t>
      </w:r>
      <w:r w:rsidR="00B647B8">
        <w:rPr>
          <w:szCs w:val="24"/>
          <w:lang w:val="lt-LT"/>
        </w:rPr>
        <w:t>pvz.,</w:t>
      </w:r>
      <w:r w:rsidRPr="00B2511A">
        <w:rPr>
          <w:szCs w:val="24"/>
          <w:lang w:val="lt-LT"/>
        </w:rPr>
        <w:t xml:space="preserve"> </w:t>
      </w:r>
      <w:r w:rsidR="00904861">
        <w:rPr>
          <w:szCs w:val="24"/>
          <w:lang w:val="lt-LT"/>
        </w:rPr>
        <w:t>širdies ir kraujagyslių</w:t>
      </w:r>
      <w:r w:rsidRPr="00B2511A">
        <w:rPr>
          <w:szCs w:val="24"/>
          <w:lang w:val="lt-LT"/>
        </w:rPr>
        <w:t xml:space="preserve"> operacijos;</w:t>
      </w:r>
    </w:p>
    <w:p w14:paraId="01FA4757" w14:textId="77777777" w:rsidR="00F34163" w:rsidRPr="00B2511A" w:rsidRDefault="008C7057" w:rsidP="00C25270">
      <w:pPr>
        <w:numPr>
          <w:ilvl w:val="0"/>
          <w:numId w:val="15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>fibrinolizinių vaistinių preparatų vartojimo sukelto kraujavimo gydymas.</w:t>
      </w:r>
    </w:p>
    <w:p w14:paraId="798F8B13" w14:textId="77777777" w:rsidR="00666F63" w:rsidRPr="00B2511A" w:rsidRDefault="00666F63" w:rsidP="00C25270">
      <w:pPr>
        <w:spacing w:line="240" w:lineRule="auto"/>
        <w:rPr>
          <w:szCs w:val="24"/>
          <w:lang w:val="lt-LT"/>
        </w:rPr>
      </w:pPr>
    </w:p>
    <w:p w14:paraId="12D75A22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4.2</w:t>
      </w:r>
      <w:r w:rsidRPr="00B2511A">
        <w:rPr>
          <w:b/>
          <w:snapToGrid/>
          <w:kern w:val="28"/>
          <w:szCs w:val="22"/>
          <w:lang w:val="lt-LT"/>
        </w:rPr>
        <w:tab/>
        <w:t>Dozavimas ir vartojimo metodas</w:t>
      </w:r>
    </w:p>
    <w:p w14:paraId="6AA98910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04FC2C4B" w14:textId="77777777" w:rsidR="006B0232" w:rsidRPr="00B2511A" w:rsidRDefault="006B0232" w:rsidP="00C25270">
      <w:pPr>
        <w:spacing w:line="240" w:lineRule="auto"/>
        <w:rPr>
          <w:szCs w:val="24"/>
          <w:u w:val="single"/>
          <w:lang w:val="lt-LT"/>
        </w:rPr>
      </w:pPr>
      <w:r w:rsidRPr="00B2511A">
        <w:rPr>
          <w:szCs w:val="24"/>
          <w:u w:val="single"/>
          <w:lang w:val="lt-LT"/>
        </w:rPr>
        <w:t>Dozavimas</w:t>
      </w:r>
    </w:p>
    <w:p w14:paraId="593BE7ED" w14:textId="77777777" w:rsidR="006B0232" w:rsidRPr="00B2511A" w:rsidRDefault="006B0232" w:rsidP="00C25270">
      <w:pPr>
        <w:spacing w:line="240" w:lineRule="auto"/>
        <w:rPr>
          <w:i/>
          <w:iCs/>
          <w:szCs w:val="24"/>
          <w:lang w:val="lt-LT"/>
        </w:rPr>
      </w:pPr>
      <w:r w:rsidRPr="00B2511A">
        <w:rPr>
          <w:i/>
          <w:iCs/>
          <w:szCs w:val="24"/>
          <w:lang w:val="lt-LT"/>
        </w:rPr>
        <w:t>Suaugusiesiems</w:t>
      </w:r>
    </w:p>
    <w:p w14:paraId="6A3D4F27" w14:textId="2CAA5E3F" w:rsidR="006B0232" w:rsidRPr="00B2511A" w:rsidRDefault="006B0232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Jeigu ne</w:t>
      </w:r>
      <w:r w:rsidR="00F41617">
        <w:rPr>
          <w:szCs w:val="24"/>
          <w:lang w:val="lt-LT"/>
        </w:rPr>
        <w:t>pa</w:t>
      </w:r>
      <w:r w:rsidRPr="00B2511A">
        <w:rPr>
          <w:szCs w:val="24"/>
          <w:lang w:val="lt-LT"/>
        </w:rPr>
        <w:t>skir</w:t>
      </w:r>
      <w:r w:rsidR="00F41617">
        <w:rPr>
          <w:szCs w:val="24"/>
          <w:lang w:val="lt-LT"/>
        </w:rPr>
        <w:t>ta</w:t>
      </w:r>
      <w:r w:rsidRPr="00B2511A">
        <w:rPr>
          <w:szCs w:val="24"/>
          <w:lang w:val="lt-LT"/>
        </w:rPr>
        <w:t xml:space="preserve"> kitaip, rekomenduojama vartoti nurodytas dozes.</w:t>
      </w:r>
    </w:p>
    <w:p w14:paraId="4D128620" w14:textId="3A22BB5E" w:rsidR="006B0232" w:rsidRPr="00B2511A" w:rsidRDefault="00904861" w:rsidP="00C25270">
      <w:pPr>
        <w:numPr>
          <w:ilvl w:val="0"/>
          <w:numId w:val="17"/>
        </w:numPr>
        <w:spacing w:line="240" w:lineRule="auto"/>
        <w:ind w:left="567" w:hanging="567"/>
        <w:rPr>
          <w:szCs w:val="24"/>
          <w:lang w:val="lt-LT"/>
        </w:rPr>
      </w:pPr>
      <w:r>
        <w:rPr>
          <w:szCs w:val="24"/>
          <w:lang w:val="lt-LT"/>
        </w:rPr>
        <w:t>Standartinis</w:t>
      </w:r>
      <w:r w:rsidR="006B0232" w:rsidRPr="00B2511A">
        <w:rPr>
          <w:szCs w:val="24"/>
          <w:lang w:val="lt-LT"/>
        </w:rPr>
        <w:t xml:space="preserve"> </w:t>
      </w:r>
      <w:r>
        <w:rPr>
          <w:szCs w:val="24"/>
          <w:lang w:val="lt-LT"/>
        </w:rPr>
        <w:t>vietinės</w:t>
      </w:r>
      <w:r w:rsidR="006B0232" w:rsidRPr="00B2511A">
        <w:rPr>
          <w:szCs w:val="24"/>
          <w:lang w:val="lt-LT"/>
        </w:rPr>
        <w:t xml:space="preserve"> fibrinolizės gydymas</w:t>
      </w:r>
    </w:p>
    <w:p w14:paraId="5AB0563C" w14:textId="77777777" w:rsidR="006B0232" w:rsidRPr="00B2511A" w:rsidRDefault="006B0232" w:rsidP="00C25270">
      <w:pPr>
        <w:spacing w:line="240" w:lineRule="auto"/>
        <w:ind w:left="567"/>
        <w:rPr>
          <w:szCs w:val="24"/>
          <w:lang w:val="lt-LT"/>
        </w:rPr>
      </w:pPr>
      <w:r w:rsidRPr="00B2511A">
        <w:rPr>
          <w:szCs w:val="24"/>
          <w:lang w:val="lt-LT"/>
        </w:rPr>
        <w:t>Nuo 0,5 g (viena</w:t>
      </w:r>
      <w:r w:rsidR="00B9154F" w:rsidRPr="00B2511A">
        <w:rPr>
          <w:szCs w:val="24"/>
          <w:lang w:val="lt-LT"/>
        </w:rPr>
        <w:t>s</w:t>
      </w:r>
      <w:r w:rsidRPr="00B2511A">
        <w:rPr>
          <w:szCs w:val="24"/>
          <w:lang w:val="lt-LT"/>
        </w:rPr>
        <w:t xml:space="preserve"> 5</w:t>
      </w:r>
      <w:r w:rsidR="00BA69D2">
        <w:rPr>
          <w:szCs w:val="24"/>
          <w:lang w:val="lt-LT"/>
        </w:rPr>
        <w:t> ml</w:t>
      </w:r>
      <w:r w:rsidRPr="00B2511A">
        <w:rPr>
          <w:szCs w:val="24"/>
          <w:lang w:val="lt-LT"/>
        </w:rPr>
        <w:t xml:space="preserve"> </w:t>
      </w:r>
      <w:r w:rsidR="00B9154F" w:rsidRPr="00B2511A">
        <w:rPr>
          <w:szCs w:val="24"/>
          <w:lang w:val="lt-LT"/>
        </w:rPr>
        <w:t>flakonas</w:t>
      </w:r>
      <w:r w:rsidRPr="00B2511A">
        <w:rPr>
          <w:szCs w:val="24"/>
          <w:lang w:val="lt-LT"/>
        </w:rPr>
        <w:t xml:space="preserve">) </w:t>
      </w:r>
      <w:r w:rsidR="00697842" w:rsidRPr="00B2511A">
        <w:rPr>
          <w:szCs w:val="24"/>
          <w:lang w:val="lt-LT"/>
        </w:rPr>
        <w:t>iki</w:t>
      </w:r>
      <w:r w:rsidRPr="00B2511A">
        <w:rPr>
          <w:szCs w:val="24"/>
          <w:lang w:val="lt-LT"/>
        </w:rPr>
        <w:t xml:space="preserve"> 1</w:t>
      </w:r>
      <w:r w:rsidR="00697842" w:rsidRPr="00B2511A">
        <w:rPr>
          <w:szCs w:val="24"/>
          <w:lang w:val="lt-LT"/>
        </w:rPr>
        <w:t> </w:t>
      </w:r>
      <w:r w:rsidRPr="00B2511A">
        <w:rPr>
          <w:szCs w:val="24"/>
          <w:lang w:val="lt-LT"/>
        </w:rPr>
        <w:t>g (viena</w:t>
      </w:r>
      <w:r w:rsidR="00B9154F" w:rsidRPr="00B2511A">
        <w:rPr>
          <w:szCs w:val="24"/>
          <w:lang w:val="lt-LT"/>
        </w:rPr>
        <w:t>s</w:t>
      </w:r>
      <w:r w:rsidRPr="00B2511A">
        <w:rPr>
          <w:szCs w:val="24"/>
          <w:lang w:val="lt-LT"/>
        </w:rPr>
        <w:t xml:space="preserve"> 10</w:t>
      </w:r>
      <w:r w:rsidR="00BA69D2">
        <w:rPr>
          <w:szCs w:val="24"/>
          <w:lang w:val="lt-LT"/>
        </w:rPr>
        <w:t> ml</w:t>
      </w:r>
      <w:r w:rsidR="00697842" w:rsidRPr="00B2511A">
        <w:rPr>
          <w:szCs w:val="24"/>
          <w:lang w:val="lt-LT"/>
        </w:rPr>
        <w:t xml:space="preserve"> </w:t>
      </w:r>
      <w:r w:rsidR="00B9154F" w:rsidRPr="00B2511A">
        <w:rPr>
          <w:szCs w:val="24"/>
          <w:lang w:val="lt-LT"/>
        </w:rPr>
        <w:t>flakonas</w:t>
      </w:r>
      <w:r w:rsidRPr="00B2511A">
        <w:rPr>
          <w:szCs w:val="24"/>
          <w:lang w:val="lt-LT"/>
        </w:rPr>
        <w:t xml:space="preserve"> arba d</w:t>
      </w:r>
      <w:r w:rsidR="00B9154F" w:rsidRPr="00B2511A">
        <w:rPr>
          <w:szCs w:val="24"/>
          <w:lang w:val="lt-LT"/>
        </w:rPr>
        <w:t>u</w:t>
      </w:r>
      <w:r w:rsidRPr="00B2511A">
        <w:rPr>
          <w:szCs w:val="24"/>
          <w:lang w:val="lt-LT"/>
        </w:rPr>
        <w:t xml:space="preserve"> </w:t>
      </w:r>
      <w:r w:rsidR="00B9154F" w:rsidRPr="00B2511A">
        <w:rPr>
          <w:szCs w:val="24"/>
          <w:lang w:val="lt-LT"/>
        </w:rPr>
        <w:t>flakonai</w:t>
      </w:r>
      <w:r w:rsidRPr="00B2511A">
        <w:rPr>
          <w:szCs w:val="24"/>
          <w:lang w:val="lt-LT"/>
        </w:rPr>
        <w:t xml:space="preserve"> po 5</w:t>
      </w:r>
      <w:r w:rsidR="00BA69D2">
        <w:rPr>
          <w:szCs w:val="24"/>
          <w:lang w:val="lt-LT"/>
        </w:rPr>
        <w:t> ml</w:t>
      </w:r>
      <w:r w:rsidRPr="00B2511A">
        <w:rPr>
          <w:szCs w:val="24"/>
          <w:lang w:val="lt-LT"/>
        </w:rPr>
        <w:t xml:space="preserve">) traneksamo </w:t>
      </w:r>
      <w:r w:rsidR="00697842" w:rsidRPr="00B2511A">
        <w:rPr>
          <w:szCs w:val="24"/>
          <w:lang w:val="lt-LT"/>
        </w:rPr>
        <w:t>rūgšties</w:t>
      </w:r>
      <w:r w:rsidRPr="00B2511A">
        <w:rPr>
          <w:szCs w:val="24"/>
          <w:lang w:val="lt-LT"/>
        </w:rPr>
        <w:t xml:space="preserve"> </w:t>
      </w:r>
      <w:r w:rsidR="00697842" w:rsidRPr="00B2511A">
        <w:rPr>
          <w:szCs w:val="24"/>
          <w:lang w:val="lt-LT"/>
        </w:rPr>
        <w:t>suleisti</w:t>
      </w:r>
      <w:r w:rsidRPr="00B2511A">
        <w:rPr>
          <w:szCs w:val="24"/>
          <w:lang w:val="lt-LT"/>
        </w:rPr>
        <w:t xml:space="preserve"> lėtai </w:t>
      </w:r>
      <w:r w:rsidR="00E9633D">
        <w:rPr>
          <w:szCs w:val="24"/>
          <w:lang w:val="lt-LT"/>
        </w:rPr>
        <w:t xml:space="preserve">į </w:t>
      </w:r>
      <w:r w:rsidRPr="00B2511A">
        <w:rPr>
          <w:szCs w:val="24"/>
          <w:lang w:val="lt-LT"/>
        </w:rPr>
        <w:t>veną</w:t>
      </w:r>
      <w:r w:rsidR="00904861">
        <w:rPr>
          <w:szCs w:val="24"/>
          <w:lang w:val="lt-LT"/>
        </w:rPr>
        <w:t xml:space="preserve"> ar </w:t>
      </w:r>
      <w:r w:rsidR="00AB6CFF">
        <w:rPr>
          <w:szCs w:val="24"/>
          <w:lang w:val="lt-LT"/>
        </w:rPr>
        <w:t>su</w:t>
      </w:r>
      <w:r w:rsidR="00904861">
        <w:rPr>
          <w:szCs w:val="24"/>
          <w:lang w:val="lt-LT"/>
        </w:rPr>
        <w:t>lašinti</w:t>
      </w:r>
      <w:r w:rsidRPr="00B2511A">
        <w:rPr>
          <w:szCs w:val="24"/>
          <w:lang w:val="lt-LT"/>
        </w:rPr>
        <w:t xml:space="preserve"> (=</w:t>
      </w:r>
      <w:r w:rsidR="00697842" w:rsidRPr="00B2511A">
        <w:rPr>
          <w:szCs w:val="24"/>
          <w:lang w:val="lt-LT"/>
        </w:rPr>
        <w:t> </w:t>
      </w:r>
      <w:r w:rsidRPr="00B2511A">
        <w:rPr>
          <w:szCs w:val="24"/>
          <w:lang w:val="lt-LT"/>
        </w:rPr>
        <w:t>1</w:t>
      </w:r>
      <w:r w:rsidR="00BA69D2">
        <w:rPr>
          <w:szCs w:val="24"/>
          <w:lang w:val="lt-LT"/>
        </w:rPr>
        <w:t> ml</w:t>
      </w:r>
      <w:r w:rsidRPr="00B2511A">
        <w:rPr>
          <w:szCs w:val="24"/>
          <w:lang w:val="lt-LT"/>
        </w:rPr>
        <w:t xml:space="preserve"> per minutę) du ar tris kartus per parą.</w:t>
      </w:r>
    </w:p>
    <w:p w14:paraId="39E9291E" w14:textId="79AF3C02" w:rsidR="006B0232" w:rsidRPr="00B2511A" w:rsidRDefault="00904861" w:rsidP="00C25270">
      <w:pPr>
        <w:numPr>
          <w:ilvl w:val="0"/>
          <w:numId w:val="17"/>
        </w:numPr>
        <w:spacing w:line="240" w:lineRule="auto"/>
        <w:ind w:left="567" w:hanging="567"/>
        <w:rPr>
          <w:szCs w:val="24"/>
          <w:lang w:val="lt-LT"/>
        </w:rPr>
      </w:pPr>
      <w:r>
        <w:rPr>
          <w:szCs w:val="24"/>
          <w:lang w:val="lt-LT"/>
        </w:rPr>
        <w:t>Standartinis</w:t>
      </w:r>
      <w:r w:rsidR="006B0232" w:rsidRPr="00B2511A">
        <w:rPr>
          <w:szCs w:val="24"/>
          <w:lang w:val="lt-LT"/>
        </w:rPr>
        <w:t xml:space="preserve"> </w:t>
      </w:r>
      <w:r w:rsidR="00AB6CFF">
        <w:rPr>
          <w:szCs w:val="24"/>
          <w:lang w:val="lt-LT"/>
        </w:rPr>
        <w:t>sisteminės</w:t>
      </w:r>
      <w:r w:rsidR="006B0232" w:rsidRPr="00B2511A">
        <w:rPr>
          <w:szCs w:val="24"/>
          <w:lang w:val="lt-LT"/>
        </w:rPr>
        <w:t xml:space="preserve"> fibrinol</w:t>
      </w:r>
      <w:r w:rsidR="00697842" w:rsidRPr="00B2511A">
        <w:rPr>
          <w:szCs w:val="24"/>
          <w:lang w:val="lt-LT"/>
        </w:rPr>
        <w:t>i</w:t>
      </w:r>
      <w:r w:rsidR="006B0232" w:rsidRPr="00B2511A">
        <w:rPr>
          <w:szCs w:val="24"/>
          <w:lang w:val="lt-LT"/>
        </w:rPr>
        <w:t>zės gydymas</w:t>
      </w:r>
    </w:p>
    <w:p w14:paraId="40DB3E43" w14:textId="77777777" w:rsidR="006B0232" w:rsidRPr="00B2511A" w:rsidRDefault="006B0232" w:rsidP="00C25270">
      <w:pPr>
        <w:spacing w:line="240" w:lineRule="auto"/>
        <w:ind w:left="567"/>
        <w:rPr>
          <w:szCs w:val="24"/>
          <w:lang w:val="lt-LT"/>
        </w:rPr>
      </w:pPr>
      <w:r w:rsidRPr="00B2511A">
        <w:rPr>
          <w:szCs w:val="24"/>
          <w:lang w:val="lt-LT"/>
        </w:rPr>
        <w:t>1</w:t>
      </w:r>
      <w:r w:rsidR="00697842" w:rsidRPr="00B2511A">
        <w:rPr>
          <w:szCs w:val="24"/>
          <w:lang w:val="lt-LT"/>
        </w:rPr>
        <w:t> </w:t>
      </w:r>
      <w:r w:rsidRPr="00B2511A">
        <w:rPr>
          <w:szCs w:val="24"/>
          <w:lang w:val="lt-LT"/>
        </w:rPr>
        <w:t>g (</w:t>
      </w:r>
      <w:r w:rsidR="00B9154F" w:rsidRPr="00B2511A">
        <w:rPr>
          <w:szCs w:val="24"/>
          <w:lang w:val="lt-LT"/>
        </w:rPr>
        <w:t>vienas 10</w:t>
      </w:r>
      <w:r w:rsidR="00BA69D2">
        <w:rPr>
          <w:szCs w:val="24"/>
          <w:lang w:val="lt-LT"/>
        </w:rPr>
        <w:t> ml</w:t>
      </w:r>
      <w:r w:rsidR="00B9154F" w:rsidRPr="00B2511A">
        <w:rPr>
          <w:szCs w:val="24"/>
          <w:lang w:val="lt-LT"/>
        </w:rPr>
        <w:t xml:space="preserve"> flakonas arba du flakonai po</w:t>
      </w:r>
      <w:r w:rsidRPr="00B2511A">
        <w:rPr>
          <w:szCs w:val="24"/>
          <w:lang w:val="lt-LT"/>
        </w:rPr>
        <w:t xml:space="preserve"> 5</w:t>
      </w:r>
      <w:r w:rsidR="00BA69D2">
        <w:rPr>
          <w:szCs w:val="24"/>
          <w:lang w:val="lt-LT"/>
        </w:rPr>
        <w:t> ml</w:t>
      </w:r>
      <w:r w:rsidRPr="00B2511A">
        <w:rPr>
          <w:szCs w:val="24"/>
          <w:lang w:val="lt-LT"/>
        </w:rPr>
        <w:t xml:space="preserve">) traneksamo rūgšties suleisti lėtai </w:t>
      </w:r>
      <w:r w:rsidR="00E9633D">
        <w:rPr>
          <w:szCs w:val="24"/>
          <w:lang w:val="lt-LT"/>
        </w:rPr>
        <w:t xml:space="preserve">į </w:t>
      </w:r>
      <w:r w:rsidRPr="00B2511A">
        <w:rPr>
          <w:szCs w:val="24"/>
          <w:lang w:val="lt-LT"/>
        </w:rPr>
        <w:t xml:space="preserve">veną </w:t>
      </w:r>
      <w:r w:rsidR="00904861">
        <w:rPr>
          <w:szCs w:val="24"/>
          <w:lang w:val="lt-LT"/>
        </w:rPr>
        <w:t xml:space="preserve">ar </w:t>
      </w:r>
      <w:r w:rsidR="00AB6CFF">
        <w:rPr>
          <w:szCs w:val="24"/>
          <w:lang w:val="lt-LT"/>
        </w:rPr>
        <w:t>su</w:t>
      </w:r>
      <w:r w:rsidR="00904861">
        <w:rPr>
          <w:szCs w:val="24"/>
          <w:lang w:val="lt-LT"/>
        </w:rPr>
        <w:t xml:space="preserve">lašinti </w:t>
      </w:r>
      <w:r w:rsidRPr="00B2511A">
        <w:rPr>
          <w:szCs w:val="24"/>
          <w:lang w:val="lt-LT"/>
        </w:rPr>
        <w:t>(=</w:t>
      </w:r>
      <w:r w:rsidR="00697842" w:rsidRPr="00B2511A">
        <w:rPr>
          <w:szCs w:val="24"/>
          <w:lang w:val="lt-LT"/>
        </w:rPr>
        <w:t> </w:t>
      </w:r>
      <w:r w:rsidRPr="00B2511A">
        <w:rPr>
          <w:szCs w:val="24"/>
          <w:lang w:val="lt-LT"/>
        </w:rPr>
        <w:t>1</w:t>
      </w:r>
      <w:r w:rsidR="00BA69D2">
        <w:rPr>
          <w:szCs w:val="24"/>
          <w:lang w:val="lt-LT"/>
        </w:rPr>
        <w:t> ml</w:t>
      </w:r>
      <w:r w:rsidRPr="00B2511A">
        <w:rPr>
          <w:szCs w:val="24"/>
          <w:lang w:val="lt-LT"/>
        </w:rPr>
        <w:t xml:space="preserve"> per minutę) kas 6</w:t>
      </w:r>
      <w:r w:rsidR="00697842" w:rsidRPr="00B2511A">
        <w:rPr>
          <w:szCs w:val="24"/>
          <w:lang w:val="lt-LT"/>
        </w:rPr>
        <w:noBreakHyphen/>
      </w:r>
      <w:r w:rsidRPr="00B2511A">
        <w:rPr>
          <w:szCs w:val="24"/>
          <w:lang w:val="lt-LT"/>
        </w:rPr>
        <w:t>8</w:t>
      </w:r>
      <w:r w:rsidR="00697842" w:rsidRPr="00B2511A">
        <w:rPr>
          <w:szCs w:val="24"/>
          <w:lang w:val="lt-LT"/>
        </w:rPr>
        <w:t> valandas</w:t>
      </w:r>
      <w:r w:rsidRPr="00B2511A">
        <w:rPr>
          <w:szCs w:val="24"/>
          <w:lang w:val="lt-LT"/>
        </w:rPr>
        <w:t xml:space="preserve"> (atit</w:t>
      </w:r>
      <w:r w:rsidR="00697842" w:rsidRPr="00B2511A">
        <w:rPr>
          <w:szCs w:val="24"/>
          <w:lang w:val="lt-LT"/>
        </w:rPr>
        <w:t>i</w:t>
      </w:r>
      <w:r w:rsidRPr="00B2511A">
        <w:rPr>
          <w:szCs w:val="24"/>
          <w:lang w:val="lt-LT"/>
        </w:rPr>
        <w:t>nka 15</w:t>
      </w:r>
      <w:r w:rsidR="00BA69D2"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>/kg kūno masės).</w:t>
      </w:r>
    </w:p>
    <w:p w14:paraId="35F06C6D" w14:textId="77777777" w:rsidR="00697842" w:rsidRPr="00B2511A" w:rsidRDefault="00697842" w:rsidP="00C25270">
      <w:pPr>
        <w:spacing w:line="240" w:lineRule="auto"/>
        <w:rPr>
          <w:szCs w:val="24"/>
          <w:lang w:val="lt-LT"/>
        </w:rPr>
      </w:pPr>
    </w:p>
    <w:p w14:paraId="637C7480" w14:textId="529E1E19" w:rsidR="006B0232" w:rsidRPr="00B2511A" w:rsidRDefault="00AB6CFF" w:rsidP="00C25270">
      <w:pPr>
        <w:spacing w:line="240" w:lineRule="auto"/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>Pacientams, kurių inkstų funkcija sutrikusi</w:t>
      </w:r>
    </w:p>
    <w:p w14:paraId="388E49B6" w14:textId="77777777" w:rsidR="006B0232" w:rsidRPr="00B2511A" w:rsidRDefault="00F10FAF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I</w:t>
      </w:r>
      <w:r w:rsidR="006B0232" w:rsidRPr="00B2511A">
        <w:rPr>
          <w:szCs w:val="24"/>
          <w:lang w:val="lt-LT"/>
        </w:rPr>
        <w:t>nkstų</w:t>
      </w:r>
      <w:r w:rsidRPr="00B2511A">
        <w:rPr>
          <w:szCs w:val="24"/>
          <w:lang w:val="lt-LT"/>
        </w:rPr>
        <w:t xml:space="preserve"> funkcijos</w:t>
      </w:r>
      <w:r w:rsidR="006B0232" w:rsidRPr="00B2511A">
        <w:rPr>
          <w:szCs w:val="24"/>
          <w:lang w:val="lt-LT"/>
        </w:rPr>
        <w:t xml:space="preserve"> nepakankamumo atveju kyla kaupimos</w:t>
      </w:r>
      <w:r w:rsidRPr="00B2511A">
        <w:rPr>
          <w:szCs w:val="24"/>
          <w:lang w:val="lt-LT"/>
        </w:rPr>
        <w:t>i</w:t>
      </w:r>
      <w:r w:rsidR="006B0232" w:rsidRPr="00B2511A">
        <w:rPr>
          <w:szCs w:val="24"/>
          <w:lang w:val="lt-LT"/>
        </w:rPr>
        <w:t xml:space="preserve"> rizika, todėl traneksamo rūgšt</w:t>
      </w:r>
      <w:r w:rsidRPr="00B2511A">
        <w:rPr>
          <w:szCs w:val="24"/>
          <w:lang w:val="lt-LT"/>
        </w:rPr>
        <w:t>i</w:t>
      </w:r>
      <w:r w:rsidR="006B0232" w:rsidRPr="00B2511A">
        <w:rPr>
          <w:szCs w:val="24"/>
          <w:lang w:val="lt-LT"/>
        </w:rPr>
        <w:t>es negalima vartoti pacientams, kuriems yra sunkus inkstų funkcijos sutrikimas (žr. 4.3</w:t>
      </w:r>
      <w:r w:rsidR="00B9154F" w:rsidRPr="00B2511A">
        <w:rPr>
          <w:szCs w:val="24"/>
          <w:lang w:val="lt-LT"/>
        </w:rPr>
        <w:t> </w:t>
      </w:r>
      <w:r w:rsidR="006B0232" w:rsidRPr="00B2511A">
        <w:rPr>
          <w:szCs w:val="24"/>
          <w:lang w:val="lt-LT"/>
        </w:rPr>
        <w:t xml:space="preserve">skyrių). Pacientams, kuriems yra lengvas arba vidutinio sunkumo </w:t>
      </w:r>
      <w:r w:rsidR="00904861">
        <w:rPr>
          <w:szCs w:val="24"/>
          <w:lang w:val="lt-LT"/>
        </w:rPr>
        <w:t xml:space="preserve">inkstų </w:t>
      </w:r>
      <w:r w:rsidR="006B0232" w:rsidRPr="00B2511A">
        <w:rPr>
          <w:szCs w:val="24"/>
          <w:lang w:val="lt-LT"/>
        </w:rPr>
        <w:t xml:space="preserve">funkcijos sutrikimas, traneksamo rūgšties dozę reikia mažinti atsižvelgiant </w:t>
      </w:r>
      <w:r w:rsidRPr="00B2511A">
        <w:rPr>
          <w:szCs w:val="24"/>
          <w:lang w:val="lt-LT"/>
        </w:rPr>
        <w:t>į</w:t>
      </w:r>
      <w:r w:rsidR="006B0232" w:rsidRPr="00B2511A">
        <w:rPr>
          <w:szCs w:val="24"/>
          <w:lang w:val="lt-LT"/>
        </w:rPr>
        <w:t xml:space="preserve"> kreatinino koncentraciją serume.</w:t>
      </w:r>
    </w:p>
    <w:p w14:paraId="45AEA495" w14:textId="77777777" w:rsidR="006B0232" w:rsidRPr="00B2511A" w:rsidRDefault="006B0232" w:rsidP="00C25270">
      <w:pPr>
        <w:spacing w:line="240" w:lineRule="auto"/>
        <w:rPr>
          <w:szCs w:val="24"/>
          <w:lang w:val="lt-LT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124"/>
        <w:gridCol w:w="2124"/>
        <w:gridCol w:w="2124"/>
      </w:tblGrid>
      <w:tr w:rsidR="00F10FAF" w:rsidRPr="00B2511A" w14:paraId="384358E0" w14:textId="77777777" w:rsidTr="00132D52">
        <w:tc>
          <w:tcPr>
            <w:tcW w:w="4248" w:type="dxa"/>
            <w:gridSpan w:val="2"/>
          </w:tcPr>
          <w:p w14:paraId="57ECBD52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Kreatinino koncentracija serume</w:t>
            </w:r>
          </w:p>
        </w:tc>
        <w:tc>
          <w:tcPr>
            <w:tcW w:w="2124" w:type="dxa"/>
          </w:tcPr>
          <w:p w14:paraId="3027E0C9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jc w:val="both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Dozė i.v.</w:t>
            </w:r>
          </w:p>
        </w:tc>
        <w:tc>
          <w:tcPr>
            <w:tcW w:w="2124" w:type="dxa"/>
          </w:tcPr>
          <w:p w14:paraId="04E74B60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jc w:val="both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Vartojimas</w:t>
            </w:r>
          </w:p>
        </w:tc>
      </w:tr>
      <w:tr w:rsidR="00F10FAF" w:rsidRPr="00B2511A" w14:paraId="0E5259EE" w14:textId="77777777" w:rsidTr="00132D52">
        <w:tc>
          <w:tcPr>
            <w:tcW w:w="2124" w:type="dxa"/>
          </w:tcPr>
          <w:p w14:paraId="0AB5494B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jc w:val="both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µmol/l</w:t>
            </w:r>
          </w:p>
        </w:tc>
        <w:tc>
          <w:tcPr>
            <w:tcW w:w="2124" w:type="dxa"/>
          </w:tcPr>
          <w:p w14:paraId="67C97366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jc w:val="both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mg/10</w:t>
            </w:r>
            <w:r w:rsidR="00BA69D2">
              <w:rPr>
                <w:snapToGrid/>
                <w:szCs w:val="22"/>
                <w:lang w:val="lt-LT" w:eastAsia="en-GB"/>
              </w:rPr>
              <w:t> ml</w:t>
            </w:r>
          </w:p>
        </w:tc>
        <w:tc>
          <w:tcPr>
            <w:tcW w:w="2124" w:type="dxa"/>
          </w:tcPr>
          <w:p w14:paraId="365CEFE4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jc w:val="both"/>
              <w:rPr>
                <w:snapToGrid/>
                <w:szCs w:val="22"/>
                <w:lang w:val="lt-LT"/>
              </w:rPr>
            </w:pPr>
          </w:p>
        </w:tc>
        <w:tc>
          <w:tcPr>
            <w:tcW w:w="2124" w:type="dxa"/>
          </w:tcPr>
          <w:p w14:paraId="266BBD85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jc w:val="both"/>
              <w:rPr>
                <w:snapToGrid/>
                <w:szCs w:val="22"/>
                <w:lang w:val="lt-LT"/>
              </w:rPr>
            </w:pPr>
          </w:p>
        </w:tc>
      </w:tr>
      <w:tr w:rsidR="00F10FAF" w:rsidRPr="00B2511A" w14:paraId="1023120B" w14:textId="77777777" w:rsidTr="00132D52">
        <w:tc>
          <w:tcPr>
            <w:tcW w:w="2124" w:type="dxa"/>
          </w:tcPr>
          <w:p w14:paraId="0850C54C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jc w:val="both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120</w:t>
            </w:r>
            <w:r w:rsidRPr="00B2511A">
              <w:rPr>
                <w:snapToGrid/>
                <w:szCs w:val="22"/>
                <w:lang w:val="lt-LT" w:eastAsia="en-GB"/>
              </w:rPr>
              <w:noBreakHyphen/>
              <w:t>249</w:t>
            </w:r>
          </w:p>
        </w:tc>
        <w:tc>
          <w:tcPr>
            <w:tcW w:w="2124" w:type="dxa"/>
          </w:tcPr>
          <w:p w14:paraId="1DADB32D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jc w:val="both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1,35</w:t>
            </w:r>
            <w:r w:rsidRPr="00B2511A">
              <w:rPr>
                <w:snapToGrid/>
                <w:szCs w:val="22"/>
                <w:lang w:val="lt-LT" w:eastAsia="en-GB"/>
              </w:rPr>
              <w:noBreakHyphen/>
              <w:t>2,82</w:t>
            </w:r>
          </w:p>
        </w:tc>
        <w:tc>
          <w:tcPr>
            <w:tcW w:w="2124" w:type="dxa"/>
          </w:tcPr>
          <w:p w14:paraId="2BBF9286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10</w:t>
            </w:r>
            <w:r w:rsidR="00BA69D2">
              <w:rPr>
                <w:snapToGrid/>
                <w:szCs w:val="22"/>
                <w:lang w:val="lt-LT" w:eastAsia="en-GB"/>
              </w:rPr>
              <w:t> mg</w:t>
            </w:r>
            <w:r w:rsidRPr="00B2511A">
              <w:rPr>
                <w:snapToGrid/>
                <w:szCs w:val="22"/>
                <w:lang w:val="lt-LT" w:eastAsia="en-GB"/>
              </w:rPr>
              <w:t>/kg kūno masės</w:t>
            </w:r>
          </w:p>
        </w:tc>
        <w:tc>
          <w:tcPr>
            <w:tcW w:w="2124" w:type="dxa"/>
          </w:tcPr>
          <w:p w14:paraId="6F64FBF6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Kas 12 valandų</w:t>
            </w:r>
          </w:p>
        </w:tc>
      </w:tr>
      <w:tr w:rsidR="00F10FAF" w:rsidRPr="00B2511A" w14:paraId="4D6EE457" w14:textId="77777777" w:rsidTr="00132D52">
        <w:tc>
          <w:tcPr>
            <w:tcW w:w="2124" w:type="dxa"/>
          </w:tcPr>
          <w:p w14:paraId="2C77E546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jc w:val="both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250</w:t>
            </w:r>
            <w:r w:rsidRPr="00B2511A">
              <w:rPr>
                <w:snapToGrid/>
                <w:szCs w:val="22"/>
                <w:lang w:val="lt-LT" w:eastAsia="en-GB"/>
              </w:rPr>
              <w:noBreakHyphen/>
              <w:t>500</w:t>
            </w:r>
          </w:p>
        </w:tc>
        <w:tc>
          <w:tcPr>
            <w:tcW w:w="2124" w:type="dxa"/>
          </w:tcPr>
          <w:p w14:paraId="0EA36787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jc w:val="both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2,82</w:t>
            </w:r>
            <w:r w:rsidRPr="00B2511A">
              <w:rPr>
                <w:snapToGrid/>
                <w:szCs w:val="22"/>
                <w:lang w:val="lt-LT" w:eastAsia="en-GB"/>
              </w:rPr>
              <w:noBreakHyphen/>
              <w:t>5,65</w:t>
            </w:r>
          </w:p>
        </w:tc>
        <w:tc>
          <w:tcPr>
            <w:tcW w:w="2124" w:type="dxa"/>
          </w:tcPr>
          <w:p w14:paraId="2DC76941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10</w:t>
            </w:r>
            <w:r w:rsidR="00BA69D2">
              <w:rPr>
                <w:snapToGrid/>
                <w:szCs w:val="22"/>
                <w:lang w:val="lt-LT" w:eastAsia="en-GB"/>
              </w:rPr>
              <w:t> mg</w:t>
            </w:r>
            <w:r w:rsidRPr="00B2511A">
              <w:rPr>
                <w:snapToGrid/>
                <w:szCs w:val="22"/>
                <w:lang w:val="lt-LT" w:eastAsia="en-GB"/>
              </w:rPr>
              <w:t>/kg kūno masės</w:t>
            </w:r>
          </w:p>
        </w:tc>
        <w:tc>
          <w:tcPr>
            <w:tcW w:w="2124" w:type="dxa"/>
          </w:tcPr>
          <w:p w14:paraId="561DB9D4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Kas 24 valandas</w:t>
            </w:r>
          </w:p>
        </w:tc>
      </w:tr>
      <w:tr w:rsidR="00F10FAF" w:rsidRPr="00B2511A" w14:paraId="42466A2B" w14:textId="77777777" w:rsidTr="00132D52">
        <w:tc>
          <w:tcPr>
            <w:tcW w:w="2124" w:type="dxa"/>
          </w:tcPr>
          <w:p w14:paraId="323AADC8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jc w:val="both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&gt; 500</w:t>
            </w:r>
          </w:p>
        </w:tc>
        <w:tc>
          <w:tcPr>
            <w:tcW w:w="2124" w:type="dxa"/>
          </w:tcPr>
          <w:p w14:paraId="102992C6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jc w:val="both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&gt; 5,65</w:t>
            </w:r>
          </w:p>
        </w:tc>
        <w:tc>
          <w:tcPr>
            <w:tcW w:w="2124" w:type="dxa"/>
          </w:tcPr>
          <w:p w14:paraId="25F0637D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5</w:t>
            </w:r>
            <w:r w:rsidR="00BA69D2">
              <w:rPr>
                <w:snapToGrid/>
                <w:szCs w:val="22"/>
                <w:lang w:val="lt-LT" w:eastAsia="en-GB"/>
              </w:rPr>
              <w:t> mg</w:t>
            </w:r>
            <w:r w:rsidRPr="00B2511A">
              <w:rPr>
                <w:snapToGrid/>
                <w:szCs w:val="22"/>
                <w:lang w:val="lt-LT" w:eastAsia="en-GB"/>
              </w:rPr>
              <w:t>/kg kūno masės</w:t>
            </w:r>
          </w:p>
        </w:tc>
        <w:tc>
          <w:tcPr>
            <w:tcW w:w="2124" w:type="dxa"/>
          </w:tcPr>
          <w:p w14:paraId="122576AC" w14:textId="77777777" w:rsidR="00F10FAF" w:rsidRPr="00B2511A" w:rsidRDefault="00F10FAF" w:rsidP="00C25270">
            <w:pPr>
              <w:tabs>
                <w:tab w:val="clear" w:pos="567"/>
                <w:tab w:val="left" w:pos="360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Kas 24 valandas</w:t>
            </w:r>
          </w:p>
        </w:tc>
      </w:tr>
    </w:tbl>
    <w:p w14:paraId="2263CA9D" w14:textId="77777777" w:rsidR="006B0232" w:rsidRPr="00B2511A" w:rsidRDefault="006B0232" w:rsidP="00C25270">
      <w:pPr>
        <w:spacing w:line="240" w:lineRule="auto"/>
        <w:rPr>
          <w:szCs w:val="24"/>
          <w:lang w:val="lt-LT"/>
        </w:rPr>
      </w:pPr>
    </w:p>
    <w:p w14:paraId="6960BE74" w14:textId="0E79463E" w:rsidR="006B0232" w:rsidRPr="00B2511A" w:rsidRDefault="00AB6CFF" w:rsidP="00C25270">
      <w:pPr>
        <w:spacing w:line="240" w:lineRule="auto"/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>Pacientams, kurių kepenų funkcija sutrikusi</w:t>
      </w:r>
      <w:r w:rsidR="006B0232" w:rsidRPr="00B2511A">
        <w:rPr>
          <w:i/>
          <w:iCs/>
          <w:szCs w:val="24"/>
          <w:lang w:val="lt-LT"/>
        </w:rPr>
        <w:t>s</w:t>
      </w:r>
    </w:p>
    <w:p w14:paraId="3F7744AD" w14:textId="5D887776" w:rsidR="006B0232" w:rsidRPr="00B2511A" w:rsidRDefault="00F10FAF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Pacientams</w:t>
      </w:r>
      <w:r w:rsidR="006B0232" w:rsidRPr="00B2511A">
        <w:rPr>
          <w:szCs w:val="24"/>
          <w:lang w:val="lt-LT"/>
        </w:rPr>
        <w:t xml:space="preserve">, </w:t>
      </w:r>
      <w:r w:rsidRPr="00B2511A">
        <w:rPr>
          <w:szCs w:val="24"/>
          <w:lang w:val="lt-LT"/>
        </w:rPr>
        <w:t>kuriems</w:t>
      </w:r>
      <w:r w:rsidR="006B0232" w:rsidRPr="00B2511A">
        <w:rPr>
          <w:szCs w:val="24"/>
          <w:lang w:val="lt-LT"/>
        </w:rPr>
        <w:t xml:space="preserve"> yra kepenų funkcijos sutrikimas, dozės keisti</w:t>
      </w:r>
      <w:r w:rsidR="0072337F">
        <w:rPr>
          <w:szCs w:val="24"/>
          <w:lang w:val="lt-LT"/>
        </w:rPr>
        <w:t xml:space="preserve"> nereikia</w:t>
      </w:r>
      <w:r w:rsidR="006B0232" w:rsidRPr="00B2511A">
        <w:rPr>
          <w:szCs w:val="24"/>
          <w:lang w:val="lt-LT"/>
        </w:rPr>
        <w:t>.</w:t>
      </w:r>
    </w:p>
    <w:p w14:paraId="5D928733" w14:textId="77777777" w:rsidR="00F10FAF" w:rsidRPr="00B2511A" w:rsidRDefault="00F10FAF" w:rsidP="00C25270">
      <w:pPr>
        <w:spacing w:line="240" w:lineRule="auto"/>
        <w:rPr>
          <w:szCs w:val="24"/>
          <w:lang w:val="lt-LT"/>
        </w:rPr>
      </w:pPr>
    </w:p>
    <w:p w14:paraId="59598E03" w14:textId="77777777" w:rsidR="006B0232" w:rsidRPr="00B2511A" w:rsidRDefault="006B0232" w:rsidP="00C25270">
      <w:pPr>
        <w:spacing w:line="240" w:lineRule="auto"/>
        <w:rPr>
          <w:i/>
          <w:iCs/>
          <w:szCs w:val="24"/>
          <w:lang w:val="lt-LT"/>
        </w:rPr>
      </w:pPr>
      <w:r w:rsidRPr="00B2511A">
        <w:rPr>
          <w:i/>
          <w:iCs/>
          <w:szCs w:val="24"/>
          <w:lang w:val="lt-LT"/>
        </w:rPr>
        <w:t>Vaikų populiac</w:t>
      </w:r>
      <w:r w:rsidR="00F10FAF" w:rsidRPr="00B2511A">
        <w:rPr>
          <w:i/>
          <w:iCs/>
          <w:szCs w:val="24"/>
          <w:lang w:val="lt-LT"/>
        </w:rPr>
        <w:t>i</w:t>
      </w:r>
      <w:r w:rsidRPr="00B2511A">
        <w:rPr>
          <w:i/>
          <w:iCs/>
          <w:szCs w:val="24"/>
          <w:lang w:val="lt-LT"/>
        </w:rPr>
        <w:t>ja</w:t>
      </w:r>
    </w:p>
    <w:p w14:paraId="5BA9E4CD" w14:textId="5649323A" w:rsidR="006B0232" w:rsidRPr="00B2511A" w:rsidRDefault="006B0232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1</w:t>
      </w:r>
      <w:r w:rsidR="00F10FAF" w:rsidRPr="00B2511A">
        <w:rPr>
          <w:szCs w:val="24"/>
          <w:lang w:val="lt-LT"/>
        </w:rPr>
        <w:t> </w:t>
      </w:r>
      <w:r w:rsidRPr="00B2511A">
        <w:rPr>
          <w:szCs w:val="24"/>
          <w:lang w:val="lt-LT"/>
        </w:rPr>
        <w:t xml:space="preserve">metų ir </w:t>
      </w:r>
      <w:r w:rsidR="00B9154F" w:rsidRPr="00B2511A">
        <w:rPr>
          <w:szCs w:val="24"/>
          <w:lang w:val="lt-LT"/>
        </w:rPr>
        <w:t xml:space="preserve">vyresniems </w:t>
      </w:r>
      <w:r w:rsidRPr="00B2511A">
        <w:rPr>
          <w:szCs w:val="24"/>
          <w:lang w:val="lt-LT"/>
        </w:rPr>
        <w:t>vaikams pagal šiuo metu patvirtintas indikacijas, nurodytas 4.1</w:t>
      </w:r>
      <w:r w:rsidR="00F10FAF" w:rsidRPr="00B2511A">
        <w:rPr>
          <w:szCs w:val="24"/>
          <w:lang w:val="lt-LT"/>
        </w:rPr>
        <w:t> </w:t>
      </w:r>
      <w:r w:rsidRPr="00B2511A">
        <w:rPr>
          <w:szCs w:val="24"/>
          <w:lang w:val="lt-LT"/>
        </w:rPr>
        <w:t>skyriuje,</w:t>
      </w:r>
      <w:r w:rsidR="00904861">
        <w:rPr>
          <w:szCs w:val="24"/>
          <w:lang w:val="lt-LT"/>
        </w:rPr>
        <w:t xml:space="preserve"> paros dozė yra </w:t>
      </w:r>
      <w:r w:rsidRPr="00B2511A">
        <w:rPr>
          <w:szCs w:val="24"/>
          <w:lang w:val="lt-LT"/>
        </w:rPr>
        <w:t xml:space="preserve"> maždaug 20</w:t>
      </w:r>
      <w:r w:rsidR="00BA69D2"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>/kg kūno masės. Vis dėlto vartojimo pagal šias indikacijas veiksmingumo, dozavimo ir saugumo duomen</w:t>
      </w:r>
      <w:r w:rsidR="00904861">
        <w:rPr>
          <w:szCs w:val="24"/>
          <w:lang w:val="lt-LT"/>
        </w:rPr>
        <w:t>ų</w:t>
      </w:r>
      <w:r w:rsidRPr="00B2511A">
        <w:rPr>
          <w:szCs w:val="24"/>
          <w:lang w:val="lt-LT"/>
        </w:rPr>
        <w:t xml:space="preserve"> </w:t>
      </w:r>
      <w:r w:rsidR="00904861">
        <w:rPr>
          <w:szCs w:val="24"/>
          <w:lang w:val="lt-LT"/>
        </w:rPr>
        <w:t>nepakanka</w:t>
      </w:r>
      <w:r w:rsidRPr="00B2511A">
        <w:rPr>
          <w:szCs w:val="24"/>
          <w:lang w:val="lt-LT"/>
        </w:rPr>
        <w:t>.</w:t>
      </w:r>
    </w:p>
    <w:p w14:paraId="1FBB72E7" w14:textId="5118CD8F" w:rsidR="006B0232" w:rsidRPr="00B2511A" w:rsidRDefault="006B0232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Traneksamo </w:t>
      </w:r>
      <w:r w:rsidR="00F10FAF" w:rsidRPr="00B2511A">
        <w:rPr>
          <w:szCs w:val="24"/>
          <w:lang w:val="lt-LT"/>
        </w:rPr>
        <w:t>rūgšties</w:t>
      </w:r>
      <w:r w:rsidRPr="00B2511A">
        <w:rPr>
          <w:szCs w:val="24"/>
          <w:lang w:val="lt-LT"/>
        </w:rPr>
        <w:t xml:space="preserve"> </w:t>
      </w:r>
      <w:r w:rsidR="00F10FAF" w:rsidRPr="00B2511A">
        <w:rPr>
          <w:szCs w:val="24"/>
          <w:lang w:val="lt-LT"/>
        </w:rPr>
        <w:t>veiksmingumas</w:t>
      </w:r>
      <w:r w:rsidRPr="00B2511A">
        <w:rPr>
          <w:szCs w:val="24"/>
          <w:lang w:val="lt-LT"/>
        </w:rPr>
        <w:t xml:space="preserve">, dozavimas ir saugumas vaikams, kuriems atliekama širdies operacija, </w:t>
      </w:r>
      <w:r w:rsidR="00F10FAF" w:rsidRPr="00B2511A">
        <w:rPr>
          <w:szCs w:val="24"/>
          <w:lang w:val="lt-LT"/>
        </w:rPr>
        <w:t>pilnai</w:t>
      </w:r>
      <w:r w:rsidRPr="00B2511A">
        <w:rPr>
          <w:szCs w:val="24"/>
          <w:lang w:val="lt-LT"/>
        </w:rPr>
        <w:t xml:space="preserve"> neištirti. </w:t>
      </w:r>
      <w:r w:rsidR="00F10FAF" w:rsidRPr="00B2511A">
        <w:rPr>
          <w:szCs w:val="24"/>
          <w:lang w:val="lt-LT"/>
        </w:rPr>
        <w:t>Šiuo</w:t>
      </w:r>
      <w:r w:rsidRPr="00B2511A">
        <w:rPr>
          <w:szCs w:val="24"/>
          <w:lang w:val="lt-LT"/>
        </w:rPr>
        <w:t xml:space="preserve"> metu turimi duomenys yra </w:t>
      </w:r>
      <w:r w:rsidR="00904861">
        <w:rPr>
          <w:szCs w:val="24"/>
          <w:lang w:val="lt-LT"/>
        </w:rPr>
        <w:t>nepakankami</w:t>
      </w:r>
      <w:r w:rsidRPr="00B2511A">
        <w:rPr>
          <w:szCs w:val="24"/>
          <w:lang w:val="lt-LT"/>
        </w:rPr>
        <w:t xml:space="preserve"> ir pateikti 5.1</w:t>
      </w:r>
      <w:r w:rsidR="00F52753" w:rsidRPr="00B2511A">
        <w:rPr>
          <w:szCs w:val="24"/>
          <w:lang w:val="lt-LT"/>
        </w:rPr>
        <w:t> </w:t>
      </w:r>
      <w:r w:rsidRPr="00B2511A">
        <w:rPr>
          <w:szCs w:val="24"/>
          <w:lang w:val="lt-LT"/>
        </w:rPr>
        <w:t>skyriuje</w:t>
      </w:r>
      <w:r w:rsidR="00DE3B9B">
        <w:rPr>
          <w:szCs w:val="24"/>
          <w:lang w:val="lt-LT"/>
        </w:rPr>
        <w:t>.</w:t>
      </w:r>
    </w:p>
    <w:p w14:paraId="7533C701" w14:textId="77777777" w:rsidR="00F52753" w:rsidRPr="00B2511A" w:rsidRDefault="00F52753" w:rsidP="00C25270">
      <w:pPr>
        <w:spacing w:line="240" w:lineRule="auto"/>
        <w:rPr>
          <w:szCs w:val="24"/>
          <w:lang w:val="lt-LT"/>
        </w:rPr>
      </w:pPr>
    </w:p>
    <w:p w14:paraId="5E666F51" w14:textId="3F92D5C5" w:rsidR="006B0232" w:rsidRPr="00B2511A" w:rsidRDefault="006B0232" w:rsidP="00C25270">
      <w:pPr>
        <w:spacing w:line="240" w:lineRule="auto"/>
        <w:rPr>
          <w:i/>
          <w:iCs/>
          <w:szCs w:val="24"/>
          <w:lang w:val="lt-LT"/>
        </w:rPr>
      </w:pPr>
      <w:r w:rsidRPr="00B2511A">
        <w:rPr>
          <w:i/>
          <w:iCs/>
          <w:szCs w:val="24"/>
          <w:lang w:val="lt-LT"/>
        </w:rPr>
        <w:t>Senyvi</w:t>
      </w:r>
      <w:r w:rsidR="00AB6CFF">
        <w:rPr>
          <w:i/>
          <w:iCs/>
          <w:szCs w:val="24"/>
          <w:lang w:val="lt-LT"/>
        </w:rPr>
        <w:t>ems</w:t>
      </w:r>
      <w:r w:rsidRPr="00B2511A">
        <w:rPr>
          <w:i/>
          <w:iCs/>
          <w:szCs w:val="24"/>
          <w:lang w:val="lt-LT"/>
        </w:rPr>
        <w:t xml:space="preserve"> pacienta</w:t>
      </w:r>
      <w:r w:rsidR="00AB6CFF">
        <w:rPr>
          <w:i/>
          <w:iCs/>
          <w:szCs w:val="24"/>
          <w:lang w:val="lt-LT"/>
        </w:rPr>
        <w:t>ms</w:t>
      </w:r>
    </w:p>
    <w:p w14:paraId="1AC95D4E" w14:textId="7F1FB2D7" w:rsidR="006B0232" w:rsidRPr="00B2511A" w:rsidRDefault="006B0232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Doz</w:t>
      </w:r>
      <w:r w:rsidR="0082432B">
        <w:rPr>
          <w:szCs w:val="24"/>
          <w:lang w:val="lt-LT"/>
        </w:rPr>
        <w:t>ė</w:t>
      </w:r>
      <w:r w:rsidRPr="00B2511A">
        <w:rPr>
          <w:szCs w:val="24"/>
          <w:lang w:val="lt-LT"/>
        </w:rPr>
        <w:t xml:space="preserve">s mažinti </w:t>
      </w:r>
      <w:r w:rsidR="00904861">
        <w:rPr>
          <w:szCs w:val="24"/>
          <w:lang w:val="lt-LT"/>
        </w:rPr>
        <w:t>nereikia</w:t>
      </w:r>
      <w:r w:rsidRPr="00B2511A">
        <w:rPr>
          <w:szCs w:val="24"/>
          <w:lang w:val="lt-LT"/>
        </w:rPr>
        <w:t>, išskyrus atvejus, kai yra inkstų funkcijos nepakankamumas.</w:t>
      </w:r>
    </w:p>
    <w:p w14:paraId="3A0D3BDF" w14:textId="77777777" w:rsidR="00F52753" w:rsidRPr="00B2511A" w:rsidRDefault="00F52753" w:rsidP="00C25270">
      <w:pPr>
        <w:spacing w:line="240" w:lineRule="auto"/>
        <w:rPr>
          <w:szCs w:val="24"/>
          <w:lang w:val="lt-LT"/>
        </w:rPr>
      </w:pPr>
    </w:p>
    <w:p w14:paraId="28BEBF3E" w14:textId="77777777" w:rsidR="006B0232" w:rsidRPr="00B2511A" w:rsidRDefault="00F52753" w:rsidP="00C25270">
      <w:pPr>
        <w:spacing w:line="240" w:lineRule="auto"/>
        <w:rPr>
          <w:szCs w:val="24"/>
          <w:u w:val="single"/>
          <w:lang w:val="lt-LT"/>
        </w:rPr>
      </w:pPr>
      <w:r w:rsidRPr="00B2511A">
        <w:rPr>
          <w:szCs w:val="24"/>
          <w:u w:val="single"/>
          <w:lang w:val="lt-LT"/>
        </w:rPr>
        <w:t>Vartojimo</w:t>
      </w:r>
      <w:r w:rsidR="006B0232" w:rsidRPr="00B2511A">
        <w:rPr>
          <w:szCs w:val="24"/>
          <w:u w:val="single"/>
          <w:lang w:val="lt-LT"/>
        </w:rPr>
        <w:t xml:space="preserve"> metodas</w:t>
      </w:r>
    </w:p>
    <w:p w14:paraId="38BB7036" w14:textId="77777777" w:rsidR="006B0232" w:rsidRPr="00B2511A" w:rsidRDefault="006B0232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Vartojimas yra griežtai ribojamas: galima tik lėtai suleisti </w:t>
      </w:r>
      <w:r w:rsidR="00B9154F" w:rsidRPr="00B2511A">
        <w:rPr>
          <w:szCs w:val="24"/>
          <w:lang w:val="lt-LT"/>
        </w:rPr>
        <w:t>ar infuzuoti</w:t>
      </w:r>
      <w:r w:rsidR="00904861">
        <w:rPr>
          <w:szCs w:val="24"/>
          <w:lang w:val="lt-LT"/>
        </w:rPr>
        <w:t xml:space="preserve"> (lašinti)</w:t>
      </w:r>
      <w:r w:rsidR="00B9154F" w:rsidRPr="00B2511A">
        <w:rPr>
          <w:szCs w:val="24"/>
          <w:lang w:val="lt-LT"/>
        </w:rPr>
        <w:t xml:space="preserve"> </w:t>
      </w:r>
      <w:r w:rsidR="0082432B">
        <w:rPr>
          <w:szCs w:val="24"/>
          <w:lang w:val="lt-LT"/>
        </w:rPr>
        <w:t xml:space="preserve">į </w:t>
      </w:r>
      <w:r w:rsidRPr="00B2511A">
        <w:rPr>
          <w:szCs w:val="24"/>
          <w:lang w:val="lt-LT"/>
        </w:rPr>
        <w:t>veną</w:t>
      </w:r>
      <w:r w:rsidR="00B9154F" w:rsidRPr="00B2511A">
        <w:rPr>
          <w:szCs w:val="24"/>
          <w:lang w:val="lt-LT"/>
        </w:rPr>
        <w:t xml:space="preserve"> (žr. 6.6 skyrių) ne didesniu kaip 1</w:t>
      </w:r>
      <w:r w:rsidR="00BA69D2">
        <w:rPr>
          <w:szCs w:val="24"/>
          <w:lang w:val="lt-LT"/>
        </w:rPr>
        <w:t> ml</w:t>
      </w:r>
      <w:r w:rsidR="00B9154F" w:rsidRPr="00B2511A">
        <w:rPr>
          <w:szCs w:val="24"/>
          <w:lang w:val="lt-LT"/>
        </w:rPr>
        <w:t xml:space="preserve"> per minutę greičiu</w:t>
      </w:r>
      <w:r w:rsidRPr="00B2511A">
        <w:rPr>
          <w:szCs w:val="24"/>
          <w:lang w:val="lt-LT"/>
        </w:rPr>
        <w:t>.</w:t>
      </w:r>
    </w:p>
    <w:p w14:paraId="09CC946C" w14:textId="77777777" w:rsidR="006B0232" w:rsidRPr="00B2511A" w:rsidRDefault="006B0232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</w:p>
    <w:p w14:paraId="0866ADAF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4.3</w:t>
      </w:r>
      <w:r w:rsidRPr="00B2511A">
        <w:rPr>
          <w:b/>
          <w:snapToGrid/>
          <w:kern w:val="28"/>
          <w:szCs w:val="22"/>
          <w:lang w:val="lt-LT"/>
        </w:rPr>
        <w:tab/>
        <w:t>Kontraindikacijos</w:t>
      </w:r>
    </w:p>
    <w:p w14:paraId="6621B9C2" w14:textId="77777777" w:rsidR="00F34163" w:rsidRPr="00B2511A" w:rsidRDefault="00F34163" w:rsidP="00C25270">
      <w:pPr>
        <w:tabs>
          <w:tab w:val="clear" w:pos="567"/>
          <w:tab w:val="left" w:pos="3539"/>
        </w:tabs>
        <w:spacing w:line="240" w:lineRule="auto"/>
        <w:rPr>
          <w:szCs w:val="24"/>
          <w:lang w:val="lt-LT"/>
        </w:rPr>
      </w:pPr>
    </w:p>
    <w:p w14:paraId="36E0479B" w14:textId="77777777" w:rsidR="001A733B" w:rsidRPr="00B2511A" w:rsidRDefault="001A733B" w:rsidP="00C25270">
      <w:pPr>
        <w:numPr>
          <w:ilvl w:val="0"/>
          <w:numId w:val="15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>Padidėjęs jautrumas veikliajai arba bet kuriai 6.1 skyriuje nurodytai pagalbinei medžiagai.</w:t>
      </w:r>
    </w:p>
    <w:p w14:paraId="5527D003" w14:textId="77777777" w:rsidR="00B9154F" w:rsidRPr="00B2511A" w:rsidRDefault="00B9154F" w:rsidP="00C25270">
      <w:pPr>
        <w:numPr>
          <w:ilvl w:val="0"/>
          <w:numId w:val="15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>Ūminė venų arba arterijų trombozė (žr. 4.4 skyrių).</w:t>
      </w:r>
    </w:p>
    <w:p w14:paraId="7363E099" w14:textId="349E8865" w:rsidR="00B9154F" w:rsidRPr="00B2511A" w:rsidRDefault="00B9154F" w:rsidP="00C25270">
      <w:pPr>
        <w:numPr>
          <w:ilvl w:val="0"/>
          <w:numId w:val="15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rFonts w:ascii="Segoe UI Symbol" w:hAnsi="Segoe UI Symbol" w:cs="Segoe UI Symbol"/>
          <w:szCs w:val="24"/>
          <w:lang w:val="lt-LT"/>
        </w:rPr>
        <w:t>F</w:t>
      </w:r>
      <w:r w:rsidRPr="00B2511A">
        <w:rPr>
          <w:szCs w:val="24"/>
          <w:lang w:val="lt-LT"/>
        </w:rPr>
        <w:t>ibrinoli</w:t>
      </w:r>
      <w:r w:rsidR="00904861">
        <w:rPr>
          <w:szCs w:val="24"/>
          <w:lang w:val="lt-LT"/>
        </w:rPr>
        <w:t>tinės</w:t>
      </w:r>
      <w:r w:rsidRPr="00B2511A">
        <w:rPr>
          <w:szCs w:val="24"/>
          <w:lang w:val="lt-LT"/>
        </w:rPr>
        <w:t xml:space="preserve"> būklės </w:t>
      </w:r>
      <w:r w:rsidRPr="007634A4">
        <w:rPr>
          <w:szCs w:val="24"/>
          <w:lang w:val="lt-LT"/>
        </w:rPr>
        <w:t xml:space="preserve">po suvartojimo koagulopatijos </w:t>
      </w:r>
      <w:r w:rsidRPr="00B2511A">
        <w:rPr>
          <w:szCs w:val="24"/>
          <w:lang w:val="lt-LT"/>
        </w:rPr>
        <w:t>, išskyrus atvejus, kai vyrauja fibrinoliz</w:t>
      </w:r>
      <w:r w:rsidR="00BD17BA">
        <w:rPr>
          <w:szCs w:val="24"/>
          <w:lang w:val="lt-LT"/>
        </w:rPr>
        <w:t>ė</w:t>
      </w:r>
      <w:r w:rsidRPr="00B2511A">
        <w:rPr>
          <w:szCs w:val="24"/>
          <w:lang w:val="lt-LT"/>
        </w:rPr>
        <w:t>s sistemos aktyvinimas dėl sunkaus ūminio kraujavimo (žr. 4.4 skyrių).</w:t>
      </w:r>
    </w:p>
    <w:p w14:paraId="59AC41CB" w14:textId="77777777" w:rsidR="00B9154F" w:rsidRPr="00B2511A" w:rsidRDefault="00B9154F" w:rsidP="00C25270">
      <w:pPr>
        <w:numPr>
          <w:ilvl w:val="0"/>
          <w:numId w:val="15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>Sunkus inkstų funkcijos sutrikimas (kaupimosi rizika).</w:t>
      </w:r>
    </w:p>
    <w:p w14:paraId="4064FE75" w14:textId="77777777" w:rsidR="00B9154F" w:rsidRPr="00B2511A" w:rsidRDefault="00B9154F" w:rsidP="00C25270">
      <w:pPr>
        <w:numPr>
          <w:ilvl w:val="0"/>
          <w:numId w:val="15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>Anksčiau buvę traukuliai.</w:t>
      </w:r>
    </w:p>
    <w:p w14:paraId="7D82B60D" w14:textId="40E368E0" w:rsidR="00F34163" w:rsidRPr="00B2511A" w:rsidRDefault="00B9154F" w:rsidP="00C25270">
      <w:pPr>
        <w:numPr>
          <w:ilvl w:val="0"/>
          <w:numId w:val="15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Vartojimas </w:t>
      </w:r>
      <w:r w:rsidR="00904861">
        <w:rPr>
          <w:szCs w:val="24"/>
          <w:lang w:val="lt-LT"/>
        </w:rPr>
        <w:t>į povoratinklinę ertmę</w:t>
      </w:r>
      <w:r w:rsidRPr="00B2511A">
        <w:rPr>
          <w:szCs w:val="24"/>
          <w:lang w:val="lt-LT"/>
        </w:rPr>
        <w:t xml:space="preserve"> arba į smegenų skilvelius, vartojimas į galvos smegenis (smegenų edemos ir traukulių rizika).</w:t>
      </w:r>
    </w:p>
    <w:p w14:paraId="1A8F11FA" w14:textId="77777777" w:rsidR="008F7DDD" w:rsidRPr="00B2511A" w:rsidRDefault="008F7DDD" w:rsidP="00C25270">
      <w:pPr>
        <w:spacing w:line="240" w:lineRule="auto"/>
        <w:rPr>
          <w:szCs w:val="24"/>
          <w:lang w:val="lt-LT"/>
        </w:rPr>
      </w:pPr>
    </w:p>
    <w:p w14:paraId="7DB16408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4.4</w:t>
      </w:r>
      <w:r w:rsidRPr="00B2511A">
        <w:rPr>
          <w:b/>
          <w:snapToGrid/>
          <w:kern w:val="28"/>
          <w:szCs w:val="22"/>
          <w:lang w:val="lt-LT"/>
        </w:rPr>
        <w:tab/>
        <w:t>Specialūs įspėjimai ir atsargumo priemonės</w:t>
      </w:r>
    </w:p>
    <w:p w14:paraId="19577A4C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BFB84F5" w14:textId="77777777" w:rsidR="00C13960" w:rsidRDefault="00235D2C" w:rsidP="00C1396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Reikia griežtai laikytis pirmiau nurodytų </w:t>
      </w:r>
      <w:r w:rsidR="00C25270" w:rsidRPr="00B2511A">
        <w:rPr>
          <w:szCs w:val="24"/>
          <w:lang w:val="lt-LT"/>
        </w:rPr>
        <w:t>indikacijų</w:t>
      </w:r>
      <w:r w:rsidRPr="00B2511A">
        <w:rPr>
          <w:szCs w:val="24"/>
          <w:lang w:val="lt-LT"/>
        </w:rPr>
        <w:t xml:space="preserve"> ir vartojimo metodo: </w:t>
      </w:r>
    </w:p>
    <w:p w14:paraId="0B28928F" w14:textId="77777777" w:rsidR="00235D2C" w:rsidRPr="00B2511A" w:rsidRDefault="00235D2C" w:rsidP="009770F6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injekcija </w:t>
      </w:r>
      <w:r w:rsidR="00C25270" w:rsidRPr="00B2511A">
        <w:rPr>
          <w:szCs w:val="24"/>
          <w:lang w:val="lt-LT"/>
        </w:rPr>
        <w:t xml:space="preserve">ar infuzija į </w:t>
      </w:r>
      <w:r w:rsidRPr="00B2511A">
        <w:rPr>
          <w:szCs w:val="24"/>
          <w:lang w:val="lt-LT"/>
        </w:rPr>
        <w:t>veną turi būti atliekama labai</w:t>
      </w:r>
      <w:r w:rsidR="00C25270" w:rsidRPr="00B2511A">
        <w:rPr>
          <w:szCs w:val="24"/>
          <w:lang w:val="lt-LT"/>
        </w:rPr>
        <w:t xml:space="preserve"> lėtai (ne greičiau kaip 1</w:t>
      </w:r>
      <w:r w:rsidR="00BA69D2">
        <w:rPr>
          <w:szCs w:val="24"/>
          <w:lang w:val="lt-LT"/>
        </w:rPr>
        <w:t> ml</w:t>
      </w:r>
      <w:r w:rsidR="00C25270" w:rsidRPr="00B2511A">
        <w:rPr>
          <w:szCs w:val="24"/>
          <w:lang w:val="lt-LT"/>
        </w:rPr>
        <w:t xml:space="preserve"> per minutę).</w:t>
      </w:r>
    </w:p>
    <w:p w14:paraId="2E8B2C7A" w14:textId="77777777" w:rsidR="00235D2C" w:rsidRPr="00B2511A" w:rsidRDefault="00C25270" w:rsidP="00C25270">
      <w:pPr>
        <w:numPr>
          <w:ilvl w:val="0"/>
          <w:numId w:val="15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>T</w:t>
      </w:r>
      <w:r w:rsidR="00235D2C" w:rsidRPr="00B2511A">
        <w:rPr>
          <w:szCs w:val="24"/>
          <w:lang w:val="lt-LT"/>
        </w:rPr>
        <w:t xml:space="preserve">raneksamo rūgšties </w:t>
      </w:r>
      <w:r w:rsidRPr="00B2511A">
        <w:rPr>
          <w:szCs w:val="24"/>
          <w:lang w:val="lt-LT"/>
        </w:rPr>
        <w:t>negalima</w:t>
      </w:r>
      <w:r w:rsidR="00235D2C" w:rsidRPr="00B2511A">
        <w:rPr>
          <w:szCs w:val="24"/>
          <w:lang w:val="lt-LT"/>
        </w:rPr>
        <w:t xml:space="preserve"> leisti į raumenis.</w:t>
      </w:r>
    </w:p>
    <w:p w14:paraId="2C360476" w14:textId="77777777" w:rsidR="00C25270" w:rsidRPr="00B2511A" w:rsidRDefault="00C25270" w:rsidP="00C25270">
      <w:pPr>
        <w:spacing w:line="240" w:lineRule="auto"/>
        <w:rPr>
          <w:lang w:val="lt-LT"/>
        </w:rPr>
      </w:pPr>
    </w:p>
    <w:p w14:paraId="2F55E8ED" w14:textId="77777777" w:rsidR="00235D2C" w:rsidRPr="00B2511A" w:rsidRDefault="00235D2C" w:rsidP="00C25270">
      <w:pPr>
        <w:spacing w:line="240" w:lineRule="auto"/>
        <w:rPr>
          <w:u w:val="single"/>
          <w:lang w:val="lt-LT"/>
        </w:rPr>
      </w:pPr>
      <w:r w:rsidRPr="00B2511A">
        <w:rPr>
          <w:u w:val="single"/>
          <w:lang w:val="lt-LT"/>
        </w:rPr>
        <w:t>Traukuliai</w:t>
      </w:r>
    </w:p>
    <w:p w14:paraId="0DD59F92" w14:textId="1F957961" w:rsidR="00235D2C" w:rsidRPr="00B2511A" w:rsidRDefault="00235D2C" w:rsidP="00C25270">
      <w:pPr>
        <w:spacing w:line="240" w:lineRule="auto"/>
        <w:rPr>
          <w:lang w:val="lt-LT"/>
        </w:rPr>
      </w:pPr>
      <w:r w:rsidRPr="00B2511A">
        <w:rPr>
          <w:lang w:val="lt-LT"/>
        </w:rPr>
        <w:t>Buvo pranešta apie traukuli</w:t>
      </w:r>
      <w:r w:rsidR="00A76F8D" w:rsidRPr="00B2511A">
        <w:rPr>
          <w:lang w:val="lt-LT"/>
        </w:rPr>
        <w:t>ų</w:t>
      </w:r>
      <w:r w:rsidRPr="00B2511A">
        <w:rPr>
          <w:lang w:val="lt-LT"/>
        </w:rPr>
        <w:t>, susijusių su gydymu traneksamo rūgštimi, atvejus. Va</w:t>
      </w:r>
      <w:r w:rsidR="00A76F8D" w:rsidRPr="00B2511A">
        <w:rPr>
          <w:lang w:val="lt-LT"/>
        </w:rPr>
        <w:t>inik</w:t>
      </w:r>
      <w:r w:rsidRPr="00B2511A">
        <w:rPr>
          <w:lang w:val="lt-LT"/>
        </w:rPr>
        <w:t>in</w:t>
      </w:r>
      <w:r w:rsidR="00C13960">
        <w:rPr>
          <w:lang w:val="lt-LT"/>
        </w:rPr>
        <w:t>ių</w:t>
      </w:r>
      <w:r w:rsidRPr="00B2511A">
        <w:rPr>
          <w:lang w:val="lt-LT"/>
        </w:rPr>
        <w:t xml:space="preserve"> arterij</w:t>
      </w:r>
      <w:r w:rsidR="00C13960">
        <w:rPr>
          <w:lang w:val="lt-LT"/>
        </w:rPr>
        <w:t>ių</w:t>
      </w:r>
      <w:r w:rsidRPr="00B2511A">
        <w:rPr>
          <w:lang w:val="lt-LT"/>
        </w:rPr>
        <w:t xml:space="preserve"> </w:t>
      </w:r>
      <w:r w:rsidR="00C13960">
        <w:rPr>
          <w:lang w:val="lt-LT"/>
        </w:rPr>
        <w:t>jungčių suformavimo</w:t>
      </w:r>
      <w:r w:rsidRPr="00B2511A">
        <w:rPr>
          <w:lang w:val="lt-LT"/>
        </w:rPr>
        <w:t xml:space="preserve"> (VA</w:t>
      </w:r>
      <w:r w:rsidR="00C13960">
        <w:rPr>
          <w:lang w:val="lt-LT"/>
        </w:rPr>
        <w:t>JO</w:t>
      </w:r>
      <w:r w:rsidRPr="00B2511A">
        <w:rPr>
          <w:lang w:val="lt-LT"/>
        </w:rPr>
        <w:t>) operacijų metu apie daugumą tokių atvejų buvo pranešta suleidus į veną (i.v.) dideles traneksamo rūgšties dozes. Vartojant mažesnes rekomenduojamas traneksamo rūgšties dozes, priepuoli</w:t>
      </w:r>
      <w:r w:rsidR="00A76F8D" w:rsidRPr="00B2511A">
        <w:rPr>
          <w:lang w:val="lt-LT"/>
        </w:rPr>
        <w:t>ų</w:t>
      </w:r>
      <w:r w:rsidRPr="00B2511A">
        <w:rPr>
          <w:lang w:val="lt-LT"/>
        </w:rPr>
        <w:t xml:space="preserve"> po operacijos dažnis buvo toks pat, kaip ir negydytiems pacientams.</w:t>
      </w:r>
    </w:p>
    <w:p w14:paraId="575764DA" w14:textId="77777777" w:rsidR="00A76F8D" w:rsidRPr="00B2511A" w:rsidRDefault="00A76F8D" w:rsidP="00C25270">
      <w:pPr>
        <w:spacing w:line="240" w:lineRule="auto"/>
        <w:rPr>
          <w:lang w:val="lt-LT"/>
        </w:rPr>
      </w:pPr>
    </w:p>
    <w:p w14:paraId="4EC4DD9B" w14:textId="77777777" w:rsidR="00235D2C" w:rsidRPr="00B2511A" w:rsidRDefault="00235D2C" w:rsidP="00C25270">
      <w:pPr>
        <w:spacing w:line="240" w:lineRule="auto"/>
        <w:rPr>
          <w:u w:val="single"/>
          <w:lang w:val="lt-LT"/>
        </w:rPr>
      </w:pPr>
      <w:r w:rsidRPr="00B2511A">
        <w:rPr>
          <w:u w:val="single"/>
          <w:lang w:val="lt-LT"/>
        </w:rPr>
        <w:t>Regėjimo sutrikimai</w:t>
      </w:r>
    </w:p>
    <w:p w14:paraId="7176580D" w14:textId="6B1C04EF" w:rsidR="00235D2C" w:rsidRPr="00B2511A" w:rsidRDefault="00235D2C" w:rsidP="00C25270">
      <w:pPr>
        <w:spacing w:line="240" w:lineRule="auto"/>
        <w:rPr>
          <w:lang w:val="lt-LT"/>
        </w:rPr>
      </w:pPr>
      <w:r w:rsidRPr="00B2511A">
        <w:rPr>
          <w:lang w:val="lt-LT"/>
        </w:rPr>
        <w:t xml:space="preserve">Reikia atkreipti </w:t>
      </w:r>
      <w:r w:rsidR="00C163EB" w:rsidRPr="00B2511A">
        <w:rPr>
          <w:lang w:val="lt-LT"/>
        </w:rPr>
        <w:t>dėmesį</w:t>
      </w:r>
      <w:r w:rsidRPr="00B2511A">
        <w:rPr>
          <w:lang w:val="lt-LT"/>
        </w:rPr>
        <w:t xml:space="preserve"> </w:t>
      </w:r>
      <w:r w:rsidR="0082432B">
        <w:rPr>
          <w:lang w:val="lt-LT"/>
        </w:rPr>
        <w:t xml:space="preserve">į </w:t>
      </w:r>
      <w:r w:rsidRPr="00B2511A">
        <w:rPr>
          <w:lang w:val="lt-LT"/>
        </w:rPr>
        <w:t xml:space="preserve">galimus regėjimo </w:t>
      </w:r>
      <w:r w:rsidR="00C163EB" w:rsidRPr="00B2511A">
        <w:rPr>
          <w:lang w:val="lt-LT"/>
        </w:rPr>
        <w:t>sutrikimus</w:t>
      </w:r>
      <w:r w:rsidRPr="00B2511A">
        <w:rPr>
          <w:lang w:val="lt-LT"/>
        </w:rPr>
        <w:t>, įskaitant matymo sutrikimą, miglotą matymą,</w:t>
      </w:r>
      <w:r w:rsidR="00C13960">
        <w:rPr>
          <w:lang w:val="lt-LT"/>
        </w:rPr>
        <w:t xml:space="preserve"> pablogėjusį</w:t>
      </w:r>
      <w:r w:rsidRPr="00B2511A">
        <w:rPr>
          <w:lang w:val="lt-LT"/>
        </w:rPr>
        <w:t xml:space="preserve"> </w:t>
      </w:r>
      <w:r w:rsidR="00C163EB" w:rsidRPr="00B2511A">
        <w:rPr>
          <w:lang w:val="lt-LT"/>
        </w:rPr>
        <w:t>spalvų</w:t>
      </w:r>
      <w:r w:rsidRPr="00B2511A">
        <w:rPr>
          <w:lang w:val="lt-LT"/>
        </w:rPr>
        <w:t xml:space="preserve"> matym</w:t>
      </w:r>
      <w:r w:rsidR="00C13960">
        <w:rPr>
          <w:lang w:val="lt-LT"/>
        </w:rPr>
        <w:t>ą</w:t>
      </w:r>
      <w:r w:rsidRPr="00B2511A">
        <w:rPr>
          <w:lang w:val="lt-LT"/>
        </w:rPr>
        <w:t xml:space="preserve"> , ir</w:t>
      </w:r>
      <w:r w:rsidR="00B64EEE">
        <w:rPr>
          <w:lang w:val="lt-LT"/>
        </w:rPr>
        <w:t>,</w:t>
      </w:r>
      <w:r w:rsidRPr="00B2511A">
        <w:rPr>
          <w:lang w:val="lt-LT"/>
        </w:rPr>
        <w:t xml:space="preserve"> </w:t>
      </w:r>
      <w:r w:rsidR="00C13960">
        <w:rPr>
          <w:lang w:val="lt-LT"/>
        </w:rPr>
        <w:t>prireikus</w:t>
      </w:r>
      <w:r w:rsidRPr="00B2511A">
        <w:rPr>
          <w:lang w:val="lt-LT"/>
        </w:rPr>
        <w:t xml:space="preserve">, gydymą reikia nutraukti. </w:t>
      </w:r>
      <w:r w:rsidR="00C163EB" w:rsidRPr="00B2511A">
        <w:rPr>
          <w:lang w:val="lt-LT"/>
        </w:rPr>
        <w:t>Ilgą</w:t>
      </w:r>
      <w:r w:rsidRPr="00B2511A">
        <w:rPr>
          <w:lang w:val="lt-LT"/>
        </w:rPr>
        <w:t xml:space="preserve"> laiką nepertraukiamai vartojant traneksamo rūgšties , būtina reguliari oftalmolog</w:t>
      </w:r>
      <w:r w:rsidR="00C13960">
        <w:rPr>
          <w:lang w:val="lt-LT"/>
        </w:rPr>
        <w:t>o</w:t>
      </w:r>
      <w:r w:rsidRPr="00B2511A">
        <w:rPr>
          <w:lang w:val="lt-LT"/>
        </w:rPr>
        <w:t xml:space="preserve"> </w:t>
      </w:r>
      <w:r w:rsidR="00C163EB" w:rsidRPr="00B2511A">
        <w:rPr>
          <w:lang w:val="lt-LT"/>
        </w:rPr>
        <w:t>patikra</w:t>
      </w:r>
      <w:r w:rsidRPr="00B2511A">
        <w:rPr>
          <w:lang w:val="lt-LT"/>
        </w:rPr>
        <w:t xml:space="preserve"> (akių</w:t>
      </w:r>
      <w:r w:rsidR="00C13960">
        <w:rPr>
          <w:lang w:val="lt-LT"/>
        </w:rPr>
        <w:t xml:space="preserve"> tikrinimas</w:t>
      </w:r>
      <w:r w:rsidRPr="00B2511A">
        <w:rPr>
          <w:lang w:val="lt-LT"/>
        </w:rPr>
        <w:t xml:space="preserve">, įskaitant regėjimo aštrumo, </w:t>
      </w:r>
      <w:r w:rsidR="00C163EB" w:rsidRPr="00B2511A">
        <w:rPr>
          <w:lang w:val="lt-LT"/>
        </w:rPr>
        <w:t>spalvų</w:t>
      </w:r>
      <w:r w:rsidRPr="00B2511A">
        <w:rPr>
          <w:lang w:val="lt-LT"/>
        </w:rPr>
        <w:t xml:space="preserve"> matymo, akių dugno, regėjimo lauko ir k</w:t>
      </w:r>
      <w:r w:rsidR="00C13960">
        <w:rPr>
          <w:lang w:val="lt-LT"/>
        </w:rPr>
        <w:t>i</w:t>
      </w:r>
      <w:r w:rsidRPr="00B2511A">
        <w:rPr>
          <w:lang w:val="lt-LT"/>
        </w:rPr>
        <w:t>t</w:t>
      </w:r>
      <w:r w:rsidR="00C13960">
        <w:rPr>
          <w:lang w:val="lt-LT"/>
        </w:rPr>
        <w:t>us</w:t>
      </w:r>
      <w:r w:rsidRPr="00B2511A">
        <w:rPr>
          <w:lang w:val="lt-LT"/>
        </w:rPr>
        <w:t xml:space="preserve"> tyrim</w:t>
      </w:r>
      <w:r w:rsidR="00C13960">
        <w:rPr>
          <w:lang w:val="lt-LT"/>
        </w:rPr>
        <w:t>us</w:t>
      </w:r>
      <w:r w:rsidRPr="00B2511A">
        <w:rPr>
          <w:lang w:val="lt-LT"/>
        </w:rPr>
        <w:t xml:space="preserve">). Radus patologinių akių pokyčių, ypač tinklainės ligos atveju po konsultacijos su specialistu gydytojas turi nuspręsti, ar būtinas </w:t>
      </w:r>
      <w:r w:rsidR="00C163EB" w:rsidRPr="00B2511A">
        <w:rPr>
          <w:lang w:val="lt-LT"/>
        </w:rPr>
        <w:t>ilgalaikis</w:t>
      </w:r>
      <w:r w:rsidRPr="00B2511A">
        <w:rPr>
          <w:lang w:val="lt-LT"/>
        </w:rPr>
        <w:t xml:space="preserve"> traneksamo rūgšties vartojimas kiekvienu individualiu atveju.</w:t>
      </w:r>
    </w:p>
    <w:p w14:paraId="641CD545" w14:textId="77777777" w:rsidR="00C163EB" w:rsidRPr="00B2511A" w:rsidRDefault="00C163EB" w:rsidP="00C25270">
      <w:pPr>
        <w:spacing w:line="240" w:lineRule="auto"/>
        <w:rPr>
          <w:lang w:val="lt-LT"/>
        </w:rPr>
      </w:pPr>
    </w:p>
    <w:p w14:paraId="412E9D4B" w14:textId="77777777" w:rsidR="00235D2C" w:rsidRPr="00B2511A" w:rsidRDefault="00235D2C" w:rsidP="00C25270">
      <w:pPr>
        <w:spacing w:line="240" w:lineRule="auto"/>
        <w:rPr>
          <w:u w:val="single"/>
          <w:lang w:val="lt-LT"/>
        </w:rPr>
      </w:pPr>
      <w:r w:rsidRPr="00B2511A">
        <w:rPr>
          <w:u w:val="single"/>
          <w:lang w:val="lt-LT"/>
        </w:rPr>
        <w:t>Hematurija</w:t>
      </w:r>
    </w:p>
    <w:p w14:paraId="34552F4C" w14:textId="77777777" w:rsidR="00235D2C" w:rsidRPr="00B2511A" w:rsidRDefault="00235D2C" w:rsidP="00C25270">
      <w:pPr>
        <w:spacing w:line="240" w:lineRule="auto"/>
        <w:rPr>
          <w:lang w:val="lt-LT"/>
        </w:rPr>
      </w:pPr>
      <w:r w:rsidRPr="00B2511A">
        <w:rPr>
          <w:lang w:val="lt-LT"/>
        </w:rPr>
        <w:t xml:space="preserve">Hematurijos iš </w:t>
      </w:r>
      <w:r w:rsidR="004A6557" w:rsidRPr="00B2511A">
        <w:rPr>
          <w:lang w:val="lt-LT"/>
        </w:rPr>
        <w:t>viršutinių</w:t>
      </w:r>
      <w:r w:rsidRPr="00B2511A">
        <w:rPr>
          <w:lang w:val="lt-LT"/>
        </w:rPr>
        <w:t xml:space="preserve"> šlapimo tak</w:t>
      </w:r>
      <w:r w:rsidR="004A6557" w:rsidRPr="00B2511A">
        <w:rPr>
          <w:lang w:val="lt-LT"/>
        </w:rPr>
        <w:t>ų</w:t>
      </w:r>
      <w:r w:rsidRPr="00B2511A">
        <w:rPr>
          <w:lang w:val="lt-LT"/>
        </w:rPr>
        <w:t xml:space="preserve"> atveju kyla šlaplės obstrukcijos rizika.</w:t>
      </w:r>
    </w:p>
    <w:p w14:paraId="43044369" w14:textId="77777777" w:rsidR="004A6557" w:rsidRPr="00B2511A" w:rsidRDefault="004A6557" w:rsidP="00C25270">
      <w:pPr>
        <w:spacing w:line="240" w:lineRule="auto"/>
        <w:rPr>
          <w:lang w:val="lt-LT"/>
        </w:rPr>
      </w:pPr>
    </w:p>
    <w:p w14:paraId="159AF3F4" w14:textId="77777777" w:rsidR="00235D2C" w:rsidRPr="00B2511A" w:rsidRDefault="00235D2C" w:rsidP="00C25270">
      <w:pPr>
        <w:spacing w:line="240" w:lineRule="auto"/>
        <w:rPr>
          <w:u w:val="single"/>
          <w:lang w:val="lt-LT"/>
        </w:rPr>
      </w:pPr>
      <w:r w:rsidRPr="00B2511A">
        <w:rPr>
          <w:u w:val="single"/>
          <w:lang w:val="lt-LT"/>
        </w:rPr>
        <w:t xml:space="preserve">Tromboemboliniai </w:t>
      </w:r>
      <w:r w:rsidR="004A6557" w:rsidRPr="00B2511A">
        <w:rPr>
          <w:u w:val="single"/>
          <w:lang w:val="lt-LT"/>
        </w:rPr>
        <w:t>reiškiniai</w:t>
      </w:r>
      <w:r w:rsidRPr="00B2511A">
        <w:rPr>
          <w:u w:val="single"/>
          <w:lang w:val="lt-LT"/>
        </w:rPr>
        <w:t xml:space="preserve"> </w:t>
      </w:r>
    </w:p>
    <w:p w14:paraId="748DA530" w14:textId="5F07D04F" w:rsidR="00235D2C" w:rsidRPr="00B2511A" w:rsidRDefault="00235D2C" w:rsidP="00C25270">
      <w:pPr>
        <w:spacing w:line="240" w:lineRule="auto"/>
        <w:rPr>
          <w:lang w:val="lt-LT"/>
        </w:rPr>
      </w:pPr>
      <w:r w:rsidRPr="00B2511A">
        <w:rPr>
          <w:lang w:val="lt-LT"/>
        </w:rPr>
        <w:t>Prieš vartojant traneksamo rūgštį, reikia nustatyti tromboembolin</w:t>
      </w:r>
      <w:r w:rsidR="004A6557" w:rsidRPr="00B2511A">
        <w:rPr>
          <w:lang w:val="lt-LT"/>
        </w:rPr>
        <w:t>ė</w:t>
      </w:r>
      <w:r w:rsidRPr="00B2511A">
        <w:rPr>
          <w:lang w:val="lt-LT"/>
        </w:rPr>
        <w:t xml:space="preserve">s ligos rizikos veiksnius. Pacientams, kuriems </w:t>
      </w:r>
      <w:r w:rsidR="00C13960">
        <w:rPr>
          <w:lang w:val="lt-LT"/>
        </w:rPr>
        <w:t>anksčiau</w:t>
      </w:r>
      <w:r w:rsidRPr="00B2511A">
        <w:rPr>
          <w:lang w:val="lt-LT"/>
        </w:rPr>
        <w:t xml:space="preserve"> yra buvę tromboembolinių</w:t>
      </w:r>
      <w:r w:rsidR="004A6557" w:rsidRPr="00B2511A">
        <w:rPr>
          <w:lang w:val="lt-LT"/>
        </w:rPr>
        <w:t xml:space="preserve"> ligų, a</w:t>
      </w:r>
      <w:r w:rsidRPr="00B2511A">
        <w:rPr>
          <w:lang w:val="lt-LT"/>
        </w:rPr>
        <w:t>rba tiems, kurių kraujo giminaičiams dažn</w:t>
      </w:r>
      <w:r w:rsidR="00C13960">
        <w:rPr>
          <w:lang w:val="lt-LT"/>
        </w:rPr>
        <w:t>ai</w:t>
      </w:r>
      <w:r w:rsidRPr="00B2511A">
        <w:rPr>
          <w:lang w:val="lt-LT"/>
        </w:rPr>
        <w:t xml:space="preserve"> pasitaikė tromboembolinių reiškinių (pacientams, kuriems yra didelė trombofilijos rizika), traneksamo rūgšties skirti galima tik</w:t>
      </w:r>
      <w:r w:rsidR="00C13960">
        <w:rPr>
          <w:lang w:val="lt-LT"/>
        </w:rPr>
        <w:t xml:space="preserve"> esant </w:t>
      </w:r>
      <w:r w:rsidR="000530BD" w:rsidRPr="00B647B8">
        <w:rPr>
          <w:lang w:val="lt-LT"/>
        </w:rPr>
        <w:t>absoliučiai</w:t>
      </w:r>
      <w:r w:rsidRPr="00B2511A">
        <w:rPr>
          <w:lang w:val="lt-LT"/>
        </w:rPr>
        <w:t xml:space="preserve">  medicinin</w:t>
      </w:r>
      <w:r w:rsidR="00C13960">
        <w:rPr>
          <w:lang w:val="lt-LT"/>
        </w:rPr>
        <w:t>ei</w:t>
      </w:r>
      <w:r w:rsidRPr="00B2511A">
        <w:rPr>
          <w:lang w:val="lt-LT"/>
        </w:rPr>
        <w:t xml:space="preserve"> </w:t>
      </w:r>
      <w:r w:rsidR="004A6557" w:rsidRPr="00B2511A">
        <w:rPr>
          <w:lang w:val="lt-LT"/>
        </w:rPr>
        <w:t>indikacij</w:t>
      </w:r>
      <w:r w:rsidR="00C13960">
        <w:rPr>
          <w:lang w:val="lt-LT"/>
        </w:rPr>
        <w:t>ai</w:t>
      </w:r>
      <w:r w:rsidRPr="00B2511A">
        <w:rPr>
          <w:lang w:val="lt-LT"/>
        </w:rPr>
        <w:t xml:space="preserve"> po konsultacijos su gydytoju, kuris turi hemostazeologijos </w:t>
      </w:r>
      <w:r w:rsidR="004A6557" w:rsidRPr="00B2511A">
        <w:rPr>
          <w:lang w:val="lt-LT"/>
        </w:rPr>
        <w:t>patirties</w:t>
      </w:r>
      <w:r w:rsidRPr="00B2511A">
        <w:rPr>
          <w:lang w:val="lt-LT"/>
        </w:rPr>
        <w:t>, ir tik atidžiai prižiūrint gydytojui (žr. 4.3 skyrių).</w:t>
      </w:r>
    </w:p>
    <w:p w14:paraId="79072290" w14:textId="49CF56B7" w:rsidR="00235D2C" w:rsidRPr="00B2511A" w:rsidRDefault="00235D2C" w:rsidP="00C25270">
      <w:pPr>
        <w:spacing w:line="240" w:lineRule="auto"/>
        <w:rPr>
          <w:lang w:val="lt-LT"/>
        </w:rPr>
      </w:pPr>
      <w:r w:rsidRPr="00B2511A">
        <w:rPr>
          <w:lang w:val="lt-LT"/>
        </w:rPr>
        <w:t xml:space="preserve">Traneksamo rūgštį reikia atsargiai </w:t>
      </w:r>
      <w:r w:rsidR="00C13960">
        <w:rPr>
          <w:lang w:val="lt-LT"/>
        </w:rPr>
        <w:t>skirti</w:t>
      </w:r>
      <w:r w:rsidRPr="00B2511A">
        <w:rPr>
          <w:lang w:val="lt-LT"/>
        </w:rPr>
        <w:t xml:space="preserve"> pacientėms, kurios vartoja </w:t>
      </w:r>
      <w:r w:rsidR="004A6557" w:rsidRPr="00B2511A">
        <w:rPr>
          <w:lang w:val="lt-LT"/>
        </w:rPr>
        <w:t>geriamuosius</w:t>
      </w:r>
      <w:r w:rsidRPr="00B2511A">
        <w:rPr>
          <w:lang w:val="lt-LT"/>
        </w:rPr>
        <w:t xml:space="preserve"> kontraceptikus, nes padidėja trombozės rizika (žr</w:t>
      </w:r>
      <w:r w:rsidR="004A6557" w:rsidRPr="00B2511A">
        <w:rPr>
          <w:lang w:val="lt-LT"/>
        </w:rPr>
        <w:t>.</w:t>
      </w:r>
      <w:r w:rsidRPr="00B2511A">
        <w:rPr>
          <w:lang w:val="lt-LT"/>
        </w:rPr>
        <w:t xml:space="preserve"> 4.5 skyrių).</w:t>
      </w:r>
    </w:p>
    <w:p w14:paraId="21C5DF88" w14:textId="77777777" w:rsidR="004A6557" w:rsidRPr="00B2511A" w:rsidRDefault="004A6557" w:rsidP="00C25270">
      <w:pPr>
        <w:spacing w:line="240" w:lineRule="auto"/>
        <w:rPr>
          <w:lang w:val="lt-LT"/>
        </w:rPr>
      </w:pPr>
    </w:p>
    <w:p w14:paraId="3F1D2991" w14:textId="323E9986" w:rsidR="00235D2C" w:rsidRPr="00B2511A" w:rsidRDefault="00235D2C" w:rsidP="00C25270">
      <w:pPr>
        <w:spacing w:line="240" w:lineRule="auto"/>
        <w:rPr>
          <w:u w:val="single"/>
          <w:lang w:val="lt-LT"/>
        </w:rPr>
      </w:pPr>
      <w:r w:rsidRPr="00B2511A">
        <w:rPr>
          <w:u w:val="single"/>
          <w:lang w:val="lt-LT"/>
        </w:rPr>
        <w:t>Diseminuota intravaskulinė koaguliacija</w:t>
      </w:r>
    </w:p>
    <w:p w14:paraId="5CD06C40" w14:textId="1530A372" w:rsidR="00F34163" w:rsidRPr="00B2511A" w:rsidRDefault="00235D2C" w:rsidP="00C25270">
      <w:pPr>
        <w:spacing w:line="240" w:lineRule="auto"/>
        <w:rPr>
          <w:szCs w:val="24"/>
          <w:lang w:val="lt-LT"/>
        </w:rPr>
      </w:pPr>
      <w:r w:rsidRPr="00B2511A">
        <w:rPr>
          <w:lang w:val="lt-LT"/>
        </w:rPr>
        <w:t xml:space="preserve">Pacientų, kuriems pasireiškia diseminuota intravaskuline koaguliacija (DIK), daugeliu </w:t>
      </w:r>
      <w:r w:rsidR="00166D15" w:rsidRPr="00B2511A">
        <w:rPr>
          <w:lang w:val="lt-LT"/>
        </w:rPr>
        <w:t>atvejų</w:t>
      </w:r>
      <w:r w:rsidRPr="00B2511A">
        <w:rPr>
          <w:lang w:val="lt-LT"/>
        </w:rPr>
        <w:t xml:space="preserve"> </w:t>
      </w:r>
      <w:r w:rsidR="00166D15" w:rsidRPr="00B2511A">
        <w:rPr>
          <w:lang w:val="lt-LT"/>
        </w:rPr>
        <w:t>negalima</w:t>
      </w:r>
      <w:r w:rsidRPr="00B2511A">
        <w:rPr>
          <w:lang w:val="lt-LT"/>
        </w:rPr>
        <w:t xml:space="preserve"> gydyti traneksamo rūgštimi (žr. 4.3 skyrių). Jeigu skiriama vartoti traneksamo rūgšties, ji turi būti skiriama tik tais atvejais, kai dominuoja fibrinoliz</w:t>
      </w:r>
      <w:r w:rsidR="00166D15" w:rsidRPr="00B2511A">
        <w:rPr>
          <w:lang w:val="lt-LT"/>
        </w:rPr>
        <w:t>ė</w:t>
      </w:r>
      <w:r w:rsidRPr="00B2511A">
        <w:rPr>
          <w:lang w:val="lt-LT"/>
        </w:rPr>
        <w:t>s sistemos aktyvinimas dėl ūminio sunkaus kraujavimo. Būdingos  tokios hematologinės savybės: euglobulino krešulio lizės laiko sutrumpėjimas, protrombino laiko pailgėjimas, fibrinogeno, V ir VIII faktorių, plazminogeno fibrinolizino ir alfa 2 makroglobulino koncentracijų plazmoje sumažėjimas, normalios P ir P komplekso koncentracijos plazmoje, t. y. II (protrombino), VIII ir X faktorių, fibrinogeno skilimo produktų koncentracijų plazmoje padidėjimas, normalus trombocitų kiekis. Remiantis tuo, kas</w:t>
      </w:r>
      <w:r w:rsidR="00166D15" w:rsidRPr="00B2511A">
        <w:rPr>
          <w:lang w:val="lt-LT"/>
        </w:rPr>
        <w:t xml:space="preserve"> </w:t>
      </w:r>
      <w:r w:rsidRPr="00B2511A">
        <w:rPr>
          <w:lang w:val="lt-LT"/>
        </w:rPr>
        <w:t>išdėstyta anksčiau, galima daryti išvad</w:t>
      </w:r>
      <w:r w:rsidR="000B0E3D">
        <w:rPr>
          <w:lang w:val="lt-LT"/>
        </w:rPr>
        <w:t>ą</w:t>
      </w:r>
      <w:r w:rsidRPr="00B2511A">
        <w:rPr>
          <w:lang w:val="lt-LT"/>
        </w:rPr>
        <w:t>, kad pagrindinė ligos būklė pati neveikia įvairi</w:t>
      </w:r>
      <w:r w:rsidR="00166D15" w:rsidRPr="00B2511A">
        <w:rPr>
          <w:lang w:val="lt-LT"/>
        </w:rPr>
        <w:t>ų</w:t>
      </w:r>
      <w:r w:rsidRPr="00B2511A">
        <w:rPr>
          <w:lang w:val="lt-LT"/>
        </w:rPr>
        <w:t xml:space="preserve"> šių savybių elementų. Tokiais </w:t>
      </w:r>
      <w:r w:rsidR="00C13960" w:rsidRPr="00B647B8">
        <w:rPr>
          <w:lang w:val="lt-LT"/>
        </w:rPr>
        <w:t>ūmi</w:t>
      </w:r>
      <w:r w:rsidR="000530BD" w:rsidRPr="00B647B8">
        <w:rPr>
          <w:lang w:val="lt-LT"/>
        </w:rPr>
        <w:t>ni</w:t>
      </w:r>
      <w:r w:rsidR="00C13960" w:rsidRPr="00B647B8">
        <w:rPr>
          <w:lang w:val="lt-LT"/>
        </w:rPr>
        <w:t>ais</w:t>
      </w:r>
      <w:r w:rsidR="00C13960">
        <w:rPr>
          <w:lang w:val="lt-LT"/>
        </w:rPr>
        <w:t xml:space="preserve"> </w:t>
      </w:r>
      <w:r w:rsidRPr="00B2511A">
        <w:rPr>
          <w:lang w:val="lt-LT"/>
        </w:rPr>
        <w:t xml:space="preserve">atvejais kraujavimui kontroliuoti pakanka </w:t>
      </w:r>
      <w:r w:rsidR="00166D15" w:rsidRPr="00B2511A">
        <w:rPr>
          <w:lang w:val="lt-LT"/>
        </w:rPr>
        <w:t>vienkartinės</w:t>
      </w:r>
      <w:r w:rsidRPr="00B2511A">
        <w:rPr>
          <w:lang w:val="lt-LT"/>
        </w:rPr>
        <w:t xml:space="preserve"> 1</w:t>
      </w:r>
      <w:r w:rsidR="00166D15" w:rsidRPr="00B2511A">
        <w:rPr>
          <w:lang w:val="lt-LT"/>
        </w:rPr>
        <w:t> </w:t>
      </w:r>
      <w:r w:rsidRPr="00B2511A">
        <w:rPr>
          <w:lang w:val="lt-LT"/>
        </w:rPr>
        <w:t xml:space="preserve">g traneksamo </w:t>
      </w:r>
      <w:r w:rsidR="00166D15" w:rsidRPr="00B2511A">
        <w:rPr>
          <w:lang w:val="lt-LT"/>
        </w:rPr>
        <w:t>rūgšties</w:t>
      </w:r>
      <w:r w:rsidRPr="00B2511A">
        <w:rPr>
          <w:lang w:val="lt-LT"/>
        </w:rPr>
        <w:t xml:space="preserve"> dozės. DIK atveju traneksamo rūgšt</w:t>
      </w:r>
      <w:r w:rsidR="00C13960">
        <w:rPr>
          <w:lang w:val="lt-LT"/>
        </w:rPr>
        <w:t>ies</w:t>
      </w:r>
      <w:r w:rsidRPr="00B2511A">
        <w:rPr>
          <w:lang w:val="lt-LT"/>
        </w:rPr>
        <w:t xml:space="preserve"> </w:t>
      </w:r>
      <w:r w:rsidR="00C13960" w:rsidRPr="00B647B8">
        <w:rPr>
          <w:lang w:val="lt-LT"/>
        </w:rPr>
        <w:t>skyrim</w:t>
      </w:r>
      <w:r w:rsidR="000530BD" w:rsidRPr="00B647B8">
        <w:rPr>
          <w:lang w:val="lt-LT"/>
        </w:rPr>
        <w:t xml:space="preserve">o galimybę galima </w:t>
      </w:r>
      <w:r w:rsidR="00716B33" w:rsidRPr="00B647B8">
        <w:rPr>
          <w:lang w:val="lt-LT"/>
        </w:rPr>
        <w:t>svarstyti</w:t>
      </w:r>
      <w:r w:rsidR="000530BD" w:rsidRPr="00B647B8">
        <w:rPr>
          <w:lang w:val="lt-LT"/>
        </w:rPr>
        <w:t xml:space="preserve"> </w:t>
      </w:r>
      <w:r w:rsidRPr="00B647B8">
        <w:rPr>
          <w:lang w:val="lt-LT"/>
        </w:rPr>
        <w:t xml:space="preserve"> </w:t>
      </w:r>
      <w:r w:rsidRPr="00B2511A">
        <w:rPr>
          <w:lang w:val="lt-LT"/>
        </w:rPr>
        <w:t xml:space="preserve">tik tada, kai yra reikiama hematologinių laboratorinių </w:t>
      </w:r>
      <w:r w:rsidR="00166D15" w:rsidRPr="00B2511A">
        <w:rPr>
          <w:lang w:val="lt-LT"/>
        </w:rPr>
        <w:t>tyrimų</w:t>
      </w:r>
      <w:r w:rsidRPr="00B2511A">
        <w:rPr>
          <w:lang w:val="lt-LT"/>
        </w:rPr>
        <w:t xml:space="preserve"> įranga ir </w:t>
      </w:r>
      <w:r w:rsidR="00166D15" w:rsidRPr="00B2511A">
        <w:rPr>
          <w:lang w:val="lt-LT"/>
        </w:rPr>
        <w:t>kompetencija</w:t>
      </w:r>
      <w:r w:rsidRPr="00B2511A">
        <w:rPr>
          <w:lang w:val="lt-LT"/>
        </w:rPr>
        <w:t>.</w:t>
      </w:r>
      <w:r w:rsidR="006B31A3" w:rsidRPr="00B2511A">
        <w:rPr>
          <w:lang w:val="lt-LT"/>
        </w:rPr>
        <w:cr/>
      </w:r>
    </w:p>
    <w:p w14:paraId="42D5C584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4.5</w:t>
      </w:r>
      <w:r w:rsidRPr="00B2511A">
        <w:rPr>
          <w:b/>
          <w:snapToGrid/>
          <w:kern w:val="28"/>
          <w:szCs w:val="22"/>
          <w:lang w:val="lt-LT"/>
        </w:rPr>
        <w:tab/>
        <w:t>Sąveika su kitais vaistiniais preparatais ir kitokia sąveika</w:t>
      </w:r>
    </w:p>
    <w:p w14:paraId="1E0732DF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1537474B" w14:textId="7344737A" w:rsidR="00F34163" w:rsidRPr="00B2511A" w:rsidRDefault="00086DB2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Sąveikos tyrimų neatlikta. </w:t>
      </w:r>
      <w:r w:rsidR="00C13960">
        <w:rPr>
          <w:szCs w:val="24"/>
          <w:lang w:val="lt-LT"/>
        </w:rPr>
        <w:t>G</w:t>
      </w:r>
      <w:r w:rsidRPr="00B2511A">
        <w:rPr>
          <w:szCs w:val="24"/>
          <w:lang w:val="lt-LT"/>
        </w:rPr>
        <w:t>ydyti</w:t>
      </w:r>
      <w:r w:rsidR="00C13960">
        <w:rPr>
          <w:szCs w:val="24"/>
          <w:lang w:val="lt-LT"/>
        </w:rPr>
        <w:t xml:space="preserve"> derinyje su</w:t>
      </w:r>
      <w:r w:rsidRPr="00B2511A">
        <w:rPr>
          <w:szCs w:val="24"/>
          <w:lang w:val="lt-LT"/>
        </w:rPr>
        <w:t xml:space="preserve"> antikoaguliantais galima tik atidžiai prižiūrint gydytojui, turinčiam patirties šioje srityje. Vaistiniai preparatai, kurie veikia hemostazę, turi būti atsargiai </w:t>
      </w:r>
      <w:r w:rsidR="00C13960">
        <w:rPr>
          <w:szCs w:val="24"/>
          <w:lang w:val="lt-LT"/>
        </w:rPr>
        <w:t>skiriami</w:t>
      </w:r>
      <w:r w:rsidRPr="00B2511A">
        <w:rPr>
          <w:szCs w:val="24"/>
          <w:lang w:val="lt-LT"/>
        </w:rPr>
        <w:t xml:space="preserve"> traneksamo rūgštimi gydomiems pacientams. Yra teorinė krešulių formavimosi rizika, pavyzdžiui, vartojant kartu su estrogenais. </w:t>
      </w:r>
      <w:r w:rsidR="00A0212D">
        <w:rPr>
          <w:szCs w:val="24"/>
          <w:lang w:val="lt-LT"/>
        </w:rPr>
        <w:t xml:space="preserve">Galima </w:t>
      </w:r>
      <w:r w:rsidR="00131E51">
        <w:rPr>
          <w:szCs w:val="24"/>
          <w:lang w:val="lt-LT"/>
        </w:rPr>
        <w:t>atvirkštinė sąveika</w:t>
      </w:r>
      <w:r w:rsidR="00C13960">
        <w:rPr>
          <w:szCs w:val="24"/>
          <w:lang w:val="lt-LT"/>
        </w:rPr>
        <w:t>,</w:t>
      </w:r>
      <w:r w:rsidRPr="00B2511A">
        <w:rPr>
          <w:szCs w:val="24"/>
          <w:lang w:val="lt-LT"/>
        </w:rPr>
        <w:t xml:space="preserve"> </w:t>
      </w:r>
      <w:r w:rsidR="00131E51">
        <w:rPr>
          <w:szCs w:val="24"/>
          <w:lang w:val="lt-LT"/>
        </w:rPr>
        <w:t xml:space="preserve">kai </w:t>
      </w:r>
      <w:r w:rsidRPr="00B2511A">
        <w:rPr>
          <w:szCs w:val="24"/>
          <w:lang w:val="lt-LT"/>
        </w:rPr>
        <w:t>vaistini</w:t>
      </w:r>
      <w:r w:rsidR="00C13960">
        <w:rPr>
          <w:szCs w:val="24"/>
          <w:lang w:val="lt-LT"/>
        </w:rPr>
        <w:t>o</w:t>
      </w:r>
      <w:r w:rsidRPr="00B2511A">
        <w:rPr>
          <w:szCs w:val="24"/>
          <w:lang w:val="lt-LT"/>
        </w:rPr>
        <w:t xml:space="preserve"> preparat</w:t>
      </w:r>
      <w:r w:rsidR="00C13960">
        <w:rPr>
          <w:szCs w:val="24"/>
          <w:lang w:val="lt-LT"/>
        </w:rPr>
        <w:t>o</w:t>
      </w:r>
      <w:r w:rsidRPr="00B2511A">
        <w:rPr>
          <w:szCs w:val="24"/>
          <w:lang w:val="lt-LT"/>
        </w:rPr>
        <w:t xml:space="preserve"> antifibrinolizinis poveikis gali būti </w:t>
      </w:r>
      <w:r w:rsidR="00C13960">
        <w:rPr>
          <w:szCs w:val="24"/>
          <w:lang w:val="lt-LT"/>
        </w:rPr>
        <w:t>nuslopintas</w:t>
      </w:r>
      <w:r w:rsidRPr="00B2511A">
        <w:rPr>
          <w:szCs w:val="24"/>
          <w:lang w:val="lt-LT"/>
        </w:rPr>
        <w:t xml:space="preserve"> trombolizini</w:t>
      </w:r>
      <w:r w:rsidR="00C13960">
        <w:rPr>
          <w:szCs w:val="24"/>
          <w:lang w:val="lt-LT"/>
        </w:rPr>
        <w:t>ais</w:t>
      </w:r>
      <w:r w:rsidRPr="00B2511A">
        <w:rPr>
          <w:szCs w:val="24"/>
          <w:lang w:val="lt-LT"/>
        </w:rPr>
        <w:t xml:space="preserve"> vaistini</w:t>
      </w:r>
      <w:r w:rsidR="00C13960">
        <w:rPr>
          <w:szCs w:val="24"/>
          <w:lang w:val="lt-LT"/>
        </w:rPr>
        <w:t>ais</w:t>
      </w:r>
      <w:r w:rsidRPr="00B2511A">
        <w:rPr>
          <w:szCs w:val="24"/>
          <w:lang w:val="lt-LT"/>
        </w:rPr>
        <w:t xml:space="preserve"> preparat</w:t>
      </w:r>
      <w:r w:rsidR="00C13960">
        <w:rPr>
          <w:szCs w:val="24"/>
          <w:lang w:val="lt-LT"/>
        </w:rPr>
        <w:t>ais</w:t>
      </w:r>
      <w:r w:rsidRPr="00B2511A">
        <w:rPr>
          <w:szCs w:val="24"/>
          <w:lang w:val="lt-LT"/>
        </w:rPr>
        <w:t>.</w:t>
      </w:r>
      <w:r w:rsidR="00B42C28" w:rsidRPr="00B2511A">
        <w:rPr>
          <w:szCs w:val="24"/>
          <w:lang w:val="lt-LT"/>
        </w:rPr>
        <w:cr/>
      </w:r>
    </w:p>
    <w:p w14:paraId="04B6B728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4.6</w:t>
      </w:r>
      <w:r w:rsidRPr="00B2511A">
        <w:rPr>
          <w:b/>
          <w:snapToGrid/>
          <w:kern w:val="28"/>
          <w:szCs w:val="22"/>
          <w:lang w:val="lt-LT"/>
        </w:rPr>
        <w:tab/>
        <w:t>Vaisingumas, nėštumo ir žindymo laikotarpis</w:t>
      </w:r>
    </w:p>
    <w:p w14:paraId="709D21C4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7254ACC" w14:textId="77777777" w:rsidR="00086DB2" w:rsidRPr="00B2511A" w:rsidRDefault="00086DB2" w:rsidP="00086DB2">
      <w:pPr>
        <w:spacing w:line="240" w:lineRule="auto"/>
        <w:rPr>
          <w:color w:val="0D0D0D"/>
          <w:szCs w:val="24"/>
          <w:u w:val="single"/>
          <w:lang w:val="lt-LT"/>
        </w:rPr>
      </w:pPr>
      <w:r w:rsidRPr="00B2511A">
        <w:rPr>
          <w:color w:val="0D0D0D"/>
          <w:szCs w:val="24"/>
          <w:u w:val="single"/>
          <w:lang w:val="lt-LT"/>
        </w:rPr>
        <w:t>Vaisingo amžiaus moterys</w:t>
      </w:r>
    </w:p>
    <w:p w14:paraId="4CB351D8" w14:textId="77777777" w:rsidR="00086DB2" w:rsidRPr="00B2511A" w:rsidRDefault="00086DB2" w:rsidP="00086DB2">
      <w:pPr>
        <w:spacing w:line="240" w:lineRule="auto"/>
        <w:rPr>
          <w:color w:val="0D0D0D"/>
          <w:szCs w:val="24"/>
          <w:lang w:val="lt-LT"/>
        </w:rPr>
      </w:pPr>
      <w:r w:rsidRPr="00B2511A">
        <w:rPr>
          <w:color w:val="0D0D0D"/>
          <w:szCs w:val="24"/>
          <w:lang w:val="lt-LT"/>
        </w:rPr>
        <w:t>Vaisingo amžiaus moterys gydymo metu turi naudoti veiksmingą kontracepciją.</w:t>
      </w:r>
    </w:p>
    <w:p w14:paraId="1657AE3A" w14:textId="77777777" w:rsidR="00086DB2" w:rsidRPr="00B2511A" w:rsidRDefault="00086DB2" w:rsidP="00086DB2">
      <w:pPr>
        <w:spacing w:line="240" w:lineRule="auto"/>
        <w:rPr>
          <w:color w:val="0D0D0D"/>
          <w:szCs w:val="24"/>
          <w:lang w:val="lt-LT"/>
        </w:rPr>
      </w:pPr>
    </w:p>
    <w:p w14:paraId="3CC3A9FB" w14:textId="77777777" w:rsidR="00086DB2" w:rsidRPr="00B2511A" w:rsidRDefault="00086DB2" w:rsidP="00086DB2">
      <w:pPr>
        <w:spacing w:line="240" w:lineRule="auto"/>
        <w:rPr>
          <w:color w:val="0D0D0D"/>
          <w:szCs w:val="24"/>
          <w:u w:val="single"/>
          <w:lang w:val="lt-LT"/>
        </w:rPr>
      </w:pPr>
      <w:r w:rsidRPr="00B2511A">
        <w:rPr>
          <w:color w:val="0D0D0D"/>
          <w:szCs w:val="24"/>
          <w:u w:val="single"/>
          <w:lang w:val="lt-LT"/>
        </w:rPr>
        <w:t>Nėštumas</w:t>
      </w:r>
    </w:p>
    <w:p w14:paraId="395CE3E4" w14:textId="240F045C" w:rsidR="004F345E" w:rsidRPr="00B2511A" w:rsidRDefault="00C13960" w:rsidP="00086DB2">
      <w:pPr>
        <w:spacing w:line="240" w:lineRule="auto"/>
        <w:rPr>
          <w:color w:val="0D0D0D"/>
          <w:szCs w:val="24"/>
          <w:lang w:val="lt-LT"/>
        </w:rPr>
      </w:pPr>
      <w:r>
        <w:rPr>
          <w:color w:val="0D0D0D"/>
          <w:szCs w:val="24"/>
          <w:lang w:val="lt-LT"/>
        </w:rPr>
        <w:t>D</w:t>
      </w:r>
      <w:r w:rsidR="00086DB2" w:rsidRPr="00B2511A">
        <w:rPr>
          <w:color w:val="0D0D0D"/>
          <w:szCs w:val="24"/>
          <w:lang w:val="lt-LT"/>
        </w:rPr>
        <w:t xml:space="preserve">uomenų apie traneksamo rūgšties </w:t>
      </w:r>
      <w:r w:rsidR="004F345E" w:rsidRPr="00B2511A">
        <w:rPr>
          <w:color w:val="0D0D0D"/>
          <w:szCs w:val="24"/>
          <w:lang w:val="lt-LT"/>
        </w:rPr>
        <w:t>vartojimą</w:t>
      </w:r>
      <w:r w:rsidR="00086DB2" w:rsidRPr="00B2511A">
        <w:rPr>
          <w:color w:val="0D0D0D"/>
          <w:szCs w:val="24"/>
          <w:lang w:val="lt-LT"/>
        </w:rPr>
        <w:t xml:space="preserve"> moterims nėštumo metu </w:t>
      </w:r>
      <w:r w:rsidR="004F345E" w:rsidRPr="00B2511A">
        <w:rPr>
          <w:color w:val="0D0D0D"/>
          <w:szCs w:val="24"/>
          <w:lang w:val="lt-LT"/>
        </w:rPr>
        <w:t xml:space="preserve">nėra arba </w:t>
      </w:r>
      <w:r w:rsidR="00086DB2" w:rsidRPr="00B2511A">
        <w:rPr>
          <w:color w:val="0D0D0D"/>
          <w:szCs w:val="24"/>
          <w:lang w:val="lt-LT"/>
        </w:rPr>
        <w:t>nepakanka. Todėl, nors su gyvūnais atlikti tyrimai nerodo teratogeninio poveikio, traneksamo rūgšties nerekomenduojama vartoti pirmojo nėštumo trimestro metu dėl atsargumo.</w:t>
      </w:r>
    </w:p>
    <w:p w14:paraId="3B9F7646" w14:textId="690CB77A" w:rsidR="00086DB2" w:rsidRPr="00B2511A" w:rsidRDefault="00086DB2" w:rsidP="00086DB2">
      <w:pPr>
        <w:spacing w:line="240" w:lineRule="auto"/>
        <w:rPr>
          <w:color w:val="0D0D0D"/>
          <w:szCs w:val="24"/>
          <w:lang w:val="lt-LT"/>
        </w:rPr>
      </w:pPr>
      <w:r w:rsidRPr="00B2511A">
        <w:rPr>
          <w:color w:val="0D0D0D"/>
          <w:szCs w:val="24"/>
          <w:lang w:val="lt-LT"/>
        </w:rPr>
        <w:t>Ribot</w:t>
      </w:r>
      <w:r w:rsidR="00C13960">
        <w:rPr>
          <w:color w:val="0D0D0D"/>
          <w:szCs w:val="24"/>
          <w:lang w:val="lt-LT"/>
        </w:rPr>
        <w:t>i</w:t>
      </w:r>
      <w:r w:rsidRPr="00B2511A">
        <w:rPr>
          <w:color w:val="0D0D0D"/>
          <w:szCs w:val="24"/>
          <w:lang w:val="lt-LT"/>
        </w:rPr>
        <w:t xml:space="preserve"> </w:t>
      </w:r>
      <w:r w:rsidR="004F345E" w:rsidRPr="00B2511A">
        <w:rPr>
          <w:color w:val="0D0D0D"/>
          <w:szCs w:val="24"/>
          <w:lang w:val="lt-LT"/>
        </w:rPr>
        <w:t>klinikin</w:t>
      </w:r>
      <w:r w:rsidR="00C13960">
        <w:rPr>
          <w:color w:val="0D0D0D"/>
          <w:szCs w:val="24"/>
          <w:lang w:val="lt-LT"/>
        </w:rPr>
        <w:t>iai duomenys</w:t>
      </w:r>
      <w:r w:rsidRPr="00B2511A">
        <w:rPr>
          <w:color w:val="0D0D0D"/>
          <w:szCs w:val="24"/>
          <w:lang w:val="lt-LT"/>
        </w:rPr>
        <w:t xml:space="preserve"> traneksamo rūgšties vartojimo </w:t>
      </w:r>
      <w:r w:rsidR="00C13960">
        <w:rPr>
          <w:color w:val="0D0D0D"/>
          <w:szCs w:val="24"/>
          <w:lang w:val="lt-LT"/>
        </w:rPr>
        <w:t>įvairiais klinikiniais kraujavimo atvejais</w:t>
      </w:r>
      <w:r w:rsidR="00251DC0">
        <w:rPr>
          <w:color w:val="0D0D0D"/>
          <w:szCs w:val="24"/>
          <w:lang w:val="lt-LT"/>
        </w:rPr>
        <w:t xml:space="preserve"> </w:t>
      </w:r>
      <w:r w:rsidRPr="00B2511A">
        <w:rPr>
          <w:color w:val="0D0D0D"/>
          <w:szCs w:val="24"/>
          <w:lang w:val="lt-LT"/>
        </w:rPr>
        <w:t>antrojo ir trečiojo nėštumo trimestrų metu  neparodė kenksmingo poveikio vais</w:t>
      </w:r>
      <w:r w:rsidR="00C04665" w:rsidRPr="00B2511A">
        <w:rPr>
          <w:color w:val="0D0D0D"/>
          <w:szCs w:val="24"/>
          <w:lang w:val="lt-LT"/>
        </w:rPr>
        <w:t>i</w:t>
      </w:r>
      <w:r w:rsidRPr="00B2511A">
        <w:rPr>
          <w:color w:val="0D0D0D"/>
          <w:szCs w:val="24"/>
          <w:lang w:val="lt-LT"/>
        </w:rPr>
        <w:t xml:space="preserve">ui.  Traneksamo rūgštį vartoti nėštumo metu galima tik tada, kai laukiama nauda pateisina </w:t>
      </w:r>
      <w:r w:rsidR="00C04665" w:rsidRPr="00B2511A">
        <w:rPr>
          <w:color w:val="0D0D0D"/>
          <w:szCs w:val="24"/>
          <w:lang w:val="lt-LT"/>
        </w:rPr>
        <w:t>galimą</w:t>
      </w:r>
      <w:r w:rsidRPr="00B2511A">
        <w:rPr>
          <w:color w:val="0D0D0D"/>
          <w:szCs w:val="24"/>
          <w:lang w:val="lt-LT"/>
        </w:rPr>
        <w:t xml:space="preserve"> riziką.</w:t>
      </w:r>
    </w:p>
    <w:p w14:paraId="6F892A1A" w14:textId="77777777" w:rsidR="00C04665" w:rsidRPr="00B2511A" w:rsidRDefault="00C04665" w:rsidP="00086DB2">
      <w:pPr>
        <w:spacing w:line="240" w:lineRule="auto"/>
        <w:rPr>
          <w:color w:val="0D0D0D"/>
          <w:szCs w:val="24"/>
          <w:lang w:val="lt-LT"/>
        </w:rPr>
      </w:pPr>
    </w:p>
    <w:p w14:paraId="7C211D01" w14:textId="77777777" w:rsidR="00086DB2" w:rsidRPr="00B2511A" w:rsidRDefault="00C04665" w:rsidP="00086DB2">
      <w:pPr>
        <w:spacing w:line="240" w:lineRule="auto"/>
        <w:rPr>
          <w:color w:val="0D0D0D"/>
          <w:szCs w:val="24"/>
          <w:u w:val="single"/>
          <w:lang w:val="lt-LT"/>
        </w:rPr>
      </w:pPr>
      <w:r w:rsidRPr="00B2511A">
        <w:rPr>
          <w:color w:val="0D0D0D"/>
          <w:szCs w:val="24"/>
          <w:u w:val="single"/>
          <w:lang w:val="lt-LT"/>
        </w:rPr>
        <w:t>Ž</w:t>
      </w:r>
      <w:r w:rsidR="00086DB2" w:rsidRPr="00B2511A">
        <w:rPr>
          <w:color w:val="0D0D0D"/>
          <w:szCs w:val="24"/>
          <w:u w:val="single"/>
          <w:lang w:val="lt-LT"/>
        </w:rPr>
        <w:t>indymas</w:t>
      </w:r>
    </w:p>
    <w:p w14:paraId="1D62AF6B" w14:textId="77777777" w:rsidR="00086DB2" w:rsidRPr="00B2511A" w:rsidRDefault="00086DB2" w:rsidP="00086DB2">
      <w:pPr>
        <w:spacing w:line="240" w:lineRule="auto"/>
        <w:rPr>
          <w:color w:val="0D0D0D"/>
          <w:szCs w:val="24"/>
          <w:lang w:val="lt-LT"/>
        </w:rPr>
      </w:pPr>
      <w:r w:rsidRPr="00B2511A">
        <w:rPr>
          <w:color w:val="0D0D0D"/>
          <w:szCs w:val="24"/>
          <w:lang w:val="lt-LT"/>
        </w:rPr>
        <w:t>Traneksamo rūg</w:t>
      </w:r>
      <w:r w:rsidR="00FC3975" w:rsidRPr="00B2511A">
        <w:rPr>
          <w:color w:val="0D0D0D"/>
          <w:szCs w:val="24"/>
          <w:lang w:val="lt-LT"/>
        </w:rPr>
        <w:t>š</w:t>
      </w:r>
      <w:r w:rsidRPr="00B2511A">
        <w:rPr>
          <w:color w:val="0D0D0D"/>
          <w:szCs w:val="24"/>
          <w:lang w:val="lt-LT"/>
        </w:rPr>
        <w:t>tis išsiskiria į motinos pieną. Todėl žindyti nerekomenduojama.</w:t>
      </w:r>
    </w:p>
    <w:p w14:paraId="6DF05FAE" w14:textId="77777777" w:rsidR="00FC3975" w:rsidRPr="00B2511A" w:rsidRDefault="00FC3975" w:rsidP="00086DB2">
      <w:pPr>
        <w:spacing w:line="240" w:lineRule="auto"/>
        <w:rPr>
          <w:color w:val="0D0D0D"/>
          <w:szCs w:val="24"/>
          <w:lang w:val="lt-LT"/>
        </w:rPr>
      </w:pPr>
    </w:p>
    <w:p w14:paraId="39937ED0" w14:textId="77777777" w:rsidR="00086DB2" w:rsidRPr="00B2511A" w:rsidRDefault="00086DB2" w:rsidP="00086DB2">
      <w:pPr>
        <w:spacing w:line="240" w:lineRule="auto"/>
        <w:rPr>
          <w:color w:val="0D0D0D"/>
          <w:szCs w:val="24"/>
          <w:u w:val="single"/>
          <w:lang w:val="lt-LT"/>
        </w:rPr>
      </w:pPr>
      <w:r w:rsidRPr="00B2511A">
        <w:rPr>
          <w:color w:val="0D0D0D"/>
          <w:szCs w:val="24"/>
          <w:u w:val="single"/>
          <w:lang w:val="lt-LT"/>
        </w:rPr>
        <w:t>Vaisingu</w:t>
      </w:r>
      <w:r w:rsidR="00FC3975" w:rsidRPr="00B2511A">
        <w:rPr>
          <w:color w:val="0D0D0D"/>
          <w:szCs w:val="24"/>
          <w:u w:val="single"/>
          <w:lang w:val="lt-LT"/>
        </w:rPr>
        <w:t>m</w:t>
      </w:r>
      <w:r w:rsidRPr="00B2511A">
        <w:rPr>
          <w:color w:val="0D0D0D"/>
          <w:szCs w:val="24"/>
          <w:u w:val="single"/>
          <w:lang w:val="lt-LT"/>
        </w:rPr>
        <w:t>as</w:t>
      </w:r>
    </w:p>
    <w:p w14:paraId="6A74BAEA" w14:textId="77777777" w:rsidR="00F34163" w:rsidRPr="00B2511A" w:rsidRDefault="00086DB2" w:rsidP="00086DB2">
      <w:pPr>
        <w:spacing w:line="240" w:lineRule="auto"/>
        <w:rPr>
          <w:szCs w:val="24"/>
          <w:lang w:val="lt-LT"/>
        </w:rPr>
      </w:pPr>
      <w:r w:rsidRPr="00B2511A">
        <w:rPr>
          <w:color w:val="0D0D0D"/>
          <w:szCs w:val="24"/>
          <w:lang w:val="lt-LT"/>
        </w:rPr>
        <w:t>Klinikinių duomenų apie traneksamo rūgšties poveikį vaisingumui nėra.</w:t>
      </w:r>
      <w:r w:rsidR="00A866AA" w:rsidRPr="00B2511A">
        <w:rPr>
          <w:color w:val="0D0D0D"/>
          <w:szCs w:val="24"/>
          <w:lang w:val="lt-LT"/>
        </w:rPr>
        <w:cr/>
      </w:r>
    </w:p>
    <w:p w14:paraId="1B339C8B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4.7</w:t>
      </w:r>
      <w:r w:rsidRPr="00B2511A">
        <w:rPr>
          <w:b/>
          <w:snapToGrid/>
          <w:kern w:val="28"/>
          <w:szCs w:val="22"/>
          <w:lang w:val="lt-LT"/>
        </w:rPr>
        <w:tab/>
        <w:t>Poveikis gebėjimui vairuoti ir valdyti mechanizmus</w:t>
      </w:r>
    </w:p>
    <w:p w14:paraId="26094BCD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DADC001" w14:textId="01110B26" w:rsidR="00F34163" w:rsidRPr="00B2511A" w:rsidRDefault="004F33F6" w:rsidP="00C25270">
      <w:pPr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Poveikio g</w:t>
      </w:r>
      <w:r w:rsidR="00A15E8E" w:rsidRPr="00B2511A">
        <w:rPr>
          <w:szCs w:val="24"/>
          <w:lang w:val="lt-LT"/>
        </w:rPr>
        <w:t>ebėjim</w:t>
      </w:r>
      <w:r>
        <w:rPr>
          <w:szCs w:val="24"/>
          <w:lang w:val="lt-LT"/>
        </w:rPr>
        <w:t>ui</w:t>
      </w:r>
      <w:r w:rsidR="00A15E8E" w:rsidRPr="00B2511A">
        <w:rPr>
          <w:szCs w:val="24"/>
          <w:lang w:val="lt-LT"/>
        </w:rPr>
        <w:t xml:space="preserve"> vairuoti ir valdyti mechanizmus tyrimų neatlikta</w:t>
      </w:r>
      <w:r w:rsidR="00A866AA" w:rsidRPr="00B2511A">
        <w:rPr>
          <w:szCs w:val="24"/>
          <w:lang w:val="lt-LT"/>
        </w:rPr>
        <w:t>.</w:t>
      </w:r>
    </w:p>
    <w:p w14:paraId="1DABB99C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FFC67F1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4.8</w:t>
      </w:r>
      <w:r w:rsidRPr="00B2511A">
        <w:rPr>
          <w:b/>
          <w:snapToGrid/>
          <w:kern w:val="28"/>
          <w:szCs w:val="22"/>
          <w:lang w:val="lt-LT"/>
        </w:rPr>
        <w:tab/>
        <w:t>Nepageidaujamas poveikis</w:t>
      </w:r>
    </w:p>
    <w:p w14:paraId="712C7352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1510AC6" w14:textId="77777777" w:rsidR="008E6D33" w:rsidRPr="00B2511A" w:rsidRDefault="00B2511A" w:rsidP="008E6D33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Nepageidaujamos reakcijos</w:t>
      </w:r>
      <w:r w:rsidR="008E6D33" w:rsidRPr="00B2511A">
        <w:rPr>
          <w:szCs w:val="24"/>
          <w:lang w:val="lt-LT"/>
        </w:rPr>
        <w:t>, apie kurias buvo pranešta klinikinių tyrimų metu ir po vaistinio preparato pate</w:t>
      </w:r>
      <w:r w:rsidR="00251DC0">
        <w:rPr>
          <w:szCs w:val="24"/>
          <w:lang w:val="lt-LT"/>
        </w:rPr>
        <w:t>i</w:t>
      </w:r>
      <w:r w:rsidR="008E6D33" w:rsidRPr="00B2511A">
        <w:rPr>
          <w:szCs w:val="24"/>
          <w:lang w:val="lt-LT"/>
        </w:rPr>
        <w:t xml:space="preserve">kimo </w:t>
      </w:r>
      <w:r w:rsidR="000B0E3D">
        <w:rPr>
          <w:szCs w:val="24"/>
          <w:lang w:val="lt-LT"/>
        </w:rPr>
        <w:t xml:space="preserve">į </w:t>
      </w:r>
      <w:r w:rsidR="008E6D33" w:rsidRPr="00B2511A">
        <w:rPr>
          <w:szCs w:val="24"/>
          <w:lang w:val="lt-LT"/>
        </w:rPr>
        <w:t xml:space="preserve">rinką, išvardytos toliau </w:t>
      </w:r>
      <w:r w:rsidR="000B0E3D">
        <w:rPr>
          <w:szCs w:val="24"/>
          <w:lang w:val="lt-LT"/>
        </w:rPr>
        <w:t>pagal</w:t>
      </w:r>
      <w:r w:rsidR="008E6D33" w:rsidRPr="00B2511A">
        <w:rPr>
          <w:szCs w:val="24"/>
          <w:lang w:val="lt-LT"/>
        </w:rPr>
        <w:t xml:space="preserve"> organų sistemų klases.</w:t>
      </w:r>
    </w:p>
    <w:p w14:paraId="2D171CAE" w14:textId="77777777" w:rsidR="00B2511A" w:rsidRPr="00B2511A" w:rsidRDefault="00B2511A" w:rsidP="008E6D33">
      <w:pPr>
        <w:spacing w:line="240" w:lineRule="auto"/>
        <w:rPr>
          <w:szCs w:val="24"/>
          <w:lang w:val="lt-LT"/>
        </w:rPr>
      </w:pPr>
    </w:p>
    <w:p w14:paraId="6AB41560" w14:textId="05E55945" w:rsidR="008E6D33" w:rsidRPr="00B2511A" w:rsidRDefault="008E6D33" w:rsidP="008E6D33">
      <w:pPr>
        <w:spacing w:line="240" w:lineRule="auto"/>
        <w:rPr>
          <w:szCs w:val="24"/>
          <w:u w:val="single"/>
          <w:lang w:val="lt-LT"/>
        </w:rPr>
      </w:pPr>
      <w:r w:rsidRPr="00B2511A">
        <w:rPr>
          <w:szCs w:val="24"/>
          <w:u w:val="single"/>
          <w:lang w:val="lt-LT"/>
        </w:rPr>
        <w:t>Nepageidauja</w:t>
      </w:r>
      <w:r w:rsidR="00B2511A" w:rsidRPr="00B2511A">
        <w:rPr>
          <w:szCs w:val="24"/>
          <w:u w:val="single"/>
          <w:lang w:val="lt-LT"/>
        </w:rPr>
        <w:t>m</w:t>
      </w:r>
      <w:r w:rsidRPr="00B2511A">
        <w:rPr>
          <w:szCs w:val="24"/>
          <w:u w:val="single"/>
          <w:lang w:val="lt-LT"/>
        </w:rPr>
        <w:t xml:space="preserve">ų reakcijų </w:t>
      </w:r>
      <w:r w:rsidR="00251DC0">
        <w:rPr>
          <w:szCs w:val="24"/>
          <w:u w:val="single"/>
          <w:lang w:val="lt-LT"/>
        </w:rPr>
        <w:t>santrauka</w:t>
      </w:r>
      <w:r w:rsidRPr="00B2511A">
        <w:rPr>
          <w:szCs w:val="24"/>
          <w:u w:val="single"/>
          <w:lang w:val="lt-LT"/>
        </w:rPr>
        <w:t xml:space="preserve"> lentelėje</w:t>
      </w:r>
    </w:p>
    <w:p w14:paraId="19A4FFBC" w14:textId="77777777" w:rsidR="008E6D33" w:rsidRDefault="008E6D33" w:rsidP="008E6D33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Nepageidaujamos reakcijos, apie kurias buvo pranešta, išvardytos toliau esančioje </w:t>
      </w:r>
      <w:r w:rsidR="00B2511A">
        <w:rPr>
          <w:szCs w:val="24"/>
          <w:lang w:val="lt-LT"/>
        </w:rPr>
        <w:t>lentelėje</w:t>
      </w:r>
      <w:r w:rsidRPr="00B2511A">
        <w:rPr>
          <w:szCs w:val="24"/>
          <w:lang w:val="lt-LT"/>
        </w:rPr>
        <w:t xml:space="preserve">. </w:t>
      </w:r>
      <w:r w:rsidR="00B2511A" w:rsidRPr="00B2511A">
        <w:rPr>
          <w:szCs w:val="24"/>
          <w:lang w:val="lt-LT"/>
        </w:rPr>
        <w:t>Nepageidaujamos</w:t>
      </w:r>
      <w:r w:rsidRPr="00B2511A">
        <w:rPr>
          <w:szCs w:val="24"/>
          <w:lang w:val="lt-LT"/>
        </w:rPr>
        <w:t xml:space="preserve"> reakcijos išvardytos </w:t>
      </w:r>
      <w:r w:rsidR="00B2511A" w:rsidRPr="00B2511A">
        <w:rPr>
          <w:szCs w:val="24"/>
          <w:lang w:val="lt-LT"/>
        </w:rPr>
        <w:t>pagal</w:t>
      </w:r>
      <w:r w:rsidRPr="00B2511A">
        <w:rPr>
          <w:szCs w:val="24"/>
          <w:lang w:val="lt-LT"/>
        </w:rPr>
        <w:t xml:space="preserve"> MedDRA pagrindines organų sistemų klases. Kiekvienos organų sistemų klasės nepageidaujamos reakcijos išvardytos pagal dažnį. </w:t>
      </w:r>
      <w:r w:rsidR="00B2511A" w:rsidRPr="00B2511A">
        <w:rPr>
          <w:szCs w:val="24"/>
          <w:lang w:val="lt-LT"/>
        </w:rPr>
        <w:t>Kiekvienoje</w:t>
      </w:r>
      <w:r w:rsidRPr="00B2511A">
        <w:rPr>
          <w:szCs w:val="24"/>
          <w:lang w:val="lt-LT"/>
        </w:rPr>
        <w:t xml:space="preserve"> dažnio grupėje nepageidaujamos reakcijos yra išvardytos mažėjančio sunkumo tvarka.</w:t>
      </w:r>
    </w:p>
    <w:p w14:paraId="69F38C70" w14:textId="77777777" w:rsidR="00B2511A" w:rsidRDefault="00B2511A" w:rsidP="008E6D33">
      <w:pPr>
        <w:spacing w:line="240" w:lineRule="auto"/>
        <w:rPr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529"/>
        <w:gridCol w:w="1377"/>
        <w:gridCol w:w="4586"/>
      </w:tblGrid>
      <w:tr w:rsidR="00B2511A" w:rsidRPr="00B2511A" w14:paraId="1C2B24E1" w14:textId="77777777" w:rsidTr="00ED3F3C">
        <w:trPr>
          <w:cantSplit/>
          <w:tblHeader/>
        </w:trPr>
        <w:tc>
          <w:tcPr>
            <w:tcW w:w="865" w:type="pct"/>
          </w:tcPr>
          <w:p w14:paraId="3F5F86EB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rPr>
                <w:bCs/>
                <w:snapToGrid/>
                <w:szCs w:val="22"/>
                <w:lang w:val="lt-LT"/>
              </w:rPr>
            </w:pPr>
            <w:r w:rsidRPr="00B2511A">
              <w:rPr>
                <w:bCs/>
                <w:snapToGrid/>
                <w:szCs w:val="22"/>
                <w:lang w:val="lt-LT"/>
              </w:rPr>
              <w:t>Organų sistemų klasė</w:t>
            </w:r>
          </w:p>
        </w:tc>
        <w:tc>
          <w:tcPr>
            <w:tcW w:w="844" w:type="pct"/>
          </w:tcPr>
          <w:p w14:paraId="4EC7C43B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rPr>
                <w:bCs/>
                <w:snapToGrid/>
                <w:szCs w:val="22"/>
                <w:lang w:val="lt-LT"/>
              </w:rPr>
            </w:pPr>
            <w:r>
              <w:rPr>
                <w:bCs/>
                <w:snapToGrid/>
                <w:szCs w:val="22"/>
                <w:lang w:val="lt-LT"/>
              </w:rPr>
              <w:t>Dažni</w:t>
            </w:r>
          </w:p>
          <w:p w14:paraId="60BFE39F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rPr>
                <w:bCs/>
                <w:snapToGrid/>
                <w:szCs w:val="22"/>
                <w:lang w:val="lt-LT"/>
              </w:rPr>
            </w:pPr>
            <w:r>
              <w:rPr>
                <w:bCs/>
                <w:snapToGrid/>
                <w:szCs w:val="22"/>
                <w:lang w:val="lt-LT"/>
              </w:rPr>
              <w:t xml:space="preserve">(nuo </w:t>
            </w:r>
            <w:r w:rsidRPr="00B2511A">
              <w:rPr>
                <w:bCs/>
                <w:snapToGrid/>
                <w:szCs w:val="22"/>
                <w:lang w:val="lt-LT"/>
              </w:rPr>
              <w:t>≥</w:t>
            </w:r>
            <w:r>
              <w:rPr>
                <w:bCs/>
                <w:snapToGrid/>
                <w:szCs w:val="22"/>
                <w:lang w:val="lt-LT"/>
              </w:rPr>
              <w:t> </w:t>
            </w:r>
            <w:r w:rsidRPr="00B2511A">
              <w:rPr>
                <w:bCs/>
                <w:snapToGrid/>
                <w:szCs w:val="22"/>
                <w:lang w:val="lt-LT"/>
              </w:rPr>
              <w:t xml:space="preserve">1/100 </w:t>
            </w:r>
            <w:r>
              <w:rPr>
                <w:bCs/>
                <w:snapToGrid/>
                <w:szCs w:val="22"/>
                <w:lang w:val="lt-LT"/>
              </w:rPr>
              <w:t>iki</w:t>
            </w:r>
            <w:r w:rsidRPr="00B2511A">
              <w:rPr>
                <w:bCs/>
                <w:snapToGrid/>
                <w:szCs w:val="22"/>
                <w:lang w:val="lt-LT"/>
              </w:rPr>
              <w:t xml:space="preserve"> &lt;</w:t>
            </w:r>
            <w:r>
              <w:rPr>
                <w:bCs/>
                <w:snapToGrid/>
                <w:szCs w:val="22"/>
                <w:lang w:val="lt-LT"/>
              </w:rPr>
              <w:t> </w:t>
            </w:r>
            <w:r w:rsidRPr="00B2511A">
              <w:rPr>
                <w:bCs/>
                <w:snapToGrid/>
                <w:szCs w:val="22"/>
                <w:lang w:val="lt-LT"/>
              </w:rPr>
              <w:t>1/10</w:t>
            </w:r>
            <w:r>
              <w:rPr>
                <w:bCs/>
                <w:snapToGrid/>
                <w:szCs w:val="22"/>
                <w:lang w:val="lt-LT"/>
              </w:rPr>
              <w:t>)</w:t>
            </w:r>
          </w:p>
        </w:tc>
        <w:tc>
          <w:tcPr>
            <w:tcW w:w="760" w:type="pct"/>
          </w:tcPr>
          <w:p w14:paraId="3C8C42F2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rPr>
                <w:bCs/>
                <w:snapToGrid/>
                <w:szCs w:val="22"/>
                <w:lang w:val="lt-LT"/>
              </w:rPr>
            </w:pPr>
            <w:r>
              <w:rPr>
                <w:bCs/>
                <w:snapToGrid/>
                <w:szCs w:val="22"/>
                <w:lang w:val="lt-LT"/>
              </w:rPr>
              <w:t>Nedažni</w:t>
            </w:r>
          </w:p>
          <w:p w14:paraId="6BF1253D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rPr>
                <w:bCs/>
                <w:snapToGrid/>
                <w:szCs w:val="22"/>
                <w:lang w:val="lt-LT"/>
              </w:rPr>
            </w:pPr>
            <w:r>
              <w:rPr>
                <w:bCs/>
                <w:snapToGrid/>
                <w:szCs w:val="22"/>
                <w:lang w:val="lt-LT"/>
              </w:rPr>
              <w:t xml:space="preserve">(nuo </w:t>
            </w:r>
            <w:r w:rsidRPr="00B2511A">
              <w:rPr>
                <w:bCs/>
                <w:snapToGrid/>
                <w:szCs w:val="22"/>
                <w:lang w:val="lt-LT"/>
              </w:rPr>
              <w:t>≥</w:t>
            </w:r>
            <w:r>
              <w:rPr>
                <w:bCs/>
                <w:snapToGrid/>
                <w:szCs w:val="22"/>
                <w:lang w:val="lt-LT"/>
              </w:rPr>
              <w:t> </w:t>
            </w:r>
            <w:r w:rsidRPr="00B2511A">
              <w:rPr>
                <w:bCs/>
                <w:snapToGrid/>
                <w:szCs w:val="22"/>
                <w:lang w:val="lt-LT"/>
              </w:rPr>
              <w:t>1/10</w:t>
            </w:r>
            <w:r>
              <w:rPr>
                <w:bCs/>
                <w:snapToGrid/>
                <w:szCs w:val="22"/>
                <w:lang w:val="lt-LT"/>
              </w:rPr>
              <w:t>0</w:t>
            </w:r>
            <w:r w:rsidRPr="00B2511A">
              <w:rPr>
                <w:bCs/>
                <w:snapToGrid/>
                <w:szCs w:val="22"/>
                <w:lang w:val="lt-LT"/>
              </w:rPr>
              <w:t xml:space="preserve">0 </w:t>
            </w:r>
            <w:r>
              <w:rPr>
                <w:bCs/>
                <w:snapToGrid/>
                <w:szCs w:val="22"/>
                <w:lang w:val="lt-LT"/>
              </w:rPr>
              <w:t>iki</w:t>
            </w:r>
            <w:r w:rsidRPr="00B2511A">
              <w:rPr>
                <w:bCs/>
                <w:snapToGrid/>
                <w:szCs w:val="22"/>
                <w:lang w:val="lt-LT"/>
              </w:rPr>
              <w:t xml:space="preserve"> &lt;</w:t>
            </w:r>
            <w:r>
              <w:rPr>
                <w:bCs/>
                <w:snapToGrid/>
                <w:szCs w:val="22"/>
                <w:lang w:val="lt-LT"/>
              </w:rPr>
              <w:t> </w:t>
            </w:r>
            <w:r w:rsidRPr="00B2511A">
              <w:rPr>
                <w:bCs/>
                <w:snapToGrid/>
                <w:szCs w:val="22"/>
                <w:lang w:val="lt-LT"/>
              </w:rPr>
              <w:t>1/1</w:t>
            </w:r>
            <w:r>
              <w:rPr>
                <w:bCs/>
                <w:snapToGrid/>
                <w:szCs w:val="22"/>
                <w:lang w:val="lt-LT"/>
              </w:rPr>
              <w:t>0</w:t>
            </w:r>
            <w:r w:rsidRPr="00B2511A">
              <w:rPr>
                <w:bCs/>
                <w:snapToGrid/>
                <w:szCs w:val="22"/>
                <w:lang w:val="lt-LT"/>
              </w:rPr>
              <w:t>0</w:t>
            </w:r>
            <w:r>
              <w:rPr>
                <w:bCs/>
                <w:snapToGrid/>
                <w:szCs w:val="22"/>
                <w:lang w:val="lt-LT"/>
              </w:rPr>
              <w:t>)</w:t>
            </w:r>
          </w:p>
        </w:tc>
        <w:tc>
          <w:tcPr>
            <w:tcW w:w="2531" w:type="pct"/>
          </w:tcPr>
          <w:p w14:paraId="1D2E8182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rPr>
                <w:bCs/>
                <w:snapToGrid/>
                <w:szCs w:val="22"/>
                <w:lang w:val="lt-LT"/>
              </w:rPr>
            </w:pPr>
            <w:r w:rsidRPr="00B2511A">
              <w:rPr>
                <w:bCs/>
                <w:snapToGrid/>
                <w:szCs w:val="22"/>
                <w:lang w:val="lt-LT"/>
              </w:rPr>
              <w:t>Dažnis</w:t>
            </w:r>
            <w:r>
              <w:rPr>
                <w:bCs/>
                <w:snapToGrid/>
                <w:szCs w:val="22"/>
                <w:lang w:val="lt-LT"/>
              </w:rPr>
              <w:t xml:space="preserve"> </w:t>
            </w:r>
            <w:r w:rsidRPr="00B2511A">
              <w:rPr>
                <w:bCs/>
                <w:snapToGrid/>
                <w:szCs w:val="22"/>
                <w:lang w:val="lt-LT"/>
              </w:rPr>
              <w:t>nežinomas (negali būti įvertintas pagal turimus duo</w:t>
            </w:r>
            <w:r>
              <w:rPr>
                <w:bCs/>
                <w:snapToGrid/>
                <w:szCs w:val="22"/>
                <w:lang w:val="lt-LT"/>
              </w:rPr>
              <w:t>m</w:t>
            </w:r>
            <w:r w:rsidRPr="00B2511A">
              <w:rPr>
                <w:bCs/>
                <w:snapToGrid/>
                <w:szCs w:val="22"/>
                <w:lang w:val="lt-LT"/>
              </w:rPr>
              <w:t>enis)</w:t>
            </w:r>
          </w:p>
        </w:tc>
      </w:tr>
      <w:tr w:rsidR="00B2511A" w:rsidRPr="00B2511A" w14:paraId="3C5DCB49" w14:textId="77777777" w:rsidTr="00ED3F3C">
        <w:tc>
          <w:tcPr>
            <w:tcW w:w="865" w:type="pct"/>
          </w:tcPr>
          <w:p w14:paraId="3E329E9C" w14:textId="77777777" w:rsidR="00B2511A" w:rsidRPr="00B2511A" w:rsidRDefault="00057EE0" w:rsidP="00057EE0">
            <w:pPr>
              <w:tabs>
                <w:tab w:val="clear" w:pos="567"/>
                <w:tab w:val="left" w:pos="360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057EE0">
              <w:rPr>
                <w:snapToGrid/>
                <w:szCs w:val="22"/>
                <w:lang w:val="lt-LT"/>
              </w:rPr>
              <w:t>Imuninės</w:t>
            </w:r>
            <w:r>
              <w:rPr>
                <w:snapToGrid/>
                <w:szCs w:val="22"/>
                <w:lang w:val="lt-LT"/>
              </w:rPr>
              <w:t xml:space="preserve"> </w:t>
            </w:r>
            <w:r w:rsidRPr="00057EE0">
              <w:rPr>
                <w:snapToGrid/>
                <w:szCs w:val="22"/>
                <w:lang w:val="lt-LT"/>
              </w:rPr>
              <w:t>sistemos</w:t>
            </w:r>
            <w:r>
              <w:rPr>
                <w:snapToGrid/>
                <w:szCs w:val="22"/>
                <w:lang w:val="lt-LT"/>
              </w:rPr>
              <w:t xml:space="preserve"> </w:t>
            </w:r>
            <w:r w:rsidRPr="00057EE0">
              <w:rPr>
                <w:snapToGrid/>
                <w:szCs w:val="22"/>
                <w:lang w:val="lt-LT"/>
              </w:rPr>
              <w:t>sutrikimai</w:t>
            </w:r>
          </w:p>
        </w:tc>
        <w:tc>
          <w:tcPr>
            <w:tcW w:w="844" w:type="pct"/>
          </w:tcPr>
          <w:p w14:paraId="36FB9C77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/>
              </w:rPr>
              <w:t>-</w:t>
            </w:r>
          </w:p>
        </w:tc>
        <w:tc>
          <w:tcPr>
            <w:tcW w:w="760" w:type="pct"/>
          </w:tcPr>
          <w:p w14:paraId="6DAE5A3E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/>
              </w:rPr>
              <w:t>-</w:t>
            </w:r>
          </w:p>
        </w:tc>
        <w:tc>
          <w:tcPr>
            <w:tcW w:w="2531" w:type="pct"/>
          </w:tcPr>
          <w:p w14:paraId="54C8F4A2" w14:textId="77777777" w:rsidR="00B2511A" w:rsidRPr="00B2511A" w:rsidRDefault="00B2511A" w:rsidP="00D664A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99" w:hanging="99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>-</w:t>
            </w:r>
            <w:r w:rsidR="00D664AD">
              <w:rPr>
                <w:snapToGrid/>
                <w:szCs w:val="22"/>
                <w:lang w:val="lt-LT" w:eastAsia="en-GB"/>
              </w:rPr>
              <w:t xml:space="preserve"> </w:t>
            </w:r>
            <w:r w:rsidR="00057EE0" w:rsidRPr="00057EE0">
              <w:rPr>
                <w:snapToGrid/>
                <w:szCs w:val="22"/>
                <w:lang w:val="lt-LT" w:eastAsia="en-GB"/>
              </w:rPr>
              <w:t xml:space="preserve">Padidėjusio jautrumo reakcijos, </w:t>
            </w:r>
            <w:r w:rsidR="00057EE0">
              <w:rPr>
                <w:snapToGrid/>
                <w:szCs w:val="22"/>
                <w:lang w:val="lt-LT" w:eastAsia="en-GB"/>
              </w:rPr>
              <w:t>į</w:t>
            </w:r>
            <w:r w:rsidR="00057EE0" w:rsidRPr="00057EE0">
              <w:rPr>
                <w:snapToGrid/>
                <w:szCs w:val="22"/>
                <w:lang w:val="lt-LT" w:eastAsia="en-GB"/>
              </w:rPr>
              <w:t>skaitant</w:t>
            </w:r>
            <w:r w:rsidR="00057EE0">
              <w:rPr>
                <w:snapToGrid/>
                <w:szCs w:val="22"/>
                <w:lang w:val="lt-LT" w:eastAsia="en-GB"/>
              </w:rPr>
              <w:t xml:space="preserve"> anafilaksiją</w:t>
            </w:r>
          </w:p>
        </w:tc>
      </w:tr>
      <w:tr w:rsidR="00B2511A" w:rsidRPr="00B2511A" w14:paraId="0F587287" w14:textId="77777777" w:rsidTr="00ED3F3C">
        <w:tc>
          <w:tcPr>
            <w:tcW w:w="865" w:type="pct"/>
          </w:tcPr>
          <w:p w14:paraId="754C8097" w14:textId="77777777" w:rsidR="00B2511A" w:rsidRPr="00B2511A" w:rsidRDefault="00930941" w:rsidP="00B2511A">
            <w:pPr>
              <w:tabs>
                <w:tab w:val="clear" w:pos="567"/>
                <w:tab w:val="left" w:pos="360"/>
              </w:tabs>
              <w:spacing w:line="240" w:lineRule="auto"/>
              <w:rPr>
                <w:snapToGrid/>
                <w:szCs w:val="22"/>
                <w:lang w:val="lt-LT"/>
              </w:rPr>
            </w:pPr>
            <w:r>
              <w:rPr>
                <w:snapToGrid/>
                <w:szCs w:val="22"/>
                <w:lang w:val="lt-LT" w:eastAsia="en-GB"/>
              </w:rPr>
              <w:t>Nervų sistemos sutrikimai</w:t>
            </w:r>
          </w:p>
        </w:tc>
        <w:tc>
          <w:tcPr>
            <w:tcW w:w="844" w:type="pct"/>
          </w:tcPr>
          <w:p w14:paraId="12EE0F3A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/>
              </w:rPr>
              <w:t>-</w:t>
            </w:r>
          </w:p>
        </w:tc>
        <w:tc>
          <w:tcPr>
            <w:tcW w:w="760" w:type="pct"/>
          </w:tcPr>
          <w:p w14:paraId="51CAECFA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/>
              </w:rPr>
              <w:t>-</w:t>
            </w:r>
          </w:p>
        </w:tc>
        <w:tc>
          <w:tcPr>
            <w:tcW w:w="2531" w:type="pct"/>
          </w:tcPr>
          <w:p w14:paraId="70F2028B" w14:textId="77777777" w:rsidR="00B2511A" w:rsidRPr="00B2511A" w:rsidRDefault="00B2511A" w:rsidP="00D664A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35" w:hanging="135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 xml:space="preserve">- </w:t>
            </w:r>
            <w:r w:rsidR="00930941" w:rsidRPr="00930941">
              <w:rPr>
                <w:snapToGrid/>
                <w:szCs w:val="22"/>
                <w:lang w:val="lt-LT" w:eastAsia="en-GB"/>
              </w:rPr>
              <w:t xml:space="preserve">Traukuliai, ypač netinkamo vartojimo atveju (žr. 4.3 ir 4.4 </w:t>
            </w:r>
            <w:r w:rsidR="00930941">
              <w:rPr>
                <w:snapToGrid/>
                <w:szCs w:val="22"/>
                <w:lang w:val="lt-LT" w:eastAsia="en-GB"/>
              </w:rPr>
              <w:t>skyrius</w:t>
            </w:r>
            <w:r w:rsidRPr="00B2511A">
              <w:rPr>
                <w:snapToGrid/>
                <w:szCs w:val="22"/>
                <w:lang w:val="lt-LT" w:eastAsia="en-GB"/>
              </w:rPr>
              <w:t>)</w:t>
            </w:r>
          </w:p>
        </w:tc>
      </w:tr>
      <w:tr w:rsidR="00B2511A" w:rsidRPr="00B2511A" w14:paraId="3C3C1744" w14:textId="77777777" w:rsidTr="00ED3F3C">
        <w:tc>
          <w:tcPr>
            <w:tcW w:w="865" w:type="pct"/>
          </w:tcPr>
          <w:p w14:paraId="4F2E6B66" w14:textId="77777777" w:rsidR="00B2511A" w:rsidRPr="00B2511A" w:rsidRDefault="00930941" w:rsidP="00B2511A">
            <w:pPr>
              <w:tabs>
                <w:tab w:val="clear" w:pos="567"/>
                <w:tab w:val="left" w:pos="360"/>
              </w:tabs>
              <w:spacing w:line="240" w:lineRule="auto"/>
              <w:rPr>
                <w:snapToGrid/>
                <w:szCs w:val="22"/>
                <w:lang w:val="lt-LT"/>
              </w:rPr>
            </w:pPr>
            <w:r>
              <w:rPr>
                <w:snapToGrid/>
                <w:szCs w:val="22"/>
                <w:lang w:val="lt-LT" w:eastAsia="en-GB"/>
              </w:rPr>
              <w:t>Akių sutrikimai</w:t>
            </w:r>
          </w:p>
        </w:tc>
        <w:tc>
          <w:tcPr>
            <w:tcW w:w="844" w:type="pct"/>
          </w:tcPr>
          <w:p w14:paraId="42DB1766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/>
              </w:rPr>
              <w:t>-</w:t>
            </w:r>
          </w:p>
        </w:tc>
        <w:tc>
          <w:tcPr>
            <w:tcW w:w="760" w:type="pct"/>
          </w:tcPr>
          <w:p w14:paraId="6A1D7ABF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/>
              </w:rPr>
              <w:t>-</w:t>
            </w:r>
          </w:p>
        </w:tc>
        <w:tc>
          <w:tcPr>
            <w:tcW w:w="2531" w:type="pct"/>
          </w:tcPr>
          <w:p w14:paraId="07FAD14C" w14:textId="3942AEFA" w:rsidR="00B2511A" w:rsidRPr="00B2511A" w:rsidRDefault="00B2511A" w:rsidP="00D664A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35" w:hanging="135"/>
              <w:rPr>
                <w:snapToGrid/>
                <w:szCs w:val="22"/>
                <w:lang w:val="lt-LT" w:eastAsia="en-GB"/>
              </w:rPr>
            </w:pPr>
            <w:r w:rsidRPr="00B2511A">
              <w:rPr>
                <w:snapToGrid/>
                <w:szCs w:val="22"/>
                <w:lang w:val="lt-LT" w:eastAsia="en-GB"/>
              </w:rPr>
              <w:t>-</w:t>
            </w:r>
            <w:r w:rsidR="00930941">
              <w:rPr>
                <w:snapToGrid/>
                <w:szCs w:val="22"/>
                <w:lang w:val="lt-LT" w:eastAsia="en-GB"/>
              </w:rPr>
              <w:t xml:space="preserve"> </w:t>
            </w:r>
            <w:r w:rsidR="00930941" w:rsidRPr="00930941">
              <w:rPr>
                <w:snapToGrid/>
                <w:szCs w:val="22"/>
                <w:lang w:val="lt-LT" w:eastAsia="en-GB"/>
              </w:rPr>
              <w:t xml:space="preserve">Regėjimo sutrikimai, įskaitant </w:t>
            </w:r>
            <w:r w:rsidR="00251DC0">
              <w:rPr>
                <w:snapToGrid/>
                <w:szCs w:val="22"/>
                <w:lang w:val="lt-LT" w:eastAsia="en-GB"/>
              </w:rPr>
              <w:t xml:space="preserve">pablogėjusį </w:t>
            </w:r>
            <w:r w:rsidR="00930941" w:rsidRPr="00930941">
              <w:rPr>
                <w:snapToGrid/>
                <w:szCs w:val="22"/>
                <w:lang w:val="lt-LT" w:eastAsia="en-GB"/>
              </w:rPr>
              <w:t>spalvų matym</w:t>
            </w:r>
            <w:r w:rsidR="00251DC0">
              <w:rPr>
                <w:snapToGrid/>
                <w:szCs w:val="22"/>
                <w:lang w:val="lt-LT" w:eastAsia="en-GB"/>
              </w:rPr>
              <w:t>ą</w:t>
            </w:r>
            <w:r w:rsidR="00930941" w:rsidRPr="00930941">
              <w:rPr>
                <w:snapToGrid/>
                <w:szCs w:val="22"/>
                <w:lang w:val="lt-LT" w:eastAsia="en-GB"/>
              </w:rPr>
              <w:t xml:space="preserve"> </w:t>
            </w:r>
          </w:p>
        </w:tc>
      </w:tr>
      <w:tr w:rsidR="00B2511A" w:rsidRPr="00B2511A" w14:paraId="0D2F75F0" w14:textId="77777777" w:rsidTr="00ED3F3C">
        <w:tc>
          <w:tcPr>
            <w:tcW w:w="865" w:type="pct"/>
          </w:tcPr>
          <w:p w14:paraId="6855708E" w14:textId="77777777" w:rsidR="00B2511A" w:rsidRPr="00B2511A" w:rsidRDefault="00930941" w:rsidP="00B2511A">
            <w:pPr>
              <w:tabs>
                <w:tab w:val="clear" w:pos="567"/>
                <w:tab w:val="left" w:pos="360"/>
              </w:tabs>
              <w:spacing w:line="240" w:lineRule="auto"/>
              <w:rPr>
                <w:snapToGrid/>
                <w:szCs w:val="22"/>
                <w:lang w:val="lt-LT"/>
              </w:rPr>
            </w:pPr>
            <w:r>
              <w:rPr>
                <w:snapToGrid/>
                <w:szCs w:val="22"/>
                <w:lang w:val="lt-LT" w:eastAsia="en-GB"/>
              </w:rPr>
              <w:t>Kraujagyslių sutrikimai</w:t>
            </w:r>
          </w:p>
        </w:tc>
        <w:tc>
          <w:tcPr>
            <w:tcW w:w="844" w:type="pct"/>
          </w:tcPr>
          <w:p w14:paraId="30CBE429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/>
              </w:rPr>
              <w:t>-</w:t>
            </w:r>
          </w:p>
        </w:tc>
        <w:tc>
          <w:tcPr>
            <w:tcW w:w="760" w:type="pct"/>
          </w:tcPr>
          <w:p w14:paraId="18FCB3F1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/>
              </w:rPr>
              <w:t>-</w:t>
            </w:r>
          </w:p>
        </w:tc>
        <w:tc>
          <w:tcPr>
            <w:tcW w:w="2531" w:type="pct"/>
          </w:tcPr>
          <w:p w14:paraId="318FDD1F" w14:textId="77777777" w:rsidR="00930941" w:rsidRPr="00930941" w:rsidRDefault="00B2511A" w:rsidP="00D664A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35" w:hanging="135"/>
              <w:rPr>
                <w:snapToGrid/>
                <w:szCs w:val="22"/>
                <w:lang w:val="lt-LT" w:eastAsia="en-GB"/>
              </w:rPr>
            </w:pPr>
            <w:r w:rsidRPr="00B2511A">
              <w:rPr>
                <w:snapToGrid/>
                <w:szCs w:val="22"/>
                <w:lang w:val="lt-LT" w:eastAsia="en-GB"/>
              </w:rPr>
              <w:t xml:space="preserve">- </w:t>
            </w:r>
            <w:r w:rsidR="00930941" w:rsidRPr="00930941">
              <w:rPr>
                <w:snapToGrid/>
                <w:szCs w:val="22"/>
                <w:lang w:val="lt-LT" w:eastAsia="en-GB"/>
              </w:rPr>
              <w:t>Nega</w:t>
            </w:r>
            <w:r w:rsidR="00D664AD">
              <w:rPr>
                <w:snapToGrid/>
                <w:szCs w:val="22"/>
                <w:lang w:val="lt-LT" w:eastAsia="en-GB"/>
              </w:rPr>
              <w:t>l</w:t>
            </w:r>
            <w:r w:rsidR="00930941" w:rsidRPr="00930941">
              <w:rPr>
                <w:snapToGrid/>
                <w:szCs w:val="22"/>
                <w:lang w:val="lt-LT" w:eastAsia="en-GB"/>
              </w:rPr>
              <w:t>avimas, pasireiškiantis su hipotenzija, su sąmones praradimu arba be sąmones netekimo</w:t>
            </w:r>
            <w:r w:rsidR="00D664AD">
              <w:rPr>
                <w:snapToGrid/>
                <w:szCs w:val="22"/>
                <w:lang w:val="lt-LT" w:eastAsia="en-GB"/>
              </w:rPr>
              <w:t xml:space="preserve"> </w:t>
            </w:r>
            <w:r w:rsidR="00930941" w:rsidRPr="00930941">
              <w:rPr>
                <w:snapToGrid/>
                <w:szCs w:val="22"/>
                <w:lang w:val="lt-LT" w:eastAsia="en-GB"/>
              </w:rPr>
              <w:t xml:space="preserve">(dažniausiai per greitai </w:t>
            </w:r>
            <w:r w:rsidR="00D664AD" w:rsidRPr="00930941">
              <w:rPr>
                <w:snapToGrid/>
                <w:szCs w:val="22"/>
                <w:lang w:val="lt-LT" w:eastAsia="en-GB"/>
              </w:rPr>
              <w:t>suleidus</w:t>
            </w:r>
            <w:r w:rsidR="00930941" w:rsidRPr="00930941">
              <w:rPr>
                <w:snapToGrid/>
                <w:szCs w:val="22"/>
                <w:lang w:val="lt-LT" w:eastAsia="en-GB"/>
              </w:rPr>
              <w:t xml:space="preserve"> </w:t>
            </w:r>
            <w:r w:rsidR="00D664AD">
              <w:rPr>
                <w:snapToGrid/>
                <w:szCs w:val="22"/>
                <w:lang w:val="lt-LT" w:eastAsia="en-GB"/>
              </w:rPr>
              <w:t>į</w:t>
            </w:r>
            <w:r w:rsidR="00930941" w:rsidRPr="00930941">
              <w:rPr>
                <w:snapToGrid/>
                <w:szCs w:val="22"/>
                <w:lang w:val="lt-LT" w:eastAsia="en-GB"/>
              </w:rPr>
              <w:t xml:space="preserve"> veną, išskirtiniais atvejais </w:t>
            </w:r>
            <w:r w:rsidR="00D664AD">
              <w:rPr>
                <w:snapToGrid/>
                <w:szCs w:val="22"/>
                <w:lang w:val="lt-LT" w:eastAsia="en-GB"/>
              </w:rPr>
              <w:t>−</w:t>
            </w:r>
            <w:r w:rsidR="00930941" w:rsidRPr="00930941">
              <w:rPr>
                <w:snapToGrid/>
                <w:szCs w:val="22"/>
                <w:lang w:val="lt-LT" w:eastAsia="en-GB"/>
              </w:rPr>
              <w:t xml:space="preserve"> pavartojus per burną)</w:t>
            </w:r>
          </w:p>
          <w:p w14:paraId="7722CD6B" w14:textId="77777777" w:rsidR="00B2511A" w:rsidRPr="00B2511A" w:rsidRDefault="00930941" w:rsidP="00D664A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135" w:hanging="135"/>
              <w:rPr>
                <w:snapToGrid/>
                <w:szCs w:val="22"/>
                <w:lang w:val="lt-LT"/>
              </w:rPr>
            </w:pPr>
            <w:r w:rsidRPr="00930941">
              <w:rPr>
                <w:snapToGrid/>
                <w:szCs w:val="22"/>
                <w:lang w:val="lt-LT" w:eastAsia="en-GB"/>
              </w:rPr>
              <w:t>- Arterijų ar venų tromboz</w:t>
            </w:r>
            <w:r w:rsidR="008D30C1">
              <w:rPr>
                <w:snapToGrid/>
                <w:szCs w:val="22"/>
                <w:lang w:val="lt-LT" w:eastAsia="en-GB"/>
              </w:rPr>
              <w:t>ė</w:t>
            </w:r>
            <w:r w:rsidRPr="00930941">
              <w:rPr>
                <w:snapToGrid/>
                <w:szCs w:val="22"/>
                <w:lang w:val="lt-LT" w:eastAsia="en-GB"/>
              </w:rPr>
              <w:t xml:space="preserve"> bet kurioje vietoje</w:t>
            </w:r>
          </w:p>
        </w:tc>
      </w:tr>
      <w:tr w:rsidR="00B2511A" w:rsidRPr="00B2511A" w14:paraId="27A30894" w14:textId="77777777" w:rsidTr="00ED3F3C">
        <w:tc>
          <w:tcPr>
            <w:tcW w:w="865" w:type="pct"/>
          </w:tcPr>
          <w:p w14:paraId="70CC3999" w14:textId="77777777" w:rsidR="00B2511A" w:rsidRPr="00B2511A" w:rsidRDefault="00930941" w:rsidP="00B2511A">
            <w:pPr>
              <w:tabs>
                <w:tab w:val="clear" w:pos="567"/>
                <w:tab w:val="left" w:pos="360"/>
              </w:tabs>
              <w:spacing w:line="240" w:lineRule="auto"/>
              <w:rPr>
                <w:snapToGrid/>
                <w:szCs w:val="22"/>
                <w:lang w:val="lt-LT"/>
              </w:rPr>
            </w:pPr>
            <w:r>
              <w:rPr>
                <w:snapToGrid/>
                <w:szCs w:val="22"/>
                <w:lang w:val="lt-LT" w:eastAsia="en-GB"/>
              </w:rPr>
              <w:t>Virškinimo trakto sutrikimai</w:t>
            </w:r>
          </w:p>
        </w:tc>
        <w:tc>
          <w:tcPr>
            <w:tcW w:w="844" w:type="pct"/>
          </w:tcPr>
          <w:p w14:paraId="65CA9260" w14:textId="77777777" w:rsidR="00B2511A" w:rsidRPr="00B2511A" w:rsidRDefault="00B2511A" w:rsidP="00B2511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en-GB"/>
              </w:rPr>
            </w:pPr>
            <w:r w:rsidRPr="00B2511A">
              <w:rPr>
                <w:snapToGrid/>
                <w:szCs w:val="22"/>
                <w:lang w:val="lt-LT" w:eastAsia="en-GB"/>
              </w:rPr>
              <w:t xml:space="preserve">- </w:t>
            </w:r>
            <w:r w:rsidR="00930941">
              <w:rPr>
                <w:snapToGrid/>
                <w:szCs w:val="22"/>
                <w:lang w:val="lt-LT" w:eastAsia="en-GB"/>
              </w:rPr>
              <w:t>Viduriavimas</w:t>
            </w:r>
          </w:p>
          <w:p w14:paraId="275E4704" w14:textId="77777777" w:rsidR="00B2511A" w:rsidRPr="00B2511A" w:rsidRDefault="00B2511A" w:rsidP="00B2511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en-GB"/>
              </w:rPr>
            </w:pPr>
            <w:r w:rsidRPr="00B2511A">
              <w:rPr>
                <w:snapToGrid/>
                <w:szCs w:val="22"/>
                <w:lang w:val="lt-LT" w:eastAsia="en-GB"/>
              </w:rPr>
              <w:t xml:space="preserve">- </w:t>
            </w:r>
            <w:r w:rsidR="00930941">
              <w:rPr>
                <w:snapToGrid/>
                <w:szCs w:val="22"/>
                <w:lang w:val="lt-LT" w:eastAsia="en-GB"/>
              </w:rPr>
              <w:t>Vėmimas</w:t>
            </w:r>
          </w:p>
          <w:p w14:paraId="66D72BA2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 xml:space="preserve">- </w:t>
            </w:r>
            <w:r w:rsidR="00930941">
              <w:rPr>
                <w:snapToGrid/>
                <w:szCs w:val="22"/>
                <w:lang w:val="lt-LT" w:eastAsia="en-GB"/>
              </w:rPr>
              <w:t>Pykinimas</w:t>
            </w:r>
          </w:p>
        </w:tc>
        <w:tc>
          <w:tcPr>
            <w:tcW w:w="760" w:type="pct"/>
          </w:tcPr>
          <w:p w14:paraId="67B1D51E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/>
              </w:rPr>
              <w:t>-</w:t>
            </w:r>
          </w:p>
        </w:tc>
        <w:tc>
          <w:tcPr>
            <w:tcW w:w="2531" w:type="pct"/>
          </w:tcPr>
          <w:p w14:paraId="2C49D5FD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/>
              </w:rPr>
              <w:t>-</w:t>
            </w:r>
          </w:p>
        </w:tc>
      </w:tr>
      <w:tr w:rsidR="00B2511A" w:rsidRPr="00B2511A" w14:paraId="42AFB5EF" w14:textId="77777777" w:rsidTr="00ED3F3C">
        <w:tc>
          <w:tcPr>
            <w:tcW w:w="865" w:type="pct"/>
          </w:tcPr>
          <w:p w14:paraId="348CDC0D" w14:textId="77777777" w:rsidR="00B2511A" w:rsidRPr="00B2511A" w:rsidRDefault="00930941" w:rsidP="00B2511A">
            <w:pPr>
              <w:tabs>
                <w:tab w:val="clear" w:pos="567"/>
                <w:tab w:val="left" w:pos="360"/>
              </w:tabs>
              <w:spacing w:line="240" w:lineRule="auto"/>
              <w:rPr>
                <w:snapToGrid/>
                <w:szCs w:val="22"/>
                <w:lang w:val="lt-LT"/>
              </w:rPr>
            </w:pPr>
            <w:r>
              <w:rPr>
                <w:snapToGrid/>
                <w:szCs w:val="22"/>
                <w:lang w:val="lt-LT" w:eastAsia="en-GB"/>
              </w:rPr>
              <w:t>Odos ir poodinio audinio sutrikimai</w:t>
            </w:r>
          </w:p>
        </w:tc>
        <w:tc>
          <w:tcPr>
            <w:tcW w:w="844" w:type="pct"/>
          </w:tcPr>
          <w:p w14:paraId="1AE2A0BD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/>
              </w:rPr>
              <w:t>-</w:t>
            </w:r>
          </w:p>
        </w:tc>
        <w:tc>
          <w:tcPr>
            <w:tcW w:w="760" w:type="pct"/>
          </w:tcPr>
          <w:p w14:paraId="033D271D" w14:textId="77777777" w:rsidR="00B2511A" w:rsidRPr="00B2511A" w:rsidRDefault="00B2511A" w:rsidP="00B2511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 w:eastAsia="en-GB"/>
              </w:rPr>
              <w:t xml:space="preserve">- </w:t>
            </w:r>
            <w:r w:rsidR="00930941">
              <w:rPr>
                <w:snapToGrid/>
                <w:szCs w:val="22"/>
                <w:lang w:val="lt-LT" w:eastAsia="en-GB"/>
              </w:rPr>
              <w:t>Alerginis dermatitas</w:t>
            </w:r>
          </w:p>
        </w:tc>
        <w:tc>
          <w:tcPr>
            <w:tcW w:w="2531" w:type="pct"/>
          </w:tcPr>
          <w:p w14:paraId="5C123CB4" w14:textId="77777777" w:rsidR="00B2511A" w:rsidRPr="00B2511A" w:rsidRDefault="00B2511A" w:rsidP="00B2511A">
            <w:pPr>
              <w:tabs>
                <w:tab w:val="clear" w:pos="567"/>
                <w:tab w:val="left" w:pos="360"/>
              </w:tabs>
              <w:spacing w:line="240" w:lineRule="auto"/>
              <w:jc w:val="center"/>
              <w:rPr>
                <w:snapToGrid/>
                <w:szCs w:val="22"/>
                <w:lang w:val="lt-LT"/>
              </w:rPr>
            </w:pPr>
            <w:r w:rsidRPr="00B2511A">
              <w:rPr>
                <w:snapToGrid/>
                <w:szCs w:val="22"/>
                <w:lang w:val="lt-LT"/>
              </w:rPr>
              <w:t>-</w:t>
            </w:r>
          </w:p>
        </w:tc>
      </w:tr>
    </w:tbl>
    <w:p w14:paraId="69E37BEC" w14:textId="77777777" w:rsidR="00B2511A" w:rsidRDefault="00B2511A" w:rsidP="008E6D33">
      <w:pPr>
        <w:spacing w:line="240" w:lineRule="auto"/>
        <w:rPr>
          <w:szCs w:val="24"/>
          <w:lang w:val="lt-LT"/>
        </w:rPr>
      </w:pPr>
    </w:p>
    <w:p w14:paraId="46645D2E" w14:textId="77777777" w:rsidR="00E65EE9" w:rsidRPr="009E1963" w:rsidRDefault="00E65EE9" w:rsidP="009E1963">
      <w:pPr>
        <w:jc w:val="both"/>
        <w:rPr>
          <w:u w:val="single"/>
        </w:rPr>
      </w:pPr>
      <w:proofErr w:type="spellStart"/>
      <w:r w:rsidRPr="009E1963">
        <w:rPr>
          <w:u w:val="single"/>
        </w:rPr>
        <w:t>Pranešimas</w:t>
      </w:r>
      <w:proofErr w:type="spellEnd"/>
      <w:r w:rsidRPr="009E1963">
        <w:rPr>
          <w:u w:val="single"/>
        </w:rPr>
        <w:t xml:space="preserve"> </w:t>
      </w:r>
      <w:proofErr w:type="spellStart"/>
      <w:r w:rsidRPr="009E1963">
        <w:rPr>
          <w:u w:val="single"/>
        </w:rPr>
        <w:t>apie</w:t>
      </w:r>
      <w:proofErr w:type="spellEnd"/>
      <w:r w:rsidRPr="009E1963">
        <w:rPr>
          <w:u w:val="single"/>
        </w:rPr>
        <w:t xml:space="preserve"> </w:t>
      </w:r>
      <w:proofErr w:type="spellStart"/>
      <w:r w:rsidRPr="009E1963">
        <w:rPr>
          <w:u w:val="single"/>
        </w:rPr>
        <w:t>įtariamas</w:t>
      </w:r>
      <w:proofErr w:type="spellEnd"/>
      <w:r w:rsidRPr="009E1963">
        <w:rPr>
          <w:u w:val="single"/>
        </w:rPr>
        <w:t xml:space="preserve"> </w:t>
      </w:r>
      <w:proofErr w:type="spellStart"/>
      <w:r w:rsidRPr="009E1963">
        <w:rPr>
          <w:u w:val="single"/>
        </w:rPr>
        <w:t>nepageidaujamas</w:t>
      </w:r>
      <w:proofErr w:type="spellEnd"/>
      <w:r w:rsidRPr="009E1963">
        <w:rPr>
          <w:u w:val="single"/>
        </w:rPr>
        <w:t xml:space="preserve"> </w:t>
      </w:r>
      <w:proofErr w:type="spellStart"/>
      <w:r w:rsidRPr="009E1963">
        <w:rPr>
          <w:u w:val="single"/>
        </w:rPr>
        <w:t>reakcijas</w:t>
      </w:r>
      <w:proofErr w:type="spellEnd"/>
    </w:p>
    <w:p w14:paraId="13577B44" w14:textId="67905644" w:rsidR="00E65EE9" w:rsidRPr="009E1963" w:rsidRDefault="00E65EE9" w:rsidP="009E1963">
      <w:pPr>
        <w:jc w:val="both"/>
      </w:pPr>
      <w:proofErr w:type="spellStart"/>
      <w:r w:rsidRPr="009E1963">
        <w:t>Svarbu</w:t>
      </w:r>
      <w:proofErr w:type="spellEnd"/>
      <w:r w:rsidRPr="009E1963">
        <w:t xml:space="preserve"> </w:t>
      </w:r>
      <w:proofErr w:type="spellStart"/>
      <w:r w:rsidRPr="009E1963">
        <w:t>pranešti</w:t>
      </w:r>
      <w:proofErr w:type="spellEnd"/>
      <w:r w:rsidRPr="009E1963">
        <w:t xml:space="preserve"> </w:t>
      </w:r>
      <w:proofErr w:type="spellStart"/>
      <w:r w:rsidRPr="009E1963">
        <w:t>apie</w:t>
      </w:r>
      <w:proofErr w:type="spellEnd"/>
      <w:r w:rsidRPr="009E1963">
        <w:t xml:space="preserve"> </w:t>
      </w:r>
      <w:proofErr w:type="spellStart"/>
      <w:r w:rsidRPr="009E1963">
        <w:t>įtariamas</w:t>
      </w:r>
      <w:proofErr w:type="spellEnd"/>
      <w:r w:rsidRPr="009E1963">
        <w:t xml:space="preserve"> </w:t>
      </w:r>
      <w:proofErr w:type="spellStart"/>
      <w:r w:rsidRPr="009E1963">
        <w:t>nepageidaujamas</w:t>
      </w:r>
      <w:proofErr w:type="spellEnd"/>
      <w:r w:rsidRPr="009E1963">
        <w:t xml:space="preserve"> </w:t>
      </w:r>
      <w:proofErr w:type="spellStart"/>
      <w:r w:rsidRPr="009E1963">
        <w:t>reakcijas</w:t>
      </w:r>
      <w:proofErr w:type="spellEnd"/>
      <w:r w:rsidRPr="009E1963">
        <w:t xml:space="preserve">, </w:t>
      </w:r>
      <w:proofErr w:type="spellStart"/>
      <w:r w:rsidRPr="009E1963">
        <w:t>pastebėtas</w:t>
      </w:r>
      <w:proofErr w:type="spellEnd"/>
      <w:r w:rsidRPr="009E1963">
        <w:t xml:space="preserve"> </w:t>
      </w:r>
      <w:proofErr w:type="spellStart"/>
      <w:r w:rsidRPr="009E1963">
        <w:t>po</w:t>
      </w:r>
      <w:proofErr w:type="spellEnd"/>
      <w:r w:rsidRPr="009E1963">
        <w:t xml:space="preserve"> </w:t>
      </w:r>
      <w:proofErr w:type="spellStart"/>
      <w:r w:rsidRPr="009E1963">
        <w:t>vaistinio</w:t>
      </w:r>
      <w:proofErr w:type="spellEnd"/>
      <w:r w:rsidRPr="009E1963">
        <w:t xml:space="preserve"> </w:t>
      </w:r>
      <w:proofErr w:type="spellStart"/>
      <w:r w:rsidRPr="009E1963">
        <w:t>preparato</w:t>
      </w:r>
      <w:proofErr w:type="spellEnd"/>
      <w:r w:rsidRPr="009E1963">
        <w:t xml:space="preserve"> </w:t>
      </w:r>
      <w:proofErr w:type="spellStart"/>
      <w:r w:rsidRPr="009E1963">
        <w:t>registracijos</w:t>
      </w:r>
      <w:proofErr w:type="spellEnd"/>
      <w:r w:rsidRPr="009E1963">
        <w:t xml:space="preserve">, </w:t>
      </w:r>
      <w:proofErr w:type="spellStart"/>
      <w:r w:rsidRPr="009E1963">
        <w:t>nes</w:t>
      </w:r>
      <w:proofErr w:type="spellEnd"/>
      <w:r w:rsidRPr="009E1963">
        <w:t xml:space="preserve"> tai </w:t>
      </w:r>
      <w:proofErr w:type="spellStart"/>
      <w:r w:rsidRPr="009E1963">
        <w:t>leidžia</w:t>
      </w:r>
      <w:proofErr w:type="spellEnd"/>
      <w:r w:rsidRPr="009E1963">
        <w:t xml:space="preserve"> </w:t>
      </w:r>
      <w:proofErr w:type="spellStart"/>
      <w:r w:rsidRPr="009E1963">
        <w:t>nuolat</w:t>
      </w:r>
      <w:proofErr w:type="spellEnd"/>
      <w:r w:rsidRPr="009E1963">
        <w:t xml:space="preserve"> </w:t>
      </w:r>
      <w:proofErr w:type="spellStart"/>
      <w:r w:rsidRPr="009E1963">
        <w:t>stebėti</w:t>
      </w:r>
      <w:proofErr w:type="spellEnd"/>
      <w:r w:rsidRPr="009E1963">
        <w:t xml:space="preserve"> </w:t>
      </w:r>
      <w:proofErr w:type="spellStart"/>
      <w:r w:rsidRPr="009E1963">
        <w:t>vaistinio</w:t>
      </w:r>
      <w:proofErr w:type="spellEnd"/>
      <w:r w:rsidRPr="009E1963">
        <w:t xml:space="preserve"> </w:t>
      </w:r>
      <w:proofErr w:type="spellStart"/>
      <w:r w:rsidRPr="009E1963">
        <w:t>preparato</w:t>
      </w:r>
      <w:proofErr w:type="spellEnd"/>
      <w:r w:rsidRPr="009E1963">
        <w:t xml:space="preserve"> </w:t>
      </w:r>
      <w:proofErr w:type="spellStart"/>
      <w:r w:rsidRPr="009E1963">
        <w:t>naudos</w:t>
      </w:r>
      <w:proofErr w:type="spellEnd"/>
      <w:r w:rsidRPr="009E1963">
        <w:t xml:space="preserve"> </w:t>
      </w:r>
      <w:proofErr w:type="spellStart"/>
      <w:r w:rsidRPr="009E1963">
        <w:t>ir</w:t>
      </w:r>
      <w:proofErr w:type="spellEnd"/>
      <w:r w:rsidRPr="009E1963">
        <w:t xml:space="preserve"> </w:t>
      </w:r>
      <w:proofErr w:type="spellStart"/>
      <w:r w:rsidRPr="009E1963">
        <w:t>rizikos</w:t>
      </w:r>
      <w:proofErr w:type="spellEnd"/>
      <w:r w:rsidRPr="009E1963">
        <w:t xml:space="preserve"> </w:t>
      </w:r>
      <w:proofErr w:type="spellStart"/>
      <w:r w:rsidRPr="009E1963">
        <w:t>santykį</w:t>
      </w:r>
      <w:proofErr w:type="spellEnd"/>
      <w:r w:rsidRPr="009E1963">
        <w:t xml:space="preserve">. </w:t>
      </w:r>
      <w:proofErr w:type="spellStart"/>
      <w:r w:rsidRPr="009E1963">
        <w:t>Sveikatos</w:t>
      </w:r>
      <w:proofErr w:type="spellEnd"/>
      <w:r w:rsidRPr="009E1963">
        <w:t xml:space="preserve"> </w:t>
      </w:r>
      <w:proofErr w:type="spellStart"/>
      <w:r w:rsidRPr="009E1963">
        <w:t>priežiūros</w:t>
      </w:r>
      <w:proofErr w:type="spellEnd"/>
      <w:r w:rsidRPr="009E1963">
        <w:t xml:space="preserve"> </w:t>
      </w:r>
      <w:proofErr w:type="spellStart"/>
      <w:r>
        <w:rPr>
          <w:szCs w:val="22"/>
        </w:rPr>
        <w:t>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farmacijos</w:t>
      </w:r>
      <w:proofErr w:type="spellEnd"/>
      <w:r>
        <w:rPr>
          <w:szCs w:val="22"/>
        </w:rPr>
        <w:t xml:space="preserve"> </w:t>
      </w:r>
      <w:proofErr w:type="spellStart"/>
      <w:r w:rsidRPr="009E1963">
        <w:t>specialistai</w:t>
      </w:r>
      <w:proofErr w:type="spellEnd"/>
      <w:r w:rsidRPr="009E1963">
        <w:t xml:space="preserve"> </w:t>
      </w:r>
      <w:proofErr w:type="spellStart"/>
      <w:r w:rsidRPr="009E1963">
        <w:t>turi</w:t>
      </w:r>
      <w:proofErr w:type="spellEnd"/>
      <w:r w:rsidRPr="009E1963">
        <w:t xml:space="preserve"> </w:t>
      </w:r>
      <w:proofErr w:type="spellStart"/>
      <w:r w:rsidRPr="009E1963">
        <w:t>pranešti</w:t>
      </w:r>
      <w:proofErr w:type="spellEnd"/>
      <w:r w:rsidRPr="009E1963">
        <w:t xml:space="preserve"> </w:t>
      </w:r>
      <w:proofErr w:type="spellStart"/>
      <w:r w:rsidRPr="009E1963">
        <w:t>apie</w:t>
      </w:r>
      <w:proofErr w:type="spellEnd"/>
      <w:r w:rsidRPr="009E1963">
        <w:t xml:space="preserve"> bet </w:t>
      </w:r>
      <w:proofErr w:type="spellStart"/>
      <w:r w:rsidRPr="009E1963">
        <w:t>kokias</w:t>
      </w:r>
      <w:proofErr w:type="spellEnd"/>
      <w:r w:rsidRPr="009E1963">
        <w:t xml:space="preserve"> </w:t>
      </w:r>
      <w:proofErr w:type="spellStart"/>
      <w:r w:rsidRPr="009E1963">
        <w:t>įtariamas</w:t>
      </w:r>
      <w:proofErr w:type="spellEnd"/>
      <w:r w:rsidRPr="009E1963">
        <w:t xml:space="preserve"> </w:t>
      </w:r>
      <w:proofErr w:type="spellStart"/>
      <w:r w:rsidRPr="009E1963">
        <w:t>nepageidaujamas</w:t>
      </w:r>
      <w:proofErr w:type="spellEnd"/>
      <w:r w:rsidRPr="009E1963">
        <w:t xml:space="preserve"> </w:t>
      </w:r>
      <w:proofErr w:type="spellStart"/>
      <w:r w:rsidRPr="009E1963">
        <w:t>reakcijas</w:t>
      </w:r>
      <w:proofErr w:type="spellEnd"/>
      <w:r w:rsidRPr="009E1963">
        <w:t xml:space="preserve">, </w:t>
      </w:r>
      <w:proofErr w:type="spellStart"/>
      <w:r w:rsidRPr="009E1963">
        <w:t>užpildę</w:t>
      </w:r>
      <w:proofErr w:type="spellEnd"/>
      <w:r w:rsidRPr="009E1963">
        <w:t xml:space="preserve"> </w:t>
      </w:r>
      <w:proofErr w:type="spellStart"/>
      <w:r>
        <w:rPr>
          <w:szCs w:val="22"/>
        </w:rPr>
        <w:t>ir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pateikę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pranešimo</w:t>
      </w:r>
      <w:proofErr w:type="spellEnd"/>
      <w:r w:rsidRPr="009E1963">
        <w:t xml:space="preserve"> </w:t>
      </w:r>
      <w:proofErr w:type="spellStart"/>
      <w:r w:rsidRPr="009E1963">
        <w:t>formą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Valstybinės</w:t>
      </w:r>
      <w:proofErr w:type="spellEnd"/>
      <w:r w:rsidRPr="009E1963">
        <w:t xml:space="preserve"> </w:t>
      </w:r>
      <w:proofErr w:type="spellStart"/>
      <w:r w:rsidRPr="009E1963">
        <w:t>vaistų</w:t>
      </w:r>
      <w:proofErr w:type="spellEnd"/>
      <w:r w:rsidRPr="009E1963">
        <w:t xml:space="preserve"> </w:t>
      </w:r>
      <w:proofErr w:type="spellStart"/>
      <w:r w:rsidRPr="009E1963">
        <w:t>kontrolės</w:t>
      </w:r>
      <w:proofErr w:type="spellEnd"/>
      <w:r w:rsidRPr="009E1963">
        <w:t xml:space="preserve"> </w:t>
      </w:r>
      <w:proofErr w:type="spellStart"/>
      <w:r>
        <w:rPr>
          <w:szCs w:val="22"/>
        </w:rPr>
        <w:t>tarnybos</w:t>
      </w:r>
      <w:proofErr w:type="spellEnd"/>
      <w:r w:rsidRPr="009E1963">
        <w:t xml:space="preserve"> </w:t>
      </w:r>
      <w:proofErr w:type="spellStart"/>
      <w:r w:rsidRPr="009E1963">
        <w:t>prie</w:t>
      </w:r>
      <w:proofErr w:type="spellEnd"/>
      <w:r w:rsidRPr="009E1963">
        <w:t xml:space="preserve"> </w:t>
      </w:r>
      <w:proofErr w:type="spellStart"/>
      <w:r w:rsidRPr="009E1963">
        <w:t>Lietuvos</w:t>
      </w:r>
      <w:proofErr w:type="spellEnd"/>
      <w:r w:rsidRPr="009E1963">
        <w:t xml:space="preserve"> </w:t>
      </w:r>
      <w:proofErr w:type="spellStart"/>
      <w:r w:rsidRPr="009E1963">
        <w:t>Respublikos</w:t>
      </w:r>
      <w:proofErr w:type="spellEnd"/>
      <w:r w:rsidRPr="009E1963">
        <w:t xml:space="preserve"> </w:t>
      </w:r>
      <w:proofErr w:type="spellStart"/>
      <w:r w:rsidRPr="009E1963">
        <w:t>sveikatos</w:t>
      </w:r>
      <w:proofErr w:type="spellEnd"/>
      <w:r w:rsidRPr="009E1963">
        <w:t xml:space="preserve"> </w:t>
      </w:r>
      <w:proofErr w:type="spellStart"/>
      <w:r w:rsidRPr="009E1963">
        <w:t>apsaugos</w:t>
      </w:r>
      <w:proofErr w:type="spellEnd"/>
      <w:r w:rsidRPr="009E1963">
        <w:t xml:space="preserve"> </w:t>
      </w:r>
      <w:proofErr w:type="spellStart"/>
      <w:r w:rsidRPr="009E1963">
        <w:t>ministerijos</w:t>
      </w:r>
      <w:proofErr w:type="spellEnd"/>
      <w:r w:rsidRPr="009E1963">
        <w:t xml:space="preserve"> </w:t>
      </w:r>
      <w:proofErr w:type="spellStart"/>
      <w:r>
        <w:rPr>
          <w:szCs w:val="22"/>
        </w:rPr>
        <w:t>tinklalapyje</w:t>
      </w:r>
      <w:proofErr w:type="spellEnd"/>
      <w:r>
        <w:rPr>
          <w:szCs w:val="22"/>
        </w:rPr>
        <w:t xml:space="preserve"> </w:t>
      </w:r>
      <w:r>
        <w:rPr>
          <w:szCs w:val="22"/>
          <w:u w:val="single"/>
        </w:rPr>
        <w:t>https://vvkt.lrv.lt/lt/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nurodytais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būdais</w:t>
      </w:r>
      <w:proofErr w:type="spellEnd"/>
      <w:r>
        <w:rPr>
          <w:szCs w:val="22"/>
        </w:rPr>
        <w:t>.</w:t>
      </w:r>
    </w:p>
    <w:p w14:paraId="148921EC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BE729A2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4.9</w:t>
      </w:r>
      <w:r w:rsidRPr="00B2511A">
        <w:rPr>
          <w:b/>
          <w:snapToGrid/>
          <w:kern w:val="28"/>
          <w:szCs w:val="22"/>
          <w:lang w:val="lt-LT"/>
        </w:rPr>
        <w:tab/>
        <w:t>Perdozavimas</w:t>
      </w:r>
    </w:p>
    <w:p w14:paraId="1E350FF5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74B1F741" w14:textId="77777777" w:rsidR="00790666" w:rsidRPr="00790666" w:rsidRDefault="00790666" w:rsidP="00790666">
      <w:pPr>
        <w:spacing w:line="240" w:lineRule="auto"/>
        <w:rPr>
          <w:lang w:val="lt-LT"/>
        </w:rPr>
      </w:pPr>
      <w:r w:rsidRPr="00790666">
        <w:rPr>
          <w:lang w:val="lt-LT"/>
        </w:rPr>
        <w:t>Pranešimų apie perdozavimo atvejus negauta.</w:t>
      </w:r>
    </w:p>
    <w:p w14:paraId="6A675CDD" w14:textId="72ED77CB" w:rsidR="00790666" w:rsidRPr="00790666" w:rsidRDefault="00790666" w:rsidP="00790666">
      <w:pPr>
        <w:spacing w:line="240" w:lineRule="auto"/>
        <w:rPr>
          <w:lang w:val="lt-LT"/>
        </w:rPr>
      </w:pPr>
      <w:r w:rsidRPr="00790666">
        <w:rPr>
          <w:lang w:val="lt-LT"/>
        </w:rPr>
        <w:t>Požymiai ir simptomai ga</w:t>
      </w:r>
      <w:r>
        <w:rPr>
          <w:lang w:val="lt-LT"/>
        </w:rPr>
        <w:t>l</w:t>
      </w:r>
      <w:r w:rsidRPr="00790666">
        <w:rPr>
          <w:lang w:val="lt-LT"/>
        </w:rPr>
        <w:t>i b</w:t>
      </w:r>
      <w:r>
        <w:rPr>
          <w:lang w:val="lt-LT"/>
        </w:rPr>
        <w:t>ū</w:t>
      </w:r>
      <w:r w:rsidRPr="00790666">
        <w:rPr>
          <w:lang w:val="lt-LT"/>
        </w:rPr>
        <w:t xml:space="preserve">ti: galvos svaigimas, galvos skausmas, hipotenzija ir traukuliai. </w:t>
      </w:r>
      <w:r>
        <w:rPr>
          <w:lang w:val="lt-LT"/>
        </w:rPr>
        <w:t>Į</w:t>
      </w:r>
      <w:r w:rsidRPr="00790666">
        <w:rPr>
          <w:lang w:val="lt-LT"/>
        </w:rPr>
        <w:t>rodyta, kad traukul</w:t>
      </w:r>
      <w:r>
        <w:rPr>
          <w:lang w:val="lt-LT"/>
        </w:rPr>
        <w:t>i</w:t>
      </w:r>
      <w:r w:rsidRPr="00790666">
        <w:rPr>
          <w:lang w:val="lt-LT"/>
        </w:rPr>
        <w:t>ai  pasire</w:t>
      </w:r>
      <w:r w:rsidR="00251DC0">
        <w:rPr>
          <w:lang w:val="lt-LT"/>
        </w:rPr>
        <w:t>iškia</w:t>
      </w:r>
      <w:r w:rsidRPr="00790666">
        <w:rPr>
          <w:lang w:val="lt-LT"/>
        </w:rPr>
        <w:t xml:space="preserve"> dažniau vartojant didesnę dozę.</w:t>
      </w:r>
    </w:p>
    <w:p w14:paraId="1A628BFD" w14:textId="77777777" w:rsidR="00F34163" w:rsidRPr="00B2511A" w:rsidRDefault="00790666" w:rsidP="00790666">
      <w:pPr>
        <w:spacing w:line="240" w:lineRule="auto"/>
        <w:rPr>
          <w:lang w:val="lt-LT"/>
        </w:rPr>
      </w:pPr>
      <w:r w:rsidRPr="00790666">
        <w:rPr>
          <w:lang w:val="lt-LT"/>
        </w:rPr>
        <w:t>Perdozavimo atveju skiriamas pa</w:t>
      </w:r>
      <w:r>
        <w:rPr>
          <w:lang w:val="lt-LT"/>
        </w:rPr>
        <w:t>l</w:t>
      </w:r>
      <w:r w:rsidRPr="00790666">
        <w:rPr>
          <w:lang w:val="lt-LT"/>
        </w:rPr>
        <w:t>aiko</w:t>
      </w:r>
      <w:r>
        <w:rPr>
          <w:lang w:val="lt-LT"/>
        </w:rPr>
        <w:t>m</w:t>
      </w:r>
      <w:r w:rsidRPr="00790666">
        <w:rPr>
          <w:lang w:val="lt-LT"/>
        </w:rPr>
        <w:t>asis gydymas</w:t>
      </w:r>
      <w:r w:rsidR="00F4120F" w:rsidRPr="00B2511A">
        <w:rPr>
          <w:lang w:val="lt-LT"/>
        </w:rPr>
        <w:t>.</w:t>
      </w:r>
    </w:p>
    <w:p w14:paraId="51A12C7F" w14:textId="77777777" w:rsidR="00F4120F" w:rsidRPr="00B2511A" w:rsidRDefault="00F4120F" w:rsidP="00C25270">
      <w:pPr>
        <w:spacing w:line="240" w:lineRule="auto"/>
        <w:rPr>
          <w:szCs w:val="24"/>
          <w:lang w:val="lt-LT"/>
        </w:rPr>
      </w:pPr>
    </w:p>
    <w:p w14:paraId="2F34D7D5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1948DC19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1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5.</w:t>
      </w:r>
      <w:r w:rsidRPr="00B2511A">
        <w:rPr>
          <w:b/>
          <w:bCs/>
          <w:snapToGrid/>
          <w:szCs w:val="22"/>
          <w:lang w:val="lt-LT"/>
        </w:rPr>
        <w:tab/>
        <w:t>FARMAKOLOGINĖS SAVYBĖS</w:t>
      </w:r>
    </w:p>
    <w:p w14:paraId="1B307D22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2E3D30DC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 xml:space="preserve">5.1 </w:t>
      </w:r>
      <w:r w:rsidRPr="00B2511A">
        <w:rPr>
          <w:b/>
          <w:snapToGrid/>
          <w:kern w:val="28"/>
          <w:szCs w:val="22"/>
          <w:lang w:val="lt-LT"/>
        </w:rPr>
        <w:tab/>
        <w:t>Farmakodinaminės savybės</w:t>
      </w:r>
    </w:p>
    <w:p w14:paraId="7C88218A" w14:textId="77777777" w:rsidR="00F34163" w:rsidRPr="00B2511A" w:rsidRDefault="00F34163" w:rsidP="000724E7">
      <w:pPr>
        <w:spacing w:line="240" w:lineRule="auto"/>
        <w:rPr>
          <w:szCs w:val="24"/>
          <w:lang w:val="lt-LT"/>
        </w:rPr>
      </w:pPr>
    </w:p>
    <w:p w14:paraId="0D7B9F20" w14:textId="1B19939F" w:rsidR="001B7CCA" w:rsidRDefault="00802CE6" w:rsidP="000724E7">
      <w:pPr>
        <w:spacing w:line="240" w:lineRule="auto"/>
        <w:rPr>
          <w:lang w:val="lt-LT"/>
        </w:rPr>
      </w:pPr>
      <w:r w:rsidRPr="00B2511A">
        <w:rPr>
          <w:lang w:val="lt-LT"/>
        </w:rPr>
        <w:lastRenderedPageBreak/>
        <w:t xml:space="preserve">Farmakoterapinė grupė – </w:t>
      </w:r>
      <w:r w:rsidR="00790666" w:rsidRPr="00790666">
        <w:rPr>
          <w:lang w:val="lt-LT"/>
        </w:rPr>
        <w:t>antihemoraginiai, antifibrinoli</w:t>
      </w:r>
      <w:r w:rsidR="001B7CCA">
        <w:rPr>
          <w:lang w:val="lt-LT"/>
        </w:rPr>
        <w:t>t</w:t>
      </w:r>
      <w:r w:rsidR="00790666" w:rsidRPr="00790666">
        <w:rPr>
          <w:lang w:val="lt-LT"/>
        </w:rPr>
        <w:t xml:space="preserve">iniai </w:t>
      </w:r>
      <w:r w:rsidRPr="00B2511A">
        <w:rPr>
          <w:lang w:val="lt-LT"/>
        </w:rPr>
        <w:t xml:space="preserve">vaistiniai preparatai, </w:t>
      </w:r>
      <w:r w:rsidR="001B7CCA">
        <w:rPr>
          <w:lang w:val="lt-LT"/>
        </w:rPr>
        <w:t>aminorūgštys.</w:t>
      </w:r>
    </w:p>
    <w:p w14:paraId="5A9448FE" w14:textId="77777777" w:rsidR="000C072F" w:rsidRPr="00B2511A" w:rsidRDefault="00802CE6" w:rsidP="000724E7">
      <w:pPr>
        <w:spacing w:line="240" w:lineRule="auto"/>
        <w:rPr>
          <w:lang w:val="lt-LT"/>
        </w:rPr>
      </w:pPr>
      <w:r w:rsidRPr="00B2511A">
        <w:rPr>
          <w:lang w:val="lt-LT"/>
        </w:rPr>
        <w:t xml:space="preserve">ATC kodas – </w:t>
      </w:r>
      <w:r w:rsidR="00790666">
        <w:rPr>
          <w:lang w:val="lt-LT"/>
        </w:rPr>
        <w:t>B</w:t>
      </w:r>
      <w:r w:rsidRPr="00B2511A">
        <w:rPr>
          <w:lang w:val="lt-LT"/>
        </w:rPr>
        <w:t>02</w:t>
      </w:r>
      <w:r w:rsidR="00790666">
        <w:rPr>
          <w:lang w:val="lt-LT"/>
        </w:rPr>
        <w:t>AA</w:t>
      </w:r>
      <w:r w:rsidRPr="00B2511A">
        <w:rPr>
          <w:lang w:val="lt-LT"/>
        </w:rPr>
        <w:t>02</w:t>
      </w:r>
      <w:r w:rsidR="000C072F" w:rsidRPr="00B2511A">
        <w:rPr>
          <w:lang w:val="lt-LT"/>
        </w:rPr>
        <w:t>.</w:t>
      </w:r>
    </w:p>
    <w:p w14:paraId="05C12539" w14:textId="77777777" w:rsidR="000C072F" w:rsidRPr="00B2511A" w:rsidRDefault="000C072F" w:rsidP="000724E7">
      <w:pPr>
        <w:spacing w:line="240" w:lineRule="auto"/>
        <w:rPr>
          <w:lang w:val="lt-LT"/>
        </w:rPr>
      </w:pPr>
    </w:p>
    <w:p w14:paraId="5DBDB33A" w14:textId="77777777" w:rsidR="000724E7" w:rsidRDefault="00790666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lt-LT"/>
        </w:rPr>
      </w:pPr>
      <w:r w:rsidRPr="00790666">
        <w:rPr>
          <w:lang w:val="lt-LT"/>
        </w:rPr>
        <w:t>Traneksamo rūgščiai yra būdingas ant</w:t>
      </w:r>
      <w:r w:rsidR="000724E7">
        <w:rPr>
          <w:lang w:val="lt-LT"/>
        </w:rPr>
        <w:t>i</w:t>
      </w:r>
      <w:r w:rsidRPr="00790666">
        <w:rPr>
          <w:lang w:val="lt-LT"/>
        </w:rPr>
        <w:t xml:space="preserve">hemoraginis </w:t>
      </w:r>
      <w:r w:rsidR="000724E7" w:rsidRPr="00790666">
        <w:rPr>
          <w:lang w:val="lt-LT"/>
        </w:rPr>
        <w:t>poveikis</w:t>
      </w:r>
      <w:r w:rsidRPr="00790666">
        <w:rPr>
          <w:lang w:val="lt-LT"/>
        </w:rPr>
        <w:t xml:space="preserve">, </w:t>
      </w:r>
      <w:r w:rsidR="000724E7" w:rsidRPr="00790666">
        <w:rPr>
          <w:lang w:val="lt-LT"/>
        </w:rPr>
        <w:t>pasireiškiantis</w:t>
      </w:r>
      <w:r w:rsidRPr="00790666">
        <w:rPr>
          <w:lang w:val="lt-LT"/>
        </w:rPr>
        <w:t xml:space="preserve"> </w:t>
      </w:r>
      <w:r w:rsidR="000724E7" w:rsidRPr="00790666">
        <w:rPr>
          <w:lang w:val="lt-LT"/>
        </w:rPr>
        <w:t>dėl</w:t>
      </w:r>
      <w:r w:rsidRPr="00790666">
        <w:rPr>
          <w:lang w:val="lt-LT"/>
        </w:rPr>
        <w:t xml:space="preserve"> fibrinolizin</w:t>
      </w:r>
      <w:r w:rsidR="00CF3CC5">
        <w:rPr>
          <w:lang w:val="lt-LT"/>
        </w:rPr>
        <w:t>ių</w:t>
      </w:r>
      <w:r w:rsidRPr="00790666">
        <w:rPr>
          <w:lang w:val="lt-LT"/>
        </w:rPr>
        <w:t xml:space="preserve"> pl</w:t>
      </w:r>
      <w:r w:rsidR="000724E7">
        <w:rPr>
          <w:lang w:val="lt-LT"/>
        </w:rPr>
        <w:t>a</w:t>
      </w:r>
      <w:r w:rsidRPr="00790666">
        <w:rPr>
          <w:lang w:val="lt-LT"/>
        </w:rPr>
        <w:t xml:space="preserve">zmino savybių </w:t>
      </w:r>
      <w:r w:rsidR="000724E7" w:rsidRPr="00790666">
        <w:rPr>
          <w:lang w:val="lt-LT"/>
        </w:rPr>
        <w:t>slopinimo</w:t>
      </w:r>
      <w:r w:rsidRPr="00790666">
        <w:rPr>
          <w:lang w:val="lt-LT"/>
        </w:rPr>
        <w:t>.</w:t>
      </w:r>
    </w:p>
    <w:p w14:paraId="5191A8C3" w14:textId="3F40EB64" w:rsidR="000724E7" w:rsidRDefault="00790666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lt-LT"/>
        </w:rPr>
      </w:pPr>
      <w:r w:rsidRPr="00790666">
        <w:rPr>
          <w:lang w:val="lt-LT"/>
        </w:rPr>
        <w:t>Susidaro traneksamo rūgšties ir plaz</w:t>
      </w:r>
      <w:r w:rsidR="000724E7">
        <w:rPr>
          <w:lang w:val="lt-LT"/>
        </w:rPr>
        <w:t>m</w:t>
      </w:r>
      <w:r w:rsidRPr="00790666">
        <w:rPr>
          <w:lang w:val="lt-LT"/>
        </w:rPr>
        <w:t>inogeno kompleksas. Traneksamo rūgštis yra su</w:t>
      </w:r>
      <w:r w:rsidR="001B7CCA">
        <w:rPr>
          <w:lang w:val="lt-LT"/>
        </w:rPr>
        <w:t>jungta</w:t>
      </w:r>
      <w:r w:rsidRPr="00790666">
        <w:rPr>
          <w:lang w:val="lt-LT"/>
        </w:rPr>
        <w:t xml:space="preserve"> su plazm</w:t>
      </w:r>
      <w:r w:rsidR="000724E7">
        <w:rPr>
          <w:lang w:val="lt-LT"/>
        </w:rPr>
        <w:t>i</w:t>
      </w:r>
      <w:r w:rsidRPr="00790666">
        <w:rPr>
          <w:lang w:val="lt-LT"/>
        </w:rPr>
        <w:t xml:space="preserve">nogenu, kai jis verčiamas </w:t>
      </w:r>
      <w:r w:rsidR="000724E7">
        <w:rPr>
          <w:lang w:val="lt-LT"/>
        </w:rPr>
        <w:t>į</w:t>
      </w:r>
      <w:r w:rsidRPr="00790666">
        <w:rPr>
          <w:lang w:val="lt-LT"/>
        </w:rPr>
        <w:t xml:space="preserve"> plazminą.</w:t>
      </w:r>
    </w:p>
    <w:p w14:paraId="5C0421DF" w14:textId="389330BF" w:rsidR="00790666" w:rsidRPr="00790666" w:rsidRDefault="00790666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lt-LT"/>
        </w:rPr>
      </w:pPr>
      <w:r w:rsidRPr="00790666">
        <w:rPr>
          <w:lang w:val="lt-LT"/>
        </w:rPr>
        <w:t xml:space="preserve">Traneksamo rūgšties </w:t>
      </w:r>
      <w:r w:rsidR="001B7CCA">
        <w:rPr>
          <w:lang w:val="lt-LT"/>
        </w:rPr>
        <w:t xml:space="preserve">ir plazmino </w:t>
      </w:r>
      <w:r w:rsidRPr="00790666">
        <w:rPr>
          <w:lang w:val="lt-LT"/>
        </w:rPr>
        <w:t>komplekso  aktyvumas fibr</w:t>
      </w:r>
      <w:r w:rsidR="000724E7">
        <w:rPr>
          <w:lang w:val="lt-LT"/>
        </w:rPr>
        <w:t>i</w:t>
      </w:r>
      <w:r w:rsidRPr="00790666">
        <w:rPr>
          <w:lang w:val="lt-LT"/>
        </w:rPr>
        <w:t xml:space="preserve">no </w:t>
      </w:r>
      <w:r w:rsidR="000724E7" w:rsidRPr="00790666">
        <w:rPr>
          <w:lang w:val="lt-LT"/>
        </w:rPr>
        <w:t>atžvilgiu</w:t>
      </w:r>
      <w:r w:rsidRPr="00790666">
        <w:rPr>
          <w:lang w:val="lt-LT"/>
        </w:rPr>
        <w:t xml:space="preserve"> yra mažesnis ne</w:t>
      </w:r>
      <w:r w:rsidR="000724E7">
        <w:rPr>
          <w:lang w:val="lt-LT"/>
        </w:rPr>
        <w:t xml:space="preserve">i </w:t>
      </w:r>
      <w:r w:rsidRPr="00790666">
        <w:rPr>
          <w:lang w:val="lt-LT"/>
        </w:rPr>
        <w:t>vieno laisvo plazmino aktyvumas.</w:t>
      </w:r>
    </w:p>
    <w:p w14:paraId="25944A78" w14:textId="77777777" w:rsidR="00790666" w:rsidRPr="00790666" w:rsidRDefault="00790666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lt-LT"/>
        </w:rPr>
      </w:pPr>
      <w:r w:rsidRPr="00790666">
        <w:rPr>
          <w:lang w:val="lt-LT"/>
        </w:rPr>
        <w:t xml:space="preserve">Tyrimai </w:t>
      </w:r>
      <w:r w:rsidRPr="000724E7">
        <w:rPr>
          <w:i/>
          <w:iCs/>
          <w:lang w:val="lt-LT"/>
        </w:rPr>
        <w:t>in vitro</w:t>
      </w:r>
      <w:r w:rsidRPr="00790666">
        <w:rPr>
          <w:lang w:val="lt-LT"/>
        </w:rPr>
        <w:t xml:space="preserve"> parod</w:t>
      </w:r>
      <w:r w:rsidR="00CF3CC5">
        <w:rPr>
          <w:lang w:val="lt-LT"/>
        </w:rPr>
        <w:t>ė</w:t>
      </w:r>
      <w:r w:rsidRPr="00790666">
        <w:rPr>
          <w:lang w:val="lt-LT"/>
        </w:rPr>
        <w:t>, kad didel</w:t>
      </w:r>
      <w:r w:rsidR="000724E7">
        <w:rPr>
          <w:lang w:val="lt-LT"/>
        </w:rPr>
        <w:t>ė</w:t>
      </w:r>
      <w:r w:rsidRPr="00790666">
        <w:rPr>
          <w:lang w:val="lt-LT"/>
        </w:rPr>
        <w:t>s traneksamo rūgšties doz</w:t>
      </w:r>
      <w:r w:rsidR="000724E7">
        <w:rPr>
          <w:lang w:val="lt-LT"/>
        </w:rPr>
        <w:t>ė</w:t>
      </w:r>
      <w:r w:rsidRPr="00790666">
        <w:rPr>
          <w:lang w:val="lt-LT"/>
        </w:rPr>
        <w:t>s s</w:t>
      </w:r>
      <w:r w:rsidR="000724E7">
        <w:rPr>
          <w:lang w:val="lt-LT"/>
        </w:rPr>
        <w:t>l</w:t>
      </w:r>
      <w:r w:rsidRPr="00790666">
        <w:rPr>
          <w:lang w:val="lt-LT"/>
        </w:rPr>
        <w:t>opina komplemento aktyvumą.</w:t>
      </w:r>
    </w:p>
    <w:p w14:paraId="44F9AAFF" w14:textId="77777777" w:rsidR="000724E7" w:rsidRDefault="000724E7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lt-LT"/>
        </w:rPr>
      </w:pPr>
    </w:p>
    <w:p w14:paraId="3921C477" w14:textId="77777777" w:rsidR="00790666" w:rsidRPr="00CF3CC5" w:rsidRDefault="00790666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u w:val="single"/>
          <w:lang w:val="lt-LT"/>
        </w:rPr>
      </w:pPr>
      <w:r w:rsidRPr="00CF3CC5">
        <w:rPr>
          <w:u w:val="single"/>
          <w:lang w:val="lt-LT"/>
        </w:rPr>
        <w:t xml:space="preserve">Vaikų </w:t>
      </w:r>
      <w:r w:rsidR="000724E7" w:rsidRPr="00CF3CC5">
        <w:rPr>
          <w:u w:val="single"/>
          <w:lang w:val="lt-LT"/>
        </w:rPr>
        <w:t>populiacija</w:t>
      </w:r>
    </w:p>
    <w:p w14:paraId="5F7ADC2D" w14:textId="77777777" w:rsidR="00790666" w:rsidRPr="00CF3CC5" w:rsidRDefault="00CF3CC5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iCs/>
          <w:lang w:val="lt-LT"/>
        </w:rPr>
      </w:pPr>
      <w:r w:rsidRPr="00CF3CC5">
        <w:rPr>
          <w:i/>
          <w:iCs/>
          <w:lang w:val="lt-LT"/>
        </w:rPr>
        <w:t>Vyresni</w:t>
      </w:r>
      <w:r w:rsidR="00790666" w:rsidRPr="00CF3CC5">
        <w:rPr>
          <w:i/>
          <w:iCs/>
          <w:lang w:val="lt-LT"/>
        </w:rPr>
        <w:t xml:space="preserve"> kaip vienerių metų</w:t>
      </w:r>
      <w:r w:rsidRPr="00CF3CC5">
        <w:rPr>
          <w:i/>
          <w:iCs/>
          <w:lang w:val="lt-LT"/>
        </w:rPr>
        <w:t xml:space="preserve"> </w:t>
      </w:r>
      <w:r w:rsidR="00790666" w:rsidRPr="00CF3CC5">
        <w:rPr>
          <w:i/>
          <w:iCs/>
          <w:lang w:val="lt-LT"/>
        </w:rPr>
        <w:t>va</w:t>
      </w:r>
      <w:r w:rsidRPr="00CF3CC5">
        <w:rPr>
          <w:i/>
          <w:iCs/>
          <w:lang w:val="lt-LT"/>
        </w:rPr>
        <w:t>i</w:t>
      </w:r>
      <w:r w:rsidR="00790666" w:rsidRPr="00CF3CC5">
        <w:rPr>
          <w:i/>
          <w:iCs/>
          <w:lang w:val="lt-LT"/>
        </w:rPr>
        <w:t>kai</w:t>
      </w:r>
    </w:p>
    <w:p w14:paraId="075D871D" w14:textId="3B69F4AE" w:rsidR="00790666" w:rsidRPr="00790666" w:rsidRDefault="00790666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lt-LT"/>
        </w:rPr>
      </w:pPr>
      <w:r w:rsidRPr="00790666">
        <w:rPr>
          <w:lang w:val="lt-LT"/>
        </w:rPr>
        <w:t xml:space="preserve"> </w:t>
      </w:r>
      <w:r w:rsidR="007B3F2D">
        <w:rPr>
          <w:lang w:val="lt-LT"/>
        </w:rPr>
        <w:t>L</w:t>
      </w:r>
      <w:r w:rsidRPr="00790666">
        <w:rPr>
          <w:lang w:val="lt-LT"/>
        </w:rPr>
        <w:t>iteratūro</w:t>
      </w:r>
      <w:r w:rsidR="007B3F2D">
        <w:rPr>
          <w:lang w:val="lt-LT"/>
        </w:rPr>
        <w:t>s apžvalgoje</w:t>
      </w:r>
      <w:r w:rsidRPr="00790666">
        <w:rPr>
          <w:lang w:val="lt-LT"/>
        </w:rPr>
        <w:t xml:space="preserve"> buvo aptikti duomenys 12 veiksmingumo tyrimų su vaikais, kuriems buvo atlikta širdies operacija, kuriuose dalyvavo 1073 vaikai ir 631 vartojo traneksamo rūgšt</w:t>
      </w:r>
      <w:r w:rsidR="00DE49B6">
        <w:rPr>
          <w:lang w:val="lt-LT"/>
        </w:rPr>
        <w:t>į</w:t>
      </w:r>
      <w:r w:rsidRPr="00790666">
        <w:rPr>
          <w:lang w:val="lt-LT"/>
        </w:rPr>
        <w:t>. Dauguma ši</w:t>
      </w:r>
      <w:r w:rsidR="00DE49B6">
        <w:rPr>
          <w:lang w:val="lt-LT"/>
        </w:rPr>
        <w:t>ų</w:t>
      </w:r>
      <w:r w:rsidRPr="00790666">
        <w:rPr>
          <w:lang w:val="lt-LT"/>
        </w:rPr>
        <w:t xml:space="preserve"> tyrimų buvo placebu kontrol</w:t>
      </w:r>
      <w:r w:rsidR="00DE49B6">
        <w:rPr>
          <w:lang w:val="lt-LT"/>
        </w:rPr>
        <w:t>i</w:t>
      </w:r>
      <w:r w:rsidRPr="00790666">
        <w:rPr>
          <w:lang w:val="lt-LT"/>
        </w:rPr>
        <w:t>uojamieji. Tiriamoji populiacija buvo heterogenin</w:t>
      </w:r>
      <w:r w:rsidR="00DE49B6">
        <w:rPr>
          <w:lang w:val="lt-LT"/>
        </w:rPr>
        <w:t>ė</w:t>
      </w:r>
      <w:r w:rsidRPr="00790666">
        <w:rPr>
          <w:lang w:val="lt-LT"/>
        </w:rPr>
        <w:t xml:space="preserve"> atsižvelgiant </w:t>
      </w:r>
      <w:r w:rsidR="00DE49B6">
        <w:rPr>
          <w:lang w:val="lt-LT"/>
        </w:rPr>
        <w:t>į</w:t>
      </w:r>
      <w:r w:rsidRPr="00790666">
        <w:rPr>
          <w:lang w:val="lt-LT"/>
        </w:rPr>
        <w:t xml:space="preserve"> amži</w:t>
      </w:r>
      <w:r w:rsidR="00DE49B6">
        <w:rPr>
          <w:lang w:val="lt-LT"/>
        </w:rPr>
        <w:t>ų</w:t>
      </w:r>
      <w:r w:rsidRPr="00790666">
        <w:rPr>
          <w:lang w:val="lt-LT"/>
        </w:rPr>
        <w:t>, chirurgin</w:t>
      </w:r>
      <w:r w:rsidR="00DE49B6">
        <w:rPr>
          <w:lang w:val="lt-LT"/>
        </w:rPr>
        <w:t>ė</w:t>
      </w:r>
      <w:r w:rsidRPr="00790666">
        <w:rPr>
          <w:lang w:val="lt-LT"/>
        </w:rPr>
        <w:t>s opera</w:t>
      </w:r>
      <w:r w:rsidR="00DE49B6">
        <w:rPr>
          <w:lang w:val="lt-LT"/>
        </w:rPr>
        <w:t>ci</w:t>
      </w:r>
      <w:r w:rsidRPr="00790666">
        <w:rPr>
          <w:lang w:val="lt-LT"/>
        </w:rPr>
        <w:t>jos pobūd</w:t>
      </w:r>
      <w:r w:rsidR="00DE49B6">
        <w:rPr>
          <w:lang w:val="lt-LT"/>
        </w:rPr>
        <w:t>į</w:t>
      </w:r>
      <w:r w:rsidRPr="00790666">
        <w:rPr>
          <w:lang w:val="lt-LT"/>
        </w:rPr>
        <w:t xml:space="preserve">, dozavimo planą. Tyrimų su traneksamo rūgštimi duomenys rodo, kad </w:t>
      </w:r>
      <w:r w:rsidR="00DE49B6" w:rsidRPr="00790666">
        <w:rPr>
          <w:lang w:val="lt-LT"/>
        </w:rPr>
        <w:t>sumažėjo</w:t>
      </w:r>
      <w:r w:rsidRPr="00790666">
        <w:rPr>
          <w:lang w:val="lt-LT"/>
        </w:rPr>
        <w:t xml:space="preserve"> kraujo netekimas ir </w:t>
      </w:r>
      <w:r w:rsidR="00DE49B6" w:rsidRPr="00790666">
        <w:rPr>
          <w:lang w:val="lt-LT"/>
        </w:rPr>
        <w:t>sumažėjo</w:t>
      </w:r>
      <w:r w:rsidRPr="00790666">
        <w:rPr>
          <w:lang w:val="lt-LT"/>
        </w:rPr>
        <w:t xml:space="preserve"> </w:t>
      </w:r>
      <w:r w:rsidRPr="007634A4">
        <w:rPr>
          <w:lang w:val="lt-LT"/>
        </w:rPr>
        <w:t>kraujo preparat</w:t>
      </w:r>
      <w:r w:rsidR="007634A4">
        <w:rPr>
          <w:lang w:val="lt-LT"/>
        </w:rPr>
        <w:t>ų</w:t>
      </w:r>
      <w:r w:rsidRPr="00790666">
        <w:rPr>
          <w:lang w:val="lt-LT"/>
        </w:rPr>
        <w:t xml:space="preserve"> poreikis vaikams, kuriems buvo atlikta širdies operacija dirbtin</w:t>
      </w:r>
      <w:r w:rsidR="00DE49B6">
        <w:rPr>
          <w:lang w:val="lt-LT"/>
        </w:rPr>
        <w:t>ė</w:t>
      </w:r>
      <w:r w:rsidRPr="00790666">
        <w:rPr>
          <w:lang w:val="lt-LT"/>
        </w:rPr>
        <w:t>s kraujotakos sąlygomis esant didelei kraujavimo rizikai, ypač cianoziškiems pacientams arba pacientams, kuriems chirurgin</w:t>
      </w:r>
      <w:r w:rsidR="008D30C1">
        <w:rPr>
          <w:lang w:val="lt-LT"/>
        </w:rPr>
        <w:t>ė</w:t>
      </w:r>
      <w:r w:rsidRPr="00790666">
        <w:rPr>
          <w:lang w:val="lt-LT"/>
        </w:rPr>
        <w:t xml:space="preserve"> operacija buvo atliekama pakartotinai. Nustatyta, kad </w:t>
      </w:r>
      <w:r w:rsidR="00C34FE8">
        <w:rPr>
          <w:lang w:val="lt-LT"/>
        </w:rPr>
        <w:t>tinkamiausias</w:t>
      </w:r>
      <w:r w:rsidRPr="00790666">
        <w:rPr>
          <w:lang w:val="lt-LT"/>
        </w:rPr>
        <w:t xml:space="preserve"> dozavi</w:t>
      </w:r>
      <w:r w:rsidR="00DE49B6">
        <w:rPr>
          <w:lang w:val="lt-LT"/>
        </w:rPr>
        <w:t>m</w:t>
      </w:r>
      <w:r w:rsidRPr="00790666">
        <w:rPr>
          <w:lang w:val="lt-LT"/>
        </w:rPr>
        <w:t>o plan</w:t>
      </w:r>
      <w:r w:rsidR="00C34FE8">
        <w:rPr>
          <w:lang w:val="lt-LT"/>
        </w:rPr>
        <w:t>as</w:t>
      </w:r>
      <w:r w:rsidRPr="00790666">
        <w:rPr>
          <w:lang w:val="lt-LT"/>
        </w:rPr>
        <w:t xml:space="preserve"> buvo:</w:t>
      </w:r>
    </w:p>
    <w:p w14:paraId="2A151211" w14:textId="3D825982" w:rsidR="00790666" w:rsidRPr="00790666" w:rsidRDefault="00790666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lt-LT"/>
        </w:rPr>
      </w:pPr>
      <w:r w:rsidRPr="00790666">
        <w:rPr>
          <w:lang w:val="lt-LT"/>
        </w:rPr>
        <w:t>- pirmoji 10</w:t>
      </w:r>
      <w:r w:rsidR="00BA69D2">
        <w:rPr>
          <w:lang w:val="lt-LT"/>
        </w:rPr>
        <w:t> mg</w:t>
      </w:r>
      <w:r w:rsidRPr="00790666">
        <w:rPr>
          <w:lang w:val="lt-LT"/>
        </w:rPr>
        <w:t xml:space="preserve">/kg </w:t>
      </w:r>
      <w:r w:rsidR="00131E51">
        <w:rPr>
          <w:lang w:val="lt-LT"/>
        </w:rPr>
        <w:t xml:space="preserve">smūginės </w:t>
      </w:r>
      <w:r w:rsidRPr="00790666">
        <w:rPr>
          <w:lang w:val="lt-LT"/>
        </w:rPr>
        <w:t>doz</w:t>
      </w:r>
      <w:r w:rsidR="00131E51">
        <w:rPr>
          <w:lang w:val="lt-LT"/>
        </w:rPr>
        <w:t>ė</w:t>
      </w:r>
      <w:r w:rsidRPr="00790666">
        <w:rPr>
          <w:lang w:val="lt-LT"/>
        </w:rPr>
        <w:t>s</w:t>
      </w:r>
      <w:r w:rsidR="00131E51">
        <w:rPr>
          <w:lang w:val="lt-LT"/>
        </w:rPr>
        <w:t xml:space="preserve"> (</w:t>
      </w:r>
      <w:r w:rsidR="00131E51" w:rsidRPr="00B647B8">
        <w:rPr>
          <w:i/>
          <w:lang w:val="lt-LT"/>
        </w:rPr>
        <w:t>bolus</w:t>
      </w:r>
      <w:r w:rsidR="00131E51">
        <w:rPr>
          <w:lang w:val="lt-LT"/>
        </w:rPr>
        <w:t>)</w:t>
      </w:r>
      <w:r w:rsidRPr="00790666">
        <w:rPr>
          <w:lang w:val="lt-LT"/>
        </w:rPr>
        <w:t xml:space="preserve"> injekcija </w:t>
      </w:r>
      <w:r w:rsidR="001541FF">
        <w:rPr>
          <w:lang w:val="lt-LT"/>
        </w:rPr>
        <w:t>u</w:t>
      </w:r>
      <w:r w:rsidRPr="00790666">
        <w:rPr>
          <w:lang w:val="lt-LT"/>
        </w:rPr>
        <w:t xml:space="preserve"> po to, kai sukeliama anestezija, prieš įpjaunant odą</w:t>
      </w:r>
      <w:r w:rsidR="002F44DC">
        <w:rPr>
          <w:lang w:val="lt-LT"/>
        </w:rPr>
        <w:t>,</w:t>
      </w:r>
    </w:p>
    <w:p w14:paraId="0562E84D" w14:textId="77777777" w:rsidR="002F44DC" w:rsidRDefault="00790666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lt-LT"/>
        </w:rPr>
      </w:pPr>
      <w:r w:rsidRPr="00790666">
        <w:rPr>
          <w:lang w:val="lt-LT"/>
        </w:rPr>
        <w:t>- nepertraukiama 10</w:t>
      </w:r>
      <w:r w:rsidR="00BA69D2">
        <w:rPr>
          <w:lang w:val="lt-LT"/>
        </w:rPr>
        <w:t> mg</w:t>
      </w:r>
      <w:r w:rsidRPr="00790666">
        <w:rPr>
          <w:lang w:val="lt-LT"/>
        </w:rPr>
        <w:t>/kg/val. infuzija arba dirbtin</w:t>
      </w:r>
      <w:r w:rsidR="00DE49B6">
        <w:rPr>
          <w:lang w:val="lt-LT"/>
        </w:rPr>
        <w:t>ė</w:t>
      </w:r>
      <w:r w:rsidRPr="00790666">
        <w:rPr>
          <w:lang w:val="lt-LT"/>
        </w:rPr>
        <w:t>s kraujotakos procedūrai adaptuotos doz</w:t>
      </w:r>
      <w:r w:rsidR="00DE49B6">
        <w:rPr>
          <w:lang w:val="lt-LT"/>
        </w:rPr>
        <w:t>ė</w:t>
      </w:r>
      <w:r w:rsidRPr="00790666">
        <w:rPr>
          <w:lang w:val="lt-LT"/>
        </w:rPr>
        <w:t>s injekcija per pagrindin</w:t>
      </w:r>
      <w:r w:rsidR="00DE49B6">
        <w:rPr>
          <w:lang w:val="lt-LT"/>
        </w:rPr>
        <w:t>ę</w:t>
      </w:r>
      <w:r w:rsidRPr="00790666">
        <w:rPr>
          <w:lang w:val="lt-LT"/>
        </w:rPr>
        <w:t xml:space="preserve"> dirbtin</w:t>
      </w:r>
      <w:r w:rsidR="008D30C1">
        <w:rPr>
          <w:lang w:val="lt-LT"/>
        </w:rPr>
        <w:t>ė</w:t>
      </w:r>
      <w:r w:rsidRPr="00790666">
        <w:rPr>
          <w:lang w:val="lt-LT"/>
        </w:rPr>
        <w:t xml:space="preserve">s kraujotakos pompą: arba </w:t>
      </w:r>
      <w:r w:rsidR="00DE49B6" w:rsidRPr="00790666">
        <w:rPr>
          <w:lang w:val="lt-LT"/>
        </w:rPr>
        <w:t>apskaičiuota</w:t>
      </w:r>
      <w:r w:rsidRPr="00790666">
        <w:rPr>
          <w:lang w:val="lt-LT"/>
        </w:rPr>
        <w:t xml:space="preserve"> </w:t>
      </w:r>
      <w:r w:rsidR="00DE49B6" w:rsidRPr="00790666">
        <w:rPr>
          <w:lang w:val="lt-LT"/>
        </w:rPr>
        <w:t>atsižvelgiant</w:t>
      </w:r>
      <w:r w:rsidRPr="00790666">
        <w:rPr>
          <w:lang w:val="lt-LT"/>
        </w:rPr>
        <w:t xml:space="preserve"> </w:t>
      </w:r>
      <w:r w:rsidR="00DE49B6">
        <w:rPr>
          <w:lang w:val="lt-LT"/>
        </w:rPr>
        <w:t>į</w:t>
      </w:r>
      <w:r w:rsidRPr="00790666">
        <w:rPr>
          <w:lang w:val="lt-LT"/>
        </w:rPr>
        <w:t xml:space="preserve"> paciento k</w:t>
      </w:r>
      <w:r w:rsidR="00DE49B6">
        <w:rPr>
          <w:lang w:val="lt-LT"/>
        </w:rPr>
        <w:t>ū</w:t>
      </w:r>
      <w:r w:rsidRPr="00790666">
        <w:rPr>
          <w:lang w:val="lt-LT"/>
        </w:rPr>
        <w:t>no masę (10</w:t>
      </w:r>
      <w:r w:rsidR="00BA69D2">
        <w:rPr>
          <w:lang w:val="lt-LT"/>
        </w:rPr>
        <w:t> mg</w:t>
      </w:r>
      <w:r w:rsidRPr="00790666">
        <w:rPr>
          <w:lang w:val="lt-LT"/>
        </w:rPr>
        <w:t xml:space="preserve">/kg), arba pagal </w:t>
      </w:r>
      <w:r w:rsidR="00DE49B6" w:rsidRPr="00790666">
        <w:rPr>
          <w:lang w:val="lt-LT"/>
        </w:rPr>
        <w:t>pagrindinės</w:t>
      </w:r>
      <w:r w:rsidRPr="00790666">
        <w:rPr>
          <w:lang w:val="lt-LT"/>
        </w:rPr>
        <w:t xml:space="preserve"> dirbtin</w:t>
      </w:r>
      <w:r w:rsidR="00DE49B6">
        <w:rPr>
          <w:lang w:val="lt-LT"/>
        </w:rPr>
        <w:t>ė</w:t>
      </w:r>
      <w:r w:rsidRPr="00790666">
        <w:rPr>
          <w:lang w:val="lt-LT"/>
        </w:rPr>
        <w:t>s kraujotakos procedūros pompos tūr</w:t>
      </w:r>
      <w:r w:rsidR="00DE49B6">
        <w:rPr>
          <w:lang w:val="lt-LT"/>
        </w:rPr>
        <w:t>į</w:t>
      </w:r>
      <w:r w:rsidRPr="00790666">
        <w:rPr>
          <w:lang w:val="lt-LT"/>
        </w:rPr>
        <w:t>,</w:t>
      </w:r>
    </w:p>
    <w:p w14:paraId="3E768872" w14:textId="77777777" w:rsidR="00790666" w:rsidRPr="00790666" w:rsidRDefault="002F44DC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lt-LT"/>
        </w:rPr>
      </w:pPr>
      <w:r>
        <w:rPr>
          <w:lang w:val="lt-LT"/>
        </w:rPr>
        <w:t xml:space="preserve">- </w:t>
      </w:r>
      <w:r w:rsidR="00790666" w:rsidRPr="00790666">
        <w:rPr>
          <w:lang w:val="lt-LT"/>
        </w:rPr>
        <w:t>paskutin</w:t>
      </w:r>
      <w:r w:rsidR="00DE49B6">
        <w:rPr>
          <w:lang w:val="lt-LT"/>
        </w:rPr>
        <w:t>ė</w:t>
      </w:r>
      <w:r w:rsidR="00790666" w:rsidRPr="00790666">
        <w:rPr>
          <w:lang w:val="lt-LT"/>
        </w:rPr>
        <w:t xml:space="preserve"> 10</w:t>
      </w:r>
      <w:r w:rsidR="00BA69D2">
        <w:rPr>
          <w:lang w:val="lt-LT"/>
        </w:rPr>
        <w:t> mg</w:t>
      </w:r>
      <w:r w:rsidR="00790666" w:rsidRPr="00790666">
        <w:rPr>
          <w:lang w:val="lt-LT"/>
        </w:rPr>
        <w:t>/kg doz</w:t>
      </w:r>
      <w:r w:rsidR="00DE49B6">
        <w:rPr>
          <w:lang w:val="lt-LT"/>
        </w:rPr>
        <w:t>ė</w:t>
      </w:r>
      <w:r w:rsidR="00790666" w:rsidRPr="00790666">
        <w:rPr>
          <w:lang w:val="lt-LT"/>
        </w:rPr>
        <w:t>s injekcija dirbtin</w:t>
      </w:r>
      <w:r w:rsidR="00DE49B6">
        <w:rPr>
          <w:lang w:val="lt-LT"/>
        </w:rPr>
        <w:t>ė</w:t>
      </w:r>
      <w:r w:rsidR="00790666" w:rsidRPr="00790666">
        <w:rPr>
          <w:lang w:val="lt-LT"/>
        </w:rPr>
        <w:t>s kraujotakos procedūros pabaigoje.</w:t>
      </w:r>
    </w:p>
    <w:p w14:paraId="645D5946" w14:textId="77777777" w:rsidR="00790666" w:rsidRPr="00790666" w:rsidRDefault="00790666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lt-LT"/>
        </w:rPr>
      </w:pPr>
      <w:r w:rsidRPr="00790666">
        <w:rPr>
          <w:lang w:val="lt-LT"/>
        </w:rPr>
        <w:t>Nors buvo tirta laba</w:t>
      </w:r>
      <w:r w:rsidR="00DE49B6">
        <w:rPr>
          <w:lang w:val="lt-LT"/>
        </w:rPr>
        <w:t xml:space="preserve">i </w:t>
      </w:r>
      <w:r w:rsidRPr="00790666">
        <w:rPr>
          <w:lang w:val="lt-LT"/>
        </w:rPr>
        <w:t>mažai pacient</w:t>
      </w:r>
      <w:r w:rsidR="00B32473">
        <w:rPr>
          <w:lang w:val="lt-LT"/>
        </w:rPr>
        <w:t>ų</w:t>
      </w:r>
      <w:r w:rsidRPr="00790666">
        <w:rPr>
          <w:lang w:val="lt-LT"/>
        </w:rPr>
        <w:t>, bet riboti duomenys rodo, kad nepertraukiama infuzija yra pranašesn</w:t>
      </w:r>
      <w:r w:rsidR="00B32473">
        <w:rPr>
          <w:lang w:val="lt-LT"/>
        </w:rPr>
        <w:t>ė</w:t>
      </w:r>
      <w:r w:rsidRPr="00790666">
        <w:rPr>
          <w:lang w:val="lt-LT"/>
        </w:rPr>
        <w:t>, nes ga</w:t>
      </w:r>
      <w:r w:rsidR="00DE49B6">
        <w:rPr>
          <w:lang w:val="lt-LT"/>
        </w:rPr>
        <w:t>l</w:t>
      </w:r>
      <w:r w:rsidRPr="00790666">
        <w:rPr>
          <w:lang w:val="lt-LT"/>
        </w:rPr>
        <w:t xml:space="preserve">i </w:t>
      </w:r>
      <w:r w:rsidR="00DE49B6" w:rsidRPr="00790666">
        <w:rPr>
          <w:lang w:val="lt-LT"/>
        </w:rPr>
        <w:t>palaikyti</w:t>
      </w:r>
      <w:r w:rsidRPr="00790666">
        <w:rPr>
          <w:lang w:val="lt-LT"/>
        </w:rPr>
        <w:t xml:space="preserve"> gydomąją koncentraciją plazmoje operacijos metu.</w:t>
      </w:r>
    </w:p>
    <w:p w14:paraId="6C36C6CA" w14:textId="77777777" w:rsidR="00BC4787" w:rsidRPr="00B2511A" w:rsidRDefault="00790666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lt-LT" w:eastAsia="da-DK"/>
        </w:rPr>
      </w:pPr>
      <w:r w:rsidRPr="00790666">
        <w:rPr>
          <w:lang w:val="lt-LT"/>
        </w:rPr>
        <w:t>Speciali</w:t>
      </w:r>
      <w:r w:rsidR="00DE49B6">
        <w:rPr>
          <w:lang w:val="lt-LT"/>
        </w:rPr>
        <w:t>ų</w:t>
      </w:r>
      <w:r w:rsidRPr="00790666">
        <w:rPr>
          <w:lang w:val="lt-LT"/>
        </w:rPr>
        <w:t xml:space="preserve"> poveikio </w:t>
      </w:r>
      <w:r w:rsidR="00DE49B6" w:rsidRPr="00790666">
        <w:rPr>
          <w:lang w:val="lt-LT"/>
        </w:rPr>
        <w:t>priklausomyb</w:t>
      </w:r>
      <w:r w:rsidR="00B32473">
        <w:rPr>
          <w:lang w:val="lt-LT"/>
        </w:rPr>
        <w:t>ė</w:t>
      </w:r>
      <w:r w:rsidR="00DE49B6" w:rsidRPr="00790666">
        <w:rPr>
          <w:lang w:val="lt-LT"/>
        </w:rPr>
        <w:t>s</w:t>
      </w:r>
      <w:r w:rsidRPr="00790666">
        <w:rPr>
          <w:lang w:val="lt-LT"/>
        </w:rPr>
        <w:t xml:space="preserve"> nuo doz</w:t>
      </w:r>
      <w:r w:rsidR="00DE49B6">
        <w:rPr>
          <w:lang w:val="lt-LT"/>
        </w:rPr>
        <w:t>ė</w:t>
      </w:r>
      <w:r w:rsidRPr="00790666">
        <w:rPr>
          <w:lang w:val="lt-LT"/>
        </w:rPr>
        <w:t xml:space="preserve">s arba </w:t>
      </w:r>
      <w:r w:rsidR="00DE49B6">
        <w:rPr>
          <w:lang w:val="lt-LT"/>
        </w:rPr>
        <w:t>farmakokinetikos</w:t>
      </w:r>
      <w:r w:rsidRPr="00790666">
        <w:rPr>
          <w:lang w:val="lt-LT"/>
        </w:rPr>
        <w:t xml:space="preserve"> tyrimų su vaikais neatlikta.</w:t>
      </w:r>
    </w:p>
    <w:p w14:paraId="0C7536F6" w14:textId="77777777" w:rsidR="00F34163" w:rsidRPr="00B2511A" w:rsidRDefault="00F34163" w:rsidP="000724E7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7CA2D59" w14:textId="77777777" w:rsidR="00F34163" w:rsidRPr="00B2511A" w:rsidRDefault="00F34163" w:rsidP="000724E7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5.2</w:t>
      </w:r>
      <w:r w:rsidRPr="00B2511A">
        <w:rPr>
          <w:b/>
          <w:snapToGrid/>
          <w:kern w:val="28"/>
          <w:szCs w:val="22"/>
          <w:lang w:val="lt-LT"/>
        </w:rPr>
        <w:tab/>
        <w:t>Farmakokinetinės savybės</w:t>
      </w:r>
    </w:p>
    <w:p w14:paraId="723A68B9" w14:textId="77777777" w:rsidR="00F34163" w:rsidRPr="00B2511A" w:rsidRDefault="00F34163" w:rsidP="000724E7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5D086A7" w14:textId="77777777" w:rsidR="00894555" w:rsidRPr="00B2511A" w:rsidRDefault="00894555" w:rsidP="000724E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u w:val="single"/>
          <w:lang w:val="lt-LT" w:eastAsia="da-DK"/>
        </w:rPr>
      </w:pPr>
      <w:r w:rsidRPr="00B2511A">
        <w:rPr>
          <w:szCs w:val="22"/>
          <w:u w:val="single"/>
          <w:lang w:val="lt-LT" w:eastAsia="da-DK"/>
        </w:rPr>
        <w:t>Absorbcija</w:t>
      </w:r>
    </w:p>
    <w:p w14:paraId="6BCAA1D6" w14:textId="77777777" w:rsidR="003D390E" w:rsidRPr="003D390E" w:rsidRDefault="004E3110" w:rsidP="003D39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lt-LT" w:eastAsia="da-DK"/>
        </w:rPr>
      </w:pPr>
      <w:r w:rsidRPr="003D390E">
        <w:rPr>
          <w:szCs w:val="22"/>
          <w:lang w:val="lt-LT" w:eastAsia="da-DK"/>
        </w:rPr>
        <w:t>Didžiausia</w:t>
      </w:r>
      <w:r w:rsidR="003D390E" w:rsidRPr="003D390E">
        <w:rPr>
          <w:szCs w:val="22"/>
          <w:lang w:val="lt-LT" w:eastAsia="da-DK"/>
        </w:rPr>
        <w:t xml:space="preserve"> traneksamo rūgšties koncentracija plazmoje yra pas</w:t>
      </w:r>
      <w:r>
        <w:rPr>
          <w:szCs w:val="22"/>
          <w:lang w:val="lt-LT" w:eastAsia="da-DK"/>
        </w:rPr>
        <w:t>i</w:t>
      </w:r>
      <w:r w:rsidR="003D390E" w:rsidRPr="003D390E">
        <w:rPr>
          <w:szCs w:val="22"/>
          <w:lang w:val="lt-LT" w:eastAsia="da-DK"/>
        </w:rPr>
        <w:t xml:space="preserve">ekiama netrukus po trumpos infuzijos </w:t>
      </w:r>
      <w:r w:rsidR="00155E00">
        <w:rPr>
          <w:szCs w:val="22"/>
          <w:lang w:val="lt-LT" w:eastAsia="da-DK"/>
        </w:rPr>
        <w:t xml:space="preserve">į </w:t>
      </w:r>
      <w:r w:rsidR="003D390E" w:rsidRPr="003D390E">
        <w:rPr>
          <w:szCs w:val="22"/>
          <w:lang w:val="lt-LT" w:eastAsia="da-DK"/>
        </w:rPr>
        <w:t xml:space="preserve">veną, po kurios </w:t>
      </w:r>
      <w:r w:rsidRPr="003D390E">
        <w:rPr>
          <w:szCs w:val="22"/>
          <w:lang w:val="lt-LT" w:eastAsia="da-DK"/>
        </w:rPr>
        <w:t>vėliau</w:t>
      </w:r>
      <w:r w:rsidR="003D390E" w:rsidRPr="003D390E">
        <w:rPr>
          <w:szCs w:val="22"/>
          <w:lang w:val="lt-LT" w:eastAsia="da-DK"/>
        </w:rPr>
        <w:t xml:space="preserve"> koncentracijos plazmoje </w:t>
      </w:r>
      <w:r w:rsidRPr="003D390E">
        <w:rPr>
          <w:szCs w:val="22"/>
          <w:lang w:val="lt-LT" w:eastAsia="da-DK"/>
        </w:rPr>
        <w:t>mažėja</w:t>
      </w:r>
      <w:r w:rsidR="003D390E" w:rsidRPr="003D390E">
        <w:rPr>
          <w:szCs w:val="22"/>
          <w:lang w:val="lt-LT" w:eastAsia="da-DK"/>
        </w:rPr>
        <w:t xml:space="preserve"> multieksponentiniu būdu</w:t>
      </w:r>
      <w:r>
        <w:rPr>
          <w:szCs w:val="22"/>
          <w:lang w:val="lt-LT" w:eastAsia="da-DK"/>
        </w:rPr>
        <w:t>.</w:t>
      </w:r>
    </w:p>
    <w:p w14:paraId="57AF8188" w14:textId="77777777" w:rsidR="003D390E" w:rsidRDefault="003D390E" w:rsidP="003D39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lt-LT" w:eastAsia="da-DK"/>
        </w:rPr>
      </w:pPr>
    </w:p>
    <w:p w14:paraId="030922BD" w14:textId="77777777" w:rsidR="003D390E" w:rsidRPr="003D390E" w:rsidRDefault="003D390E" w:rsidP="003D39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u w:val="single"/>
          <w:lang w:val="lt-LT" w:eastAsia="da-DK"/>
        </w:rPr>
      </w:pPr>
      <w:r w:rsidRPr="003D390E">
        <w:rPr>
          <w:szCs w:val="22"/>
          <w:u w:val="single"/>
          <w:lang w:val="lt-LT" w:eastAsia="da-DK"/>
        </w:rPr>
        <w:t>Pasiskirstymas</w:t>
      </w:r>
    </w:p>
    <w:p w14:paraId="10866875" w14:textId="45640E5F" w:rsidR="003D390E" w:rsidRPr="003D390E" w:rsidRDefault="003D390E" w:rsidP="003D39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lt-LT" w:eastAsia="da-DK"/>
        </w:rPr>
      </w:pPr>
      <w:r w:rsidRPr="00BC53A6">
        <w:rPr>
          <w:szCs w:val="22"/>
          <w:lang w:val="lt-LT" w:eastAsia="da-DK"/>
        </w:rPr>
        <w:t xml:space="preserve">Esant gydomosioms koncentracijoms </w:t>
      </w:r>
      <w:r w:rsidR="000932F6">
        <w:rPr>
          <w:szCs w:val="22"/>
          <w:lang w:val="lt-LT" w:eastAsia="da-DK"/>
        </w:rPr>
        <w:t xml:space="preserve">kraujo </w:t>
      </w:r>
      <w:r w:rsidR="002A42B9" w:rsidRPr="00B647B8">
        <w:rPr>
          <w:szCs w:val="22"/>
          <w:lang w:val="lt-LT" w:eastAsia="da-DK"/>
        </w:rPr>
        <w:t>plazmoje</w:t>
      </w:r>
      <w:r w:rsidRPr="00B647B8">
        <w:rPr>
          <w:szCs w:val="22"/>
          <w:lang w:val="lt-LT" w:eastAsia="da-DK"/>
        </w:rPr>
        <w:t>, maždaug 3</w:t>
      </w:r>
      <w:r w:rsidR="00980625" w:rsidRPr="00B647B8">
        <w:rPr>
          <w:szCs w:val="22"/>
          <w:lang w:val="en-US" w:eastAsia="da-DK"/>
        </w:rPr>
        <w:t> %</w:t>
      </w:r>
      <w:r w:rsidRPr="00B647B8">
        <w:rPr>
          <w:szCs w:val="22"/>
          <w:lang w:val="lt-LT" w:eastAsia="da-DK"/>
        </w:rPr>
        <w:t xml:space="preserve"> traneksamo rūgšties būna prisijungusios prie plazmos baltym</w:t>
      </w:r>
      <w:r w:rsidR="002A42B9" w:rsidRPr="00B647B8">
        <w:rPr>
          <w:szCs w:val="22"/>
          <w:lang w:val="lt-LT" w:eastAsia="da-DK"/>
        </w:rPr>
        <w:t>ų</w:t>
      </w:r>
      <w:r w:rsidRPr="00B647B8">
        <w:rPr>
          <w:szCs w:val="22"/>
          <w:lang w:val="lt-LT" w:eastAsia="da-DK"/>
        </w:rPr>
        <w:t xml:space="preserve"> ir, atrodo, kad </w:t>
      </w:r>
      <w:r w:rsidR="00BC53A6" w:rsidRPr="00B647B8">
        <w:rPr>
          <w:szCs w:val="22"/>
          <w:lang w:val="lt-LT" w:eastAsia="da-DK"/>
        </w:rPr>
        <w:t>tai pilnai paaiškina</w:t>
      </w:r>
      <w:r w:rsidR="00CD214B" w:rsidRPr="00B647B8">
        <w:rPr>
          <w:szCs w:val="22"/>
          <w:lang w:val="lt-LT" w:eastAsia="da-DK"/>
        </w:rPr>
        <w:t xml:space="preserve"> traneksamo rūgšties</w:t>
      </w:r>
      <w:r w:rsidR="00CD214B" w:rsidRPr="00B647B8" w:rsidDel="00BC53A6">
        <w:rPr>
          <w:szCs w:val="22"/>
          <w:lang w:val="lt-LT" w:eastAsia="da-DK"/>
        </w:rPr>
        <w:t xml:space="preserve"> </w:t>
      </w:r>
      <w:r w:rsidRPr="00B647B8">
        <w:rPr>
          <w:szCs w:val="22"/>
          <w:lang w:val="lt-LT" w:eastAsia="da-DK"/>
        </w:rPr>
        <w:t xml:space="preserve"> prisijung</w:t>
      </w:r>
      <w:r w:rsidR="00BC53A6" w:rsidRPr="00B647B8">
        <w:rPr>
          <w:szCs w:val="22"/>
          <w:lang w:val="lt-LT" w:eastAsia="da-DK"/>
        </w:rPr>
        <w:t>imą</w:t>
      </w:r>
      <w:r w:rsidRPr="00BC53A6">
        <w:rPr>
          <w:szCs w:val="22"/>
          <w:lang w:val="lt-LT" w:eastAsia="da-DK"/>
        </w:rPr>
        <w:t xml:space="preserve"> prie plazminogeno.</w:t>
      </w:r>
      <w:r w:rsidRPr="003D390E">
        <w:rPr>
          <w:szCs w:val="22"/>
          <w:lang w:val="lt-LT" w:eastAsia="da-DK"/>
        </w:rPr>
        <w:t xml:space="preserve"> Traneksamo rūgštis neprisijungia prie serumo albumin</w:t>
      </w:r>
      <w:r w:rsidR="00980625">
        <w:rPr>
          <w:szCs w:val="22"/>
          <w:lang w:val="lt-LT" w:eastAsia="da-DK"/>
        </w:rPr>
        <w:t>ų</w:t>
      </w:r>
      <w:r w:rsidRPr="003D390E">
        <w:rPr>
          <w:szCs w:val="22"/>
          <w:lang w:val="lt-LT" w:eastAsia="da-DK"/>
        </w:rPr>
        <w:t>. Pradinis pasiskirstymo tūris yra maždaug 9</w:t>
      </w:r>
      <w:r w:rsidR="00980625">
        <w:rPr>
          <w:szCs w:val="22"/>
          <w:lang w:val="lt-LT" w:eastAsia="da-DK"/>
        </w:rPr>
        <w:noBreakHyphen/>
      </w:r>
      <w:r w:rsidRPr="003D390E">
        <w:rPr>
          <w:szCs w:val="22"/>
          <w:lang w:val="lt-LT" w:eastAsia="da-DK"/>
        </w:rPr>
        <w:t>12</w:t>
      </w:r>
      <w:r w:rsidR="00980625">
        <w:rPr>
          <w:szCs w:val="22"/>
          <w:lang w:val="lt-LT" w:eastAsia="da-DK"/>
        </w:rPr>
        <w:t> l</w:t>
      </w:r>
      <w:r w:rsidRPr="003D390E">
        <w:rPr>
          <w:szCs w:val="22"/>
          <w:lang w:val="lt-LT" w:eastAsia="da-DK"/>
        </w:rPr>
        <w:t>itrų.</w:t>
      </w:r>
    </w:p>
    <w:p w14:paraId="0F62020A" w14:textId="77777777" w:rsidR="00532F9B" w:rsidRDefault="00532F9B" w:rsidP="003D39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lt-LT" w:eastAsia="da-DK"/>
        </w:rPr>
      </w:pPr>
    </w:p>
    <w:p w14:paraId="3DF4E039" w14:textId="5DDBE780" w:rsidR="003D390E" w:rsidRDefault="003D390E" w:rsidP="003D39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lt-LT" w:eastAsia="da-DK"/>
        </w:rPr>
      </w:pPr>
      <w:r w:rsidRPr="003D390E">
        <w:rPr>
          <w:szCs w:val="22"/>
          <w:lang w:val="lt-LT" w:eastAsia="da-DK"/>
        </w:rPr>
        <w:t xml:space="preserve">Traneksamo rūgštis prasiskverbia per </w:t>
      </w:r>
      <w:r w:rsidR="00532F9B" w:rsidRPr="003D390E">
        <w:rPr>
          <w:szCs w:val="22"/>
          <w:lang w:val="lt-LT" w:eastAsia="da-DK"/>
        </w:rPr>
        <w:t>placentą</w:t>
      </w:r>
      <w:r w:rsidRPr="003D390E">
        <w:rPr>
          <w:szCs w:val="22"/>
          <w:lang w:val="lt-LT" w:eastAsia="da-DK"/>
        </w:rPr>
        <w:t xml:space="preserve">. </w:t>
      </w:r>
      <w:r w:rsidR="00532F9B" w:rsidRPr="003D390E">
        <w:rPr>
          <w:szCs w:val="22"/>
          <w:lang w:val="lt-LT" w:eastAsia="da-DK"/>
        </w:rPr>
        <w:t>Suleidus</w:t>
      </w:r>
      <w:r w:rsidR="00532F9B">
        <w:rPr>
          <w:szCs w:val="22"/>
          <w:lang w:val="lt-LT" w:eastAsia="da-DK"/>
        </w:rPr>
        <w:t xml:space="preserve"> į</w:t>
      </w:r>
      <w:r w:rsidRPr="003D390E">
        <w:rPr>
          <w:szCs w:val="22"/>
          <w:lang w:val="lt-LT" w:eastAsia="da-DK"/>
        </w:rPr>
        <w:t xml:space="preserve"> veną 10</w:t>
      </w:r>
      <w:r w:rsidR="00BA69D2">
        <w:rPr>
          <w:szCs w:val="22"/>
          <w:lang w:val="lt-LT" w:eastAsia="da-DK"/>
        </w:rPr>
        <w:t> mg</w:t>
      </w:r>
      <w:r w:rsidRPr="003D390E">
        <w:rPr>
          <w:szCs w:val="22"/>
          <w:lang w:val="lt-LT" w:eastAsia="da-DK"/>
        </w:rPr>
        <w:t xml:space="preserve">/kg dozę 12 </w:t>
      </w:r>
      <w:r w:rsidR="00532F9B" w:rsidRPr="003D390E">
        <w:rPr>
          <w:szCs w:val="22"/>
          <w:lang w:val="lt-LT" w:eastAsia="da-DK"/>
        </w:rPr>
        <w:t>nėšči</w:t>
      </w:r>
      <w:r w:rsidR="00532F9B">
        <w:rPr>
          <w:szCs w:val="22"/>
          <w:lang w:val="lt-LT" w:eastAsia="da-DK"/>
        </w:rPr>
        <w:t>ų</w:t>
      </w:r>
      <w:r w:rsidRPr="003D390E">
        <w:rPr>
          <w:szCs w:val="22"/>
          <w:lang w:val="lt-LT" w:eastAsia="da-DK"/>
        </w:rPr>
        <w:t xml:space="preserve"> moterų, traneksamo rūgšties koncentracij</w:t>
      </w:r>
      <w:r w:rsidR="00270470">
        <w:rPr>
          <w:szCs w:val="22"/>
          <w:lang w:val="lt-LT" w:eastAsia="da-DK"/>
        </w:rPr>
        <w:t>a</w:t>
      </w:r>
      <w:r w:rsidRPr="003D390E">
        <w:rPr>
          <w:szCs w:val="22"/>
          <w:lang w:val="lt-LT" w:eastAsia="da-DK"/>
        </w:rPr>
        <w:t xml:space="preserve"> serume </w:t>
      </w:r>
      <w:r w:rsidR="00270470">
        <w:rPr>
          <w:szCs w:val="22"/>
          <w:lang w:val="lt-LT" w:eastAsia="da-DK"/>
        </w:rPr>
        <w:t>svyravo</w:t>
      </w:r>
      <w:r w:rsidRPr="003D390E">
        <w:rPr>
          <w:szCs w:val="22"/>
          <w:lang w:val="lt-LT" w:eastAsia="da-DK"/>
        </w:rPr>
        <w:t xml:space="preserve"> 10</w:t>
      </w:r>
      <w:r w:rsidR="00532F9B">
        <w:rPr>
          <w:szCs w:val="22"/>
          <w:lang w:val="lt-LT" w:eastAsia="da-DK"/>
        </w:rPr>
        <w:noBreakHyphen/>
      </w:r>
      <w:r w:rsidRPr="003D390E">
        <w:rPr>
          <w:szCs w:val="22"/>
          <w:lang w:val="lt-LT" w:eastAsia="da-DK"/>
        </w:rPr>
        <w:t>53</w:t>
      </w:r>
      <w:r w:rsidR="00532F9B">
        <w:rPr>
          <w:szCs w:val="22"/>
          <w:lang w:val="lt-LT" w:eastAsia="da-DK"/>
        </w:rPr>
        <w:t> µ</w:t>
      </w:r>
      <w:r w:rsidRPr="003D390E">
        <w:rPr>
          <w:szCs w:val="22"/>
          <w:lang w:val="lt-LT" w:eastAsia="da-DK"/>
        </w:rPr>
        <w:t>g/m1 r</w:t>
      </w:r>
      <w:r w:rsidR="00532F9B">
        <w:rPr>
          <w:szCs w:val="22"/>
          <w:lang w:val="lt-LT" w:eastAsia="da-DK"/>
        </w:rPr>
        <w:t>i</w:t>
      </w:r>
      <w:r w:rsidRPr="003D390E">
        <w:rPr>
          <w:szCs w:val="22"/>
          <w:lang w:val="lt-LT" w:eastAsia="da-DK"/>
        </w:rPr>
        <w:t>bose, o virkštel</w:t>
      </w:r>
      <w:r w:rsidR="00532F9B">
        <w:rPr>
          <w:szCs w:val="22"/>
          <w:lang w:val="lt-LT" w:eastAsia="da-DK"/>
        </w:rPr>
        <w:t>ė</w:t>
      </w:r>
      <w:r w:rsidRPr="003D390E">
        <w:rPr>
          <w:szCs w:val="22"/>
          <w:lang w:val="lt-LT" w:eastAsia="da-DK"/>
        </w:rPr>
        <w:t xml:space="preserve">s kraujyje </w:t>
      </w:r>
      <w:r w:rsidR="00532F9B">
        <w:rPr>
          <w:szCs w:val="22"/>
          <w:lang w:val="lt-LT" w:eastAsia="da-DK"/>
        </w:rPr>
        <w:t>–</w:t>
      </w:r>
      <w:r w:rsidRPr="003D390E">
        <w:rPr>
          <w:szCs w:val="22"/>
          <w:lang w:val="lt-LT" w:eastAsia="da-DK"/>
        </w:rPr>
        <w:t xml:space="preserve"> </w:t>
      </w:r>
      <w:r w:rsidR="00532F9B">
        <w:rPr>
          <w:szCs w:val="22"/>
          <w:lang w:val="lt-LT" w:eastAsia="da-DK"/>
        </w:rPr>
        <w:t>4</w:t>
      </w:r>
      <w:r w:rsidR="00532F9B">
        <w:rPr>
          <w:szCs w:val="22"/>
          <w:lang w:val="lt-LT" w:eastAsia="da-DK"/>
        </w:rPr>
        <w:noBreakHyphen/>
        <w:t>31 µ</w:t>
      </w:r>
      <w:r w:rsidR="00532F9B" w:rsidRPr="003D390E">
        <w:rPr>
          <w:szCs w:val="22"/>
          <w:lang w:val="lt-LT" w:eastAsia="da-DK"/>
        </w:rPr>
        <w:t>g/m1 r</w:t>
      </w:r>
      <w:r w:rsidR="00532F9B">
        <w:rPr>
          <w:szCs w:val="22"/>
          <w:lang w:val="lt-LT" w:eastAsia="da-DK"/>
        </w:rPr>
        <w:t>i</w:t>
      </w:r>
      <w:r w:rsidR="00532F9B" w:rsidRPr="003D390E">
        <w:rPr>
          <w:szCs w:val="22"/>
          <w:lang w:val="lt-LT" w:eastAsia="da-DK"/>
        </w:rPr>
        <w:t>bose</w:t>
      </w:r>
      <w:r w:rsidRPr="003D390E">
        <w:rPr>
          <w:szCs w:val="22"/>
          <w:lang w:val="lt-LT" w:eastAsia="da-DK"/>
        </w:rPr>
        <w:t xml:space="preserve">. Traneksamo rūgštis greitai prasiskverbia </w:t>
      </w:r>
      <w:r w:rsidR="00532F9B">
        <w:rPr>
          <w:szCs w:val="22"/>
          <w:lang w:val="lt-LT" w:eastAsia="da-DK"/>
        </w:rPr>
        <w:t xml:space="preserve">į </w:t>
      </w:r>
      <w:r w:rsidRPr="003D390E">
        <w:rPr>
          <w:szCs w:val="22"/>
          <w:lang w:val="lt-LT" w:eastAsia="da-DK"/>
        </w:rPr>
        <w:t>sąnarių skyst</w:t>
      </w:r>
      <w:r w:rsidR="00532F9B">
        <w:rPr>
          <w:szCs w:val="22"/>
          <w:lang w:val="lt-LT" w:eastAsia="da-DK"/>
        </w:rPr>
        <w:t>į ir</w:t>
      </w:r>
      <w:r w:rsidRPr="003D390E">
        <w:rPr>
          <w:szCs w:val="22"/>
          <w:lang w:val="lt-LT" w:eastAsia="da-DK"/>
        </w:rPr>
        <w:t xml:space="preserve"> per</w:t>
      </w:r>
      <w:r w:rsidR="00532F9B">
        <w:rPr>
          <w:szCs w:val="22"/>
          <w:lang w:val="lt-LT" w:eastAsia="da-DK"/>
        </w:rPr>
        <w:t xml:space="preserve"> </w:t>
      </w:r>
      <w:r w:rsidRPr="003D390E">
        <w:rPr>
          <w:szCs w:val="22"/>
          <w:lang w:val="lt-LT" w:eastAsia="da-DK"/>
        </w:rPr>
        <w:t xml:space="preserve">sinovijos membraną. Suleidus </w:t>
      </w:r>
      <w:r w:rsidR="00675D64">
        <w:rPr>
          <w:szCs w:val="22"/>
          <w:lang w:val="lt-LT" w:eastAsia="da-DK"/>
        </w:rPr>
        <w:t xml:space="preserve">į </w:t>
      </w:r>
      <w:r w:rsidRPr="003D390E">
        <w:rPr>
          <w:szCs w:val="22"/>
          <w:lang w:val="lt-LT" w:eastAsia="da-DK"/>
        </w:rPr>
        <w:t>veną 10</w:t>
      </w:r>
      <w:r w:rsidR="00BA69D2">
        <w:rPr>
          <w:szCs w:val="22"/>
          <w:lang w:val="lt-LT" w:eastAsia="da-DK"/>
        </w:rPr>
        <w:t> mg</w:t>
      </w:r>
      <w:r w:rsidRPr="003D390E">
        <w:rPr>
          <w:szCs w:val="22"/>
          <w:lang w:val="lt-LT" w:eastAsia="da-DK"/>
        </w:rPr>
        <w:t xml:space="preserve">/kg dozę 17 pacientų, kuriems buvo atliekama kelio operacija, koncentracijos </w:t>
      </w:r>
      <w:r w:rsidR="00532F9B" w:rsidRPr="003D390E">
        <w:rPr>
          <w:szCs w:val="22"/>
          <w:lang w:val="lt-LT" w:eastAsia="da-DK"/>
        </w:rPr>
        <w:t>sąnarių</w:t>
      </w:r>
      <w:r w:rsidRPr="003D390E">
        <w:rPr>
          <w:szCs w:val="22"/>
          <w:lang w:val="lt-LT" w:eastAsia="da-DK"/>
        </w:rPr>
        <w:t xml:space="preserve"> skystyje buvo panašios </w:t>
      </w:r>
      <w:r w:rsidR="00532F9B">
        <w:rPr>
          <w:szCs w:val="22"/>
          <w:lang w:val="lt-LT" w:eastAsia="da-DK"/>
        </w:rPr>
        <w:t xml:space="preserve">į </w:t>
      </w:r>
      <w:r w:rsidRPr="003D390E">
        <w:rPr>
          <w:szCs w:val="22"/>
          <w:lang w:val="lt-LT" w:eastAsia="da-DK"/>
        </w:rPr>
        <w:t xml:space="preserve">išmatuotas atitinkamuose serumo </w:t>
      </w:r>
      <w:r w:rsidR="00532F9B" w:rsidRPr="003D390E">
        <w:rPr>
          <w:szCs w:val="22"/>
          <w:lang w:val="lt-LT" w:eastAsia="da-DK"/>
        </w:rPr>
        <w:t>mėginiuose</w:t>
      </w:r>
      <w:r w:rsidRPr="003D390E">
        <w:rPr>
          <w:szCs w:val="22"/>
          <w:lang w:val="lt-LT" w:eastAsia="da-DK"/>
        </w:rPr>
        <w:t xml:space="preserve">. Traneksamo rūgšties koncentracija </w:t>
      </w:r>
      <w:r w:rsidR="00270470">
        <w:rPr>
          <w:szCs w:val="22"/>
          <w:lang w:val="lt-LT" w:eastAsia="da-DK"/>
        </w:rPr>
        <w:t>daugelyje</w:t>
      </w:r>
      <w:r w:rsidRPr="003D390E">
        <w:rPr>
          <w:szCs w:val="22"/>
          <w:lang w:val="lt-LT" w:eastAsia="da-DK"/>
        </w:rPr>
        <w:t xml:space="preserve"> kitų audinių sudarė tam tikrą da</w:t>
      </w:r>
      <w:r w:rsidR="00532F9B">
        <w:rPr>
          <w:szCs w:val="22"/>
          <w:lang w:val="lt-LT" w:eastAsia="da-DK"/>
        </w:rPr>
        <w:t>lį</w:t>
      </w:r>
      <w:r w:rsidRPr="003D390E">
        <w:rPr>
          <w:szCs w:val="22"/>
          <w:lang w:val="lt-LT" w:eastAsia="da-DK"/>
        </w:rPr>
        <w:t xml:space="preserve"> kraujyje išmatuotos koncentracijos (motinos piene </w:t>
      </w:r>
      <w:r w:rsidR="00532F9B">
        <w:rPr>
          <w:szCs w:val="22"/>
          <w:lang w:val="lt-LT" w:eastAsia="da-DK"/>
        </w:rPr>
        <w:t xml:space="preserve">− </w:t>
      </w:r>
      <w:r w:rsidRPr="003D390E">
        <w:rPr>
          <w:szCs w:val="22"/>
          <w:lang w:val="lt-LT" w:eastAsia="da-DK"/>
        </w:rPr>
        <w:t xml:space="preserve">vieną </w:t>
      </w:r>
      <w:r w:rsidR="00532F9B" w:rsidRPr="003D390E">
        <w:rPr>
          <w:szCs w:val="22"/>
          <w:lang w:val="lt-LT" w:eastAsia="da-DK"/>
        </w:rPr>
        <w:t>šimtąją</w:t>
      </w:r>
      <w:r w:rsidRPr="003D390E">
        <w:rPr>
          <w:szCs w:val="22"/>
          <w:lang w:val="lt-LT" w:eastAsia="da-DK"/>
        </w:rPr>
        <w:t xml:space="preserve">, </w:t>
      </w:r>
      <w:r w:rsidR="00B647B8">
        <w:rPr>
          <w:szCs w:val="22"/>
          <w:lang w:val="lt-LT" w:eastAsia="da-DK"/>
        </w:rPr>
        <w:t>cerebrospinaliniame</w:t>
      </w:r>
      <w:r w:rsidR="00B647B8" w:rsidRPr="003D390E">
        <w:rPr>
          <w:szCs w:val="22"/>
          <w:lang w:val="lt-LT" w:eastAsia="da-DK"/>
        </w:rPr>
        <w:t xml:space="preserve"> </w:t>
      </w:r>
      <w:r w:rsidRPr="003D390E">
        <w:rPr>
          <w:szCs w:val="22"/>
          <w:lang w:val="lt-LT" w:eastAsia="da-DK"/>
        </w:rPr>
        <w:t xml:space="preserve">skystyje </w:t>
      </w:r>
      <w:r w:rsidR="00532F9B">
        <w:rPr>
          <w:szCs w:val="22"/>
          <w:lang w:val="lt-LT" w:eastAsia="da-DK"/>
        </w:rPr>
        <w:t xml:space="preserve">− </w:t>
      </w:r>
      <w:r w:rsidRPr="003D390E">
        <w:rPr>
          <w:szCs w:val="22"/>
          <w:lang w:val="lt-LT" w:eastAsia="da-DK"/>
        </w:rPr>
        <w:t>v</w:t>
      </w:r>
      <w:r w:rsidR="00532F9B">
        <w:rPr>
          <w:szCs w:val="22"/>
          <w:lang w:val="lt-LT" w:eastAsia="da-DK"/>
        </w:rPr>
        <w:t>i</w:t>
      </w:r>
      <w:r w:rsidRPr="003D390E">
        <w:rPr>
          <w:szCs w:val="22"/>
          <w:lang w:val="lt-LT" w:eastAsia="da-DK"/>
        </w:rPr>
        <w:t>eną dešimtąją, akies</w:t>
      </w:r>
      <w:r w:rsidR="00B647B8">
        <w:rPr>
          <w:szCs w:val="22"/>
          <w:lang w:val="lt-LT" w:eastAsia="da-DK"/>
        </w:rPr>
        <w:t xml:space="preserve"> vandeningame</w:t>
      </w:r>
      <w:r w:rsidRPr="003D390E">
        <w:rPr>
          <w:szCs w:val="22"/>
          <w:lang w:val="lt-LT" w:eastAsia="da-DK"/>
        </w:rPr>
        <w:t xml:space="preserve"> skystyje</w:t>
      </w:r>
      <w:r w:rsidR="00B9693D">
        <w:rPr>
          <w:szCs w:val="22"/>
          <w:lang w:val="lt-LT" w:eastAsia="da-DK"/>
        </w:rPr>
        <w:t xml:space="preserve"> </w:t>
      </w:r>
      <w:r w:rsidR="00B647B8">
        <w:rPr>
          <w:szCs w:val="22"/>
          <w:lang w:val="lt-LT" w:eastAsia="da-DK"/>
        </w:rPr>
        <w:t>(</w:t>
      </w:r>
      <w:r w:rsidR="00B647B8" w:rsidRPr="00B647B8">
        <w:rPr>
          <w:i/>
          <w:szCs w:val="22"/>
          <w:lang w:val="lt-LT" w:eastAsia="da-DK"/>
        </w:rPr>
        <w:t>humor aquosus</w:t>
      </w:r>
      <w:r w:rsidR="00B647B8">
        <w:rPr>
          <w:szCs w:val="22"/>
          <w:lang w:val="lt-LT" w:eastAsia="da-DK"/>
        </w:rPr>
        <w:t xml:space="preserve">) </w:t>
      </w:r>
      <w:r w:rsidRPr="003D390E">
        <w:rPr>
          <w:szCs w:val="22"/>
          <w:lang w:val="lt-LT" w:eastAsia="da-DK"/>
        </w:rPr>
        <w:t xml:space="preserve"> </w:t>
      </w:r>
      <w:r w:rsidR="00532F9B">
        <w:rPr>
          <w:szCs w:val="22"/>
          <w:lang w:val="lt-LT" w:eastAsia="da-DK"/>
        </w:rPr>
        <w:t xml:space="preserve">− </w:t>
      </w:r>
      <w:r w:rsidRPr="003D390E">
        <w:rPr>
          <w:szCs w:val="22"/>
          <w:lang w:val="lt-LT" w:eastAsia="da-DK"/>
        </w:rPr>
        <w:t>vieną dešimtąją). Traneksamo rūgšties buvo aptikta spermoje, kurioje ji slopino fibrinolizinį aktyvu</w:t>
      </w:r>
      <w:r w:rsidR="00532F9B">
        <w:rPr>
          <w:szCs w:val="22"/>
          <w:lang w:val="lt-LT" w:eastAsia="da-DK"/>
        </w:rPr>
        <w:t>mą</w:t>
      </w:r>
      <w:r w:rsidRPr="003D390E">
        <w:rPr>
          <w:szCs w:val="22"/>
          <w:lang w:val="lt-LT" w:eastAsia="da-DK"/>
        </w:rPr>
        <w:t>, bet neturėjo įtakos spermatozoidų migracijai.</w:t>
      </w:r>
    </w:p>
    <w:p w14:paraId="764AB316" w14:textId="77777777" w:rsidR="00532F9B" w:rsidRPr="003D390E" w:rsidRDefault="00532F9B" w:rsidP="003D39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lt-LT" w:eastAsia="da-DK"/>
        </w:rPr>
      </w:pPr>
    </w:p>
    <w:p w14:paraId="2AC53EAA" w14:textId="77777777" w:rsidR="003D390E" w:rsidRPr="00532F9B" w:rsidRDefault="00532F9B" w:rsidP="003D39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u w:val="single"/>
          <w:lang w:val="lt-LT" w:eastAsia="da-DK"/>
        </w:rPr>
      </w:pPr>
      <w:r>
        <w:rPr>
          <w:szCs w:val="22"/>
          <w:u w:val="single"/>
          <w:lang w:val="lt-LT" w:eastAsia="da-DK"/>
        </w:rPr>
        <w:t>Eliminacija</w:t>
      </w:r>
    </w:p>
    <w:p w14:paraId="6C01DA58" w14:textId="4004E46B" w:rsidR="003D390E" w:rsidRPr="003D390E" w:rsidRDefault="003D390E" w:rsidP="003D39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lt-LT" w:eastAsia="da-DK"/>
        </w:rPr>
      </w:pPr>
      <w:r w:rsidRPr="003D390E">
        <w:rPr>
          <w:szCs w:val="22"/>
          <w:lang w:val="lt-LT" w:eastAsia="da-DK"/>
        </w:rPr>
        <w:t>Traneksamo rūgšt</w:t>
      </w:r>
      <w:r w:rsidR="00532F9B">
        <w:rPr>
          <w:szCs w:val="22"/>
          <w:lang w:val="lt-LT" w:eastAsia="da-DK"/>
        </w:rPr>
        <w:t>i</w:t>
      </w:r>
      <w:r w:rsidRPr="003D390E">
        <w:rPr>
          <w:szCs w:val="22"/>
          <w:lang w:val="lt-LT" w:eastAsia="da-DK"/>
        </w:rPr>
        <w:t xml:space="preserve">s šalinama iš organizmo daugiausia su šlapimu </w:t>
      </w:r>
      <w:r w:rsidR="00532F9B" w:rsidRPr="003D390E">
        <w:rPr>
          <w:szCs w:val="22"/>
          <w:lang w:val="lt-LT" w:eastAsia="da-DK"/>
        </w:rPr>
        <w:t>nepakitusios</w:t>
      </w:r>
      <w:r w:rsidRPr="003D390E">
        <w:rPr>
          <w:szCs w:val="22"/>
          <w:lang w:val="lt-LT" w:eastAsia="da-DK"/>
        </w:rPr>
        <w:t xml:space="preserve"> medžiagos pavidalu. Pagrindinis eliminacijos būdas yra ekskrecija su š</w:t>
      </w:r>
      <w:r w:rsidR="00532F9B">
        <w:rPr>
          <w:szCs w:val="22"/>
          <w:lang w:val="lt-LT" w:eastAsia="da-DK"/>
        </w:rPr>
        <w:t>l</w:t>
      </w:r>
      <w:r w:rsidRPr="003D390E">
        <w:rPr>
          <w:szCs w:val="22"/>
          <w:lang w:val="lt-LT" w:eastAsia="da-DK"/>
        </w:rPr>
        <w:t>apimu glomerulų filtracijos b</w:t>
      </w:r>
      <w:r w:rsidR="00532F9B">
        <w:rPr>
          <w:szCs w:val="22"/>
          <w:lang w:val="lt-LT" w:eastAsia="da-DK"/>
        </w:rPr>
        <w:t>ū</w:t>
      </w:r>
      <w:r w:rsidRPr="003D390E">
        <w:rPr>
          <w:szCs w:val="22"/>
          <w:lang w:val="lt-LT" w:eastAsia="da-DK"/>
        </w:rPr>
        <w:t xml:space="preserve">du. </w:t>
      </w:r>
      <w:r w:rsidR="00B9693D">
        <w:rPr>
          <w:szCs w:val="22"/>
          <w:lang w:val="lt-LT" w:eastAsia="da-DK"/>
        </w:rPr>
        <w:t>Inkstų k</w:t>
      </w:r>
      <w:r w:rsidR="00532F9B">
        <w:rPr>
          <w:szCs w:val="22"/>
          <w:lang w:val="lt-LT" w:eastAsia="da-DK"/>
        </w:rPr>
        <w:t>li</w:t>
      </w:r>
      <w:r w:rsidRPr="003D390E">
        <w:rPr>
          <w:szCs w:val="22"/>
          <w:lang w:val="lt-LT" w:eastAsia="da-DK"/>
        </w:rPr>
        <w:t xml:space="preserve">rensas  yra lygus </w:t>
      </w:r>
      <w:r w:rsidR="00B9693D">
        <w:rPr>
          <w:szCs w:val="22"/>
          <w:lang w:val="lt-LT" w:eastAsia="da-DK"/>
        </w:rPr>
        <w:t xml:space="preserve">plazmos </w:t>
      </w:r>
      <w:r w:rsidRPr="003D390E">
        <w:rPr>
          <w:szCs w:val="22"/>
          <w:lang w:val="lt-LT" w:eastAsia="da-DK"/>
        </w:rPr>
        <w:t>klirensui  (110</w:t>
      </w:r>
      <w:r w:rsidR="00532F9B">
        <w:rPr>
          <w:szCs w:val="22"/>
          <w:lang w:val="lt-LT" w:eastAsia="da-DK"/>
        </w:rPr>
        <w:noBreakHyphen/>
      </w:r>
      <w:r w:rsidRPr="003D390E">
        <w:rPr>
          <w:szCs w:val="22"/>
          <w:lang w:val="lt-LT" w:eastAsia="da-DK"/>
        </w:rPr>
        <w:t>116</w:t>
      </w:r>
      <w:r w:rsidR="00BA69D2">
        <w:rPr>
          <w:szCs w:val="22"/>
          <w:lang w:val="lt-LT" w:eastAsia="da-DK"/>
        </w:rPr>
        <w:t> ml</w:t>
      </w:r>
      <w:r w:rsidRPr="003D390E">
        <w:rPr>
          <w:szCs w:val="22"/>
          <w:lang w:val="lt-LT" w:eastAsia="da-DK"/>
        </w:rPr>
        <w:t>/</w:t>
      </w:r>
      <w:r w:rsidR="00532F9B">
        <w:rPr>
          <w:szCs w:val="22"/>
          <w:lang w:val="lt-LT" w:eastAsia="da-DK"/>
        </w:rPr>
        <w:t>m</w:t>
      </w:r>
      <w:r w:rsidRPr="003D390E">
        <w:rPr>
          <w:szCs w:val="22"/>
          <w:lang w:val="lt-LT" w:eastAsia="da-DK"/>
        </w:rPr>
        <w:t>in.). Maždaug 90</w:t>
      </w:r>
      <w:r w:rsidR="00D243F1">
        <w:rPr>
          <w:szCs w:val="22"/>
          <w:lang w:val="lt-LT" w:eastAsia="da-DK"/>
        </w:rPr>
        <w:t> </w:t>
      </w:r>
      <w:r w:rsidRPr="003D390E">
        <w:rPr>
          <w:szCs w:val="22"/>
          <w:lang w:val="lt-LT" w:eastAsia="da-DK"/>
        </w:rPr>
        <w:t xml:space="preserve">% traneksamo rūgšties pasišalina iš </w:t>
      </w:r>
      <w:r w:rsidRPr="003D390E">
        <w:rPr>
          <w:szCs w:val="22"/>
          <w:lang w:val="lt-LT" w:eastAsia="da-DK"/>
        </w:rPr>
        <w:lastRenderedPageBreak/>
        <w:t>organizmo per pirmąsias 24</w:t>
      </w:r>
      <w:r w:rsidR="00D243F1">
        <w:rPr>
          <w:szCs w:val="22"/>
          <w:lang w:val="lt-LT" w:eastAsia="da-DK"/>
        </w:rPr>
        <w:t> </w:t>
      </w:r>
      <w:r w:rsidR="00D243F1" w:rsidRPr="003D390E">
        <w:rPr>
          <w:szCs w:val="22"/>
          <w:lang w:val="lt-LT" w:eastAsia="da-DK"/>
        </w:rPr>
        <w:t>valandas</w:t>
      </w:r>
      <w:r w:rsidRPr="003D390E">
        <w:rPr>
          <w:szCs w:val="22"/>
          <w:lang w:val="lt-LT" w:eastAsia="da-DK"/>
        </w:rPr>
        <w:t xml:space="preserve"> po 10</w:t>
      </w:r>
      <w:r w:rsidR="00BA69D2">
        <w:rPr>
          <w:szCs w:val="22"/>
          <w:lang w:val="lt-LT" w:eastAsia="da-DK"/>
        </w:rPr>
        <w:t> mg</w:t>
      </w:r>
      <w:r w:rsidRPr="003D390E">
        <w:rPr>
          <w:szCs w:val="22"/>
          <w:lang w:val="lt-LT" w:eastAsia="da-DK"/>
        </w:rPr>
        <w:t xml:space="preserve">/kg kūno masės dozės pavartojimo </w:t>
      </w:r>
      <w:r w:rsidR="00675D64">
        <w:rPr>
          <w:szCs w:val="22"/>
          <w:lang w:val="lt-LT" w:eastAsia="da-DK"/>
        </w:rPr>
        <w:t xml:space="preserve">į </w:t>
      </w:r>
      <w:r w:rsidRPr="003D390E">
        <w:rPr>
          <w:szCs w:val="22"/>
          <w:lang w:val="lt-LT" w:eastAsia="da-DK"/>
        </w:rPr>
        <w:t xml:space="preserve">veną. Pusinis traneksamo rūgšties eliminacijos </w:t>
      </w:r>
      <w:r w:rsidR="00B9693D">
        <w:rPr>
          <w:szCs w:val="22"/>
          <w:lang w:val="lt-LT" w:eastAsia="da-DK"/>
        </w:rPr>
        <w:t>laikas</w:t>
      </w:r>
      <w:r w:rsidRPr="003D390E">
        <w:rPr>
          <w:szCs w:val="22"/>
          <w:lang w:val="lt-LT" w:eastAsia="da-DK"/>
        </w:rPr>
        <w:t xml:space="preserve"> </w:t>
      </w:r>
      <w:r w:rsidR="00B9693D">
        <w:rPr>
          <w:szCs w:val="22"/>
          <w:lang w:val="lt-LT" w:eastAsia="da-DK"/>
        </w:rPr>
        <w:t>yra</w:t>
      </w:r>
      <w:r w:rsidRPr="003D390E">
        <w:rPr>
          <w:szCs w:val="22"/>
          <w:lang w:val="lt-LT" w:eastAsia="da-DK"/>
        </w:rPr>
        <w:t xml:space="preserve"> maždaug 3</w:t>
      </w:r>
      <w:r w:rsidR="00D243F1">
        <w:rPr>
          <w:szCs w:val="22"/>
          <w:lang w:val="lt-LT" w:eastAsia="da-DK"/>
        </w:rPr>
        <w:t> </w:t>
      </w:r>
      <w:r w:rsidRPr="003D390E">
        <w:rPr>
          <w:szCs w:val="22"/>
          <w:lang w:val="lt-LT" w:eastAsia="da-DK"/>
        </w:rPr>
        <w:t>valandas.</w:t>
      </w:r>
    </w:p>
    <w:p w14:paraId="1E2252F7" w14:textId="77777777" w:rsidR="00D243F1" w:rsidRDefault="00D243F1" w:rsidP="003D39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lt-LT" w:eastAsia="da-DK"/>
        </w:rPr>
      </w:pPr>
    </w:p>
    <w:p w14:paraId="25D57DE9" w14:textId="77777777" w:rsidR="003D390E" w:rsidRPr="00D243F1" w:rsidRDefault="00D243F1" w:rsidP="003D39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u w:val="single"/>
          <w:lang w:val="lt-LT" w:eastAsia="da-DK"/>
        </w:rPr>
      </w:pPr>
      <w:r w:rsidRPr="00D243F1">
        <w:rPr>
          <w:szCs w:val="22"/>
          <w:u w:val="single"/>
          <w:lang w:val="lt-LT" w:eastAsia="da-DK"/>
        </w:rPr>
        <w:t>Ypatingos</w:t>
      </w:r>
      <w:r w:rsidR="003D390E" w:rsidRPr="00D243F1">
        <w:rPr>
          <w:szCs w:val="22"/>
          <w:u w:val="single"/>
          <w:lang w:val="lt-LT" w:eastAsia="da-DK"/>
        </w:rPr>
        <w:t xml:space="preserve"> populiacijos</w:t>
      </w:r>
    </w:p>
    <w:p w14:paraId="0A4C259F" w14:textId="77777777" w:rsidR="00D243F1" w:rsidRDefault="003D390E" w:rsidP="003D39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lt-LT" w:eastAsia="da-DK"/>
        </w:rPr>
      </w:pPr>
      <w:r w:rsidRPr="003D390E">
        <w:rPr>
          <w:szCs w:val="22"/>
          <w:lang w:val="lt-LT" w:eastAsia="da-DK"/>
        </w:rPr>
        <w:t xml:space="preserve">Koncentracijos plazmoje </w:t>
      </w:r>
      <w:r w:rsidR="00D243F1" w:rsidRPr="003D390E">
        <w:rPr>
          <w:szCs w:val="22"/>
          <w:lang w:val="lt-LT" w:eastAsia="da-DK"/>
        </w:rPr>
        <w:t>padidėj</w:t>
      </w:r>
      <w:r w:rsidR="004E3110">
        <w:rPr>
          <w:szCs w:val="22"/>
          <w:lang w:val="lt-LT" w:eastAsia="da-DK"/>
        </w:rPr>
        <w:t>a</w:t>
      </w:r>
      <w:r w:rsidRPr="003D390E">
        <w:rPr>
          <w:szCs w:val="22"/>
          <w:lang w:val="lt-LT" w:eastAsia="da-DK"/>
        </w:rPr>
        <w:t xml:space="preserve"> pacientams su inkstų funkcijos nepakankamumu.</w:t>
      </w:r>
    </w:p>
    <w:p w14:paraId="264BED4D" w14:textId="77777777" w:rsidR="00F34163" w:rsidRPr="00B2511A" w:rsidRDefault="003D390E" w:rsidP="003D390E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lt-LT" w:eastAsia="da-DK"/>
        </w:rPr>
      </w:pPr>
      <w:r w:rsidRPr="003D390E">
        <w:rPr>
          <w:szCs w:val="22"/>
          <w:lang w:val="lt-LT" w:eastAsia="da-DK"/>
        </w:rPr>
        <w:t xml:space="preserve">Specialių </w:t>
      </w:r>
      <w:r w:rsidR="00D243F1">
        <w:rPr>
          <w:szCs w:val="22"/>
          <w:lang w:val="lt-LT" w:eastAsia="da-DK"/>
        </w:rPr>
        <w:t>farma</w:t>
      </w:r>
      <w:r w:rsidR="00675D64">
        <w:rPr>
          <w:szCs w:val="22"/>
          <w:lang w:val="lt-LT" w:eastAsia="da-DK"/>
        </w:rPr>
        <w:t>ko</w:t>
      </w:r>
      <w:r w:rsidR="00D243F1">
        <w:rPr>
          <w:szCs w:val="22"/>
          <w:lang w:val="lt-LT" w:eastAsia="da-DK"/>
        </w:rPr>
        <w:t>kinetikos</w:t>
      </w:r>
      <w:r w:rsidRPr="003D390E">
        <w:rPr>
          <w:szCs w:val="22"/>
          <w:lang w:val="lt-LT" w:eastAsia="da-DK"/>
        </w:rPr>
        <w:t xml:space="preserve"> tyrimų su vaikais neatlikta</w:t>
      </w:r>
      <w:r w:rsidR="00D243F1">
        <w:rPr>
          <w:szCs w:val="22"/>
          <w:lang w:val="lt-LT" w:eastAsia="da-DK"/>
        </w:rPr>
        <w:t>.</w:t>
      </w:r>
    </w:p>
    <w:p w14:paraId="49DB60B7" w14:textId="77777777" w:rsidR="00894555" w:rsidRPr="00B2511A" w:rsidRDefault="00894555" w:rsidP="00C2527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lt-LT" w:eastAsia="da-DK"/>
        </w:rPr>
      </w:pPr>
    </w:p>
    <w:p w14:paraId="001A19BC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5.3</w:t>
      </w:r>
      <w:r w:rsidRPr="00B2511A">
        <w:rPr>
          <w:b/>
          <w:snapToGrid/>
          <w:kern w:val="28"/>
          <w:szCs w:val="22"/>
          <w:lang w:val="lt-LT"/>
        </w:rPr>
        <w:tab/>
        <w:t>Ikiklinikinių saugumo tyrimų duomenys</w:t>
      </w:r>
    </w:p>
    <w:p w14:paraId="0459FF31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B9FAFA1" w14:textId="37EA91FC" w:rsidR="00F34163" w:rsidRPr="00B2511A" w:rsidRDefault="00E51A64" w:rsidP="00C25270">
      <w:pPr>
        <w:spacing w:line="240" w:lineRule="auto"/>
        <w:rPr>
          <w:szCs w:val="24"/>
          <w:lang w:val="lt-LT"/>
        </w:rPr>
      </w:pPr>
      <w:r w:rsidRPr="00E51A64">
        <w:rPr>
          <w:szCs w:val="24"/>
          <w:lang w:val="lt-LT"/>
        </w:rPr>
        <w:t>Įprastų farmakologinio saugumo, kartotinių dozių toksiškumo, genotoksiškumo, galimo kancerogeniškumo, toksinio poveikio reprodukcijai ir vystymuisi ikiklinikinių tyrimų duomenys specifinio pavojaus žmogui nerodo</w:t>
      </w:r>
      <w:r>
        <w:rPr>
          <w:szCs w:val="24"/>
          <w:lang w:val="lt-LT"/>
        </w:rPr>
        <w:t xml:space="preserve">. </w:t>
      </w:r>
      <w:r w:rsidRPr="00E51A64">
        <w:rPr>
          <w:szCs w:val="24"/>
          <w:lang w:val="lt-LT"/>
        </w:rPr>
        <w:t xml:space="preserve">Gyvūnams suleidus traneksamo rūgšties </w:t>
      </w:r>
      <w:r w:rsidR="00F870F4">
        <w:rPr>
          <w:szCs w:val="24"/>
          <w:lang w:val="lt-LT"/>
        </w:rPr>
        <w:t>į povoratinklinę ertmę</w:t>
      </w:r>
      <w:r w:rsidRPr="00E51A64">
        <w:rPr>
          <w:szCs w:val="24"/>
          <w:lang w:val="lt-LT"/>
        </w:rPr>
        <w:t>, pasireiškė epilep</w:t>
      </w:r>
      <w:r w:rsidR="00F870F4">
        <w:rPr>
          <w:szCs w:val="24"/>
          <w:lang w:val="lt-LT"/>
        </w:rPr>
        <w:t>to</w:t>
      </w:r>
      <w:r w:rsidRPr="00E51A64">
        <w:rPr>
          <w:szCs w:val="24"/>
          <w:lang w:val="lt-LT"/>
        </w:rPr>
        <w:t>geninis poveikis</w:t>
      </w:r>
      <w:r w:rsidR="00677AFA" w:rsidRPr="00B2511A">
        <w:rPr>
          <w:szCs w:val="24"/>
          <w:lang w:val="lt-LT"/>
        </w:rPr>
        <w:t>.</w:t>
      </w:r>
    </w:p>
    <w:p w14:paraId="08217783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6F29CD8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477C7CD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1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6.</w:t>
      </w:r>
      <w:r w:rsidRPr="00B2511A">
        <w:rPr>
          <w:b/>
          <w:bCs/>
          <w:snapToGrid/>
          <w:szCs w:val="22"/>
          <w:lang w:val="lt-LT"/>
        </w:rPr>
        <w:tab/>
        <w:t>FARMACINĖ INFORMACIJA</w:t>
      </w:r>
    </w:p>
    <w:p w14:paraId="2238BD95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5CDBE80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6.1</w:t>
      </w:r>
      <w:r w:rsidRPr="00B2511A">
        <w:rPr>
          <w:b/>
          <w:snapToGrid/>
          <w:kern w:val="28"/>
          <w:szCs w:val="22"/>
          <w:lang w:val="lt-LT"/>
        </w:rPr>
        <w:tab/>
        <w:t>Pagalbinių medžiagų sąrašas</w:t>
      </w:r>
    </w:p>
    <w:p w14:paraId="711233FD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2616054" w14:textId="77777777" w:rsidR="00F34163" w:rsidRPr="00B2511A" w:rsidRDefault="00E51A64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Injekcinis vanduo</w:t>
      </w:r>
    </w:p>
    <w:p w14:paraId="4CB95440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CE1FE01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6.2</w:t>
      </w:r>
      <w:r w:rsidRPr="00B2511A">
        <w:rPr>
          <w:b/>
          <w:snapToGrid/>
          <w:kern w:val="28"/>
          <w:szCs w:val="22"/>
          <w:lang w:val="lt-LT"/>
        </w:rPr>
        <w:tab/>
        <w:t>Nesuderinamumas</w:t>
      </w:r>
    </w:p>
    <w:p w14:paraId="04DA55A4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7142FFF" w14:textId="77777777" w:rsidR="00F34163" w:rsidRPr="00B2511A" w:rsidRDefault="00E51A64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Šio vaistinio preparato negalima maišyti su perpylimui skirtu krauju ar tirpalais, kuriuose yra penicilino.</w:t>
      </w:r>
    </w:p>
    <w:p w14:paraId="6C82250C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7D42E46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6.3</w:t>
      </w:r>
      <w:r w:rsidRPr="00B2511A">
        <w:rPr>
          <w:b/>
          <w:snapToGrid/>
          <w:kern w:val="28"/>
          <w:szCs w:val="22"/>
          <w:lang w:val="lt-LT"/>
        </w:rPr>
        <w:tab/>
        <w:t>Tinkamumo laikas</w:t>
      </w:r>
    </w:p>
    <w:p w14:paraId="02002972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B42B11C" w14:textId="77777777" w:rsidR="00952FD7" w:rsidRPr="00B2511A" w:rsidRDefault="00E51A64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2 metai</w:t>
      </w:r>
    </w:p>
    <w:p w14:paraId="28916FF1" w14:textId="77777777" w:rsidR="00F43F38" w:rsidRDefault="00F43F38" w:rsidP="00F43F38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E804930" w14:textId="3CEF339C" w:rsidR="00F43F38" w:rsidRPr="00F43F38" w:rsidRDefault="00F43F38" w:rsidP="00F43F38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Po pirmojo atidarymo</w:t>
      </w:r>
      <w:r w:rsidRPr="00F43F38">
        <w:rPr>
          <w:szCs w:val="24"/>
          <w:lang w:val="lt-LT"/>
        </w:rPr>
        <w:t xml:space="preserve">: </w:t>
      </w:r>
      <w:r>
        <w:rPr>
          <w:szCs w:val="24"/>
          <w:lang w:val="lt-LT"/>
        </w:rPr>
        <w:t xml:space="preserve">injekcinis ar infuzinis tirpalas skirtas </w:t>
      </w:r>
      <w:r w:rsidR="00283A17">
        <w:rPr>
          <w:szCs w:val="24"/>
          <w:lang w:val="lt-LT"/>
        </w:rPr>
        <w:t>tik vienkartiniam vartojimui</w:t>
      </w:r>
      <w:r w:rsidRPr="00F43F38">
        <w:rPr>
          <w:szCs w:val="24"/>
          <w:lang w:val="lt-LT"/>
        </w:rPr>
        <w:t xml:space="preserve">. </w:t>
      </w:r>
      <w:r>
        <w:rPr>
          <w:szCs w:val="24"/>
          <w:lang w:val="lt-LT"/>
        </w:rPr>
        <w:t>Nesuvartotą injekcinį tirpalą būtina sunaikinti</w:t>
      </w:r>
      <w:r w:rsidRPr="00F43F38">
        <w:rPr>
          <w:szCs w:val="24"/>
          <w:lang w:val="lt-LT"/>
        </w:rPr>
        <w:t>.</w:t>
      </w:r>
    </w:p>
    <w:p w14:paraId="4A84B212" w14:textId="3F9BB0F4" w:rsidR="00F43F38" w:rsidRPr="00F43F38" w:rsidRDefault="00F43F38" w:rsidP="00F43F38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Nustatyta, kad cheminiu ir fizikiniu požiūriu tirpalas </w:t>
      </w:r>
      <w:r w:rsidRPr="00F43F38">
        <w:rPr>
          <w:szCs w:val="24"/>
          <w:lang w:val="lt-LT"/>
        </w:rPr>
        <w:t>25</w:t>
      </w:r>
      <w:r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>°C</w:t>
      </w:r>
      <w:r>
        <w:rPr>
          <w:szCs w:val="24"/>
          <w:lang w:val="lt-LT"/>
        </w:rPr>
        <w:t xml:space="preserve"> temperatūroje išlieka stabilus </w:t>
      </w:r>
      <w:r w:rsidRPr="00F43F38">
        <w:rPr>
          <w:szCs w:val="24"/>
          <w:lang w:val="lt-LT"/>
        </w:rPr>
        <w:t>24</w:t>
      </w:r>
      <w:r>
        <w:rPr>
          <w:szCs w:val="24"/>
          <w:lang w:val="lt-LT"/>
        </w:rPr>
        <w:t> valandas</w:t>
      </w:r>
      <w:r w:rsidRPr="00F43F38">
        <w:rPr>
          <w:szCs w:val="24"/>
          <w:lang w:val="lt-LT"/>
        </w:rPr>
        <w:t>.</w:t>
      </w:r>
    </w:p>
    <w:p w14:paraId="5FB02B49" w14:textId="77777777" w:rsidR="00F43F38" w:rsidRPr="00F43F38" w:rsidRDefault="00F43F38" w:rsidP="00F43F38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4798C0E" w14:textId="0D7E1E5A" w:rsidR="00F43F38" w:rsidRPr="00F43F38" w:rsidRDefault="00F43F38" w:rsidP="00F43F38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F43F38">
        <w:rPr>
          <w:szCs w:val="24"/>
          <w:lang w:val="lt-LT"/>
        </w:rPr>
        <w:t>Mikrobiologiniu požiūriu tirpalas turi būti suvartotas nedelsiant. Jeigu tirpalas</w:t>
      </w:r>
      <w:r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 xml:space="preserve">nesuvartojamas iš karto, už </w:t>
      </w:r>
      <w:r w:rsidR="00283A17">
        <w:rPr>
          <w:szCs w:val="24"/>
          <w:lang w:val="lt-LT"/>
        </w:rPr>
        <w:t>laikymo</w:t>
      </w:r>
      <w:r w:rsidRPr="00F43F38">
        <w:rPr>
          <w:szCs w:val="24"/>
          <w:lang w:val="lt-LT"/>
        </w:rPr>
        <w:t xml:space="preserve"> laiką ir sąlygas prieš vartojimą yra atsakingas vartotojas, bet</w:t>
      </w:r>
      <w:r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>paprastai tirpalas turėtų būti laikomas ne ilgiau nei 24 valandas 2</w:t>
      </w:r>
      <w:r w:rsidR="00F1323C">
        <w:rPr>
          <w:szCs w:val="24"/>
          <w:lang w:val="lt-LT"/>
        </w:rPr>
        <w:t> </w:t>
      </w:r>
      <w:r w:rsidR="00F1323C" w:rsidRPr="00F1323C">
        <w:rPr>
          <w:szCs w:val="24"/>
          <w:lang w:val="lt-LT"/>
        </w:rPr>
        <w:t xml:space="preserve">°C </w:t>
      </w:r>
      <w:r>
        <w:rPr>
          <w:szCs w:val="24"/>
          <w:lang w:val="lt-LT"/>
        </w:rPr>
        <w:noBreakHyphen/>
      </w:r>
      <w:r w:rsidR="00F1323C"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 xml:space="preserve">8 °C temperatūroje, </w:t>
      </w:r>
      <w:r w:rsidRPr="00F43F38">
        <w:rPr>
          <w:szCs w:val="24"/>
          <w:u w:val="single"/>
          <w:lang w:val="lt-LT"/>
        </w:rPr>
        <w:t>nebent vaistinis preparatas buvo skiestas kontroliuojamomis ir įteisintomis asepti</w:t>
      </w:r>
      <w:r w:rsidR="00283A17">
        <w:rPr>
          <w:szCs w:val="24"/>
          <w:u w:val="single"/>
          <w:lang w:val="lt-LT"/>
        </w:rPr>
        <w:t>nėmis</w:t>
      </w:r>
      <w:r w:rsidRPr="00F43F38">
        <w:rPr>
          <w:szCs w:val="24"/>
          <w:u w:val="single"/>
          <w:lang w:val="lt-LT"/>
        </w:rPr>
        <w:t xml:space="preserve"> sąlygomis</w:t>
      </w:r>
      <w:r w:rsidRPr="00F43F38">
        <w:rPr>
          <w:szCs w:val="24"/>
          <w:lang w:val="lt-LT"/>
        </w:rPr>
        <w:t>.</w:t>
      </w:r>
    </w:p>
    <w:p w14:paraId="45FEA437" w14:textId="77777777" w:rsidR="00F43F38" w:rsidRPr="00F43F38" w:rsidRDefault="00F43F38" w:rsidP="00F43F38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4EEB57C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6.4</w:t>
      </w:r>
      <w:r w:rsidRPr="00B2511A">
        <w:rPr>
          <w:b/>
          <w:snapToGrid/>
          <w:kern w:val="28"/>
          <w:szCs w:val="22"/>
          <w:lang w:val="lt-LT"/>
        </w:rPr>
        <w:tab/>
        <w:t>Specialios laikymo sąlygos</w:t>
      </w:r>
    </w:p>
    <w:p w14:paraId="64B53847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73CDAA8" w14:textId="77777777" w:rsidR="00B4194A" w:rsidRDefault="00B4194A" w:rsidP="00C25270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  <w:r>
        <w:rPr>
          <w:color w:val="0D0D0D"/>
          <w:szCs w:val="24"/>
          <w:lang w:val="lt-LT"/>
        </w:rPr>
        <w:t>Negalima užšaldyti.</w:t>
      </w:r>
    </w:p>
    <w:p w14:paraId="149D10DD" w14:textId="77777777" w:rsidR="00F34163" w:rsidRPr="00B2511A" w:rsidRDefault="00B4194A" w:rsidP="00C25270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  <w:r w:rsidRPr="00B4194A">
        <w:rPr>
          <w:color w:val="0D0D0D"/>
          <w:szCs w:val="24"/>
          <w:lang w:val="lt-LT"/>
        </w:rPr>
        <w:t>Pirmą kartą atidaryto vaistinio preparato laikymo sąlygos pateikiamos 6.3</w:t>
      </w:r>
      <w:r>
        <w:rPr>
          <w:color w:val="0D0D0D"/>
          <w:szCs w:val="24"/>
          <w:lang w:val="lt-LT"/>
        </w:rPr>
        <w:t> </w:t>
      </w:r>
      <w:r w:rsidRPr="00B4194A">
        <w:rPr>
          <w:color w:val="0D0D0D"/>
          <w:szCs w:val="24"/>
          <w:lang w:val="lt-LT"/>
        </w:rPr>
        <w:t>skyriuje.</w:t>
      </w:r>
    </w:p>
    <w:p w14:paraId="689C99BE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AC2F559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B2511A">
        <w:rPr>
          <w:b/>
          <w:snapToGrid/>
          <w:kern w:val="28"/>
          <w:szCs w:val="22"/>
          <w:lang w:val="lt-LT"/>
        </w:rPr>
        <w:t>6.5</w:t>
      </w:r>
      <w:r w:rsidRPr="00B2511A">
        <w:rPr>
          <w:b/>
          <w:snapToGrid/>
          <w:kern w:val="28"/>
          <w:szCs w:val="22"/>
          <w:lang w:val="lt-LT"/>
        </w:rPr>
        <w:tab/>
        <w:t>Talpyklės pobūdis ir jos turinys</w:t>
      </w:r>
    </w:p>
    <w:p w14:paraId="044B43AF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67036B6" w14:textId="77777777" w:rsidR="00B4194A" w:rsidRPr="00B4194A" w:rsidRDefault="00B4194A" w:rsidP="00B4194A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4194A">
        <w:rPr>
          <w:szCs w:val="24"/>
          <w:lang w:val="lt-LT"/>
        </w:rPr>
        <w:t>6</w:t>
      </w:r>
      <w:r w:rsidR="00BA69D2">
        <w:rPr>
          <w:szCs w:val="24"/>
          <w:lang w:val="lt-LT"/>
        </w:rPr>
        <w:t> ml</w:t>
      </w:r>
      <w:r w:rsidRPr="00B4194A">
        <w:rPr>
          <w:szCs w:val="24"/>
          <w:lang w:val="lt-LT"/>
        </w:rPr>
        <w:t xml:space="preserve"> I</w:t>
      </w:r>
      <w:r>
        <w:rPr>
          <w:szCs w:val="24"/>
          <w:lang w:val="lt-LT"/>
        </w:rPr>
        <w:t> tipo stiklo flakonas, kurio užpildymo tūris yra 5</w:t>
      </w:r>
      <w:r w:rsidR="00BA69D2">
        <w:rPr>
          <w:szCs w:val="24"/>
          <w:lang w:val="lt-LT"/>
        </w:rPr>
        <w:t> ml</w:t>
      </w:r>
      <w:r>
        <w:rPr>
          <w:szCs w:val="24"/>
          <w:lang w:val="lt-LT"/>
        </w:rPr>
        <w:t>, lizdinėje plokštelėje ir kartono dėžutėje</w:t>
      </w:r>
      <w:r w:rsidRPr="00B4194A">
        <w:rPr>
          <w:szCs w:val="24"/>
          <w:lang w:val="lt-LT"/>
        </w:rPr>
        <w:t>.</w:t>
      </w:r>
    </w:p>
    <w:p w14:paraId="29EFCF6B" w14:textId="77777777" w:rsidR="00C53A65" w:rsidRPr="00B4194A" w:rsidRDefault="00C53A65" w:rsidP="00C53A65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10</w:t>
      </w:r>
      <w:r w:rsidR="00BA69D2">
        <w:rPr>
          <w:szCs w:val="24"/>
          <w:lang w:val="lt-LT"/>
        </w:rPr>
        <w:t> ml</w:t>
      </w:r>
      <w:r w:rsidRPr="00B4194A">
        <w:rPr>
          <w:szCs w:val="24"/>
          <w:lang w:val="lt-LT"/>
        </w:rPr>
        <w:t xml:space="preserve"> I</w:t>
      </w:r>
      <w:r>
        <w:rPr>
          <w:szCs w:val="24"/>
          <w:lang w:val="lt-LT"/>
        </w:rPr>
        <w:t> tipo stiklo flakonas, kurio užpildymo tūris yra 10</w:t>
      </w:r>
      <w:r w:rsidR="00BA69D2">
        <w:rPr>
          <w:szCs w:val="24"/>
          <w:lang w:val="lt-LT"/>
        </w:rPr>
        <w:t> ml</w:t>
      </w:r>
      <w:r>
        <w:rPr>
          <w:szCs w:val="24"/>
          <w:lang w:val="lt-LT"/>
        </w:rPr>
        <w:t>, lizdinėje plokštelėje ir kartono dėžutėje</w:t>
      </w:r>
      <w:r w:rsidRPr="00B4194A">
        <w:rPr>
          <w:szCs w:val="24"/>
          <w:lang w:val="lt-LT"/>
        </w:rPr>
        <w:t>.</w:t>
      </w:r>
    </w:p>
    <w:p w14:paraId="6FF4F38A" w14:textId="77777777" w:rsidR="00B4194A" w:rsidRPr="00B4194A" w:rsidRDefault="00B4194A" w:rsidP="00B4194A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32FF3C4" w14:textId="77777777" w:rsidR="00B4194A" w:rsidRPr="00B4194A" w:rsidRDefault="00B4194A" w:rsidP="00B4194A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1A758C9" w14:textId="77777777" w:rsidR="00B4194A" w:rsidRPr="00B4194A" w:rsidRDefault="00C53A65" w:rsidP="00B4194A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Pakuotės dydžiai</w:t>
      </w:r>
    </w:p>
    <w:p w14:paraId="0C05BB70" w14:textId="77777777" w:rsidR="00B4194A" w:rsidRPr="00B4194A" w:rsidRDefault="00B4194A" w:rsidP="00B4194A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4194A">
        <w:rPr>
          <w:szCs w:val="24"/>
          <w:lang w:val="lt-LT"/>
        </w:rPr>
        <w:t>5 x 5</w:t>
      </w:r>
      <w:r w:rsidR="00BA69D2">
        <w:rPr>
          <w:szCs w:val="24"/>
          <w:lang w:val="lt-LT"/>
        </w:rPr>
        <w:t> ml</w:t>
      </w:r>
      <w:r w:rsidRPr="00B4194A">
        <w:rPr>
          <w:szCs w:val="24"/>
          <w:lang w:val="lt-LT"/>
        </w:rPr>
        <w:t>, 10 x 5</w:t>
      </w:r>
      <w:r w:rsidR="00BA69D2">
        <w:rPr>
          <w:szCs w:val="24"/>
          <w:lang w:val="lt-LT"/>
        </w:rPr>
        <w:t> ml</w:t>
      </w:r>
      <w:r w:rsidRPr="00B4194A">
        <w:rPr>
          <w:szCs w:val="24"/>
          <w:lang w:val="lt-LT"/>
        </w:rPr>
        <w:t>,</w:t>
      </w:r>
    </w:p>
    <w:p w14:paraId="52F475CE" w14:textId="77777777" w:rsidR="003836AC" w:rsidRPr="00B2511A" w:rsidRDefault="00B4194A" w:rsidP="00B4194A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4194A">
        <w:rPr>
          <w:szCs w:val="24"/>
          <w:lang w:val="lt-LT"/>
        </w:rPr>
        <w:t>5 x 10</w:t>
      </w:r>
      <w:r w:rsidR="00BA69D2">
        <w:rPr>
          <w:szCs w:val="24"/>
          <w:lang w:val="lt-LT"/>
        </w:rPr>
        <w:t> ml</w:t>
      </w:r>
      <w:r w:rsidRPr="00B4194A">
        <w:rPr>
          <w:szCs w:val="24"/>
          <w:lang w:val="lt-LT"/>
        </w:rPr>
        <w:t>, 10 x 10</w:t>
      </w:r>
      <w:r w:rsidR="00BA69D2">
        <w:rPr>
          <w:szCs w:val="24"/>
          <w:lang w:val="lt-LT"/>
        </w:rPr>
        <w:t> ml</w:t>
      </w:r>
      <w:r w:rsidR="003836AC" w:rsidRPr="00B2511A">
        <w:rPr>
          <w:szCs w:val="24"/>
          <w:lang w:val="lt-LT"/>
        </w:rPr>
        <w:t>.</w:t>
      </w:r>
    </w:p>
    <w:p w14:paraId="07583512" w14:textId="77777777" w:rsidR="003836AC" w:rsidRPr="00B2511A" w:rsidRDefault="003836AC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DF8AB6F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Gali būti tiekiamos ne visų dydžių pakuotės.</w:t>
      </w:r>
    </w:p>
    <w:p w14:paraId="27D5AE7F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B940A90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2" w:name="OLE_LINK1"/>
      <w:r w:rsidRPr="00B2511A">
        <w:rPr>
          <w:b/>
          <w:snapToGrid/>
          <w:kern w:val="28"/>
          <w:szCs w:val="22"/>
          <w:lang w:val="lt-LT"/>
        </w:rPr>
        <w:t>6.6</w:t>
      </w:r>
      <w:r w:rsidRPr="00B2511A">
        <w:rPr>
          <w:b/>
          <w:snapToGrid/>
          <w:kern w:val="28"/>
          <w:szCs w:val="22"/>
          <w:lang w:val="lt-LT"/>
        </w:rPr>
        <w:tab/>
        <w:t>Specialūs reikalavimai atliekoms tvarkyti</w:t>
      </w:r>
      <w:r w:rsidR="00E51024">
        <w:rPr>
          <w:b/>
          <w:snapToGrid/>
          <w:kern w:val="28"/>
          <w:szCs w:val="22"/>
          <w:lang w:val="lt-LT"/>
        </w:rPr>
        <w:t xml:space="preserve"> </w:t>
      </w:r>
      <w:r w:rsidR="00E51024" w:rsidRPr="00E51024">
        <w:rPr>
          <w:b/>
          <w:snapToGrid/>
          <w:kern w:val="28"/>
          <w:szCs w:val="22"/>
          <w:lang w:val="lt-LT"/>
        </w:rPr>
        <w:t>ir vaistiniam preparatui ruošti</w:t>
      </w:r>
    </w:p>
    <w:bookmarkEnd w:id="2"/>
    <w:p w14:paraId="09661AA5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D18E7BC" w14:textId="6C6CA3F6" w:rsidR="00E62508" w:rsidRPr="00E62508" w:rsidRDefault="00E62508" w:rsidP="00E62508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E62508">
        <w:rPr>
          <w:szCs w:val="24"/>
          <w:lang w:val="lt-LT"/>
        </w:rPr>
        <w:t>Trane</w:t>
      </w:r>
      <w:r>
        <w:rPr>
          <w:szCs w:val="24"/>
          <w:lang w:val="lt-LT"/>
        </w:rPr>
        <w:t xml:space="preserve">ksamo rūgšties injekcinis ar infuzinis tirpalas gali būti maišomas su daugeliu infuzinių tirpalų, </w:t>
      </w:r>
      <w:r w:rsidR="00E51024">
        <w:rPr>
          <w:szCs w:val="24"/>
          <w:lang w:val="lt-LT"/>
        </w:rPr>
        <w:t xml:space="preserve">tokių kaip </w:t>
      </w:r>
      <w:r>
        <w:rPr>
          <w:szCs w:val="24"/>
          <w:lang w:val="lt-LT"/>
        </w:rPr>
        <w:t>elektrolitų</w:t>
      </w:r>
      <w:r w:rsidR="00E51024">
        <w:rPr>
          <w:szCs w:val="24"/>
          <w:lang w:val="lt-LT"/>
        </w:rPr>
        <w:t xml:space="preserve"> tirpalai</w:t>
      </w:r>
      <w:r>
        <w:rPr>
          <w:szCs w:val="24"/>
          <w:lang w:val="lt-LT"/>
        </w:rPr>
        <w:t>, angliavandenių</w:t>
      </w:r>
      <w:r w:rsidR="00E51024">
        <w:rPr>
          <w:szCs w:val="24"/>
          <w:lang w:val="lt-LT"/>
        </w:rPr>
        <w:t xml:space="preserve"> tirpalai</w:t>
      </w:r>
      <w:r>
        <w:rPr>
          <w:szCs w:val="24"/>
          <w:lang w:val="lt-LT"/>
        </w:rPr>
        <w:t xml:space="preserve">, aminorūgščių </w:t>
      </w:r>
      <w:r w:rsidR="00E51024">
        <w:rPr>
          <w:szCs w:val="24"/>
          <w:lang w:val="lt-LT"/>
        </w:rPr>
        <w:t xml:space="preserve">tirpalai </w:t>
      </w:r>
      <w:r>
        <w:rPr>
          <w:szCs w:val="24"/>
          <w:lang w:val="lt-LT"/>
        </w:rPr>
        <w:t>ir dekstrano tirpal</w:t>
      </w:r>
      <w:r w:rsidR="00E51024">
        <w:rPr>
          <w:szCs w:val="24"/>
          <w:lang w:val="lt-LT"/>
        </w:rPr>
        <w:t>ai</w:t>
      </w:r>
      <w:r>
        <w:rPr>
          <w:szCs w:val="24"/>
          <w:lang w:val="lt-LT"/>
        </w:rPr>
        <w:t>. Į šį vaistinį preparatą galima įšvirkšti heparino</w:t>
      </w:r>
      <w:r w:rsidRPr="00E62508">
        <w:rPr>
          <w:szCs w:val="24"/>
          <w:lang w:val="lt-LT"/>
        </w:rPr>
        <w:t>.</w:t>
      </w:r>
    </w:p>
    <w:p w14:paraId="2F7EEF30" w14:textId="77777777" w:rsidR="00E62508" w:rsidRPr="00E62508" w:rsidRDefault="00E62508" w:rsidP="00E62508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3AAE0C0" w14:textId="1EDAF434" w:rsidR="00F34163" w:rsidRDefault="00E62508" w:rsidP="00E62508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E62508">
        <w:rPr>
          <w:szCs w:val="24"/>
          <w:lang w:val="lt-LT"/>
        </w:rPr>
        <w:t>Trane</w:t>
      </w:r>
      <w:r>
        <w:rPr>
          <w:szCs w:val="24"/>
          <w:lang w:val="lt-LT"/>
        </w:rPr>
        <w:t xml:space="preserve">ksamo rūgšties injekcinis ar infuzinis tirpalas yra skirtas </w:t>
      </w:r>
      <w:r w:rsidR="00E51024">
        <w:rPr>
          <w:szCs w:val="24"/>
          <w:lang w:val="lt-LT"/>
        </w:rPr>
        <w:t>tik vienkartiniam vartojimui</w:t>
      </w:r>
      <w:r>
        <w:rPr>
          <w:szCs w:val="24"/>
          <w:lang w:val="lt-LT"/>
        </w:rPr>
        <w:t xml:space="preserve">. </w:t>
      </w:r>
      <w:r w:rsidRPr="00E62508">
        <w:rPr>
          <w:szCs w:val="24"/>
          <w:lang w:val="lt-LT"/>
        </w:rPr>
        <w:t>Nesuvartotą vaistinį preparatą ar atliekas reikia tvarkyti laikantis vietinių reikalavimų.</w:t>
      </w:r>
    </w:p>
    <w:p w14:paraId="3D7CF733" w14:textId="77777777" w:rsidR="00E62508" w:rsidRPr="00B2511A" w:rsidRDefault="00E62508" w:rsidP="00E62508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E242402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B8661AE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1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7.</w:t>
      </w:r>
      <w:r w:rsidRPr="00B2511A">
        <w:rPr>
          <w:b/>
          <w:bCs/>
          <w:snapToGrid/>
          <w:szCs w:val="22"/>
          <w:lang w:val="lt-LT"/>
        </w:rPr>
        <w:tab/>
      </w:r>
      <w:r w:rsidR="00126F6D" w:rsidRPr="00B2511A">
        <w:rPr>
          <w:b/>
          <w:bCs/>
          <w:snapToGrid/>
          <w:szCs w:val="22"/>
          <w:lang w:val="lt-LT"/>
        </w:rPr>
        <w:t>REGISTRUOTOJAS</w:t>
      </w:r>
    </w:p>
    <w:p w14:paraId="7D5E1AE9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E3B6085" w14:textId="77777777" w:rsidR="00300F73" w:rsidRPr="00300F73" w:rsidRDefault="00300F73" w:rsidP="00300F7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300F73">
        <w:rPr>
          <w:szCs w:val="24"/>
          <w:lang w:val="lt-LT"/>
        </w:rPr>
        <w:t>Baxter Holding B.V.</w:t>
      </w:r>
    </w:p>
    <w:p w14:paraId="66F29C2A" w14:textId="50D72EA7" w:rsidR="00300F73" w:rsidRPr="00300F73" w:rsidRDefault="00300F73" w:rsidP="00300F7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300F73">
        <w:rPr>
          <w:szCs w:val="24"/>
          <w:lang w:val="lt-LT"/>
        </w:rPr>
        <w:t>Kobaltweg 49</w:t>
      </w:r>
    </w:p>
    <w:p w14:paraId="045DECE6" w14:textId="6A25AC9C" w:rsidR="00C61A4A" w:rsidRDefault="00300F73" w:rsidP="00300F7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300F73">
        <w:rPr>
          <w:szCs w:val="24"/>
          <w:lang w:val="lt-LT"/>
        </w:rPr>
        <w:t xml:space="preserve">3542CE Utrecht </w:t>
      </w:r>
    </w:p>
    <w:p w14:paraId="2255EDC7" w14:textId="77777777" w:rsidR="00F34163" w:rsidRPr="00B2511A" w:rsidRDefault="00300F73" w:rsidP="00300F73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Nyderlandai</w:t>
      </w:r>
    </w:p>
    <w:p w14:paraId="558FA3F0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2911452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2C53102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1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8.</w:t>
      </w:r>
      <w:r w:rsidRPr="00B2511A">
        <w:rPr>
          <w:b/>
          <w:bCs/>
          <w:snapToGrid/>
          <w:szCs w:val="22"/>
          <w:lang w:val="lt-LT"/>
        </w:rPr>
        <w:tab/>
      </w:r>
      <w:r w:rsidR="00826CB6" w:rsidRPr="00B2511A">
        <w:rPr>
          <w:b/>
          <w:bCs/>
          <w:snapToGrid/>
          <w:szCs w:val="22"/>
          <w:lang w:val="lt-LT"/>
        </w:rPr>
        <w:t xml:space="preserve">REGISTRACIJOS </w:t>
      </w:r>
      <w:r w:rsidRPr="00B2511A">
        <w:rPr>
          <w:b/>
          <w:bCs/>
          <w:snapToGrid/>
          <w:szCs w:val="22"/>
          <w:lang w:val="lt-LT"/>
        </w:rPr>
        <w:t xml:space="preserve">PAŽYMĖJIMO NUMERIS (-IAI) </w:t>
      </w:r>
    </w:p>
    <w:p w14:paraId="31F5DB71" w14:textId="68350B18" w:rsidR="00F34163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13F4774" w14:textId="7F610C67" w:rsidR="00DB178F" w:rsidRDefault="00DB178F" w:rsidP="00DB178F">
      <w:pPr>
        <w:rPr>
          <w:szCs w:val="22"/>
          <w:lang w:val="lt-LT"/>
        </w:rPr>
      </w:pPr>
      <w:r w:rsidRPr="00097DFA">
        <w:rPr>
          <w:szCs w:val="22"/>
          <w:lang w:val="lt-LT"/>
        </w:rPr>
        <w:t>LT/1/20/</w:t>
      </w:r>
      <w:r>
        <w:rPr>
          <w:szCs w:val="22"/>
          <w:lang w:val="lt-LT"/>
        </w:rPr>
        <w:t>4585/001 – 5 ml, N5</w:t>
      </w:r>
    </w:p>
    <w:p w14:paraId="43A4D4C7" w14:textId="03047953" w:rsidR="00DB178F" w:rsidRDefault="00DB178F" w:rsidP="00DB178F">
      <w:pPr>
        <w:rPr>
          <w:szCs w:val="22"/>
          <w:lang w:val="lt-LT"/>
        </w:rPr>
      </w:pPr>
      <w:r w:rsidRPr="00097DFA">
        <w:rPr>
          <w:szCs w:val="22"/>
          <w:lang w:val="lt-LT"/>
        </w:rPr>
        <w:t>LT/1/20/</w:t>
      </w:r>
      <w:r>
        <w:rPr>
          <w:szCs w:val="22"/>
          <w:lang w:val="lt-LT"/>
        </w:rPr>
        <w:t>4585/002 – 5 ml, N10</w:t>
      </w:r>
    </w:p>
    <w:p w14:paraId="2583B381" w14:textId="0D8D0390" w:rsidR="00DB178F" w:rsidRDefault="00DB178F" w:rsidP="00DB178F">
      <w:pPr>
        <w:rPr>
          <w:szCs w:val="22"/>
          <w:lang w:val="lt-LT"/>
        </w:rPr>
      </w:pPr>
      <w:r w:rsidRPr="00097DFA">
        <w:rPr>
          <w:szCs w:val="22"/>
          <w:lang w:val="lt-LT"/>
        </w:rPr>
        <w:t>LT/1/20/</w:t>
      </w:r>
      <w:r>
        <w:rPr>
          <w:szCs w:val="22"/>
          <w:lang w:val="lt-LT"/>
        </w:rPr>
        <w:t>4585/003 – 10 ml, N5</w:t>
      </w:r>
    </w:p>
    <w:p w14:paraId="55F7748E" w14:textId="78D02712" w:rsidR="00DB178F" w:rsidRDefault="00DB178F" w:rsidP="00DB178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097DFA">
        <w:rPr>
          <w:szCs w:val="22"/>
          <w:lang w:val="lt-LT"/>
        </w:rPr>
        <w:t>LT/1/20/</w:t>
      </w:r>
      <w:r>
        <w:rPr>
          <w:szCs w:val="22"/>
          <w:lang w:val="lt-LT"/>
        </w:rPr>
        <w:t>4585/004 – 10 ml, N10</w:t>
      </w:r>
    </w:p>
    <w:p w14:paraId="4BCA5563" w14:textId="77777777" w:rsidR="00DB178F" w:rsidRPr="00B2511A" w:rsidRDefault="00DB178F" w:rsidP="00DB178F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FF053FE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1D31E3B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1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9.</w:t>
      </w:r>
      <w:r w:rsidRPr="00B2511A">
        <w:rPr>
          <w:b/>
          <w:bCs/>
          <w:snapToGrid/>
          <w:szCs w:val="22"/>
          <w:lang w:val="lt-LT"/>
        </w:rPr>
        <w:tab/>
      </w:r>
      <w:r w:rsidR="00826CB6" w:rsidRPr="00B2511A">
        <w:rPr>
          <w:b/>
          <w:bCs/>
          <w:snapToGrid/>
          <w:szCs w:val="22"/>
          <w:lang w:val="lt-LT"/>
        </w:rPr>
        <w:t>REGISTRA</w:t>
      </w:r>
      <w:r w:rsidR="00B51C06" w:rsidRPr="00B2511A">
        <w:rPr>
          <w:b/>
          <w:bCs/>
          <w:snapToGrid/>
          <w:szCs w:val="22"/>
          <w:lang w:val="lt-LT"/>
        </w:rPr>
        <w:t>VIMO</w:t>
      </w:r>
      <w:r w:rsidRPr="00B2511A">
        <w:rPr>
          <w:b/>
          <w:bCs/>
          <w:snapToGrid/>
          <w:szCs w:val="22"/>
          <w:lang w:val="lt-LT"/>
        </w:rPr>
        <w:t xml:space="preserve"> / </w:t>
      </w:r>
      <w:r w:rsidR="00CE6EC2" w:rsidRPr="00B2511A">
        <w:rPr>
          <w:b/>
          <w:bCs/>
          <w:snapToGrid/>
          <w:szCs w:val="22"/>
          <w:lang w:val="lt-LT"/>
        </w:rPr>
        <w:t xml:space="preserve">PERREGISTRAVIMO </w:t>
      </w:r>
      <w:r w:rsidRPr="00B2511A">
        <w:rPr>
          <w:b/>
          <w:bCs/>
          <w:snapToGrid/>
          <w:szCs w:val="22"/>
          <w:lang w:val="lt-LT"/>
        </w:rPr>
        <w:t>DATA</w:t>
      </w:r>
    </w:p>
    <w:p w14:paraId="1B3B6094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FF4C883" w14:textId="34A3B761" w:rsidR="00F34163" w:rsidRPr="00B2511A" w:rsidRDefault="00C8680A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Registra</w:t>
      </w:r>
      <w:r w:rsidR="00B51C06" w:rsidRPr="00B2511A">
        <w:rPr>
          <w:szCs w:val="24"/>
          <w:lang w:val="lt-LT"/>
        </w:rPr>
        <w:t>vimo</w:t>
      </w:r>
      <w:r w:rsidRPr="00B2511A">
        <w:rPr>
          <w:szCs w:val="24"/>
          <w:lang w:val="lt-LT"/>
        </w:rPr>
        <w:t xml:space="preserve"> data</w:t>
      </w:r>
      <w:r w:rsidR="00701E42">
        <w:rPr>
          <w:szCs w:val="24"/>
          <w:lang w:val="lt-LT"/>
        </w:rPr>
        <w:t xml:space="preserve"> 2020 m. birželio 11 d.</w:t>
      </w:r>
    </w:p>
    <w:p w14:paraId="7CBD23A6" w14:textId="77777777" w:rsidR="00F34163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F0DA43E" w14:textId="77777777" w:rsidR="00BA69D2" w:rsidRPr="00B2511A" w:rsidRDefault="00BA69D2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962D1FD" w14:textId="77777777" w:rsidR="00F34163" w:rsidRPr="00B2511A" w:rsidRDefault="00F34163" w:rsidP="00C25270">
      <w:pPr>
        <w:widowControl w:val="0"/>
        <w:spacing w:line="240" w:lineRule="auto"/>
        <w:ind w:left="567" w:hanging="567"/>
        <w:outlineLvl w:val="1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10.</w:t>
      </w:r>
      <w:r w:rsidRPr="00B2511A">
        <w:rPr>
          <w:b/>
          <w:bCs/>
          <w:snapToGrid/>
          <w:szCs w:val="22"/>
          <w:lang w:val="lt-LT"/>
        </w:rPr>
        <w:tab/>
        <w:t>TEKSTO PERŽIŪROS DATA</w:t>
      </w:r>
    </w:p>
    <w:p w14:paraId="05F549A3" w14:textId="77777777" w:rsidR="00701E42" w:rsidRDefault="00701E42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DD4E768" w14:textId="77777777" w:rsidR="00671449" w:rsidRDefault="00671449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2025 m. birželio 23 d.</w:t>
      </w:r>
    </w:p>
    <w:p w14:paraId="0C040CA8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2664607" w14:textId="77777777" w:rsidR="00F34163" w:rsidRPr="00B2511A" w:rsidRDefault="00F34163" w:rsidP="00C252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8992879" w14:textId="77777777" w:rsidR="00F34163" w:rsidRPr="00B2511A" w:rsidRDefault="00F34163" w:rsidP="00C2527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B2511A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B2511A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8" w:history="1">
        <w:r w:rsidRPr="00B2511A">
          <w:rPr>
            <w:rStyle w:val="Hipersaitas"/>
            <w:rFonts w:ascii="Times New Roman" w:hAnsi="Times New Roman"/>
            <w:sz w:val="22"/>
            <w:szCs w:val="22"/>
            <w:lang w:val="lt-LT"/>
          </w:rPr>
          <w:t>http://www.vvkt.lt</w:t>
        </w:r>
      </w:hyperlink>
    </w:p>
    <w:p w14:paraId="26B2910F" w14:textId="77777777" w:rsidR="00F34163" w:rsidRPr="00B2511A" w:rsidRDefault="00331196" w:rsidP="00C25270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4"/>
          <w:lang w:val="lt-LT"/>
        </w:rPr>
      </w:pPr>
      <w:r w:rsidRPr="00B2511A">
        <w:rPr>
          <w:rFonts w:ascii="Times New Roman" w:hAnsi="Times New Roman"/>
          <w:lang w:val="lt-LT"/>
        </w:rPr>
        <w:br w:type="page"/>
      </w:r>
    </w:p>
    <w:p w14:paraId="2B73C3E4" w14:textId="77777777" w:rsidR="00CC145D" w:rsidRPr="00B2511A" w:rsidRDefault="00CC145D" w:rsidP="00C25270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4"/>
          <w:lang w:val="lt-LT"/>
        </w:rPr>
      </w:pPr>
    </w:p>
    <w:p w14:paraId="132EDAB2" w14:textId="77777777" w:rsidR="00F34163" w:rsidRPr="00B2511A" w:rsidRDefault="00F34163" w:rsidP="00C25270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4"/>
          <w:lang w:val="lt-LT"/>
        </w:rPr>
      </w:pPr>
    </w:p>
    <w:p w14:paraId="0788A27A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1FCDE48F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38C60B4E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20AC8282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15178088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1AAA9F0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B462F6F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E968798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FDCBCFE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24B2FE4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797932F0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39A41DB8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814F17C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0681137E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20D57C67" w14:textId="77777777" w:rsidR="00E51024" w:rsidRDefault="00E51024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391234AA" w14:textId="77777777" w:rsidR="00E51024" w:rsidRDefault="00E51024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0A7B2EE9" w14:textId="77777777" w:rsidR="00E51024" w:rsidRDefault="00E51024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32C34942" w14:textId="77777777" w:rsidR="00E51024" w:rsidRDefault="00E51024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08DE2DB1" w14:textId="77777777" w:rsidR="00E51024" w:rsidRDefault="00E51024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4E8B8211" w14:textId="77777777" w:rsidR="00E51024" w:rsidRDefault="00E51024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5909AACE" w14:textId="77777777" w:rsidR="00E51024" w:rsidRDefault="00E51024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62EA7880" w14:textId="77777777" w:rsidR="00F34163" w:rsidRPr="00B2511A" w:rsidRDefault="00F34163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B2511A">
        <w:rPr>
          <w:b/>
          <w:caps/>
          <w:snapToGrid/>
          <w:szCs w:val="22"/>
          <w:lang w:val="lt-LT"/>
        </w:rPr>
        <w:t>II PRIEDAS</w:t>
      </w:r>
    </w:p>
    <w:p w14:paraId="581DB445" w14:textId="77777777" w:rsidR="00F34163" w:rsidRPr="00B2511A" w:rsidRDefault="00F34163" w:rsidP="00C25270">
      <w:pPr>
        <w:spacing w:line="240" w:lineRule="auto"/>
        <w:rPr>
          <w:snapToGrid/>
          <w:lang w:val="lt-LT"/>
        </w:rPr>
      </w:pPr>
    </w:p>
    <w:p w14:paraId="069998E1" w14:textId="77777777" w:rsidR="00F34163" w:rsidRPr="00B2511A" w:rsidRDefault="00CE6EC2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B2511A">
        <w:rPr>
          <w:b/>
          <w:caps/>
          <w:snapToGrid/>
          <w:szCs w:val="22"/>
          <w:lang w:val="lt-LT"/>
        </w:rPr>
        <w:t xml:space="preserve">REGISTRACIJOS </w:t>
      </w:r>
      <w:r w:rsidR="00F34163" w:rsidRPr="00B2511A">
        <w:rPr>
          <w:b/>
          <w:caps/>
          <w:snapToGrid/>
          <w:szCs w:val="22"/>
          <w:lang w:val="lt-LT"/>
        </w:rPr>
        <w:t>SĄLYGOS</w:t>
      </w:r>
    </w:p>
    <w:p w14:paraId="4D8AB319" w14:textId="77777777" w:rsidR="00F34163" w:rsidRPr="00B2511A" w:rsidRDefault="00F34163" w:rsidP="00C25270">
      <w:pPr>
        <w:spacing w:line="240" w:lineRule="auto"/>
        <w:rPr>
          <w:snapToGrid/>
          <w:lang w:val="lt-LT"/>
        </w:rPr>
      </w:pPr>
    </w:p>
    <w:p w14:paraId="5D05AB3C" w14:textId="77777777" w:rsidR="00F34163" w:rsidRPr="00B2511A" w:rsidRDefault="00F34163" w:rsidP="00C25270">
      <w:pPr>
        <w:widowControl w:val="0"/>
        <w:tabs>
          <w:tab w:val="clear" w:pos="567"/>
          <w:tab w:val="left" w:pos="1701"/>
        </w:tabs>
        <w:spacing w:line="240" w:lineRule="auto"/>
        <w:ind w:left="1701" w:hanging="567"/>
        <w:rPr>
          <w:b/>
          <w:snapToGrid/>
          <w:szCs w:val="24"/>
          <w:lang w:val="lt-LT"/>
        </w:rPr>
      </w:pPr>
      <w:r w:rsidRPr="00B2511A">
        <w:rPr>
          <w:b/>
          <w:caps/>
          <w:snapToGrid/>
          <w:szCs w:val="22"/>
          <w:lang w:val="lt-LT"/>
        </w:rPr>
        <w:t>A</w:t>
      </w:r>
      <w:r w:rsidRPr="00B2511A">
        <w:rPr>
          <w:b/>
          <w:snapToGrid/>
          <w:szCs w:val="24"/>
          <w:lang w:val="lt-LT"/>
        </w:rPr>
        <w:t>.</w:t>
      </w:r>
      <w:r w:rsidRPr="00B2511A">
        <w:rPr>
          <w:b/>
          <w:snapToGrid/>
          <w:szCs w:val="24"/>
          <w:lang w:val="lt-LT"/>
        </w:rPr>
        <w:tab/>
        <w:t>GAMINTOJAS (-AI), ATSAKINGAS (-I) UŽ SERIJŲ IŠLEIDIMĄ</w:t>
      </w:r>
    </w:p>
    <w:p w14:paraId="3D86FEE1" w14:textId="77777777" w:rsidR="00F34163" w:rsidRPr="00B2511A" w:rsidRDefault="00F34163" w:rsidP="00C25270">
      <w:pPr>
        <w:spacing w:line="240" w:lineRule="auto"/>
        <w:rPr>
          <w:snapToGrid/>
          <w:lang w:val="lt-LT"/>
        </w:rPr>
      </w:pPr>
    </w:p>
    <w:p w14:paraId="7EECCEA8" w14:textId="77777777" w:rsidR="00F34163" w:rsidRPr="00B2511A" w:rsidRDefault="00F34163" w:rsidP="00C25270">
      <w:pPr>
        <w:widowControl w:val="0"/>
        <w:tabs>
          <w:tab w:val="clear" w:pos="567"/>
          <w:tab w:val="left" w:pos="1701"/>
        </w:tabs>
        <w:spacing w:line="240" w:lineRule="auto"/>
        <w:ind w:left="1701" w:hanging="567"/>
        <w:rPr>
          <w:b/>
          <w:snapToGrid/>
          <w:szCs w:val="24"/>
          <w:lang w:val="lt-LT"/>
        </w:rPr>
      </w:pPr>
      <w:r w:rsidRPr="00B2511A">
        <w:rPr>
          <w:b/>
          <w:snapToGrid/>
          <w:szCs w:val="24"/>
          <w:lang w:val="lt-LT"/>
        </w:rPr>
        <w:t>B.</w:t>
      </w:r>
      <w:r w:rsidRPr="00B2511A">
        <w:rPr>
          <w:b/>
          <w:snapToGrid/>
          <w:szCs w:val="24"/>
          <w:lang w:val="lt-LT"/>
        </w:rPr>
        <w:tab/>
        <w:t>TIEKIMO IR VARTOJIMO SĄLYGOS AR APRIBOJIMAI</w:t>
      </w:r>
    </w:p>
    <w:p w14:paraId="5DC109D3" w14:textId="7237D09B" w:rsidR="00F34163" w:rsidRPr="00B2511A" w:rsidRDefault="00F34163" w:rsidP="00C25270">
      <w:pPr>
        <w:widowControl w:val="0"/>
        <w:spacing w:line="240" w:lineRule="auto"/>
        <w:ind w:left="567" w:hanging="567"/>
        <w:jc w:val="both"/>
        <w:outlineLvl w:val="1"/>
        <w:rPr>
          <w:b/>
          <w:bCs/>
          <w:szCs w:val="24"/>
          <w:lang w:val="lt-LT"/>
        </w:rPr>
      </w:pPr>
      <w:r w:rsidRPr="00B2511A">
        <w:rPr>
          <w:lang w:val="lt-LT"/>
        </w:rPr>
        <w:br w:type="page"/>
      </w:r>
      <w:r w:rsidRPr="00B2511A">
        <w:rPr>
          <w:b/>
          <w:bCs/>
          <w:snapToGrid/>
          <w:szCs w:val="22"/>
          <w:lang w:val="lt-LT"/>
        </w:rPr>
        <w:lastRenderedPageBreak/>
        <w:t>A.</w:t>
      </w:r>
      <w:r w:rsidRPr="00B2511A">
        <w:rPr>
          <w:b/>
          <w:bCs/>
          <w:snapToGrid/>
          <w:szCs w:val="22"/>
          <w:lang w:val="lt-LT"/>
        </w:rPr>
        <w:tab/>
        <w:t>GAMINTOJAS, ATSAKINGAS UŽ SERIJŲ IŠLEIDIMĄ</w:t>
      </w:r>
    </w:p>
    <w:p w14:paraId="51A2DB2A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FBEA93B" w14:textId="6A791F52" w:rsidR="00F34163" w:rsidRPr="00B2511A" w:rsidRDefault="00F34163" w:rsidP="00C25270">
      <w:pPr>
        <w:spacing w:line="240" w:lineRule="auto"/>
        <w:jc w:val="both"/>
        <w:rPr>
          <w:szCs w:val="24"/>
          <w:lang w:val="lt-LT"/>
        </w:rPr>
      </w:pPr>
      <w:r w:rsidRPr="00B2511A">
        <w:rPr>
          <w:szCs w:val="24"/>
          <w:u w:val="single"/>
          <w:lang w:val="lt-LT"/>
        </w:rPr>
        <w:t>Gamintojo, atsakingo už serijų išleidimą, pavadinimas ir adresas</w:t>
      </w:r>
    </w:p>
    <w:p w14:paraId="006F2783" w14:textId="2AF75C2B" w:rsidR="00F34163" w:rsidRPr="00B2511A" w:rsidRDefault="00F34163" w:rsidP="009E1963">
      <w:pPr>
        <w:spacing w:line="240" w:lineRule="auto"/>
        <w:rPr>
          <w:szCs w:val="24"/>
          <w:lang w:val="lt-LT"/>
        </w:rPr>
      </w:pPr>
    </w:p>
    <w:p w14:paraId="479A7300" w14:textId="77777777" w:rsidR="00FC0A39" w:rsidRPr="00BD7539" w:rsidRDefault="00FC0A39" w:rsidP="00FC0A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B3AB466" w14:textId="0067902B" w:rsidR="00FC0A39" w:rsidRPr="00BD7539" w:rsidRDefault="00FC0A39" w:rsidP="00FC0A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D7539">
        <w:rPr>
          <w:szCs w:val="24"/>
          <w:lang w:val="lt-LT"/>
        </w:rPr>
        <w:t>Bieffe Medital S.p.A.</w:t>
      </w:r>
    </w:p>
    <w:p w14:paraId="66276805" w14:textId="5272C343" w:rsidR="00335031" w:rsidRDefault="00FC0A39" w:rsidP="00FC0A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D7539">
        <w:rPr>
          <w:szCs w:val="24"/>
          <w:lang w:val="lt-LT"/>
        </w:rPr>
        <w:t>Via Nuova Provinciale 23034 Grossotto (SO)</w:t>
      </w:r>
    </w:p>
    <w:p w14:paraId="6AB84858" w14:textId="77777777" w:rsidR="00335031" w:rsidRDefault="00335031" w:rsidP="00FC0A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D7539">
        <w:rPr>
          <w:szCs w:val="24"/>
          <w:lang w:val="lt-LT"/>
        </w:rPr>
        <w:t>23034</w:t>
      </w:r>
      <w:r>
        <w:rPr>
          <w:szCs w:val="24"/>
          <w:lang w:val="lt-LT"/>
        </w:rPr>
        <w:t xml:space="preserve"> </w:t>
      </w:r>
      <w:r w:rsidRPr="00BD7539">
        <w:rPr>
          <w:szCs w:val="24"/>
          <w:lang w:val="lt-LT"/>
        </w:rPr>
        <w:t>Nuova Provinciale</w:t>
      </w:r>
    </w:p>
    <w:p w14:paraId="5DFD1CB8" w14:textId="77777777" w:rsidR="00FC0A39" w:rsidRPr="00BD7539" w:rsidRDefault="00FC0A39" w:rsidP="00FC0A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D7539">
        <w:rPr>
          <w:szCs w:val="24"/>
          <w:lang w:val="lt-LT"/>
        </w:rPr>
        <w:t>Ital</w:t>
      </w:r>
      <w:r>
        <w:rPr>
          <w:szCs w:val="24"/>
          <w:lang w:val="lt-LT"/>
        </w:rPr>
        <w:t>ija</w:t>
      </w:r>
    </w:p>
    <w:p w14:paraId="5243B288" w14:textId="4C23CA4F" w:rsidR="00FC0A39" w:rsidRPr="00BD7539" w:rsidRDefault="00FC0A39" w:rsidP="00FC0A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21F4A9F" w14:textId="77777777" w:rsidR="00F34163" w:rsidRDefault="00F34163" w:rsidP="00C25270">
      <w:pPr>
        <w:spacing w:line="240" w:lineRule="auto"/>
        <w:rPr>
          <w:szCs w:val="24"/>
          <w:lang w:val="lt-LT"/>
        </w:rPr>
      </w:pPr>
    </w:p>
    <w:p w14:paraId="3FC151E3" w14:textId="77777777" w:rsidR="00671449" w:rsidRPr="00B2511A" w:rsidRDefault="00671449" w:rsidP="00C25270">
      <w:pPr>
        <w:spacing w:line="240" w:lineRule="auto"/>
        <w:rPr>
          <w:szCs w:val="24"/>
          <w:lang w:val="lt-LT"/>
        </w:rPr>
      </w:pPr>
    </w:p>
    <w:p w14:paraId="257E8A48" w14:textId="77777777" w:rsidR="00F34163" w:rsidRPr="00B2511A" w:rsidRDefault="00F34163" w:rsidP="00C25270">
      <w:pPr>
        <w:widowControl w:val="0"/>
        <w:spacing w:line="240" w:lineRule="auto"/>
        <w:ind w:left="567" w:hanging="567"/>
        <w:jc w:val="both"/>
        <w:outlineLvl w:val="1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B.</w:t>
      </w:r>
      <w:r w:rsidRPr="00B2511A">
        <w:rPr>
          <w:b/>
          <w:bCs/>
          <w:snapToGrid/>
          <w:szCs w:val="22"/>
          <w:lang w:val="lt-LT"/>
        </w:rPr>
        <w:tab/>
        <w:t>TIEKIMO IR VARTOJIMO SĄLYGOS AR APRIBOJIMAI</w:t>
      </w:r>
    </w:p>
    <w:p w14:paraId="028BC1CE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696A08D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  <w:r w:rsidRPr="00B2511A">
        <w:rPr>
          <w:lang w:val="lt-LT"/>
        </w:rPr>
        <w:t>Receptinis vaistinis preparatas.</w:t>
      </w:r>
    </w:p>
    <w:p w14:paraId="1B9A1B37" w14:textId="77777777" w:rsidR="00F34163" w:rsidRPr="00B2511A" w:rsidRDefault="00F34163" w:rsidP="00C25270">
      <w:pPr>
        <w:pStyle w:val="Paprastasistekstas"/>
        <w:tabs>
          <w:tab w:val="left" w:pos="4962"/>
        </w:tabs>
        <w:rPr>
          <w:szCs w:val="24"/>
          <w:lang w:val="lt-LT"/>
        </w:rPr>
      </w:pPr>
      <w:r w:rsidRPr="00B2511A">
        <w:rPr>
          <w:b/>
          <w:szCs w:val="24"/>
          <w:lang w:val="lt-LT"/>
        </w:rPr>
        <w:br w:type="page"/>
      </w:r>
    </w:p>
    <w:p w14:paraId="0212DD3C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28BDE884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188DDFC2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15CDCAC1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12E80736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6A6965D3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68744D3B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50C3BAC2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7FE074A5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60E7EBC7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3C4D2BA7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779070E5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7B47E91D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10C6FB58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3CA5118C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239EF2A4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23CF3BB2" w14:textId="77777777" w:rsidR="00F34163" w:rsidRPr="00B2511A" w:rsidRDefault="00F34163" w:rsidP="00C25270">
      <w:pPr>
        <w:spacing w:line="240" w:lineRule="auto"/>
        <w:rPr>
          <w:b/>
          <w:lang w:val="lt-LT"/>
        </w:rPr>
      </w:pPr>
    </w:p>
    <w:p w14:paraId="6031E564" w14:textId="77777777" w:rsidR="00F34163" w:rsidRPr="00B2511A" w:rsidRDefault="00F34163" w:rsidP="00C25270">
      <w:pPr>
        <w:spacing w:line="240" w:lineRule="auto"/>
        <w:rPr>
          <w:b/>
          <w:lang w:val="lt-LT"/>
        </w:rPr>
      </w:pPr>
    </w:p>
    <w:p w14:paraId="753A2356" w14:textId="77777777" w:rsidR="00F34163" w:rsidRPr="00B2511A" w:rsidRDefault="00F34163" w:rsidP="00C25270">
      <w:pPr>
        <w:spacing w:line="240" w:lineRule="auto"/>
        <w:rPr>
          <w:b/>
          <w:lang w:val="lt-LT"/>
        </w:rPr>
      </w:pPr>
    </w:p>
    <w:p w14:paraId="526A9DAA" w14:textId="77777777" w:rsidR="00F34163" w:rsidRPr="00B2511A" w:rsidRDefault="00F34163" w:rsidP="00C25270">
      <w:pPr>
        <w:spacing w:line="240" w:lineRule="auto"/>
        <w:rPr>
          <w:b/>
          <w:lang w:val="lt-LT"/>
        </w:rPr>
      </w:pPr>
    </w:p>
    <w:p w14:paraId="5F2F73AC" w14:textId="77777777" w:rsidR="00F34163" w:rsidRPr="00B2511A" w:rsidRDefault="00F34163" w:rsidP="00C25270">
      <w:pPr>
        <w:spacing w:line="240" w:lineRule="auto"/>
        <w:rPr>
          <w:b/>
          <w:lang w:val="lt-LT"/>
        </w:rPr>
      </w:pPr>
    </w:p>
    <w:p w14:paraId="3A75836C" w14:textId="77777777" w:rsidR="00F34163" w:rsidRPr="00B2511A" w:rsidRDefault="00F34163" w:rsidP="00C25270">
      <w:pPr>
        <w:spacing w:line="240" w:lineRule="auto"/>
        <w:rPr>
          <w:b/>
          <w:lang w:val="lt-LT"/>
        </w:rPr>
      </w:pPr>
    </w:p>
    <w:p w14:paraId="493F9C54" w14:textId="77777777" w:rsidR="000154A7" w:rsidRDefault="000154A7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bCs/>
          <w:iCs/>
          <w:lang w:val="lt-LT"/>
        </w:rPr>
      </w:pPr>
    </w:p>
    <w:p w14:paraId="285D110B" w14:textId="77777777" w:rsidR="00F34163" w:rsidRPr="00B2511A" w:rsidRDefault="00F34163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bCs/>
          <w:iCs/>
          <w:szCs w:val="24"/>
          <w:lang w:val="lt-LT"/>
        </w:rPr>
      </w:pPr>
      <w:r w:rsidRPr="00B2511A">
        <w:rPr>
          <w:b/>
          <w:bCs/>
          <w:iCs/>
          <w:lang w:val="lt-LT"/>
        </w:rPr>
        <w:t xml:space="preserve">III </w:t>
      </w:r>
      <w:r w:rsidRPr="00B2511A">
        <w:rPr>
          <w:b/>
          <w:bCs/>
          <w:iCs/>
          <w:caps/>
          <w:snapToGrid/>
          <w:szCs w:val="24"/>
          <w:lang w:val="lt-LT"/>
        </w:rPr>
        <w:t>PRIEDAS</w:t>
      </w:r>
    </w:p>
    <w:p w14:paraId="15639443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283B89D6" w14:textId="77777777" w:rsidR="00F34163" w:rsidRPr="00B2511A" w:rsidRDefault="00F34163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  <w:r w:rsidRPr="00B2511A">
        <w:rPr>
          <w:b/>
          <w:caps/>
          <w:snapToGrid/>
          <w:szCs w:val="24"/>
          <w:lang w:val="lt-LT"/>
        </w:rPr>
        <w:t>ŽENKLINIMAS IR PAKUOTĖS LAPELIS</w:t>
      </w:r>
    </w:p>
    <w:p w14:paraId="0F2392C3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br w:type="page"/>
      </w:r>
    </w:p>
    <w:p w14:paraId="62C20945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8EA9261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9FE65CF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F94967B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25DD62E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4EE9953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107CCD3D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1EDA4699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36D32038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C87C681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FD72B9D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CB0FD53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0CF34A73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C7BC377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3069414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0E6BBA2E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5D2344D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7C2D53A6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71EEF3CC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770BD9E8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1CB3A2C7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32786BC2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0CAC58C" w14:textId="77777777" w:rsidR="000154A7" w:rsidRDefault="000154A7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0E095E0F" w14:textId="77777777" w:rsidR="00F34163" w:rsidRPr="00B2511A" w:rsidRDefault="00F34163" w:rsidP="00C25270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  <w:r w:rsidRPr="00B2511A">
        <w:rPr>
          <w:b/>
          <w:caps/>
          <w:snapToGrid/>
          <w:szCs w:val="24"/>
          <w:lang w:val="lt-LT"/>
        </w:rPr>
        <w:t>A. ŽENKLINIMAS</w:t>
      </w:r>
    </w:p>
    <w:p w14:paraId="186A22E5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br w:type="page"/>
      </w:r>
    </w:p>
    <w:p w14:paraId="3AC95C92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lastRenderedPageBreak/>
        <w:t>INFORMACIJA ANT IŠORINĖS</w:t>
      </w:r>
      <w:r w:rsidR="00CC145D" w:rsidRPr="00B2511A">
        <w:rPr>
          <w:b/>
          <w:szCs w:val="24"/>
          <w:lang w:val="lt-LT"/>
        </w:rPr>
        <w:t xml:space="preserve"> </w:t>
      </w:r>
      <w:r w:rsidRPr="00B2511A">
        <w:rPr>
          <w:b/>
          <w:szCs w:val="24"/>
          <w:lang w:val="lt-LT"/>
        </w:rPr>
        <w:t>PAKUOTĖS</w:t>
      </w:r>
    </w:p>
    <w:p w14:paraId="59F11B6A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11B58B33" w14:textId="77777777" w:rsidR="00F34163" w:rsidRPr="00B2511A" w:rsidRDefault="00CC145D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t>KARTONO DĖŽUTĖ</w:t>
      </w:r>
    </w:p>
    <w:p w14:paraId="7CA9E742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1D19D6F9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0358DC03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1.</w:t>
      </w:r>
      <w:r w:rsidRPr="00B2511A">
        <w:rPr>
          <w:b/>
          <w:szCs w:val="24"/>
          <w:lang w:val="lt-LT"/>
        </w:rPr>
        <w:tab/>
      </w:r>
      <w:r w:rsidRPr="00B2511A">
        <w:rPr>
          <w:b/>
          <w:caps/>
          <w:szCs w:val="24"/>
          <w:lang w:val="lt-LT"/>
        </w:rPr>
        <w:t>VAISTINIO</w:t>
      </w:r>
      <w:r w:rsidRPr="00B2511A">
        <w:rPr>
          <w:b/>
          <w:szCs w:val="24"/>
          <w:lang w:val="lt-LT"/>
        </w:rPr>
        <w:t xml:space="preserve"> PREPARATO PAVADINIMAS</w:t>
      </w:r>
    </w:p>
    <w:p w14:paraId="02FD127F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1BB367A" w14:textId="77777777" w:rsidR="00BA69D2" w:rsidRPr="00B2511A" w:rsidRDefault="00BA69D2" w:rsidP="00BA69D2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Tranexamic acid </w:t>
      </w:r>
      <w:r w:rsidR="00F45529">
        <w:rPr>
          <w:szCs w:val="24"/>
          <w:lang w:val="lt-LT"/>
        </w:rPr>
        <w:t>Baxter</w:t>
      </w:r>
      <w:r w:rsidRPr="00B2511A">
        <w:rPr>
          <w:szCs w:val="24"/>
          <w:lang w:val="lt-LT"/>
        </w:rPr>
        <w:t xml:space="preserve"> 1</w:t>
      </w:r>
      <w:r>
        <w:rPr>
          <w:szCs w:val="24"/>
          <w:lang w:val="lt-LT"/>
        </w:rPr>
        <w:t>0</w:t>
      </w:r>
      <w:r w:rsidRPr="00B2511A">
        <w:rPr>
          <w:szCs w:val="24"/>
          <w:lang w:val="lt-LT"/>
        </w:rPr>
        <w:t>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>/ml injekcinis ar infuzinis tirpalas</w:t>
      </w:r>
    </w:p>
    <w:p w14:paraId="4625C3D5" w14:textId="55D2AC93" w:rsidR="004A0ADC" w:rsidRPr="009770F6" w:rsidRDefault="000A790D" w:rsidP="004A0ADC">
      <w:pPr>
        <w:spacing w:line="240" w:lineRule="auto"/>
        <w:jc w:val="both"/>
        <w:rPr>
          <w:color w:val="000000"/>
          <w:szCs w:val="22"/>
          <w:lang w:val="lv-LV"/>
        </w:rPr>
      </w:pPr>
      <w:r>
        <w:rPr>
          <w:color w:val="000000"/>
          <w:szCs w:val="22"/>
          <w:lang w:val="lv-LV"/>
        </w:rPr>
        <w:t>A</w:t>
      </w:r>
      <w:r w:rsidR="004A0ADC" w:rsidRPr="009770F6">
        <w:rPr>
          <w:color w:val="000000"/>
          <w:szCs w:val="22"/>
          <w:lang w:val="lv-LV"/>
        </w:rPr>
        <w:t>cidum tranexamicum</w:t>
      </w:r>
    </w:p>
    <w:p w14:paraId="31D6A73C" w14:textId="77777777" w:rsidR="00BA69D2" w:rsidRPr="00B2511A" w:rsidRDefault="00BA69D2" w:rsidP="00BA69D2">
      <w:pPr>
        <w:spacing w:line="240" w:lineRule="auto"/>
        <w:rPr>
          <w:szCs w:val="24"/>
          <w:lang w:val="lt-LT"/>
        </w:rPr>
      </w:pPr>
    </w:p>
    <w:p w14:paraId="12DA6F02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0E15AC5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t>2.</w:t>
      </w:r>
      <w:r w:rsidRPr="00B2511A">
        <w:rPr>
          <w:b/>
          <w:szCs w:val="24"/>
          <w:lang w:val="lt-LT"/>
        </w:rPr>
        <w:tab/>
        <w:t>VEIKLIOJI (-IOS) MEDŽIAGA (-OS) IR JOS (-Ų) KIEKIS (-IAI)</w:t>
      </w:r>
    </w:p>
    <w:p w14:paraId="40641680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AC00BA8" w14:textId="77777777" w:rsidR="00BA69D2" w:rsidRPr="00B2511A" w:rsidRDefault="00BA69D2" w:rsidP="00BA69D2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Kiekviename mililitre yra 100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 xml:space="preserve"> traneksamo rūgšties.</w:t>
      </w:r>
    </w:p>
    <w:p w14:paraId="148C2019" w14:textId="77777777" w:rsidR="00F34163" w:rsidRDefault="00F34163" w:rsidP="00C25270">
      <w:pPr>
        <w:spacing w:line="240" w:lineRule="auto"/>
        <w:rPr>
          <w:szCs w:val="24"/>
          <w:lang w:val="lt-LT"/>
        </w:rPr>
      </w:pPr>
    </w:p>
    <w:p w14:paraId="5EB8206B" w14:textId="77777777" w:rsidR="00BA69D2" w:rsidRPr="00B2511A" w:rsidRDefault="00BA69D2" w:rsidP="00C25270">
      <w:pPr>
        <w:spacing w:line="240" w:lineRule="auto"/>
        <w:rPr>
          <w:szCs w:val="24"/>
          <w:lang w:val="lt-LT"/>
        </w:rPr>
      </w:pPr>
    </w:p>
    <w:p w14:paraId="58C091B2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3.</w:t>
      </w:r>
      <w:r w:rsidRPr="00B2511A">
        <w:rPr>
          <w:b/>
          <w:szCs w:val="24"/>
          <w:lang w:val="lt-LT"/>
        </w:rPr>
        <w:tab/>
        <w:t>PAGALBINIŲ MEDŽIAGŲ SĄRAŠAS</w:t>
      </w:r>
    </w:p>
    <w:p w14:paraId="6EA237EC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04845E7" w14:textId="4060DC2F" w:rsidR="00F34163" w:rsidRPr="00B2511A" w:rsidRDefault="004A0ADC" w:rsidP="00C25270">
      <w:pPr>
        <w:spacing w:line="240" w:lineRule="auto"/>
        <w:rPr>
          <w:szCs w:val="24"/>
          <w:lang w:val="lt-LT"/>
        </w:rPr>
      </w:pPr>
      <w:proofErr w:type="spellStart"/>
      <w:r w:rsidRPr="00EE1511">
        <w:t>Pagalbinė</w:t>
      </w:r>
      <w:proofErr w:type="spellEnd"/>
      <w:r w:rsidRPr="00EE1511">
        <w:t xml:space="preserve"> </w:t>
      </w:r>
      <w:proofErr w:type="spellStart"/>
      <w:r w:rsidRPr="00EE1511">
        <w:t>medžiag</w:t>
      </w:r>
      <w:r w:rsidR="00E36573">
        <w:t>a</w:t>
      </w:r>
      <w:proofErr w:type="spellEnd"/>
      <w:r>
        <w:t xml:space="preserve">: </w:t>
      </w:r>
      <w:r w:rsidR="00E36573">
        <w:rPr>
          <w:szCs w:val="24"/>
          <w:lang w:val="lt-LT"/>
        </w:rPr>
        <w:t>i</w:t>
      </w:r>
      <w:r w:rsidR="00BA69D2">
        <w:rPr>
          <w:szCs w:val="24"/>
          <w:lang w:val="lt-LT"/>
        </w:rPr>
        <w:t>njekcinis vanduo</w:t>
      </w:r>
      <w:r w:rsidR="00E36573">
        <w:rPr>
          <w:szCs w:val="24"/>
          <w:lang w:val="lt-LT"/>
        </w:rPr>
        <w:t>.</w:t>
      </w:r>
    </w:p>
    <w:p w14:paraId="4FAEA1C8" w14:textId="77777777" w:rsidR="00994227" w:rsidRPr="00B2511A" w:rsidRDefault="00994227" w:rsidP="00C25270">
      <w:pPr>
        <w:spacing w:line="240" w:lineRule="auto"/>
        <w:rPr>
          <w:szCs w:val="24"/>
          <w:lang w:val="lt-LT"/>
        </w:rPr>
      </w:pPr>
    </w:p>
    <w:p w14:paraId="798160F3" w14:textId="77777777" w:rsidR="00994227" w:rsidRPr="00B2511A" w:rsidRDefault="00994227" w:rsidP="00C25270">
      <w:pPr>
        <w:spacing w:line="240" w:lineRule="auto"/>
        <w:rPr>
          <w:szCs w:val="24"/>
          <w:lang w:val="lt-LT"/>
        </w:rPr>
      </w:pPr>
    </w:p>
    <w:p w14:paraId="73714EAC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4.</w:t>
      </w:r>
      <w:r w:rsidRPr="00B2511A">
        <w:rPr>
          <w:b/>
          <w:szCs w:val="24"/>
          <w:lang w:val="lt-LT"/>
        </w:rPr>
        <w:tab/>
        <w:t>FARMACINĖ FORMA IR KIEKIS PAKUOTĖJE</w:t>
      </w:r>
    </w:p>
    <w:p w14:paraId="5CE41B30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35F3E046" w14:textId="77777777" w:rsidR="0030588C" w:rsidRPr="0030588C" w:rsidRDefault="0030588C" w:rsidP="0030588C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val="lv-LV"/>
        </w:rPr>
      </w:pPr>
      <w:r w:rsidRPr="009770F6">
        <w:rPr>
          <w:color w:val="000000"/>
          <w:highlight w:val="lightGray"/>
          <w:lang w:val="lv-LV"/>
        </w:rPr>
        <w:t>Injekcinis ar infuznis tirpalas</w:t>
      </w:r>
    </w:p>
    <w:p w14:paraId="67EF9D1E" w14:textId="77777777" w:rsidR="00BA69D2" w:rsidRPr="00BA69D2" w:rsidRDefault="00BA69D2" w:rsidP="00BA69D2">
      <w:pPr>
        <w:spacing w:line="240" w:lineRule="auto"/>
        <w:rPr>
          <w:szCs w:val="24"/>
          <w:lang w:val="lt-LT"/>
        </w:rPr>
      </w:pPr>
      <w:r w:rsidRPr="00BA69D2">
        <w:rPr>
          <w:szCs w:val="24"/>
          <w:lang w:val="lt-LT"/>
        </w:rPr>
        <w:t>5 x 5</w:t>
      </w:r>
      <w:r>
        <w:rPr>
          <w:szCs w:val="24"/>
          <w:lang w:val="lt-LT"/>
        </w:rPr>
        <w:t> ml</w:t>
      </w:r>
    </w:p>
    <w:p w14:paraId="6E6B70DF" w14:textId="77777777" w:rsidR="00BA69D2" w:rsidRPr="00BA69D2" w:rsidRDefault="00BA69D2" w:rsidP="00BA69D2">
      <w:pPr>
        <w:spacing w:line="240" w:lineRule="auto"/>
        <w:rPr>
          <w:szCs w:val="24"/>
          <w:highlight w:val="lightGray"/>
          <w:lang w:val="lt-LT"/>
        </w:rPr>
      </w:pPr>
      <w:r w:rsidRPr="00BA69D2">
        <w:rPr>
          <w:szCs w:val="24"/>
          <w:highlight w:val="lightGray"/>
          <w:lang w:val="lt-LT"/>
        </w:rPr>
        <w:t>10 x 5 ml</w:t>
      </w:r>
    </w:p>
    <w:p w14:paraId="2AD60736" w14:textId="77777777" w:rsidR="00BA69D2" w:rsidRPr="00BA69D2" w:rsidRDefault="00BA69D2" w:rsidP="00BA69D2">
      <w:pPr>
        <w:spacing w:line="240" w:lineRule="auto"/>
        <w:rPr>
          <w:szCs w:val="24"/>
          <w:highlight w:val="lightGray"/>
          <w:lang w:val="lt-LT"/>
        </w:rPr>
      </w:pPr>
      <w:r w:rsidRPr="00BA69D2">
        <w:rPr>
          <w:szCs w:val="24"/>
          <w:highlight w:val="lightGray"/>
          <w:lang w:val="lt-LT"/>
        </w:rPr>
        <w:t>5 x 10 ml</w:t>
      </w:r>
    </w:p>
    <w:p w14:paraId="6FDF612E" w14:textId="77777777" w:rsidR="00BA69D2" w:rsidRPr="00BA69D2" w:rsidRDefault="00BA69D2" w:rsidP="00BA69D2">
      <w:pPr>
        <w:spacing w:line="240" w:lineRule="auto"/>
        <w:rPr>
          <w:szCs w:val="24"/>
          <w:highlight w:val="lightGray"/>
          <w:lang w:val="lt-LT"/>
        </w:rPr>
      </w:pPr>
      <w:r w:rsidRPr="00BA69D2">
        <w:rPr>
          <w:szCs w:val="24"/>
          <w:highlight w:val="lightGray"/>
          <w:lang w:val="lt-LT"/>
        </w:rPr>
        <w:t>10 x</w:t>
      </w:r>
      <w:r w:rsidR="000154A7">
        <w:rPr>
          <w:szCs w:val="24"/>
          <w:highlight w:val="lightGray"/>
          <w:lang w:val="lt-LT"/>
        </w:rPr>
        <w:t xml:space="preserve"> </w:t>
      </w:r>
      <w:r w:rsidRPr="00BA69D2">
        <w:rPr>
          <w:szCs w:val="24"/>
          <w:highlight w:val="lightGray"/>
          <w:lang w:val="lt-LT"/>
        </w:rPr>
        <w:t>10 ml</w:t>
      </w:r>
    </w:p>
    <w:p w14:paraId="67A01540" w14:textId="77777777" w:rsidR="00BA69D2" w:rsidRPr="00BA69D2" w:rsidRDefault="00BA69D2" w:rsidP="00BA69D2">
      <w:pPr>
        <w:spacing w:line="240" w:lineRule="auto"/>
        <w:rPr>
          <w:szCs w:val="24"/>
          <w:highlight w:val="lightGray"/>
          <w:lang w:val="lt-LT"/>
        </w:rPr>
      </w:pPr>
      <w:r w:rsidRPr="00BA69D2">
        <w:rPr>
          <w:szCs w:val="24"/>
          <w:highlight w:val="lightGray"/>
          <w:lang w:val="lt-LT"/>
        </w:rPr>
        <w:t>500 mg/5</w:t>
      </w:r>
      <w:r w:rsidR="000154A7">
        <w:rPr>
          <w:szCs w:val="24"/>
          <w:highlight w:val="lightGray"/>
          <w:lang w:val="lt-LT"/>
        </w:rPr>
        <w:t xml:space="preserve"> </w:t>
      </w:r>
      <w:r w:rsidRPr="00BA69D2">
        <w:rPr>
          <w:szCs w:val="24"/>
          <w:highlight w:val="lightGray"/>
          <w:lang w:val="lt-LT"/>
        </w:rPr>
        <w:t>ml</w:t>
      </w:r>
    </w:p>
    <w:p w14:paraId="035C15B1" w14:textId="77777777" w:rsidR="00994227" w:rsidRPr="00B2511A" w:rsidRDefault="00BA69D2" w:rsidP="00BA69D2">
      <w:pPr>
        <w:spacing w:line="240" w:lineRule="auto"/>
        <w:rPr>
          <w:szCs w:val="24"/>
          <w:lang w:val="lt-LT"/>
        </w:rPr>
      </w:pPr>
      <w:r w:rsidRPr="00BA69D2">
        <w:rPr>
          <w:szCs w:val="24"/>
          <w:highlight w:val="lightGray"/>
          <w:lang w:val="lt-LT"/>
        </w:rPr>
        <w:t>1000 mg/10 ml</w:t>
      </w:r>
    </w:p>
    <w:p w14:paraId="7EB8C7D1" w14:textId="77777777" w:rsidR="00994227" w:rsidRDefault="00994227" w:rsidP="00C25270">
      <w:pPr>
        <w:spacing w:line="240" w:lineRule="auto"/>
        <w:rPr>
          <w:szCs w:val="24"/>
          <w:lang w:val="lt-LT"/>
        </w:rPr>
      </w:pPr>
    </w:p>
    <w:p w14:paraId="11D696B0" w14:textId="77777777" w:rsidR="00F45529" w:rsidRPr="00B2511A" w:rsidRDefault="00F45529" w:rsidP="00C25270">
      <w:pPr>
        <w:spacing w:line="240" w:lineRule="auto"/>
        <w:rPr>
          <w:szCs w:val="24"/>
          <w:lang w:val="lt-LT"/>
        </w:rPr>
      </w:pPr>
    </w:p>
    <w:p w14:paraId="705F97DB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5.</w:t>
      </w:r>
      <w:r w:rsidRPr="00B2511A">
        <w:rPr>
          <w:b/>
          <w:szCs w:val="24"/>
          <w:lang w:val="lt-LT"/>
        </w:rPr>
        <w:tab/>
        <w:t>VARTOJIMO METODAS IR BŪDAS (-AI)</w:t>
      </w:r>
    </w:p>
    <w:p w14:paraId="1E51960F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3AF68DB3" w14:textId="77777777" w:rsidR="00F45529" w:rsidRDefault="00F45529" w:rsidP="00C25270">
      <w:pPr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Leisti į veną.</w:t>
      </w:r>
    </w:p>
    <w:p w14:paraId="1FA6D41C" w14:textId="77777777" w:rsidR="00F45529" w:rsidRDefault="0030588C" w:rsidP="00C25270">
      <w:pPr>
        <w:spacing w:line="240" w:lineRule="auto"/>
        <w:rPr>
          <w:szCs w:val="24"/>
          <w:lang w:val="lt-LT"/>
        </w:rPr>
      </w:pPr>
      <w:r w:rsidRPr="005A03C8">
        <w:rPr>
          <w:szCs w:val="22"/>
          <w:lang w:val="lt-LT"/>
        </w:rPr>
        <w:t>Tik vienkartiniam vartojimui</w:t>
      </w:r>
      <w:r w:rsidR="00F45529">
        <w:rPr>
          <w:szCs w:val="24"/>
          <w:lang w:val="lt-LT"/>
        </w:rPr>
        <w:t>.</w:t>
      </w:r>
    </w:p>
    <w:p w14:paraId="5E2405F8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Prieš vartojimą perskaitykite pakuotės lapelį.</w:t>
      </w:r>
    </w:p>
    <w:p w14:paraId="2705E618" w14:textId="77777777" w:rsidR="00994227" w:rsidRPr="00B2511A" w:rsidRDefault="00994227" w:rsidP="00C25270">
      <w:pPr>
        <w:spacing w:line="240" w:lineRule="auto"/>
        <w:rPr>
          <w:szCs w:val="24"/>
          <w:lang w:val="lt-LT"/>
        </w:rPr>
      </w:pPr>
    </w:p>
    <w:p w14:paraId="2858E8E2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75EAE87C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6.</w:t>
      </w:r>
      <w:r w:rsidRPr="00B2511A">
        <w:rPr>
          <w:b/>
          <w:szCs w:val="24"/>
          <w:lang w:val="lt-LT"/>
        </w:rPr>
        <w:tab/>
        <w:t>SPECIALUS ĮSPĖJIMAS, KAD VAISTINĮ PREPARATĄ BŪTINA LAIKYTI VAIKAMS NEPASTEBIMOJE IR  NEPASIEKIAMOJE VIETOJE</w:t>
      </w:r>
    </w:p>
    <w:p w14:paraId="4FE5DAB3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003F665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Laikyti vaikams nepastebimoje ir nepasiekiamoje vietoje.</w:t>
      </w:r>
    </w:p>
    <w:p w14:paraId="731053B6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46850D9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0F265AE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7.</w:t>
      </w:r>
      <w:r w:rsidRPr="00B2511A">
        <w:rPr>
          <w:b/>
          <w:szCs w:val="24"/>
          <w:lang w:val="lt-LT"/>
        </w:rPr>
        <w:tab/>
        <w:t>KITAS (-I) SPECIALUS (-ŪS) ĮSPĖJIMAS (-AI) (JEI REIKIA)</w:t>
      </w:r>
    </w:p>
    <w:p w14:paraId="2E339DAD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0D34CB0B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3D5E2CA1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8.</w:t>
      </w:r>
      <w:r w:rsidRPr="00B2511A">
        <w:rPr>
          <w:b/>
          <w:szCs w:val="24"/>
          <w:lang w:val="lt-LT"/>
        </w:rPr>
        <w:tab/>
        <w:t>TINKAMUMO LAIKAS</w:t>
      </w:r>
    </w:p>
    <w:p w14:paraId="60E2E8D7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7C0B5D76" w14:textId="0B029137" w:rsidR="00F34163" w:rsidRPr="00B2511A" w:rsidRDefault="00994227" w:rsidP="00C25270">
      <w:pPr>
        <w:spacing w:line="240" w:lineRule="auto"/>
        <w:rPr>
          <w:lang w:val="lt-LT"/>
        </w:rPr>
      </w:pPr>
      <w:r w:rsidRPr="00B2511A">
        <w:rPr>
          <w:lang w:val="lt-LT"/>
        </w:rPr>
        <w:t xml:space="preserve">EXP: </w:t>
      </w:r>
      <w:r w:rsidR="000A790D">
        <w:rPr>
          <w:lang w:val="lt-LT"/>
        </w:rPr>
        <w:t>mm/MMMM</w:t>
      </w:r>
    </w:p>
    <w:p w14:paraId="5B0D8482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30A146D2" w14:textId="77777777" w:rsidR="003E6D93" w:rsidRPr="00B2511A" w:rsidRDefault="003E6D93" w:rsidP="00C25270">
      <w:pPr>
        <w:spacing w:line="240" w:lineRule="auto"/>
        <w:rPr>
          <w:szCs w:val="24"/>
          <w:lang w:val="lt-LT"/>
        </w:rPr>
      </w:pPr>
    </w:p>
    <w:p w14:paraId="3626A6BA" w14:textId="77777777" w:rsidR="00F34163" w:rsidRPr="00B2511A" w:rsidRDefault="00F34163" w:rsidP="00C252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9.</w:t>
      </w:r>
      <w:r w:rsidRPr="00B2511A">
        <w:rPr>
          <w:b/>
          <w:szCs w:val="24"/>
          <w:lang w:val="lt-LT"/>
        </w:rPr>
        <w:tab/>
        <w:t>SPECIALIOS LAIKYMO SĄLYGOS</w:t>
      </w:r>
    </w:p>
    <w:p w14:paraId="03D70F81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C7A8AD9" w14:textId="77777777" w:rsidR="00994227" w:rsidRPr="00B2511A" w:rsidRDefault="00F45529" w:rsidP="00C25270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  <w:r>
        <w:rPr>
          <w:color w:val="0D0D0D"/>
          <w:szCs w:val="24"/>
          <w:lang w:val="lt-LT"/>
        </w:rPr>
        <w:lastRenderedPageBreak/>
        <w:t>Negalima užšaldyti.</w:t>
      </w:r>
    </w:p>
    <w:p w14:paraId="342D8F82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2E73EA0" w14:textId="77777777" w:rsidR="00994227" w:rsidRPr="00B2511A" w:rsidRDefault="00994227" w:rsidP="00C25270">
      <w:pPr>
        <w:spacing w:line="240" w:lineRule="auto"/>
        <w:rPr>
          <w:szCs w:val="24"/>
          <w:lang w:val="lt-LT"/>
        </w:rPr>
      </w:pPr>
    </w:p>
    <w:p w14:paraId="0C5A5625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t>10.</w:t>
      </w:r>
      <w:r w:rsidRPr="00B2511A"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14:paraId="00A79101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37727262" w14:textId="77777777" w:rsidR="00F34163" w:rsidRDefault="00F45529" w:rsidP="00C25270">
      <w:pPr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Atidarius vartoti nedelsiant. </w:t>
      </w:r>
      <w:r w:rsidRPr="00F45529">
        <w:rPr>
          <w:szCs w:val="24"/>
          <w:lang w:val="lt-LT"/>
        </w:rPr>
        <w:t xml:space="preserve">Nesuvartotą </w:t>
      </w:r>
      <w:r>
        <w:rPr>
          <w:szCs w:val="24"/>
          <w:lang w:val="lt-LT"/>
        </w:rPr>
        <w:t>vaistą</w:t>
      </w:r>
      <w:r w:rsidRPr="00F4552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sunaikinti.</w:t>
      </w:r>
    </w:p>
    <w:p w14:paraId="3C9AFB16" w14:textId="77777777" w:rsidR="00F45529" w:rsidRDefault="00F45529" w:rsidP="00C25270">
      <w:pPr>
        <w:spacing w:line="240" w:lineRule="auto"/>
        <w:rPr>
          <w:szCs w:val="24"/>
          <w:lang w:val="lt-LT"/>
        </w:rPr>
      </w:pPr>
    </w:p>
    <w:p w14:paraId="209F45FF" w14:textId="77777777" w:rsidR="00F45529" w:rsidRPr="00B2511A" w:rsidRDefault="00F45529" w:rsidP="00C25270">
      <w:pPr>
        <w:spacing w:line="240" w:lineRule="auto"/>
        <w:rPr>
          <w:szCs w:val="24"/>
          <w:lang w:val="lt-LT"/>
        </w:rPr>
      </w:pPr>
    </w:p>
    <w:p w14:paraId="194D1AA9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t>11.</w:t>
      </w:r>
      <w:r w:rsidRPr="00B2511A">
        <w:rPr>
          <w:b/>
          <w:szCs w:val="24"/>
          <w:lang w:val="lt-LT"/>
        </w:rPr>
        <w:tab/>
      </w:r>
      <w:r w:rsidR="00461F31" w:rsidRPr="00B2511A">
        <w:rPr>
          <w:b/>
          <w:caps/>
          <w:szCs w:val="24"/>
          <w:lang w:val="lt-LT"/>
        </w:rPr>
        <w:t xml:space="preserve"> REGISTRUOTOJO</w:t>
      </w:r>
      <w:r w:rsidRPr="00B2511A">
        <w:rPr>
          <w:b/>
          <w:caps/>
          <w:szCs w:val="24"/>
          <w:lang w:val="lt-LT"/>
        </w:rPr>
        <w:t xml:space="preserve"> PAVADINIMAS IR ADRESAS</w:t>
      </w:r>
    </w:p>
    <w:p w14:paraId="3E0482C3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E19439D" w14:textId="77777777" w:rsidR="00F45529" w:rsidRPr="00F45529" w:rsidRDefault="00F45529" w:rsidP="00F45529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F45529">
        <w:rPr>
          <w:szCs w:val="24"/>
          <w:lang w:val="lt-LT"/>
        </w:rPr>
        <w:t>Baxter Holding B.V.</w:t>
      </w:r>
    </w:p>
    <w:p w14:paraId="3A43B088" w14:textId="5EEBD123" w:rsidR="00F45529" w:rsidRPr="00F45529" w:rsidRDefault="00F45529" w:rsidP="00F45529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F45529">
        <w:rPr>
          <w:szCs w:val="24"/>
          <w:lang w:val="lt-LT"/>
        </w:rPr>
        <w:t>Kobaltweg 49</w:t>
      </w:r>
    </w:p>
    <w:p w14:paraId="51D82AB8" w14:textId="17C3124B" w:rsidR="000154A7" w:rsidRDefault="00F45529" w:rsidP="00F45529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F45529">
        <w:rPr>
          <w:szCs w:val="24"/>
          <w:lang w:val="lt-LT"/>
        </w:rPr>
        <w:t xml:space="preserve">3542CE Utrecht </w:t>
      </w:r>
    </w:p>
    <w:p w14:paraId="6CEBC276" w14:textId="77777777" w:rsidR="00994227" w:rsidRPr="00B2511A" w:rsidRDefault="00F45529" w:rsidP="00F45529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Nyderlandai</w:t>
      </w:r>
    </w:p>
    <w:p w14:paraId="2B901F1B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3061A8F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2C35D24B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12.</w:t>
      </w:r>
      <w:r w:rsidRPr="00B2511A">
        <w:rPr>
          <w:b/>
          <w:szCs w:val="24"/>
          <w:lang w:val="lt-LT"/>
        </w:rPr>
        <w:tab/>
      </w:r>
      <w:r w:rsidR="00461F31" w:rsidRPr="00B2511A">
        <w:rPr>
          <w:b/>
          <w:szCs w:val="24"/>
          <w:lang w:val="lt-LT"/>
        </w:rPr>
        <w:t xml:space="preserve">REGISTRACIJOS </w:t>
      </w:r>
      <w:r w:rsidRPr="00B2511A">
        <w:rPr>
          <w:b/>
          <w:szCs w:val="24"/>
          <w:lang w:val="lt-LT"/>
        </w:rPr>
        <w:t xml:space="preserve">PAŽYMĖJIMO NUMERIS (-IAI) </w:t>
      </w:r>
    </w:p>
    <w:p w14:paraId="27D141C4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40288B0" w14:textId="77777777" w:rsidR="00701E42" w:rsidRPr="00701E42" w:rsidRDefault="00701E42" w:rsidP="00701E42">
      <w:pPr>
        <w:spacing w:line="240" w:lineRule="auto"/>
        <w:rPr>
          <w:szCs w:val="24"/>
          <w:shd w:val="clear" w:color="auto" w:fill="F2F2F2" w:themeFill="background1" w:themeFillShade="F2"/>
          <w:lang w:val="lt-LT"/>
        </w:rPr>
      </w:pPr>
      <w:r w:rsidRPr="00701E42">
        <w:rPr>
          <w:szCs w:val="24"/>
          <w:lang w:val="lt-LT"/>
        </w:rPr>
        <w:t xml:space="preserve">LT/1/20/4585/001 </w:t>
      </w:r>
      <w:r w:rsidRPr="00701E42">
        <w:rPr>
          <w:szCs w:val="24"/>
          <w:shd w:val="clear" w:color="auto" w:fill="F2F2F2" w:themeFill="background1" w:themeFillShade="F2"/>
          <w:lang w:val="lt-LT"/>
        </w:rPr>
        <w:t>– 5 ml, N5</w:t>
      </w:r>
    </w:p>
    <w:p w14:paraId="5042A7D8" w14:textId="77777777" w:rsidR="00701E42" w:rsidRPr="00701E42" w:rsidRDefault="00701E42" w:rsidP="00701E42">
      <w:pPr>
        <w:spacing w:line="240" w:lineRule="auto"/>
        <w:rPr>
          <w:szCs w:val="24"/>
          <w:shd w:val="clear" w:color="auto" w:fill="F2F2F2" w:themeFill="background1" w:themeFillShade="F2"/>
          <w:lang w:val="lt-LT"/>
        </w:rPr>
      </w:pPr>
      <w:r w:rsidRPr="00701E42">
        <w:rPr>
          <w:szCs w:val="24"/>
          <w:shd w:val="clear" w:color="auto" w:fill="F2F2F2" w:themeFill="background1" w:themeFillShade="F2"/>
          <w:lang w:val="lt-LT"/>
        </w:rPr>
        <w:t>LT/1/20/4585/002 – 5 ml, N10</w:t>
      </w:r>
    </w:p>
    <w:p w14:paraId="282DF67E" w14:textId="77777777" w:rsidR="00701E42" w:rsidRPr="00701E42" w:rsidRDefault="00701E42" w:rsidP="00701E42">
      <w:pPr>
        <w:spacing w:line="240" w:lineRule="auto"/>
        <w:rPr>
          <w:szCs w:val="24"/>
          <w:shd w:val="clear" w:color="auto" w:fill="F2F2F2" w:themeFill="background1" w:themeFillShade="F2"/>
          <w:lang w:val="lt-LT"/>
        </w:rPr>
      </w:pPr>
      <w:r w:rsidRPr="00701E42">
        <w:rPr>
          <w:szCs w:val="24"/>
          <w:shd w:val="clear" w:color="auto" w:fill="F2F2F2" w:themeFill="background1" w:themeFillShade="F2"/>
          <w:lang w:val="lt-LT"/>
        </w:rPr>
        <w:t>LT/1/20/4585/003 – 10 ml, N5</w:t>
      </w:r>
    </w:p>
    <w:p w14:paraId="7C581ED9" w14:textId="2C083CEA" w:rsidR="00F34163" w:rsidRPr="00701E42" w:rsidRDefault="00701E42" w:rsidP="00701E42">
      <w:pPr>
        <w:spacing w:line="240" w:lineRule="auto"/>
        <w:rPr>
          <w:szCs w:val="24"/>
          <w:shd w:val="clear" w:color="auto" w:fill="F2F2F2" w:themeFill="background1" w:themeFillShade="F2"/>
          <w:lang w:val="lt-LT"/>
        </w:rPr>
      </w:pPr>
      <w:r w:rsidRPr="00701E42">
        <w:rPr>
          <w:szCs w:val="24"/>
          <w:shd w:val="clear" w:color="auto" w:fill="F2F2F2" w:themeFill="background1" w:themeFillShade="F2"/>
          <w:lang w:val="lt-LT"/>
        </w:rPr>
        <w:t>LT/1/20/4585/004 – 10 ml, N10</w:t>
      </w:r>
    </w:p>
    <w:p w14:paraId="5315980D" w14:textId="77777777" w:rsidR="00701E42" w:rsidRPr="00B2511A" w:rsidRDefault="00701E42" w:rsidP="00701E42">
      <w:pPr>
        <w:spacing w:line="240" w:lineRule="auto"/>
        <w:rPr>
          <w:szCs w:val="24"/>
          <w:lang w:val="lt-LT"/>
        </w:rPr>
      </w:pPr>
    </w:p>
    <w:p w14:paraId="5BA45C46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4B74C391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13.</w:t>
      </w:r>
      <w:r w:rsidRPr="00B2511A">
        <w:rPr>
          <w:b/>
          <w:szCs w:val="24"/>
          <w:lang w:val="lt-LT"/>
        </w:rPr>
        <w:tab/>
        <w:t xml:space="preserve">SERIJOS NUMERIS </w:t>
      </w:r>
    </w:p>
    <w:p w14:paraId="597F7F38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0B40769E" w14:textId="77777777" w:rsidR="00F34163" w:rsidRPr="00B2511A" w:rsidRDefault="006A6CB7" w:rsidP="00C25270">
      <w:pPr>
        <w:spacing w:line="240" w:lineRule="auto"/>
        <w:rPr>
          <w:lang w:val="lt-LT"/>
        </w:rPr>
      </w:pPr>
      <w:r w:rsidRPr="00B2511A">
        <w:rPr>
          <w:lang w:val="lt-LT"/>
        </w:rPr>
        <w:t>L</w:t>
      </w:r>
      <w:r w:rsidR="00F45529">
        <w:rPr>
          <w:lang w:val="lt-LT"/>
        </w:rPr>
        <w:t>ot</w:t>
      </w:r>
    </w:p>
    <w:p w14:paraId="431334C2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2DBDA81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575A7382" w14:textId="77777777" w:rsidR="00F34163" w:rsidRPr="00B2511A" w:rsidRDefault="00F34163" w:rsidP="00C2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14.</w:t>
      </w:r>
      <w:r w:rsidRPr="00B2511A">
        <w:rPr>
          <w:b/>
          <w:szCs w:val="24"/>
          <w:lang w:val="lt-LT"/>
        </w:rPr>
        <w:tab/>
        <w:t>PARDAVIMO (IŠDAVIMO) TVARKA</w:t>
      </w:r>
    </w:p>
    <w:p w14:paraId="440E2A9A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6E8530C2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  <w:r w:rsidRPr="00B2511A">
        <w:rPr>
          <w:lang w:val="lt-LT"/>
        </w:rPr>
        <w:t>Receptinis vaist</w:t>
      </w:r>
      <w:r w:rsidR="005829CF" w:rsidRPr="00B2511A">
        <w:rPr>
          <w:lang w:val="lt-LT"/>
        </w:rPr>
        <w:t>as</w:t>
      </w:r>
    </w:p>
    <w:p w14:paraId="06AC6204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1E38D759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05AA2509" w14:textId="77777777" w:rsidR="00F34163" w:rsidRPr="00B2511A" w:rsidRDefault="00F34163" w:rsidP="00C2527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15.</w:t>
      </w:r>
      <w:r w:rsidRPr="00B2511A">
        <w:rPr>
          <w:b/>
          <w:szCs w:val="24"/>
          <w:lang w:val="lt-LT"/>
        </w:rPr>
        <w:tab/>
        <w:t>VARTOJIMO INSTRUKCIJA</w:t>
      </w:r>
    </w:p>
    <w:p w14:paraId="6B5B8A7B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31DC8413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73C39C40" w14:textId="77777777" w:rsidR="00F34163" w:rsidRPr="009770F6" w:rsidRDefault="00F34163" w:rsidP="00C252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4"/>
          <w:lang w:val="lt-LT"/>
        </w:rPr>
      </w:pPr>
      <w:r w:rsidRPr="00B2511A">
        <w:rPr>
          <w:b/>
          <w:szCs w:val="24"/>
          <w:lang w:val="lt-LT"/>
        </w:rPr>
        <w:t>16.</w:t>
      </w:r>
      <w:r w:rsidRPr="00B2511A">
        <w:rPr>
          <w:b/>
          <w:szCs w:val="24"/>
          <w:lang w:val="lt-LT"/>
        </w:rPr>
        <w:tab/>
        <w:t>INFORMACIJA BRAILIO RAŠTU</w:t>
      </w:r>
    </w:p>
    <w:p w14:paraId="324E2ACD" w14:textId="77777777" w:rsidR="00F34163" w:rsidRPr="00B2511A" w:rsidRDefault="00F34163" w:rsidP="00C25270">
      <w:pPr>
        <w:spacing w:line="240" w:lineRule="auto"/>
        <w:rPr>
          <w:szCs w:val="24"/>
          <w:lang w:val="lt-LT"/>
        </w:rPr>
      </w:pPr>
    </w:p>
    <w:p w14:paraId="7BCCD582" w14:textId="77777777" w:rsidR="00F45529" w:rsidRPr="00F45529" w:rsidRDefault="00F45529" w:rsidP="00F45529">
      <w:pPr>
        <w:spacing w:line="240" w:lineRule="auto"/>
        <w:rPr>
          <w:snapToGrid/>
          <w:szCs w:val="22"/>
          <w:shd w:val="clear" w:color="auto" w:fill="CCCCCC"/>
          <w:lang w:val="lt-LT" w:eastAsia="lt-LT"/>
        </w:rPr>
      </w:pPr>
      <w:r w:rsidRPr="00F45529">
        <w:rPr>
          <w:snapToGrid/>
          <w:highlight w:val="lightGray"/>
          <w:lang w:val="lt-LT" w:eastAsia="lt-LT"/>
        </w:rPr>
        <w:t>Priimtas pagrindimas informacijos Brailio raštu nepateikti.</w:t>
      </w:r>
    </w:p>
    <w:p w14:paraId="7C27D0A9" w14:textId="77777777" w:rsidR="006A6CB7" w:rsidRPr="00B2511A" w:rsidRDefault="006A6CB7" w:rsidP="00C25270">
      <w:pPr>
        <w:spacing w:line="240" w:lineRule="auto"/>
        <w:rPr>
          <w:szCs w:val="24"/>
          <w:lang w:val="lt-LT"/>
        </w:rPr>
      </w:pPr>
    </w:p>
    <w:p w14:paraId="1E7CEE17" w14:textId="77777777" w:rsidR="00082583" w:rsidRPr="00B2511A" w:rsidRDefault="00082583" w:rsidP="00C25270">
      <w:pPr>
        <w:spacing w:line="240" w:lineRule="auto"/>
        <w:rPr>
          <w:snapToGrid/>
          <w:szCs w:val="22"/>
          <w:shd w:val="clear" w:color="auto" w:fill="CCCCCC"/>
          <w:lang w:val="lt-LT"/>
        </w:rPr>
      </w:pPr>
    </w:p>
    <w:p w14:paraId="39C6A439" w14:textId="77777777" w:rsidR="00082583" w:rsidRPr="00B2511A" w:rsidRDefault="00082583" w:rsidP="00C252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szCs w:val="24"/>
          <w:lang w:val="lt-LT"/>
        </w:rPr>
      </w:pPr>
      <w:r w:rsidRPr="00B2511A">
        <w:rPr>
          <w:b/>
          <w:lang w:val="lt-LT"/>
        </w:rPr>
        <w:t>17.</w:t>
      </w:r>
      <w:r w:rsidRPr="00B2511A">
        <w:rPr>
          <w:b/>
          <w:lang w:val="lt-LT"/>
        </w:rPr>
        <w:tab/>
        <w:t>UNIKALUS IDENTIFIKATORIUS – 2D BRŪKŠNINIS KODAS</w:t>
      </w:r>
    </w:p>
    <w:p w14:paraId="1496FD92" w14:textId="77777777" w:rsidR="00082583" w:rsidRPr="00B2511A" w:rsidRDefault="00082583" w:rsidP="00C25270">
      <w:pPr>
        <w:spacing w:line="240" w:lineRule="auto"/>
        <w:rPr>
          <w:lang w:val="lt-LT"/>
        </w:rPr>
      </w:pPr>
    </w:p>
    <w:p w14:paraId="7F8A7BDD" w14:textId="77777777" w:rsidR="00082583" w:rsidRPr="00B2511A" w:rsidRDefault="00082583" w:rsidP="00C25270">
      <w:pPr>
        <w:spacing w:line="240" w:lineRule="auto"/>
        <w:rPr>
          <w:szCs w:val="22"/>
          <w:shd w:val="clear" w:color="auto" w:fill="CCCCCC"/>
          <w:lang w:val="lt-LT"/>
        </w:rPr>
      </w:pPr>
      <w:r w:rsidRPr="00B2511A">
        <w:rPr>
          <w:highlight w:val="lightGray"/>
          <w:lang w:val="lt-LT"/>
        </w:rPr>
        <w:t>2D brūkšninis kodas su nurodytu unikaliu identifikatoriumi.</w:t>
      </w:r>
    </w:p>
    <w:p w14:paraId="7EBEC577" w14:textId="77777777" w:rsidR="00082583" w:rsidRPr="00B2511A" w:rsidRDefault="00082583" w:rsidP="00C25270">
      <w:pPr>
        <w:spacing w:line="240" w:lineRule="auto"/>
        <w:rPr>
          <w:szCs w:val="22"/>
          <w:shd w:val="clear" w:color="auto" w:fill="CCCCCC"/>
          <w:lang w:val="lt-LT"/>
        </w:rPr>
      </w:pPr>
    </w:p>
    <w:p w14:paraId="77AA73EB" w14:textId="77777777" w:rsidR="00082583" w:rsidRPr="00B2511A" w:rsidRDefault="00082583" w:rsidP="00C25270">
      <w:pPr>
        <w:spacing w:line="240" w:lineRule="auto"/>
        <w:rPr>
          <w:lang w:val="lt-LT"/>
        </w:rPr>
      </w:pPr>
    </w:p>
    <w:p w14:paraId="612DEACA" w14:textId="77777777" w:rsidR="00082583" w:rsidRPr="00B2511A" w:rsidRDefault="00082583" w:rsidP="00C252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lang w:val="lt-LT"/>
        </w:rPr>
      </w:pPr>
      <w:r w:rsidRPr="00B2511A">
        <w:rPr>
          <w:b/>
          <w:lang w:val="lt-LT"/>
        </w:rPr>
        <w:t>18.</w:t>
      </w:r>
      <w:r w:rsidRPr="00B2511A">
        <w:rPr>
          <w:b/>
          <w:lang w:val="lt-LT"/>
        </w:rPr>
        <w:tab/>
        <w:t>UNIKALUS IDENTIFIKATORIUS – ŽMONĖMS SUPRANTAMI DUOMENYS</w:t>
      </w:r>
    </w:p>
    <w:p w14:paraId="3995414B" w14:textId="77777777" w:rsidR="00082583" w:rsidRPr="00B2511A" w:rsidRDefault="00082583" w:rsidP="00C25270">
      <w:pPr>
        <w:spacing w:line="240" w:lineRule="auto"/>
        <w:rPr>
          <w:lang w:val="lt-LT"/>
        </w:rPr>
      </w:pPr>
    </w:p>
    <w:p w14:paraId="2DF6A207" w14:textId="77777777" w:rsidR="006A6CB7" w:rsidRPr="009770F6" w:rsidRDefault="00082583" w:rsidP="00C25270">
      <w:pPr>
        <w:spacing w:line="240" w:lineRule="auto"/>
        <w:rPr>
          <w:lang w:val="lt-LT"/>
        </w:rPr>
      </w:pPr>
      <w:r w:rsidRPr="009770F6">
        <w:rPr>
          <w:lang w:val="lt-LT"/>
        </w:rPr>
        <w:t xml:space="preserve">PC: </w:t>
      </w:r>
    </w:p>
    <w:p w14:paraId="69B2C0D4" w14:textId="77777777" w:rsidR="006A6CB7" w:rsidRPr="009770F6" w:rsidRDefault="00082583" w:rsidP="00C25270">
      <w:pPr>
        <w:spacing w:line="240" w:lineRule="auto"/>
        <w:rPr>
          <w:lang w:val="lt-LT"/>
        </w:rPr>
      </w:pPr>
      <w:r w:rsidRPr="009770F6">
        <w:rPr>
          <w:lang w:val="lt-LT"/>
        </w:rPr>
        <w:t xml:space="preserve">SN: </w:t>
      </w:r>
    </w:p>
    <w:p w14:paraId="099C8080" w14:textId="77777777" w:rsidR="00F45529" w:rsidRPr="00F45529" w:rsidRDefault="00082583" w:rsidP="00F45529">
      <w:pPr>
        <w:spacing w:line="240" w:lineRule="auto"/>
        <w:rPr>
          <w:snapToGrid/>
          <w:szCs w:val="22"/>
          <w:lang w:val="lt-LT" w:eastAsia="lt-LT"/>
        </w:rPr>
      </w:pPr>
      <w:r w:rsidRPr="00F45529">
        <w:rPr>
          <w:highlight w:val="lightGray"/>
          <w:lang w:val="lt-LT"/>
        </w:rPr>
        <w:t>NN:</w:t>
      </w:r>
      <w:r w:rsidRPr="00B2511A">
        <w:rPr>
          <w:lang w:val="lt-LT"/>
        </w:rPr>
        <w:t xml:space="preserve"> </w:t>
      </w:r>
    </w:p>
    <w:p w14:paraId="53FA6F2A" w14:textId="77777777" w:rsidR="00F45529" w:rsidRPr="00F45529" w:rsidRDefault="00F45529" w:rsidP="00F45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napToGrid/>
          <w:szCs w:val="22"/>
          <w:lang w:val="lt-LT" w:eastAsia="lt-LT"/>
        </w:rPr>
      </w:pPr>
      <w:r w:rsidRPr="00F45529">
        <w:rPr>
          <w:snapToGrid/>
          <w:lang w:val="lt-LT" w:eastAsia="lt-LT"/>
        </w:rPr>
        <w:br w:type="page"/>
      </w:r>
      <w:r w:rsidRPr="00F45529">
        <w:rPr>
          <w:b/>
          <w:snapToGrid/>
          <w:lang w:val="lt-LT" w:eastAsia="lt-LT"/>
        </w:rPr>
        <w:lastRenderedPageBreak/>
        <w:t>MINIMALI INFORMACIJA ANT MAŽŲ VIDINIŲ PAKUOČIŲ</w:t>
      </w:r>
    </w:p>
    <w:p w14:paraId="49876EBB" w14:textId="77777777" w:rsidR="00F45529" w:rsidRPr="00F45529" w:rsidRDefault="00F45529" w:rsidP="00F45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napToGrid/>
          <w:szCs w:val="22"/>
          <w:lang w:val="lt-LT" w:eastAsia="lt-LT"/>
        </w:rPr>
      </w:pPr>
    </w:p>
    <w:p w14:paraId="6BAFD8EB" w14:textId="77777777" w:rsidR="00F45529" w:rsidRPr="00F45529" w:rsidRDefault="00F45529" w:rsidP="00F45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napToGrid/>
          <w:szCs w:val="22"/>
          <w:lang w:val="lt-LT" w:eastAsia="lt-LT"/>
        </w:rPr>
      </w:pPr>
      <w:r>
        <w:rPr>
          <w:b/>
          <w:snapToGrid/>
          <w:lang w:val="lt-LT" w:eastAsia="lt-LT"/>
        </w:rPr>
        <w:t>ETIKETĖ</w:t>
      </w:r>
    </w:p>
    <w:p w14:paraId="5421992B" w14:textId="77777777" w:rsidR="00F45529" w:rsidRPr="00F45529" w:rsidRDefault="00F45529" w:rsidP="00F45529">
      <w:pPr>
        <w:spacing w:line="240" w:lineRule="auto"/>
        <w:rPr>
          <w:snapToGrid/>
          <w:szCs w:val="22"/>
          <w:lang w:val="lt-LT" w:eastAsia="lt-LT"/>
        </w:rPr>
      </w:pPr>
    </w:p>
    <w:p w14:paraId="27FDF2BF" w14:textId="77777777" w:rsidR="00F45529" w:rsidRPr="00F45529" w:rsidRDefault="00F45529" w:rsidP="00F45529">
      <w:pPr>
        <w:spacing w:line="240" w:lineRule="auto"/>
        <w:rPr>
          <w:snapToGrid/>
          <w:szCs w:val="22"/>
          <w:lang w:val="lt-LT" w:eastAsia="lt-LT"/>
        </w:rPr>
      </w:pPr>
    </w:p>
    <w:p w14:paraId="545640FC" w14:textId="77777777" w:rsidR="00F45529" w:rsidRPr="00F45529" w:rsidRDefault="00F45529" w:rsidP="00F45529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napToGrid/>
          <w:szCs w:val="22"/>
          <w:lang w:val="lt-LT" w:eastAsia="lt-LT"/>
        </w:rPr>
      </w:pPr>
      <w:r w:rsidRPr="00F45529">
        <w:rPr>
          <w:b/>
          <w:snapToGrid/>
          <w:lang w:val="lt-LT" w:eastAsia="lt-LT"/>
        </w:rPr>
        <w:t>VAISTINIO PREPARATO PAVADINIMAS IR VARTOJIMO BŪDAS (-AI)</w:t>
      </w:r>
    </w:p>
    <w:p w14:paraId="0C07D4D9" w14:textId="77777777" w:rsidR="00F45529" w:rsidRPr="00F45529" w:rsidRDefault="00F45529" w:rsidP="00F45529">
      <w:pPr>
        <w:spacing w:line="240" w:lineRule="auto"/>
        <w:ind w:left="567" w:hanging="567"/>
        <w:rPr>
          <w:snapToGrid/>
          <w:szCs w:val="22"/>
          <w:lang w:val="lt-LT" w:eastAsia="lt-LT"/>
        </w:rPr>
      </w:pPr>
    </w:p>
    <w:p w14:paraId="237D3F62" w14:textId="77777777" w:rsidR="00F45529" w:rsidRPr="00B2511A" w:rsidRDefault="00F45529" w:rsidP="00F45529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Tranexamic acid </w:t>
      </w:r>
      <w:r>
        <w:rPr>
          <w:szCs w:val="24"/>
          <w:lang w:val="lt-LT"/>
        </w:rPr>
        <w:t>Baxter</w:t>
      </w:r>
      <w:r w:rsidRPr="00B2511A">
        <w:rPr>
          <w:szCs w:val="24"/>
          <w:lang w:val="lt-LT"/>
        </w:rPr>
        <w:t xml:space="preserve"> 1</w:t>
      </w:r>
      <w:r>
        <w:rPr>
          <w:szCs w:val="24"/>
          <w:lang w:val="lt-LT"/>
        </w:rPr>
        <w:t>0</w:t>
      </w:r>
      <w:r w:rsidRPr="00B2511A">
        <w:rPr>
          <w:szCs w:val="24"/>
          <w:lang w:val="lt-LT"/>
        </w:rPr>
        <w:t>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>/ml injekcinis ar infuzinis tirpalas</w:t>
      </w:r>
    </w:p>
    <w:p w14:paraId="16F54F12" w14:textId="7D0250F9" w:rsidR="0030588C" w:rsidRPr="0030588C" w:rsidRDefault="000A790D" w:rsidP="0030588C">
      <w:pPr>
        <w:spacing w:line="240" w:lineRule="auto"/>
        <w:jc w:val="both"/>
        <w:rPr>
          <w:color w:val="000000"/>
          <w:szCs w:val="22"/>
          <w:lang w:val="lv-LV"/>
        </w:rPr>
      </w:pPr>
      <w:r>
        <w:rPr>
          <w:color w:val="000000"/>
          <w:szCs w:val="22"/>
          <w:lang w:val="lv-LV"/>
        </w:rPr>
        <w:t>A</w:t>
      </w:r>
      <w:r w:rsidR="0030588C" w:rsidRPr="0030588C">
        <w:rPr>
          <w:color w:val="000000"/>
          <w:szCs w:val="22"/>
          <w:lang w:val="lv-LV"/>
        </w:rPr>
        <w:t>cidum tranexamicum</w:t>
      </w:r>
    </w:p>
    <w:p w14:paraId="5BE72F6B" w14:textId="77777777" w:rsidR="00F45529" w:rsidRPr="0030588C" w:rsidRDefault="00F45529" w:rsidP="00F45529">
      <w:pPr>
        <w:spacing w:line="240" w:lineRule="auto"/>
        <w:rPr>
          <w:i/>
          <w:iCs/>
          <w:snapToGrid/>
          <w:szCs w:val="22"/>
          <w:lang w:val="lt-LT" w:eastAsia="lt-LT"/>
        </w:rPr>
      </w:pPr>
    </w:p>
    <w:p w14:paraId="4F12F975" w14:textId="77777777" w:rsidR="00F45529" w:rsidRPr="00F45529" w:rsidRDefault="00F45529" w:rsidP="00F45529">
      <w:pPr>
        <w:spacing w:line="240" w:lineRule="auto"/>
        <w:rPr>
          <w:snapToGrid/>
          <w:szCs w:val="22"/>
          <w:lang w:val="lt-LT" w:eastAsia="lt-LT"/>
        </w:rPr>
      </w:pPr>
    </w:p>
    <w:p w14:paraId="25F8D253" w14:textId="77777777" w:rsidR="00F45529" w:rsidRPr="00F45529" w:rsidRDefault="00F45529" w:rsidP="00F45529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napToGrid/>
          <w:szCs w:val="22"/>
          <w:lang w:val="lt-LT" w:eastAsia="lt-LT"/>
        </w:rPr>
      </w:pPr>
      <w:r w:rsidRPr="00F45529">
        <w:rPr>
          <w:b/>
          <w:snapToGrid/>
          <w:lang w:val="lt-LT" w:eastAsia="lt-LT"/>
        </w:rPr>
        <w:t>VARTOJIMO METODAS</w:t>
      </w:r>
    </w:p>
    <w:p w14:paraId="55A9854E" w14:textId="77777777" w:rsidR="00F45529" w:rsidRPr="00F45529" w:rsidRDefault="00F45529" w:rsidP="00F45529">
      <w:pPr>
        <w:spacing w:line="240" w:lineRule="auto"/>
        <w:rPr>
          <w:snapToGrid/>
          <w:szCs w:val="22"/>
          <w:lang w:val="lt-LT" w:eastAsia="lt-LT"/>
        </w:rPr>
      </w:pPr>
    </w:p>
    <w:p w14:paraId="636BE24B" w14:textId="77777777" w:rsidR="00F45529" w:rsidRDefault="00F45529" w:rsidP="00F45529">
      <w:pPr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Leisti į veną.</w:t>
      </w:r>
    </w:p>
    <w:p w14:paraId="3CD532BC" w14:textId="77777777" w:rsidR="00F45529" w:rsidRDefault="0030588C" w:rsidP="00F45529">
      <w:pPr>
        <w:spacing w:line="240" w:lineRule="auto"/>
        <w:rPr>
          <w:szCs w:val="24"/>
          <w:lang w:val="lt-LT"/>
        </w:rPr>
      </w:pPr>
      <w:r w:rsidRPr="005A03C8">
        <w:rPr>
          <w:szCs w:val="22"/>
          <w:lang w:val="lt-LT"/>
        </w:rPr>
        <w:t>Tik vienkartiniam vartojimui</w:t>
      </w:r>
      <w:r w:rsidR="00F45529">
        <w:rPr>
          <w:szCs w:val="24"/>
          <w:lang w:val="lt-LT"/>
        </w:rPr>
        <w:t>.</w:t>
      </w:r>
    </w:p>
    <w:p w14:paraId="5A0827D1" w14:textId="77777777" w:rsidR="00F45529" w:rsidRDefault="00F45529" w:rsidP="00F45529">
      <w:pPr>
        <w:spacing w:line="240" w:lineRule="auto"/>
        <w:rPr>
          <w:snapToGrid/>
          <w:szCs w:val="22"/>
          <w:lang w:val="lt-LT" w:eastAsia="lt-LT"/>
        </w:rPr>
      </w:pPr>
    </w:p>
    <w:p w14:paraId="05EC6EBF" w14:textId="77777777" w:rsidR="00F45529" w:rsidRPr="00F45529" w:rsidRDefault="00F45529" w:rsidP="00F45529">
      <w:pPr>
        <w:spacing w:line="240" w:lineRule="auto"/>
        <w:rPr>
          <w:snapToGrid/>
          <w:szCs w:val="22"/>
          <w:lang w:val="lt-LT" w:eastAsia="lt-LT"/>
        </w:rPr>
      </w:pPr>
    </w:p>
    <w:p w14:paraId="5A61457D" w14:textId="77777777" w:rsidR="00F45529" w:rsidRPr="00F45529" w:rsidRDefault="00F45529" w:rsidP="00F45529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napToGrid/>
          <w:szCs w:val="22"/>
          <w:lang w:val="lt-LT" w:eastAsia="lt-LT"/>
        </w:rPr>
      </w:pPr>
      <w:r w:rsidRPr="00F45529">
        <w:rPr>
          <w:b/>
          <w:snapToGrid/>
          <w:lang w:val="lt-LT" w:eastAsia="lt-LT"/>
        </w:rPr>
        <w:t>TINKAMUMO LAIKAS</w:t>
      </w:r>
    </w:p>
    <w:p w14:paraId="60B3BDC6" w14:textId="77777777" w:rsidR="00F45529" w:rsidRPr="00F45529" w:rsidRDefault="00F45529" w:rsidP="00F45529">
      <w:pPr>
        <w:spacing w:line="240" w:lineRule="auto"/>
        <w:rPr>
          <w:snapToGrid/>
          <w:lang w:val="lt-LT" w:eastAsia="lt-LT"/>
        </w:rPr>
      </w:pPr>
    </w:p>
    <w:p w14:paraId="6A844E50" w14:textId="718BA91C" w:rsidR="00F45529" w:rsidRDefault="00F45529" w:rsidP="00F45529">
      <w:pPr>
        <w:spacing w:line="240" w:lineRule="auto"/>
        <w:rPr>
          <w:snapToGrid/>
          <w:lang w:val="lt-LT" w:eastAsia="lt-LT"/>
        </w:rPr>
      </w:pPr>
      <w:r>
        <w:rPr>
          <w:snapToGrid/>
          <w:lang w:val="lt-LT" w:eastAsia="lt-LT"/>
        </w:rPr>
        <w:t>EXP</w:t>
      </w:r>
      <w:r w:rsidR="000A790D">
        <w:rPr>
          <w:snapToGrid/>
          <w:lang w:val="lt-LT" w:eastAsia="lt-LT"/>
        </w:rPr>
        <w:t xml:space="preserve"> mm/MMMM</w:t>
      </w:r>
    </w:p>
    <w:p w14:paraId="70BD36CA" w14:textId="77777777" w:rsidR="00F45529" w:rsidRDefault="00F45529" w:rsidP="00F45529">
      <w:pPr>
        <w:spacing w:line="240" w:lineRule="auto"/>
        <w:rPr>
          <w:snapToGrid/>
          <w:lang w:val="lt-LT" w:eastAsia="lt-LT"/>
        </w:rPr>
      </w:pPr>
    </w:p>
    <w:p w14:paraId="25EBDA85" w14:textId="77777777" w:rsidR="00F45529" w:rsidRPr="00F45529" w:rsidRDefault="00F45529" w:rsidP="00F45529">
      <w:pPr>
        <w:spacing w:line="240" w:lineRule="auto"/>
        <w:rPr>
          <w:snapToGrid/>
          <w:lang w:val="lt-LT" w:eastAsia="lt-LT"/>
        </w:rPr>
      </w:pPr>
    </w:p>
    <w:p w14:paraId="642AF2F6" w14:textId="77777777" w:rsidR="00F45529" w:rsidRPr="00F45529" w:rsidRDefault="00F45529" w:rsidP="00F45529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napToGrid/>
          <w:lang w:val="lt-LT" w:eastAsia="lt-LT"/>
        </w:rPr>
      </w:pPr>
      <w:r w:rsidRPr="00F45529">
        <w:rPr>
          <w:b/>
          <w:snapToGrid/>
          <w:lang w:val="lt-LT" w:eastAsia="lt-LT"/>
        </w:rPr>
        <w:t>SERIJOS NUMERIS</w:t>
      </w:r>
    </w:p>
    <w:p w14:paraId="5EB7AE9E" w14:textId="77777777" w:rsidR="00F45529" w:rsidRPr="00F45529" w:rsidRDefault="00F45529" w:rsidP="00F45529">
      <w:pPr>
        <w:spacing w:line="240" w:lineRule="auto"/>
        <w:ind w:right="113"/>
        <w:rPr>
          <w:snapToGrid/>
          <w:lang w:val="lt-LT" w:eastAsia="lt-LT"/>
        </w:rPr>
      </w:pPr>
    </w:p>
    <w:p w14:paraId="47B2C8C7" w14:textId="77777777" w:rsidR="00F45529" w:rsidRDefault="00F45529" w:rsidP="00F45529">
      <w:pPr>
        <w:spacing w:line="240" w:lineRule="auto"/>
        <w:ind w:right="113"/>
        <w:rPr>
          <w:snapToGrid/>
          <w:lang w:val="lt-LT" w:eastAsia="lt-LT"/>
        </w:rPr>
      </w:pPr>
      <w:r>
        <w:rPr>
          <w:snapToGrid/>
          <w:lang w:val="lt-LT" w:eastAsia="lt-LT"/>
        </w:rPr>
        <w:t>Lot</w:t>
      </w:r>
    </w:p>
    <w:p w14:paraId="30CD4AEB" w14:textId="77777777" w:rsidR="00F45529" w:rsidRDefault="00F45529" w:rsidP="00F45529">
      <w:pPr>
        <w:spacing w:line="240" w:lineRule="auto"/>
        <w:ind w:right="113"/>
        <w:rPr>
          <w:snapToGrid/>
          <w:lang w:val="lt-LT" w:eastAsia="lt-LT"/>
        </w:rPr>
      </w:pPr>
    </w:p>
    <w:p w14:paraId="4EBFDDEE" w14:textId="77777777" w:rsidR="00F45529" w:rsidRPr="00F45529" w:rsidRDefault="00F45529" w:rsidP="00F45529">
      <w:pPr>
        <w:spacing w:line="240" w:lineRule="auto"/>
        <w:ind w:right="113"/>
        <w:rPr>
          <w:snapToGrid/>
          <w:lang w:val="lt-LT" w:eastAsia="lt-LT"/>
        </w:rPr>
      </w:pPr>
    </w:p>
    <w:p w14:paraId="31B1D505" w14:textId="77777777" w:rsidR="00F45529" w:rsidRPr="00F45529" w:rsidRDefault="00F45529" w:rsidP="00F45529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napToGrid/>
          <w:szCs w:val="22"/>
          <w:lang w:val="lt-LT" w:eastAsia="lt-LT"/>
        </w:rPr>
      </w:pPr>
      <w:r w:rsidRPr="00F45529">
        <w:rPr>
          <w:b/>
          <w:snapToGrid/>
          <w:lang w:val="lt-LT" w:eastAsia="lt-LT"/>
        </w:rPr>
        <w:t>KIEKIS (MASĖ, TŪRIS ARBA VIENETAI)</w:t>
      </w:r>
    </w:p>
    <w:p w14:paraId="0E45E754" w14:textId="77777777" w:rsidR="00F45529" w:rsidRPr="00F45529" w:rsidRDefault="00F45529" w:rsidP="00F45529">
      <w:pPr>
        <w:spacing w:line="240" w:lineRule="auto"/>
        <w:ind w:right="113"/>
        <w:rPr>
          <w:snapToGrid/>
          <w:szCs w:val="22"/>
          <w:lang w:val="lt-LT" w:eastAsia="lt-LT"/>
        </w:rPr>
      </w:pPr>
    </w:p>
    <w:p w14:paraId="2AC83212" w14:textId="77777777" w:rsidR="00C1566D" w:rsidRPr="00C1566D" w:rsidRDefault="00C1566D" w:rsidP="00C1566D">
      <w:pPr>
        <w:spacing w:line="240" w:lineRule="auto"/>
        <w:ind w:right="113"/>
        <w:rPr>
          <w:snapToGrid/>
          <w:szCs w:val="22"/>
          <w:lang w:val="lt-LT" w:eastAsia="lt-LT"/>
        </w:rPr>
      </w:pPr>
      <w:r w:rsidRPr="00C1566D">
        <w:rPr>
          <w:snapToGrid/>
          <w:szCs w:val="22"/>
          <w:lang w:val="lt-LT" w:eastAsia="lt-LT"/>
        </w:rPr>
        <w:t>500</w:t>
      </w:r>
      <w:r>
        <w:rPr>
          <w:snapToGrid/>
          <w:szCs w:val="22"/>
          <w:lang w:val="lt-LT" w:eastAsia="lt-LT"/>
        </w:rPr>
        <w:t> </w:t>
      </w:r>
      <w:r w:rsidRPr="00C1566D">
        <w:rPr>
          <w:snapToGrid/>
          <w:szCs w:val="22"/>
          <w:lang w:val="lt-LT" w:eastAsia="lt-LT"/>
        </w:rPr>
        <w:t>mg/5</w:t>
      </w:r>
      <w:r>
        <w:rPr>
          <w:snapToGrid/>
          <w:szCs w:val="22"/>
          <w:lang w:val="lt-LT" w:eastAsia="lt-LT"/>
        </w:rPr>
        <w:t> </w:t>
      </w:r>
      <w:r w:rsidRPr="00C1566D">
        <w:rPr>
          <w:snapToGrid/>
          <w:szCs w:val="22"/>
          <w:lang w:val="lt-LT" w:eastAsia="lt-LT"/>
        </w:rPr>
        <w:t>ml</w:t>
      </w:r>
    </w:p>
    <w:p w14:paraId="5D35AAFD" w14:textId="77777777" w:rsidR="00F45529" w:rsidRDefault="00C1566D" w:rsidP="00C1566D">
      <w:pPr>
        <w:spacing w:line="240" w:lineRule="auto"/>
        <w:ind w:right="113"/>
        <w:rPr>
          <w:snapToGrid/>
          <w:szCs w:val="22"/>
          <w:lang w:val="lt-LT" w:eastAsia="lt-LT"/>
        </w:rPr>
      </w:pPr>
      <w:r w:rsidRPr="009770F6">
        <w:rPr>
          <w:snapToGrid/>
          <w:szCs w:val="22"/>
          <w:highlight w:val="lightGray"/>
          <w:lang w:val="lt-LT" w:eastAsia="lt-LT"/>
        </w:rPr>
        <w:t>1000 mg/10 ml</w:t>
      </w:r>
    </w:p>
    <w:p w14:paraId="6EED8C91" w14:textId="77777777" w:rsidR="00C1566D" w:rsidRDefault="00C1566D" w:rsidP="00C1566D">
      <w:pPr>
        <w:spacing w:line="240" w:lineRule="auto"/>
        <w:ind w:right="113"/>
        <w:rPr>
          <w:snapToGrid/>
          <w:szCs w:val="22"/>
          <w:lang w:val="lt-LT" w:eastAsia="lt-LT"/>
        </w:rPr>
      </w:pPr>
    </w:p>
    <w:p w14:paraId="2A367CA8" w14:textId="77777777" w:rsidR="00C1566D" w:rsidRPr="00F45529" w:rsidRDefault="00C1566D" w:rsidP="00C1566D">
      <w:pPr>
        <w:spacing w:line="240" w:lineRule="auto"/>
        <w:ind w:right="113"/>
        <w:rPr>
          <w:snapToGrid/>
          <w:szCs w:val="22"/>
          <w:lang w:val="lt-LT" w:eastAsia="lt-LT"/>
        </w:rPr>
      </w:pPr>
    </w:p>
    <w:p w14:paraId="0758F4C1" w14:textId="77777777" w:rsidR="00F45529" w:rsidRPr="00F45529" w:rsidRDefault="00F45529" w:rsidP="00F45529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napToGrid/>
          <w:szCs w:val="22"/>
          <w:lang w:val="lt-LT" w:eastAsia="lt-LT"/>
        </w:rPr>
      </w:pPr>
      <w:r w:rsidRPr="00F45529">
        <w:rPr>
          <w:b/>
          <w:snapToGrid/>
          <w:lang w:val="lt-LT" w:eastAsia="lt-LT"/>
        </w:rPr>
        <w:t>KITA</w:t>
      </w:r>
    </w:p>
    <w:p w14:paraId="7AB23AAB" w14:textId="77777777" w:rsidR="00F45529" w:rsidRPr="00F45529" w:rsidRDefault="00F45529" w:rsidP="00F45529">
      <w:pPr>
        <w:spacing w:line="240" w:lineRule="auto"/>
        <w:ind w:right="113"/>
        <w:rPr>
          <w:snapToGrid/>
          <w:szCs w:val="22"/>
          <w:lang w:val="lt-LT" w:eastAsia="lt-LT"/>
        </w:rPr>
      </w:pPr>
    </w:p>
    <w:p w14:paraId="2281B8EB" w14:textId="77777777" w:rsidR="00F45529" w:rsidRPr="00F45529" w:rsidRDefault="00F45529" w:rsidP="00F45529">
      <w:pPr>
        <w:spacing w:line="240" w:lineRule="auto"/>
        <w:ind w:right="113"/>
        <w:rPr>
          <w:snapToGrid/>
          <w:lang w:val="lt-LT" w:eastAsia="lt-LT"/>
        </w:rPr>
      </w:pPr>
    </w:p>
    <w:p w14:paraId="659FE084" w14:textId="77777777" w:rsidR="00F34163" w:rsidRPr="00B2511A" w:rsidRDefault="00F34163" w:rsidP="00F45529">
      <w:pPr>
        <w:spacing w:line="240" w:lineRule="auto"/>
        <w:rPr>
          <w:lang w:val="lt-LT"/>
        </w:rPr>
      </w:pPr>
      <w:r w:rsidRPr="00B2511A">
        <w:rPr>
          <w:lang w:val="lt-LT"/>
        </w:rPr>
        <w:br w:type="page"/>
      </w:r>
    </w:p>
    <w:p w14:paraId="41751D4B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44F18AF5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016CA223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3F94D6FB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4C0832DA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7193A810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48A369F8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4025282F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6C836BC9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08CB00A0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6EE39E50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2D3D5900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258C2B3F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0D63C5FD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47AF33EE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27681412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5ED6AB83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6C7EAA89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526143D4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7873F1CE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13106B38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77EDEEB9" w14:textId="77777777" w:rsidR="00F34163" w:rsidRPr="00B2511A" w:rsidRDefault="00F34163" w:rsidP="00C25270">
      <w:pPr>
        <w:spacing w:line="240" w:lineRule="auto"/>
        <w:rPr>
          <w:lang w:val="lt-LT"/>
        </w:rPr>
      </w:pPr>
    </w:p>
    <w:p w14:paraId="7DEC35ED" w14:textId="77777777" w:rsidR="000154A7" w:rsidRDefault="000154A7" w:rsidP="00C25270">
      <w:pPr>
        <w:spacing w:line="240" w:lineRule="auto"/>
        <w:jc w:val="center"/>
        <w:outlineLvl w:val="0"/>
        <w:rPr>
          <w:b/>
          <w:lang w:val="lt-LT"/>
        </w:rPr>
      </w:pPr>
    </w:p>
    <w:p w14:paraId="69DDB5B6" w14:textId="77777777" w:rsidR="00F34163" w:rsidRPr="00B2511A" w:rsidRDefault="00F34163" w:rsidP="00C25270">
      <w:pPr>
        <w:spacing w:line="240" w:lineRule="auto"/>
        <w:jc w:val="center"/>
        <w:outlineLvl w:val="0"/>
        <w:rPr>
          <w:b/>
          <w:lang w:val="lt-LT"/>
        </w:rPr>
      </w:pPr>
      <w:r w:rsidRPr="00B2511A">
        <w:rPr>
          <w:b/>
          <w:lang w:val="lt-LT"/>
        </w:rPr>
        <w:t>B. PAKUOTĖS LAPELIS</w:t>
      </w:r>
    </w:p>
    <w:p w14:paraId="7991079E" w14:textId="77777777" w:rsidR="00F34163" w:rsidRPr="00B2511A" w:rsidRDefault="00F34163" w:rsidP="00C25270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  <w:r w:rsidRPr="00B2511A">
        <w:rPr>
          <w:i/>
          <w:lang w:val="lt-LT"/>
        </w:rPr>
        <w:br w:type="page"/>
      </w:r>
      <w:r w:rsidRPr="00B2511A">
        <w:rPr>
          <w:b/>
          <w:snapToGrid/>
          <w:szCs w:val="22"/>
          <w:lang w:val="lt-LT"/>
        </w:rPr>
        <w:lastRenderedPageBreak/>
        <w:t>Pakuotės lapelis: informacija vartotojui</w:t>
      </w:r>
    </w:p>
    <w:p w14:paraId="4BDE25F1" w14:textId="77777777" w:rsidR="00F34163" w:rsidRPr="00B2511A" w:rsidRDefault="00F34163" w:rsidP="00C25270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24627DF9" w14:textId="77777777" w:rsidR="00685099" w:rsidRPr="00685099" w:rsidRDefault="00685099" w:rsidP="00685099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  <w:r w:rsidRPr="00685099">
        <w:rPr>
          <w:b/>
          <w:snapToGrid/>
          <w:szCs w:val="22"/>
          <w:lang w:val="lt-LT"/>
        </w:rPr>
        <w:t>Tranexamic acid Baxter 100</w:t>
      </w:r>
      <w:r>
        <w:rPr>
          <w:b/>
          <w:snapToGrid/>
          <w:szCs w:val="22"/>
          <w:lang w:val="lt-LT"/>
        </w:rPr>
        <w:t> </w:t>
      </w:r>
      <w:r w:rsidRPr="00685099">
        <w:rPr>
          <w:b/>
          <w:snapToGrid/>
          <w:szCs w:val="22"/>
          <w:lang w:val="lt-LT"/>
        </w:rPr>
        <w:t>mg/ml injekcinis ar infuzinis tirpalas</w:t>
      </w:r>
    </w:p>
    <w:p w14:paraId="718770C0" w14:textId="77777777" w:rsidR="00A81BAA" w:rsidRPr="00685099" w:rsidRDefault="00685099" w:rsidP="00685099">
      <w:pPr>
        <w:tabs>
          <w:tab w:val="clear" w:pos="567"/>
        </w:tabs>
        <w:spacing w:line="240" w:lineRule="auto"/>
        <w:jc w:val="center"/>
        <w:rPr>
          <w:bCs/>
          <w:szCs w:val="24"/>
          <w:lang w:val="lt-LT"/>
        </w:rPr>
      </w:pPr>
      <w:r w:rsidRPr="00685099">
        <w:rPr>
          <w:bCs/>
          <w:szCs w:val="24"/>
          <w:lang w:val="lt-LT"/>
        </w:rPr>
        <w:t>traneksamo rūgštis</w:t>
      </w:r>
    </w:p>
    <w:p w14:paraId="73FD77E6" w14:textId="77777777" w:rsidR="00A81BAA" w:rsidRPr="00B2511A" w:rsidRDefault="00A81BAA" w:rsidP="00C25270">
      <w:pPr>
        <w:tabs>
          <w:tab w:val="clear" w:pos="567"/>
        </w:tabs>
        <w:suppressAutoHyphens/>
        <w:spacing w:line="240" w:lineRule="auto"/>
        <w:ind w:left="142" w:hanging="142"/>
        <w:rPr>
          <w:szCs w:val="24"/>
          <w:lang w:val="lt-LT"/>
        </w:rPr>
      </w:pPr>
    </w:p>
    <w:p w14:paraId="5DEDA006" w14:textId="77777777" w:rsidR="00F34163" w:rsidRPr="00B2511A" w:rsidRDefault="00F34163" w:rsidP="00C25270">
      <w:pPr>
        <w:tabs>
          <w:tab w:val="clear" w:pos="567"/>
        </w:tabs>
        <w:suppressAutoHyphens/>
        <w:spacing w:line="240" w:lineRule="auto"/>
        <w:rPr>
          <w:szCs w:val="24"/>
          <w:lang w:val="lt-LT"/>
        </w:rPr>
      </w:pPr>
      <w:r w:rsidRPr="00B2511A">
        <w:rPr>
          <w:b/>
          <w:szCs w:val="24"/>
          <w:lang w:val="lt-LT"/>
        </w:rPr>
        <w:t>Atidžiai perskaitykite visą šį lapelį, prieš pradėdami vartoti vaistą, nes jame pateikiama Jums svarbi informacija.</w:t>
      </w:r>
    </w:p>
    <w:p w14:paraId="0020EE8F" w14:textId="77777777" w:rsidR="00F34163" w:rsidRPr="00B2511A" w:rsidRDefault="00F34163" w:rsidP="00C25270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Neišmeskite šio lapelio, nes vėl gali prireikti jį perskaityti. </w:t>
      </w:r>
    </w:p>
    <w:p w14:paraId="0A6C9867" w14:textId="77777777" w:rsidR="00F34163" w:rsidRPr="00B2511A" w:rsidRDefault="00F34163" w:rsidP="00C25270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2511A">
        <w:rPr>
          <w:szCs w:val="24"/>
          <w:lang w:val="lt-LT"/>
        </w:rPr>
        <w:t>Jeigu kiltų daugiau klausimų, kreipkitės į gydytoją</w:t>
      </w:r>
      <w:r w:rsidR="00A81BAA" w:rsidRPr="00B2511A">
        <w:rPr>
          <w:szCs w:val="24"/>
          <w:lang w:val="lt-LT"/>
        </w:rPr>
        <w:t xml:space="preserve">, </w:t>
      </w:r>
      <w:r w:rsidRPr="00B2511A">
        <w:rPr>
          <w:szCs w:val="24"/>
          <w:lang w:val="lt-LT"/>
        </w:rPr>
        <w:t>vaistininką</w:t>
      </w:r>
      <w:r w:rsidR="00A81BAA" w:rsidRPr="00B2511A">
        <w:rPr>
          <w:szCs w:val="24"/>
          <w:lang w:val="lt-LT"/>
        </w:rPr>
        <w:t xml:space="preserve"> </w:t>
      </w:r>
      <w:r w:rsidRPr="00B2511A">
        <w:rPr>
          <w:szCs w:val="24"/>
          <w:lang w:val="lt-LT"/>
        </w:rPr>
        <w:t>arba slaugytoją.</w:t>
      </w:r>
    </w:p>
    <w:p w14:paraId="031F6098" w14:textId="77777777" w:rsidR="00F34163" w:rsidRPr="00B2511A" w:rsidRDefault="00F34163" w:rsidP="00C25270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Jeigu pasireiškė šalutinis poveikis (net jeigu jis šiame lapelyje nenurodytas), kreipkitės į </w:t>
      </w:r>
      <w:r w:rsidR="00A81BAA" w:rsidRPr="00B2511A">
        <w:rPr>
          <w:szCs w:val="24"/>
          <w:lang w:val="lt-LT"/>
        </w:rPr>
        <w:t xml:space="preserve">gydytoją, vaistininką arba slaugytoją. </w:t>
      </w:r>
      <w:r w:rsidRPr="00B2511A">
        <w:rPr>
          <w:szCs w:val="24"/>
          <w:lang w:val="lt-LT"/>
        </w:rPr>
        <w:t>Žr. 4 skyrių.</w:t>
      </w:r>
    </w:p>
    <w:p w14:paraId="65C95969" w14:textId="77777777" w:rsidR="00F34163" w:rsidRPr="00B2511A" w:rsidRDefault="00F34163" w:rsidP="00C25270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877F68D" w14:textId="77777777" w:rsidR="00F34163" w:rsidRPr="00B2511A" w:rsidRDefault="00F34163" w:rsidP="00C25270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Apie ką rašoma šiame lapelyje?</w:t>
      </w:r>
    </w:p>
    <w:p w14:paraId="2D3A6E45" w14:textId="77777777" w:rsidR="00F34163" w:rsidRPr="00B2511A" w:rsidRDefault="00F34163" w:rsidP="00C25270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</w:p>
    <w:p w14:paraId="35A50809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1.</w:t>
      </w:r>
      <w:r w:rsidRPr="00B2511A">
        <w:rPr>
          <w:szCs w:val="24"/>
          <w:lang w:val="lt-LT"/>
        </w:rPr>
        <w:tab/>
      </w:r>
      <w:r w:rsidRPr="00B2511A">
        <w:rPr>
          <w:lang w:val="lt-LT"/>
        </w:rPr>
        <w:t xml:space="preserve">Kas yra </w:t>
      </w:r>
      <w:r w:rsidR="004E1BC6">
        <w:rPr>
          <w:lang w:val="lt-LT"/>
        </w:rPr>
        <w:t>Tranexamic acid Baxter</w:t>
      </w:r>
      <w:r w:rsidR="00A81BAA" w:rsidRPr="00B2511A">
        <w:rPr>
          <w:lang w:val="lt-LT"/>
        </w:rPr>
        <w:t xml:space="preserve"> </w:t>
      </w:r>
      <w:r w:rsidRPr="00B2511A">
        <w:rPr>
          <w:lang w:val="lt-LT"/>
        </w:rPr>
        <w:t>ir kam jis vartojamas</w:t>
      </w:r>
      <w:r w:rsidRPr="00B2511A">
        <w:rPr>
          <w:szCs w:val="24"/>
          <w:lang w:val="lt-LT"/>
        </w:rPr>
        <w:t xml:space="preserve"> </w:t>
      </w:r>
    </w:p>
    <w:p w14:paraId="1732193D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2.</w:t>
      </w:r>
      <w:r w:rsidRPr="00B2511A">
        <w:rPr>
          <w:szCs w:val="24"/>
          <w:lang w:val="lt-LT"/>
        </w:rPr>
        <w:tab/>
        <w:t xml:space="preserve">Kas žinotina prieš vartojant </w:t>
      </w:r>
      <w:r w:rsidR="004E1BC6">
        <w:rPr>
          <w:szCs w:val="24"/>
          <w:lang w:val="lt-LT"/>
        </w:rPr>
        <w:t>Tranexamic acid Baxter</w:t>
      </w:r>
    </w:p>
    <w:p w14:paraId="77FEF613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3.</w:t>
      </w:r>
      <w:r w:rsidRPr="00B2511A">
        <w:rPr>
          <w:szCs w:val="24"/>
          <w:lang w:val="lt-LT"/>
        </w:rPr>
        <w:tab/>
        <w:t xml:space="preserve">Kaip vartoti </w:t>
      </w:r>
      <w:r w:rsidR="004E1BC6">
        <w:rPr>
          <w:szCs w:val="24"/>
          <w:lang w:val="lt-LT"/>
        </w:rPr>
        <w:t>Tranexamic acid Baxter</w:t>
      </w:r>
    </w:p>
    <w:p w14:paraId="0B332A98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4.</w:t>
      </w:r>
      <w:r w:rsidRPr="00B2511A">
        <w:rPr>
          <w:szCs w:val="24"/>
          <w:lang w:val="lt-LT"/>
        </w:rPr>
        <w:tab/>
      </w:r>
      <w:r w:rsidRPr="00B2511A">
        <w:rPr>
          <w:lang w:val="lt-LT"/>
        </w:rPr>
        <w:t>Galimas šalutinis poveikis</w:t>
      </w:r>
      <w:r w:rsidRPr="00B2511A">
        <w:rPr>
          <w:szCs w:val="24"/>
          <w:lang w:val="lt-LT"/>
        </w:rPr>
        <w:t xml:space="preserve"> </w:t>
      </w:r>
    </w:p>
    <w:p w14:paraId="44F5CE14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5.</w:t>
      </w:r>
      <w:r w:rsidRPr="00B2511A">
        <w:rPr>
          <w:szCs w:val="24"/>
          <w:lang w:val="lt-LT"/>
        </w:rPr>
        <w:tab/>
      </w:r>
      <w:r w:rsidRPr="00B2511A">
        <w:rPr>
          <w:lang w:val="lt-LT"/>
        </w:rPr>
        <w:t xml:space="preserve">Kaip laikyti </w:t>
      </w:r>
      <w:r w:rsidR="004E1BC6">
        <w:rPr>
          <w:lang w:val="lt-LT"/>
        </w:rPr>
        <w:t>Tranexamic acid Baxter</w:t>
      </w:r>
    </w:p>
    <w:p w14:paraId="24EFAC56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6.</w:t>
      </w:r>
      <w:r w:rsidRPr="00B2511A">
        <w:rPr>
          <w:szCs w:val="24"/>
          <w:lang w:val="lt-LT"/>
        </w:rPr>
        <w:tab/>
        <w:t>Pakuotės turinys ir kita informacija</w:t>
      </w:r>
    </w:p>
    <w:p w14:paraId="19B31545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643AA1F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CE2279F" w14:textId="77777777" w:rsidR="00F34163" w:rsidRPr="00B2511A" w:rsidRDefault="00F34163" w:rsidP="00C25270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1.</w:t>
      </w:r>
      <w:r w:rsidRPr="00B2511A">
        <w:rPr>
          <w:b/>
          <w:snapToGrid/>
          <w:szCs w:val="22"/>
          <w:lang w:val="lt-LT"/>
        </w:rPr>
        <w:tab/>
        <w:t xml:space="preserve">Kas yra </w:t>
      </w:r>
      <w:r w:rsidR="004E1BC6">
        <w:rPr>
          <w:b/>
          <w:snapToGrid/>
          <w:szCs w:val="22"/>
          <w:lang w:val="lt-LT"/>
        </w:rPr>
        <w:t>Tranexamic acid Baxter</w:t>
      </w:r>
      <w:r w:rsidR="00A81BAA" w:rsidRPr="00B2511A">
        <w:rPr>
          <w:b/>
          <w:snapToGrid/>
          <w:szCs w:val="22"/>
          <w:lang w:val="lt-LT"/>
        </w:rPr>
        <w:t xml:space="preserve"> </w:t>
      </w:r>
      <w:r w:rsidRPr="00B2511A">
        <w:rPr>
          <w:b/>
          <w:snapToGrid/>
          <w:szCs w:val="22"/>
          <w:lang w:val="lt-LT"/>
        </w:rPr>
        <w:t>ir kam jis vartojamas</w:t>
      </w:r>
    </w:p>
    <w:p w14:paraId="3B170017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C6B399C" w14:textId="77777777" w:rsidR="004E1BC6" w:rsidRDefault="004E1BC6" w:rsidP="004E1B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Tranexamic acid Baxter</w:t>
      </w:r>
      <w:r w:rsidR="00C41CE1" w:rsidRPr="00B2511A">
        <w:rPr>
          <w:szCs w:val="24"/>
          <w:lang w:val="lt-LT"/>
        </w:rPr>
        <w:t xml:space="preserve"> </w:t>
      </w:r>
      <w:r w:rsidR="005D4011">
        <w:rPr>
          <w:szCs w:val="24"/>
          <w:lang w:val="lt-LT"/>
        </w:rPr>
        <w:t xml:space="preserve">injekcijos/infuzijos </w:t>
      </w:r>
      <w:r w:rsidRPr="004E1BC6">
        <w:rPr>
          <w:szCs w:val="24"/>
          <w:lang w:val="lt-LT"/>
        </w:rPr>
        <w:t>sudėtyje yra traneksamo rūgšties, kur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 xml:space="preserve"> priklauso grupe</w:t>
      </w:r>
      <w:r>
        <w:rPr>
          <w:szCs w:val="24"/>
          <w:lang w:val="lt-LT"/>
        </w:rPr>
        <w:t xml:space="preserve">i </w:t>
      </w:r>
      <w:r w:rsidRPr="004E1BC6">
        <w:rPr>
          <w:szCs w:val="24"/>
          <w:lang w:val="lt-LT"/>
        </w:rPr>
        <w:t>vaistų, vadinamų antihemoraginia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>s, antifibrino</w:t>
      </w:r>
      <w:r>
        <w:rPr>
          <w:szCs w:val="24"/>
          <w:lang w:val="lt-LT"/>
        </w:rPr>
        <w:t>li</w:t>
      </w:r>
      <w:r w:rsidRPr="004E1BC6">
        <w:rPr>
          <w:szCs w:val="24"/>
          <w:lang w:val="lt-LT"/>
        </w:rPr>
        <w:t>zin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>ais vaistais, aminor</w:t>
      </w:r>
      <w:r>
        <w:rPr>
          <w:szCs w:val="24"/>
          <w:lang w:val="lt-LT"/>
        </w:rPr>
        <w:t>ū</w:t>
      </w:r>
      <w:r w:rsidRPr="004E1BC6">
        <w:rPr>
          <w:szCs w:val="24"/>
          <w:lang w:val="lt-LT"/>
        </w:rPr>
        <w:t>gštimis.</w:t>
      </w:r>
    </w:p>
    <w:p w14:paraId="388E0BE9" w14:textId="77777777" w:rsidR="004E1BC6" w:rsidRPr="004E1BC6" w:rsidRDefault="004E1BC6" w:rsidP="004E1B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C6BB566" w14:textId="77777777" w:rsidR="004E1BC6" w:rsidRPr="004E1BC6" w:rsidRDefault="004E1BC6" w:rsidP="004E1B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Tranexamic acid Baxter</w:t>
      </w:r>
      <w:r w:rsidRPr="004E1BC6">
        <w:rPr>
          <w:szCs w:val="24"/>
          <w:lang w:val="lt-LT"/>
        </w:rPr>
        <w:t xml:space="preserve"> vartojamas suaugusių žmonių ir vyresni</w:t>
      </w:r>
      <w:r>
        <w:rPr>
          <w:szCs w:val="24"/>
          <w:lang w:val="lt-LT"/>
        </w:rPr>
        <w:t>ų</w:t>
      </w:r>
      <w:r w:rsidRPr="004E1BC6">
        <w:rPr>
          <w:szCs w:val="24"/>
          <w:lang w:val="lt-LT"/>
        </w:rPr>
        <w:t xml:space="preserve"> kaip vieneri</w:t>
      </w:r>
      <w:r>
        <w:rPr>
          <w:szCs w:val="24"/>
          <w:lang w:val="lt-LT"/>
        </w:rPr>
        <w:t>ų</w:t>
      </w:r>
      <w:r w:rsidRPr="004E1BC6">
        <w:rPr>
          <w:szCs w:val="24"/>
          <w:lang w:val="lt-LT"/>
        </w:rPr>
        <w:t xml:space="preserve"> metų vaikų kraujavimui, kuris pasireiškia d</w:t>
      </w:r>
      <w:r>
        <w:rPr>
          <w:szCs w:val="24"/>
          <w:lang w:val="lt-LT"/>
        </w:rPr>
        <w:t>ė</w:t>
      </w:r>
      <w:r w:rsidRPr="004E1BC6">
        <w:rPr>
          <w:szCs w:val="24"/>
          <w:lang w:val="lt-LT"/>
        </w:rPr>
        <w:t>l kraujo krešul</w:t>
      </w:r>
      <w:r>
        <w:rPr>
          <w:szCs w:val="24"/>
          <w:lang w:val="lt-LT"/>
        </w:rPr>
        <w:t>ių</w:t>
      </w:r>
      <w:r w:rsidRPr="004E1BC6">
        <w:rPr>
          <w:szCs w:val="24"/>
          <w:lang w:val="lt-LT"/>
        </w:rPr>
        <w:t xml:space="preserve"> formavimosi slopinimo proceso, vadinamo fibrinolize, gydyti ir tok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>o kraujavimo profilaktika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>.</w:t>
      </w:r>
    </w:p>
    <w:p w14:paraId="0B1AD609" w14:textId="77777777" w:rsidR="004E1BC6" w:rsidRDefault="004E1BC6" w:rsidP="004E1B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F91D1CA" w14:textId="77777777" w:rsidR="004E1BC6" w:rsidRPr="004E1BC6" w:rsidRDefault="004E1BC6" w:rsidP="004E1B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4E1BC6">
        <w:rPr>
          <w:szCs w:val="24"/>
          <w:lang w:val="lt-LT"/>
        </w:rPr>
        <w:t>Specialios indikacijos yra</w:t>
      </w:r>
      <w:r w:rsidR="00EE14D4">
        <w:rPr>
          <w:szCs w:val="24"/>
          <w:lang w:val="lt-LT"/>
        </w:rPr>
        <w:t xml:space="preserve"> tokios</w:t>
      </w:r>
      <w:r w:rsidRPr="004E1BC6">
        <w:rPr>
          <w:szCs w:val="24"/>
          <w:lang w:val="lt-LT"/>
        </w:rPr>
        <w:t>:</w:t>
      </w:r>
    </w:p>
    <w:p w14:paraId="382A06E7" w14:textId="77777777" w:rsidR="004E1BC6" w:rsidRPr="004E1BC6" w:rsidRDefault="004E1BC6" w:rsidP="004E1BC6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laba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 xml:space="preserve"> gausios mėnesinės moterims;</w:t>
      </w:r>
    </w:p>
    <w:p w14:paraId="3F57A190" w14:textId="77777777" w:rsidR="004E1BC6" w:rsidRPr="004E1BC6" w:rsidRDefault="004E1BC6" w:rsidP="004E1BC6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kraujavimas iš virškinimo trakto;</w:t>
      </w:r>
    </w:p>
    <w:p w14:paraId="1FDDDC65" w14:textId="590F490E" w:rsidR="004E1BC6" w:rsidRPr="004E1BC6" w:rsidRDefault="004E1BC6" w:rsidP="004E1BC6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kraujavimu pasire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>škiantys šlapimo takų sutrikimai</w:t>
      </w:r>
      <w:r w:rsidR="005D4011">
        <w:rPr>
          <w:szCs w:val="24"/>
          <w:lang w:val="lt-LT"/>
        </w:rPr>
        <w:t xml:space="preserve"> po</w:t>
      </w:r>
      <w:r w:rsidRPr="004E1BC6">
        <w:rPr>
          <w:szCs w:val="24"/>
          <w:lang w:val="lt-LT"/>
        </w:rPr>
        <w:t xml:space="preserve"> priešin</w:t>
      </w:r>
      <w:r>
        <w:rPr>
          <w:szCs w:val="24"/>
          <w:lang w:val="lt-LT"/>
        </w:rPr>
        <w:t>ė</w:t>
      </w:r>
      <w:r w:rsidRPr="004E1BC6">
        <w:rPr>
          <w:szCs w:val="24"/>
          <w:lang w:val="lt-LT"/>
        </w:rPr>
        <w:t xml:space="preserve">s </w:t>
      </w:r>
      <w:r>
        <w:rPr>
          <w:szCs w:val="24"/>
          <w:lang w:val="lt-LT"/>
        </w:rPr>
        <w:t>l</w:t>
      </w:r>
      <w:r w:rsidRPr="004E1BC6">
        <w:rPr>
          <w:szCs w:val="24"/>
          <w:lang w:val="lt-LT"/>
        </w:rPr>
        <w:t>iaukos chirurgin</w:t>
      </w:r>
      <w:r>
        <w:rPr>
          <w:szCs w:val="24"/>
          <w:lang w:val="lt-LT"/>
        </w:rPr>
        <w:t>ė</w:t>
      </w:r>
      <w:r w:rsidRPr="004E1BC6">
        <w:rPr>
          <w:szCs w:val="24"/>
          <w:lang w:val="lt-LT"/>
        </w:rPr>
        <w:t xml:space="preserve">s operacijos ar procedūros, kurios </w:t>
      </w:r>
      <w:r w:rsidR="005D4011">
        <w:rPr>
          <w:szCs w:val="24"/>
          <w:lang w:val="lt-LT"/>
        </w:rPr>
        <w:t xml:space="preserve">metu </w:t>
      </w:r>
      <w:r w:rsidRPr="004E1BC6">
        <w:rPr>
          <w:szCs w:val="24"/>
          <w:lang w:val="lt-LT"/>
        </w:rPr>
        <w:t>pažei</w:t>
      </w:r>
      <w:r>
        <w:rPr>
          <w:szCs w:val="24"/>
          <w:lang w:val="lt-LT"/>
        </w:rPr>
        <w:t>d</w:t>
      </w:r>
      <w:r w:rsidRPr="004E1BC6">
        <w:rPr>
          <w:szCs w:val="24"/>
          <w:lang w:val="lt-LT"/>
        </w:rPr>
        <w:t>žia</w:t>
      </w:r>
      <w:r w:rsidR="005D4011">
        <w:rPr>
          <w:szCs w:val="24"/>
          <w:lang w:val="lt-LT"/>
        </w:rPr>
        <w:t>mi</w:t>
      </w:r>
      <w:r w:rsidRPr="004E1BC6">
        <w:rPr>
          <w:szCs w:val="24"/>
          <w:lang w:val="lt-LT"/>
        </w:rPr>
        <w:t xml:space="preserve"> š</w:t>
      </w:r>
      <w:r>
        <w:rPr>
          <w:szCs w:val="24"/>
          <w:lang w:val="lt-LT"/>
        </w:rPr>
        <w:t>l</w:t>
      </w:r>
      <w:r w:rsidRPr="004E1BC6">
        <w:rPr>
          <w:szCs w:val="24"/>
          <w:lang w:val="lt-LT"/>
        </w:rPr>
        <w:t>apimo tak</w:t>
      </w:r>
      <w:r w:rsidR="005D4011">
        <w:rPr>
          <w:szCs w:val="24"/>
          <w:lang w:val="lt-LT"/>
        </w:rPr>
        <w:t>ai</w:t>
      </w:r>
      <w:r w:rsidRPr="004E1BC6">
        <w:rPr>
          <w:szCs w:val="24"/>
          <w:lang w:val="lt-LT"/>
        </w:rPr>
        <w:t>;</w:t>
      </w:r>
    </w:p>
    <w:p w14:paraId="1D5CC252" w14:textId="77777777" w:rsidR="004E1BC6" w:rsidRPr="004E1BC6" w:rsidRDefault="004E1BC6" w:rsidP="004E1BC6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ausų, nosies ar gerk</w:t>
      </w:r>
      <w:r>
        <w:rPr>
          <w:szCs w:val="24"/>
          <w:lang w:val="lt-LT"/>
        </w:rPr>
        <w:t>lė</w:t>
      </w:r>
      <w:r w:rsidRPr="004E1BC6">
        <w:rPr>
          <w:szCs w:val="24"/>
          <w:lang w:val="lt-LT"/>
        </w:rPr>
        <w:t>s operacijos;</w:t>
      </w:r>
    </w:p>
    <w:p w14:paraId="0A977D0A" w14:textId="77777777" w:rsidR="004E1BC6" w:rsidRPr="004E1BC6" w:rsidRDefault="004E1BC6" w:rsidP="004E1BC6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širdies, pilvo ar ginekologin</w:t>
      </w:r>
      <w:r>
        <w:rPr>
          <w:szCs w:val="24"/>
          <w:lang w:val="lt-LT"/>
        </w:rPr>
        <w:t>ė</w:t>
      </w:r>
      <w:r w:rsidRPr="004E1BC6">
        <w:rPr>
          <w:szCs w:val="24"/>
          <w:lang w:val="lt-LT"/>
        </w:rPr>
        <w:t>s operacijos;</w:t>
      </w:r>
    </w:p>
    <w:p w14:paraId="70A4936A" w14:textId="77777777" w:rsidR="00F34163" w:rsidRPr="00B2511A" w:rsidRDefault="004E1BC6" w:rsidP="004E1BC6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kraujavimas, kuris pasireiškia po gydymo kitokias vaistais, kurie tirpdo kraujo krešulius.</w:t>
      </w:r>
    </w:p>
    <w:p w14:paraId="74B83ED8" w14:textId="77777777" w:rsidR="00C41CE1" w:rsidRPr="00B2511A" w:rsidRDefault="00C41CE1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B4FCFB1" w14:textId="77777777" w:rsidR="00C41CE1" w:rsidRPr="00B2511A" w:rsidRDefault="00C41CE1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FDF9072" w14:textId="77777777" w:rsidR="00F34163" w:rsidRPr="00B2511A" w:rsidRDefault="00F34163" w:rsidP="00C25270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2.</w:t>
      </w:r>
      <w:r w:rsidRPr="00B2511A">
        <w:rPr>
          <w:b/>
          <w:snapToGrid/>
          <w:szCs w:val="22"/>
          <w:lang w:val="lt-LT"/>
        </w:rPr>
        <w:tab/>
        <w:t xml:space="preserve">Kas žinotina prieš vartojant </w:t>
      </w:r>
      <w:r w:rsidR="004E1BC6">
        <w:rPr>
          <w:b/>
          <w:snapToGrid/>
          <w:szCs w:val="22"/>
          <w:lang w:val="lt-LT"/>
        </w:rPr>
        <w:t>Tranexamic acid Baxter</w:t>
      </w:r>
    </w:p>
    <w:p w14:paraId="5EB52267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5F5C413" w14:textId="77777777" w:rsidR="00F34163" w:rsidRPr="00B2511A" w:rsidRDefault="004E1BC6" w:rsidP="00C25270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r>
        <w:rPr>
          <w:b/>
          <w:bCs/>
          <w:snapToGrid/>
          <w:szCs w:val="22"/>
          <w:lang w:val="lt-LT"/>
        </w:rPr>
        <w:t>Tranexamic acid Baxter</w:t>
      </w:r>
      <w:r w:rsidR="00A81BAA" w:rsidRPr="00B2511A">
        <w:rPr>
          <w:b/>
          <w:bCs/>
          <w:snapToGrid/>
          <w:szCs w:val="22"/>
          <w:lang w:val="lt-LT"/>
        </w:rPr>
        <w:t xml:space="preserve"> </w:t>
      </w:r>
      <w:r w:rsidR="00F34163" w:rsidRPr="00B2511A">
        <w:rPr>
          <w:b/>
          <w:bCs/>
          <w:snapToGrid/>
          <w:szCs w:val="22"/>
          <w:lang w:val="lt-LT"/>
        </w:rPr>
        <w:t>vartoti negalima:</w:t>
      </w:r>
    </w:p>
    <w:p w14:paraId="206FF402" w14:textId="77777777" w:rsidR="0084385E" w:rsidRPr="0036628F" w:rsidRDefault="0084385E" w:rsidP="0036628F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>jeigu</w:t>
      </w:r>
      <w:r w:rsidR="005D4011">
        <w:rPr>
          <w:szCs w:val="24"/>
          <w:lang w:val="lt-LT"/>
        </w:rPr>
        <w:t xml:space="preserve"> </w:t>
      </w:r>
      <w:r w:rsidRPr="0036628F">
        <w:rPr>
          <w:szCs w:val="24"/>
          <w:lang w:val="lt-LT"/>
        </w:rPr>
        <w:t xml:space="preserve"> yra alergija </w:t>
      </w:r>
      <w:r w:rsidR="0036628F" w:rsidRPr="0036628F">
        <w:rPr>
          <w:szCs w:val="24"/>
          <w:lang w:val="lt-LT"/>
        </w:rPr>
        <w:t xml:space="preserve">traneksamo rūgščiai </w:t>
      </w:r>
      <w:r w:rsidRPr="0036628F">
        <w:rPr>
          <w:szCs w:val="24"/>
          <w:lang w:val="lt-LT"/>
        </w:rPr>
        <w:t>arba bet kuriai pagalbinei šio vaisto medžiagai (jos išvardytos 6 skyriuje);</w:t>
      </w:r>
    </w:p>
    <w:p w14:paraId="01F0A1CF" w14:textId="77777777" w:rsidR="0036628F" w:rsidRPr="0036628F" w:rsidRDefault="0036628F" w:rsidP="0036628F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>jeigu sergate liga, d</w:t>
      </w:r>
      <w:r>
        <w:rPr>
          <w:szCs w:val="24"/>
          <w:lang w:val="lt-LT"/>
        </w:rPr>
        <w:t>ėl</w:t>
      </w:r>
      <w:r w:rsidRPr="0036628F">
        <w:rPr>
          <w:szCs w:val="24"/>
          <w:lang w:val="lt-LT"/>
        </w:rPr>
        <w:t xml:space="preserve"> kurios formuojasi kraujo krešulia</w:t>
      </w:r>
      <w:r>
        <w:rPr>
          <w:szCs w:val="24"/>
          <w:lang w:val="lt-LT"/>
        </w:rPr>
        <w:t>i</w:t>
      </w:r>
      <w:r w:rsidRPr="0036628F">
        <w:rPr>
          <w:szCs w:val="24"/>
          <w:lang w:val="lt-LT"/>
        </w:rPr>
        <w:t>;</w:t>
      </w:r>
    </w:p>
    <w:p w14:paraId="077C34B4" w14:textId="77777777" w:rsidR="0036628F" w:rsidRPr="0036628F" w:rsidRDefault="0036628F" w:rsidP="0036628F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 xml:space="preserve">jeigu </w:t>
      </w:r>
      <w:r w:rsidR="000F464D">
        <w:rPr>
          <w:szCs w:val="24"/>
          <w:lang w:val="lt-LT"/>
        </w:rPr>
        <w:t xml:space="preserve">Jums </w:t>
      </w:r>
      <w:r w:rsidRPr="0036628F">
        <w:rPr>
          <w:szCs w:val="24"/>
          <w:lang w:val="lt-LT"/>
        </w:rPr>
        <w:t>yra diagnozuota</w:t>
      </w:r>
      <w:r>
        <w:rPr>
          <w:szCs w:val="24"/>
          <w:lang w:val="lt-LT"/>
        </w:rPr>
        <w:t xml:space="preserve"> </w:t>
      </w:r>
      <w:r w:rsidRPr="0036628F">
        <w:rPr>
          <w:szCs w:val="24"/>
          <w:lang w:val="lt-LT"/>
        </w:rPr>
        <w:t>vadinama „suvartojimo koag</w:t>
      </w:r>
      <w:r w:rsidRPr="007634A4">
        <w:rPr>
          <w:szCs w:val="24"/>
          <w:lang w:val="lt-LT"/>
        </w:rPr>
        <w:t>ul</w:t>
      </w:r>
      <w:r w:rsidR="007634A4">
        <w:rPr>
          <w:szCs w:val="24"/>
          <w:lang w:val="lt-LT"/>
        </w:rPr>
        <w:t>i</w:t>
      </w:r>
      <w:r w:rsidRPr="007634A4">
        <w:rPr>
          <w:szCs w:val="24"/>
          <w:lang w:val="lt-LT"/>
        </w:rPr>
        <w:t>op</w:t>
      </w:r>
      <w:r w:rsidRPr="0036628F">
        <w:rPr>
          <w:szCs w:val="24"/>
          <w:lang w:val="lt-LT"/>
        </w:rPr>
        <w:t>atija", kur</w:t>
      </w:r>
      <w:r w:rsidR="00A04B4D">
        <w:rPr>
          <w:szCs w:val="24"/>
          <w:lang w:val="lt-LT"/>
        </w:rPr>
        <w:t>i</w:t>
      </w:r>
      <w:r w:rsidRPr="0036628F">
        <w:rPr>
          <w:szCs w:val="24"/>
          <w:lang w:val="lt-LT"/>
        </w:rPr>
        <w:t>ai esant, pradeda kreš</w:t>
      </w:r>
      <w:r w:rsidR="00A04B4D">
        <w:rPr>
          <w:szCs w:val="24"/>
          <w:lang w:val="lt-LT"/>
        </w:rPr>
        <w:t>ė</w:t>
      </w:r>
      <w:r w:rsidRPr="0036628F">
        <w:rPr>
          <w:szCs w:val="24"/>
          <w:lang w:val="lt-LT"/>
        </w:rPr>
        <w:t>ti</w:t>
      </w:r>
      <w:r w:rsidR="00A04B4D">
        <w:rPr>
          <w:szCs w:val="24"/>
          <w:lang w:val="lt-LT"/>
        </w:rPr>
        <w:t xml:space="preserve"> visas organizme esantis kraujas;</w:t>
      </w:r>
    </w:p>
    <w:p w14:paraId="42FEA134" w14:textId="77777777" w:rsidR="0036628F" w:rsidRPr="0036628F" w:rsidRDefault="0036628F" w:rsidP="0036628F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>jeigu sergate inkstų liga;</w:t>
      </w:r>
    </w:p>
    <w:p w14:paraId="3D7B211F" w14:textId="77777777" w:rsidR="0036628F" w:rsidRPr="0036628F" w:rsidRDefault="0036628F" w:rsidP="0036628F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 xml:space="preserve">jeigu </w:t>
      </w:r>
      <w:r w:rsidR="000F464D">
        <w:rPr>
          <w:szCs w:val="24"/>
          <w:lang w:val="lt-LT"/>
        </w:rPr>
        <w:t>Jums</w:t>
      </w:r>
      <w:r w:rsidR="00EE14D4">
        <w:rPr>
          <w:szCs w:val="24"/>
          <w:lang w:val="lt-LT"/>
        </w:rPr>
        <w:t xml:space="preserve"> anksčiau</w:t>
      </w:r>
      <w:r w:rsidR="000F464D">
        <w:rPr>
          <w:szCs w:val="24"/>
          <w:lang w:val="lt-LT"/>
        </w:rPr>
        <w:t xml:space="preserve"> </w:t>
      </w:r>
      <w:r w:rsidRPr="0036628F">
        <w:rPr>
          <w:szCs w:val="24"/>
          <w:lang w:val="lt-LT"/>
        </w:rPr>
        <w:t xml:space="preserve">buvo </w:t>
      </w:r>
      <w:r w:rsidR="00A04B4D" w:rsidRPr="0036628F">
        <w:rPr>
          <w:szCs w:val="24"/>
          <w:lang w:val="lt-LT"/>
        </w:rPr>
        <w:t>pasireiškę</w:t>
      </w:r>
      <w:r w:rsidRPr="0036628F">
        <w:rPr>
          <w:szCs w:val="24"/>
          <w:lang w:val="lt-LT"/>
        </w:rPr>
        <w:t xml:space="preserve"> traukuliai.</w:t>
      </w:r>
    </w:p>
    <w:p w14:paraId="37B279A1" w14:textId="77777777" w:rsidR="0036628F" w:rsidRDefault="0036628F" w:rsidP="0036628F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4F0E762" w14:textId="3A728C3B" w:rsidR="0036628F" w:rsidRPr="0036628F" w:rsidRDefault="0036628F" w:rsidP="0036628F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36628F">
        <w:rPr>
          <w:szCs w:val="24"/>
          <w:lang w:val="lt-LT"/>
        </w:rPr>
        <w:t>Kadangi ky</w:t>
      </w:r>
      <w:r w:rsidR="00A04B4D">
        <w:rPr>
          <w:szCs w:val="24"/>
          <w:lang w:val="lt-LT"/>
        </w:rPr>
        <w:t>l</w:t>
      </w:r>
      <w:r w:rsidRPr="0036628F">
        <w:rPr>
          <w:szCs w:val="24"/>
          <w:lang w:val="lt-LT"/>
        </w:rPr>
        <w:t>a smegenų e</w:t>
      </w:r>
      <w:r w:rsidR="00A04B4D">
        <w:rPr>
          <w:szCs w:val="24"/>
          <w:lang w:val="lt-LT"/>
        </w:rPr>
        <w:t>d</w:t>
      </w:r>
      <w:r w:rsidRPr="0036628F">
        <w:rPr>
          <w:szCs w:val="24"/>
          <w:lang w:val="lt-LT"/>
        </w:rPr>
        <w:t>emos ir traukul</w:t>
      </w:r>
      <w:r w:rsidR="00A04B4D">
        <w:rPr>
          <w:szCs w:val="24"/>
          <w:lang w:val="lt-LT"/>
        </w:rPr>
        <w:t>ių</w:t>
      </w:r>
      <w:r w:rsidRPr="0036628F">
        <w:rPr>
          <w:szCs w:val="24"/>
          <w:lang w:val="lt-LT"/>
        </w:rPr>
        <w:t xml:space="preserve"> ats</w:t>
      </w:r>
      <w:r w:rsidR="00A04B4D">
        <w:rPr>
          <w:szCs w:val="24"/>
          <w:lang w:val="lt-LT"/>
        </w:rPr>
        <w:t>i</w:t>
      </w:r>
      <w:r w:rsidRPr="0036628F">
        <w:rPr>
          <w:szCs w:val="24"/>
          <w:lang w:val="lt-LT"/>
        </w:rPr>
        <w:t>radi</w:t>
      </w:r>
      <w:r w:rsidR="00A04B4D">
        <w:rPr>
          <w:szCs w:val="24"/>
          <w:lang w:val="lt-LT"/>
        </w:rPr>
        <w:t>m</w:t>
      </w:r>
      <w:r w:rsidRPr="0036628F">
        <w:rPr>
          <w:szCs w:val="24"/>
          <w:lang w:val="lt-LT"/>
        </w:rPr>
        <w:t>o rizika, vaisto nerekomenduojama su</w:t>
      </w:r>
      <w:r w:rsidR="00A04B4D">
        <w:rPr>
          <w:szCs w:val="24"/>
          <w:lang w:val="lt-LT"/>
        </w:rPr>
        <w:t>lei</w:t>
      </w:r>
      <w:r w:rsidRPr="0036628F">
        <w:rPr>
          <w:szCs w:val="24"/>
          <w:lang w:val="lt-LT"/>
        </w:rPr>
        <w:t xml:space="preserve">sti </w:t>
      </w:r>
      <w:r w:rsidR="000F464D">
        <w:rPr>
          <w:szCs w:val="24"/>
          <w:lang w:val="lt-LT"/>
        </w:rPr>
        <w:t>į povoratinklinę ertmę</w:t>
      </w:r>
      <w:r w:rsidRPr="0036628F">
        <w:rPr>
          <w:szCs w:val="24"/>
          <w:lang w:val="lt-LT"/>
        </w:rPr>
        <w:t xml:space="preserve"> arba </w:t>
      </w:r>
      <w:r w:rsidR="00A04B4D">
        <w:rPr>
          <w:szCs w:val="24"/>
          <w:lang w:val="lt-LT"/>
        </w:rPr>
        <w:t>į</w:t>
      </w:r>
      <w:r w:rsidRPr="0036628F">
        <w:rPr>
          <w:szCs w:val="24"/>
          <w:lang w:val="lt-LT"/>
        </w:rPr>
        <w:t xml:space="preserve"> smegenų skilvelius arba </w:t>
      </w:r>
      <w:r w:rsidR="00A04B4D">
        <w:rPr>
          <w:szCs w:val="24"/>
          <w:lang w:val="lt-LT"/>
        </w:rPr>
        <w:t>į</w:t>
      </w:r>
      <w:r w:rsidRPr="0036628F">
        <w:rPr>
          <w:szCs w:val="24"/>
          <w:lang w:val="lt-LT"/>
        </w:rPr>
        <w:t xml:space="preserve"> galvos smegenis.</w:t>
      </w:r>
    </w:p>
    <w:p w14:paraId="38E988E6" w14:textId="166C8F30" w:rsidR="00F34163" w:rsidRPr="0036628F" w:rsidRDefault="00A04B4D" w:rsidP="00A04B4D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J</w:t>
      </w:r>
      <w:r w:rsidR="0036628F" w:rsidRPr="0036628F">
        <w:rPr>
          <w:szCs w:val="24"/>
          <w:lang w:val="lt-LT"/>
        </w:rPr>
        <w:t xml:space="preserve">eigu galvojate, kad </w:t>
      </w:r>
      <w:r w:rsidR="000F464D">
        <w:rPr>
          <w:szCs w:val="24"/>
          <w:lang w:val="lt-LT"/>
        </w:rPr>
        <w:t>Jums tinka bet kuris iš šių atvejų</w:t>
      </w:r>
      <w:r w:rsidR="0036628F" w:rsidRPr="0036628F">
        <w:rPr>
          <w:szCs w:val="24"/>
          <w:lang w:val="lt-LT"/>
        </w:rPr>
        <w:t xml:space="preserve"> arba d</w:t>
      </w:r>
      <w:r>
        <w:rPr>
          <w:szCs w:val="24"/>
          <w:lang w:val="lt-LT"/>
        </w:rPr>
        <w:t>ė</w:t>
      </w:r>
      <w:r w:rsidR="0036628F" w:rsidRPr="0036628F">
        <w:rPr>
          <w:szCs w:val="24"/>
          <w:lang w:val="lt-LT"/>
        </w:rPr>
        <w:t xml:space="preserve">l to nesate tikri, apie tai pasakykite gydytojui prieš vartojant </w:t>
      </w:r>
      <w:r w:rsidRPr="00A04B4D">
        <w:rPr>
          <w:szCs w:val="24"/>
          <w:lang w:val="lt-LT"/>
        </w:rPr>
        <w:t>Tranexamic acid Baxter</w:t>
      </w:r>
      <w:r w:rsidR="0036628F" w:rsidRPr="0036628F">
        <w:rPr>
          <w:szCs w:val="24"/>
          <w:lang w:val="lt-LT"/>
        </w:rPr>
        <w:t>.</w:t>
      </w:r>
    </w:p>
    <w:p w14:paraId="7235A16A" w14:textId="77777777" w:rsidR="00F34163" w:rsidRPr="0036628F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E7E52C0" w14:textId="77777777" w:rsidR="00F34163" w:rsidRPr="00B2511A" w:rsidRDefault="00F34163" w:rsidP="00C25270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lastRenderedPageBreak/>
        <w:t>Įspėjimai ir atsargumo priemonės</w:t>
      </w:r>
    </w:p>
    <w:p w14:paraId="1F395151" w14:textId="77777777" w:rsidR="00A04B4D" w:rsidRPr="00A04B4D" w:rsidRDefault="00A04B4D" w:rsidP="00A04B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J</w:t>
      </w:r>
      <w:r w:rsidRPr="00A04B4D">
        <w:rPr>
          <w:szCs w:val="24"/>
          <w:lang w:val="lt-LT"/>
        </w:rPr>
        <w:t xml:space="preserve">eigu </w:t>
      </w:r>
      <w:r w:rsidR="000F464D">
        <w:rPr>
          <w:szCs w:val="24"/>
          <w:lang w:val="lt-LT"/>
        </w:rPr>
        <w:t xml:space="preserve">Jums </w:t>
      </w:r>
      <w:r w:rsidRPr="00A04B4D">
        <w:rPr>
          <w:szCs w:val="24"/>
          <w:lang w:val="lt-LT"/>
        </w:rPr>
        <w:t>yra toliau išvardytų aplinkybi</w:t>
      </w:r>
      <w:r>
        <w:rPr>
          <w:szCs w:val="24"/>
          <w:lang w:val="lt-LT"/>
        </w:rPr>
        <w:t>ų</w:t>
      </w:r>
      <w:r w:rsidRPr="00A04B4D">
        <w:rPr>
          <w:szCs w:val="24"/>
          <w:lang w:val="lt-LT"/>
        </w:rPr>
        <w:t>, apie ta</w:t>
      </w:r>
      <w:r>
        <w:rPr>
          <w:szCs w:val="24"/>
          <w:lang w:val="lt-LT"/>
        </w:rPr>
        <w:t>i</w:t>
      </w:r>
      <w:r w:rsidRPr="00A04B4D">
        <w:rPr>
          <w:szCs w:val="24"/>
          <w:lang w:val="lt-LT"/>
        </w:rPr>
        <w:t xml:space="preserve"> pasakykite gydytojui</w:t>
      </w:r>
      <w:r>
        <w:rPr>
          <w:szCs w:val="24"/>
          <w:lang w:val="lt-LT"/>
        </w:rPr>
        <w:t>, vaistininkui ar slaugytojui</w:t>
      </w:r>
      <w:r w:rsidRPr="00A04B4D">
        <w:rPr>
          <w:szCs w:val="24"/>
          <w:lang w:val="lt-LT"/>
        </w:rPr>
        <w:t xml:space="preserve">, </w:t>
      </w:r>
      <w:r w:rsidRPr="00C13641">
        <w:rPr>
          <w:szCs w:val="24"/>
          <w:lang w:val="lt-LT"/>
        </w:rPr>
        <w:t>kad jam</w:t>
      </w:r>
      <w:r w:rsidRPr="00A04B4D">
        <w:rPr>
          <w:szCs w:val="24"/>
          <w:lang w:val="lt-LT"/>
        </w:rPr>
        <w:t xml:space="preserve"> būtų lengviau nustatyti, ar Tranexamic acid Baxter Jums tinka.</w:t>
      </w:r>
    </w:p>
    <w:p w14:paraId="74F1416D" w14:textId="77777777" w:rsidR="00A04B4D" w:rsidRPr="00A04B4D" w:rsidRDefault="00A04B4D" w:rsidP="00A04B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667EADB" w14:textId="5DBDDB0F" w:rsidR="00A04B4D" w:rsidRPr="00A04B4D" w:rsidRDefault="00A04B4D" w:rsidP="00A04B4D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>J</w:t>
      </w:r>
      <w:r w:rsidRPr="00A04B4D">
        <w:rPr>
          <w:szCs w:val="24"/>
          <w:lang w:val="lt-LT"/>
        </w:rPr>
        <w:t>ūsų š</w:t>
      </w:r>
      <w:r>
        <w:rPr>
          <w:szCs w:val="24"/>
          <w:lang w:val="lt-LT"/>
        </w:rPr>
        <w:t>l</w:t>
      </w:r>
      <w:r w:rsidRPr="00A04B4D">
        <w:rPr>
          <w:szCs w:val="24"/>
          <w:lang w:val="lt-LT"/>
        </w:rPr>
        <w:t xml:space="preserve">apime yra kraujo, </w:t>
      </w:r>
      <w:r w:rsidR="000F464D">
        <w:rPr>
          <w:szCs w:val="24"/>
          <w:lang w:val="lt-LT"/>
        </w:rPr>
        <w:t>tai</w:t>
      </w:r>
      <w:r w:rsidRPr="00A04B4D">
        <w:rPr>
          <w:szCs w:val="24"/>
          <w:lang w:val="lt-LT"/>
        </w:rPr>
        <w:t xml:space="preserve"> gal</w:t>
      </w:r>
      <w:r>
        <w:rPr>
          <w:szCs w:val="24"/>
          <w:lang w:val="lt-LT"/>
        </w:rPr>
        <w:t>i</w:t>
      </w:r>
      <w:r w:rsidRPr="00A04B4D">
        <w:rPr>
          <w:szCs w:val="24"/>
          <w:lang w:val="lt-LT"/>
        </w:rPr>
        <w:t xml:space="preserve"> sukelti šlapimo takų obstrukciją.</w:t>
      </w:r>
    </w:p>
    <w:p w14:paraId="3BA9C1EE" w14:textId="77777777" w:rsidR="00A04B4D" w:rsidRPr="00A04B4D" w:rsidRDefault="00A04B4D" w:rsidP="00A04B4D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 w:rsidR="000F464D">
        <w:rPr>
          <w:szCs w:val="24"/>
          <w:lang w:val="lt-LT"/>
        </w:rPr>
        <w:t xml:space="preserve">Jums </w:t>
      </w:r>
      <w:r w:rsidRPr="00A04B4D">
        <w:rPr>
          <w:szCs w:val="24"/>
          <w:lang w:val="lt-LT"/>
        </w:rPr>
        <w:t>yra kraujo krešulių formavimosi rizika.</w:t>
      </w:r>
    </w:p>
    <w:p w14:paraId="7A81904A" w14:textId="596E3502" w:rsidR="00A04B4D" w:rsidRPr="00A04B4D" w:rsidRDefault="00A04B4D" w:rsidP="00A04B4D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>Jū</w:t>
      </w:r>
      <w:r w:rsidRPr="00A04B4D">
        <w:rPr>
          <w:szCs w:val="24"/>
          <w:lang w:val="lt-LT"/>
        </w:rPr>
        <w:t>sų organizme pasireiškia masyvus kraujo krešuli</w:t>
      </w:r>
      <w:r>
        <w:rPr>
          <w:szCs w:val="24"/>
          <w:lang w:val="lt-LT"/>
        </w:rPr>
        <w:t>ų</w:t>
      </w:r>
      <w:r w:rsidRPr="00A04B4D">
        <w:rPr>
          <w:szCs w:val="24"/>
          <w:lang w:val="lt-LT"/>
        </w:rPr>
        <w:t xml:space="preserve"> formavimasis arba kraujavimas (diseminuota intravaskulin</w:t>
      </w:r>
      <w:r>
        <w:rPr>
          <w:szCs w:val="24"/>
          <w:lang w:val="lt-LT"/>
        </w:rPr>
        <w:t>ė</w:t>
      </w:r>
      <w:r w:rsidRPr="00A04B4D">
        <w:rPr>
          <w:szCs w:val="24"/>
          <w:lang w:val="lt-LT"/>
        </w:rPr>
        <w:t xml:space="preserve"> koaguliacija), </w:t>
      </w:r>
      <w:r w:rsidR="00A4336C">
        <w:rPr>
          <w:szCs w:val="24"/>
          <w:lang w:val="lt-LT"/>
        </w:rPr>
        <w:t>šis vaistas</w:t>
      </w:r>
      <w:r w:rsidRPr="00A04B4D">
        <w:rPr>
          <w:szCs w:val="24"/>
          <w:lang w:val="lt-LT"/>
        </w:rPr>
        <w:t xml:space="preserve"> gali Jums netikti, išskyrus atvejus, jeigu pasireiškia sunkus ūminis kraujavimas ir kraujo tyrimai rodo, kad yra suaktyvė</w:t>
      </w:r>
      <w:r>
        <w:rPr>
          <w:szCs w:val="24"/>
          <w:lang w:val="lt-LT"/>
        </w:rPr>
        <w:t>jęs</w:t>
      </w:r>
      <w:r w:rsidRPr="00A04B4D">
        <w:rPr>
          <w:szCs w:val="24"/>
          <w:lang w:val="lt-LT"/>
        </w:rPr>
        <w:t xml:space="preserve"> procesas, kuris neleidžia formuotis kraujo krešuliams, vadinamas fibrinolize.</w:t>
      </w:r>
    </w:p>
    <w:p w14:paraId="57895600" w14:textId="73F46BAF" w:rsidR="00A04B4D" w:rsidRPr="00A04B4D" w:rsidRDefault="00A04B4D" w:rsidP="00A04B4D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>J</w:t>
      </w:r>
      <w:r w:rsidRPr="00A04B4D">
        <w:rPr>
          <w:szCs w:val="24"/>
          <w:lang w:val="lt-LT"/>
        </w:rPr>
        <w:t>ums kada nors buvo pasireiškę traukuliai, Tranexamic acid Baxter vartoti negal</w:t>
      </w:r>
      <w:r>
        <w:rPr>
          <w:szCs w:val="24"/>
          <w:lang w:val="lt-LT"/>
        </w:rPr>
        <w:t>i</w:t>
      </w:r>
      <w:r w:rsidRPr="00A04B4D">
        <w:rPr>
          <w:szCs w:val="24"/>
          <w:lang w:val="lt-LT"/>
        </w:rPr>
        <w:t xml:space="preserve">ma. Gydytojas turi skirti </w:t>
      </w:r>
      <w:r w:rsidR="00A4336C">
        <w:rPr>
          <w:szCs w:val="24"/>
          <w:lang w:val="lt-LT"/>
        </w:rPr>
        <w:t xml:space="preserve">kuo </w:t>
      </w:r>
      <w:r w:rsidRPr="00A04B4D">
        <w:rPr>
          <w:szCs w:val="24"/>
          <w:lang w:val="lt-LT"/>
        </w:rPr>
        <w:t>maž</w:t>
      </w:r>
      <w:r w:rsidR="00A4336C">
        <w:rPr>
          <w:szCs w:val="24"/>
          <w:lang w:val="lt-LT"/>
        </w:rPr>
        <w:t>esnę</w:t>
      </w:r>
      <w:r w:rsidRPr="00A04B4D">
        <w:rPr>
          <w:szCs w:val="24"/>
          <w:lang w:val="lt-LT"/>
        </w:rPr>
        <w:t xml:space="preserve"> dozę, kad po gydymo Tranexamic acid Baxter būtų išvengta traukulių.</w:t>
      </w:r>
    </w:p>
    <w:p w14:paraId="4AB5263A" w14:textId="7CF37A98" w:rsidR="003023BA" w:rsidRPr="00A04B4D" w:rsidRDefault="00A04B4D" w:rsidP="005D7239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 w:rsidR="00A4336C">
        <w:rPr>
          <w:szCs w:val="24"/>
          <w:lang w:val="lt-LT"/>
        </w:rPr>
        <w:t xml:space="preserve">Jūs </w:t>
      </w:r>
      <w:r w:rsidRPr="00A04B4D">
        <w:rPr>
          <w:szCs w:val="24"/>
          <w:lang w:val="lt-LT"/>
        </w:rPr>
        <w:t xml:space="preserve">ilgą laiką gydotės </w:t>
      </w:r>
      <w:r w:rsidR="00A4336C">
        <w:rPr>
          <w:szCs w:val="24"/>
          <w:lang w:val="lt-LT"/>
        </w:rPr>
        <w:t>šiuo vaistu</w:t>
      </w:r>
      <w:r w:rsidRPr="00A04B4D">
        <w:rPr>
          <w:szCs w:val="24"/>
          <w:lang w:val="lt-LT"/>
        </w:rPr>
        <w:t xml:space="preserve">, reikia atkreipti dėmesį </w:t>
      </w:r>
      <w:r w:rsidR="00C47281">
        <w:rPr>
          <w:szCs w:val="24"/>
          <w:lang w:val="lt-LT"/>
        </w:rPr>
        <w:t xml:space="preserve">į </w:t>
      </w:r>
      <w:r w:rsidRPr="00A04B4D">
        <w:rPr>
          <w:szCs w:val="24"/>
          <w:lang w:val="lt-LT"/>
        </w:rPr>
        <w:t xml:space="preserve">galimus spalvoto matymo sutrikimus ir, </w:t>
      </w:r>
      <w:r w:rsidR="00A4336C">
        <w:rPr>
          <w:szCs w:val="24"/>
          <w:lang w:val="lt-LT"/>
        </w:rPr>
        <w:t>prireikus</w:t>
      </w:r>
      <w:r w:rsidRPr="00A04B4D">
        <w:rPr>
          <w:szCs w:val="24"/>
          <w:lang w:val="lt-LT"/>
        </w:rPr>
        <w:t>, gydymą reikia nutraukti</w:t>
      </w:r>
      <w:r>
        <w:rPr>
          <w:szCs w:val="24"/>
          <w:lang w:val="lt-LT"/>
        </w:rPr>
        <w:t>. Il</w:t>
      </w:r>
      <w:r w:rsidRPr="00A04B4D">
        <w:rPr>
          <w:szCs w:val="24"/>
          <w:lang w:val="lt-LT"/>
        </w:rPr>
        <w:t>gą laiką vartoja</w:t>
      </w:r>
      <w:r>
        <w:rPr>
          <w:szCs w:val="24"/>
          <w:lang w:val="lt-LT"/>
        </w:rPr>
        <w:t>nt</w:t>
      </w:r>
      <w:r w:rsidRPr="00A04B4D">
        <w:rPr>
          <w:szCs w:val="24"/>
          <w:lang w:val="lt-LT"/>
        </w:rPr>
        <w:t xml:space="preserve"> </w:t>
      </w:r>
      <w:r w:rsidR="00A4336C">
        <w:rPr>
          <w:szCs w:val="24"/>
          <w:lang w:val="lt-LT"/>
        </w:rPr>
        <w:t>šį vaistą</w:t>
      </w:r>
      <w:r w:rsidRPr="00A04B4D">
        <w:rPr>
          <w:szCs w:val="24"/>
          <w:lang w:val="lt-LT"/>
        </w:rPr>
        <w:t>, būtina reguliari oftalmolog</w:t>
      </w:r>
      <w:r w:rsidR="00A4336C">
        <w:rPr>
          <w:szCs w:val="24"/>
          <w:lang w:val="lt-LT"/>
        </w:rPr>
        <w:t>o</w:t>
      </w:r>
      <w:r w:rsidRPr="00A04B4D">
        <w:rPr>
          <w:szCs w:val="24"/>
          <w:lang w:val="lt-LT"/>
        </w:rPr>
        <w:t xml:space="preserve"> patikra (aki</w:t>
      </w:r>
      <w:r>
        <w:rPr>
          <w:szCs w:val="24"/>
          <w:lang w:val="lt-LT"/>
        </w:rPr>
        <w:t>ų</w:t>
      </w:r>
      <w:r w:rsidRPr="00A04B4D">
        <w:rPr>
          <w:szCs w:val="24"/>
          <w:lang w:val="lt-LT"/>
        </w:rPr>
        <w:t xml:space="preserve"> tyrimai, </w:t>
      </w:r>
      <w:r>
        <w:rPr>
          <w:szCs w:val="24"/>
          <w:lang w:val="lt-LT"/>
        </w:rPr>
        <w:t>į</w:t>
      </w:r>
      <w:r w:rsidRPr="00A04B4D">
        <w:rPr>
          <w:szCs w:val="24"/>
          <w:lang w:val="lt-LT"/>
        </w:rPr>
        <w:t>skaitant reg</w:t>
      </w:r>
      <w:r>
        <w:rPr>
          <w:szCs w:val="24"/>
          <w:lang w:val="lt-LT"/>
        </w:rPr>
        <w:t>ė</w:t>
      </w:r>
      <w:r w:rsidRPr="00A04B4D">
        <w:rPr>
          <w:szCs w:val="24"/>
          <w:lang w:val="lt-LT"/>
        </w:rPr>
        <w:t>jimo aštrumo, spalvoto matymo, akių dugno, reg</w:t>
      </w:r>
      <w:r>
        <w:rPr>
          <w:szCs w:val="24"/>
          <w:lang w:val="lt-LT"/>
        </w:rPr>
        <w:t>ė</w:t>
      </w:r>
      <w:r w:rsidRPr="00A04B4D">
        <w:rPr>
          <w:szCs w:val="24"/>
          <w:lang w:val="lt-LT"/>
        </w:rPr>
        <w:t>jimo lauko ir kt. tyrimus). Pastebėjus patologinių pokyčių, ypač tinklain</w:t>
      </w:r>
      <w:r w:rsidR="00C47281">
        <w:rPr>
          <w:szCs w:val="24"/>
          <w:lang w:val="lt-LT"/>
        </w:rPr>
        <w:t>ė</w:t>
      </w:r>
      <w:r w:rsidRPr="00A04B4D">
        <w:rPr>
          <w:szCs w:val="24"/>
          <w:lang w:val="lt-LT"/>
        </w:rPr>
        <w:t>s ligas, Jūsų gydytojas po konsultacijos su specialistu tur</w:t>
      </w:r>
      <w:r>
        <w:rPr>
          <w:szCs w:val="24"/>
          <w:lang w:val="lt-LT"/>
        </w:rPr>
        <w:t>ė</w:t>
      </w:r>
      <w:r w:rsidRPr="00A04B4D">
        <w:rPr>
          <w:szCs w:val="24"/>
          <w:lang w:val="lt-LT"/>
        </w:rPr>
        <w:t>s nuspręsti, ar Jūs</w:t>
      </w:r>
      <w:r>
        <w:rPr>
          <w:szCs w:val="24"/>
          <w:lang w:val="lt-LT"/>
        </w:rPr>
        <w:t>ų</w:t>
      </w:r>
      <w:r w:rsidRPr="00A04B4D">
        <w:rPr>
          <w:szCs w:val="24"/>
          <w:lang w:val="lt-LT"/>
        </w:rPr>
        <w:t xml:space="preserve"> atveju bū</w:t>
      </w:r>
      <w:r>
        <w:rPr>
          <w:szCs w:val="24"/>
          <w:lang w:val="lt-LT"/>
        </w:rPr>
        <w:t>t</w:t>
      </w:r>
      <w:r w:rsidRPr="00A04B4D">
        <w:rPr>
          <w:szCs w:val="24"/>
          <w:lang w:val="lt-LT"/>
        </w:rPr>
        <w:t>inas ilgalaikis gydymas Tranexamic acid Baxter</w:t>
      </w:r>
      <w:r>
        <w:rPr>
          <w:szCs w:val="24"/>
          <w:lang w:val="lt-LT"/>
        </w:rPr>
        <w:t>.</w:t>
      </w:r>
    </w:p>
    <w:p w14:paraId="22884BF3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lt-LT"/>
        </w:rPr>
      </w:pPr>
    </w:p>
    <w:p w14:paraId="61D66AB0" w14:textId="77777777" w:rsidR="00F34163" w:rsidRPr="00B2511A" w:rsidRDefault="00F34163" w:rsidP="00C25270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 xml:space="preserve">Kiti vaistai ir </w:t>
      </w:r>
      <w:r w:rsidR="004E1BC6">
        <w:rPr>
          <w:b/>
          <w:bCs/>
          <w:snapToGrid/>
          <w:szCs w:val="22"/>
          <w:lang w:val="lt-LT"/>
        </w:rPr>
        <w:t>Tranexamic acid Baxter</w:t>
      </w:r>
    </w:p>
    <w:p w14:paraId="79C7D1BA" w14:textId="77777777" w:rsidR="00E2591E" w:rsidRPr="00B2511A" w:rsidRDefault="00E2591E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Jeigu vartojate ar neseniai vartojote kitų vaistų arba dėl to nesate tikri, apie tai pasakykite gydytojui</w:t>
      </w:r>
      <w:r w:rsidR="00A4336C">
        <w:rPr>
          <w:szCs w:val="24"/>
          <w:lang w:val="lt-LT"/>
        </w:rPr>
        <w:t>, slaugytojui</w:t>
      </w:r>
      <w:r w:rsidRPr="00B2511A">
        <w:rPr>
          <w:szCs w:val="24"/>
          <w:lang w:val="lt-LT"/>
        </w:rPr>
        <w:t xml:space="preserve"> arba vaistininkui.</w:t>
      </w:r>
    </w:p>
    <w:p w14:paraId="01C5CD14" w14:textId="77777777" w:rsidR="00D45105" w:rsidRPr="00D45105" w:rsidRDefault="00D45105" w:rsidP="00D451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D45105">
        <w:rPr>
          <w:szCs w:val="24"/>
          <w:lang w:val="lt-LT"/>
        </w:rPr>
        <w:t>Labai svarbu pasakyti gydytojui, jeigu vartojate</w:t>
      </w:r>
      <w:r w:rsidR="005322DC">
        <w:rPr>
          <w:szCs w:val="24"/>
          <w:lang w:val="lt-LT"/>
        </w:rPr>
        <w:t>:</w:t>
      </w:r>
    </w:p>
    <w:p w14:paraId="1C591929" w14:textId="77777777" w:rsidR="00D45105" w:rsidRPr="00D45105" w:rsidRDefault="00D45105" w:rsidP="005322DC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D45105">
        <w:rPr>
          <w:szCs w:val="24"/>
          <w:lang w:val="lt-LT"/>
        </w:rPr>
        <w:t>kit</w:t>
      </w:r>
      <w:r w:rsidR="005322DC">
        <w:rPr>
          <w:szCs w:val="24"/>
          <w:lang w:val="lt-LT"/>
        </w:rPr>
        <w:t>ų</w:t>
      </w:r>
      <w:r w:rsidRPr="00D45105">
        <w:rPr>
          <w:szCs w:val="24"/>
          <w:lang w:val="lt-LT"/>
        </w:rPr>
        <w:t xml:space="preserve"> vaist</w:t>
      </w:r>
      <w:r w:rsidR="005322DC">
        <w:rPr>
          <w:szCs w:val="24"/>
          <w:lang w:val="lt-LT"/>
        </w:rPr>
        <w:t>ų</w:t>
      </w:r>
      <w:r w:rsidRPr="00D45105">
        <w:rPr>
          <w:szCs w:val="24"/>
          <w:lang w:val="lt-LT"/>
        </w:rPr>
        <w:t xml:space="preserve">, kurie padeda </w:t>
      </w:r>
      <w:r w:rsidR="005322DC" w:rsidRPr="00D45105">
        <w:rPr>
          <w:szCs w:val="24"/>
          <w:lang w:val="lt-LT"/>
        </w:rPr>
        <w:t>krešėti</w:t>
      </w:r>
      <w:r w:rsidRPr="00D45105">
        <w:rPr>
          <w:szCs w:val="24"/>
          <w:lang w:val="lt-LT"/>
        </w:rPr>
        <w:t xml:space="preserve"> krauju</w:t>
      </w:r>
      <w:r w:rsidR="005322DC">
        <w:rPr>
          <w:szCs w:val="24"/>
          <w:lang w:val="lt-LT"/>
        </w:rPr>
        <w:t>i</w:t>
      </w:r>
      <w:r w:rsidRPr="00D45105">
        <w:rPr>
          <w:szCs w:val="24"/>
          <w:lang w:val="lt-LT"/>
        </w:rPr>
        <w:t>, vadinamų antifibrinoliziniais va</w:t>
      </w:r>
      <w:r w:rsidR="005322DC">
        <w:rPr>
          <w:szCs w:val="24"/>
          <w:lang w:val="lt-LT"/>
        </w:rPr>
        <w:t>i</w:t>
      </w:r>
      <w:r w:rsidRPr="00D45105">
        <w:rPr>
          <w:szCs w:val="24"/>
          <w:lang w:val="lt-LT"/>
        </w:rPr>
        <w:t>stais;</w:t>
      </w:r>
    </w:p>
    <w:p w14:paraId="212709C6" w14:textId="77777777" w:rsidR="005322DC" w:rsidRDefault="00D45105" w:rsidP="005322DC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D45105">
        <w:rPr>
          <w:szCs w:val="24"/>
          <w:lang w:val="lt-LT"/>
        </w:rPr>
        <w:t>va</w:t>
      </w:r>
      <w:r w:rsidR="005322DC">
        <w:rPr>
          <w:szCs w:val="24"/>
          <w:lang w:val="lt-LT"/>
        </w:rPr>
        <w:t>i</w:t>
      </w:r>
      <w:r w:rsidRPr="00D45105">
        <w:rPr>
          <w:szCs w:val="24"/>
          <w:lang w:val="lt-LT"/>
        </w:rPr>
        <w:t>stų, kurie neleidžia formuotis kraujo krešuliams, vadinamų trombolizinia</w:t>
      </w:r>
      <w:r w:rsidR="005322DC">
        <w:rPr>
          <w:szCs w:val="24"/>
          <w:lang w:val="lt-LT"/>
        </w:rPr>
        <w:t>i</w:t>
      </w:r>
      <w:r w:rsidRPr="00D45105">
        <w:rPr>
          <w:szCs w:val="24"/>
          <w:lang w:val="lt-LT"/>
        </w:rPr>
        <w:t>s vaistais;</w:t>
      </w:r>
    </w:p>
    <w:p w14:paraId="71AEAD2B" w14:textId="77777777" w:rsidR="00F34163" w:rsidRPr="00B2511A" w:rsidRDefault="00D45105" w:rsidP="005322DC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D45105">
        <w:rPr>
          <w:szCs w:val="24"/>
          <w:lang w:val="lt-LT"/>
        </w:rPr>
        <w:t>geriamųjų kontraceptikų</w:t>
      </w:r>
      <w:r w:rsidR="005322DC">
        <w:rPr>
          <w:szCs w:val="24"/>
          <w:lang w:val="lt-LT"/>
        </w:rPr>
        <w:t>.</w:t>
      </w:r>
    </w:p>
    <w:p w14:paraId="55364C52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F1ACFD1" w14:textId="77777777" w:rsidR="00D45105" w:rsidRPr="00D45105" w:rsidRDefault="00D45105" w:rsidP="00D451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napToGrid/>
          <w:szCs w:val="22"/>
          <w:lang w:val="lt-LT" w:eastAsia="lt-LT"/>
        </w:rPr>
      </w:pPr>
      <w:r w:rsidRPr="00D45105">
        <w:rPr>
          <w:b/>
          <w:snapToGrid/>
          <w:lang w:val="lt-LT" w:eastAsia="lt-LT"/>
        </w:rPr>
        <w:t>Nėštumas</w:t>
      </w:r>
      <w:r>
        <w:rPr>
          <w:b/>
          <w:snapToGrid/>
          <w:lang w:val="lt-LT" w:eastAsia="lt-LT"/>
        </w:rPr>
        <w:t xml:space="preserve">, </w:t>
      </w:r>
      <w:r w:rsidRPr="00D45105">
        <w:rPr>
          <w:b/>
          <w:snapToGrid/>
          <w:lang w:val="lt-LT" w:eastAsia="lt-LT"/>
        </w:rPr>
        <w:t>žindymo laikotarpis ir vaisingumas</w:t>
      </w:r>
    </w:p>
    <w:p w14:paraId="62A33939" w14:textId="77777777" w:rsidR="00247638" w:rsidRPr="00B2511A" w:rsidRDefault="00217520" w:rsidP="00C2527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17520">
        <w:rPr>
          <w:szCs w:val="24"/>
          <w:lang w:val="lt-LT"/>
        </w:rPr>
        <w:t>Jeigu esate nėščia, žindote kūdikį, manote, kad galbūt esate nėščia arba planuojate pastoti, tai prieš vartodama šį vaistą pasitarkite su gydytoju</w:t>
      </w:r>
      <w:r>
        <w:rPr>
          <w:szCs w:val="24"/>
          <w:lang w:val="lt-LT"/>
        </w:rPr>
        <w:t xml:space="preserve"> </w:t>
      </w:r>
      <w:r w:rsidRPr="00217520">
        <w:rPr>
          <w:szCs w:val="24"/>
          <w:lang w:val="lt-LT"/>
        </w:rPr>
        <w:t>arba</w:t>
      </w:r>
      <w:r>
        <w:rPr>
          <w:szCs w:val="24"/>
          <w:lang w:val="lt-LT"/>
        </w:rPr>
        <w:t xml:space="preserve"> </w:t>
      </w:r>
      <w:r w:rsidRPr="00217520">
        <w:rPr>
          <w:szCs w:val="24"/>
          <w:lang w:val="lt-LT"/>
        </w:rPr>
        <w:t>vaistininku</w:t>
      </w:r>
      <w:r w:rsidR="00247638" w:rsidRPr="00B2511A">
        <w:rPr>
          <w:szCs w:val="24"/>
          <w:lang w:val="lt-LT"/>
        </w:rPr>
        <w:t>.</w:t>
      </w:r>
    </w:p>
    <w:p w14:paraId="2AD737AB" w14:textId="77777777" w:rsidR="00217520" w:rsidRDefault="00217520" w:rsidP="00C2527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17520">
        <w:rPr>
          <w:szCs w:val="24"/>
          <w:lang w:val="lt-LT"/>
        </w:rPr>
        <w:t>Traneksamo rūgštis išsiskiria į motinos pieną.</w:t>
      </w:r>
    </w:p>
    <w:p w14:paraId="1D7F6D8B" w14:textId="77777777" w:rsidR="00F34163" w:rsidRPr="00B2511A" w:rsidRDefault="00217520" w:rsidP="00C2527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17520">
        <w:rPr>
          <w:szCs w:val="24"/>
          <w:lang w:val="lt-LT"/>
        </w:rPr>
        <w:t>Tod</w:t>
      </w:r>
      <w:r>
        <w:rPr>
          <w:szCs w:val="24"/>
          <w:lang w:val="lt-LT"/>
        </w:rPr>
        <w:t>ė</w:t>
      </w:r>
      <w:r w:rsidRPr="00217520">
        <w:rPr>
          <w:szCs w:val="24"/>
          <w:lang w:val="lt-LT"/>
        </w:rPr>
        <w:t>l Tranexamic acid Baxter nerekomenduojama vartoti žindymo metu</w:t>
      </w:r>
      <w:r w:rsidR="00247638" w:rsidRPr="00B2511A">
        <w:rPr>
          <w:szCs w:val="24"/>
          <w:lang w:val="lt-LT"/>
        </w:rPr>
        <w:t>.</w:t>
      </w:r>
    </w:p>
    <w:p w14:paraId="3C9A3FD8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4900CDA" w14:textId="77777777" w:rsidR="00F34163" w:rsidRPr="00B2511A" w:rsidRDefault="00F34163" w:rsidP="00C25270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Vairavimas ir mechanizmų valdymas</w:t>
      </w:r>
    </w:p>
    <w:p w14:paraId="2549B055" w14:textId="77777777" w:rsidR="00247638" w:rsidRPr="00B2511A" w:rsidRDefault="00B844F2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844F2">
        <w:rPr>
          <w:szCs w:val="24"/>
          <w:lang w:val="lt-LT"/>
        </w:rPr>
        <w:t>Poveikio gebėjimui vairuoti ir vaidyti mechanizmus tyrimų neatlikta</w:t>
      </w:r>
      <w:r w:rsidR="00247638" w:rsidRPr="00B2511A">
        <w:rPr>
          <w:szCs w:val="24"/>
          <w:lang w:val="lt-LT"/>
        </w:rPr>
        <w:t>.</w:t>
      </w:r>
    </w:p>
    <w:p w14:paraId="16FE7C02" w14:textId="77777777" w:rsidR="00A65C73" w:rsidRPr="00B2511A" w:rsidRDefault="00A65C7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BE80502" w14:textId="77777777" w:rsidR="00247638" w:rsidRPr="00B2511A" w:rsidRDefault="00247638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F1504FA" w14:textId="77777777" w:rsidR="00F34163" w:rsidRPr="00B2511A" w:rsidRDefault="00F34163" w:rsidP="00C25270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3.</w:t>
      </w:r>
      <w:r w:rsidRPr="00B2511A">
        <w:rPr>
          <w:b/>
          <w:snapToGrid/>
          <w:szCs w:val="22"/>
          <w:lang w:val="lt-LT"/>
        </w:rPr>
        <w:tab/>
        <w:t xml:space="preserve">Kaip vartoti </w:t>
      </w:r>
      <w:r w:rsidR="004E1BC6">
        <w:rPr>
          <w:b/>
          <w:snapToGrid/>
          <w:szCs w:val="22"/>
          <w:lang w:val="lt-LT"/>
        </w:rPr>
        <w:t>Tranexamic acid Baxter</w:t>
      </w:r>
    </w:p>
    <w:p w14:paraId="746CD032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D7C0527" w14:textId="23B311B5" w:rsidR="00882B2F" w:rsidRP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 xml:space="preserve">Tranexamic acid Baxter injekcinis </w:t>
      </w:r>
      <w:r>
        <w:rPr>
          <w:szCs w:val="24"/>
          <w:lang w:val="lt-LT"/>
        </w:rPr>
        <w:t xml:space="preserve">ar infuzinis </w:t>
      </w:r>
      <w:r w:rsidRPr="00882B2F">
        <w:rPr>
          <w:szCs w:val="24"/>
          <w:lang w:val="lt-LT"/>
        </w:rPr>
        <w:t xml:space="preserve">tirpalas turi būti </w:t>
      </w:r>
      <w:r>
        <w:rPr>
          <w:szCs w:val="24"/>
          <w:lang w:val="lt-LT"/>
        </w:rPr>
        <w:t>lė</w:t>
      </w:r>
      <w:r w:rsidRPr="00882B2F">
        <w:rPr>
          <w:szCs w:val="24"/>
          <w:lang w:val="lt-LT"/>
        </w:rPr>
        <w:t>tai suleistas</w:t>
      </w:r>
      <w:r>
        <w:rPr>
          <w:szCs w:val="24"/>
          <w:lang w:val="lt-LT"/>
        </w:rPr>
        <w:t xml:space="preserve"> ar </w:t>
      </w:r>
      <w:r w:rsidR="004F33F6">
        <w:rPr>
          <w:szCs w:val="24"/>
          <w:lang w:val="lt-LT"/>
        </w:rPr>
        <w:t>sulašintas</w:t>
      </w:r>
      <w:r>
        <w:rPr>
          <w:szCs w:val="24"/>
          <w:lang w:val="lt-LT"/>
        </w:rPr>
        <w:t xml:space="preserve"> į</w:t>
      </w:r>
      <w:r w:rsidRPr="00882B2F">
        <w:rPr>
          <w:szCs w:val="24"/>
          <w:lang w:val="lt-LT"/>
        </w:rPr>
        <w:t xml:space="preserve"> veną.</w:t>
      </w:r>
    </w:p>
    <w:p w14:paraId="69DE6DBA" w14:textId="77777777" w:rsidR="00882B2F" w:rsidRP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J</w:t>
      </w:r>
      <w:r w:rsidRPr="00882B2F">
        <w:rPr>
          <w:szCs w:val="24"/>
          <w:lang w:val="lt-LT"/>
        </w:rPr>
        <w:t>ums tinkamą dozę ir gydymo trukmę nustatys gydytojas.</w:t>
      </w:r>
    </w:p>
    <w:p w14:paraId="15245A21" w14:textId="77777777" w:rsid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EA26A7F" w14:textId="77777777" w:rsidR="00882B2F" w:rsidRP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Vartojimas vaikams</w:t>
      </w:r>
    </w:p>
    <w:p w14:paraId="27DC610E" w14:textId="77777777" w:rsid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J</w:t>
      </w:r>
      <w:r w:rsidRPr="00882B2F">
        <w:rPr>
          <w:szCs w:val="24"/>
          <w:lang w:val="lt-LT"/>
        </w:rPr>
        <w:t xml:space="preserve">eigu Tranexamic acid Baxter injekcinis tirpalas skiriamas vienerių metų </w:t>
      </w:r>
      <w:r>
        <w:rPr>
          <w:szCs w:val="24"/>
          <w:lang w:val="lt-LT"/>
        </w:rPr>
        <w:t>ir vyresniam vaikui</w:t>
      </w:r>
      <w:r w:rsidRPr="00882B2F">
        <w:rPr>
          <w:szCs w:val="24"/>
          <w:lang w:val="lt-LT"/>
        </w:rPr>
        <w:t>, doz</w:t>
      </w:r>
      <w:r>
        <w:rPr>
          <w:szCs w:val="24"/>
          <w:lang w:val="lt-LT"/>
        </w:rPr>
        <w:t>ė</w:t>
      </w:r>
      <w:r w:rsidRPr="00882B2F">
        <w:rPr>
          <w:szCs w:val="24"/>
          <w:lang w:val="lt-LT"/>
        </w:rPr>
        <w:t xml:space="preserve"> apskaičiuojama pagal vaiko kūno mas</w:t>
      </w:r>
      <w:r>
        <w:rPr>
          <w:szCs w:val="24"/>
          <w:lang w:val="lt-LT"/>
        </w:rPr>
        <w:t>ę</w:t>
      </w:r>
      <w:r w:rsidRPr="00882B2F">
        <w:rPr>
          <w:szCs w:val="24"/>
          <w:lang w:val="lt-LT"/>
        </w:rPr>
        <w:t>.</w:t>
      </w:r>
    </w:p>
    <w:p w14:paraId="4C842489" w14:textId="77777777" w:rsidR="00882B2F" w:rsidRP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>Vaikui tinkamą dozę ir gydymo trukmę nustatys Jūsų gydytojas.</w:t>
      </w:r>
    </w:p>
    <w:p w14:paraId="047A7C6E" w14:textId="77777777" w:rsid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A044793" w14:textId="77777777" w:rsidR="00882B2F" w:rsidRP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Vartojimas senyviems pacientams</w:t>
      </w:r>
    </w:p>
    <w:p w14:paraId="413AB469" w14:textId="24D8D5D4" w:rsidR="00882B2F" w:rsidRP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>Doz</w:t>
      </w:r>
      <w:r>
        <w:rPr>
          <w:szCs w:val="24"/>
          <w:lang w:val="lt-LT"/>
        </w:rPr>
        <w:t>ė</w:t>
      </w:r>
      <w:r w:rsidRPr="00882B2F">
        <w:rPr>
          <w:szCs w:val="24"/>
          <w:lang w:val="lt-LT"/>
        </w:rPr>
        <w:t xml:space="preserve">s mažinti </w:t>
      </w:r>
      <w:r w:rsidR="004F33F6">
        <w:rPr>
          <w:szCs w:val="24"/>
          <w:lang w:val="lt-LT"/>
        </w:rPr>
        <w:t>nereikia</w:t>
      </w:r>
      <w:r w:rsidRPr="00882B2F">
        <w:rPr>
          <w:szCs w:val="24"/>
          <w:lang w:val="lt-LT"/>
        </w:rPr>
        <w:t>, išskyrus atvejus, kai yra inkstų nepakankamumas.</w:t>
      </w:r>
    </w:p>
    <w:p w14:paraId="0427EA1A" w14:textId="77777777" w:rsid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A4CA5A4" w14:textId="77777777" w:rsidR="00882B2F" w:rsidRP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Vartojimas pacientams, kuriems yra inkstų funkcijos sutrikimas</w:t>
      </w:r>
    </w:p>
    <w:p w14:paraId="397B2EEA" w14:textId="77777777" w:rsidR="00882B2F" w:rsidRP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 xml:space="preserve">Jeigu </w:t>
      </w:r>
      <w:r w:rsidR="004F33F6">
        <w:rPr>
          <w:szCs w:val="24"/>
          <w:lang w:val="lt-LT"/>
        </w:rPr>
        <w:t xml:space="preserve">Jums </w:t>
      </w:r>
      <w:r w:rsidRPr="00882B2F">
        <w:rPr>
          <w:szCs w:val="24"/>
          <w:lang w:val="lt-LT"/>
        </w:rPr>
        <w:t xml:space="preserve">yra inkstų funkcijos sutrikimas, traneksamo </w:t>
      </w:r>
      <w:r>
        <w:rPr>
          <w:szCs w:val="24"/>
          <w:lang w:val="lt-LT"/>
        </w:rPr>
        <w:t xml:space="preserve">rūgšties </w:t>
      </w:r>
      <w:r w:rsidRPr="00882B2F">
        <w:rPr>
          <w:szCs w:val="24"/>
          <w:lang w:val="lt-LT"/>
        </w:rPr>
        <w:t>doz</w:t>
      </w:r>
      <w:r>
        <w:rPr>
          <w:szCs w:val="24"/>
          <w:lang w:val="lt-LT"/>
        </w:rPr>
        <w:t>ė</w:t>
      </w:r>
      <w:r w:rsidRPr="00882B2F">
        <w:rPr>
          <w:szCs w:val="24"/>
          <w:lang w:val="lt-LT"/>
        </w:rPr>
        <w:t xml:space="preserve"> bus sumažinta, atsižvelgiant </w:t>
      </w:r>
      <w:r w:rsidR="00347BA2">
        <w:rPr>
          <w:szCs w:val="24"/>
          <w:lang w:val="lt-LT"/>
        </w:rPr>
        <w:t xml:space="preserve">į </w:t>
      </w:r>
      <w:r w:rsidRPr="00882B2F">
        <w:rPr>
          <w:szCs w:val="24"/>
          <w:lang w:val="lt-LT"/>
        </w:rPr>
        <w:t>atliktų kraujo tyrimų duomenis (kreatinino koncentraciją serume).</w:t>
      </w:r>
    </w:p>
    <w:p w14:paraId="45C39289" w14:textId="77777777" w:rsid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AD96F34" w14:textId="77777777" w:rsidR="00882B2F" w:rsidRP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Vartojimas pacientams, kuriems yra kepenų funkcijos sutrikimas</w:t>
      </w:r>
    </w:p>
    <w:p w14:paraId="028C0B24" w14:textId="2D8FDCDD" w:rsidR="00882B2F" w:rsidRP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>Doz</w:t>
      </w:r>
      <w:r w:rsidR="00347BA2">
        <w:rPr>
          <w:szCs w:val="24"/>
          <w:lang w:val="lt-LT"/>
        </w:rPr>
        <w:t>ė</w:t>
      </w:r>
      <w:r w:rsidRPr="00882B2F">
        <w:rPr>
          <w:szCs w:val="24"/>
          <w:lang w:val="lt-LT"/>
        </w:rPr>
        <w:t>s ke</w:t>
      </w:r>
      <w:r>
        <w:rPr>
          <w:szCs w:val="24"/>
          <w:lang w:val="lt-LT"/>
        </w:rPr>
        <w:t>i</w:t>
      </w:r>
      <w:r w:rsidRPr="00882B2F">
        <w:rPr>
          <w:szCs w:val="24"/>
          <w:lang w:val="lt-LT"/>
        </w:rPr>
        <w:t xml:space="preserve">sti </w:t>
      </w:r>
      <w:r w:rsidR="004F33F6">
        <w:rPr>
          <w:szCs w:val="24"/>
          <w:lang w:val="lt-LT"/>
        </w:rPr>
        <w:t>nereikia</w:t>
      </w:r>
      <w:r w:rsidRPr="00882B2F">
        <w:rPr>
          <w:szCs w:val="24"/>
          <w:lang w:val="lt-LT"/>
        </w:rPr>
        <w:t>.</w:t>
      </w:r>
    </w:p>
    <w:p w14:paraId="51941142" w14:textId="77777777" w:rsid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866FF20" w14:textId="77777777" w:rsidR="00882B2F" w:rsidRPr="00882B2F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Vartojimo metodas</w:t>
      </w:r>
    </w:p>
    <w:p w14:paraId="6256398D" w14:textId="5B2B0430" w:rsidR="00F34163" w:rsidRPr="00B2511A" w:rsidRDefault="00882B2F" w:rsidP="00882B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 xml:space="preserve">Tranexamic acid Baxter turi būti </w:t>
      </w:r>
      <w:r>
        <w:rPr>
          <w:szCs w:val="24"/>
          <w:lang w:val="lt-LT"/>
        </w:rPr>
        <w:t>lėtai</w:t>
      </w:r>
      <w:r w:rsidRPr="00882B2F">
        <w:rPr>
          <w:szCs w:val="24"/>
          <w:lang w:val="lt-LT"/>
        </w:rPr>
        <w:t xml:space="preserve"> suleistas </w:t>
      </w:r>
      <w:r w:rsidR="00240FEE">
        <w:rPr>
          <w:szCs w:val="24"/>
          <w:lang w:val="lt-LT"/>
        </w:rPr>
        <w:t xml:space="preserve">į </w:t>
      </w:r>
      <w:r w:rsidRPr="00882B2F">
        <w:rPr>
          <w:szCs w:val="24"/>
          <w:lang w:val="lt-LT"/>
        </w:rPr>
        <w:t xml:space="preserve">veną. Tranexamic acid Baxter negalima </w:t>
      </w:r>
      <w:r w:rsidR="004F33F6">
        <w:rPr>
          <w:szCs w:val="24"/>
          <w:lang w:val="lt-LT"/>
        </w:rPr>
        <w:t>švirkšti į</w:t>
      </w:r>
      <w:r w:rsidRPr="00882B2F">
        <w:rPr>
          <w:szCs w:val="24"/>
          <w:lang w:val="lt-LT"/>
        </w:rPr>
        <w:t xml:space="preserve"> raumenis</w:t>
      </w:r>
      <w:r w:rsidR="00B54708" w:rsidRPr="00B2511A">
        <w:rPr>
          <w:szCs w:val="28"/>
          <w:lang w:val="lt-LT" w:eastAsia="x-none"/>
        </w:rPr>
        <w:t>.</w:t>
      </w:r>
    </w:p>
    <w:p w14:paraId="20EAC8A4" w14:textId="77777777" w:rsidR="00447DE7" w:rsidRPr="00B2511A" w:rsidRDefault="00447DE7" w:rsidP="00C2527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A1FFD10" w14:textId="77777777" w:rsidR="006E7841" w:rsidRPr="006E7841" w:rsidRDefault="006E7841" w:rsidP="006E784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6E7841">
        <w:rPr>
          <w:b/>
          <w:bCs/>
          <w:szCs w:val="24"/>
          <w:lang w:val="lt-LT"/>
        </w:rPr>
        <w:t>Ką daryti pavartojus per didelę Tranexamic acid Baxter dozę?</w:t>
      </w:r>
    </w:p>
    <w:p w14:paraId="683C4592" w14:textId="77777777" w:rsidR="00330D59" w:rsidRDefault="006E7841" w:rsidP="006E78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6E7841">
        <w:rPr>
          <w:szCs w:val="24"/>
          <w:lang w:val="lt-LT"/>
        </w:rPr>
        <w:t>Jeigu Jums būtų suleista didesn</w:t>
      </w:r>
      <w:r w:rsidR="00240FEE">
        <w:rPr>
          <w:szCs w:val="24"/>
          <w:lang w:val="lt-LT"/>
        </w:rPr>
        <w:t>ė</w:t>
      </w:r>
      <w:r w:rsidRPr="006E7841">
        <w:rPr>
          <w:szCs w:val="24"/>
          <w:lang w:val="lt-LT"/>
        </w:rPr>
        <w:t xml:space="preserve"> už rekomenduojamą Tranexamic acid Baxter doz</w:t>
      </w:r>
      <w:r>
        <w:rPr>
          <w:szCs w:val="24"/>
          <w:lang w:val="lt-LT"/>
        </w:rPr>
        <w:t>ė</w:t>
      </w:r>
      <w:r w:rsidRPr="006E7841">
        <w:rPr>
          <w:szCs w:val="24"/>
          <w:lang w:val="lt-LT"/>
        </w:rPr>
        <w:t>, gali laikinai sumažėti kraujospūdis. Apie tai nedelsdami praneškite gydytojui arba vaistininkui.</w:t>
      </w:r>
    </w:p>
    <w:p w14:paraId="6B45EE6B" w14:textId="77777777" w:rsidR="006E7841" w:rsidRDefault="006E7841" w:rsidP="006E78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4D86CCA" w14:textId="77777777" w:rsidR="006E7841" w:rsidRPr="00B2511A" w:rsidRDefault="006E7841" w:rsidP="006E78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DD26D35" w14:textId="77777777" w:rsidR="00F34163" w:rsidRPr="00B2511A" w:rsidRDefault="00F34163" w:rsidP="00C25270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4.</w:t>
      </w:r>
      <w:r w:rsidRPr="00B2511A">
        <w:rPr>
          <w:b/>
          <w:snapToGrid/>
          <w:szCs w:val="22"/>
          <w:lang w:val="lt-LT"/>
        </w:rPr>
        <w:tab/>
        <w:t>Galimas šalutinis poveikis</w:t>
      </w:r>
    </w:p>
    <w:p w14:paraId="7CB44C6A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BE46742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2511A">
        <w:rPr>
          <w:szCs w:val="24"/>
          <w:lang w:val="lt-LT"/>
        </w:rPr>
        <w:t>Šis vaistas, kaip ir visi kiti, gali sukelti šalutinį poveikį, nors jis pasireiškia ne visiems žmonėms.</w:t>
      </w:r>
    </w:p>
    <w:p w14:paraId="745A266A" w14:textId="77777777" w:rsidR="00FC0A39" w:rsidRDefault="00FC0A39" w:rsidP="00FC0A39">
      <w:pPr>
        <w:spacing w:line="240" w:lineRule="auto"/>
        <w:rPr>
          <w:szCs w:val="28"/>
          <w:lang w:val="lt-LT" w:eastAsia="x-none"/>
        </w:rPr>
      </w:pPr>
    </w:p>
    <w:p w14:paraId="4180AFBC" w14:textId="77777777" w:rsidR="00FC0A39" w:rsidRPr="00FC0A39" w:rsidRDefault="00FC0A39" w:rsidP="00FC0A39">
      <w:pPr>
        <w:spacing w:line="240" w:lineRule="auto"/>
        <w:rPr>
          <w:b/>
          <w:bCs/>
          <w:szCs w:val="28"/>
          <w:lang w:val="lt-LT" w:eastAsia="x-none"/>
        </w:rPr>
      </w:pPr>
      <w:r w:rsidRPr="00FC0A39">
        <w:rPr>
          <w:b/>
          <w:bCs/>
          <w:szCs w:val="28"/>
          <w:lang w:val="lt-LT" w:eastAsia="x-none"/>
        </w:rPr>
        <w:t>Šalutinis poveikis, apie kurį buvo pranešta vartojant Tranexamic acid Baxter</w:t>
      </w:r>
    </w:p>
    <w:p w14:paraId="00E2A9A0" w14:textId="77777777" w:rsidR="00FC0A39" w:rsidRPr="00FC0A39" w:rsidRDefault="00FC0A39" w:rsidP="00FC0A39">
      <w:pPr>
        <w:spacing w:line="240" w:lineRule="auto"/>
        <w:rPr>
          <w:szCs w:val="28"/>
          <w:lang w:val="lt-LT" w:eastAsia="x-none"/>
        </w:rPr>
      </w:pPr>
      <w:r w:rsidRPr="00FC0A39">
        <w:rPr>
          <w:szCs w:val="28"/>
          <w:lang w:val="lt-LT" w:eastAsia="x-none"/>
        </w:rPr>
        <w:t>Vartojant Tranexamic acid Baxter, buvo pastebėtas išvardytas šalutinis poveikis.</w:t>
      </w:r>
    </w:p>
    <w:p w14:paraId="129208F0" w14:textId="472268EF" w:rsidR="00FC0A39" w:rsidRPr="00FC0A39" w:rsidRDefault="00FC0A39" w:rsidP="00FC0A3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C0A39">
        <w:rPr>
          <w:szCs w:val="24"/>
          <w:lang w:val="lt-LT"/>
        </w:rPr>
        <w:t>Dažn</w:t>
      </w:r>
      <w:r>
        <w:rPr>
          <w:szCs w:val="24"/>
          <w:lang w:val="lt-LT"/>
        </w:rPr>
        <w:t>i</w:t>
      </w:r>
      <w:r w:rsidRPr="00FC0A39">
        <w:rPr>
          <w:szCs w:val="24"/>
          <w:lang w:val="lt-LT"/>
        </w:rPr>
        <w:t xml:space="preserve"> (gali pasireikšti </w:t>
      </w:r>
      <w:r w:rsidR="001F3BDE">
        <w:rPr>
          <w:szCs w:val="24"/>
          <w:lang w:val="lt-LT"/>
        </w:rPr>
        <w:t>rečiau</w:t>
      </w:r>
      <w:r w:rsidRPr="00FC0A39">
        <w:rPr>
          <w:szCs w:val="24"/>
          <w:lang w:val="lt-LT"/>
        </w:rPr>
        <w:t xml:space="preserve"> kaip 1 iš 10  žmonių)</w:t>
      </w:r>
      <w:r>
        <w:rPr>
          <w:szCs w:val="24"/>
          <w:lang w:val="lt-LT"/>
        </w:rPr>
        <w:t>:</w:t>
      </w:r>
    </w:p>
    <w:p w14:paraId="076DA04E" w14:textId="77777777" w:rsidR="00FC0A39" w:rsidRPr="00FC0A39" w:rsidRDefault="00FC0A39" w:rsidP="00FC0A39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poveikis virškinimo trak</w:t>
      </w:r>
      <w:r w:rsidR="00240FEE">
        <w:rPr>
          <w:szCs w:val="24"/>
          <w:lang w:val="lt-LT"/>
        </w:rPr>
        <w:t>t</w:t>
      </w:r>
      <w:r w:rsidRPr="00FC0A39">
        <w:rPr>
          <w:szCs w:val="24"/>
          <w:lang w:val="lt-LT"/>
        </w:rPr>
        <w:t>ui</w:t>
      </w:r>
      <w:r>
        <w:rPr>
          <w:szCs w:val="24"/>
          <w:lang w:val="lt-LT"/>
        </w:rPr>
        <w:t xml:space="preserve">: </w:t>
      </w:r>
      <w:r w:rsidRPr="00FC0A39">
        <w:rPr>
          <w:szCs w:val="24"/>
          <w:lang w:val="lt-LT"/>
        </w:rPr>
        <w:t>pykinimas, vėmimas, viduriavimas.</w:t>
      </w:r>
    </w:p>
    <w:p w14:paraId="13AB8966" w14:textId="77777777" w:rsidR="00FC0A39" w:rsidRDefault="00FC0A39" w:rsidP="00FC0A3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6C2BA9A" w14:textId="4ACF2E36" w:rsidR="00FC0A39" w:rsidRPr="00FC0A39" w:rsidRDefault="00FC0A39" w:rsidP="00FC0A3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C0A39">
        <w:rPr>
          <w:szCs w:val="24"/>
          <w:lang w:val="lt-LT"/>
        </w:rPr>
        <w:t xml:space="preserve">Nedažni (gali pasireikšti </w:t>
      </w:r>
      <w:r w:rsidR="001F3BDE">
        <w:rPr>
          <w:szCs w:val="24"/>
          <w:lang w:val="lt-LT"/>
        </w:rPr>
        <w:t>rečiau kaip</w:t>
      </w:r>
      <w:r w:rsidRPr="00FC0A39">
        <w:rPr>
          <w:szCs w:val="24"/>
          <w:lang w:val="lt-LT"/>
        </w:rPr>
        <w:t xml:space="preserve"> 1  iš 1</w:t>
      </w:r>
      <w:r>
        <w:rPr>
          <w:szCs w:val="24"/>
          <w:lang w:val="lt-LT"/>
        </w:rPr>
        <w:t> </w:t>
      </w:r>
      <w:r w:rsidRPr="00FC0A39">
        <w:rPr>
          <w:szCs w:val="24"/>
          <w:lang w:val="lt-LT"/>
        </w:rPr>
        <w:t>00  žmonių)</w:t>
      </w:r>
      <w:r>
        <w:rPr>
          <w:szCs w:val="24"/>
          <w:lang w:val="lt-LT"/>
        </w:rPr>
        <w:t>:</w:t>
      </w:r>
    </w:p>
    <w:p w14:paraId="677D6C0A" w14:textId="77777777" w:rsidR="00FC0A39" w:rsidRPr="00FC0A39" w:rsidRDefault="00FC0A39" w:rsidP="00FC0A39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poveikis odai: išbėrimas.</w:t>
      </w:r>
    </w:p>
    <w:p w14:paraId="51A6A5BB" w14:textId="77777777" w:rsidR="00FC0A39" w:rsidRDefault="00FC0A39" w:rsidP="00FC0A3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130D892" w14:textId="77777777" w:rsidR="00FC0A39" w:rsidRPr="00FC0A39" w:rsidRDefault="00FC0A39" w:rsidP="00FC0A3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C0A39">
        <w:rPr>
          <w:szCs w:val="24"/>
          <w:lang w:val="lt-LT"/>
        </w:rPr>
        <w:t>Dažnis nežinomas (dažnis negali būti apskaičiuotas pagal turimus duomenis)</w:t>
      </w:r>
      <w:r>
        <w:rPr>
          <w:szCs w:val="24"/>
          <w:lang w:val="lt-LT"/>
        </w:rPr>
        <w:t>:</w:t>
      </w:r>
    </w:p>
    <w:p w14:paraId="49F10027" w14:textId="092CA74F" w:rsidR="00FC0A39" w:rsidRPr="00FC0A39" w:rsidRDefault="00FC0A39" w:rsidP="00FC0A39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negalavimas su hipotenzija (mažas kraujospūdis)</w:t>
      </w:r>
      <w:r>
        <w:rPr>
          <w:szCs w:val="24"/>
          <w:lang w:val="lt-LT"/>
        </w:rPr>
        <w:t xml:space="preserve"> su sąmonės </w:t>
      </w:r>
      <w:r w:rsidR="001F3BDE">
        <w:rPr>
          <w:szCs w:val="24"/>
          <w:lang w:val="lt-LT"/>
        </w:rPr>
        <w:t>praradimu</w:t>
      </w:r>
      <w:r>
        <w:rPr>
          <w:szCs w:val="24"/>
          <w:lang w:val="lt-LT"/>
        </w:rPr>
        <w:t xml:space="preserve"> arba be jo</w:t>
      </w:r>
      <w:r w:rsidRPr="00FC0A39">
        <w:rPr>
          <w:szCs w:val="24"/>
          <w:lang w:val="lt-LT"/>
        </w:rPr>
        <w:t>, ypač vaistą suleidus per greitai;</w:t>
      </w:r>
    </w:p>
    <w:p w14:paraId="3D9FAAF7" w14:textId="77777777" w:rsidR="00FC0A39" w:rsidRPr="00FC0A39" w:rsidRDefault="00FC0A39" w:rsidP="00FC0A39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kraujo krešuliai;</w:t>
      </w:r>
    </w:p>
    <w:p w14:paraId="316EA005" w14:textId="77777777" w:rsidR="00FC0A39" w:rsidRPr="00FC0A39" w:rsidRDefault="00FC0A39" w:rsidP="00FC0A39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poveikis nerv</w:t>
      </w:r>
      <w:r>
        <w:rPr>
          <w:szCs w:val="24"/>
          <w:lang w:val="lt-LT"/>
        </w:rPr>
        <w:t>ų</w:t>
      </w:r>
      <w:r w:rsidRPr="00FC0A39">
        <w:rPr>
          <w:szCs w:val="24"/>
          <w:lang w:val="lt-LT"/>
        </w:rPr>
        <w:t xml:space="preserve"> sistemai: traukuliai;</w:t>
      </w:r>
    </w:p>
    <w:p w14:paraId="7BFDB4EE" w14:textId="5E4394F4" w:rsidR="00FC0A39" w:rsidRPr="00FC0A39" w:rsidRDefault="00FC0A39" w:rsidP="00FC0A39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</w:t>
      </w:r>
      <w:r>
        <w:rPr>
          <w:szCs w:val="24"/>
          <w:lang w:val="lt-LT"/>
        </w:rPr>
        <w:t>i</w:t>
      </w:r>
      <w:r w:rsidRPr="00FC0A39">
        <w:rPr>
          <w:szCs w:val="24"/>
          <w:lang w:val="lt-LT"/>
        </w:rPr>
        <w:t xml:space="preserve">kis akims: regėjimo sutrikimai, įskaitant </w:t>
      </w:r>
      <w:r w:rsidR="001F3BDE">
        <w:rPr>
          <w:szCs w:val="24"/>
          <w:lang w:val="lt-LT"/>
        </w:rPr>
        <w:t xml:space="preserve">pablogėjusį </w:t>
      </w:r>
      <w:r w:rsidRPr="00FC0A39">
        <w:rPr>
          <w:szCs w:val="24"/>
          <w:lang w:val="lt-LT"/>
        </w:rPr>
        <w:t>spalvų matym</w:t>
      </w:r>
      <w:r w:rsidR="001F3BDE">
        <w:rPr>
          <w:szCs w:val="24"/>
          <w:lang w:val="lt-LT"/>
        </w:rPr>
        <w:t>ą</w:t>
      </w:r>
      <w:r w:rsidRPr="00FC0A39">
        <w:rPr>
          <w:szCs w:val="24"/>
          <w:lang w:val="lt-LT"/>
        </w:rPr>
        <w:t xml:space="preserve"> ;</w:t>
      </w:r>
    </w:p>
    <w:p w14:paraId="4F131BDA" w14:textId="77777777" w:rsidR="00F34163" w:rsidRPr="00FC0A39" w:rsidRDefault="00FC0A39" w:rsidP="00FC0A39">
      <w:pPr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poveikis imuninei sistema</w:t>
      </w:r>
      <w:r>
        <w:rPr>
          <w:szCs w:val="24"/>
          <w:lang w:val="lt-LT"/>
        </w:rPr>
        <w:t>i</w:t>
      </w:r>
      <w:r w:rsidRPr="00FC0A39">
        <w:rPr>
          <w:szCs w:val="24"/>
          <w:lang w:val="lt-LT"/>
        </w:rPr>
        <w:t>: alerginės reakcijos.</w:t>
      </w:r>
    </w:p>
    <w:p w14:paraId="2B204ABF" w14:textId="77777777" w:rsidR="000D67F4" w:rsidRPr="00B2511A" w:rsidRDefault="000D67F4" w:rsidP="00C25270">
      <w:pPr>
        <w:spacing w:line="240" w:lineRule="auto"/>
        <w:rPr>
          <w:b/>
          <w:szCs w:val="24"/>
          <w:lang w:val="lt-LT"/>
        </w:rPr>
      </w:pPr>
    </w:p>
    <w:p w14:paraId="75813467" w14:textId="77777777" w:rsidR="00E65EE9" w:rsidRPr="009E1963" w:rsidRDefault="00E65EE9" w:rsidP="009E1963">
      <w:pPr>
        <w:jc w:val="both"/>
      </w:pPr>
      <w:proofErr w:type="spellStart"/>
      <w:r w:rsidRPr="009E1963">
        <w:rPr>
          <w:b/>
        </w:rPr>
        <w:t>Pranešimas</w:t>
      </w:r>
      <w:proofErr w:type="spellEnd"/>
      <w:r w:rsidRPr="009E1963">
        <w:rPr>
          <w:b/>
        </w:rPr>
        <w:t xml:space="preserve"> </w:t>
      </w:r>
      <w:proofErr w:type="spellStart"/>
      <w:r w:rsidRPr="009E1963">
        <w:rPr>
          <w:b/>
        </w:rPr>
        <w:t>apie</w:t>
      </w:r>
      <w:proofErr w:type="spellEnd"/>
      <w:r w:rsidRPr="009E1963">
        <w:rPr>
          <w:b/>
        </w:rPr>
        <w:t xml:space="preserve"> </w:t>
      </w:r>
      <w:proofErr w:type="spellStart"/>
      <w:r w:rsidRPr="009E1963">
        <w:rPr>
          <w:b/>
        </w:rPr>
        <w:t>šalutinį</w:t>
      </w:r>
      <w:proofErr w:type="spellEnd"/>
      <w:r w:rsidRPr="009E1963">
        <w:rPr>
          <w:b/>
        </w:rPr>
        <w:t xml:space="preserve"> </w:t>
      </w:r>
      <w:proofErr w:type="spellStart"/>
      <w:r w:rsidRPr="009E1963">
        <w:rPr>
          <w:b/>
        </w:rPr>
        <w:t>poveikį</w:t>
      </w:r>
      <w:proofErr w:type="spellEnd"/>
    </w:p>
    <w:p w14:paraId="78C449CD" w14:textId="2530AD50" w:rsidR="00E65EE9" w:rsidRPr="009E1963" w:rsidRDefault="00E65EE9" w:rsidP="009E1963">
      <w:pPr>
        <w:ind w:right="-1"/>
      </w:pPr>
      <w:proofErr w:type="spellStart"/>
      <w:r w:rsidRPr="009E1963">
        <w:t>Jeigu</w:t>
      </w:r>
      <w:proofErr w:type="spellEnd"/>
      <w:r w:rsidRPr="009E1963">
        <w:t xml:space="preserve"> </w:t>
      </w:r>
      <w:proofErr w:type="spellStart"/>
      <w:r w:rsidRPr="009E1963">
        <w:t>pasireiškė</w:t>
      </w:r>
      <w:proofErr w:type="spellEnd"/>
      <w:r w:rsidRPr="009E1963">
        <w:t xml:space="preserve"> </w:t>
      </w:r>
      <w:proofErr w:type="spellStart"/>
      <w:r w:rsidRPr="009E1963">
        <w:t>šalutinis</w:t>
      </w:r>
      <w:proofErr w:type="spellEnd"/>
      <w:r w:rsidRPr="009E1963">
        <w:t xml:space="preserve"> </w:t>
      </w:r>
      <w:proofErr w:type="spellStart"/>
      <w:r w:rsidRPr="009E1963">
        <w:t>poveikis</w:t>
      </w:r>
      <w:proofErr w:type="spellEnd"/>
      <w:r w:rsidRPr="009E1963">
        <w:t xml:space="preserve">, </w:t>
      </w:r>
      <w:proofErr w:type="spellStart"/>
      <w:r w:rsidRPr="009E1963">
        <w:t>įskaitant</w:t>
      </w:r>
      <w:proofErr w:type="spellEnd"/>
      <w:r w:rsidRPr="009E1963">
        <w:t xml:space="preserve"> </w:t>
      </w:r>
      <w:proofErr w:type="spellStart"/>
      <w:r w:rsidRPr="009E1963">
        <w:t>šiame</w:t>
      </w:r>
      <w:proofErr w:type="spellEnd"/>
      <w:r w:rsidRPr="009E1963">
        <w:t xml:space="preserve"> </w:t>
      </w:r>
      <w:proofErr w:type="spellStart"/>
      <w:r w:rsidRPr="009E1963">
        <w:t>lapelyje</w:t>
      </w:r>
      <w:proofErr w:type="spellEnd"/>
      <w:r w:rsidRPr="009E1963">
        <w:t xml:space="preserve"> </w:t>
      </w:r>
      <w:proofErr w:type="spellStart"/>
      <w:r w:rsidRPr="009E1963">
        <w:t>nenurodytą</w:t>
      </w:r>
      <w:proofErr w:type="spellEnd"/>
      <w:r w:rsidRPr="009E1963">
        <w:t xml:space="preserve">, </w:t>
      </w:r>
      <w:proofErr w:type="spellStart"/>
      <w:r w:rsidRPr="009E1963">
        <w:t>pasakykite</w:t>
      </w:r>
      <w:proofErr w:type="spellEnd"/>
      <w:r w:rsidRPr="009E1963">
        <w:t xml:space="preserve"> </w:t>
      </w:r>
      <w:proofErr w:type="spellStart"/>
      <w:r w:rsidRPr="009E1963">
        <w:t>gydytojui</w:t>
      </w:r>
      <w:proofErr w:type="spellEnd"/>
      <w:r w:rsidRPr="009E1963">
        <w:t xml:space="preserve">, </w:t>
      </w:r>
      <w:proofErr w:type="spellStart"/>
      <w:r w:rsidRPr="009E1963">
        <w:t>vaistininkui</w:t>
      </w:r>
      <w:proofErr w:type="spellEnd"/>
      <w:r w:rsidRPr="009E1963">
        <w:t xml:space="preserve"> </w:t>
      </w:r>
      <w:proofErr w:type="spellStart"/>
      <w:r w:rsidRPr="009E1963">
        <w:t>arba</w:t>
      </w:r>
      <w:proofErr w:type="spellEnd"/>
      <w:r w:rsidRPr="009E1963">
        <w:t xml:space="preserve"> </w:t>
      </w:r>
      <w:proofErr w:type="spellStart"/>
      <w:r w:rsidRPr="009E1963">
        <w:t>slaugytojui</w:t>
      </w:r>
      <w:proofErr w:type="spellEnd"/>
      <w:r w:rsidRPr="009E1963">
        <w:t xml:space="preserve">. </w:t>
      </w:r>
      <w:proofErr w:type="spellStart"/>
      <w:r>
        <w:rPr>
          <w:szCs w:val="22"/>
          <w:lang w:eastAsia="lt-LT"/>
        </w:rPr>
        <w:t>Pranešimą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 w:rsidRPr="009E1963">
        <w:t xml:space="preserve"> </w:t>
      </w:r>
      <w:proofErr w:type="spellStart"/>
      <w:r w:rsidRPr="009E1963">
        <w:t>šalutinį</w:t>
      </w:r>
      <w:proofErr w:type="spellEnd"/>
      <w:r w:rsidRPr="009E1963">
        <w:t xml:space="preserve"> </w:t>
      </w:r>
      <w:proofErr w:type="spellStart"/>
      <w:r w:rsidRPr="009E1963">
        <w:t>poveikį</w:t>
      </w:r>
      <w:proofErr w:type="spellEnd"/>
      <w:r w:rsidRPr="009E1963">
        <w:t xml:space="preserve"> </w:t>
      </w:r>
      <w:proofErr w:type="spellStart"/>
      <w:r w:rsidRPr="009E1963">
        <w:t>galite</w:t>
      </w:r>
      <w:proofErr w:type="spellEnd"/>
      <w:r w:rsidRPr="009E1963">
        <w:t xml:space="preserve"> </w:t>
      </w:r>
      <w:proofErr w:type="spellStart"/>
      <w:r w:rsidRPr="009E1963">
        <w:t>užpildyti</w:t>
      </w:r>
      <w:proofErr w:type="spellEnd"/>
      <w:r w:rsidRPr="009E1963">
        <w:t xml:space="preserve"> </w:t>
      </w:r>
      <w:proofErr w:type="spellStart"/>
      <w:r w:rsidRPr="009E1963">
        <w:t>ir</w:t>
      </w:r>
      <w:proofErr w:type="spellEnd"/>
      <w:r w:rsidRPr="009E1963">
        <w:t xml:space="preserve"> </w:t>
      </w:r>
      <w:proofErr w:type="spellStart"/>
      <w:r w:rsidRPr="009E1963">
        <w:t>pateikti</w:t>
      </w:r>
      <w:proofErr w:type="spellEnd"/>
      <w:r w:rsidRPr="009E1963">
        <w:t xml:space="preserve"> </w:t>
      </w:r>
      <w:proofErr w:type="spellStart"/>
      <w:r w:rsidRPr="009E1963">
        <w:t>Valstybinės</w:t>
      </w:r>
      <w:proofErr w:type="spellEnd"/>
      <w:r w:rsidRPr="009E1963">
        <w:t xml:space="preserve"> </w:t>
      </w:r>
      <w:proofErr w:type="spellStart"/>
      <w:r w:rsidRPr="009E1963">
        <w:t>vaistų</w:t>
      </w:r>
      <w:proofErr w:type="spellEnd"/>
      <w:r w:rsidRPr="009E1963">
        <w:t xml:space="preserve"> </w:t>
      </w:r>
      <w:proofErr w:type="spellStart"/>
      <w:r w:rsidRPr="009E1963">
        <w:t>kontrolės</w:t>
      </w:r>
      <w:proofErr w:type="spellEnd"/>
      <w:r w:rsidRPr="009E1963">
        <w:t xml:space="preserve"> </w:t>
      </w:r>
      <w:proofErr w:type="spellStart"/>
      <w:r w:rsidRPr="009E1963">
        <w:t>tarnybos</w:t>
      </w:r>
      <w:proofErr w:type="spellEnd"/>
      <w:r w:rsidRPr="009E1963">
        <w:t xml:space="preserve"> </w:t>
      </w:r>
      <w:proofErr w:type="spellStart"/>
      <w:r w:rsidRPr="009E1963">
        <w:t>prie</w:t>
      </w:r>
      <w:proofErr w:type="spellEnd"/>
      <w:r w:rsidRPr="009E1963">
        <w:t xml:space="preserve"> </w:t>
      </w:r>
      <w:proofErr w:type="spellStart"/>
      <w:r w:rsidRPr="009E1963">
        <w:t>Lietuvos</w:t>
      </w:r>
      <w:proofErr w:type="spellEnd"/>
      <w:r w:rsidRPr="009E1963">
        <w:t xml:space="preserve"> </w:t>
      </w:r>
      <w:proofErr w:type="spellStart"/>
      <w:r w:rsidRPr="009E1963">
        <w:t>Respublikos</w:t>
      </w:r>
      <w:proofErr w:type="spellEnd"/>
      <w:r w:rsidRPr="009E1963">
        <w:t xml:space="preserve"> </w:t>
      </w:r>
      <w:proofErr w:type="spellStart"/>
      <w:r w:rsidRPr="009E1963">
        <w:t>sveikatos</w:t>
      </w:r>
      <w:proofErr w:type="spellEnd"/>
      <w:r w:rsidRPr="009E1963">
        <w:t xml:space="preserve"> </w:t>
      </w:r>
      <w:proofErr w:type="spellStart"/>
      <w:r w:rsidRPr="009E1963">
        <w:t>apsaugos</w:t>
      </w:r>
      <w:proofErr w:type="spellEnd"/>
      <w:r w:rsidRPr="009E1963">
        <w:t xml:space="preserve"> </w:t>
      </w:r>
      <w:proofErr w:type="spellStart"/>
      <w:r w:rsidRPr="009E1963">
        <w:t>ministerijos</w:t>
      </w:r>
      <w:proofErr w:type="spellEnd"/>
      <w:r w:rsidRPr="009E1963">
        <w:t xml:space="preserve"> </w:t>
      </w:r>
      <w:proofErr w:type="spellStart"/>
      <w:r>
        <w:rPr>
          <w:szCs w:val="22"/>
          <w:lang w:eastAsia="lt-LT"/>
        </w:rPr>
        <w:t>tinklalapyje</w:t>
      </w:r>
      <w:proofErr w:type="spellEnd"/>
      <w:r>
        <w:rPr>
          <w:szCs w:val="22"/>
          <w:lang w:eastAsia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nurodytais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būdais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arba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paskambinti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nemokamu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telefonu</w:t>
      </w:r>
      <w:proofErr w:type="spellEnd"/>
      <w:r>
        <w:rPr>
          <w:szCs w:val="22"/>
          <w:lang w:eastAsia="lt-LT"/>
        </w:rPr>
        <w:t xml:space="preserve"> 8 800 73 568.</w:t>
      </w:r>
      <w:r w:rsidRPr="009E1963">
        <w:t xml:space="preserve"> </w:t>
      </w:r>
      <w:proofErr w:type="spellStart"/>
      <w:r w:rsidRPr="009E1963">
        <w:t>Pranešdami</w:t>
      </w:r>
      <w:proofErr w:type="spellEnd"/>
      <w:r w:rsidRPr="009E1963">
        <w:t xml:space="preserve"> </w:t>
      </w:r>
      <w:proofErr w:type="spellStart"/>
      <w:r w:rsidRPr="009E1963">
        <w:t>apie</w:t>
      </w:r>
      <w:proofErr w:type="spellEnd"/>
      <w:r w:rsidRPr="009E1963">
        <w:t xml:space="preserve"> </w:t>
      </w:r>
      <w:proofErr w:type="spellStart"/>
      <w:r w:rsidRPr="009E1963">
        <w:t>šalutinį</w:t>
      </w:r>
      <w:proofErr w:type="spellEnd"/>
      <w:r w:rsidRPr="009E1963">
        <w:t xml:space="preserve"> </w:t>
      </w:r>
      <w:proofErr w:type="spellStart"/>
      <w:r w:rsidRPr="009E1963">
        <w:t>poveikį</w:t>
      </w:r>
      <w:proofErr w:type="spellEnd"/>
      <w:r w:rsidRPr="009E1963">
        <w:t xml:space="preserve"> </w:t>
      </w:r>
      <w:proofErr w:type="spellStart"/>
      <w:r w:rsidRPr="009E1963">
        <w:t>galite</w:t>
      </w:r>
      <w:proofErr w:type="spellEnd"/>
      <w:r w:rsidRPr="009E1963">
        <w:t xml:space="preserve"> mums </w:t>
      </w:r>
      <w:proofErr w:type="spellStart"/>
      <w:r w:rsidRPr="009E1963">
        <w:t>padėti</w:t>
      </w:r>
      <w:proofErr w:type="spellEnd"/>
      <w:r w:rsidRPr="009E1963">
        <w:t xml:space="preserve"> </w:t>
      </w:r>
      <w:proofErr w:type="spellStart"/>
      <w:r w:rsidRPr="009E1963">
        <w:t>gauti</w:t>
      </w:r>
      <w:proofErr w:type="spellEnd"/>
      <w:r w:rsidRPr="009E1963">
        <w:t xml:space="preserve"> </w:t>
      </w:r>
      <w:proofErr w:type="spellStart"/>
      <w:r w:rsidRPr="009E1963">
        <w:t>daugiau</w:t>
      </w:r>
      <w:proofErr w:type="spellEnd"/>
      <w:r w:rsidRPr="009E1963">
        <w:t xml:space="preserve"> </w:t>
      </w:r>
      <w:proofErr w:type="spellStart"/>
      <w:r w:rsidRPr="009E1963">
        <w:t>informacijos</w:t>
      </w:r>
      <w:proofErr w:type="spellEnd"/>
      <w:r w:rsidRPr="009E1963">
        <w:t xml:space="preserve"> </w:t>
      </w:r>
      <w:proofErr w:type="spellStart"/>
      <w:r w:rsidRPr="009E1963">
        <w:t>apie</w:t>
      </w:r>
      <w:proofErr w:type="spellEnd"/>
      <w:r w:rsidRPr="009E1963">
        <w:t xml:space="preserve"> </w:t>
      </w:r>
      <w:proofErr w:type="spellStart"/>
      <w:r w:rsidRPr="009E1963">
        <w:t>šio</w:t>
      </w:r>
      <w:proofErr w:type="spellEnd"/>
      <w:r w:rsidRPr="009E1963">
        <w:t xml:space="preserve"> </w:t>
      </w:r>
      <w:proofErr w:type="spellStart"/>
      <w:r w:rsidRPr="009E1963">
        <w:t>vaisto</w:t>
      </w:r>
      <w:proofErr w:type="spellEnd"/>
      <w:r w:rsidRPr="009E1963">
        <w:t xml:space="preserve"> </w:t>
      </w:r>
      <w:proofErr w:type="spellStart"/>
      <w:r w:rsidRPr="009E1963">
        <w:t>saugumą</w:t>
      </w:r>
      <w:proofErr w:type="spellEnd"/>
      <w:r w:rsidRPr="009E1963">
        <w:t>.</w:t>
      </w:r>
    </w:p>
    <w:p w14:paraId="05EA0EA3" w14:textId="77777777" w:rsidR="00AA148B" w:rsidRPr="00B2511A" w:rsidRDefault="00AA148B" w:rsidP="00C25270">
      <w:pPr>
        <w:spacing w:line="240" w:lineRule="auto"/>
        <w:ind w:right="-449"/>
        <w:rPr>
          <w:szCs w:val="24"/>
          <w:lang w:val="lt-LT"/>
        </w:rPr>
      </w:pPr>
    </w:p>
    <w:p w14:paraId="7F403749" w14:textId="77777777" w:rsidR="00447DE7" w:rsidRPr="00B2511A" w:rsidRDefault="00447DE7" w:rsidP="00C25270">
      <w:pPr>
        <w:spacing w:line="240" w:lineRule="auto"/>
        <w:ind w:right="-449"/>
        <w:rPr>
          <w:szCs w:val="24"/>
          <w:lang w:val="lt-LT"/>
        </w:rPr>
      </w:pPr>
    </w:p>
    <w:p w14:paraId="5D95F4F0" w14:textId="77777777" w:rsidR="00F34163" w:rsidRPr="00B2511A" w:rsidRDefault="00F34163" w:rsidP="00C25270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5.</w:t>
      </w:r>
      <w:r w:rsidRPr="00B2511A">
        <w:rPr>
          <w:b/>
          <w:snapToGrid/>
          <w:szCs w:val="22"/>
          <w:lang w:val="lt-LT"/>
        </w:rPr>
        <w:tab/>
        <w:t xml:space="preserve">Kaip laikyti </w:t>
      </w:r>
      <w:r w:rsidR="004E1BC6">
        <w:rPr>
          <w:b/>
          <w:snapToGrid/>
          <w:szCs w:val="22"/>
          <w:lang w:val="lt-LT"/>
        </w:rPr>
        <w:t>Tranexamic acid Baxter</w:t>
      </w:r>
    </w:p>
    <w:p w14:paraId="5CE27A1F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773D66B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Šį vaistą laikykite vaikams nepastebimoje ir nepasiekiamoje vietoje.</w:t>
      </w:r>
    </w:p>
    <w:p w14:paraId="31F5BAF0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B114A9A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C13641">
        <w:rPr>
          <w:szCs w:val="24"/>
          <w:lang w:val="lt-LT"/>
        </w:rPr>
        <w:t>Ant dėžutės</w:t>
      </w:r>
      <w:r w:rsidR="00F322A4" w:rsidRPr="00C13641">
        <w:rPr>
          <w:szCs w:val="24"/>
          <w:lang w:val="lt-LT"/>
        </w:rPr>
        <w:t xml:space="preserve"> ir </w:t>
      </w:r>
      <w:r w:rsidR="00014644" w:rsidRPr="00C13641">
        <w:rPr>
          <w:szCs w:val="24"/>
          <w:lang w:val="lt-LT"/>
        </w:rPr>
        <w:t>flakono</w:t>
      </w:r>
      <w:r w:rsidR="00C13641">
        <w:rPr>
          <w:szCs w:val="24"/>
          <w:lang w:val="lt-LT"/>
        </w:rPr>
        <w:t xml:space="preserve"> etiketės</w:t>
      </w:r>
      <w:r w:rsidR="00F322A4" w:rsidRPr="00B2511A">
        <w:rPr>
          <w:szCs w:val="24"/>
          <w:lang w:val="lt-LT"/>
        </w:rPr>
        <w:t xml:space="preserve"> </w:t>
      </w:r>
      <w:r w:rsidRPr="00B2511A">
        <w:rPr>
          <w:szCs w:val="24"/>
          <w:lang w:val="lt-LT"/>
        </w:rPr>
        <w:t xml:space="preserve">po </w:t>
      </w:r>
      <w:r w:rsidR="00F322A4" w:rsidRPr="00B2511A">
        <w:rPr>
          <w:szCs w:val="24"/>
          <w:lang w:val="lt-LT"/>
        </w:rPr>
        <w:t>„EXP“</w:t>
      </w:r>
      <w:r w:rsidRPr="00B2511A">
        <w:rPr>
          <w:szCs w:val="24"/>
          <w:lang w:val="lt-LT"/>
        </w:rPr>
        <w:t xml:space="preserve"> nurodytam tinkamumo laikui pasibaigus, šio vaisto vartoti negalima.</w:t>
      </w:r>
      <w:r w:rsidR="00F322A4" w:rsidRPr="00B2511A">
        <w:rPr>
          <w:szCs w:val="24"/>
          <w:lang w:val="lt-LT"/>
        </w:rPr>
        <w:t xml:space="preserve"> </w:t>
      </w:r>
      <w:r w:rsidRPr="00B2511A">
        <w:rPr>
          <w:szCs w:val="24"/>
          <w:lang w:val="lt-LT"/>
        </w:rPr>
        <w:t>Vaistas tinkamas vartoti iki paskutinės nurodyto mėnesio dienos.</w:t>
      </w:r>
    </w:p>
    <w:p w14:paraId="2167BF61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425A004" w14:textId="77777777" w:rsidR="00014644" w:rsidRDefault="00014644" w:rsidP="00014644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  <w:r>
        <w:rPr>
          <w:color w:val="0D0D0D"/>
          <w:szCs w:val="24"/>
          <w:lang w:val="lt-LT"/>
        </w:rPr>
        <w:t>Negalima užšaldyti.</w:t>
      </w:r>
    </w:p>
    <w:p w14:paraId="527880A2" w14:textId="77777777" w:rsidR="00014644" w:rsidRPr="00F43F38" w:rsidRDefault="00014644" w:rsidP="00014644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3EBB61E" w14:textId="61B6487A" w:rsidR="00014644" w:rsidRDefault="00014644" w:rsidP="00014644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Po pirmojo atidarymo</w:t>
      </w:r>
      <w:r w:rsidRPr="00F43F38">
        <w:rPr>
          <w:szCs w:val="24"/>
          <w:lang w:val="lt-LT"/>
        </w:rPr>
        <w:t xml:space="preserve">: </w:t>
      </w:r>
      <w:r>
        <w:rPr>
          <w:szCs w:val="24"/>
          <w:lang w:val="lt-LT"/>
        </w:rPr>
        <w:t xml:space="preserve">injekcinis ar infuzinis tirpalas skirtas </w:t>
      </w:r>
      <w:r w:rsidR="00D449A4">
        <w:rPr>
          <w:szCs w:val="24"/>
          <w:lang w:val="lt-LT"/>
        </w:rPr>
        <w:t>tik vienkartiniam vartojimui</w:t>
      </w:r>
      <w:r w:rsidRPr="00F43F38">
        <w:rPr>
          <w:szCs w:val="24"/>
          <w:lang w:val="lt-LT"/>
        </w:rPr>
        <w:t xml:space="preserve">. </w:t>
      </w:r>
      <w:r>
        <w:rPr>
          <w:szCs w:val="24"/>
          <w:lang w:val="lt-LT"/>
        </w:rPr>
        <w:t>Nesuvartotą injekcinį tirpalą būtina sunaikinti</w:t>
      </w:r>
      <w:r w:rsidRPr="00F43F38">
        <w:rPr>
          <w:szCs w:val="24"/>
          <w:lang w:val="lt-LT"/>
        </w:rPr>
        <w:t>.</w:t>
      </w:r>
    </w:p>
    <w:p w14:paraId="34B692FD" w14:textId="77777777" w:rsidR="00014644" w:rsidRDefault="00014644" w:rsidP="00014644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</w:p>
    <w:p w14:paraId="5B31B193" w14:textId="77777777" w:rsidR="00014644" w:rsidRDefault="00014644" w:rsidP="0001464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1C76410D" w14:textId="77777777" w:rsidR="00014644" w:rsidRPr="00B2511A" w:rsidRDefault="00014644" w:rsidP="0001464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</w:p>
    <w:p w14:paraId="7FAA51BB" w14:textId="2907697B" w:rsidR="00014644" w:rsidRPr="00F43F38" w:rsidRDefault="00014644" w:rsidP="00014644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Nustatyta, kad cheminiu ir fizikiniu požiūriu tirpalas </w:t>
      </w:r>
      <w:r w:rsidRPr="00F43F38">
        <w:rPr>
          <w:szCs w:val="24"/>
          <w:lang w:val="lt-LT"/>
        </w:rPr>
        <w:t>25</w:t>
      </w:r>
      <w:r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>°C</w:t>
      </w:r>
      <w:r>
        <w:rPr>
          <w:szCs w:val="24"/>
          <w:lang w:val="lt-LT"/>
        </w:rPr>
        <w:t xml:space="preserve"> temperatūroje išlieka stabilus </w:t>
      </w:r>
      <w:r w:rsidRPr="00F43F38">
        <w:rPr>
          <w:szCs w:val="24"/>
          <w:lang w:val="lt-LT"/>
        </w:rPr>
        <w:t>24</w:t>
      </w:r>
      <w:r>
        <w:rPr>
          <w:szCs w:val="24"/>
          <w:lang w:val="lt-LT"/>
        </w:rPr>
        <w:t> valandas</w:t>
      </w:r>
      <w:r w:rsidRPr="00F43F38">
        <w:rPr>
          <w:szCs w:val="24"/>
          <w:lang w:val="lt-LT"/>
        </w:rPr>
        <w:t>.</w:t>
      </w:r>
    </w:p>
    <w:p w14:paraId="440E741C" w14:textId="77777777" w:rsidR="00014644" w:rsidRPr="00F43F38" w:rsidRDefault="00014644" w:rsidP="00014644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98935B4" w14:textId="43A7AB28" w:rsidR="00014644" w:rsidRPr="00014644" w:rsidRDefault="00014644" w:rsidP="00014644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F43F38">
        <w:rPr>
          <w:szCs w:val="24"/>
          <w:lang w:val="lt-LT"/>
        </w:rPr>
        <w:t>Mikrobiologiniu požiūriu, tirpalas turi būti suvartotas nedelsiant. Jeigu tirpalas</w:t>
      </w:r>
      <w:r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 xml:space="preserve">nesuvartojamas iš karto, už jo </w:t>
      </w:r>
      <w:r w:rsidR="00D449A4">
        <w:rPr>
          <w:szCs w:val="24"/>
          <w:lang w:val="lt-LT"/>
        </w:rPr>
        <w:t>laikymo</w:t>
      </w:r>
      <w:r w:rsidRPr="00F43F38">
        <w:rPr>
          <w:szCs w:val="24"/>
          <w:lang w:val="lt-LT"/>
        </w:rPr>
        <w:t xml:space="preserve"> laiką ir sąlygas prieš vartojimą yra atsakingas vartotojas, bet</w:t>
      </w:r>
      <w:r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 xml:space="preserve">paprastai tirpalas </w:t>
      </w:r>
      <w:r w:rsidRPr="00F43F38">
        <w:rPr>
          <w:szCs w:val="24"/>
          <w:lang w:val="lt-LT"/>
        </w:rPr>
        <w:lastRenderedPageBreak/>
        <w:t>turėtų būti laikomas ne ilgiau nei 24 valandas 2</w:t>
      </w:r>
      <w:r w:rsidR="00F1323C">
        <w:rPr>
          <w:szCs w:val="24"/>
          <w:lang w:val="lt-LT"/>
        </w:rPr>
        <w:t> </w:t>
      </w:r>
      <w:r w:rsidR="00F1323C" w:rsidRPr="00F1323C">
        <w:rPr>
          <w:szCs w:val="24"/>
          <w:lang w:val="lt-LT"/>
        </w:rPr>
        <w:t xml:space="preserve">°C </w:t>
      </w:r>
      <w:r>
        <w:rPr>
          <w:szCs w:val="24"/>
          <w:lang w:val="lt-LT"/>
        </w:rPr>
        <w:noBreakHyphen/>
      </w:r>
      <w:r w:rsidR="00F1323C"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 xml:space="preserve">8 °C temperatūroje, </w:t>
      </w:r>
      <w:r w:rsidRPr="00014644">
        <w:rPr>
          <w:szCs w:val="24"/>
          <w:lang w:val="lt-LT"/>
        </w:rPr>
        <w:t>nebent vaistas buvo skiestas kontroliuojamomis ir įteisintomis asept</w:t>
      </w:r>
      <w:r w:rsidR="00D449A4">
        <w:rPr>
          <w:szCs w:val="24"/>
          <w:lang w:val="lt-LT"/>
        </w:rPr>
        <w:t>inėmi</w:t>
      </w:r>
      <w:r w:rsidRPr="00014644">
        <w:rPr>
          <w:szCs w:val="24"/>
          <w:lang w:val="lt-LT"/>
        </w:rPr>
        <w:t>s sąlygomis.</w:t>
      </w:r>
    </w:p>
    <w:p w14:paraId="1FDE2AEF" w14:textId="77777777" w:rsidR="00014644" w:rsidRDefault="00014644" w:rsidP="00C25270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</w:p>
    <w:p w14:paraId="2921E612" w14:textId="77777777" w:rsidR="00447DE7" w:rsidRPr="00B2511A" w:rsidRDefault="00447DE7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48412D0" w14:textId="77777777" w:rsidR="00F34163" w:rsidRPr="00B2511A" w:rsidRDefault="00F34163" w:rsidP="00C25270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6.</w:t>
      </w:r>
      <w:r w:rsidRPr="00B2511A">
        <w:rPr>
          <w:b/>
          <w:snapToGrid/>
          <w:szCs w:val="22"/>
          <w:lang w:val="lt-LT"/>
        </w:rPr>
        <w:tab/>
        <w:t>Pakuotės turinys ir kita informacija</w:t>
      </w:r>
    </w:p>
    <w:p w14:paraId="29D279F9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A9E1915" w14:textId="77777777" w:rsidR="00F34163" w:rsidRPr="00B2511A" w:rsidRDefault="004E1BC6" w:rsidP="00C25270">
      <w:pPr>
        <w:pStyle w:val="Antrat4"/>
        <w:spacing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Tranexamic acid Baxter</w:t>
      </w:r>
      <w:r w:rsidR="00EB15F2" w:rsidRPr="00B2511A">
        <w:rPr>
          <w:rFonts w:ascii="Times New Roman" w:hAnsi="Times New Roman"/>
          <w:sz w:val="22"/>
          <w:lang w:val="lt-LT"/>
        </w:rPr>
        <w:t xml:space="preserve"> </w:t>
      </w:r>
      <w:r w:rsidR="00F34163" w:rsidRPr="00B2511A">
        <w:rPr>
          <w:rFonts w:ascii="Times New Roman" w:hAnsi="Times New Roman"/>
          <w:sz w:val="22"/>
          <w:lang w:val="lt-LT"/>
        </w:rPr>
        <w:t>sudėtis</w:t>
      </w:r>
    </w:p>
    <w:p w14:paraId="6E34E303" w14:textId="77777777" w:rsidR="00F34163" w:rsidRDefault="00F34163" w:rsidP="00C25270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2511A">
        <w:rPr>
          <w:szCs w:val="24"/>
          <w:lang w:val="lt-LT"/>
        </w:rPr>
        <w:t>Veiklioji medžiaga yra</w:t>
      </w:r>
      <w:r w:rsidR="00633916" w:rsidRPr="00B2511A">
        <w:rPr>
          <w:szCs w:val="24"/>
          <w:lang w:val="lt-LT"/>
        </w:rPr>
        <w:t xml:space="preserve"> </w:t>
      </w:r>
      <w:r w:rsidR="00671370">
        <w:rPr>
          <w:szCs w:val="24"/>
          <w:lang w:val="lt-LT"/>
        </w:rPr>
        <w:t>traneksamo rūgštis</w:t>
      </w:r>
      <w:r w:rsidR="00633916" w:rsidRPr="00B2511A">
        <w:rPr>
          <w:szCs w:val="24"/>
          <w:lang w:val="lt-LT"/>
        </w:rPr>
        <w:t>.</w:t>
      </w:r>
    </w:p>
    <w:p w14:paraId="7DF5E69E" w14:textId="77777777" w:rsidR="00671370" w:rsidRPr="00B2511A" w:rsidRDefault="00671370" w:rsidP="00671370">
      <w:pPr>
        <w:spacing w:line="240" w:lineRule="auto"/>
        <w:ind w:firstLine="567"/>
        <w:rPr>
          <w:szCs w:val="24"/>
          <w:lang w:val="lt-LT"/>
        </w:rPr>
      </w:pPr>
      <w:r w:rsidRPr="00B2511A">
        <w:rPr>
          <w:szCs w:val="24"/>
          <w:lang w:val="lt-LT"/>
        </w:rPr>
        <w:t>Kiekviename mililitre yra 100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 xml:space="preserve"> traneksamo rūgšties.</w:t>
      </w:r>
    </w:p>
    <w:p w14:paraId="5D9D3767" w14:textId="77777777" w:rsidR="00671370" w:rsidRPr="00B2511A" w:rsidRDefault="00671370" w:rsidP="00671370">
      <w:pPr>
        <w:spacing w:line="240" w:lineRule="auto"/>
        <w:ind w:firstLine="567"/>
        <w:rPr>
          <w:szCs w:val="24"/>
          <w:lang w:val="lt-LT"/>
        </w:rPr>
      </w:pPr>
      <w:r w:rsidRPr="00B2511A">
        <w:rPr>
          <w:szCs w:val="24"/>
          <w:lang w:val="lt-LT"/>
        </w:rPr>
        <w:t>Kiekviename 5</w:t>
      </w:r>
      <w:r>
        <w:rPr>
          <w:szCs w:val="24"/>
          <w:lang w:val="lt-LT"/>
        </w:rPr>
        <w:t> ml</w:t>
      </w:r>
      <w:r w:rsidRPr="00B2511A">
        <w:rPr>
          <w:szCs w:val="24"/>
          <w:lang w:val="lt-LT"/>
        </w:rPr>
        <w:t xml:space="preserve"> flakone yra 500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 xml:space="preserve"> traneksamo rūgšties.</w:t>
      </w:r>
    </w:p>
    <w:p w14:paraId="73635BEE" w14:textId="77777777" w:rsidR="00671370" w:rsidRPr="00B2511A" w:rsidRDefault="00671370" w:rsidP="00671370">
      <w:pPr>
        <w:spacing w:line="240" w:lineRule="auto"/>
        <w:ind w:firstLine="567"/>
        <w:rPr>
          <w:szCs w:val="24"/>
          <w:lang w:val="lt-LT"/>
        </w:rPr>
      </w:pPr>
      <w:r w:rsidRPr="00B2511A">
        <w:rPr>
          <w:szCs w:val="24"/>
          <w:lang w:val="lt-LT"/>
        </w:rPr>
        <w:t>Kiekviename 10</w:t>
      </w:r>
      <w:r>
        <w:rPr>
          <w:szCs w:val="24"/>
          <w:lang w:val="lt-LT"/>
        </w:rPr>
        <w:t> ml</w:t>
      </w:r>
      <w:r w:rsidRPr="00B2511A">
        <w:rPr>
          <w:szCs w:val="24"/>
          <w:lang w:val="lt-LT"/>
        </w:rPr>
        <w:t xml:space="preserve"> flakone yra 1000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 xml:space="preserve"> traneksamo rūgšties.</w:t>
      </w:r>
    </w:p>
    <w:p w14:paraId="45CAC0C8" w14:textId="77777777" w:rsidR="00F34163" w:rsidRPr="00B2511A" w:rsidRDefault="00F34163" w:rsidP="00C25270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2511A">
        <w:rPr>
          <w:szCs w:val="24"/>
          <w:lang w:val="lt-LT"/>
        </w:rPr>
        <w:t>Pagalbinė medžiag</w:t>
      </w:r>
      <w:r w:rsidR="00671370">
        <w:rPr>
          <w:szCs w:val="24"/>
          <w:lang w:val="lt-LT"/>
        </w:rPr>
        <w:t>a</w:t>
      </w:r>
      <w:r w:rsidR="00EB15F2" w:rsidRPr="00B2511A">
        <w:rPr>
          <w:szCs w:val="24"/>
          <w:lang w:val="lt-LT"/>
        </w:rPr>
        <w:t xml:space="preserve"> </w:t>
      </w:r>
      <w:r w:rsidRPr="00B2511A">
        <w:rPr>
          <w:szCs w:val="24"/>
          <w:lang w:val="lt-LT"/>
        </w:rPr>
        <w:t>yra</w:t>
      </w:r>
      <w:r w:rsidR="00CF123A" w:rsidRPr="00B2511A">
        <w:rPr>
          <w:szCs w:val="24"/>
          <w:lang w:val="lt-LT"/>
        </w:rPr>
        <w:t xml:space="preserve"> </w:t>
      </w:r>
      <w:r w:rsidR="00671370">
        <w:rPr>
          <w:szCs w:val="24"/>
          <w:lang w:val="lt-LT"/>
        </w:rPr>
        <w:t>injekcinis vanduo</w:t>
      </w:r>
      <w:r w:rsidR="00CF123A" w:rsidRPr="00B2511A">
        <w:rPr>
          <w:szCs w:val="24"/>
          <w:lang w:val="lt-LT"/>
        </w:rPr>
        <w:t>.</w:t>
      </w:r>
    </w:p>
    <w:p w14:paraId="0E52944C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10FE0B5" w14:textId="77777777" w:rsidR="00F34163" w:rsidRPr="00B2511A" w:rsidRDefault="004E1BC6" w:rsidP="00C25270">
      <w:pPr>
        <w:pStyle w:val="Antrat4"/>
        <w:spacing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Tranexamic acid Baxter</w:t>
      </w:r>
      <w:r w:rsidR="00CF123A" w:rsidRPr="00B2511A">
        <w:rPr>
          <w:rFonts w:ascii="Times New Roman" w:hAnsi="Times New Roman"/>
          <w:sz w:val="22"/>
          <w:lang w:val="lt-LT"/>
        </w:rPr>
        <w:t xml:space="preserve"> </w:t>
      </w:r>
      <w:r w:rsidR="00F34163" w:rsidRPr="00B2511A">
        <w:rPr>
          <w:rFonts w:ascii="Times New Roman" w:hAnsi="Times New Roman"/>
          <w:sz w:val="22"/>
          <w:lang w:val="lt-LT"/>
        </w:rPr>
        <w:t>išvaizda ir kiekis pakuotėje</w:t>
      </w:r>
    </w:p>
    <w:p w14:paraId="292C42F7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211D4F3" w14:textId="77777777" w:rsidR="00671370" w:rsidRPr="00B2511A" w:rsidRDefault="00671370" w:rsidP="00671370">
      <w:pPr>
        <w:spacing w:line="240" w:lineRule="auto"/>
        <w:rPr>
          <w:szCs w:val="24"/>
          <w:lang w:val="lt-LT"/>
        </w:rPr>
      </w:pPr>
      <w:r w:rsidRPr="00671370">
        <w:rPr>
          <w:szCs w:val="24"/>
          <w:lang w:val="lt-LT"/>
        </w:rPr>
        <w:t xml:space="preserve">Tranexamic acid Baxter </w:t>
      </w:r>
      <w:r>
        <w:rPr>
          <w:szCs w:val="24"/>
          <w:lang w:val="lt-LT"/>
        </w:rPr>
        <w:t>yra i</w:t>
      </w:r>
      <w:r w:rsidRPr="00B2511A">
        <w:rPr>
          <w:szCs w:val="24"/>
          <w:lang w:val="lt-LT"/>
        </w:rPr>
        <w:t>njekcinis ar infuzinis tirpalas</w:t>
      </w:r>
      <w:r w:rsidR="003D3F3C">
        <w:rPr>
          <w:szCs w:val="24"/>
          <w:lang w:val="lt-LT"/>
        </w:rPr>
        <w:t>.</w:t>
      </w:r>
    </w:p>
    <w:p w14:paraId="2123323D" w14:textId="77777777" w:rsidR="00671370" w:rsidRPr="00B2511A" w:rsidRDefault="00671370" w:rsidP="00671370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Skaidrus, bespalvis tirpalas, kuriame nėra matomų dalelių.</w:t>
      </w:r>
    </w:p>
    <w:p w14:paraId="5E4B1E55" w14:textId="77777777" w:rsidR="00F44350" w:rsidRPr="00B2511A" w:rsidRDefault="00F44350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2D78A5C" w14:textId="77777777" w:rsidR="00671370" w:rsidRPr="00B4194A" w:rsidRDefault="00671370" w:rsidP="0067137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4194A">
        <w:rPr>
          <w:szCs w:val="24"/>
          <w:lang w:val="lt-LT"/>
        </w:rPr>
        <w:t>6</w:t>
      </w:r>
      <w:r>
        <w:rPr>
          <w:szCs w:val="24"/>
          <w:lang w:val="lt-LT"/>
        </w:rPr>
        <w:t> ml</w:t>
      </w:r>
      <w:r w:rsidRPr="00B4194A">
        <w:rPr>
          <w:szCs w:val="24"/>
          <w:lang w:val="lt-LT"/>
        </w:rPr>
        <w:t xml:space="preserve"> I</w:t>
      </w:r>
      <w:r>
        <w:rPr>
          <w:szCs w:val="24"/>
          <w:lang w:val="lt-LT"/>
        </w:rPr>
        <w:t> tipo stiklo flakonas, kurio užpildymo tūris yra 5 ml, lizdinėje plokštelėje ir kartono dėžutėje</w:t>
      </w:r>
      <w:r w:rsidRPr="00B4194A">
        <w:rPr>
          <w:szCs w:val="24"/>
          <w:lang w:val="lt-LT"/>
        </w:rPr>
        <w:t>.</w:t>
      </w:r>
    </w:p>
    <w:p w14:paraId="21E398FB" w14:textId="77777777" w:rsidR="00671370" w:rsidRPr="00B4194A" w:rsidRDefault="00671370" w:rsidP="00671370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10 ml</w:t>
      </w:r>
      <w:r w:rsidRPr="00B4194A">
        <w:rPr>
          <w:szCs w:val="24"/>
          <w:lang w:val="lt-LT"/>
        </w:rPr>
        <w:t xml:space="preserve"> I</w:t>
      </w:r>
      <w:r>
        <w:rPr>
          <w:szCs w:val="24"/>
          <w:lang w:val="lt-LT"/>
        </w:rPr>
        <w:t> tipo stiklo flakonas, kurio užpildymo tūris yra 10 ml, lizdinėje plokštelėje ir kartono dėžutėje</w:t>
      </w:r>
      <w:r w:rsidRPr="00B4194A">
        <w:rPr>
          <w:szCs w:val="24"/>
          <w:lang w:val="lt-LT"/>
        </w:rPr>
        <w:t>.</w:t>
      </w:r>
    </w:p>
    <w:p w14:paraId="01BB871B" w14:textId="77777777" w:rsidR="00671370" w:rsidRPr="00B4194A" w:rsidRDefault="00671370" w:rsidP="00671370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23ABE60" w14:textId="77777777" w:rsidR="00671370" w:rsidRPr="009770F6" w:rsidRDefault="00671370" w:rsidP="00671370">
      <w:pPr>
        <w:tabs>
          <w:tab w:val="clear" w:pos="567"/>
        </w:tabs>
        <w:spacing w:line="240" w:lineRule="auto"/>
        <w:rPr>
          <w:szCs w:val="24"/>
          <w:u w:val="single"/>
          <w:lang w:val="lt-LT"/>
        </w:rPr>
      </w:pPr>
      <w:r w:rsidRPr="009770F6">
        <w:rPr>
          <w:szCs w:val="24"/>
          <w:u w:val="single"/>
          <w:lang w:val="lt-LT"/>
        </w:rPr>
        <w:t>Pakuotės dydžiai</w:t>
      </w:r>
    </w:p>
    <w:p w14:paraId="72A618C1" w14:textId="77777777" w:rsidR="00671370" w:rsidRPr="00B4194A" w:rsidRDefault="00671370" w:rsidP="0067137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4194A">
        <w:rPr>
          <w:szCs w:val="24"/>
          <w:lang w:val="lt-LT"/>
        </w:rPr>
        <w:t>5 x 5</w:t>
      </w:r>
      <w:r>
        <w:rPr>
          <w:szCs w:val="24"/>
          <w:lang w:val="lt-LT"/>
        </w:rPr>
        <w:t> ml</w:t>
      </w:r>
      <w:r w:rsidRPr="00B4194A">
        <w:rPr>
          <w:szCs w:val="24"/>
          <w:lang w:val="lt-LT"/>
        </w:rPr>
        <w:t>, 10 x 5</w:t>
      </w:r>
      <w:r>
        <w:rPr>
          <w:szCs w:val="24"/>
          <w:lang w:val="lt-LT"/>
        </w:rPr>
        <w:t> ml</w:t>
      </w:r>
      <w:r w:rsidRPr="00B4194A">
        <w:rPr>
          <w:szCs w:val="24"/>
          <w:lang w:val="lt-LT"/>
        </w:rPr>
        <w:t>,</w:t>
      </w:r>
    </w:p>
    <w:p w14:paraId="69109793" w14:textId="77777777" w:rsidR="00671370" w:rsidRPr="00B2511A" w:rsidRDefault="00671370" w:rsidP="0067137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4194A">
        <w:rPr>
          <w:szCs w:val="24"/>
          <w:lang w:val="lt-LT"/>
        </w:rPr>
        <w:t>5 x 10</w:t>
      </w:r>
      <w:r>
        <w:rPr>
          <w:szCs w:val="24"/>
          <w:lang w:val="lt-LT"/>
        </w:rPr>
        <w:t> ml</w:t>
      </w:r>
      <w:r w:rsidRPr="00B4194A">
        <w:rPr>
          <w:szCs w:val="24"/>
          <w:lang w:val="lt-LT"/>
        </w:rPr>
        <w:t>, 10 x 10</w:t>
      </w:r>
      <w:r>
        <w:rPr>
          <w:szCs w:val="24"/>
          <w:lang w:val="lt-LT"/>
        </w:rPr>
        <w:t> ml</w:t>
      </w:r>
      <w:r w:rsidRPr="00B2511A">
        <w:rPr>
          <w:szCs w:val="24"/>
          <w:lang w:val="lt-LT"/>
        </w:rPr>
        <w:t>.</w:t>
      </w:r>
    </w:p>
    <w:p w14:paraId="3C93DF29" w14:textId="77777777" w:rsidR="00F44350" w:rsidRPr="00B2511A" w:rsidRDefault="00F44350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FE4EBEF" w14:textId="77777777" w:rsidR="00F44350" w:rsidRPr="00B2511A" w:rsidRDefault="00F44350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Gali būti tiekiamos ne visų dydžių pakuotės.</w:t>
      </w:r>
    </w:p>
    <w:p w14:paraId="5C3BE09A" w14:textId="77777777" w:rsidR="00F44350" w:rsidRPr="00B2511A" w:rsidRDefault="00F44350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024574E" w14:textId="77777777" w:rsidR="00F34163" w:rsidRPr="00B2511A" w:rsidRDefault="00461F31" w:rsidP="00C25270">
      <w:pPr>
        <w:pStyle w:val="Antrat4"/>
        <w:spacing w:line="240" w:lineRule="auto"/>
        <w:rPr>
          <w:rFonts w:ascii="Times New Roman" w:hAnsi="Times New Roman"/>
          <w:sz w:val="22"/>
          <w:lang w:val="lt-LT"/>
        </w:rPr>
      </w:pPr>
      <w:r w:rsidRPr="00B2511A">
        <w:rPr>
          <w:rFonts w:ascii="Times New Roman" w:hAnsi="Times New Roman"/>
          <w:sz w:val="22"/>
          <w:lang w:val="lt-LT"/>
        </w:rPr>
        <w:t>Registruotojas</w:t>
      </w:r>
      <w:r w:rsidR="00F34163" w:rsidRPr="00B2511A">
        <w:rPr>
          <w:rFonts w:ascii="Times New Roman" w:hAnsi="Times New Roman"/>
          <w:sz w:val="22"/>
          <w:lang w:val="lt-LT"/>
        </w:rPr>
        <w:t xml:space="preserve"> ir gamintojas</w:t>
      </w:r>
    </w:p>
    <w:p w14:paraId="0D35F945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AA88CCE" w14:textId="77777777" w:rsidR="00266EDE" w:rsidRPr="00B2511A" w:rsidRDefault="00266EDE" w:rsidP="00C25270">
      <w:pPr>
        <w:tabs>
          <w:tab w:val="clear" w:pos="567"/>
        </w:tabs>
        <w:spacing w:line="240" w:lineRule="auto"/>
        <w:rPr>
          <w:i/>
          <w:iCs/>
          <w:szCs w:val="24"/>
          <w:lang w:val="lt-LT"/>
        </w:rPr>
      </w:pPr>
      <w:r w:rsidRPr="00B2511A">
        <w:rPr>
          <w:i/>
          <w:iCs/>
          <w:szCs w:val="24"/>
          <w:lang w:val="lt-LT"/>
        </w:rPr>
        <w:t>Registruotojas</w:t>
      </w:r>
    </w:p>
    <w:p w14:paraId="5F2EA0A7" w14:textId="77777777" w:rsidR="00671370" w:rsidRPr="00671370" w:rsidRDefault="00671370" w:rsidP="0067137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671370">
        <w:rPr>
          <w:szCs w:val="24"/>
          <w:lang w:val="lt-LT"/>
        </w:rPr>
        <w:t>Baxter Holding B.V.</w:t>
      </w:r>
    </w:p>
    <w:p w14:paraId="1AD611D1" w14:textId="125E016A" w:rsidR="00671370" w:rsidRPr="00671370" w:rsidRDefault="00671370" w:rsidP="0067137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671370">
        <w:rPr>
          <w:szCs w:val="24"/>
          <w:lang w:val="lt-LT"/>
        </w:rPr>
        <w:t>Kobaltweg 49</w:t>
      </w:r>
    </w:p>
    <w:p w14:paraId="21764F07" w14:textId="3B68F7DB" w:rsidR="000154A7" w:rsidRDefault="00671370" w:rsidP="0067137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671370">
        <w:rPr>
          <w:szCs w:val="24"/>
          <w:lang w:val="lt-LT"/>
        </w:rPr>
        <w:t xml:space="preserve">3542CE Utrecht </w:t>
      </w:r>
    </w:p>
    <w:p w14:paraId="52C279B0" w14:textId="77777777" w:rsidR="00994227" w:rsidRPr="00B2511A" w:rsidRDefault="00671370" w:rsidP="0067137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671370">
        <w:rPr>
          <w:szCs w:val="24"/>
          <w:lang w:val="lt-LT"/>
        </w:rPr>
        <w:t>Nyderlandai</w:t>
      </w:r>
    </w:p>
    <w:p w14:paraId="09C32CFB" w14:textId="77777777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FA15D12" w14:textId="77777777" w:rsidR="00266EDE" w:rsidRPr="00B2511A" w:rsidRDefault="00266EDE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4"/>
          <w:lang w:val="lt-LT"/>
        </w:rPr>
      </w:pPr>
      <w:r w:rsidRPr="00671370">
        <w:rPr>
          <w:i/>
          <w:iCs/>
          <w:szCs w:val="24"/>
          <w:lang w:val="lt-LT"/>
        </w:rPr>
        <w:t>Gamintojas</w:t>
      </w:r>
    </w:p>
    <w:p w14:paraId="654FD4BE" w14:textId="77777777" w:rsidR="00BD7539" w:rsidRPr="00BD7539" w:rsidRDefault="00BD7539" w:rsidP="00BD75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2A170CA" w14:textId="6D042D10" w:rsidR="00BD7539" w:rsidRPr="00BD7539" w:rsidRDefault="00BD7539" w:rsidP="00BD75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D7539">
        <w:rPr>
          <w:szCs w:val="24"/>
          <w:lang w:val="lt-LT"/>
        </w:rPr>
        <w:t>Bieffe Medital S.p.A.</w:t>
      </w:r>
    </w:p>
    <w:p w14:paraId="4670C136" w14:textId="2C68FB05" w:rsidR="000154A7" w:rsidRDefault="00BD7539" w:rsidP="00BD75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D7539">
        <w:rPr>
          <w:szCs w:val="24"/>
          <w:lang w:val="lt-LT"/>
        </w:rPr>
        <w:t>Via Nuova Provinciale 23034 Grossotto (SO)</w:t>
      </w:r>
    </w:p>
    <w:p w14:paraId="018C30E2" w14:textId="77777777" w:rsidR="000154A7" w:rsidRDefault="000154A7" w:rsidP="000154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D7539">
        <w:rPr>
          <w:szCs w:val="24"/>
          <w:lang w:val="lt-LT"/>
        </w:rPr>
        <w:t>23034</w:t>
      </w:r>
      <w:r>
        <w:rPr>
          <w:szCs w:val="24"/>
          <w:lang w:val="lt-LT"/>
        </w:rPr>
        <w:t xml:space="preserve"> </w:t>
      </w:r>
      <w:r w:rsidRPr="00BD7539">
        <w:rPr>
          <w:szCs w:val="24"/>
          <w:lang w:val="lt-LT"/>
        </w:rPr>
        <w:t>Nuova Provinciale</w:t>
      </w:r>
    </w:p>
    <w:p w14:paraId="187BFC14" w14:textId="77777777" w:rsidR="00BD7539" w:rsidRPr="00BD7539" w:rsidRDefault="00BD7539" w:rsidP="00BD75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D7539">
        <w:rPr>
          <w:szCs w:val="24"/>
          <w:lang w:val="lt-LT"/>
        </w:rPr>
        <w:t>Ital</w:t>
      </w:r>
      <w:r>
        <w:rPr>
          <w:szCs w:val="24"/>
          <w:lang w:val="lt-LT"/>
        </w:rPr>
        <w:t>ija</w:t>
      </w:r>
    </w:p>
    <w:p w14:paraId="678239F2" w14:textId="29A35ACB" w:rsidR="00BD7539" w:rsidRDefault="00BD7539" w:rsidP="009E19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93F0C07" w14:textId="77777777" w:rsidR="00A07AF0" w:rsidRDefault="00A07AF0" w:rsidP="00C25270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32BD4A7A" w14:textId="77777777" w:rsidR="00F34163" w:rsidRDefault="00461F31" w:rsidP="00C252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B2511A">
        <w:rPr>
          <w:b/>
          <w:lang w:val="lt-LT"/>
        </w:rPr>
        <w:t xml:space="preserve">Šis </w:t>
      </w:r>
      <w:r w:rsidR="00A76206" w:rsidRPr="00B2511A">
        <w:rPr>
          <w:b/>
          <w:lang w:val="lt-LT"/>
        </w:rPr>
        <w:t>vaistas</w:t>
      </w:r>
      <w:r w:rsidR="00F34163" w:rsidRPr="00B2511A">
        <w:rPr>
          <w:b/>
          <w:lang w:val="lt-LT"/>
        </w:rPr>
        <w:t xml:space="preserve"> EEE valstybėse narėse </w:t>
      </w:r>
      <w:r w:rsidRPr="00B2511A">
        <w:rPr>
          <w:b/>
          <w:lang w:val="lt-LT"/>
        </w:rPr>
        <w:t xml:space="preserve">registruotas </w:t>
      </w:r>
      <w:r w:rsidR="00F34163" w:rsidRPr="00B2511A">
        <w:rPr>
          <w:b/>
          <w:lang w:val="lt-LT"/>
        </w:rPr>
        <w:t>tokiais pavadinimais</w:t>
      </w:r>
      <w:r w:rsidR="00F34163" w:rsidRPr="00B2511A">
        <w:rPr>
          <w:lang w:val="lt-LT"/>
        </w:rPr>
        <w:t>:</w:t>
      </w:r>
    </w:p>
    <w:p w14:paraId="22DEED4F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Austri</w:t>
      </w:r>
      <w:r>
        <w:rPr>
          <w:lang w:val="lt-LT"/>
        </w:rPr>
        <w:t>j</w:t>
      </w:r>
      <w:r w:rsidRPr="00671370">
        <w:rPr>
          <w:lang w:val="lt-LT"/>
        </w:rPr>
        <w:t>a</w:t>
      </w:r>
      <w:r w:rsidRPr="00671370">
        <w:rPr>
          <w:lang w:val="lt-LT"/>
        </w:rPr>
        <w:tab/>
        <w:t>Tranexamsäure Baxter 100 mg/ml Injektionslösung/Infusionslösung</w:t>
      </w:r>
    </w:p>
    <w:p w14:paraId="5D42B202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Belgi</w:t>
      </w:r>
      <w:r>
        <w:rPr>
          <w:lang w:val="lt-LT"/>
        </w:rPr>
        <w:t>ja</w:t>
      </w:r>
      <w:r w:rsidRPr="00671370">
        <w:rPr>
          <w:lang w:val="lt-LT"/>
        </w:rPr>
        <w:tab/>
        <w:t>Tranexamic acid Baxter 100 mg/ml solution injectable/ pour perfusion</w:t>
      </w:r>
    </w:p>
    <w:p w14:paraId="62B3ED69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Danija</w:t>
      </w:r>
      <w:r>
        <w:rPr>
          <w:lang w:val="lt-LT"/>
        </w:rPr>
        <w:tab/>
      </w:r>
      <w:r w:rsidRPr="00671370">
        <w:rPr>
          <w:lang w:val="lt-LT"/>
        </w:rPr>
        <w:t>Tranexamic acid Baxter 100 mg/ml injektions-/infusionsvæske, opløsning</w:t>
      </w:r>
    </w:p>
    <w:p w14:paraId="2BA7CA8F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Est</w:t>
      </w:r>
      <w:r>
        <w:rPr>
          <w:lang w:val="lt-LT"/>
        </w:rPr>
        <w:t>ija</w:t>
      </w:r>
      <w:r>
        <w:rPr>
          <w:lang w:val="lt-LT"/>
        </w:rPr>
        <w:tab/>
      </w:r>
      <w:r>
        <w:rPr>
          <w:lang w:val="lt-LT"/>
        </w:rPr>
        <w:tab/>
      </w:r>
      <w:r w:rsidRPr="00671370">
        <w:rPr>
          <w:lang w:val="lt-LT"/>
        </w:rPr>
        <w:t>Tranexamic acid Baxter</w:t>
      </w:r>
    </w:p>
    <w:p w14:paraId="5F129BA0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Suomija</w:t>
      </w:r>
      <w:r w:rsidRPr="00671370">
        <w:rPr>
          <w:lang w:val="lt-LT"/>
        </w:rPr>
        <w:tab/>
        <w:t>Tranexamic acid Baxter 100 mg/ml injektio-/infuusioneste, liuos</w:t>
      </w:r>
    </w:p>
    <w:p w14:paraId="67E9347F" w14:textId="77777777" w:rsidR="00671370" w:rsidRPr="00671370" w:rsidRDefault="002F6824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Graikija</w:t>
      </w:r>
      <w:r w:rsidR="00671370" w:rsidRPr="00671370">
        <w:rPr>
          <w:lang w:val="lt-LT"/>
        </w:rPr>
        <w:tab/>
        <w:t>Tranexamic acid Baxter 100 mg/διάλυμα για ένεση/έγχυση</w:t>
      </w:r>
    </w:p>
    <w:p w14:paraId="788FD123" w14:textId="77777777" w:rsidR="00671370" w:rsidRPr="00671370" w:rsidRDefault="002F6824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Vokietija</w:t>
      </w:r>
      <w:r w:rsidR="00671370" w:rsidRPr="00671370">
        <w:rPr>
          <w:lang w:val="lt-LT"/>
        </w:rPr>
        <w:tab/>
        <w:t>Tranexamsäure Baxter 100 mg/ml Injektionslösung/Infusionslösung</w:t>
      </w:r>
    </w:p>
    <w:p w14:paraId="40572639" w14:textId="77777777" w:rsidR="00671370" w:rsidRPr="00671370" w:rsidRDefault="002F6824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Vengrija</w:t>
      </w:r>
      <w:r w:rsidR="00671370" w:rsidRPr="00671370">
        <w:rPr>
          <w:lang w:val="lt-LT"/>
        </w:rPr>
        <w:tab/>
        <w:t>TRANEXÁMSAV BAXTER 100 mg/m oldatos injekció</w:t>
      </w:r>
    </w:p>
    <w:p w14:paraId="6A6231F2" w14:textId="77777777" w:rsidR="00671370" w:rsidRPr="00671370" w:rsidRDefault="002F6824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Airija</w:t>
      </w:r>
      <w:r>
        <w:rPr>
          <w:lang w:val="lt-LT"/>
        </w:rPr>
        <w:tab/>
      </w:r>
      <w:r w:rsidR="00671370" w:rsidRPr="00671370">
        <w:rPr>
          <w:lang w:val="lt-LT"/>
        </w:rPr>
        <w:tab/>
        <w:t>Tranexamic acid 100 mg/ml solution for injection/infusion</w:t>
      </w:r>
    </w:p>
    <w:p w14:paraId="5422F791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Ital</w:t>
      </w:r>
      <w:r>
        <w:rPr>
          <w:lang w:val="lt-LT"/>
        </w:rPr>
        <w:t>ija</w:t>
      </w:r>
      <w:r>
        <w:rPr>
          <w:lang w:val="lt-LT"/>
        </w:rPr>
        <w:tab/>
      </w:r>
      <w:r>
        <w:rPr>
          <w:lang w:val="lt-LT"/>
        </w:rPr>
        <w:tab/>
      </w:r>
      <w:r w:rsidRPr="00671370">
        <w:rPr>
          <w:lang w:val="lt-LT"/>
        </w:rPr>
        <w:t>Acido Tranexamico Baxter 100 mg/ml soluzione iniettabile/infusione</w:t>
      </w:r>
    </w:p>
    <w:p w14:paraId="5C8049AB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Latvi</w:t>
      </w:r>
      <w:r>
        <w:rPr>
          <w:lang w:val="lt-LT"/>
        </w:rPr>
        <w:t>j</w:t>
      </w:r>
      <w:r w:rsidRPr="00671370">
        <w:rPr>
          <w:lang w:val="lt-LT"/>
        </w:rPr>
        <w:t>a</w:t>
      </w:r>
      <w:r>
        <w:rPr>
          <w:lang w:val="lt-LT"/>
        </w:rPr>
        <w:tab/>
      </w:r>
      <w:r w:rsidRPr="00671370">
        <w:rPr>
          <w:lang w:val="lt-LT"/>
        </w:rPr>
        <w:t>Tranexamic acid Baxter 100 mg/ml šķīdums injekcijām/infūzijām</w:t>
      </w:r>
    </w:p>
    <w:p w14:paraId="409716B6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Lietuva</w:t>
      </w:r>
      <w:r w:rsidRPr="00671370">
        <w:rPr>
          <w:lang w:val="lt-LT"/>
        </w:rPr>
        <w:tab/>
        <w:t>Tranexamic acid Baxter 100</w:t>
      </w:r>
      <w:r w:rsidR="0030588C">
        <w:rPr>
          <w:lang w:val="lt-LT"/>
        </w:rPr>
        <w:t> </w:t>
      </w:r>
      <w:r w:rsidRPr="00671370">
        <w:rPr>
          <w:lang w:val="lt-LT"/>
        </w:rPr>
        <w:t xml:space="preserve">mg/ml </w:t>
      </w:r>
      <w:r w:rsidRPr="0030588C">
        <w:rPr>
          <w:lang w:val="lt-LT"/>
        </w:rPr>
        <w:t xml:space="preserve">injekcinis </w:t>
      </w:r>
      <w:r w:rsidR="0030588C" w:rsidRPr="0030588C">
        <w:rPr>
          <w:lang w:val="lt-LT"/>
        </w:rPr>
        <w:t xml:space="preserve">ar infuzinis </w:t>
      </w:r>
      <w:r w:rsidRPr="0030588C">
        <w:rPr>
          <w:lang w:val="lt-LT"/>
        </w:rPr>
        <w:t>tirpalas</w:t>
      </w:r>
    </w:p>
    <w:p w14:paraId="7F4F2C0A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Nyderlandai</w:t>
      </w:r>
      <w:r>
        <w:rPr>
          <w:lang w:val="lt-LT"/>
        </w:rPr>
        <w:tab/>
      </w:r>
      <w:r w:rsidRPr="00671370">
        <w:rPr>
          <w:lang w:val="lt-LT"/>
        </w:rPr>
        <w:t>Tranexaminezuur Baxter 100 mg/ml, oplossing voor injectie/infusie</w:t>
      </w:r>
    </w:p>
    <w:p w14:paraId="1B59795D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lastRenderedPageBreak/>
        <w:t>Nor</w:t>
      </w:r>
      <w:r>
        <w:rPr>
          <w:lang w:val="lt-LT"/>
        </w:rPr>
        <w:t>vegija</w:t>
      </w:r>
      <w:r w:rsidRPr="00671370">
        <w:rPr>
          <w:lang w:val="lt-LT"/>
        </w:rPr>
        <w:tab/>
        <w:t>Tranexamic acid Baxter</w:t>
      </w:r>
    </w:p>
    <w:p w14:paraId="5291B6D5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Lenkija</w:t>
      </w:r>
      <w:r w:rsidRPr="00671370">
        <w:rPr>
          <w:lang w:val="lt-LT"/>
        </w:rPr>
        <w:t xml:space="preserve"> </w:t>
      </w:r>
      <w:r w:rsidRPr="00671370">
        <w:rPr>
          <w:lang w:val="lt-LT"/>
        </w:rPr>
        <w:tab/>
        <w:t>Tranexamic acid Baxter</w:t>
      </w:r>
    </w:p>
    <w:p w14:paraId="3B1FDF3F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Portugal</w:t>
      </w:r>
      <w:r>
        <w:rPr>
          <w:lang w:val="lt-LT"/>
        </w:rPr>
        <w:t>ija</w:t>
      </w:r>
      <w:r w:rsidRPr="00671370">
        <w:rPr>
          <w:lang w:val="lt-LT"/>
        </w:rPr>
        <w:tab/>
        <w:t>Ácido Tranexâmico Baxter</w:t>
      </w:r>
    </w:p>
    <w:p w14:paraId="50C453DF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671370">
        <w:rPr>
          <w:lang w:val="lt-LT"/>
        </w:rPr>
        <w:t>Slovaki</w:t>
      </w:r>
      <w:r>
        <w:rPr>
          <w:lang w:val="lt-LT"/>
        </w:rPr>
        <w:t>j</w:t>
      </w:r>
      <w:r w:rsidRPr="00671370">
        <w:rPr>
          <w:lang w:val="lt-LT"/>
        </w:rPr>
        <w:t>a</w:t>
      </w:r>
      <w:r w:rsidRPr="00671370">
        <w:rPr>
          <w:lang w:val="lt-LT"/>
        </w:rPr>
        <w:tab/>
        <w:t>Tranexamic acid Baxter 100 mg/ml injekčný roztok</w:t>
      </w:r>
    </w:p>
    <w:p w14:paraId="16D25FA4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Ispanija</w:t>
      </w:r>
      <w:r>
        <w:rPr>
          <w:lang w:val="lt-LT"/>
        </w:rPr>
        <w:tab/>
      </w:r>
      <w:r w:rsidRPr="00671370">
        <w:rPr>
          <w:lang w:val="lt-LT"/>
        </w:rPr>
        <w:t>Ácido tranexámico Baxter 100 mg/ml solucion inyectable y para perfusión EFG</w:t>
      </w:r>
    </w:p>
    <w:p w14:paraId="1FABD0F3" w14:textId="77777777" w:rsidR="00671370" w:rsidRP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Švedija</w:t>
      </w:r>
      <w:r w:rsidRPr="00671370">
        <w:rPr>
          <w:lang w:val="lt-LT"/>
        </w:rPr>
        <w:tab/>
        <w:t>Tranexamic acid Baxter 100 mg/ml solution for injektion/infusion</w:t>
      </w:r>
    </w:p>
    <w:p w14:paraId="1D7BC0DD" w14:textId="77777777" w:rsidR="00671370" w:rsidRDefault="00671370" w:rsidP="00671370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>Jungtinė Karalystė</w:t>
      </w:r>
      <w:r w:rsidRPr="00671370">
        <w:rPr>
          <w:lang w:val="lt-LT"/>
        </w:rPr>
        <w:tab/>
        <w:t>Tranexamic acid 100 mg/ml solution for injection/infusion</w:t>
      </w:r>
    </w:p>
    <w:p w14:paraId="2FA295CF" w14:textId="77777777" w:rsidR="00447DE7" w:rsidRPr="00B2511A" w:rsidRDefault="00447DE7" w:rsidP="00C25270">
      <w:pPr>
        <w:spacing w:line="240" w:lineRule="auto"/>
        <w:ind w:left="567" w:hanging="567"/>
        <w:rPr>
          <w:lang w:val="lt-LT"/>
        </w:rPr>
      </w:pPr>
    </w:p>
    <w:p w14:paraId="0B59F088" w14:textId="7ADEEF6A" w:rsidR="00F34163" w:rsidRPr="00B2511A" w:rsidRDefault="00F34163" w:rsidP="00C2527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2511A">
        <w:rPr>
          <w:b/>
          <w:lang w:val="lt-LT"/>
        </w:rPr>
        <w:t>Šis pakuotės lapelis paskutinį kartą peržiūrėtas</w:t>
      </w:r>
      <w:r w:rsidR="006B77A8">
        <w:rPr>
          <w:b/>
          <w:lang w:val="lt-LT"/>
        </w:rPr>
        <w:t xml:space="preserve"> </w:t>
      </w:r>
      <w:r w:rsidR="00671449">
        <w:rPr>
          <w:b/>
          <w:lang w:val="lt-LT"/>
        </w:rPr>
        <w:t>2025-06-23</w:t>
      </w:r>
      <w:r w:rsidR="00701E42">
        <w:rPr>
          <w:b/>
          <w:lang w:val="lt-LT"/>
        </w:rPr>
        <w:t>.</w:t>
      </w:r>
    </w:p>
    <w:p w14:paraId="146D4C14" w14:textId="77777777" w:rsidR="00F34163" w:rsidRPr="00B2511A" w:rsidRDefault="00F34163" w:rsidP="00C25270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400C575C" w14:textId="77777777" w:rsidR="00F34163" w:rsidRPr="00B2511A" w:rsidRDefault="00F34163" w:rsidP="00C25270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2511A">
        <w:rPr>
          <w:lang w:val="lt-LT"/>
        </w:rPr>
        <w:t xml:space="preserve">Išsami informacija apie šį </w:t>
      </w:r>
      <w:r w:rsidRPr="00B2511A">
        <w:rPr>
          <w:szCs w:val="24"/>
          <w:lang w:val="lt-LT"/>
        </w:rPr>
        <w:t>vaistą</w:t>
      </w:r>
      <w:r w:rsidRPr="00B2511A">
        <w:rPr>
          <w:lang w:val="lt-LT"/>
        </w:rPr>
        <w:t xml:space="preserve"> pateikiama Valstybinės vaistų kontrolės tarnybos prie Lietuvos Respublikos sveikatos apsaugos ministerijos tinklalapyje</w:t>
      </w:r>
      <w:r w:rsidRPr="00B2511A">
        <w:rPr>
          <w:i/>
          <w:szCs w:val="24"/>
          <w:lang w:val="lt-LT"/>
        </w:rPr>
        <w:t xml:space="preserve"> </w:t>
      </w:r>
      <w:hyperlink r:id="rId9" w:history="1">
        <w:r w:rsidRPr="00B2511A">
          <w:rPr>
            <w:rStyle w:val="Hipersaitas"/>
            <w:rFonts w:eastAsia="SimSun"/>
            <w:lang w:val="lt-LT"/>
          </w:rPr>
          <w:t>http://www.vvkt.lt/</w:t>
        </w:r>
      </w:hyperlink>
      <w:r w:rsidRPr="00B2511A">
        <w:rPr>
          <w:lang w:val="lt-LT"/>
        </w:rPr>
        <w:t>.</w:t>
      </w:r>
    </w:p>
    <w:p w14:paraId="348031D3" w14:textId="77777777" w:rsidR="00EC46F9" w:rsidRPr="00B2511A" w:rsidRDefault="00EC46F9" w:rsidP="00C25270">
      <w:pPr>
        <w:spacing w:line="240" w:lineRule="auto"/>
        <w:rPr>
          <w:lang w:val="lt-LT"/>
        </w:rPr>
      </w:pPr>
    </w:p>
    <w:sectPr w:rsidR="00EC46F9" w:rsidRPr="00B2511A" w:rsidSect="00DB178F">
      <w:headerReference w:type="default" r:id="rId10"/>
      <w:footerReference w:type="default" r:id="rId11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C17F3" w14:textId="77777777" w:rsidR="00671449" w:rsidRDefault="00671449" w:rsidP="00FC3975">
      <w:pPr>
        <w:spacing w:line="240" w:lineRule="auto"/>
      </w:pPr>
      <w:r>
        <w:separator/>
      </w:r>
    </w:p>
  </w:endnote>
  <w:endnote w:type="continuationSeparator" w:id="0">
    <w:p w14:paraId="7E5036CD" w14:textId="77777777" w:rsidR="00671449" w:rsidRDefault="00671449" w:rsidP="00FC3975">
      <w:pPr>
        <w:spacing w:line="240" w:lineRule="auto"/>
      </w:pPr>
      <w:r>
        <w:continuationSeparator/>
      </w:r>
    </w:p>
  </w:endnote>
  <w:endnote w:type="continuationNotice" w:id="1">
    <w:p w14:paraId="2453D211" w14:textId="77777777" w:rsidR="00671449" w:rsidRDefault="006714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B18FF" w14:textId="77777777" w:rsidR="003B3552" w:rsidRDefault="003B355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81A8D" w14:textId="77777777" w:rsidR="00671449" w:rsidRDefault="00671449" w:rsidP="00FC3975">
      <w:pPr>
        <w:spacing w:line="240" w:lineRule="auto"/>
      </w:pPr>
      <w:r>
        <w:separator/>
      </w:r>
    </w:p>
  </w:footnote>
  <w:footnote w:type="continuationSeparator" w:id="0">
    <w:p w14:paraId="327BCE9F" w14:textId="77777777" w:rsidR="00671449" w:rsidRDefault="00671449" w:rsidP="00FC3975">
      <w:pPr>
        <w:spacing w:line="240" w:lineRule="auto"/>
      </w:pPr>
      <w:r>
        <w:continuationSeparator/>
      </w:r>
    </w:p>
  </w:footnote>
  <w:footnote w:type="continuationNotice" w:id="1">
    <w:p w14:paraId="26021606" w14:textId="77777777" w:rsidR="00671449" w:rsidRDefault="006714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AB2EF" w14:textId="77777777" w:rsidR="003B3552" w:rsidRDefault="003B35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2C9D"/>
    <w:multiLevelType w:val="hybridMultilevel"/>
    <w:tmpl w:val="58C857F6"/>
    <w:lvl w:ilvl="0" w:tplc="4D94870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96CAB"/>
    <w:multiLevelType w:val="hybridMultilevel"/>
    <w:tmpl w:val="D0E2144C"/>
    <w:lvl w:ilvl="0" w:tplc="BE9E6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2292D"/>
    <w:multiLevelType w:val="hybridMultilevel"/>
    <w:tmpl w:val="9C423FE2"/>
    <w:lvl w:ilvl="0" w:tplc="BE9E6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E7F96"/>
    <w:multiLevelType w:val="hybridMultilevel"/>
    <w:tmpl w:val="1806E65A"/>
    <w:lvl w:ilvl="0" w:tplc="7784A1F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082D21C" w:tentative="1">
      <w:start w:val="1"/>
      <w:numFmt w:val="lowerLetter"/>
      <w:lvlText w:val="%2."/>
      <w:lvlJc w:val="left"/>
      <w:pPr>
        <w:ind w:left="1440" w:hanging="360"/>
      </w:pPr>
    </w:lvl>
    <w:lvl w:ilvl="2" w:tplc="FF1A26BE" w:tentative="1">
      <w:start w:val="1"/>
      <w:numFmt w:val="lowerRoman"/>
      <w:lvlText w:val="%3."/>
      <w:lvlJc w:val="right"/>
      <w:pPr>
        <w:ind w:left="2160" w:hanging="180"/>
      </w:pPr>
    </w:lvl>
    <w:lvl w:ilvl="3" w:tplc="913C324E" w:tentative="1">
      <w:start w:val="1"/>
      <w:numFmt w:val="decimal"/>
      <w:lvlText w:val="%4."/>
      <w:lvlJc w:val="left"/>
      <w:pPr>
        <w:ind w:left="2880" w:hanging="360"/>
      </w:pPr>
    </w:lvl>
    <w:lvl w:ilvl="4" w:tplc="627ED9D2" w:tentative="1">
      <w:start w:val="1"/>
      <w:numFmt w:val="lowerLetter"/>
      <w:lvlText w:val="%5."/>
      <w:lvlJc w:val="left"/>
      <w:pPr>
        <w:ind w:left="3600" w:hanging="360"/>
      </w:pPr>
    </w:lvl>
    <w:lvl w:ilvl="5" w:tplc="E9D4202E" w:tentative="1">
      <w:start w:val="1"/>
      <w:numFmt w:val="lowerRoman"/>
      <w:lvlText w:val="%6."/>
      <w:lvlJc w:val="right"/>
      <w:pPr>
        <w:ind w:left="4320" w:hanging="180"/>
      </w:pPr>
    </w:lvl>
    <w:lvl w:ilvl="6" w:tplc="06204EB2" w:tentative="1">
      <w:start w:val="1"/>
      <w:numFmt w:val="decimal"/>
      <w:lvlText w:val="%7."/>
      <w:lvlJc w:val="left"/>
      <w:pPr>
        <w:ind w:left="5040" w:hanging="360"/>
      </w:pPr>
    </w:lvl>
    <w:lvl w:ilvl="7" w:tplc="77C64178" w:tentative="1">
      <w:start w:val="1"/>
      <w:numFmt w:val="lowerLetter"/>
      <w:lvlText w:val="%8."/>
      <w:lvlJc w:val="left"/>
      <w:pPr>
        <w:ind w:left="5760" w:hanging="360"/>
      </w:pPr>
    </w:lvl>
    <w:lvl w:ilvl="8" w:tplc="19F05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6245B"/>
    <w:multiLevelType w:val="hybridMultilevel"/>
    <w:tmpl w:val="CA8602FE"/>
    <w:lvl w:ilvl="0" w:tplc="BE9E6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17EC6"/>
    <w:multiLevelType w:val="hybridMultilevel"/>
    <w:tmpl w:val="BBF8A6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55EFD"/>
    <w:multiLevelType w:val="hybridMultilevel"/>
    <w:tmpl w:val="B894A2A2"/>
    <w:lvl w:ilvl="0" w:tplc="4D948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102A2"/>
    <w:multiLevelType w:val="hybridMultilevel"/>
    <w:tmpl w:val="427C1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F550E"/>
    <w:multiLevelType w:val="hybridMultilevel"/>
    <w:tmpl w:val="73526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D4776"/>
    <w:multiLevelType w:val="hybridMultilevel"/>
    <w:tmpl w:val="7DD83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455B4"/>
    <w:multiLevelType w:val="hybridMultilevel"/>
    <w:tmpl w:val="6B82F27E"/>
    <w:lvl w:ilvl="0" w:tplc="53DA659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036753"/>
    <w:multiLevelType w:val="multilevel"/>
    <w:tmpl w:val="4AE6DD5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9"/>
        <w:w w:val="100"/>
        <w:sz w:val="17"/>
        <w:vertAlign w:val="baseline"/>
        <w:lang w:val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86225C"/>
    <w:multiLevelType w:val="hybridMultilevel"/>
    <w:tmpl w:val="CE5E9BC0"/>
    <w:lvl w:ilvl="0" w:tplc="670E0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4174D"/>
    <w:multiLevelType w:val="hybridMultilevel"/>
    <w:tmpl w:val="31DC4F4C"/>
    <w:lvl w:ilvl="0" w:tplc="670E0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50DAF"/>
    <w:multiLevelType w:val="hybridMultilevel"/>
    <w:tmpl w:val="23A854D2"/>
    <w:lvl w:ilvl="0" w:tplc="BE9E6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10"/>
  </w:num>
  <w:num w:numId="7">
    <w:abstractNumId w:val="14"/>
  </w:num>
  <w:num w:numId="8">
    <w:abstractNumId w:val="12"/>
  </w:num>
  <w:num w:numId="9">
    <w:abstractNumId w:val="15"/>
  </w:num>
  <w:num w:numId="10">
    <w:abstractNumId w:val="9"/>
  </w:num>
  <w:num w:numId="11">
    <w:abstractNumId w:val="17"/>
  </w:num>
  <w:num w:numId="12">
    <w:abstractNumId w:val="6"/>
  </w:num>
  <w:num w:numId="13">
    <w:abstractNumId w:val="3"/>
  </w:num>
  <w:num w:numId="14">
    <w:abstractNumId w:val="4"/>
  </w:num>
  <w:num w:numId="15">
    <w:abstractNumId w:val="11"/>
  </w:num>
  <w:num w:numId="16">
    <w:abstractNumId w:val="13"/>
  </w:num>
  <w:num w:numId="17">
    <w:abstractNumId w:val="7"/>
  </w:num>
  <w:num w:numId="18">
    <w:abstractNumId w:val="5"/>
  </w:num>
  <w:num w:numId="19">
    <w:abstractNumId w:val="8"/>
  </w:num>
  <w:num w:numId="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067D"/>
    <w:rsid w:val="00001ADF"/>
    <w:rsid w:val="0000328F"/>
    <w:rsid w:val="00004E7C"/>
    <w:rsid w:val="00012FD2"/>
    <w:rsid w:val="00014644"/>
    <w:rsid w:val="00015419"/>
    <w:rsid w:val="000154A7"/>
    <w:rsid w:val="000255A0"/>
    <w:rsid w:val="0005254F"/>
    <w:rsid w:val="000530BD"/>
    <w:rsid w:val="00057EE0"/>
    <w:rsid w:val="0006635C"/>
    <w:rsid w:val="00072006"/>
    <w:rsid w:val="000724E7"/>
    <w:rsid w:val="00082583"/>
    <w:rsid w:val="00086DB2"/>
    <w:rsid w:val="000932F6"/>
    <w:rsid w:val="000A58F3"/>
    <w:rsid w:val="000A790D"/>
    <w:rsid w:val="000A79DC"/>
    <w:rsid w:val="000B0E3D"/>
    <w:rsid w:val="000B3869"/>
    <w:rsid w:val="000B5D8A"/>
    <w:rsid w:val="000C072F"/>
    <w:rsid w:val="000C23F6"/>
    <w:rsid w:val="000D0FDF"/>
    <w:rsid w:val="000D2091"/>
    <w:rsid w:val="000D3297"/>
    <w:rsid w:val="000D67F4"/>
    <w:rsid w:val="000F464D"/>
    <w:rsid w:val="000F54BB"/>
    <w:rsid w:val="00126C40"/>
    <w:rsid w:val="00126F6D"/>
    <w:rsid w:val="00131E51"/>
    <w:rsid w:val="00131E92"/>
    <w:rsid w:val="00132D52"/>
    <w:rsid w:val="0014367E"/>
    <w:rsid w:val="001541FF"/>
    <w:rsid w:val="00154AA9"/>
    <w:rsid w:val="00155E00"/>
    <w:rsid w:val="00166D15"/>
    <w:rsid w:val="001746AE"/>
    <w:rsid w:val="00194807"/>
    <w:rsid w:val="00194C8F"/>
    <w:rsid w:val="001964B5"/>
    <w:rsid w:val="001A3DF1"/>
    <w:rsid w:val="001A4353"/>
    <w:rsid w:val="001A4C00"/>
    <w:rsid w:val="001A733B"/>
    <w:rsid w:val="001B1E2D"/>
    <w:rsid w:val="001B7033"/>
    <w:rsid w:val="001B7CCA"/>
    <w:rsid w:val="001C1EC0"/>
    <w:rsid w:val="001C7F21"/>
    <w:rsid w:val="001D7438"/>
    <w:rsid w:val="001F10B8"/>
    <w:rsid w:val="001F3BDE"/>
    <w:rsid w:val="001F774E"/>
    <w:rsid w:val="00215092"/>
    <w:rsid w:val="002151B9"/>
    <w:rsid w:val="00217520"/>
    <w:rsid w:val="002247E3"/>
    <w:rsid w:val="0023099A"/>
    <w:rsid w:val="00235D2C"/>
    <w:rsid w:val="00237B8F"/>
    <w:rsid w:val="00240FEE"/>
    <w:rsid w:val="00247638"/>
    <w:rsid w:val="0025105F"/>
    <w:rsid w:val="00251DC0"/>
    <w:rsid w:val="002625E6"/>
    <w:rsid w:val="00266831"/>
    <w:rsid w:val="00266EDE"/>
    <w:rsid w:val="00270470"/>
    <w:rsid w:val="00275F60"/>
    <w:rsid w:val="002833B5"/>
    <w:rsid w:val="00283A17"/>
    <w:rsid w:val="00286392"/>
    <w:rsid w:val="00290A46"/>
    <w:rsid w:val="002A42B9"/>
    <w:rsid w:val="002C2913"/>
    <w:rsid w:val="002D1E5F"/>
    <w:rsid w:val="002D271C"/>
    <w:rsid w:val="002D3A52"/>
    <w:rsid w:val="002F44DC"/>
    <w:rsid w:val="002F6824"/>
    <w:rsid w:val="00300DF1"/>
    <w:rsid w:val="00300F73"/>
    <w:rsid w:val="003023BA"/>
    <w:rsid w:val="0030588C"/>
    <w:rsid w:val="00307896"/>
    <w:rsid w:val="003101F0"/>
    <w:rsid w:val="00313CAF"/>
    <w:rsid w:val="0031464E"/>
    <w:rsid w:val="00314ACC"/>
    <w:rsid w:val="00316C7B"/>
    <w:rsid w:val="00330D59"/>
    <w:rsid w:val="00331196"/>
    <w:rsid w:val="003342D6"/>
    <w:rsid w:val="00335031"/>
    <w:rsid w:val="0034627E"/>
    <w:rsid w:val="0034765A"/>
    <w:rsid w:val="00347BA2"/>
    <w:rsid w:val="00355525"/>
    <w:rsid w:val="00356807"/>
    <w:rsid w:val="00356A34"/>
    <w:rsid w:val="0036377A"/>
    <w:rsid w:val="0036628F"/>
    <w:rsid w:val="003836AC"/>
    <w:rsid w:val="003B3552"/>
    <w:rsid w:val="003C46C7"/>
    <w:rsid w:val="003C4F6F"/>
    <w:rsid w:val="003C5A09"/>
    <w:rsid w:val="003D390E"/>
    <w:rsid w:val="003D3F3C"/>
    <w:rsid w:val="003E169E"/>
    <w:rsid w:val="003E6D93"/>
    <w:rsid w:val="004000A9"/>
    <w:rsid w:val="0040072E"/>
    <w:rsid w:val="00405E53"/>
    <w:rsid w:val="004263F6"/>
    <w:rsid w:val="0044286C"/>
    <w:rsid w:val="00444711"/>
    <w:rsid w:val="00444B12"/>
    <w:rsid w:val="00445A95"/>
    <w:rsid w:val="00447320"/>
    <w:rsid w:val="00447DE7"/>
    <w:rsid w:val="004524E3"/>
    <w:rsid w:val="00460430"/>
    <w:rsid w:val="00461F31"/>
    <w:rsid w:val="0047350E"/>
    <w:rsid w:val="004971F6"/>
    <w:rsid w:val="004A0ADC"/>
    <w:rsid w:val="004A17DF"/>
    <w:rsid w:val="004A5B7A"/>
    <w:rsid w:val="004A6557"/>
    <w:rsid w:val="004B4CB3"/>
    <w:rsid w:val="004D1D12"/>
    <w:rsid w:val="004D2FAD"/>
    <w:rsid w:val="004D60DC"/>
    <w:rsid w:val="004E123A"/>
    <w:rsid w:val="004E1BC6"/>
    <w:rsid w:val="004E3110"/>
    <w:rsid w:val="004F33F6"/>
    <w:rsid w:val="004F345E"/>
    <w:rsid w:val="00503D27"/>
    <w:rsid w:val="00506C41"/>
    <w:rsid w:val="00510543"/>
    <w:rsid w:val="00510A1B"/>
    <w:rsid w:val="00513FDF"/>
    <w:rsid w:val="0051789D"/>
    <w:rsid w:val="0052201C"/>
    <w:rsid w:val="00525B38"/>
    <w:rsid w:val="005322DC"/>
    <w:rsid w:val="00532F9B"/>
    <w:rsid w:val="00557442"/>
    <w:rsid w:val="00562A9E"/>
    <w:rsid w:val="005829CF"/>
    <w:rsid w:val="00585BA3"/>
    <w:rsid w:val="00585EF2"/>
    <w:rsid w:val="005865B0"/>
    <w:rsid w:val="005958EA"/>
    <w:rsid w:val="00595B3C"/>
    <w:rsid w:val="00597B83"/>
    <w:rsid w:val="005A5204"/>
    <w:rsid w:val="005B2EA2"/>
    <w:rsid w:val="005C4C08"/>
    <w:rsid w:val="005D00C0"/>
    <w:rsid w:val="005D0870"/>
    <w:rsid w:val="005D234E"/>
    <w:rsid w:val="005D4011"/>
    <w:rsid w:val="005D7239"/>
    <w:rsid w:val="005E10EC"/>
    <w:rsid w:val="005E3E03"/>
    <w:rsid w:val="005E7261"/>
    <w:rsid w:val="005E795C"/>
    <w:rsid w:val="005F29E4"/>
    <w:rsid w:val="005F53CB"/>
    <w:rsid w:val="00604684"/>
    <w:rsid w:val="00605706"/>
    <w:rsid w:val="006115A3"/>
    <w:rsid w:val="00626650"/>
    <w:rsid w:val="00633916"/>
    <w:rsid w:val="006370A2"/>
    <w:rsid w:val="0064600C"/>
    <w:rsid w:val="00651EE4"/>
    <w:rsid w:val="00663CB3"/>
    <w:rsid w:val="00666F63"/>
    <w:rsid w:val="00670B9C"/>
    <w:rsid w:val="00671370"/>
    <w:rsid w:val="00671449"/>
    <w:rsid w:val="006721B2"/>
    <w:rsid w:val="00675D64"/>
    <w:rsid w:val="00677AFA"/>
    <w:rsid w:val="00685099"/>
    <w:rsid w:val="00692CD6"/>
    <w:rsid w:val="006937E9"/>
    <w:rsid w:val="00697842"/>
    <w:rsid w:val="006A6CB7"/>
    <w:rsid w:val="006B0232"/>
    <w:rsid w:val="006B31A3"/>
    <w:rsid w:val="006B77A8"/>
    <w:rsid w:val="006E17D5"/>
    <w:rsid w:val="006E76DB"/>
    <w:rsid w:val="006E7841"/>
    <w:rsid w:val="00701E42"/>
    <w:rsid w:val="007046D8"/>
    <w:rsid w:val="00707742"/>
    <w:rsid w:val="00714BBF"/>
    <w:rsid w:val="00716B33"/>
    <w:rsid w:val="0072009B"/>
    <w:rsid w:val="00722A76"/>
    <w:rsid w:val="0072337F"/>
    <w:rsid w:val="00725815"/>
    <w:rsid w:val="00733B62"/>
    <w:rsid w:val="007468A9"/>
    <w:rsid w:val="00752344"/>
    <w:rsid w:val="00755BF6"/>
    <w:rsid w:val="00755ECE"/>
    <w:rsid w:val="007634A4"/>
    <w:rsid w:val="00775B3B"/>
    <w:rsid w:val="00775CFE"/>
    <w:rsid w:val="0078382E"/>
    <w:rsid w:val="00790666"/>
    <w:rsid w:val="007942DE"/>
    <w:rsid w:val="007B3F2D"/>
    <w:rsid w:val="007C357E"/>
    <w:rsid w:val="007C7E11"/>
    <w:rsid w:val="007D0B50"/>
    <w:rsid w:val="007D2D93"/>
    <w:rsid w:val="007D449D"/>
    <w:rsid w:val="007D6E1B"/>
    <w:rsid w:val="007F18C9"/>
    <w:rsid w:val="00802CE6"/>
    <w:rsid w:val="00803838"/>
    <w:rsid w:val="0080684F"/>
    <w:rsid w:val="0081165F"/>
    <w:rsid w:val="00811B03"/>
    <w:rsid w:val="00817562"/>
    <w:rsid w:val="0082432B"/>
    <w:rsid w:val="00825B7E"/>
    <w:rsid w:val="00826CB6"/>
    <w:rsid w:val="00827EEC"/>
    <w:rsid w:val="00830401"/>
    <w:rsid w:val="008327FC"/>
    <w:rsid w:val="008355BE"/>
    <w:rsid w:val="00837CEE"/>
    <w:rsid w:val="0084385E"/>
    <w:rsid w:val="00843C40"/>
    <w:rsid w:val="00844AE3"/>
    <w:rsid w:val="00847B59"/>
    <w:rsid w:val="0085722A"/>
    <w:rsid w:val="0087023F"/>
    <w:rsid w:val="0087193B"/>
    <w:rsid w:val="008735EE"/>
    <w:rsid w:val="00874A23"/>
    <w:rsid w:val="0088100B"/>
    <w:rsid w:val="00882B2F"/>
    <w:rsid w:val="00883444"/>
    <w:rsid w:val="008847D7"/>
    <w:rsid w:val="00894555"/>
    <w:rsid w:val="008A7DA2"/>
    <w:rsid w:val="008B0247"/>
    <w:rsid w:val="008B5336"/>
    <w:rsid w:val="008B5645"/>
    <w:rsid w:val="008C0781"/>
    <w:rsid w:val="008C7057"/>
    <w:rsid w:val="008D2915"/>
    <w:rsid w:val="008D30C1"/>
    <w:rsid w:val="008E6D33"/>
    <w:rsid w:val="008F7DDD"/>
    <w:rsid w:val="009014C8"/>
    <w:rsid w:val="00904861"/>
    <w:rsid w:val="0092423A"/>
    <w:rsid w:val="009262AD"/>
    <w:rsid w:val="00930941"/>
    <w:rsid w:val="00940288"/>
    <w:rsid w:val="00943A29"/>
    <w:rsid w:val="00952FD7"/>
    <w:rsid w:val="00955D48"/>
    <w:rsid w:val="00955F4C"/>
    <w:rsid w:val="00963BFA"/>
    <w:rsid w:val="0096627B"/>
    <w:rsid w:val="00971239"/>
    <w:rsid w:val="00972FD3"/>
    <w:rsid w:val="00975A1F"/>
    <w:rsid w:val="009770F6"/>
    <w:rsid w:val="00980625"/>
    <w:rsid w:val="00994227"/>
    <w:rsid w:val="009A12CB"/>
    <w:rsid w:val="009A25B4"/>
    <w:rsid w:val="009B484F"/>
    <w:rsid w:val="009B574F"/>
    <w:rsid w:val="009E1963"/>
    <w:rsid w:val="009F4320"/>
    <w:rsid w:val="00A0212D"/>
    <w:rsid w:val="00A04B4D"/>
    <w:rsid w:val="00A07AF0"/>
    <w:rsid w:val="00A11E3B"/>
    <w:rsid w:val="00A15E8E"/>
    <w:rsid w:val="00A15F85"/>
    <w:rsid w:val="00A32FAF"/>
    <w:rsid w:val="00A4336C"/>
    <w:rsid w:val="00A4630A"/>
    <w:rsid w:val="00A5078C"/>
    <w:rsid w:val="00A55C40"/>
    <w:rsid w:val="00A64572"/>
    <w:rsid w:val="00A64840"/>
    <w:rsid w:val="00A65C73"/>
    <w:rsid w:val="00A67F10"/>
    <w:rsid w:val="00A76206"/>
    <w:rsid w:val="00A76F8D"/>
    <w:rsid w:val="00A81BAA"/>
    <w:rsid w:val="00A82A7C"/>
    <w:rsid w:val="00A83EAB"/>
    <w:rsid w:val="00A866AA"/>
    <w:rsid w:val="00A86FD7"/>
    <w:rsid w:val="00A87B91"/>
    <w:rsid w:val="00A9291E"/>
    <w:rsid w:val="00A96D4F"/>
    <w:rsid w:val="00A97F8C"/>
    <w:rsid w:val="00AA148B"/>
    <w:rsid w:val="00AA23AB"/>
    <w:rsid w:val="00AA3C9B"/>
    <w:rsid w:val="00AB54EA"/>
    <w:rsid w:val="00AB6CFF"/>
    <w:rsid w:val="00AC10F3"/>
    <w:rsid w:val="00AC5BBF"/>
    <w:rsid w:val="00AD2CDF"/>
    <w:rsid w:val="00AD756E"/>
    <w:rsid w:val="00AE24A0"/>
    <w:rsid w:val="00AE4B70"/>
    <w:rsid w:val="00AF1E88"/>
    <w:rsid w:val="00B03778"/>
    <w:rsid w:val="00B059AF"/>
    <w:rsid w:val="00B235E1"/>
    <w:rsid w:val="00B25115"/>
    <w:rsid w:val="00B2511A"/>
    <w:rsid w:val="00B32473"/>
    <w:rsid w:val="00B4194A"/>
    <w:rsid w:val="00B4239E"/>
    <w:rsid w:val="00B42C28"/>
    <w:rsid w:val="00B45638"/>
    <w:rsid w:val="00B51C06"/>
    <w:rsid w:val="00B54708"/>
    <w:rsid w:val="00B56CA7"/>
    <w:rsid w:val="00B61409"/>
    <w:rsid w:val="00B647B8"/>
    <w:rsid w:val="00B64EEE"/>
    <w:rsid w:val="00B731B3"/>
    <w:rsid w:val="00B76B85"/>
    <w:rsid w:val="00B82F1F"/>
    <w:rsid w:val="00B844F2"/>
    <w:rsid w:val="00B84BB6"/>
    <w:rsid w:val="00B8610A"/>
    <w:rsid w:val="00B9154F"/>
    <w:rsid w:val="00B9693D"/>
    <w:rsid w:val="00B96F8F"/>
    <w:rsid w:val="00BA69D2"/>
    <w:rsid w:val="00BC3A17"/>
    <w:rsid w:val="00BC4787"/>
    <w:rsid w:val="00BC53A6"/>
    <w:rsid w:val="00BD17BA"/>
    <w:rsid w:val="00BD292F"/>
    <w:rsid w:val="00BD7539"/>
    <w:rsid w:val="00BE46F7"/>
    <w:rsid w:val="00BF4AC6"/>
    <w:rsid w:val="00C0111C"/>
    <w:rsid w:val="00C04665"/>
    <w:rsid w:val="00C11CA5"/>
    <w:rsid w:val="00C13641"/>
    <w:rsid w:val="00C13960"/>
    <w:rsid w:val="00C1566D"/>
    <w:rsid w:val="00C163EB"/>
    <w:rsid w:val="00C21EEB"/>
    <w:rsid w:val="00C25270"/>
    <w:rsid w:val="00C3457B"/>
    <w:rsid w:val="00C34FE8"/>
    <w:rsid w:val="00C41CE1"/>
    <w:rsid w:val="00C4613B"/>
    <w:rsid w:val="00C47281"/>
    <w:rsid w:val="00C50731"/>
    <w:rsid w:val="00C5331E"/>
    <w:rsid w:val="00C53A65"/>
    <w:rsid w:val="00C543BE"/>
    <w:rsid w:val="00C614EF"/>
    <w:rsid w:val="00C61A4A"/>
    <w:rsid w:val="00C638FB"/>
    <w:rsid w:val="00C740BA"/>
    <w:rsid w:val="00C77C6D"/>
    <w:rsid w:val="00C8680A"/>
    <w:rsid w:val="00C909E2"/>
    <w:rsid w:val="00C92009"/>
    <w:rsid w:val="00C94373"/>
    <w:rsid w:val="00C9658B"/>
    <w:rsid w:val="00CA2C48"/>
    <w:rsid w:val="00CC145D"/>
    <w:rsid w:val="00CC3E65"/>
    <w:rsid w:val="00CD214B"/>
    <w:rsid w:val="00CE6EC2"/>
    <w:rsid w:val="00CF117F"/>
    <w:rsid w:val="00CF123A"/>
    <w:rsid w:val="00CF1C03"/>
    <w:rsid w:val="00CF2C50"/>
    <w:rsid w:val="00CF3CC5"/>
    <w:rsid w:val="00CF62C9"/>
    <w:rsid w:val="00D00CDA"/>
    <w:rsid w:val="00D113B4"/>
    <w:rsid w:val="00D15ECA"/>
    <w:rsid w:val="00D243F1"/>
    <w:rsid w:val="00D449A4"/>
    <w:rsid w:val="00D44E18"/>
    <w:rsid w:val="00D45105"/>
    <w:rsid w:val="00D664AD"/>
    <w:rsid w:val="00D70EF8"/>
    <w:rsid w:val="00D73361"/>
    <w:rsid w:val="00D9337C"/>
    <w:rsid w:val="00D96732"/>
    <w:rsid w:val="00DA3CC4"/>
    <w:rsid w:val="00DA5A6F"/>
    <w:rsid w:val="00DB178F"/>
    <w:rsid w:val="00DB4312"/>
    <w:rsid w:val="00DB4779"/>
    <w:rsid w:val="00DE0188"/>
    <w:rsid w:val="00DE1721"/>
    <w:rsid w:val="00DE2032"/>
    <w:rsid w:val="00DE3B9B"/>
    <w:rsid w:val="00DE49B6"/>
    <w:rsid w:val="00E10DD2"/>
    <w:rsid w:val="00E1751C"/>
    <w:rsid w:val="00E207B2"/>
    <w:rsid w:val="00E2116A"/>
    <w:rsid w:val="00E24217"/>
    <w:rsid w:val="00E2591E"/>
    <w:rsid w:val="00E26E2A"/>
    <w:rsid w:val="00E2716A"/>
    <w:rsid w:val="00E346C7"/>
    <w:rsid w:val="00E359CE"/>
    <w:rsid w:val="00E36573"/>
    <w:rsid w:val="00E36DF0"/>
    <w:rsid w:val="00E425FE"/>
    <w:rsid w:val="00E51024"/>
    <w:rsid w:val="00E51A64"/>
    <w:rsid w:val="00E55591"/>
    <w:rsid w:val="00E56AAB"/>
    <w:rsid w:val="00E605FE"/>
    <w:rsid w:val="00E62508"/>
    <w:rsid w:val="00E65EE9"/>
    <w:rsid w:val="00E66C47"/>
    <w:rsid w:val="00E7064A"/>
    <w:rsid w:val="00E71F2E"/>
    <w:rsid w:val="00E827C9"/>
    <w:rsid w:val="00E83D6E"/>
    <w:rsid w:val="00E93EEF"/>
    <w:rsid w:val="00E9633D"/>
    <w:rsid w:val="00E97186"/>
    <w:rsid w:val="00EA0D6E"/>
    <w:rsid w:val="00EB105E"/>
    <w:rsid w:val="00EB15F2"/>
    <w:rsid w:val="00EB2E25"/>
    <w:rsid w:val="00EB4329"/>
    <w:rsid w:val="00EC3BAC"/>
    <w:rsid w:val="00EC46F9"/>
    <w:rsid w:val="00ED1BD1"/>
    <w:rsid w:val="00ED3F3C"/>
    <w:rsid w:val="00EE14D4"/>
    <w:rsid w:val="00EE529E"/>
    <w:rsid w:val="00EF473A"/>
    <w:rsid w:val="00F001A1"/>
    <w:rsid w:val="00F02E72"/>
    <w:rsid w:val="00F1074E"/>
    <w:rsid w:val="00F10FAF"/>
    <w:rsid w:val="00F125FD"/>
    <w:rsid w:val="00F1323C"/>
    <w:rsid w:val="00F20390"/>
    <w:rsid w:val="00F22D5B"/>
    <w:rsid w:val="00F322A4"/>
    <w:rsid w:val="00F34163"/>
    <w:rsid w:val="00F4120F"/>
    <w:rsid w:val="00F41617"/>
    <w:rsid w:val="00F41E04"/>
    <w:rsid w:val="00F43F38"/>
    <w:rsid w:val="00F44350"/>
    <w:rsid w:val="00F45529"/>
    <w:rsid w:val="00F52753"/>
    <w:rsid w:val="00F555A9"/>
    <w:rsid w:val="00F57045"/>
    <w:rsid w:val="00F61623"/>
    <w:rsid w:val="00F65C3C"/>
    <w:rsid w:val="00F70886"/>
    <w:rsid w:val="00F72136"/>
    <w:rsid w:val="00F83102"/>
    <w:rsid w:val="00F83B82"/>
    <w:rsid w:val="00F870F4"/>
    <w:rsid w:val="00FC0A39"/>
    <w:rsid w:val="00FC3975"/>
    <w:rsid w:val="00FC4858"/>
    <w:rsid w:val="00FD7A29"/>
    <w:rsid w:val="00FD7A67"/>
    <w:rsid w:val="00FE3FD1"/>
    <w:rsid w:val="00FF25D1"/>
    <w:rsid w:val="00FF59C2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AB99"/>
  <w15:chartTrackingRefBased/>
  <w15:docId w15:val="{E4EC61FE-3958-4422-8149-03A3CE1D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39"/>
    <w:rsid w:val="00FF25D1"/>
    <w:rPr>
      <w:rFonts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ED42E-6019-4867-A9BF-37129B9F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20392</Words>
  <Characters>11624</Characters>
  <Application>Microsoft Office Word</Application>
  <DocSecurity>4</DocSecurity>
  <Lines>96</Lines>
  <Paragraphs>63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31953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dc:description/>
  <cp:lastModifiedBy>Albina Burkauskaitė</cp:lastModifiedBy>
  <cp:revision>2</cp:revision>
  <dcterms:created xsi:type="dcterms:W3CDTF">2025-07-01T12:22:00Z</dcterms:created>
  <dcterms:modified xsi:type="dcterms:W3CDTF">2025-07-01T12:22:00Z</dcterms:modified>
</cp:coreProperties>
</file>